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FA" w:rsidRPr="00113274" w:rsidRDefault="00F30AFA" w:rsidP="00E75E12">
      <w:pPr>
        <w:spacing w:after="0" w:line="360" w:lineRule="auto"/>
        <w:jc w:val="center"/>
        <w:rPr>
          <w:rFonts w:cs="Arial"/>
          <w:b/>
          <w:sz w:val="28"/>
          <w:szCs w:val="28"/>
          <w:lang w:val="en-ZA"/>
        </w:rPr>
      </w:pPr>
      <w:r w:rsidRPr="00113274">
        <w:rPr>
          <w:rFonts w:cs="Arial"/>
          <w:b/>
          <w:sz w:val="28"/>
          <w:szCs w:val="28"/>
          <w:lang w:val="en-ZA"/>
        </w:rPr>
        <w:t xml:space="preserve">SUMMARY OF WRITTEN SUBMISSIONS: </w:t>
      </w:r>
      <w:r w:rsidR="00E42D6F" w:rsidRPr="00113274">
        <w:rPr>
          <w:rFonts w:cs="Arial"/>
          <w:b/>
          <w:sz w:val="28"/>
          <w:szCs w:val="28"/>
          <w:lang w:val="en-ZA"/>
        </w:rPr>
        <w:t xml:space="preserve">LEGAL PRACTICE </w:t>
      </w:r>
      <w:r w:rsidR="00DB1EB9" w:rsidRPr="00113274">
        <w:rPr>
          <w:rFonts w:cs="Arial"/>
          <w:b/>
          <w:sz w:val="28"/>
          <w:szCs w:val="28"/>
          <w:lang w:val="en-ZA"/>
        </w:rPr>
        <w:t xml:space="preserve">AMENDMENT </w:t>
      </w:r>
      <w:r w:rsidRPr="00113274">
        <w:rPr>
          <w:rFonts w:cs="Arial"/>
          <w:b/>
          <w:sz w:val="28"/>
          <w:szCs w:val="28"/>
          <w:lang w:val="en-ZA"/>
        </w:rPr>
        <w:t xml:space="preserve">BILL [B </w:t>
      </w:r>
      <w:r w:rsidR="00DB1EB9" w:rsidRPr="00113274">
        <w:rPr>
          <w:rFonts w:cs="Arial"/>
          <w:b/>
          <w:sz w:val="28"/>
          <w:szCs w:val="28"/>
          <w:lang w:val="en-ZA"/>
        </w:rPr>
        <w:t>11</w:t>
      </w:r>
      <w:r w:rsidRPr="00113274">
        <w:rPr>
          <w:rFonts w:cs="Arial"/>
          <w:b/>
          <w:sz w:val="28"/>
          <w:szCs w:val="28"/>
          <w:lang w:val="en-ZA"/>
        </w:rPr>
        <w:t xml:space="preserve"> - 201</w:t>
      </w:r>
      <w:r w:rsidR="00DB1EB9" w:rsidRPr="00113274">
        <w:rPr>
          <w:rFonts w:cs="Arial"/>
          <w:b/>
          <w:sz w:val="28"/>
          <w:szCs w:val="28"/>
          <w:lang w:val="en-ZA"/>
        </w:rPr>
        <w:t>7</w:t>
      </w:r>
      <w:r w:rsidRPr="00113274">
        <w:rPr>
          <w:rFonts w:cs="Arial"/>
          <w:b/>
          <w:sz w:val="28"/>
          <w:szCs w:val="28"/>
          <w:lang w:val="en-ZA"/>
        </w:rPr>
        <w:t>]</w:t>
      </w:r>
    </w:p>
    <w:p w:rsidR="00F30AFA" w:rsidRPr="00113274" w:rsidRDefault="00F30AFA" w:rsidP="00113274">
      <w:pPr>
        <w:spacing w:after="0" w:line="360" w:lineRule="auto"/>
        <w:jc w:val="both"/>
        <w:rPr>
          <w:rFonts w:ascii="Arial" w:hAnsi="Arial" w:cs="Arial"/>
          <w:lang w:val="en-ZA"/>
        </w:rPr>
      </w:pPr>
    </w:p>
    <w:p w:rsidR="00F30AFA" w:rsidRPr="00113274" w:rsidRDefault="00F30AFA" w:rsidP="00113274">
      <w:pPr>
        <w:spacing w:after="0" w:line="360" w:lineRule="auto"/>
        <w:jc w:val="both"/>
        <w:rPr>
          <w:rFonts w:ascii="Arial" w:hAnsi="Arial" w:cs="Arial"/>
          <w:b/>
          <w:lang w:val="en-ZA"/>
        </w:rPr>
      </w:pPr>
      <w:r w:rsidRPr="00113274">
        <w:rPr>
          <w:rFonts w:ascii="Arial" w:hAnsi="Arial" w:cs="Arial"/>
          <w:b/>
          <w:lang w:val="en-ZA"/>
        </w:rPr>
        <w:t>Introduction</w:t>
      </w:r>
    </w:p>
    <w:p w:rsidR="00F30AFA" w:rsidRPr="00113274" w:rsidRDefault="00F30AFA" w:rsidP="00113274">
      <w:pPr>
        <w:spacing w:after="0" w:line="360" w:lineRule="auto"/>
        <w:jc w:val="both"/>
        <w:rPr>
          <w:rFonts w:ascii="Arial" w:hAnsi="Arial" w:cs="Arial"/>
          <w:lang w:val="en-ZA"/>
        </w:rPr>
      </w:pPr>
      <w:r w:rsidRPr="00113274">
        <w:rPr>
          <w:rFonts w:ascii="Arial" w:hAnsi="Arial" w:cs="Arial"/>
          <w:lang w:val="en-ZA"/>
        </w:rPr>
        <w:t xml:space="preserve">The Portfolio Committee on Justice and Constitutional Development invited stakeholders and interested persons to make written submissions on the </w:t>
      </w:r>
      <w:r w:rsidR="00E42D6F" w:rsidRPr="00113274">
        <w:rPr>
          <w:rFonts w:ascii="Arial" w:hAnsi="Arial" w:cs="Arial"/>
          <w:lang w:val="en-ZA"/>
        </w:rPr>
        <w:t>Legal Practice</w:t>
      </w:r>
      <w:r w:rsidR="00E42D6F" w:rsidRPr="00113274">
        <w:rPr>
          <w:rFonts w:ascii="Arial" w:hAnsi="Arial" w:cs="Arial"/>
          <w:b/>
          <w:lang w:val="en-ZA"/>
        </w:rPr>
        <w:t xml:space="preserve"> </w:t>
      </w:r>
      <w:r w:rsidRPr="00113274">
        <w:rPr>
          <w:rFonts w:ascii="Arial" w:hAnsi="Arial" w:cs="Arial"/>
          <w:lang w:val="en-ZA"/>
        </w:rPr>
        <w:t>Bill [B</w:t>
      </w:r>
      <w:r w:rsidR="00DB1EB9" w:rsidRPr="00113274">
        <w:rPr>
          <w:rFonts w:ascii="Arial" w:hAnsi="Arial" w:cs="Arial"/>
          <w:lang w:val="en-ZA"/>
        </w:rPr>
        <w:t xml:space="preserve"> 11</w:t>
      </w:r>
      <w:r w:rsidR="00E42D6F" w:rsidRPr="00113274">
        <w:rPr>
          <w:rFonts w:ascii="Arial" w:hAnsi="Arial" w:cs="Arial"/>
          <w:lang w:val="en-ZA"/>
        </w:rPr>
        <w:t xml:space="preserve"> - 201</w:t>
      </w:r>
      <w:r w:rsidR="00DB1EB9" w:rsidRPr="00113274">
        <w:rPr>
          <w:rFonts w:ascii="Arial" w:hAnsi="Arial" w:cs="Arial"/>
          <w:lang w:val="en-ZA"/>
        </w:rPr>
        <w:t>7</w:t>
      </w:r>
      <w:r w:rsidRPr="00113274">
        <w:rPr>
          <w:rFonts w:ascii="Arial" w:hAnsi="Arial" w:cs="Arial"/>
          <w:lang w:val="en-ZA"/>
        </w:rPr>
        <w:t xml:space="preserve">]. </w:t>
      </w:r>
      <w:r w:rsidR="0016620C" w:rsidRPr="00113274">
        <w:rPr>
          <w:rFonts w:ascii="Arial" w:hAnsi="Arial" w:cs="Arial"/>
          <w:lang w:val="en-ZA"/>
        </w:rPr>
        <w:t>7</w:t>
      </w:r>
      <w:r w:rsidR="00DB1EB9" w:rsidRPr="00113274">
        <w:rPr>
          <w:rFonts w:ascii="Arial" w:hAnsi="Arial" w:cs="Arial"/>
          <w:lang w:val="en-ZA"/>
        </w:rPr>
        <w:t xml:space="preserve"> </w:t>
      </w:r>
      <w:r w:rsidRPr="00113274">
        <w:rPr>
          <w:rFonts w:ascii="Arial" w:hAnsi="Arial" w:cs="Arial"/>
          <w:lang w:val="en-ZA"/>
        </w:rPr>
        <w:t>written submissions have been received.</w:t>
      </w:r>
    </w:p>
    <w:p w:rsidR="00135379" w:rsidRPr="00113274" w:rsidRDefault="00135379" w:rsidP="00113274">
      <w:pPr>
        <w:spacing w:after="0" w:line="360" w:lineRule="auto"/>
        <w:jc w:val="both"/>
        <w:rPr>
          <w:rFonts w:ascii="Arial" w:hAnsi="Arial" w:cs="Arial"/>
          <w:lang w:val="en-ZA"/>
        </w:rPr>
      </w:pPr>
    </w:p>
    <w:p w:rsidR="00F225D0" w:rsidRDefault="00F30AFA" w:rsidP="00F225D0">
      <w:pPr>
        <w:numPr>
          <w:ilvl w:val="0"/>
          <w:numId w:val="1"/>
        </w:numPr>
        <w:spacing w:after="0" w:line="360" w:lineRule="auto"/>
        <w:ind w:left="0"/>
        <w:jc w:val="both"/>
        <w:rPr>
          <w:rFonts w:ascii="Arial" w:hAnsi="Arial" w:cs="Arial"/>
          <w:lang w:val="en-ZA"/>
        </w:rPr>
      </w:pPr>
      <w:r w:rsidRPr="00F225D0">
        <w:rPr>
          <w:rFonts w:ascii="Arial" w:hAnsi="Arial" w:cs="Arial"/>
          <w:lang w:val="en-ZA"/>
        </w:rPr>
        <w:t>Table 1 provides a clause by clause summary of the submissions</w:t>
      </w:r>
      <w:r w:rsidR="00F225D0" w:rsidRPr="00F225D0">
        <w:rPr>
          <w:rFonts w:ascii="Arial" w:hAnsi="Arial" w:cs="Arial"/>
          <w:lang w:val="en-ZA"/>
        </w:rPr>
        <w:t xml:space="preserve"> and general comments</w:t>
      </w:r>
      <w:r w:rsidR="00E42D6F" w:rsidRPr="00F225D0">
        <w:rPr>
          <w:rFonts w:ascii="Arial" w:hAnsi="Arial" w:cs="Arial"/>
          <w:lang w:val="en-ZA"/>
        </w:rPr>
        <w:t>.</w:t>
      </w:r>
    </w:p>
    <w:p w:rsidR="002D1F5B" w:rsidRPr="00F225D0" w:rsidRDefault="002D1F5B" w:rsidP="002D1F5B">
      <w:pPr>
        <w:spacing w:after="0" w:line="360" w:lineRule="auto"/>
        <w:jc w:val="both"/>
        <w:rPr>
          <w:rFonts w:ascii="Arial" w:hAnsi="Arial" w:cs="Arial"/>
          <w:lang w:val="en-ZA"/>
        </w:rPr>
      </w:pPr>
    </w:p>
    <w:p w:rsidR="00342A99" w:rsidRPr="00113274" w:rsidRDefault="00342A99" w:rsidP="002D1F5B">
      <w:pPr>
        <w:tabs>
          <w:tab w:val="left" w:pos="8853"/>
        </w:tabs>
        <w:spacing w:after="0" w:line="360" w:lineRule="auto"/>
        <w:rPr>
          <w:rFonts w:ascii="Arial" w:hAnsi="Arial" w:cs="Arial"/>
          <w:b/>
          <w:bCs/>
          <w:lang w:val="en-ZA"/>
        </w:rPr>
      </w:pPr>
      <w:r w:rsidRPr="00113274">
        <w:rPr>
          <w:rFonts w:ascii="Arial" w:hAnsi="Arial" w:cs="Arial"/>
          <w:b/>
          <w:bCs/>
          <w:lang w:val="en-ZA"/>
        </w:rPr>
        <w:t>List of commentators:</w:t>
      </w:r>
      <w:r w:rsidR="002D1F5B">
        <w:rPr>
          <w:rFonts w:ascii="Arial" w:hAnsi="Arial" w:cs="Arial"/>
          <w:b/>
          <w:bCs/>
          <w:lang w:val="en-ZA"/>
        </w:rPr>
        <w:tab/>
      </w:r>
    </w:p>
    <w:p w:rsidR="00342A99" w:rsidRPr="00113274" w:rsidRDefault="00342A99" w:rsidP="00113274">
      <w:pPr>
        <w:spacing w:after="0" w:line="360" w:lineRule="auto"/>
        <w:rPr>
          <w:rFonts w:ascii="Arial" w:hAnsi="Arial" w:cs="Arial"/>
          <w:bCs/>
          <w:lang w:val="en-ZA"/>
        </w:rPr>
      </w:pPr>
      <w:r w:rsidRPr="00113274">
        <w:rPr>
          <w:rFonts w:ascii="Arial" w:hAnsi="Arial" w:cs="Arial"/>
        </w:rPr>
        <w:t>Commission for Gender Equality</w:t>
      </w:r>
    </w:p>
    <w:p w:rsidR="00342A99" w:rsidRPr="00113274" w:rsidRDefault="00342A99" w:rsidP="00113274">
      <w:pPr>
        <w:spacing w:after="0" w:line="360" w:lineRule="auto"/>
        <w:rPr>
          <w:rFonts w:ascii="Arial" w:hAnsi="Arial" w:cs="Arial"/>
        </w:rPr>
      </w:pPr>
      <w:r w:rsidRPr="00113274">
        <w:rPr>
          <w:rFonts w:ascii="Arial" w:hAnsi="Arial" w:cs="Arial"/>
        </w:rPr>
        <w:t xml:space="preserve">Adv A </w:t>
      </w:r>
      <w:proofErr w:type="spellStart"/>
      <w:r w:rsidRPr="00113274">
        <w:rPr>
          <w:rFonts w:ascii="Arial" w:hAnsi="Arial" w:cs="Arial"/>
        </w:rPr>
        <w:t>Reinecke</w:t>
      </w:r>
      <w:proofErr w:type="spellEnd"/>
    </w:p>
    <w:p w:rsidR="00342A99" w:rsidRPr="00113274" w:rsidRDefault="00342A99" w:rsidP="00113274">
      <w:pPr>
        <w:spacing w:after="0" w:line="360" w:lineRule="auto"/>
        <w:rPr>
          <w:rFonts w:ascii="Arial" w:hAnsi="Arial" w:cs="Arial"/>
        </w:rPr>
      </w:pPr>
      <w:r w:rsidRPr="00113274">
        <w:rPr>
          <w:rFonts w:ascii="Arial" w:hAnsi="Arial" w:cs="Arial"/>
        </w:rPr>
        <w:t>Adv H Horn</w:t>
      </w:r>
    </w:p>
    <w:p w:rsidR="00342A99" w:rsidRPr="00113274" w:rsidRDefault="00342A99" w:rsidP="00113274">
      <w:pPr>
        <w:spacing w:after="0" w:line="360" w:lineRule="auto"/>
        <w:rPr>
          <w:rFonts w:ascii="Arial" w:hAnsi="Arial" w:cs="Arial"/>
        </w:rPr>
      </w:pPr>
      <w:r w:rsidRPr="00113274">
        <w:rPr>
          <w:rFonts w:ascii="Arial" w:hAnsi="Arial" w:cs="Arial"/>
        </w:rPr>
        <w:t>National Bar Council of South Africa</w:t>
      </w:r>
    </w:p>
    <w:p w:rsidR="00D01153" w:rsidRPr="00113274" w:rsidRDefault="00342A99" w:rsidP="00113274">
      <w:pPr>
        <w:spacing w:after="0" w:line="360" w:lineRule="auto"/>
        <w:rPr>
          <w:rFonts w:ascii="Arial" w:hAnsi="Arial" w:cs="Arial"/>
        </w:rPr>
      </w:pPr>
      <w:r w:rsidRPr="00113274">
        <w:rPr>
          <w:rFonts w:ascii="Arial" w:hAnsi="Arial" w:cs="Arial"/>
        </w:rPr>
        <w:t>National Forum on the Legal Profession</w:t>
      </w:r>
    </w:p>
    <w:p w:rsidR="006B64A7" w:rsidRPr="00113274" w:rsidRDefault="00D01153" w:rsidP="00113274">
      <w:pPr>
        <w:spacing w:after="0" w:line="360" w:lineRule="auto"/>
        <w:rPr>
          <w:rFonts w:ascii="Arial" w:hAnsi="Arial" w:cs="Arial"/>
          <w:lang w:val="en-ZA"/>
        </w:rPr>
      </w:pPr>
      <w:proofErr w:type="spellStart"/>
      <w:r w:rsidRPr="00113274">
        <w:rPr>
          <w:rFonts w:ascii="Arial" w:hAnsi="Arial" w:cs="Arial"/>
          <w:lang w:val="en-ZA"/>
        </w:rPr>
        <w:t>Gatsheni</w:t>
      </w:r>
      <w:proofErr w:type="spellEnd"/>
      <w:r w:rsidRPr="00113274">
        <w:rPr>
          <w:rFonts w:ascii="Arial" w:hAnsi="Arial" w:cs="Arial"/>
          <w:lang w:val="en-ZA"/>
        </w:rPr>
        <w:t xml:space="preserve"> Advisory</w:t>
      </w:r>
    </w:p>
    <w:p w:rsidR="00342A99" w:rsidRDefault="006B64A7" w:rsidP="00113274">
      <w:pPr>
        <w:spacing w:after="0" w:line="360" w:lineRule="auto"/>
        <w:rPr>
          <w:rFonts w:ascii="Arial" w:eastAsia="Calibri" w:hAnsi="Arial" w:cs="Arial"/>
        </w:rPr>
      </w:pPr>
      <w:r w:rsidRPr="00113274">
        <w:rPr>
          <w:rFonts w:ascii="Arial" w:eastAsia="Calibri" w:hAnsi="Arial" w:cs="Arial"/>
        </w:rPr>
        <w:t xml:space="preserve">Adv A C </w:t>
      </w:r>
      <w:proofErr w:type="spellStart"/>
      <w:r w:rsidRPr="00113274">
        <w:rPr>
          <w:rFonts w:ascii="Arial" w:eastAsia="Calibri" w:hAnsi="Arial" w:cs="Arial"/>
        </w:rPr>
        <w:t>Paries</w:t>
      </w:r>
      <w:proofErr w:type="spellEnd"/>
      <w:r w:rsidRPr="00113274">
        <w:rPr>
          <w:rFonts w:ascii="Arial" w:eastAsia="Calibri" w:hAnsi="Arial" w:cs="Arial"/>
        </w:rPr>
        <w:t xml:space="preserve">  </w:t>
      </w:r>
    </w:p>
    <w:p w:rsidR="002A0AB9" w:rsidRDefault="002A0AB9" w:rsidP="00113274">
      <w:pPr>
        <w:spacing w:after="0" w:line="360" w:lineRule="auto"/>
        <w:rPr>
          <w:rFonts w:ascii="Arial" w:eastAsia="Calibri" w:hAnsi="Arial" w:cs="Arial"/>
        </w:rPr>
      </w:pPr>
      <w:r>
        <w:rPr>
          <w:rFonts w:ascii="Arial" w:eastAsia="Calibri" w:hAnsi="Arial" w:cs="Arial"/>
        </w:rPr>
        <w:t xml:space="preserve">The Banking Association of South Africa </w:t>
      </w:r>
    </w:p>
    <w:p w:rsidR="008D729D" w:rsidRDefault="008D729D" w:rsidP="00113274">
      <w:pPr>
        <w:spacing w:after="0" w:line="360" w:lineRule="auto"/>
        <w:rPr>
          <w:rFonts w:ascii="Arial" w:eastAsia="Calibri" w:hAnsi="Arial" w:cs="Arial"/>
        </w:rPr>
      </w:pPr>
      <w:r>
        <w:rPr>
          <w:rFonts w:ascii="Arial" w:eastAsia="Calibri" w:hAnsi="Arial" w:cs="Arial"/>
        </w:rPr>
        <w:t>Paralegal Association of South Africa</w:t>
      </w:r>
    </w:p>
    <w:p w:rsidR="008D729D" w:rsidRDefault="008D729D" w:rsidP="00113274">
      <w:pPr>
        <w:spacing w:after="0" w:line="360" w:lineRule="auto"/>
        <w:rPr>
          <w:rFonts w:ascii="Arial" w:eastAsia="Calibri" w:hAnsi="Arial" w:cs="Arial"/>
        </w:rPr>
      </w:pPr>
      <w:r>
        <w:rPr>
          <w:rFonts w:ascii="Arial" w:eastAsia="Calibri" w:hAnsi="Arial" w:cs="Arial"/>
        </w:rPr>
        <w:t>Attorneys Fidelity Fund</w:t>
      </w:r>
    </w:p>
    <w:p w:rsidR="008D729D" w:rsidRDefault="008D729D" w:rsidP="00113274">
      <w:pPr>
        <w:spacing w:after="0" w:line="360" w:lineRule="auto"/>
        <w:rPr>
          <w:rFonts w:ascii="Arial" w:eastAsia="Calibri" w:hAnsi="Arial" w:cs="Arial"/>
        </w:rPr>
      </w:pPr>
      <w:r>
        <w:rPr>
          <w:rFonts w:ascii="Arial" w:eastAsia="Calibri" w:hAnsi="Arial" w:cs="Arial"/>
        </w:rPr>
        <w:t>Human Rights Commission</w:t>
      </w:r>
    </w:p>
    <w:p w:rsidR="008D729D" w:rsidRDefault="008D729D" w:rsidP="00113274">
      <w:pPr>
        <w:spacing w:after="0" w:line="360" w:lineRule="auto"/>
        <w:rPr>
          <w:rFonts w:ascii="Arial" w:eastAsia="Calibri" w:hAnsi="Arial" w:cs="Arial"/>
        </w:rPr>
      </w:pPr>
      <w:proofErr w:type="spellStart"/>
      <w:r>
        <w:rPr>
          <w:rFonts w:ascii="Arial" w:eastAsia="Calibri" w:hAnsi="Arial" w:cs="Arial"/>
        </w:rPr>
        <w:t>ClearLaw</w:t>
      </w:r>
      <w:proofErr w:type="spellEnd"/>
      <w:r>
        <w:rPr>
          <w:rFonts w:ascii="Arial" w:eastAsia="Calibri" w:hAnsi="Arial" w:cs="Arial"/>
        </w:rPr>
        <w:t xml:space="preserve"> SA</w:t>
      </w:r>
    </w:p>
    <w:p w:rsidR="002A0AB9" w:rsidRDefault="008D729D" w:rsidP="008D729D">
      <w:pPr>
        <w:spacing w:after="0" w:line="360" w:lineRule="auto"/>
        <w:rPr>
          <w:rFonts w:ascii="Arial" w:hAnsi="Arial" w:cs="Arial"/>
          <w:lang w:val="en-ZA"/>
        </w:rPr>
      </w:pPr>
      <w:r>
        <w:rPr>
          <w:rFonts w:ascii="Arial" w:eastAsia="Calibri" w:hAnsi="Arial" w:cs="Arial"/>
        </w:rPr>
        <w:t xml:space="preserve">Mr </w:t>
      </w:r>
      <w:proofErr w:type="spellStart"/>
      <w:r>
        <w:rPr>
          <w:rFonts w:ascii="Arial" w:eastAsia="Calibri" w:hAnsi="Arial" w:cs="Arial"/>
        </w:rPr>
        <w:t>Nemusimbori</w:t>
      </w:r>
      <w:proofErr w:type="spellEnd"/>
      <w:r>
        <w:rPr>
          <w:rFonts w:ascii="Arial" w:eastAsia="Calibri" w:hAnsi="Arial" w:cs="Arial"/>
        </w:rPr>
        <w:t xml:space="preserve"> and Adv </w:t>
      </w:r>
      <w:proofErr w:type="spellStart"/>
      <w:r>
        <w:rPr>
          <w:rFonts w:ascii="Arial" w:eastAsia="Calibri" w:hAnsi="Arial" w:cs="Arial"/>
        </w:rPr>
        <w:t>Mokhine</w:t>
      </w:r>
      <w:proofErr w:type="spellEnd"/>
      <w:r w:rsidR="002A0AB9">
        <w:rPr>
          <w:rFonts w:ascii="Arial" w:hAnsi="Arial" w:cs="Arial"/>
          <w:lang w:val="en-ZA"/>
        </w:rPr>
        <w:br w:type="page"/>
      </w:r>
    </w:p>
    <w:p w:rsidR="00B75D85" w:rsidRPr="00113274" w:rsidRDefault="00B75D85" w:rsidP="00113274">
      <w:pPr>
        <w:spacing w:after="0" w:line="360" w:lineRule="auto"/>
        <w:rPr>
          <w:rFonts w:ascii="Arial" w:hAnsi="Arial" w:cs="Arial"/>
          <w:lang w:val="en-ZA"/>
        </w:rPr>
      </w:pPr>
    </w:p>
    <w:p w:rsidR="00F30AFA" w:rsidRPr="00133EC7" w:rsidRDefault="00E42D6F" w:rsidP="00113274">
      <w:pPr>
        <w:spacing w:after="0" w:line="360" w:lineRule="auto"/>
        <w:jc w:val="center"/>
        <w:rPr>
          <w:rFonts w:ascii="Arial" w:hAnsi="Arial" w:cs="Arial"/>
          <w:b/>
          <w:sz w:val="28"/>
          <w:szCs w:val="28"/>
          <w:lang w:val="en-GB"/>
        </w:rPr>
      </w:pPr>
      <w:r w:rsidRPr="00133EC7">
        <w:rPr>
          <w:rFonts w:ascii="Arial" w:hAnsi="Arial" w:cs="Arial"/>
          <w:b/>
          <w:sz w:val="28"/>
          <w:szCs w:val="28"/>
          <w:lang w:val="en-GB"/>
        </w:rPr>
        <w:t>TABLE 1</w:t>
      </w:r>
    </w:p>
    <w:p w:rsidR="00F30AFA" w:rsidRPr="00133EC7" w:rsidRDefault="0016620C" w:rsidP="00113274">
      <w:pPr>
        <w:spacing w:after="0" w:line="360" w:lineRule="auto"/>
        <w:jc w:val="center"/>
        <w:rPr>
          <w:rFonts w:ascii="Arial" w:hAnsi="Arial" w:cs="Arial"/>
          <w:b/>
          <w:sz w:val="28"/>
          <w:szCs w:val="28"/>
          <w:lang w:val="en-GB"/>
        </w:rPr>
      </w:pPr>
      <w:r w:rsidRPr="00133EC7">
        <w:rPr>
          <w:rFonts w:ascii="Arial" w:hAnsi="Arial" w:cs="Arial"/>
          <w:b/>
          <w:sz w:val="28"/>
          <w:szCs w:val="28"/>
          <w:lang w:val="en-GB"/>
        </w:rPr>
        <w:t>SUBMISSIONS/RECOMMENDATIONS BY CLAUSE</w:t>
      </w:r>
    </w:p>
    <w:p w:rsidR="00080B6A" w:rsidRPr="00113274" w:rsidRDefault="00080B6A" w:rsidP="00113274">
      <w:pPr>
        <w:spacing w:after="0" w:line="360" w:lineRule="auto"/>
        <w:jc w:val="both"/>
        <w:rPr>
          <w:rFonts w:ascii="Arial" w:hAnsi="Arial" w:cs="Arial"/>
        </w:rPr>
      </w:pPr>
    </w:p>
    <w:tbl>
      <w:tblPr>
        <w:tblStyle w:val="TableGrid"/>
        <w:tblW w:w="5000" w:type="pct"/>
        <w:tblCellMar>
          <w:left w:w="115" w:type="dxa"/>
          <w:right w:w="115" w:type="dxa"/>
        </w:tblCellMar>
        <w:tblLook w:val="04A0"/>
      </w:tblPr>
      <w:tblGrid>
        <w:gridCol w:w="1294"/>
        <w:gridCol w:w="1526"/>
        <w:gridCol w:w="2592"/>
        <w:gridCol w:w="7778"/>
      </w:tblGrid>
      <w:tr w:rsidR="00176469" w:rsidRPr="003B3B20" w:rsidTr="00345DCD">
        <w:trPr>
          <w:tblHeader/>
        </w:trPr>
        <w:tc>
          <w:tcPr>
            <w:tcW w:w="430" w:type="pct"/>
          </w:tcPr>
          <w:p w:rsidR="00E42D6F" w:rsidRPr="001646F1" w:rsidRDefault="00E42D6F" w:rsidP="001646F1">
            <w:pPr>
              <w:jc w:val="center"/>
              <w:rPr>
                <w:rFonts w:ascii="Arial" w:hAnsi="Arial" w:cs="Arial"/>
                <w:b/>
              </w:rPr>
            </w:pPr>
            <w:r w:rsidRPr="001646F1">
              <w:rPr>
                <w:rFonts w:ascii="Arial" w:hAnsi="Arial" w:cs="Arial"/>
                <w:b/>
              </w:rPr>
              <w:t>Clause</w:t>
            </w:r>
          </w:p>
        </w:tc>
        <w:tc>
          <w:tcPr>
            <w:tcW w:w="546" w:type="pct"/>
          </w:tcPr>
          <w:p w:rsidR="00E42D6F" w:rsidRPr="001646F1" w:rsidRDefault="00E42D6F" w:rsidP="001646F1">
            <w:pPr>
              <w:jc w:val="center"/>
              <w:rPr>
                <w:rFonts w:ascii="Arial" w:hAnsi="Arial" w:cs="Arial"/>
                <w:b/>
              </w:rPr>
            </w:pPr>
            <w:r w:rsidRPr="001646F1">
              <w:rPr>
                <w:rFonts w:ascii="Arial" w:hAnsi="Arial" w:cs="Arial"/>
                <w:b/>
              </w:rPr>
              <w:t>Name</w:t>
            </w:r>
          </w:p>
        </w:tc>
        <w:tc>
          <w:tcPr>
            <w:tcW w:w="1029" w:type="pct"/>
          </w:tcPr>
          <w:p w:rsidR="00E42D6F" w:rsidRPr="001646F1" w:rsidRDefault="00E42D6F" w:rsidP="001646F1">
            <w:pPr>
              <w:jc w:val="center"/>
              <w:rPr>
                <w:rFonts w:ascii="Arial" w:hAnsi="Arial" w:cs="Arial"/>
                <w:b/>
              </w:rPr>
            </w:pPr>
            <w:r w:rsidRPr="001646F1">
              <w:rPr>
                <w:rFonts w:ascii="Arial" w:hAnsi="Arial" w:cs="Arial"/>
                <w:b/>
              </w:rPr>
              <w:t>Submission / Recommendation</w:t>
            </w:r>
          </w:p>
        </w:tc>
        <w:tc>
          <w:tcPr>
            <w:tcW w:w="2995" w:type="pct"/>
          </w:tcPr>
          <w:p w:rsidR="00E42D6F" w:rsidRPr="001646F1" w:rsidRDefault="000164EC" w:rsidP="001646F1">
            <w:pPr>
              <w:jc w:val="center"/>
              <w:rPr>
                <w:rFonts w:ascii="Arial" w:hAnsi="Arial" w:cs="Arial"/>
                <w:b/>
              </w:rPr>
            </w:pPr>
            <w:r>
              <w:rPr>
                <w:rFonts w:ascii="Arial" w:hAnsi="Arial" w:cs="Arial"/>
                <w:b/>
              </w:rPr>
              <w:t>DOJCD Respons</w:t>
            </w:r>
            <w:r w:rsidR="001646F1">
              <w:rPr>
                <w:rFonts w:ascii="Arial" w:hAnsi="Arial" w:cs="Arial"/>
                <w:b/>
              </w:rPr>
              <w:t>e</w:t>
            </w:r>
          </w:p>
        </w:tc>
      </w:tr>
      <w:tr w:rsidR="00176469" w:rsidRPr="003B3B20" w:rsidTr="00345DCD">
        <w:tc>
          <w:tcPr>
            <w:tcW w:w="430" w:type="pct"/>
          </w:tcPr>
          <w:p w:rsidR="007D09A2" w:rsidRPr="00113274" w:rsidRDefault="009852CD" w:rsidP="00113274">
            <w:pPr>
              <w:rPr>
                <w:rFonts w:ascii="Arial" w:hAnsi="Arial" w:cs="Arial"/>
              </w:rPr>
            </w:pPr>
            <w:r w:rsidRPr="00113274">
              <w:rPr>
                <w:rFonts w:ascii="Arial" w:hAnsi="Arial" w:cs="Arial"/>
              </w:rPr>
              <w:t>1</w:t>
            </w:r>
          </w:p>
        </w:tc>
        <w:tc>
          <w:tcPr>
            <w:tcW w:w="546" w:type="pct"/>
          </w:tcPr>
          <w:p w:rsidR="007D09A2" w:rsidRPr="00113274" w:rsidRDefault="009852CD" w:rsidP="00113274">
            <w:pPr>
              <w:rPr>
                <w:rFonts w:ascii="Arial" w:hAnsi="Arial" w:cs="Arial"/>
              </w:rPr>
            </w:pPr>
            <w:r w:rsidRPr="00113274">
              <w:rPr>
                <w:rFonts w:ascii="Arial" w:eastAsia="Calibri" w:hAnsi="Arial" w:cs="Arial"/>
              </w:rPr>
              <w:t xml:space="preserve">Adv A </w:t>
            </w:r>
            <w:proofErr w:type="spellStart"/>
            <w:r w:rsidRPr="00113274">
              <w:rPr>
                <w:rFonts w:ascii="Arial" w:eastAsia="Calibri" w:hAnsi="Arial" w:cs="Arial"/>
              </w:rPr>
              <w:t>Reinecke</w:t>
            </w:r>
            <w:proofErr w:type="spellEnd"/>
          </w:p>
        </w:tc>
        <w:tc>
          <w:tcPr>
            <w:tcW w:w="1029" w:type="pct"/>
          </w:tcPr>
          <w:p w:rsidR="00682703" w:rsidRPr="00113274" w:rsidRDefault="009852CD" w:rsidP="000164EC">
            <w:pPr>
              <w:rPr>
                <w:rFonts w:ascii="Arial" w:hAnsi="Arial" w:cs="Arial"/>
              </w:rPr>
            </w:pPr>
            <w:r w:rsidRPr="00113274">
              <w:rPr>
                <w:rFonts w:ascii="Arial" w:hAnsi="Arial" w:cs="Arial"/>
              </w:rPr>
              <w:t>This amendment</w:t>
            </w:r>
            <w:r w:rsidR="001646F1">
              <w:rPr>
                <w:rFonts w:ascii="Arial" w:hAnsi="Arial" w:cs="Arial"/>
              </w:rPr>
              <w:t xml:space="preserve"> gives the Legal Practice Council the power to establish, promote and administer</w:t>
            </w:r>
            <w:r w:rsidRPr="00113274">
              <w:rPr>
                <w:rFonts w:ascii="Arial" w:hAnsi="Arial" w:cs="Arial"/>
              </w:rPr>
              <w:t xml:space="preserve"> </w:t>
            </w:r>
            <w:r w:rsidR="001646F1">
              <w:rPr>
                <w:rFonts w:ascii="Arial" w:hAnsi="Arial" w:cs="Arial"/>
              </w:rPr>
              <w:t xml:space="preserve">insurance schemes and medical aid schemes for legal practitioners, former legal practitioners and employees and officials of the Council.  Adv </w:t>
            </w:r>
            <w:proofErr w:type="spellStart"/>
            <w:r w:rsidR="001646F1">
              <w:rPr>
                <w:rFonts w:ascii="Arial" w:hAnsi="Arial" w:cs="Arial"/>
              </w:rPr>
              <w:t>Reinecke</w:t>
            </w:r>
            <w:proofErr w:type="spellEnd"/>
            <w:r w:rsidR="001646F1">
              <w:rPr>
                <w:rFonts w:ascii="Arial" w:hAnsi="Arial" w:cs="Arial"/>
              </w:rPr>
              <w:t xml:space="preserve"> argues that the Council should only be able to do so in respect of </w:t>
            </w:r>
            <w:r w:rsidRPr="00113274">
              <w:rPr>
                <w:rFonts w:ascii="Arial" w:hAnsi="Arial" w:cs="Arial"/>
              </w:rPr>
              <w:t>officia</w:t>
            </w:r>
            <w:r w:rsidR="000164EC">
              <w:rPr>
                <w:rFonts w:ascii="Arial" w:hAnsi="Arial" w:cs="Arial"/>
              </w:rPr>
              <w:t xml:space="preserve">ls and employees of the Council and these schemes should not be made available for legal practitioners.  </w:t>
            </w:r>
            <w:r w:rsidR="00682703" w:rsidRPr="00113274">
              <w:rPr>
                <w:rFonts w:ascii="Arial" w:hAnsi="Arial" w:cs="Arial"/>
              </w:rPr>
              <w:t xml:space="preserve">Adv </w:t>
            </w:r>
            <w:proofErr w:type="spellStart"/>
            <w:r w:rsidR="00682703" w:rsidRPr="00113274">
              <w:rPr>
                <w:rFonts w:ascii="Arial" w:hAnsi="Arial" w:cs="Arial"/>
              </w:rPr>
              <w:t>Reinecke</w:t>
            </w:r>
            <w:proofErr w:type="spellEnd"/>
            <w:r w:rsidR="00682703" w:rsidRPr="00113274">
              <w:rPr>
                <w:rFonts w:ascii="Arial" w:hAnsi="Arial" w:cs="Arial"/>
              </w:rPr>
              <w:t xml:space="preserve"> states that it will jeopardize the independence of the legal system and </w:t>
            </w:r>
            <w:proofErr w:type="gramStart"/>
            <w:r w:rsidR="00682703" w:rsidRPr="00113274">
              <w:rPr>
                <w:rFonts w:ascii="Arial" w:hAnsi="Arial" w:cs="Arial"/>
              </w:rPr>
              <w:t>Council,</w:t>
            </w:r>
            <w:proofErr w:type="gramEnd"/>
            <w:r w:rsidR="00682703" w:rsidRPr="00113274">
              <w:rPr>
                <w:rFonts w:ascii="Arial" w:hAnsi="Arial" w:cs="Arial"/>
              </w:rPr>
              <w:t xml:space="preserve"> create a </w:t>
            </w:r>
            <w:r w:rsidR="00682703" w:rsidRPr="00113274">
              <w:rPr>
                <w:rFonts w:ascii="Arial" w:hAnsi="Arial" w:cs="Arial"/>
              </w:rPr>
              <w:lastRenderedPageBreak/>
              <w:t>financial burden and conflict with Road Accident Fund disputes.</w:t>
            </w:r>
          </w:p>
        </w:tc>
        <w:tc>
          <w:tcPr>
            <w:tcW w:w="2995" w:type="pct"/>
          </w:tcPr>
          <w:p w:rsidR="009852CD" w:rsidRPr="00113274" w:rsidRDefault="00854D69" w:rsidP="000164EC">
            <w:pPr>
              <w:rPr>
                <w:rFonts w:ascii="Arial" w:hAnsi="Arial" w:cs="Arial"/>
                <w:b/>
              </w:rPr>
            </w:pPr>
            <w:r w:rsidRPr="00113274">
              <w:rPr>
                <w:rFonts w:ascii="Arial" w:hAnsi="Arial" w:cs="Arial"/>
              </w:rPr>
              <w:lastRenderedPageBreak/>
              <w:t>The Department does not agree.</w:t>
            </w:r>
            <w:r w:rsidR="000164EC">
              <w:rPr>
                <w:rFonts w:ascii="Arial" w:hAnsi="Arial" w:cs="Arial"/>
              </w:rPr>
              <w:t xml:space="preserve"> </w:t>
            </w:r>
            <w:r w:rsidR="00E33966" w:rsidRPr="00113274">
              <w:rPr>
                <w:rFonts w:ascii="Arial" w:hAnsi="Arial" w:cs="Arial"/>
              </w:rPr>
              <w:t xml:space="preserve">Currently section 59(h) of the Attorneys Act, 1979, gives these benefits to </w:t>
            </w:r>
            <w:r w:rsidR="000164EC">
              <w:rPr>
                <w:rFonts w:ascii="Arial" w:hAnsi="Arial" w:cs="Arial"/>
              </w:rPr>
              <w:t>legal</w:t>
            </w:r>
            <w:r w:rsidR="00E33966" w:rsidRPr="00113274">
              <w:rPr>
                <w:rFonts w:ascii="Arial" w:hAnsi="Arial" w:cs="Arial"/>
              </w:rPr>
              <w:t xml:space="preserve"> practitioners too.</w:t>
            </w:r>
            <w:r w:rsidR="000164EC">
              <w:rPr>
                <w:rFonts w:ascii="Arial" w:hAnsi="Arial" w:cs="Arial"/>
              </w:rPr>
              <w:t xml:space="preserve">  </w:t>
            </w:r>
            <w:r w:rsidR="00682703" w:rsidRPr="00113274">
              <w:rPr>
                <w:rFonts w:ascii="Arial" w:hAnsi="Arial" w:cs="Arial"/>
              </w:rPr>
              <w:t xml:space="preserve">Adv </w:t>
            </w:r>
            <w:proofErr w:type="spellStart"/>
            <w:r w:rsidR="00682703" w:rsidRPr="00113274">
              <w:rPr>
                <w:rFonts w:ascii="Arial" w:hAnsi="Arial" w:cs="Arial"/>
              </w:rPr>
              <w:t>Reinecke</w:t>
            </w:r>
            <w:proofErr w:type="spellEnd"/>
            <w:r w:rsidR="00682703" w:rsidRPr="00113274">
              <w:rPr>
                <w:rFonts w:ascii="Arial" w:hAnsi="Arial" w:cs="Arial"/>
              </w:rPr>
              <w:t xml:space="preserve"> does not elaborate on her views </w:t>
            </w:r>
            <w:r w:rsidR="000164EC">
              <w:rPr>
                <w:rFonts w:ascii="Arial" w:hAnsi="Arial" w:cs="Arial"/>
              </w:rPr>
              <w:t>in this regard</w:t>
            </w:r>
            <w:r w:rsidR="00A03404" w:rsidRPr="00113274">
              <w:rPr>
                <w:rFonts w:ascii="Arial" w:hAnsi="Arial" w:cs="Arial"/>
              </w:rPr>
              <w:t>.</w:t>
            </w:r>
            <w:r w:rsidR="009852CD" w:rsidRPr="00113274">
              <w:rPr>
                <w:rFonts w:ascii="Arial" w:hAnsi="Arial" w:cs="Arial"/>
                <w:b/>
              </w:rPr>
              <w:t xml:space="preserve"> </w:t>
            </w:r>
          </w:p>
        </w:tc>
      </w:tr>
      <w:tr w:rsidR="00785CFD" w:rsidRPr="003B3B20" w:rsidTr="00345DCD">
        <w:tc>
          <w:tcPr>
            <w:tcW w:w="430" w:type="pct"/>
          </w:tcPr>
          <w:p w:rsidR="00785CFD" w:rsidRPr="00113274" w:rsidRDefault="002D1F5B" w:rsidP="00113274">
            <w:pPr>
              <w:rPr>
                <w:rFonts w:ascii="Arial" w:hAnsi="Arial" w:cs="Arial"/>
              </w:rPr>
            </w:pPr>
            <w:r>
              <w:rPr>
                <w:rFonts w:ascii="Arial" w:hAnsi="Arial" w:cs="Arial"/>
              </w:rPr>
              <w:lastRenderedPageBreak/>
              <w:t>1</w:t>
            </w:r>
          </w:p>
        </w:tc>
        <w:tc>
          <w:tcPr>
            <w:tcW w:w="546" w:type="pct"/>
          </w:tcPr>
          <w:p w:rsidR="00785CFD" w:rsidRPr="00113274" w:rsidRDefault="00785CFD" w:rsidP="00113274">
            <w:pPr>
              <w:rPr>
                <w:rFonts w:ascii="Arial" w:eastAsia="Calibri" w:hAnsi="Arial" w:cs="Arial"/>
              </w:rPr>
            </w:pPr>
            <w:r>
              <w:rPr>
                <w:rFonts w:ascii="Arial" w:eastAsia="Calibri" w:hAnsi="Arial" w:cs="Arial"/>
              </w:rPr>
              <w:t>National Bar Council of South Africa</w:t>
            </w:r>
          </w:p>
        </w:tc>
        <w:tc>
          <w:tcPr>
            <w:tcW w:w="1029" w:type="pct"/>
          </w:tcPr>
          <w:p w:rsidR="00785CFD" w:rsidRPr="00113274" w:rsidRDefault="00785CFD" w:rsidP="000164EC">
            <w:pPr>
              <w:rPr>
                <w:rFonts w:ascii="Arial" w:hAnsi="Arial" w:cs="Arial"/>
              </w:rPr>
            </w:pPr>
            <w:r>
              <w:rPr>
                <w:rFonts w:ascii="Arial" w:hAnsi="Arial" w:cs="Arial"/>
              </w:rPr>
              <w:t>Supports clause 1.</w:t>
            </w:r>
          </w:p>
        </w:tc>
        <w:tc>
          <w:tcPr>
            <w:tcW w:w="2995" w:type="pct"/>
          </w:tcPr>
          <w:p w:rsidR="00785CFD" w:rsidRPr="00113274" w:rsidRDefault="00785CFD" w:rsidP="000164EC">
            <w:pPr>
              <w:rPr>
                <w:rFonts w:ascii="Arial" w:hAnsi="Arial" w:cs="Arial"/>
              </w:rPr>
            </w:pPr>
            <w:r>
              <w:rPr>
                <w:rFonts w:ascii="Arial" w:hAnsi="Arial" w:cs="Arial"/>
              </w:rPr>
              <w:t>Noted.</w:t>
            </w:r>
          </w:p>
        </w:tc>
      </w:tr>
      <w:tr w:rsidR="00176469" w:rsidRPr="003B3B20" w:rsidTr="00345DCD">
        <w:tc>
          <w:tcPr>
            <w:tcW w:w="430" w:type="pct"/>
          </w:tcPr>
          <w:p w:rsidR="004E78E7" w:rsidRPr="00113274" w:rsidRDefault="004E78E7" w:rsidP="00113274">
            <w:pPr>
              <w:rPr>
                <w:rFonts w:ascii="Arial" w:hAnsi="Arial" w:cs="Arial"/>
              </w:rPr>
            </w:pPr>
            <w:r w:rsidRPr="00113274">
              <w:rPr>
                <w:rFonts w:ascii="Arial" w:hAnsi="Arial" w:cs="Arial"/>
              </w:rPr>
              <w:t>2</w:t>
            </w:r>
          </w:p>
        </w:tc>
        <w:tc>
          <w:tcPr>
            <w:tcW w:w="546" w:type="pct"/>
          </w:tcPr>
          <w:p w:rsidR="004E78E7" w:rsidRPr="00113274" w:rsidRDefault="004E78E7" w:rsidP="00113274">
            <w:pPr>
              <w:rPr>
                <w:rFonts w:ascii="Arial" w:hAnsi="Arial" w:cs="Arial"/>
                <w:b/>
              </w:rPr>
            </w:pPr>
            <w:r w:rsidRPr="00113274">
              <w:rPr>
                <w:rFonts w:ascii="Arial" w:hAnsi="Arial" w:cs="Arial"/>
              </w:rPr>
              <w:t xml:space="preserve">Commission for Gender Equality </w:t>
            </w:r>
          </w:p>
        </w:tc>
        <w:tc>
          <w:tcPr>
            <w:tcW w:w="1029" w:type="pct"/>
          </w:tcPr>
          <w:p w:rsidR="00135379" w:rsidRPr="00113274" w:rsidRDefault="000A32EA" w:rsidP="00113274">
            <w:pPr>
              <w:rPr>
                <w:rFonts w:ascii="Arial" w:hAnsi="Arial" w:cs="Arial"/>
              </w:rPr>
            </w:pPr>
            <w:r>
              <w:rPr>
                <w:rFonts w:ascii="Arial" w:hAnsi="Arial" w:cs="Arial"/>
              </w:rPr>
              <w:t>Clause 2 amends section 23 of the Legal Act, 2014 (the Act) to provide that</w:t>
            </w:r>
            <w:r w:rsidR="00126C83">
              <w:rPr>
                <w:rFonts w:ascii="Arial" w:hAnsi="Arial" w:cs="Arial"/>
              </w:rPr>
              <w:t xml:space="preserve"> </w:t>
            </w:r>
            <w:r>
              <w:rPr>
                <w:rFonts w:ascii="Arial" w:hAnsi="Arial" w:cs="Arial"/>
              </w:rPr>
              <w:t>the Minister may, from time to time, prescribe</w:t>
            </w:r>
            <w:r w:rsidR="00126C83">
              <w:rPr>
                <w:rFonts w:ascii="Arial" w:hAnsi="Arial" w:cs="Arial"/>
              </w:rPr>
              <w:t xml:space="preserve"> the areas of jurisdiction of the Provincial Councils in consultation with the Council.  The GCE suggests that th</w:t>
            </w:r>
            <w:r w:rsidR="004E78E7" w:rsidRPr="00113274">
              <w:rPr>
                <w:rFonts w:ascii="Arial" w:hAnsi="Arial" w:cs="Arial"/>
              </w:rPr>
              <w:t xml:space="preserve">e jurisdiction of Provincial Councils </w:t>
            </w:r>
            <w:r w:rsidR="004E78E7" w:rsidRPr="00126C83">
              <w:rPr>
                <w:rFonts w:ascii="Arial" w:hAnsi="Arial" w:cs="Arial"/>
                <w:b/>
              </w:rPr>
              <w:t>must</w:t>
            </w:r>
            <w:r w:rsidR="004E78E7" w:rsidRPr="00113274">
              <w:rPr>
                <w:rFonts w:ascii="Arial" w:hAnsi="Arial" w:cs="Arial"/>
              </w:rPr>
              <w:t xml:space="preserve"> be reviewed regularly and changes must be effected which are necessary. </w:t>
            </w:r>
          </w:p>
          <w:p w:rsidR="00135379" w:rsidRPr="00113274" w:rsidRDefault="00135379" w:rsidP="00113274">
            <w:pPr>
              <w:rPr>
                <w:rFonts w:ascii="Arial" w:hAnsi="Arial" w:cs="Arial"/>
              </w:rPr>
            </w:pPr>
          </w:p>
          <w:p w:rsidR="00126C83" w:rsidRDefault="00126C83" w:rsidP="00126C83">
            <w:pPr>
              <w:rPr>
                <w:rFonts w:ascii="Arial" w:hAnsi="Arial" w:cs="Arial"/>
              </w:rPr>
            </w:pPr>
            <w:r>
              <w:rPr>
                <w:rFonts w:ascii="Arial" w:hAnsi="Arial" w:cs="Arial"/>
              </w:rPr>
              <w:t>It suggests the following provision:</w:t>
            </w:r>
          </w:p>
          <w:p w:rsidR="004E78E7" w:rsidRPr="00113274" w:rsidRDefault="00126C83" w:rsidP="00126C83">
            <w:pPr>
              <w:rPr>
                <w:rFonts w:ascii="Arial" w:hAnsi="Arial" w:cs="Arial"/>
                <w:b/>
              </w:rPr>
            </w:pPr>
            <w:r>
              <w:rPr>
                <w:rFonts w:ascii="Arial" w:hAnsi="Arial" w:cs="Arial"/>
                <w:u w:val="single"/>
              </w:rPr>
              <w:t>“</w:t>
            </w:r>
            <w:r w:rsidR="004E78E7" w:rsidRPr="00113274">
              <w:rPr>
                <w:rFonts w:ascii="Arial" w:hAnsi="Arial" w:cs="Arial"/>
                <w:u w:val="single"/>
              </w:rPr>
              <w:t xml:space="preserve">The Minister must review the areas of jurisdiction of Provincial Councils every five years and make any changes in their areas </w:t>
            </w:r>
            <w:r w:rsidR="004E78E7" w:rsidRPr="00113274">
              <w:rPr>
                <w:rFonts w:ascii="Arial" w:hAnsi="Arial" w:cs="Arial"/>
                <w:u w:val="single"/>
              </w:rPr>
              <w:lastRenderedPageBreak/>
              <w:t>of jurisdiction should this be necessary and expedient for the effective</w:t>
            </w:r>
            <w:r>
              <w:rPr>
                <w:rFonts w:ascii="Arial" w:hAnsi="Arial" w:cs="Arial"/>
                <w:u w:val="single"/>
              </w:rPr>
              <w:t>ness of any Provincial Council.”.</w:t>
            </w:r>
          </w:p>
        </w:tc>
        <w:tc>
          <w:tcPr>
            <w:tcW w:w="2995" w:type="pct"/>
          </w:tcPr>
          <w:p w:rsidR="00414F7E" w:rsidRPr="00113274" w:rsidRDefault="007819CA" w:rsidP="00113274">
            <w:pPr>
              <w:rPr>
                <w:rFonts w:ascii="Arial" w:hAnsi="Arial" w:cs="Arial"/>
              </w:rPr>
            </w:pPr>
            <w:r w:rsidRPr="00113274">
              <w:rPr>
                <w:rFonts w:ascii="Arial" w:hAnsi="Arial" w:cs="Arial"/>
              </w:rPr>
              <w:lastRenderedPageBreak/>
              <w:t>Section 97(1) of the Act provides that the National Forum must, within 24 months after the commencement of Chapter 10</w:t>
            </w:r>
            <w:r w:rsidR="00126C83">
              <w:rPr>
                <w:rFonts w:ascii="Arial" w:hAnsi="Arial" w:cs="Arial"/>
              </w:rPr>
              <w:t>,</w:t>
            </w:r>
            <w:r w:rsidRPr="00113274">
              <w:rPr>
                <w:rFonts w:ascii="Arial" w:hAnsi="Arial" w:cs="Arial"/>
              </w:rPr>
              <w:t xml:space="preserve"> make recommendations to the Minister on several matters, including the areas of jurisdiction of the Provincial Councils. </w:t>
            </w:r>
          </w:p>
          <w:p w:rsidR="00414F7E" w:rsidRPr="00113274" w:rsidRDefault="00414F7E" w:rsidP="00113274">
            <w:pPr>
              <w:rPr>
                <w:rFonts w:ascii="Arial" w:hAnsi="Arial" w:cs="Arial"/>
              </w:rPr>
            </w:pPr>
          </w:p>
          <w:p w:rsidR="00414F7E" w:rsidRPr="00113274" w:rsidRDefault="007819CA" w:rsidP="00113274">
            <w:pPr>
              <w:rPr>
                <w:rFonts w:ascii="Arial" w:hAnsi="Arial" w:cs="Arial"/>
              </w:rPr>
            </w:pPr>
            <w:r w:rsidRPr="00113274">
              <w:rPr>
                <w:rFonts w:ascii="Arial" w:hAnsi="Arial" w:cs="Arial"/>
              </w:rPr>
              <w:t>Section 23(2</w:t>
            </w:r>
            <w:proofErr w:type="gramStart"/>
            <w:r w:rsidRPr="00113274">
              <w:rPr>
                <w:rFonts w:ascii="Arial" w:hAnsi="Arial" w:cs="Arial"/>
              </w:rPr>
              <w:t>)(</w:t>
            </w:r>
            <w:proofErr w:type="gramEnd"/>
            <w:r w:rsidRPr="00113274">
              <w:rPr>
                <w:rFonts w:ascii="Arial" w:hAnsi="Arial" w:cs="Arial"/>
              </w:rPr>
              <w:t>b) provides that the Minister must prescribe the areas of jurisdiction of the</w:t>
            </w:r>
            <w:r w:rsidRPr="00113274">
              <w:rPr>
                <w:rFonts w:ascii="Arial" w:hAnsi="Arial" w:cs="Arial"/>
                <w:b/>
              </w:rPr>
              <w:t xml:space="preserve"> </w:t>
            </w:r>
            <w:r w:rsidRPr="00113274">
              <w:rPr>
                <w:rFonts w:ascii="Arial" w:hAnsi="Arial" w:cs="Arial"/>
              </w:rPr>
              <w:t xml:space="preserve">Provincial Councils in consultation with the Council. </w:t>
            </w:r>
          </w:p>
          <w:p w:rsidR="00414F7E" w:rsidRPr="00113274" w:rsidRDefault="00414F7E" w:rsidP="00113274">
            <w:pPr>
              <w:rPr>
                <w:rFonts w:ascii="Arial" w:hAnsi="Arial" w:cs="Arial"/>
              </w:rPr>
            </w:pPr>
          </w:p>
          <w:p w:rsidR="00414F7E" w:rsidRPr="00113274" w:rsidRDefault="007819CA" w:rsidP="00113274">
            <w:pPr>
              <w:rPr>
                <w:rFonts w:ascii="Arial" w:hAnsi="Arial" w:cs="Arial"/>
              </w:rPr>
            </w:pPr>
            <w:r w:rsidRPr="00113274">
              <w:rPr>
                <w:rFonts w:ascii="Arial" w:hAnsi="Arial" w:cs="Arial"/>
              </w:rPr>
              <w:t>Section 97(1</w:t>
            </w:r>
            <w:proofErr w:type="gramStart"/>
            <w:r w:rsidRPr="00113274">
              <w:rPr>
                <w:rFonts w:ascii="Arial" w:hAnsi="Arial" w:cs="Arial"/>
              </w:rPr>
              <w:t>)(</w:t>
            </w:r>
            <w:proofErr w:type="gramEnd"/>
            <w:r w:rsidRPr="00113274">
              <w:rPr>
                <w:rFonts w:ascii="Arial" w:hAnsi="Arial" w:cs="Arial"/>
              </w:rPr>
              <w:t>a)(ii) is in the Act for purposes of establishing the first Provincial Councils and their areas of jurisdiction. Section 23(2</w:t>
            </w:r>
            <w:proofErr w:type="gramStart"/>
            <w:r w:rsidRPr="00113274">
              <w:rPr>
                <w:rFonts w:ascii="Arial" w:hAnsi="Arial" w:cs="Arial"/>
              </w:rPr>
              <w:t>)(</w:t>
            </w:r>
            <w:proofErr w:type="gramEnd"/>
            <w:r w:rsidRPr="00113274">
              <w:rPr>
                <w:rFonts w:ascii="Arial" w:hAnsi="Arial" w:cs="Arial"/>
              </w:rPr>
              <w:t>b), on the other hand, allows the Minister to prescribe the areas of jurisdiction of Provincial Councils in consultation with the Council</w:t>
            </w:r>
            <w:r w:rsidR="00126C83">
              <w:rPr>
                <w:rFonts w:ascii="Arial" w:hAnsi="Arial" w:cs="Arial"/>
              </w:rPr>
              <w:t xml:space="preserve"> at any later stage should this become necessary</w:t>
            </w:r>
            <w:r w:rsidRPr="00113274">
              <w:rPr>
                <w:rFonts w:ascii="Arial" w:hAnsi="Arial" w:cs="Arial"/>
              </w:rPr>
              <w:t xml:space="preserve">. That is after the Act becomes fully operational.  </w:t>
            </w:r>
          </w:p>
          <w:p w:rsidR="00414F7E" w:rsidRPr="00113274" w:rsidRDefault="00414F7E" w:rsidP="00113274">
            <w:pPr>
              <w:rPr>
                <w:rFonts w:ascii="Arial" w:hAnsi="Arial" w:cs="Arial"/>
              </w:rPr>
            </w:pPr>
          </w:p>
          <w:p w:rsidR="004E78E7" w:rsidRDefault="00126C83" w:rsidP="00126C83">
            <w:pPr>
              <w:rPr>
                <w:rFonts w:ascii="Arial" w:hAnsi="Arial" w:cs="Arial"/>
              </w:rPr>
            </w:pPr>
            <w:r>
              <w:rPr>
                <w:rFonts w:ascii="Arial" w:hAnsi="Arial" w:cs="Arial"/>
              </w:rPr>
              <w:t xml:space="preserve">Clause 2 therefore </w:t>
            </w:r>
            <w:r w:rsidR="007819CA" w:rsidRPr="00113274">
              <w:rPr>
                <w:rFonts w:ascii="Arial" w:hAnsi="Arial" w:cs="Arial"/>
              </w:rPr>
              <w:t>suggest</w:t>
            </w:r>
            <w:r>
              <w:rPr>
                <w:rFonts w:ascii="Arial" w:hAnsi="Arial" w:cs="Arial"/>
              </w:rPr>
              <w:t>s</w:t>
            </w:r>
            <w:r w:rsidR="007819CA" w:rsidRPr="00113274">
              <w:rPr>
                <w:rFonts w:ascii="Arial" w:hAnsi="Arial" w:cs="Arial"/>
              </w:rPr>
              <w:t xml:space="preserve"> that section 23(2</w:t>
            </w:r>
            <w:proofErr w:type="gramStart"/>
            <w:r w:rsidR="007819CA" w:rsidRPr="00113274">
              <w:rPr>
                <w:rFonts w:ascii="Arial" w:hAnsi="Arial" w:cs="Arial"/>
              </w:rPr>
              <w:t>)(</w:t>
            </w:r>
            <w:proofErr w:type="gramEnd"/>
            <w:r w:rsidR="007819CA" w:rsidRPr="00113274">
              <w:rPr>
                <w:rFonts w:ascii="Arial" w:hAnsi="Arial" w:cs="Arial"/>
              </w:rPr>
              <w:t>b) be amended in order to clarify the difference between sections 23 and 97</w:t>
            </w:r>
            <w:r w:rsidR="00357E98" w:rsidRPr="00113274">
              <w:rPr>
                <w:rFonts w:ascii="Arial" w:hAnsi="Arial" w:cs="Arial"/>
              </w:rPr>
              <w:t xml:space="preserve">. </w:t>
            </w:r>
          </w:p>
          <w:p w:rsidR="00126C83" w:rsidRDefault="00126C83" w:rsidP="00126C83">
            <w:pPr>
              <w:rPr>
                <w:rFonts w:ascii="Arial" w:hAnsi="Arial" w:cs="Arial"/>
              </w:rPr>
            </w:pPr>
          </w:p>
          <w:p w:rsidR="00126C83" w:rsidRPr="00113274" w:rsidRDefault="00126C83" w:rsidP="00126C83">
            <w:pPr>
              <w:rPr>
                <w:rFonts w:ascii="Arial" w:hAnsi="Arial" w:cs="Arial"/>
                <w:b/>
              </w:rPr>
            </w:pPr>
            <w:r>
              <w:rPr>
                <w:rFonts w:ascii="Arial" w:hAnsi="Arial" w:cs="Arial"/>
              </w:rPr>
              <w:t xml:space="preserve">To have to review the areas of jurisdiction of Provincial Councils every five years, as suggested by the CGE, is not necessary.  Significant changes of this nature should only be done as when the need arises.  </w:t>
            </w:r>
          </w:p>
        </w:tc>
      </w:tr>
      <w:tr w:rsidR="00176469" w:rsidRPr="003B3B20" w:rsidTr="00345DCD">
        <w:tc>
          <w:tcPr>
            <w:tcW w:w="430" w:type="pct"/>
          </w:tcPr>
          <w:p w:rsidR="004E78E7" w:rsidRPr="00113274" w:rsidRDefault="004E78E7" w:rsidP="00113274">
            <w:pPr>
              <w:rPr>
                <w:rFonts w:ascii="Arial" w:hAnsi="Arial" w:cs="Arial"/>
              </w:rPr>
            </w:pPr>
            <w:r w:rsidRPr="00113274">
              <w:rPr>
                <w:rFonts w:ascii="Arial" w:hAnsi="Arial" w:cs="Arial"/>
              </w:rPr>
              <w:lastRenderedPageBreak/>
              <w:t>2</w:t>
            </w:r>
          </w:p>
        </w:tc>
        <w:tc>
          <w:tcPr>
            <w:tcW w:w="546" w:type="pct"/>
          </w:tcPr>
          <w:p w:rsidR="004E78E7" w:rsidRPr="00113274" w:rsidRDefault="004E78E7" w:rsidP="00113274">
            <w:pPr>
              <w:rPr>
                <w:rFonts w:ascii="Arial" w:hAnsi="Arial" w:cs="Arial"/>
                <w:b/>
              </w:rPr>
            </w:pPr>
            <w:r w:rsidRPr="00113274">
              <w:rPr>
                <w:rFonts w:ascii="Arial" w:eastAsia="Calibri" w:hAnsi="Arial" w:cs="Arial"/>
              </w:rPr>
              <w:t xml:space="preserve">Adv A </w:t>
            </w:r>
            <w:proofErr w:type="spellStart"/>
            <w:r w:rsidRPr="00113274">
              <w:rPr>
                <w:rFonts w:ascii="Arial" w:eastAsia="Calibri" w:hAnsi="Arial" w:cs="Arial"/>
              </w:rPr>
              <w:t>Reinecke</w:t>
            </w:r>
            <w:proofErr w:type="spellEnd"/>
          </w:p>
        </w:tc>
        <w:tc>
          <w:tcPr>
            <w:tcW w:w="1029" w:type="pct"/>
          </w:tcPr>
          <w:p w:rsidR="004E78E7" w:rsidRPr="00113274" w:rsidRDefault="004E78E7" w:rsidP="00113274">
            <w:pPr>
              <w:rPr>
                <w:rFonts w:ascii="Arial" w:hAnsi="Arial" w:cs="Arial"/>
              </w:rPr>
            </w:pPr>
            <w:r w:rsidRPr="00113274">
              <w:rPr>
                <w:rFonts w:ascii="Arial" w:hAnsi="Arial" w:cs="Arial"/>
              </w:rPr>
              <w:t xml:space="preserve">This amendment must be consulted with the National Council of Provinces. </w:t>
            </w:r>
          </w:p>
        </w:tc>
        <w:tc>
          <w:tcPr>
            <w:tcW w:w="2995" w:type="pct"/>
          </w:tcPr>
          <w:p w:rsidR="004E78E7" w:rsidRPr="00113274" w:rsidRDefault="004E78E7" w:rsidP="00F15718">
            <w:pPr>
              <w:rPr>
                <w:rFonts w:ascii="Arial" w:hAnsi="Arial" w:cs="Arial"/>
              </w:rPr>
            </w:pPr>
            <w:r w:rsidRPr="00113274">
              <w:rPr>
                <w:rFonts w:ascii="Arial" w:hAnsi="Arial" w:cs="Arial"/>
              </w:rPr>
              <w:t>Th</w:t>
            </w:r>
            <w:r w:rsidR="00F15718">
              <w:rPr>
                <w:rFonts w:ascii="Arial" w:hAnsi="Arial" w:cs="Arial"/>
              </w:rPr>
              <w:t>e Bill will be considered by the National Council of Provinces in the normal course.</w:t>
            </w:r>
            <w:r w:rsidRPr="00113274">
              <w:rPr>
                <w:rFonts w:ascii="Arial" w:hAnsi="Arial" w:cs="Arial"/>
              </w:rPr>
              <w:t xml:space="preserve"> </w:t>
            </w:r>
          </w:p>
        </w:tc>
      </w:tr>
      <w:tr w:rsidR="00B56AF0" w:rsidRPr="003B3B20" w:rsidTr="00345DCD">
        <w:tc>
          <w:tcPr>
            <w:tcW w:w="430" w:type="pct"/>
          </w:tcPr>
          <w:p w:rsidR="00B56AF0" w:rsidRPr="00113274" w:rsidRDefault="00B56AF0" w:rsidP="00113274">
            <w:pPr>
              <w:rPr>
                <w:rFonts w:ascii="Arial" w:hAnsi="Arial" w:cs="Arial"/>
              </w:rPr>
            </w:pPr>
            <w:r w:rsidRPr="00113274">
              <w:rPr>
                <w:rFonts w:ascii="Arial" w:hAnsi="Arial" w:cs="Arial"/>
              </w:rPr>
              <w:t>2</w:t>
            </w:r>
          </w:p>
        </w:tc>
        <w:tc>
          <w:tcPr>
            <w:tcW w:w="546" w:type="pct"/>
          </w:tcPr>
          <w:p w:rsidR="00B56AF0" w:rsidRPr="00113274" w:rsidRDefault="00B56AF0" w:rsidP="00113274">
            <w:pPr>
              <w:rPr>
                <w:rFonts w:ascii="Arial" w:eastAsia="Calibri" w:hAnsi="Arial" w:cs="Arial"/>
              </w:rPr>
            </w:pPr>
            <w:proofErr w:type="spellStart"/>
            <w:r w:rsidRPr="00113274">
              <w:rPr>
                <w:rFonts w:ascii="Arial" w:eastAsia="Calibri" w:hAnsi="Arial" w:cs="Arial"/>
              </w:rPr>
              <w:t>ClearlawSA</w:t>
            </w:r>
            <w:proofErr w:type="spellEnd"/>
            <w:r w:rsidRPr="00113274">
              <w:rPr>
                <w:rFonts w:ascii="Arial" w:eastAsia="Calibri" w:hAnsi="Arial" w:cs="Arial"/>
              </w:rPr>
              <w:t xml:space="preserve"> Pty Ltd</w:t>
            </w:r>
          </w:p>
        </w:tc>
        <w:tc>
          <w:tcPr>
            <w:tcW w:w="1029" w:type="pct"/>
          </w:tcPr>
          <w:p w:rsidR="00B56AF0" w:rsidRPr="00113274" w:rsidRDefault="00B56AF0" w:rsidP="00113274">
            <w:pPr>
              <w:rPr>
                <w:rFonts w:ascii="Arial" w:hAnsi="Arial" w:cs="Arial"/>
              </w:rPr>
            </w:pPr>
            <w:r w:rsidRPr="00113274">
              <w:rPr>
                <w:rFonts w:ascii="Arial" w:hAnsi="Arial" w:cs="Arial"/>
              </w:rPr>
              <w:t>They propose a further insertion at the end of the section, to read as follows:</w:t>
            </w:r>
          </w:p>
          <w:p w:rsidR="00B56AF0" w:rsidRPr="00113274" w:rsidRDefault="00B56AF0" w:rsidP="00113274">
            <w:pPr>
              <w:rPr>
                <w:rFonts w:ascii="Arial" w:hAnsi="Arial" w:cs="Arial"/>
              </w:rPr>
            </w:pPr>
            <w:r w:rsidRPr="00113274">
              <w:rPr>
                <w:rFonts w:ascii="Arial" w:hAnsi="Arial" w:cs="Arial"/>
              </w:rPr>
              <w:t xml:space="preserve"> “(b) The Minister </w:t>
            </w:r>
            <w:r w:rsidRPr="00F15718">
              <w:rPr>
                <w:rFonts w:ascii="Arial" w:hAnsi="Arial" w:cs="Arial"/>
                <w:b/>
              </w:rPr>
              <w:t>[must]</w:t>
            </w:r>
            <w:r w:rsidRPr="00113274">
              <w:rPr>
                <w:rFonts w:ascii="Arial" w:hAnsi="Arial" w:cs="Arial"/>
              </w:rPr>
              <w:t xml:space="preserve"> </w:t>
            </w:r>
            <w:r w:rsidRPr="00113274">
              <w:rPr>
                <w:rFonts w:ascii="Arial" w:hAnsi="Arial" w:cs="Arial"/>
                <w:u w:val="single"/>
              </w:rPr>
              <w:t>may</w:t>
            </w:r>
            <w:r w:rsidRPr="00113274">
              <w:rPr>
                <w:rFonts w:ascii="Arial" w:hAnsi="Arial" w:cs="Arial"/>
              </w:rPr>
              <w:t xml:space="preserve">, </w:t>
            </w:r>
            <w:r w:rsidRPr="00113274">
              <w:rPr>
                <w:rFonts w:ascii="Arial" w:hAnsi="Arial" w:cs="Arial"/>
                <w:u w:val="single"/>
              </w:rPr>
              <w:t>from time to time</w:t>
            </w:r>
            <w:r w:rsidRPr="00113274">
              <w:rPr>
                <w:rFonts w:ascii="Arial" w:hAnsi="Arial" w:cs="Arial"/>
              </w:rPr>
              <w:t xml:space="preserve">, prescribe the areas of jurisdiction of the Provincial Councils in consultation with the Council, </w:t>
            </w:r>
            <w:r w:rsidRPr="00113274">
              <w:rPr>
                <w:rFonts w:ascii="Arial" w:hAnsi="Arial" w:cs="Arial"/>
                <w:u w:val="single"/>
              </w:rPr>
              <w:t>provided that if the Minister does not define the jurisdiction of the Provincial Councils within 12 months of the commencement of this Act, then the National Council must do so.</w:t>
            </w:r>
            <w:r w:rsidRPr="00113274">
              <w:rPr>
                <w:rFonts w:ascii="Arial" w:hAnsi="Arial" w:cs="Arial"/>
              </w:rPr>
              <w:t>”</w:t>
            </w:r>
          </w:p>
        </w:tc>
        <w:tc>
          <w:tcPr>
            <w:tcW w:w="2995" w:type="pct"/>
          </w:tcPr>
          <w:p w:rsidR="00B56AF0" w:rsidRPr="00113274" w:rsidRDefault="00B56AF0" w:rsidP="00C67528">
            <w:pPr>
              <w:rPr>
                <w:rFonts w:ascii="Arial" w:hAnsi="Arial" w:cs="Arial"/>
              </w:rPr>
            </w:pPr>
            <w:r w:rsidRPr="00113274">
              <w:rPr>
                <w:rFonts w:ascii="Arial" w:hAnsi="Arial" w:cs="Arial"/>
              </w:rPr>
              <w:t>The Department does not support this proposal</w:t>
            </w:r>
            <w:r w:rsidR="00F15718">
              <w:rPr>
                <w:rFonts w:ascii="Arial" w:hAnsi="Arial" w:cs="Arial"/>
              </w:rPr>
              <w:t>.</w:t>
            </w:r>
            <w:r w:rsidRPr="00113274">
              <w:rPr>
                <w:rFonts w:ascii="Arial" w:hAnsi="Arial" w:cs="Arial"/>
              </w:rPr>
              <w:t xml:space="preserve"> </w:t>
            </w:r>
            <w:r w:rsidR="003509C2">
              <w:rPr>
                <w:rFonts w:ascii="Arial" w:hAnsi="Arial" w:cs="Arial"/>
              </w:rPr>
              <w:t xml:space="preserve">For </w:t>
            </w:r>
            <w:r w:rsidR="000425AE">
              <w:rPr>
                <w:rFonts w:ascii="Arial" w:hAnsi="Arial" w:cs="Arial"/>
              </w:rPr>
              <w:t xml:space="preserve">purposes of establishing the </w:t>
            </w:r>
            <w:r w:rsidR="00C67528">
              <w:rPr>
                <w:rFonts w:ascii="Arial" w:hAnsi="Arial" w:cs="Arial"/>
              </w:rPr>
              <w:t xml:space="preserve">first </w:t>
            </w:r>
            <w:r w:rsidR="000425AE">
              <w:rPr>
                <w:rFonts w:ascii="Arial" w:hAnsi="Arial" w:cs="Arial"/>
              </w:rPr>
              <w:t xml:space="preserve">areas </w:t>
            </w:r>
            <w:r w:rsidR="00C67528">
              <w:rPr>
                <w:rFonts w:ascii="Arial" w:hAnsi="Arial" w:cs="Arial"/>
              </w:rPr>
              <w:t>of jurisdiction of the Provincial Councils section</w:t>
            </w:r>
            <w:r w:rsidR="003509C2" w:rsidRPr="003509C2">
              <w:rPr>
                <w:rFonts w:ascii="Arial" w:hAnsi="Arial" w:cs="Arial"/>
              </w:rPr>
              <w:t xml:space="preserve"> 97(1</w:t>
            </w:r>
            <w:proofErr w:type="gramStart"/>
            <w:r w:rsidR="003509C2" w:rsidRPr="003509C2">
              <w:rPr>
                <w:rFonts w:ascii="Arial" w:hAnsi="Arial" w:cs="Arial"/>
              </w:rPr>
              <w:t>)(</w:t>
            </w:r>
            <w:proofErr w:type="gramEnd"/>
            <w:r w:rsidR="003509C2" w:rsidRPr="003509C2">
              <w:rPr>
                <w:rFonts w:ascii="Arial" w:hAnsi="Arial" w:cs="Arial"/>
              </w:rPr>
              <w:t>a)(ii) of the Act provides that the National Forum must make recommendations to the Minister on the establishment of the Provincial Councils and thei</w:t>
            </w:r>
            <w:r w:rsidR="00C67528">
              <w:rPr>
                <w:rFonts w:ascii="Arial" w:hAnsi="Arial" w:cs="Arial"/>
              </w:rPr>
              <w:t xml:space="preserve">r areas of jurisdiction.  The Minister will then use these recommendations for the basis of making regulations as contemplated in section 109(1) of the Act.  Section 109(1) is clear.  The Minister must make regulations in respect of the matters referred to in section 97(1), which includes the areas of jurisdiction of the Provincial Councils.  There is therefore no need to insert a proviso as suggested by </w:t>
            </w:r>
            <w:proofErr w:type="spellStart"/>
            <w:r w:rsidR="00C67528" w:rsidRPr="00113274">
              <w:rPr>
                <w:rFonts w:ascii="Arial" w:eastAsia="Calibri" w:hAnsi="Arial" w:cs="Arial"/>
              </w:rPr>
              <w:t>ClearlawSA</w:t>
            </w:r>
            <w:proofErr w:type="spellEnd"/>
            <w:r w:rsidR="00C67528">
              <w:rPr>
                <w:rFonts w:ascii="Arial" w:eastAsia="Calibri" w:hAnsi="Arial" w:cs="Arial"/>
              </w:rPr>
              <w:t>.</w:t>
            </w:r>
          </w:p>
        </w:tc>
      </w:tr>
      <w:tr w:rsidR="00785CFD" w:rsidRPr="003B3B20" w:rsidTr="00345DCD">
        <w:tc>
          <w:tcPr>
            <w:tcW w:w="430" w:type="pct"/>
          </w:tcPr>
          <w:p w:rsidR="00785CFD" w:rsidRPr="00113274" w:rsidRDefault="00785CFD" w:rsidP="00113274">
            <w:pPr>
              <w:rPr>
                <w:rFonts w:ascii="Arial" w:hAnsi="Arial" w:cs="Arial"/>
              </w:rPr>
            </w:pPr>
            <w:r>
              <w:rPr>
                <w:rFonts w:ascii="Arial" w:hAnsi="Arial" w:cs="Arial"/>
              </w:rPr>
              <w:t>2.</w:t>
            </w:r>
          </w:p>
        </w:tc>
        <w:tc>
          <w:tcPr>
            <w:tcW w:w="546" w:type="pct"/>
          </w:tcPr>
          <w:p w:rsidR="00785CFD" w:rsidRPr="00113274" w:rsidRDefault="00785CFD" w:rsidP="00113274">
            <w:pPr>
              <w:rPr>
                <w:rFonts w:ascii="Arial" w:eastAsia="Calibri" w:hAnsi="Arial" w:cs="Arial"/>
              </w:rPr>
            </w:pPr>
            <w:r>
              <w:rPr>
                <w:rFonts w:ascii="Arial" w:eastAsia="Calibri" w:hAnsi="Arial" w:cs="Arial"/>
              </w:rPr>
              <w:t>National Bar Council of South Africa</w:t>
            </w:r>
          </w:p>
        </w:tc>
        <w:tc>
          <w:tcPr>
            <w:tcW w:w="1029" w:type="pct"/>
          </w:tcPr>
          <w:p w:rsidR="00785CFD" w:rsidRPr="00113274" w:rsidRDefault="00785CFD" w:rsidP="00113274">
            <w:pPr>
              <w:rPr>
                <w:rFonts w:ascii="Arial" w:hAnsi="Arial" w:cs="Arial"/>
              </w:rPr>
            </w:pPr>
            <w:r>
              <w:rPr>
                <w:rFonts w:ascii="Arial" w:hAnsi="Arial" w:cs="Arial"/>
              </w:rPr>
              <w:t>Supports clause 2.</w:t>
            </w:r>
          </w:p>
        </w:tc>
        <w:tc>
          <w:tcPr>
            <w:tcW w:w="2995" w:type="pct"/>
          </w:tcPr>
          <w:p w:rsidR="00785CFD" w:rsidRPr="00113274" w:rsidRDefault="00785CFD" w:rsidP="00C67528">
            <w:pPr>
              <w:rPr>
                <w:rFonts w:ascii="Arial" w:hAnsi="Arial" w:cs="Arial"/>
              </w:rPr>
            </w:pPr>
            <w:r>
              <w:rPr>
                <w:rFonts w:ascii="Arial" w:hAnsi="Arial" w:cs="Arial"/>
              </w:rPr>
              <w:t>Noted.</w:t>
            </w:r>
          </w:p>
        </w:tc>
      </w:tr>
      <w:tr w:rsidR="00176469" w:rsidRPr="003B3B20" w:rsidTr="00345DCD">
        <w:tc>
          <w:tcPr>
            <w:tcW w:w="430" w:type="pct"/>
          </w:tcPr>
          <w:p w:rsidR="004E78E7" w:rsidRPr="00113274" w:rsidRDefault="004E78E7" w:rsidP="00113274">
            <w:pPr>
              <w:rPr>
                <w:rFonts w:ascii="Arial" w:hAnsi="Arial" w:cs="Arial"/>
              </w:rPr>
            </w:pPr>
            <w:r w:rsidRPr="00113274">
              <w:rPr>
                <w:rFonts w:ascii="Arial" w:hAnsi="Arial" w:cs="Arial"/>
              </w:rPr>
              <w:t>3</w:t>
            </w:r>
          </w:p>
        </w:tc>
        <w:tc>
          <w:tcPr>
            <w:tcW w:w="546" w:type="pct"/>
          </w:tcPr>
          <w:p w:rsidR="004E78E7" w:rsidRPr="00113274" w:rsidRDefault="00867794" w:rsidP="00113274">
            <w:pPr>
              <w:rPr>
                <w:rFonts w:ascii="Arial" w:hAnsi="Arial" w:cs="Arial"/>
                <w:b/>
              </w:rPr>
            </w:pPr>
            <w:r w:rsidRPr="00113274">
              <w:rPr>
                <w:rFonts w:ascii="Arial" w:hAnsi="Arial" w:cs="Arial"/>
              </w:rPr>
              <w:t xml:space="preserve">Commission for Gender </w:t>
            </w:r>
            <w:r w:rsidRPr="00113274">
              <w:rPr>
                <w:rFonts w:ascii="Arial" w:hAnsi="Arial" w:cs="Arial"/>
              </w:rPr>
              <w:lastRenderedPageBreak/>
              <w:t>Equality</w:t>
            </w:r>
          </w:p>
        </w:tc>
        <w:tc>
          <w:tcPr>
            <w:tcW w:w="1029" w:type="pct"/>
          </w:tcPr>
          <w:p w:rsidR="00785CFD" w:rsidRDefault="00C67528" w:rsidP="00113274">
            <w:pPr>
              <w:rPr>
                <w:rFonts w:ascii="Arial" w:hAnsi="Arial" w:cs="Arial"/>
              </w:rPr>
            </w:pPr>
            <w:r>
              <w:rPr>
                <w:rFonts w:ascii="Arial" w:hAnsi="Arial" w:cs="Arial"/>
              </w:rPr>
              <w:lastRenderedPageBreak/>
              <w:t xml:space="preserve">Clause 3 amends section 33 of the Act, </w:t>
            </w:r>
            <w:r>
              <w:rPr>
                <w:rFonts w:ascii="Arial" w:hAnsi="Arial" w:cs="Arial"/>
              </w:rPr>
              <w:lastRenderedPageBreak/>
              <w:t xml:space="preserve">dealing with the authority to render legal services by legal practitioners.  The amendment proposes the insertion of the word “practising” </w:t>
            </w:r>
            <w:r w:rsidR="00785CFD">
              <w:rPr>
                <w:rFonts w:ascii="Arial" w:hAnsi="Arial" w:cs="Arial"/>
              </w:rPr>
              <w:t xml:space="preserve">before the words “legal practitioner” in order to distinguish between “practising” and “non-practising” legal practitioners.  </w:t>
            </w:r>
          </w:p>
          <w:p w:rsidR="00785CFD" w:rsidRDefault="00785CFD" w:rsidP="00113274">
            <w:pPr>
              <w:rPr>
                <w:rFonts w:ascii="Arial" w:hAnsi="Arial" w:cs="Arial"/>
              </w:rPr>
            </w:pPr>
          </w:p>
          <w:p w:rsidR="004E78E7" w:rsidRPr="00113274" w:rsidRDefault="00785CFD" w:rsidP="00785CFD">
            <w:pPr>
              <w:rPr>
                <w:rFonts w:ascii="Arial" w:hAnsi="Arial" w:cs="Arial"/>
              </w:rPr>
            </w:pPr>
            <w:r>
              <w:rPr>
                <w:rFonts w:ascii="Arial" w:hAnsi="Arial" w:cs="Arial"/>
              </w:rPr>
              <w:t xml:space="preserve">The CGE recommends that a </w:t>
            </w:r>
            <w:r w:rsidR="004E78E7" w:rsidRPr="00113274">
              <w:rPr>
                <w:rFonts w:ascii="Arial" w:hAnsi="Arial" w:cs="Arial"/>
              </w:rPr>
              <w:t>penalty clause must be inserted</w:t>
            </w:r>
            <w:r>
              <w:rPr>
                <w:rFonts w:ascii="Arial" w:hAnsi="Arial" w:cs="Arial"/>
              </w:rPr>
              <w:t xml:space="preserve"> to make it an offence if a person renders legal services for reward who is not a legal practitioner.</w:t>
            </w:r>
          </w:p>
        </w:tc>
        <w:tc>
          <w:tcPr>
            <w:tcW w:w="2995" w:type="pct"/>
          </w:tcPr>
          <w:p w:rsidR="004E78E7" w:rsidRPr="00113274" w:rsidRDefault="004E78E7" w:rsidP="00113274">
            <w:pPr>
              <w:rPr>
                <w:rFonts w:ascii="Arial" w:hAnsi="Arial" w:cs="Arial"/>
              </w:rPr>
            </w:pPr>
            <w:r w:rsidRPr="00113274">
              <w:rPr>
                <w:rFonts w:ascii="Arial" w:hAnsi="Arial" w:cs="Arial"/>
              </w:rPr>
              <w:lastRenderedPageBreak/>
              <w:t xml:space="preserve">This proposal is unnecessary </w:t>
            </w:r>
            <w:r w:rsidR="00785CFD">
              <w:rPr>
                <w:rFonts w:ascii="Arial" w:hAnsi="Arial" w:cs="Arial"/>
              </w:rPr>
              <w:t>because</w:t>
            </w:r>
            <w:r w:rsidRPr="00113274">
              <w:rPr>
                <w:rFonts w:ascii="Arial" w:hAnsi="Arial" w:cs="Arial"/>
              </w:rPr>
              <w:t xml:space="preserve"> section 93(2) of the Act already provides</w:t>
            </w:r>
            <w:r w:rsidR="00785CFD">
              <w:rPr>
                <w:rFonts w:ascii="Arial" w:hAnsi="Arial" w:cs="Arial"/>
              </w:rPr>
              <w:t xml:space="preserve"> for an offence and penalties, as follows</w:t>
            </w:r>
            <w:r w:rsidRPr="00113274">
              <w:rPr>
                <w:rFonts w:ascii="Arial" w:hAnsi="Arial" w:cs="Arial"/>
              </w:rPr>
              <w:t>:</w:t>
            </w:r>
          </w:p>
          <w:p w:rsidR="004E78E7" w:rsidRPr="00113274" w:rsidRDefault="00785CFD" w:rsidP="002D1F5B">
            <w:pPr>
              <w:ind w:left="739" w:hanging="739"/>
              <w:rPr>
                <w:rFonts w:ascii="Arial" w:hAnsi="Arial" w:cs="Arial"/>
              </w:rPr>
            </w:pPr>
            <w:r>
              <w:rPr>
                <w:rFonts w:ascii="Arial" w:hAnsi="Arial" w:cs="Arial"/>
              </w:rPr>
              <w:lastRenderedPageBreak/>
              <w:tab/>
            </w:r>
            <w:r w:rsidR="004E78E7" w:rsidRPr="00113274">
              <w:rPr>
                <w:rFonts w:ascii="Arial" w:hAnsi="Arial" w:cs="Arial"/>
              </w:rPr>
              <w:t xml:space="preserve">“Any person who contravenes the provisions of section 33 commits an offence and is liable on conviction to a fine or to imprisonment for a period not exceeding two years or to both such fine and </w:t>
            </w:r>
            <w:r w:rsidR="002D1F5B">
              <w:rPr>
                <w:rFonts w:ascii="Arial" w:hAnsi="Arial" w:cs="Arial"/>
              </w:rPr>
              <w:t>i</w:t>
            </w:r>
            <w:r w:rsidR="004E78E7" w:rsidRPr="00113274">
              <w:rPr>
                <w:rFonts w:ascii="Arial" w:hAnsi="Arial" w:cs="Arial"/>
              </w:rPr>
              <w:t>mprisonment.</w:t>
            </w:r>
            <w:proofErr w:type="gramStart"/>
            <w:r w:rsidR="004E78E7" w:rsidRPr="00113274">
              <w:rPr>
                <w:rFonts w:ascii="Arial" w:hAnsi="Arial" w:cs="Arial"/>
              </w:rPr>
              <w:t>”.</w:t>
            </w:r>
            <w:proofErr w:type="gramEnd"/>
          </w:p>
        </w:tc>
      </w:tr>
      <w:tr w:rsidR="00B85AEE" w:rsidRPr="003B3B20" w:rsidTr="00345DCD">
        <w:tc>
          <w:tcPr>
            <w:tcW w:w="430" w:type="pct"/>
          </w:tcPr>
          <w:p w:rsidR="00B85AEE" w:rsidRPr="00113274" w:rsidRDefault="00B85AEE" w:rsidP="00113274">
            <w:pPr>
              <w:rPr>
                <w:rFonts w:ascii="Arial" w:hAnsi="Arial" w:cs="Arial"/>
              </w:rPr>
            </w:pPr>
            <w:r w:rsidRPr="00113274">
              <w:rPr>
                <w:rFonts w:ascii="Arial" w:hAnsi="Arial" w:cs="Arial"/>
              </w:rPr>
              <w:lastRenderedPageBreak/>
              <w:t>3</w:t>
            </w:r>
          </w:p>
        </w:tc>
        <w:tc>
          <w:tcPr>
            <w:tcW w:w="546" w:type="pct"/>
          </w:tcPr>
          <w:p w:rsidR="00B85AEE" w:rsidRPr="00113274" w:rsidRDefault="00B85AEE" w:rsidP="00DB2206">
            <w:pPr>
              <w:rPr>
                <w:rFonts w:ascii="Arial" w:hAnsi="Arial" w:cs="Arial"/>
              </w:rPr>
            </w:pPr>
            <w:r w:rsidRPr="00113274">
              <w:rPr>
                <w:rFonts w:ascii="Arial" w:hAnsi="Arial" w:cs="Arial"/>
              </w:rPr>
              <w:t xml:space="preserve">National Bar Council </w:t>
            </w:r>
            <w:r w:rsidR="00DB2206">
              <w:rPr>
                <w:rFonts w:ascii="Arial" w:hAnsi="Arial" w:cs="Arial"/>
              </w:rPr>
              <w:t>o</w:t>
            </w:r>
            <w:r w:rsidRPr="00113274">
              <w:rPr>
                <w:rFonts w:ascii="Arial" w:hAnsi="Arial" w:cs="Arial"/>
              </w:rPr>
              <w:t xml:space="preserve">f South Africa </w:t>
            </w:r>
          </w:p>
        </w:tc>
        <w:tc>
          <w:tcPr>
            <w:tcW w:w="1029" w:type="pct"/>
          </w:tcPr>
          <w:p w:rsidR="008F515C" w:rsidRPr="00113274" w:rsidRDefault="008F515C" w:rsidP="00113274">
            <w:pPr>
              <w:rPr>
                <w:rFonts w:ascii="Arial" w:hAnsi="Arial" w:cs="Arial"/>
              </w:rPr>
            </w:pPr>
            <w:r w:rsidRPr="00113274">
              <w:rPr>
                <w:rFonts w:ascii="Arial" w:hAnsi="Arial" w:cs="Arial"/>
              </w:rPr>
              <w:t xml:space="preserve">The </w:t>
            </w:r>
            <w:r w:rsidR="00450AB5">
              <w:rPr>
                <w:rFonts w:ascii="Arial" w:hAnsi="Arial" w:cs="Arial"/>
              </w:rPr>
              <w:t xml:space="preserve">National Bar Council opposes the </w:t>
            </w:r>
            <w:r w:rsidRPr="00113274">
              <w:rPr>
                <w:rFonts w:ascii="Arial" w:hAnsi="Arial" w:cs="Arial"/>
              </w:rPr>
              <w:t xml:space="preserve">proposed amendment </w:t>
            </w:r>
            <w:r w:rsidR="00450AB5">
              <w:rPr>
                <w:rFonts w:ascii="Arial" w:hAnsi="Arial" w:cs="Arial"/>
              </w:rPr>
              <w:t xml:space="preserve">because </w:t>
            </w:r>
          </w:p>
          <w:p w:rsidR="00B85AEE" w:rsidRPr="00113274" w:rsidRDefault="00B85AEE" w:rsidP="007E16EA">
            <w:pPr>
              <w:rPr>
                <w:rFonts w:ascii="Arial" w:hAnsi="Arial" w:cs="Arial"/>
              </w:rPr>
            </w:pPr>
            <w:proofErr w:type="gramStart"/>
            <w:r w:rsidRPr="00113274">
              <w:rPr>
                <w:rFonts w:ascii="Arial" w:hAnsi="Arial" w:cs="Arial"/>
              </w:rPr>
              <w:t>there</w:t>
            </w:r>
            <w:proofErr w:type="gramEnd"/>
            <w:r w:rsidRPr="00113274">
              <w:rPr>
                <w:rFonts w:ascii="Arial" w:hAnsi="Arial" w:cs="Arial"/>
              </w:rPr>
              <w:t xml:space="preserve"> is no definition for the term ‘practising legal practitioner’</w:t>
            </w:r>
            <w:r w:rsidR="007E16EA">
              <w:rPr>
                <w:rFonts w:ascii="Arial" w:hAnsi="Arial" w:cs="Arial"/>
              </w:rPr>
              <w:t xml:space="preserve">.  The Council raises the question whether </w:t>
            </w:r>
            <w:r w:rsidRPr="00113274">
              <w:rPr>
                <w:rFonts w:ascii="Arial" w:hAnsi="Arial" w:cs="Arial"/>
              </w:rPr>
              <w:t xml:space="preserve">the term ‘practising legal </w:t>
            </w:r>
            <w:r w:rsidRPr="00113274">
              <w:rPr>
                <w:rFonts w:ascii="Arial" w:hAnsi="Arial" w:cs="Arial"/>
              </w:rPr>
              <w:lastRenderedPageBreak/>
              <w:t>practitioner’ suggest</w:t>
            </w:r>
            <w:r w:rsidR="007E16EA">
              <w:rPr>
                <w:rFonts w:ascii="Arial" w:hAnsi="Arial" w:cs="Arial"/>
              </w:rPr>
              <w:t>s</w:t>
            </w:r>
            <w:r w:rsidRPr="00113274">
              <w:rPr>
                <w:rFonts w:ascii="Arial" w:hAnsi="Arial" w:cs="Arial"/>
              </w:rPr>
              <w:t xml:space="preserve"> that this term will apply only to those legal practitioners who attend or appear in court?  </w:t>
            </w:r>
            <w:r w:rsidR="007E16EA">
              <w:rPr>
                <w:rFonts w:ascii="Arial" w:hAnsi="Arial" w:cs="Arial"/>
              </w:rPr>
              <w:t>In other words, d</w:t>
            </w:r>
            <w:r w:rsidRPr="00113274">
              <w:rPr>
                <w:rFonts w:ascii="Arial" w:hAnsi="Arial" w:cs="Arial"/>
              </w:rPr>
              <w:t>oes this definition exclude consultants who</w:t>
            </w:r>
            <w:r w:rsidR="007E16EA">
              <w:rPr>
                <w:rFonts w:ascii="Arial" w:hAnsi="Arial" w:cs="Arial"/>
              </w:rPr>
              <w:t>,</w:t>
            </w:r>
            <w:r w:rsidRPr="00113274">
              <w:rPr>
                <w:rFonts w:ascii="Arial" w:hAnsi="Arial" w:cs="Arial"/>
              </w:rPr>
              <w:t xml:space="preserve"> though </w:t>
            </w:r>
            <w:r w:rsidR="007E16EA">
              <w:rPr>
                <w:rFonts w:ascii="Arial" w:hAnsi="Arial" w:cs="Arial"/>
              </w:rPr>
              <w:t xml:space="preserve">they </w:t>
            </w:r>
            <w:r w:rsidRPr="00113274">
              <w:rPr>
                <w:rFonts w:ascii="Arial" w:hAnsi="Arial" w:cs="Arial"/>
              </w:rPr>
              <w:t>render or offer various legal services</w:t>
            </w:r>
            <w:r w:rsidR="007E16EA">
              <w:rPr>
                <w:rFonts w:ascii="Arial" w:hAnsi="Arial" w:cs="Arial"/>
              </w:rPr>
              <w:t>,</w:t>
            </w:r>
            <w:r w:rsidRPr="00113274">
              <w:rPr>
                <w:rFonts w:ascii="Arial" w:hAnsi="Arial" w:cs="Arial"/>
              </w:rPr>
              <w:t xml:space="preserve"> do not appear in court? </w:t>
            </w:r>
            <w:r w:rsidR="007E16EA">
              <w:rPr>
                <w:rFonts w:ascii="Arial" w:hAnsi="Arial" w:cs="Arial"/>
              </w:rPr>
              <w:t xml:space="preserve"> </w:t>
            </w:r>
            <w:r w:rsidRPr="00113274">
              <w:rPr>
                <w:rFonts w:ascii="Arial" w:hAnsi="Arial" w:cs="Arial"/>
              </w:rPr>
              <w:t>Will consultants</w:t>
            </w:r>
            <w:r w:rsidR="007E16EA">
              <w:rPr>
                <w:rFonts w:ascii="Arial" w:hAnsi="Arial" w:cs="Arial"/>
              </w:rPr>
              <w:t>, as a result,</w:t>
            </w:r>
            <w:r w:rsidRPr="00113274">
              <w:rPr>
                <w:rFonts w:ascii="Arial" w:hAnsi="Arial" w:cs="Arial"/>
              </w:rPr>
              <w:t xml:space="preserve"> not be entitled to receive rewards or commission for rendering legal services?</w:t>
            </w:r>
          </w:p>
        </w:tc>
        <w:tc>
          <w:tcPr>
            <w:tcW w:w="2995" w:type="pct"/>
          </w:tcPr>
          <w:p w:rsidR="00273647" w:rsidRDefault="00273647" w:rsidP="00113274">
            <w:pPr>
              <w:rPr>
                <w:rFonts w:ascii="Arial" w:hAnsi="Arial" w:cs="Arial"/>
              </w:rPr>
            </w:pPr>
            <w:r>
              <w:rPr>
                <w:rFonts w:ascii="Arial" w:hAnsi="Arial" w:cs="Arial"/>
              </w:rPr>
              <w:lastRenderedPageBreak/>
              <w:t>With reference to the comments made by the National Bar Council of South Africa and the Banking Association of South Africa regarding the proposed amendment to section 33 the following background information is relevant:</w:t>
            </w:r>
          </w:p>
          <w:p w:rsidR="002D1F5B" w:rsidRDefault="002D1F5B" w:rsidP="00113274">
            <w:pPr>
              <w:rPr>
                <w:rFonts w:ascii="Arial" w:hAnsi="Arial" w:cs="Arial"/>
              </w:rPr>
            </w:pPr>
          </w:p>
          <w:p w:rsidR="0091310D" w:rsidRDefault="0091310D" w:rsidP="00113274">
            <w:pPr>
              <w:rPr>
                <w:rFonts w:ascii="Arial" w:hAnsi="Arial" w:cs="Arial"/>
              </w:rPr>
            </w:pPr>
            <w:r>
              <w:rPr>
                <w:rFonts w:ascii="Arial" w:hAnsi="Arial" w:cs="Arial"/>
              </w:rPr>
              <w:t>(a)</w:t>
            </w:r>
            <w:r>
              <w:rPr>
                <w:rFonts w:ascii="Arial" w:hAnsi="Arial" w:cs="Arial"/>
              </w:rPr>
              <w:tab/>
              <w:t xml:space="preserve">Section 3 of the Act, dealing with the purpose of the Act, provides that the purpose of the Act is, among others, to create “a single unified statutory body to regulate the affairs of all legal practitioners </w:t>
            </w:r>
            <w:r w:rsidR="00EE61EC">
              <w:rPr>
                <w:rFonts w:ascii="Arial" w:hAnsi="Arial" w:cs="Arial"/>
              </w:rPr>
              <w:t>and all candidate legal practitioners in pursuit of the goal of an accountable, efficient and independent legal profession”.</w:t>
            </w:r>
          </w:p>
          <w:p w:rsidR="002D1F5B" w:rsidRDefault="002D1F5B" w:rsidP="00113274">
            <w:pPr>
              <w:rPr>
                <w:rFonts w:ascii="Arial" w:hAnsi="Arial" w:cs="Arial"/>
              </w:rPr>
            </w:pPr>
          </w:p>
          <w:p w:rsidR="00273647" w:rsidRDefault="00EE61EC" w:rsidP="00113274">
            <w:pPr>
              <w:rPr>
                <w:rFonts w:ascii="Arial" w:hAnsi="Arial" w:cs="Arial"/>
              </w:rPr>
            </w:pPr>
            <w:r>
              <w:rPr>
                <w:rFonts w:ascii="Arial" w:hAnsi="Arial" w:cs="Arial"/>
              </w:rPr>
              <w:lastRenderedPageBreak/>
              <w:t>(b)</w:t>
            </w:r>
            <w:r>
              <w:rPr>
                <w:rFonts w:ascii="Arial" w:hAnsi="Arial" w:cs="Arial"/>
              </w:rPr>
              <w:tab/>
              <w:t>In similar vein, section 5 of the Act, dealing with the objects of the SA Legal Practice Council (the Council), provides that the objects of the Council are, among others, to regulate all legal practitioners and all candidate legal practitioners.</w:t>
            </w:r>
          </w:p>
          <w:p w:rsidR="002D1F5B" w:rsidRDefault="002D1F5B" w:rsidP="00113274">
            <w:pPr>
              <w:rPr>
                <w:rFonts w:ascii="Arial" w:hAnsi="Arial" w:cs="Arial"/>
              </w:rPr>
            </w:pPr>
          </w:p>
          <w:p w:rsidR="00EE61EC" w:rsidRDefault="00EE61EC" w:rsidP="00113274">
            <w:pPr>
              <w:rPr>
                <w:rFonts w:ascii="Arial" w:hAnsi="Arial" w:cs="Arial"/>
              </w:rPr>
            </w:pPr>
            <w:r>
              <w:rPr>
                <w:rFonts w:ascii="Arial" w:hAnsi="Arial" w:cs="Arial"/>
              </w:rPr>
              <w:t>(c)</w:t>
            </w:r>
            <w:r>
              <w:rPr>
                <w:rFonts w:ascii="Arial" w:hAnsi="Arial" w:cs="Arial"/>
              </w:rPr>
              <w:tab/>
              <w:t xml:space="preserve">What is a legal practitioner?  Section 1 </w:t>
            </w:r>
            <w:r w:rsidR="00FE3F47">
              <w:rPr>
                <w:rFonts w:ascii="Arial" w:hAnsi="Arial" w:cs="Arial"/>
              </w:rPr>
              <w:t xml:space="preserve">of the Act </w:t>
            </w:r>
            <w:r>
              <w:rPr>
                <w:rFonts w:ascii="Arial" w:hAnsi="Arial" w:cs="Arial"/>
              </w:rPr>
              <w:t xml:space="preserve">defines “legal practitioner” as an advocate or an attorney who is admitted and enrolled as such in terms of sections 23 and 30, respectively.  A legal practitioner is admitted in terms of section 23 as such by a Division of the High Court and that legal practitioner becomes as officer of the court.  After admission by a court, the person must enroll as a legal practitioner in terms of section 30.  This entails an application in terms of section 30(1) to the Council for the enrolment of his or her name on the Roll of Legal Practitioners.  The application for enrolment must indicate whether the legal practitioner intends to </w:t>
            </w:r>
            <w:proofErr w:type="spellStart"/>
            <w:r>
              <w:rPr>
                <w:rFonts w:ascii="Arial" w:hAnsi="Arial" w:cs="Arial"/>
              </w:rPr>
              <w:t>practise</w:t>
            </w:r>
            <w:proofErr w:type="spellEnd"/>
            <w:r>
              <w:rPr>
                <w:rFonts w:ascii="Arial" w:hAnsi="Arial" w:cs="Arial"/>
              </w:rPr>
              <w:t xml:space="preserve"> as an attorney or an advocate.  In terms of section 30(3) the Council must keep a Roll of Legal Practitioners which must reflect the particulars of “practising and non-practising legal practitioners”.</w:t>
            </w:r>
            <w:r w:rsidR="00FF7E12">
              <w:rPr>
                <w:rFonts w:ascii="Arial" w:hAnsi="Arial" w:cs="Arial"/>
              </w:rPr>
              <w:t xml:space="preserve">  In other words there is a roll for practising legal practitioners and a roll for non-practising legal practitioners.  A similar situation pertains today in terms of the Attorneys Act, 1979 where there is a roll for practising attorneys who actively </w:t>
            </w:r>
            <w:proofErr w:type="spellStart"/>
            <w:r w:rsidR="00FF7E12">
              <w:rPr>
                <w:rFonts w:ascii="Arial" w:hAnsi="Arial" w:cs="Arial"/>
              </w:rPr>
              <w:t>practise</w:t>
            </w:r>
            <w:proofErr w:type="spellEnd"/>
            <w:r w:rsidR="00FF7E12">
              <w:rPr>
                <w:rFonts w:ascii="Arial" w:hAnsi="Arial" w:cs="Arial"/>
              </w:rPr>
              <w:t xml:space="preserve"> as attorneys and are required to have a Fidelity Fund certificate and a roll for non-practising attorneys, that is attorneys who have been admitted by the court as such and whose names have been enrolled on the roll of non-</w:t>
            </w:r>
            <w:proofErr w:type="spellStart"/>
            <w:r w:rsidR="00FF7E12">
              <w:rPr>
                <w:rFonts w:ascii="Arial" w:hAnsi="Arial" w:cs="Arial"/>
              </w:rPr>
              <w:t>practising</w:t>
            </w:r>
            <w:proofErr w:type="spellEnd"/>
            <w:r w:rsidR="00FF7E12">
              <w:rPr>
                <w:rFonts w:ascii="Arial" w:hAnsi="Arial" w:cs="Arial"/>
              </w:rPr>
              <w:t xml:space="preserve"> attorneys for the simple reason that they are not actively practising as attorneys and do not have Fidelity Fund certificates.  They, however, remain officers of the court </w:t>
            </w:r>
            <w:r w:rsidR="00B64B52">
              <w:rPr>
                <w:rFonts w:ascii="Arial" w:hAnsi="Arial" w:cs="Arial"/>
              </w:rPr>
              <w:t xml:space="preserve">and members of the legal profession </w:t>
            </w:r>
            <w:r w:rsidR="00FF7E12">
              <w:rPr>
                <w:rFonts w:ascii="Arial" w:hAnsi="Arial" w:cs="Arial"/>
              </w:rPr>
              <w:t xml:space="preserve">and </w:t>
            </w:r>
            <w:r w:rsidR="00B64B52">
              <w:rPr>
                <w:rFonts w:ascii="Arial" w:hAnsi="Arial" w:cs="Arial"/>
              </w:rPr>
              <w:t>a</w:t>
            </w:r>
            <w:r w:rsidR="00FF7E12">
              <w:rPr>
                <w:rFonts w:ascii="Arial" w:hAnsi="Arial" w:cs="Arial"/>
              </w:rPr>
              <w:t xml:space="preserve"> court can, on application </w:t>
            </w:r>
            <w:r w:rsidR="00FE3F47">
              <w:rPr>
                <w:rFonts w:ascii="Arial" w:hAnsi="Arial" w:cs="Arial"/>
              </w:rPr>
              <w:t>by</w:t>
            </w:r>
            <w:r w:rsidR="00FF7E12">
              <w:rPr>
                <w:rFonts w:ascii="Arial" w:hAnsi="Arial" w:cs="Arial"/>
              </w:rPr>
              <w:t xml:space="preserve"> an interested person, strike the name of a non-practising attorney from the roll in the event of any serious misconduct, unbecoming of an officer of the court</w:t>
            </w:r>
            <w:r w:rsidR="00B64B52">
              <w:rPr>
                <w:rFonts w:ascii="Arial" w:hAnsi="Arial" w:cs="Arial"/>
              </w:rPr>
              <w:t xml:space="preserve"> and member of the legal profession</w:t>
            </w:r>
            <w:r w:rsidR="00FF7E12">
              <w:rPr>
                <w:rFonts w:ascii="Arial" w:hAnsi="Arial" w:cs="Arial"/>
              </w:rPr>
              <w:t>.</w:t>
            </w:r>
          </w:p>
          <w:p w:rsidR="002D1F5B" w:rsidRDefault="002D1F5B" w:rsidP="00113274">
            <w:pPr>
              <w:rPr>
                <w:rFonts w:ascii="Arial" w:hAnsi="Arial" w:cs="Arial"/>
              </w:rPr>
            </w:pPr>
          </w:p>
          <w:p w:rsidR="00FF7E12" w:rsidRDefault="00FF7E12" w:rsidP="00FF7E12">
            <w:pPr>
              <w:rPr>
                <w:rFonts w:ascii="Arial" w:hAnsi="Arial" w:cs="Arial"/>
              </w:rPr>
            </w:pPr>
            <w:r>
              <w:rPr>
                <w:rFonts w:ascii="Arial" w:hAnsi="Arial" w:cs="Arial"/>
              </w:rPr>
              <w:t>(d)</w:t>
            </w:r>
            <w:r>
              <w:rPr>
                <w:rFonts w:ascii="Arial" w:hAnsi="Arial" w:cs="Arial"/>
              </w:rPr>
              <w:tab/>
              <w:t>The term “</w:t>
            </w:r>
            <w:r w:rsidRPr="00113274">
              <w:rPr>
                <w:rFonts w:ascii="Arial" w:hAnsi="Arial" w:cs="Arial"/>
              </w:rPr>
              <w:t>practising</w:t>
            </w:r>
            <w:r>
              <w:rPr>
                <w:rFonts w:ascii="Arial" w:hAnsi="Arial" w:cs="Arial"/>
              </w:rPr>
              <w:t xml:space="preserve"> legal practitioner”</w:t>
            </w:r>
            <w:r w:rsidRPr="00113274">
              <w:rPr>
                <w:rFonts w:ascii="Arial" w:hAnsi="Arial" w:cs="Arial"/>
              </w:rPr>
              <w:t xml:space="preserve"> is used in numerous </w:t>
            </w:r>
            <w:r w:rsidR="00B537C4">
              <w:rPr>
                <w:rFonts w:ascii="Arial" w:hAnsi="Arial" w:cs="Arial"/>
              </w:rPr>
              <w:t>places</w:t>
            </w:r>
            <w:r w:rsidRPr="00113274">
              <w:rPr>
                <w:rFonts w:ascii="Arial" w:hAnsi="Arial" w:cs="Arial"/>
              </w:rPr>
              <w:t xml:space="preserve"> in the Act </w:t>
            </w:r>
            <w:r w:rsidR="00B537C4">
              <w:rPr>
                <w:rFonts w:ascii="Arial" w:hAnsi="Arial" w:cs="Arial"/>
              </w:rPr>
              <w:t>where it is necessary to distinguish between practising and non-</w:t>
            </w:r>
            <w:r w:rsidR="00B537C4">
              <w:rPr>
                <w:rFonts w:ascii="Arial" w:hAnsi="Arial" w:cs="Arial"/>
              </w:rPr>
              <w:lastRenderedPageBreak/>
              <w:t>practising legal practitioners, for instance in sections 1 (definitions of conveyancer and notary), 3(b)(ii), 6(4)(c), 7(1)(a), 11(1)(d), 29(1)(b), 30(1)(b)(ii), 30(3)(a), 31(4), 68(1)(d), 74(1)(a), 102(1)(d) and 114(3).  I</w:t>
            </w:r>
            <w:r w:rsidRPr="00113274">
              <w:rPr>
                <w:rFonts w:ascii="Arial" w:hAnsi="Arial" w:cs="Arial"/>
              </w:rPr>
              <w:t>t has its ordinary meaning, namely to pursue a profession actively</w:t>
            </w:r>
            <w:r w:rsidR="00B537C4">
              <w:rPr>
                <w:rFonts w:ascii="Arial" w:hAnsi="Arial" w:cs="Arial"/>
              </w:rPr>
              <w:t xml:space="preserve">.  (There are likewise similar numerous references to “practising attorneys” in the Attorneys Act, 1979).  </w:t>
            </w:r>
          </w:p>
          <w:p w:rsidR="002D1F5B" w:rsidRDefault="002D1F5B" w:rsidP="00FF7E12">
            <w:pPr>
              <w:rPr>
                <w:rFonts w:ascii="Arial" w:hAnsi="Arial" w:cs="Arial"/>
              </w:rPr>
            </w:pPr>
          </w:p>
          <w:p w:rsidR="00B537C4" w:rsidRDefault="00B537C4" w:rsidP="00FF7E12">
            <w:pPr>
              <w:rPr>
                <w:rFonts w:ascii="Arial" w:hAnsi="Arial" w:cs="Arial"/>
              </w:rPr>
            </w:pPr>
            <w:r>
              <w:rPr>
                <w:rFonts w:ascii="Arial" w:hAnsi="Arial" w:cs="Arial"/>
              </w:rPr>
              <w:t>(e)</w:t>
            </w:r>
            <w:r>
              <w:rPr>
                <w:rFonts w:ascii="Arial" w:hAnsi="Arial" w:cs="Arial"/>
              </w:rPr>
              <w:tab/>
              <w:t xml:space="preserve">The National Bar Council of South Africa </w:t>
            </w:r>
            <w:r w:rsidR="00442C6E">
              <w:rPr>
                <w:rFonts w:ascii="Arial" w:hAnsi="Arial" w:cs="Arial"/>
              </w:rPr>
              <w:t xml:space="preserve">refers to “consultants” </w:t>
            </w:r>
            <w:r>
              <w:rPr>
                <w:rFonts w:ascii="Arial" w:hAnsi="Arial" w:cs="Arial"/>
              </w:rPr>
              <w:t xml:space="preserve">and </w:t>
            </w:r>
            <w:r w:rsidR="00442C6E">
              <w:rPr>
                <w:rFonts w:ascii="Arial" w:hAnsi="Arial" w:cs="Arial"/>
              </w:rPr>
              <w:t xml:space="preserve">the Banking Association of South Africa refers to “corporate counsel”.  It is important at the outset to state that the Act is </w:t>
            </w:r>
            <w:r w:rsidR="004F5E97">
              <w:rPr>
                <w:rFonts w:ascii="Arial" w:hAnsi="Arial" w:cs="Arial"/>
              </w:rPr>
              <w:t>intended to regulate the affairs of legal practitioners with the focus on practising</w:t>
            </w:r>
            <w:bookmarkStart w:id="0" w:name="_GoBack"/>
            <w:bookmarkEnd w:id="0"/>
            <w:r w:rsidR="004F5E97">
              <w:rPr>
                <w:rFonts w:ascii="Arial" w:hAnsi="Arial" w:cs="Arial"/>
              </w:rPr>
              <w:t xml:space="preserve"> legal practitioners.  Its focus </w:t>
            </w:r>
            <w:proofErr w:type="gramStart"/>
            <w:r w:rsidR="004F5E97">
              <w:rPr>
                <w:rFonts w:ascii="Arial" w:hAnsi="Arial" w:cs="Arial"/>
              </w:rPr>
              <w:t xml:space="preserve">is  </w:t>
            </w:r>
            <w:r w:rsidR="00442C6E">
              <w:rPr>
                <w:rFonts w:ascii="Arial" w:hAnsi="Arial" w:cs="Arial"/>
              </w:rPr>
              <w:t>not</w:t>
            </w:r>
            <w:proofErr w:type="gramEnd"/>
            <w:r w:rsidR="00442C6E">
              <w:rPr>
                <w:rFonts w:ascii="Arial" w:hAnsi="Arial" w:cs="Arial"/>
              </w:rPr>
              <w:t xml:space="preserve"> </w:t>
            </w:r>
            <w:r w:rsidR="004F5E97">
              <w:rPr>
                <w:rFonts w:ascii="Arial" w:hAnsi="Arial" w:cs="Arial"/>
              </w:rPr>
              <w:t>on</w:t>
            </w:r>
            <w:r w:rsidR="00442C6E">
              <w:rPr>
                <w:rFonts w:ascii="Arial" w:hAnsi="Arial" w:cs="Arial"/>
              </w:rPr>
              <w:t xml:space="preserve"> consultants or </w:t>
            </w:r>
            <w:r w:rsidR="0077429D">
              <w:rPr>
                <w:rFonts w:ascii="Arial" w:hAnsi="Arial" w:cs="Arial"/>
              </w:rPr>
              <w:t>corporate</w:t>
            </w:r>
            <w:r w:rsidR="00442C6E">
              <w:rPr>
                <w:rFonts w:ascii="Arial" w:hAnsi="Arial" w:cs="Arial"/>
              </w:rPr>
              <w:t xml:space="preserve"> counsel, otherwise also known as law or legal</w:t>
            </w:r>
            <w:r w:rsidR="004F5E97">
              <w:rPr>
                <w:rFonts w:ascii="Arial" w:hAnsi="Arial" w:cs="Arial"/>
              </w:rPr>
              <w:t xml:space="preserve"> </w:t>
            </w:r>
            <w:r w:rsidR="00FE3F47">
              <w:rPr>
                <w:rFonts w:ascii="Arial" w:hAnsi="Arial" w:cs="Arial"/>
              </w:rPr>
              <w:t xml:space="preserve">  </w:t>
            </w:r>
            <w:r w:rsidR="004F5E97">
              <w:rPr>
                <w:rFonts w:ascii="Arial" w:hAnsi="Arial" w:cs="Arial"/>
              </w:rPr>
              <w:t>advisers in the private sector</w:t>
            </w:r>
            <w:r w:rsidR="00FE3F47">
              <w:rPr>
                <w:rFonts w:ascii="Arial" w:hAnsi="Arial" w:cs="Arial"/>
              </w:rPr>
              <w:t>.  However, there may be</w:t>
            </w:r>
            <w:r w:rsidR="004F5E97">
              <w:rPr>
                <w:rFonts w:ascii="Arial" w:hAnsi="Arial" w:cs="Arial"/>
              </w:rPr>
              <w:t xml:space="preserve"> some limited instances </w:t>
            </w:r>
            <w:r w:rsidR="00FE3F47">
              <w:rPr>
                <w:rFonts w:ascii="Arial" w:hAnsi="Arial" w:cs="Arial"/>
              </w:rPr>
              <w:t xml:space="preserve">in which the Act </w:t>
            </w:r>
            <w:r w:rsidR="004F5E97">
              <w:rPr>
                <w:rFonts w:ascii="Arial" w:hAnsi="Arial" w:cs="Arial"/>
              </w:rPr>
              <w:t>may have a bearing on corporate counsel</w:t>
            </w:r>
            <w:r w:rsidR="00FE3F47">
              <w:rPr>
                <w:rFonts w:ascii="Arial" w:hAnsi="Arial" w:cs="Arial"/>
              </w:rPr>
              <w:t>, for instance legal advisers</w:t>
            </w:r>
            <w:r w:rsidR="004F5E97">
              <w:rPr>
                <w:rFonts w:ascii="Arial" w:hAnsi="Arial" w:cs="Arial"/>
              </w:rPr>
              <w:t xml:space="preserve"> who are admitted and enrolled </w:t>
            </w:r>
            <w:r w:rsidR="00FE3F47">
              <w:rPr>
                <w:rFonts w:ascii="Arial" w:hAnsi="Arial" w:cs="Arial"/>
              </w:rPr>
              <w:t xml:space="preserve">as </w:t>
            </w:r>
            <w:r w:rsidR="004F5E97">
              <w:rPr>
                <w:rFonts w:ascii="Arial" w:hAnsi="Arial" w:cs="Arial"/>
              </w:rPr>
              <w:t>legal practitioners on the roll of non-</w:t>
            </w:r>
            <w:proofErr w:type="spellStart"/>
            <w:r w:rsidR="004F5E97">
              <w:rPr>
                <w:rFonts w:ascii="Arial" w:hAnsi="Arial" w:cs="Arial"/>
              </w:rPr>
              <w:t>practising</w:t>
            </w:r>
            <w:proofErr w:type="spellEnd"/>
            <w:r w:rsidR="004F5E97">
              <w:rPr>
                <w:rFonts w:ascii="Arial" w:hAnsi="Arial" w:cs="Arial"/>
              </w:rPr>
              <w:t xml:space="preserve"> legal practitioners, </w:t>
            </w:r>
            <w:r w:rsidR="00FE3F47">
              <w:rPr>
                <w:rFonts w:ascii="Arial" w:hAnsi="Arial" w:cs="Arial"/>
              </w:rPr>
              <w:t>and who</w:t>
            </w:r>
            <w:r w:rsidR="004F5E97">
              <w:rPr>
                <w:rFonts w:ascii="Arial" w:hAnsi="Arial" w:cs="Arial"/>
              </w:rPr>
              <w:t xml:space="preserve"> are found to be guilty of serious misconduct</w:t>
            </w:r>
            <w:r w:rsidR="00FE3F47">
              <w:rPr>
                <w:rFonts w:ascii="Arial" w:hAnsi="Arial" w:cs="Arial"/>
              </w:rPr>
              <w:t>,</w:t>
            </w:r>
            <w:r w:rsidR="004F5E97">
              <w:rPr>
                <w:rFonts w:ascii="Arial" w:hAnsi="Arial" w:cs="Arial"/>
              </w:rPr>
              <w:t xml:space="preserve"> unbecoming of an officer of the court.  If non-practising legal practitioners who are private sector legal advisers do not wish to fall under the jurisdiction of the Act, they will have to remove their names from the roll.  There are also private sector legal advisers who have legal qualifications but who have never been admitted and enrolled as legal practitioners.  They do not fall under the jurisdiction of the Act at all.  </w:t>
            </w:r>
          </w:p>
          <w:p w:rsidR="00305214" w:rsidRDefault="00305214" w:rsidP="00FF7E12">
            <w:pPr>
              <w:rPr>
                <w:rFonts w:ascii="Arial" w:hAnsi="Arial" w:cs="Arial"/>
              </w:rPr>
            </w:pPr>
          </w:p>
          <w:p w:rsidR="00305214" w:rsidRPr="00113274" w:rsidRDefault="00305214" w:rsidP="00FF7E12">
            <w:pPr>
              <w:rPr>
                <w:rFonts w:ascii="Arial" w:hAnsi="Arial" w:cs="Arial"/>
              </w:rPr>
            </w:pPr>
            <w:r>
              <w:rPr>
                <w:rFonts w:ascii="Arial" w:hAnsi="Arial" w:cs="Arial"/>
              </w:rPr>
              <w:t>With the above as background, the Department is of the view that there is no need to define “practising legal practitioner”.</w:t>
            </w:r>
          </w:p>
          <w:p w:rsidR="00FF7E12" w:rsidRDefault="00FF7E12" w:rsidP="00113274">
            <w:pPr>
              <w:rPr>
                <w:rFonts w:ascii="Arial" w:hAnsi="Arial" w:cs="Arial"/>
              </w:rPr>
            </w:pPr>
          </w:p>
          <w:p w:rsidR="008F515C" w:rsidRPr="00113274" w:rsidRDefault="00A36059" w:rsidP="00F11FE4">
            <w:pPr>
              <w:rPr>
                <w:rFonts w:ascii="Arial" w:hAnsi="Arial" w:cs="Arial"/>
              </w:rPr>
            </w:pPr>
            <w:r>
              <w:rPr>
                <w:rFonts w:ascii="Arial" w:hAnsi="Arial" w:cs="Arial"/>
              </w:rPr>
              <w:t xml:space="preserve">Section 33 of the Act deals with the authority to render legal services.  It </w:t>
            </w:r>
            <w:r w:rsidR="00305214">
              <w:rPr>
                <w:rFonts w:ascii="Arial" w:hAnsi="Arial" w:cs="Arial"/>
              </w:rPr>
              <w:t>sets</w:t>
            </w:r>
            <w:r>
              <w:rPr>
                <w:rFonts w:ascii="Arial" w:hAnsi="Arial" w:cs="Arial"/>
              </w:rPr>
              <w:t xml:space="preserve"> </w:t>
            </w:r>
            <w:r w:rsidR="00305214">
              <w:rPr>
                <w:rFonts w:ascii="Arial" w:hAnsi="Arial" w:cs="Arial"/>
              </w:rPr>
              <w:t xml:space="preserve">out the small list of work that is </w:t>
            </w:r>
            <w:r>
              <w:rPr>
                <w:rFonts w:ascii="Arial" w:hAnsi="Arial" w:cs="Arial"/>
              </w:rPr>
              <w:t xml:space="preserve">specifically reserved for </w:t>
            </w:r>
            <w:r w:rsidR="00F11FE4">
              <w:rPr>
                <w:rFonts w:ascii="Arial" w:hAnsi="Arial" w:cs="Arial"/>
              </w:rPr>
              <w:t xml:space="preserve">practising </w:t>
            </w:r>
            <w:r>
              <w:rPr>
                <w:rFonts w:ascii="Arial" w:hAnsi="Arial" w:cs="Arial"/>
              </w:rPr>
              <w:t>legal practitioners</w:t>
            </w:r>
            <w:r w:rsidR="00305214">
              <w:rPr>
                <w:rFonts w:ascii="Arial" w:hAnsi="Arial" w:cs="Arial"/>
              </w:rPr>
              <w:t xml:space="preserve"> only, namely appearing in courts and drawing up court documents</w:t>
            </w:r>
            <w:r>
              <w:rPr>
                <w:rFonts w:ascii="Arial" w:hAnsi="Arial" w:cs="Arial"/>
              </w:rPr>
              <w:t>.</w:t>
            </w:r>
            <w:r w:rsidR="00F11FE4">
              <w:rPr>
                <w:rFonts w:ascii="Arial" w:hAnsi="Arial" w:cs="Arial"/>
              </w:rPr>
              <w:t xml:space="preserve">  Non-practising legal practitioners are not allowed to carry out these functions because they do not have </w:t>
            </w:r>
            <w:proofErr w:type="gramStart"/>
            <w:r w:rsidR="00F11FE4">
              <w:rPr>
                <w:rFonts w:ascii="Arial" w:hAnsi="Arial" w:cs="Arial"/>
              </w:rPr>
              <w:t>Fidelity Fund certificates which is</w:t>
            </w:r>
            <w:proofErr w:type="gramEnd"/>
            <w:r w:rsidR="00F11FE4">
              <w:rPr>
                <w:rFonts w:ascii="Arial" w:hAnsi="Arial" w:cs="Arial"/>
              </w:rPr>
              <w:t xml:space="preserve"> there for the public protection.</w:t>
            </w:r>
            <w:r w:rsidR="00305214">
              <w:rPr>
                <w:rFonts w:ascii="Arial" w:hAnsi="Arial" w:cs="Arial"/>
              </w:rPr>
              <w:t xml:space="preserve">  The proposed amendment will not preclude </w:t>
            </w:r>
            <w:r w:rsidR="00305214">
              <w:rPr>
                <w:rFonts w:ascii="Arial" w:hAnsi="Arial" w:cs="Arial"/>
              </w:rPr>
              <w:lastRenderedPageBreak/>
              <w:t xml:space="preserve">corporate counsel from </w:t>
            </w:r>
            <w:r w:rsidR="00F11FE4">
              <w:rPr>
                <w:rFonts w:ascii="Arial" w:hAnsi="Arial" w:cs="Arial"/>
              </w:rPr>
              <w:t xml:space="preserve">continuing to offer legal services for remuneration so long as those services do not amount to the reserved work set out above.  In conclusion, the insertion of the word “practising” is for the public good in that legal practitioners who carry out reserved work will do so with the backing that comes with having a Fidelity Fund certificate. </w:t>
            </w:r>
          </w:p>
        </w:tc>
      </w:tr>
      <w:tr w:rsidR="00176469" w:rsidRPr="003B3B20" w:rsidTr="00345DCD">
        <w:tc>
          <w:tcPr>
            <w:tcW w:w="430" w:type="pct"/>
          </w:tcPr>
          <w:p w:rsidR="004E78E7" w:rsidRPr="00113274" w:rsidRDefault="004E78E7" w:rsidP="00113274">
            <w:pPr>
              <w:rPr>
                <w:rFonts w:ascii="Arial" w:hAnsi="Arial" w:cs="Arial"/>
              </w:rPr>
            </w:pPr>
            <w:r w:rsidRPr="00113274">
              <w:rPr>
                <w:rFonts w:ascii="Arial" w:hAnsi="Arial" w:cs="Arial"/>
              </w:rPr>
              <w:lastRenderedPageBreak/>
              <w:t>3</w:t>
            </w:r>
          </w:p>
        </w:tc>
        <w:tc>
          <w:tcPr>
            <w:tcW w:w="546" w:type="pct"/>
          </w:tcPr>
          <w:p w:rsidR="004E78E7" w:rsidRPr="00113274" w:rsidRDefault="004E78E7" w:rsidP="00113274">
            <w:pPr>
              <w:rPr>
                <w:rFonts w:ascii="Arial" w:hAnsi="Arial" w:cs="Arial"/>
                <w:b/>
              </w:rPr>
            </w:pPr>
            <w:r w:rsidRPr="00113274">
              <w:rPr>
                <w:rFonts w:ascii="Arial" w:eastAsia="Calibri" w:hAnsi="Arial" w:cs="Arial"/>
              </w:rPr>
              <w:t xml:space="preserve">Adv A </w:t>
            </w:r>
            <w:proofErr w:type="spellStart"/>
            <w:r w:rsidRPr="00113274">
              <w:rPr>
                <w:rFonts w:ascii="Arial" w:eastAsia="Calibri" w:hAnsi="Arial" w:cs="Arial"/>
              </w:rPr>
              <w:t>Reinecke</w:t>
            </w:r>
            <w:proofErr w:type="spellEnd"/>
          </w:p>
        </w:tc>
        <w:tc>
          <w:tcPr>
            <w:tcW w:w="1029" w:type="pct"/>
          </w:tcPr>
          <w:p w:rsidR="004E78E7" w:rsidRPr="00113274" w:rsidRDefault="004E78E7" w:rsidP="00113274">
            <w:pPr>
              <w:rPr>
                <w:rFonts w:ascii="Arial" w:hAnsi="Arial" w:cs="Arial"/>
              </w:rPr>
            </w:pPr>
            <w:r w:rsidRPr="00113274">
              <w:rPr>
                <w:rFonts w:ascii="Arial" w:hAnsi="Arial" w:cs="Arial"/>
              </w:rPr>
              <w:t>There is no need to further exclude certain practitioners within a profession.</w:t>
            </w:r>
          </w:p>
        </w:tc>
        <w:tc>
          <w:tcPr>
            <w:tcW w:w="2995" w:type="pct"/>
          </w:tcPr>
          <w:p w:rsidR="004E78E7" w:rsidRPr="00113274" w:rsidRDefault="00F11FE4" w:rsidP="00113274">
            <w:pPr>
              <w:rPr>
                <w:rFonts w:ascii="Arial" w:hAnsi="Arial" w:cs="Arial"/>
              </w:rPr>
            </w:pPr>
            <w:r>
              <w:rPr>
                <w:rFonts w:ascii="Arial" w:hAnsi="Arial" w:cs="Arial"/>
              </w:rPr>
              <w:t xml:space="preserve">See the response above in respect of the National Bar Council of South Africa. </w:t>
            </w:r>
          </w:p>
          <w:p w:rsidR="00AC38A0" w:rsidRPr="00113274" w:rsidRDefault="00AC38A0" w:rsidP="00113274">
            <w:pPr>
              <w:rPr>
                <w:rFonts w:ascii="Arial" w:hAnsi="Arial" w:cs="Arial"/>
              </w:rPr>
            </w:pPr>
          </w:p>
        </w:tc>
      </w:tr>
      <w:tr w:rsidR="00D01153" w:rsidRPr="003B3B20" w:rsidTr="00345DCD">
        <w:tc>
          <w:tcPr>
            <w:tcW w:w="430" w:type="pct"/>
          </w:tcPr>
          <w:p w:rsidR="00D01153" w:rsidRPr="00113274" w:rsidRDefault="00D01153" w:rsidP="00113274">
            <w:pPr>
              <w:rPr>
                <w:rFonts w:ascii="Arial" w:hAnsi="Arial" w:cs="Arial"/>
              </w:rPr>
            </w:pPr>
            <w:r w:rsidRPr="00113274">
              <w:rPr>
                <w:rFonts w:ascii="Arial" w:hAnsi="Arial" w:cs="Arial"/>
              </w:rPr>
              <w:t>3</w:t>
            </w:r>
          </w:p>
        </w:tc>
        <w:tc>
          <w:tcPr>
            <w:tcW w:w="546" w:type="pct"/>
          </w:tcPr>
          <w:p w:rsidR="00D01153" w:rsidRPr="00113274" w:rsidRDefault="00D01153" w:rsidP="00113274">
            <w:pPr>
              <w:rPr>
                <w:rFonts w:ascii="Arial" w:eastAsia="Calibri" w:hAnsi="Arial" w:cs="Arial"/>
              </w:rPr>
            </w:pPr>
            <w:proofErr w:type="spellStart"/>
            <w:r w:rsidRPr="00113274">
              <w:rPr>
                <w:rFonts w:ascii="Arial" w:eastAsia="Calibri" w:hAnsi="Arial" w:cs="Arial"/>
              </w:rPr>
              <w:t>Gatsheni</w:t>
            </w:r>
            <w:proofErr w:type="spellEnd"/>
            <w:r w:rsidRPr="00113274">
              <w:rPr>
                <w:rFonts w:ascii="Arial" w:eastAsia="Calibri" w:hAnsi="Arial" w:cs="Arial"/>
              </w:rPr>
              <w:t xml:space="preserve"> Advisory</w:t>
            </w:r>
          </w:p>
        </w:tc>
        <w:tc>
          <w:tcPr>
            <w:tcW w:w="1029" w:type="pct"/>
          </w:tcPr>
          <w:p w:rsidR="00D01153" w:rsidRPr="00113274" w:rsidRDefault="00D01153" w:rsidP="00113274">
            <w:pPr>
              <w:rPr>
                <w:rFonts w:ascii="Arial" w:hAnsi="Arial" w:cs="Arial"/>
              </w:rPr>
            </w:pPr>
            <w:r w:rsidRPr="00113274">
              <w:rPr>
                <w:rFonts w:ascii="Arial" w:hAnsi="Arial" w:cs="Arial"/>
              </w:rPr>
              <w:t>They are unsure precisely which work is reserved for practising attorneys.</w:t>
            </w:r>
          </w:p>
          <w:p w:rsidR="00D01153" w:rsidRPr="00113274" w:rsidRDefault="00D01153" w:rsidP="00113274">
            <w:pPr>
              <w:rPr>
                <w:rFonts w:ascii="Arial" w:hAnsi="Arial" w:cs="Arial"/>
              </w:rPr>
            </w:pPr>
          </w:p>
          <w:p w:rsidR="00D01153" w:rsidRPr="00113274" w:rsidRDefault="00D01153" w:rsidP="00113274">
            <w:pPr>
              <w:rPr>
                <w:rFonts w:ascii="Arial" w:hAnsi="Arial" w:cs="Arial"/>
              </w:rPr>
            </w:pPr>
            <w:r w:rsidRPr="00113274">
              <w:rPr>
                <w:rFonts w:ascii="Arial" w:hAnsi="Arial" w:cs="Arial"/>
              </w:rPr>
              <w:t>It would be helpful if there were to be more clarity on the exact parameters on who may and may not draft the commercial agreements.</w:t>
            </w:r>
          </w:p>
          <w:p w:rsidR="00DE4948" w:rsidRDefault="00DE4948" w:rsidP="00113274">
            <w:pPr>
              <w:rPr>
                <w:rFonts w:ascii="Arial" w:hAnsi="Arial" w:cs="Arial"/>
              </w:rPr>
            </w:pPr>
          </w:p>
          <w:p w:rsidR="00013172" w:rsidRDefault="00013172" w:rsidP="00113274">
            <w:pPr>
              <w:rPr>
                <w:rFonts w:ascii="Arial" w:hAnsi="Arial" w:cs="Arial"/>
              </w:rPr>
            </w:pPr>
          </w:p>
          <w:p w:rsidR="00013172" w:rsidRDefault="00013172" w:rsidP="00113274">
            <w:pPr>
              <w:rPr>
                <w:rFonts w:ascii="Arial" w:hAnsi="Arial" w:cs="Arial"/>
              </w:rPr>
            </w:pPr>
          </w:p>
          <w:p w:rsidR="00013172" w:rsidRDefault="00013172" w:rsidP="00113274">
            <w:pPr>
              <w:rPr>
                <w:rFonts w:ascii="Arial" w:hAnsi="Arial" w:cs="Arial"/>
              </w:rPr>
            </w:pPr>
          </w:p>
          <w:p w:rsidR="00013172" w:rsidRDefault="00013172" w:rsidP="00113274">
            <w:pPr>
              <w:rPr>
                <w:rFonts w:ascii="Arial" w:hAnsi="Arial" w:cs="Arial"/>
              </w:rPr>
            </w:pPr>
          </w:p>
          <w:p w:rsidR="00013172" w:rsidRDefault="00013172" w:rsidP="00113274">
            <w:pPr>
              <w:rPr>
                <w:rFonts w:ascii="Arial" w:hAnsi="Arial" w:cs="Arial"/>
              </w:rPr>
            </w:pPr>
          </w:p>
          <w:p w:rsidR="00013172" w:rsidRDefault="00013172" w:rsidP="00113274">
            <w:pPr>
              <w:rPr>
                <w:rFonts w:ascii="Arial" w:hAnsi="Arial" w:cs="Arial"/>
              </w:rPr>
            </w:pPr>
          </w:p>
          <w:p w:rsidR="00013172" w:rsidRDefault="00013172" w:rsidP="00113274">
            <w:pPr>
              <w:rPr>
                <w:rFonts w:ascii="Arial" w:hAnsi="Arial" w:cs="Arial"/>
              </w:rPr>
            </w:pPr>
          </w:p>
          <w:p w:rsidR="00013172" w:rsidRPr="00113274" w:rsidRDefault="00013172" w:rsidP="00113274">
            <w:pPr>
              <w:rPr>
                <w:rFonts w:ascii="Arial" w:hAnsi="Arial" w:cs="Arial"/>
              </w:rPr>
            </w:pPr>
          </w:p>
          <w:p w:rsidR="00DE4948" w:rsidRDefault="00DE4948" w:rsidP="00113274">
            <w:pPr>
              <w:rPr>
                <w:rFonts w:ascii="Arial" w:hAnsi="Arial" w:cs="Arial"/>
              </w:rPr>
            </w:pPr>
            <w:r w:rsidRPr="00113274">
              <w:rPr>
                <w:rFonts w:ascii="Arial" w:hAnsi="Arial" w:cs="Arial"/>
              </w:rPr>
              <w:t>The Act discriminates against non-pr</w:t>
            </w:r>
            <w:r w:rsidR="00915A60">
              <w:rPr>
                <w:rFonts w:ascii="Arial" w:hAnsi="Arial" w:cs="Arial"/>
              </w:rPr>
              <w:t xml:space="preserve">actising </w:t>
            </w:r>
            <w:r w:rsidR="00915A60">
              <w:rPr>
                <w:rFonts w:ascii="Arial" w:hAnsi="Arial" w:cs="Arial"/>
              </w:rPr>
              <w:lastRenderedPageBreak/>
              <w:t>attorneys and the insertion of the word “practising”</w:t>
            </w:r>
            <w:r w:rsidR="00013172">
              <w:rPr>
                <w:rFonts w:ascii="Arial" w:hAnsi="Arial" w:cs="Arial"/>
              </w:rPr>
              <w:t>,</w:t>
            </w:r>
            <w:r w:rsidR="00915A60">
              <w:rPr>
                <w:rFonts w:ascii="Arial" w:hAnsi="Arial" w:cs="Arial"/>
              </w:rPr>
              <w:t xml:space="preserve"> as proposed in clause 3</w:t>
            </w:r>
            <w:r w:rsidR="00013172">
              <w:rPr>
                <w:rFonts w:ascii="Arial" w:hAnsi="Arial" w:cs="Arial"/>
              </w:rPr>
              <w:t>,</w:t>
            </w:r>
            <w:r w:rsidR="00915A60">
              <w:rPr>
                <w:rFonts w:ascii="Arial" w:hAnsi="Arial" w:cs="Arial"/>
              </w:rPr>
              <w:t xml:space="preserve"> exacerbates this discrimination</w:t>
            </w:r>
            <w:r w:rsidR="00804DBF">
              <w:rPr>
                <w:rFonts w:ascii="Arial" w:hAnsi="Arial" w:cs="Arial"/>
              </w:rPr>
              <w:t>.</w:t>
            </w:r>
          </w:p>
          <w:p w:rsidR="00804DBF" w:rsidRDefault="00804DBF" w:rsidP="00113274">
            <w:pPr>
              <w:rPr>
                <w:rFonts w:ascii="Arial" w:hAnsi="Arial" w:cs="Arial"/>
              </w:rPr>
            </w:pPr>
          </w:p>
          <w:p w:rsidR="00804DBF" w:rsidRDefault="00804DBF" w:rsidP="00113274">
            <w:pPr>
              <w:rPr>
                <w:rFonts w:ascii="Arial" w:hAnsi="Arial" w:cs="Arial"/>
              </w:rPr>
            </w:pPr>
          </w:p>
          <w:p w:rsidR="00804DBF" w:rsidRDefault="00804DBF" w:rsidP="00113274">
            <w:pPr>
              <w:rPr>
                <w:rFonts w:ascii="Arial" w:hAnsi="Arial" w:cs="Arial"/>
              </w:rPr>
            </w:pPr>
          </w:p>
          <w:p w:rsidR="00804DBF" w:rsidRDefault="00804DBF" w:rsidP="00113274">
            <w:pPr>
              <w:rPr>
                <w:rFonts w:ascii="Arial" w:hAnsi="Arial" w:cs="Arial"/>
              </w:rPr>
            </w:pPr>
          </w:p>
          <w:p w:rsidR="00804DBF" w:rsidRDefault="00804DBF" w:rsidP="00113274">
            <w:pPr>
              <w:rPr>
                <w:rFonts w:ascii="Arial" w:hAnsi="Arial" w:cs="Arial"/>
              </w:rPr>
            </w:pPr>
          </w:p>
          <w:p w:rsidR="00804DBF" w:rsidRDefault="00804DBF" w:rsidP="00113274">
            <w:pPr>
              <w:rPr>
                <w:rFonts w:ascii="Arial" w:hAnsi="Arial" w:cs="Arial"/>
              </w:rPr>
            </w:pPr>
          </w:p>
          <w:p w:rsidR="00804DBF" w:rsidRDefault="00804DBF" w:rsidP="00113274">
            <w:pPr>
              <w:rPr>
                <w:rFonts w:ascii="Arial" w:hAnsi="Arial" w:cs="Arial"/>
              </w:rPr>
            </w:pPr>
          </w:p>
          <w:p w:rsidR="00804DBF" w:rsidRDefault="00804DBF" w:rsidP="00113274">
            <w:pPr>
              <w:rPr>
                <w:rFonts w:ascii="Arial" w:hAnsi="Arial" w:cs="Arial"/>
              </w:rPr>
            </w:pPr>
          </w:p>
          <w:p w:rsidR="00804DBF" w:rsidRDefault="00804DBF" w:rsidP="00113274">
            <w:pPr>
              <w:rPr>
                <w:rFonts w:ascii="Arial" w:hAnsi="Arial" w:cs="Arial"/>
              </w:rPr>
            </w:pPr>
          </w:p>
          <w:p w:rsidR="00804DBF" w:rsidRDefault="00804DBF" w:rsidP="00113274">
            <w:pPr>
              <w:rPr>
                <w:rFonts w:ascii="Arial" w:hAnsi="Arial" w:cs="Arial"/>
              </w:rPr>
            </w:pPr>
          </w:p>
          <w:p w:rsidR="00804DBF" w:rsidRDefault="00804DBF" w:rsidP="00113274">
            <w:pPr>
              <w:rPr>
                <w:rFonts w:ascii="Arial" w:hAnsi="Arial" w:cs="Arial"/>
              </w:rPr>
            </w:pPr>
          </w:p>
          <w:p w:rsidR="00804DBF" w:rsidRDefault="00804DBF" w:rsidP="00113274">
            <w:pPr>
              <w:rPr>
                <w:rFonts w:ascii="Arial" w:hAnsi="Arial" w:cs="Arial"/>
              </w:rPr>
            </w:pPr>
          </w:p>
          <w:p w:rsidR="00804DBF" w:rsidRDefault="00804DBF" w:rsidP="00113274">
            <w:pPr>
              <w:rPr>
                <w:rFonts w:ascii="Arial" w:hAnsi="Arial" w:cs="Arial"/>
              </w:rPr>
            </w:pPr>
          </w:p>
          <w:p w:rsidR="00804DBF" w:rsidRDefault="00804DBF" w:rsidP="00113274">
            <w:pPr>
              <w:rPr>
                <w:rFonts w:ascii="Arial" w:hAnsi="Arial" w:cs="Arial"/>
              </w:rPr>
            </w:pPr>
          </w:p>
          <w:p w:rsidR="00804DBF" w:rsidRDefault="00804DBF" w:rsidP="00113274">
            <w:pPr>
              <w:rPr>
                <w:rFonts w:ascii="Arial" w:hAnsi="Arial" w:cs="Arial"/>
              </w:rPr>
            </w:pPr>
          </w:p>
          <w:p w:rsidR="002D1F5B" w:rsidRDefault="002D1F5B" w:rsidP="00113274">
            <w:pPr>
              <w:rPr>
                <w:rFonts w:ascii="Arial" w:hAnsi="Arial" w:cs="Arial"/>
              </w:rPr>
            </w:pPr>
          </w:p>
          <w:p w:rsidR="002D1F5B" w:rsidRDefault="002D1F5B" w:rsidP="00113274">
            <w:pPr>
              <w:rPr>
                <w:rFonts w:ascii="Arial" w:hAnsi="Arial" w:cs="Arial"/>
              </w:rPr>
            </w:pPr>
          </w:p>
          <w:p w:rsidR="00804DBF" w:rsidRPr="00113274" w:rsidRDefault="00804DBF" w:rsidP="00113274">
            <w:pPr>
              <w:rPr>
                <w:rFonts w:ascii="Arial" w:hAnsi="Arial" w:cs="Arial"/>
              </w:rPr>
            </w:pPr>
            <w:r>
              <w:rPr>
                <w:rFonts w:ascii="Arial" w:hAnsi="Arial" w:cs="Arial"/>
              </w:rPr>
              <w:t>The Act should be amended to recognize legal consultants.</w:t>
            </w:r>
          </w:p>
        </w:tc>
        <w:tc>
          <w:tcPr>
            <w:tcW w:w="2995" w:type="pct"/>
          </w:tcPr>
          <w:p w:rsidR="00D01153" w:rsidRPr="00113274" w:rsidRDefault="00D01153" w:rsidP="00113274">
            <w:pPr>
              <w:rPr>
                <w:rFonts w:ascii="Arial" w:hAnsi="Arial" w:cs="Arial"/>
              </w:rPr>
            </w:pPr>
            <w:r w:rsidRPr="00113274">
              <w:rPr>
                <w:rFonts w:ascii="Arial" w:hAnsi="Arial" w:cs="Arial"/>
              </w:rPr>
              <w:lastRenderedPageBreak/>
              <w:t xml:space="preserve">Section 33(1) of the Act </w:t>
            </w:r>
            <w:r w:rsidR="00013172">
              <w:rPr>
                <w:rFonts w:ascii="Arial" w:hAnsi="Arial" w:cs="Arial"/>
              </w:rPr>
              <w:t xml:space="preserve">is clear and </w:t>
            </w:r>
            <w:r w:rsidRPr="00113274">
              <w:rPr>
                <w:rFonts w:ascii="Arial" w:hAnsi="Arial" w:cs="Arial"/>
              </w:rPr>
              <w:t>provides</w:t>
            </w:r>
            <w:r w:rsidR="00013172">
              <w:rPr>
                <w:rFonts w:ascii="Arial" w:hAnsi="Arial" w:cs="Arial"/>
              </w:rPr>
              <w:t xml:space="preserve"> as follows</w:t>
            </w:r>
            <w:r w:rsidRPr="00113274">
              <w:rPr>
                <w:rFonts w:ascii="Arial" w:hAnsi="Arial" w:cs="Arial"/>
              </w:rPr>
              <w:t>:</w:t>
            </w:r>
          </w:p>
          <w:p w:rsidR="00D01153" w:rsidRPr="00113274" w:rsidRDefault="00D01153" w:rsidP="002D1F5B">
            <w:pPr>
              <w:ind w:left="720"/>
              <w:rPr>
                <w:rFonts w:ascii="Arial" w:hAnsi="Arial" w:cs="Arial"/>
              </w:rPr>
            </w:pPr>
            <w:r w:rsidRPr="00113274">
              <w:rPr>
                <w:rFonts w:ascii="Arial" w:hAnsi="Arial" w:cs="Arial"/>
              </w:rPr>
              <w:t>“Subject to any other law no person other than a legal practitioner who has been</w:t>
            </w:r>
            <w:r w:rsidR="00915A60">
              <w:rPr>
                <w:rFonts w:ascii="Arial" w:hAnsi="Arial" w:cs="Arial"/>
              </w:rPr>
              <w:t xml:space="preserve"> </w:t>
            </w:r>
            <w:r w:rsidRPr="00113274">
              <w:rPr>
                <w:rFonts w:ascii="Arial" w:hAnsi="Arial" w:cs="Arial"/>
              </w:rPr>
              <w:t>admitted and enrolled as such in terms of this Act may, in expectation of any fee,</w:t>
            </w:r>
            <w:r w:rsidR="00915A60">
              <w:rPr>
                <w:rFonts w:ascii="Arial" w:hAnsi="Arial" w:cs="Arial"/>
              </w:rPr>
              <w:t xml:space="preserve"> </w:t>
            </w:r>
            <w:r w:rsidRPr="00113274">
              <w:rPr>
                <w:rFonts w:ascii="Arial" w:hAnsi="Arial" w:cs="Arial"/>
              </w:rPr>
              <w:t>commission, gain or reward—</w:t>
            </w:r>
          </w:p>
          <w:p w:rsidR="00D01153" w:rsidRPr="00113274" w:rsidRDefault="00D01153" w:rsidP="002D1F5B">
            <w:pPr>
              <w:ind w:left="720"/>
              <w:rPr>
                <w:rFonts w:ascii="Arial" w:hAnsi="Arial" w:cs="Arial"/>
              </w:rPr>
            </w:pPr>
            <w:r w:rsidRPr="00113274">
              <w:rPr>
                <w:rFonts w:ascii="Arial" w:hAnsi="Arial" w:cs="Arial"/>
              </w:rPr>
              <w:t>(a)</w:t>
            </w:r>
            <w:r w:rsidR="00915A60">
              <w:rPr>
                <w:rFonts w:ascii="Arial" w:hAnsi="Arial" w:cs="Arial"/>
              </w:rPr>
              <w:tab/>
            </w:r>
            <w:r w:rsidRPr="00113274">
              <w:rPr>
                <w:rFonts w:ascii="Arial" w:hAnsi="Arial" w:cs="Arial"/>
              </w:rPr>
              <w:t xml:space="preserve">appear in any court of law or before any board, tribunal or similar </w:t>
            </w:r>
            <w:r w:rsidR="00915A60">
              <w:rPr>
                <w:rFonts w:ascii="Arial" w:hAnsi="Arial" w:cs="Arial"/>
              </w:rPr>
              <w:tab/>
            </w:r>
            <w:r w:rsidRPr="00113274">
              <w:rPr>
                <w:rFonts w:ascii="Arial" w:hAnsi="Arial" w:cs="Arial"/>
              </w:rPr>
              <w:t>institution</w:t>
            </w:r>
            <w:r w:rsidR="00915A60">
              <w:rPr>
                <w:rFonts w:ascii="Arial" w:hAnsi="Arial" w:cs="Arial"/>
              </w:rPr>
              <w:t xml:space="preserve"> </w:t>
            </w:r>
            <w:r w:rsidRPr="00113274">
              <w:rPr>
                <w:rFonts w:ascii="Arial" w:hAnsi="Arial" w:cs="Arial"/>
              </w:rPr>
              <w:t>in which only legal practitioners are entitled to appear; or</w:t>
            </w:r>
          </w:p>
          <w:p w:rsidR="00D01153" w:rsidRDefault="00D01153" w:rsidP="002D1F5B">
            <w:pPr>
              <w:ind w:left="720"/>
              <w:rPr>
                <w:rFonts w:ascii="Arial" w:hAnsi="Arial" w:cs="Arial"/>
              </w:rPr>
            </w:pPr>
            <w:r w:rsidRPr="00113274">
              <w:rPr>
                <w:rFonts w:ascii="Arial" w:hAnsi="Arial" w:cs="Arial"/>
              </w:rPr>
              <w:t>(b)</w:t>
            </w:r>
            <w:r w:rsidR="00915A60">
              <w:rPr>
                <w:rFonts w:ascii="Arial" w:hAnsi="Arial" w:cs="Arial"/>
              </w:rPr>
              <w:tab/>
            </w:r>
            <w:proofErr w:type="gramStart"/>
            <w:r w:rsidRPr="00113274">
              <w:rPr>
                <w:rFonts w:ascii="Arial" w:hAnsi="Arial" w:cs="Arial"/>
              </w:rPr>
              <w:t>draw</w:t>
            </w:r>
            <w:proofErr w:type="gramEnd"/>
            <w:r w:rsidRPr="00113274">
              <w:rPr>
                <w:rFonts w:ascii="Arial" w:hAnsi="Arial" w:cs="Arial"/>
              </w:rPr>
              <w:t xml:space="preserve"> up or execute any instruments or documents relating to or required or</w:t>
            </w:r>
            <w:r w:rsidR="00915A60">
              <w:rPr>
                <w:rFonts w:ascii="Arial" w:hAnsi="Arial" w:cs="Arial"/>
              </w:rPr>
              <w:t xml:space="preserve"> </w:t>
            </w:r>
            <w:r w:rsidRPr="00113274">
              <w:rPr>
                <w:rFonts w:ascii="Arial" w:hAnsi="Arial" w:cs="Arial"/>
              </w:rPr>
              <w:t>intended for use in any action, suit or other proceedings in a court of civil or</w:t>
            </w:r>
            <w:r w:rsidR="00915A60">
              <w:rPr>
                <w:rFonts w:ascii="Arial" w:hAnsi="Arial" w:cs="Arial"/>
              </w:rPr>
              <w:t xml:space="preserve"> </w:t>
            </w:r>
            <w:r w:rsidRPr="00113274">
              <w:rPr>
                <w:rFonts w:ascii="Arial" w:hAnsi="Arial" w:cs="Arial"/>
              </w:rPr>
              <w:t>criminal jurisdiction within the Republic.”</w:t>
            </w:r>
          </w:p>
          <w:p w:rsidR="002D1F5B" w:rsidRPr="00113274" w:rsidRDefault="002D1F5B" w:rsidP="002D1F5B">
            <w:pPr>
              <w:ind w:left="720"/>
              <w:rPr>
                <w:rFonts w:ascii="Arial" w:hAnsi="Arial" w:cs="Arial"/>
              </w:rPr>
            </w:pPr>
          </w:p>
          <w:p w:rsidR="00FC38E0" w:rsidRDefault="00915A60" w:rsidP="00113274">
            <w:pPr>
              <w:rPr>
                <w:rFonts w:ascii="Arial" w:hAnsi="Arial" w:cs="Arial"/>
              </w:rPr>
            </w:pPr>
            <w:r>
              <w:rPr>
                <w:rFonts w:ascii="Arial" w:hAnsi="Arial" w:cs="Arial"/>
              </w:rPr>
              <w:t xml:space="preserve">As indicated above there is a very short list of reserved work for practising legal practitioners who have Fidelity Fund certificates.  Non-practising legal practitioners are not allowed to do this reserved </w:t>
            </w:r>
            <w:proofErr w:type="gramStart"/>
            <w:r>
              <w:rPr>
                <w:rFonts w:ascii="Arial" w:hAnsi="Arial" w:cs="Arial"/>
              </w:rPr>
              <w:t>work,</w:t>
            </w:r>
            <w:proofErr w:type="gramEnd"/>
            <w:r>
              <w:rPr>
                <w:rFonts w:ascii="Arial" w:hAnsi="Arial" w:cs="Arial"/>
              </w:rPr>
              <w:t xml:space="preserve"> the main reason being is that they do not have Fidelity Fund certificates.  Legal services not listed in section 33(1</w:t>
            </w:r>
            <w:proofErr w:type="gramStart"/>
            <w:r>
              <w:rPr>
                <w:rFonts w:ascii="Arial" w:hAnsi="Arial" w:cs="Arial"/>
              </w:rPr>
              <w:t>)(</w:t>
            </w:r>
            <w:proofErr w:type="gramEnd"/>
            <w:r>
              <w:rPr>
                <w:rFonts w:ascii="Arial" w:hAnsi="Arial" w:cs="Arial"/>
              </w:rPr>
              <w:t>a) or (b) can be offered by non-practising legal practitioners, unless it is prohibited by any other law.  To try and list what else may or may not be done by non-practising legal practitioners, as suggested, is not feasible.</w:t>
            </w:r>
            <w:r w:rsidR="00013172">
              <w:rPr>
                <w:rFonts w:ascii="Arial" w:hAnsi="Arial" w:cs="Arial"/>
              </w:rPr>
              <w:t xml:space="preserve">  </w:t>
            </w:r>
          </w:p>
          <w:p w:rsidR="002D1F5B" w:rsidRPr="00113274" w:rsidRDefault="002D1F5B" w:rsidP="00113274">
            <w:pPr>
              <w:rPr>
                <w:rFonts w:ascii="Arial" w:hAnsi="Arial" w:cs="Arial"/>
              </w:rPr>
            </w:pPr>
          </w:p>
          <w:p w:rsidR="00FC38E0" w:rsidRDefault="00FC38E0" w:rsidP="00013172">
            <w:pPr>
              <w:rPr>
                <w:rFonts w:ascii="Arial" w:hAnsi="Arial" w:cs="Arial"/>
              </w:rPr>
            </w:pPr>
            <w:r w:rsidRPr="00113274">
              <w:rPr>
                <w:rFonts w:ascii="Arial" w:hAnsi="Arial" w:cs="Arial"/>
              </w:rPr>
              <w:t>The provisions relating to practi</w:t>
            </w:r>
            <w:r w:rsidR="00013172">
              <w:rPr>
                <w:rFonts w:ascii="Arial" w:hAnsi="Arial" w:cs="Arial"/>
              </w:rPr>
              <w:t>s</w:t>
            </w:r>
            <w:r w:rsidRPr="00113274">
              <w:rPr>
                <w:rFonts w:ascii="Arial" w:hAnsi="Arial" w:cs="Arial"/>
              </w:rPr>
              <w:t>ing and non-practi</w:t>
            </w:r>
            <w:r w:rsidR="00013172">
              <w:rPr>
                <w:rFonts w:ascii="Arial" w:hAnsi="Arial" w:cs="Arial"/>
              </w:rPr>
              <w:t>s</w:t>
            </w:r>
            <w:r w:rsidRPr="00113274">
              <w:rPr>
                <w:rFonts w:ascii="Arial" w:hAnsi="Arial" w:cs="Arial"/>
              </w:rPr>
              <w:t xml:space="preserve">ing </w:t>
            </w:r>
            <w:r w:rsidR="00013172">
              <w:rPr>
                <w:rFonts w:ascii="Arial" w:hAnsi="Arial" w:cs="Arial"/>
              </w:rPr>
              <w:t xml:space="preserve">legal </w:t>
            </w:r>
            <w:r w:rsidRPr="00113274">
              <w:rPr>
                <w:rFonts w:ascii="Arial" w:hAnsi="Arial" w:cs="Arial"/>
              </w:rPr>
              <w:t xml:space="preserve">practitioners are </w:t>
            </w:r>
            <w:r w:rsidR="00013172">
              <w:rPr>
                <w:rFonts w:ascii="Arial" w:hAnsi="Arial" w:cs="Arial"/>
              </w:rPr>
              <w:t>for</w:t>
            </w:r>
            <w:r w:rsidRPr="00113274">
              <w:rPr>
                <w:rFonts w:ascii="Arial" w:hAnsi="Arial" w:cs="Arial"/>
              </w:rPr>
              <w:t xml:space="preserve"> the protection of the clients. </w:t>
            </w:r>
          </w:p>
          <w:p w:rsidR="00013172" w:rsidRDefault="00013172" w:rsidP="00013172">
            <w:pPr>
              <w:rPr>
                <w:rFonts w:ascii="Arial" w:hAnsi="Arial" w:cs="Arial"/>
              </w:rPr>
            </w:pPr>
          </w:p>
          <w:p w:rsidR="0006346F" w:rsidRDefault="00013172" w:rsidP="00013172">
            <w:pPr>
              <w:rPr>
                <w:rFonts w:ascii="Arial" w:hAnsi="Arial" w:cs="Arial"/>
              </w:rPr>
            </w:pPr>
            <w:r>
              <w:rPr>
                <w:rFonts w:ascii="Arial" w:hAnsi="Arial" w:cs="Arial"/>
              </w:rPr>
              <w:lastRenderedPageBreak/>
              <w:t xml:space="preserve">The Department does not agree.  The </w:t>
            </w:r>
            <w:r w:rsidR="0019095D">
              <w:rPr>
                <w:rFonts w:ascii="Arial" w:hAnsi="Arial" w:cs="Arial"/>
              </w:rPr>
              <w:t>Bill</w:t>
            </w:r>
            <w:r>
              <w:rPr>
                <w:rFonts w:ascii="Arial" w:hAnsi="Arial" w:cs="Arial"/>
              </w:rPr>
              <w:t xml:space="preserve"> does not change the position relating to legal consultants/corporate counsel/corporate lawyers at all.  They can continue offering the services that they have done to date.  See also response above in respect of the National Bar Council of South Africa.  The Act distinguishes in numerous place</w:t>
            </w:r>
            <w:r w:rsidR="0006346F">
              <w:rPr>
                <w:rFonts w:ascii="Arial" w:hAnsi="Arial" w:cs="Arial"/>
              </w:rPr>
              <w:t>s between practising and non-practising legal practitioners where such a distinction is necessary.  Failure to do so could result in unintended consequences, for instance the following:</w:t>
            </w:r>
          </w:p>
          <w:p w:rsidR="0006346F" w:rsidRDefault="0006346F" w:rsidP="00013172">
            <w:pPr>
              <w:rPr>
                <w:rFonts w:ascii="Arial" w:hAnsi="Arial" w:cs="Arial"/>
              </w:rPr>
            </w:pPr>
            <w:r>
              <w:rPr>
                <w:rFonts w:ascii="Arial" w:hAnsi="Arial" w:cs="Arial"/>
              </w:rPr>
              <w:t>(i)</w:t>
            </w:r>
            <w:r>
              <w:rPr>
                <w:rFonts w:ascii="Arial" w:hAnsi="Arial" w:cs="Arial"/>
              </w:rPr>
              <w:tab/>
              <w:t>Section 3(b</w:t>
            </w:r>
            <w:proofErr w:type="gramStart"/>
            <w:r>
              <w:rPr>
                <w:rFonts w:ascii="Arial" w:hAnsi="Arial" w:cs="Arial"/>
              </w:rPr>
              <w:t>)(</w:t>
            </w:r>
            <w:proofErr w:type="gramEnd"/>
            <w:r>
              <w:rPr>
                <w:rFonts w:ascii="Arial" w:hAnsi="Arial" w:cs="Arial"/>
              </w:rPr>
              <w:t>ii) provides that the pu</w:t>
            </w:r>
            <w:r w:rsidR="002D1F5B">
              <w:rPr>
                <w:rFonts w:ascii="Arial" w:hAnsi="Arial" w:cs="Arial"/>
              </w:rPr>
              <w:t xml:space="preserve">rpose of the Act is to broaden </w:t>
            </w:r>
            <w:r>
              <w:rPr>
                <w:rFonts w:ascii="Arial" w:hAnsi="Arial" w:cs="Arial"/>
              </w:rPr>
              <w:t>access to justice by putting in place measures to provide for the rendering of community service by “practising legal practitioners”.  Were this distinction not made, then corporate lawyers would have to render community service, which certainly is not the intention.</w:t>
            </w:r>
          </w:p>
          <w:p w:rsidR="00013172" w:rsidRDefault="0006346F" w:rsidP="0006346F">
            <w:pPr>
              <w:rPr>
                <w:rFonts w:ascii="Arial" w:hAnsi="Arial" w:cs="Arial"/>
              </w:rPr>
            </w:pPr>
            <w:r>
              <w:rPr>
                <w:rFonts w:ascii="Arial" w:hAnsi="Arial" w:cs="Arial"/>
              </w:rPr>
              <w:t>(ii)</w:t>
            </w:r>
            <w:r>
              <w:rPr>
                <w:rFonts w:ascii="Arial" w:hAnsi="Arial" w:cs="Arial"/>
              </w:rPr>
              <w:tab/>
              <w:t>Section</w:t>
            </w:r>
            <w:r w:rsidR="00013172">
              <w:rPr>
                <w:rFonts w:ascii="Arial" w:hAnsi="Arial" w:cs="Arial"/>
              </w:rPr>
              <w:t xml:space="preserve"> </w:t>
            </w:r>
            <w:r>
              <w:rPr>
                <w:rFonts w:ascii="Arial" w:hAnsi="Arial" w:cs="Arial"/>
              </w:rPr>
              <w:t>6(4</w:t>
            </w:r>
            <w:proofErr w:type="gramStart"/>
            <w:r>
              <w:rPr>
                <w:rFonts w:ascii="Arial" w:hAnsi="Arial" w:cs="Arial"/>
              </w:rPr>
              <w:t>)(</w:t>
            </w:r>
            <w:proofErr w:type="gramEnd"/>
            <w:r>
              <w:rPr>
                <w:rFonts w:ascii="Arial" w:hAnsi="Arial" w:cs="Arial"/>
              </w:rPr>
              <w:t>c) provides that the Council</w:t>
            </w:r>
            <w:r w:rsidR="002D1F5B">
              <w:rPr>
                <w:rFonts w:ascii="Arial" w:hAnsi="Arial" w:cs="Arial"/>
              </w:rPr>
              <w:t xml:space="preserve"> must, in the rules, determine </w:t>
            </w:r>
            <w:r>
              <w:rPr>
                <w:rFonts w:ascii="Arial" w:hAnsi="Arial" w:cs="Arial"/>
              </w:rPr>
              <w:t>annual fees payable by all legal practising legal practitioners.  Were this distinction not made, then corporate lawyers would also have to pay annual fees to the Council.</w:t>
            </w:r>
          </w:p>
          <w:p w:rsidR="0006346F" w:rsidRDefault="0006346F" w:rsidP="0006346F">
            <w:pPr>
              <w:rPr>
                <w:rFonts w:ascii="Arial" w:hAnsi="Arial" w:cs="Arial"/>
              </w:rPr>
            </w:pPr>
            <w:r>
              <w:rPr>
                <w:rFonts w:ascii="Arial" w:hAnsi="Arial" w:cs="Arial"/>
              </w:rPr>
              <w:t>(iii)</w:t>
            </w:r>
            <w:r>
              <w:rPr>
                <w:rFonts w:ascii="Arial" w:hAnsi="Arial" w:cs="Arial"/>
              </w:rPr>
              <w:tab/>
              <w:t>Section 29(1)(b) provides that the Minister must prescribe the requirements for community service</w:t>
            </w:r>
            <w:r w:rsidR="00804DBF">
              <w:rPr>
                <w:rFonts w:ascii="Arial" w:hAnsi="Arial" w:cs="Arial"/>
              </w:rPr>
              <w:t xml:space="preserve"> and such requirements may </w:t>
            </w:r>
            <w:r w:rsidR="002D1F5B">
              <w:rPr>
                <w:rFonts w:ascii="Arial" w:hAnsi="Arial" w:cs="Arial"/>
              </w:rPr>
              <w:t>i</w:t>
            </w:r>
            <w:r w:rsidR="00804DBF">
              <w:rPr>
                <w:rFonts w:ascii="Arial" w:hAnsi="Arial" w:cs="Arial"/>
              </w:rPr>
              <w:t>nclude a minimum period of recurring community service by “practising legal practitioners” upon which continued enrolment as a legal practitioner is dependent.</w:t>
            </w:r>
          </w:p>
          <w:p w:rsidR="00804DBF" w:rsidRDefault="00804DBF" w:rsidP="0006346F">
            <w:pPr>
              <w:rPr>
                <w:rFonts w:ascii="Arial" w:hAnsi="Arial" w:cs="Arial"/>
              </w:rPr>
            </w:pPr>
          </w:p>
          <w:p w:rsidR="00804DBF" w:rsidRDefault="00804DBF" w:rsidP="0006346F">
            <w:pPr>
              <w:rPr>
                <w:rFonts w:ascii="Arial" w:hAnsi="Arial" w:cs="Arial"/>
              </w:rPr>
            </w:pPr>
            <w:r>
              <w:rPr>
                <w:rFonts w:ascii="Arial" w:hAnsi="Arial" w:cs="Arial"/>
              </w:rPr>
              <w:t>The Act does recognize legal consultants who are admitted and enrolled on the roll of non-</w:t>
            </w:r>
            <w:proofErr w:type="spellStart"/>
            <w:r>
              <w:rPr>
                <w:rFonts w:ascii="Arial" w:hAnsi="Arial" w:cs="Arial"/>
              </w:rPr>
              <w:t>practising</w:t>
            </w:r>
            <w:proofErr w:type="spellEnd"/>
            <w:r>
              <w:rPr>
                <w:rFonts w:ascii="Arial" w:hAnsi="Arial" w:cs="Arial"/>
              </w:rPr>
              <w:t xml:space="preserve"> legal practitioners.</w:t>
            </w:r>
          </w:p>
          <w:p w:rsidR="002D1F5B" w:rsidRPr="00113274" w:rsidRDefault="002D1F5B" w:rsidP="0006346F">
            <w:pPr>
              <w:rPr>
                <w:rFonts w:ascii="Arial" w:hAnsi="Arial" w:cs="Arial"/>
              </w:rPr>
            </w:pPr>
          </w:p>
        </w:tc>
      </w:tr>
      <w:tr w:rsidR="00E8761E" w:rsidRPr="003B3B20" w:rsidTr="00345DCD">
        <w:tc>
          <w:tcPr>
            <w:tcW w:w="430" w:type="pct"/>
          </w:tcPr>
          <w:p w:rsidR="00E8761E" w:rsidRPr="00113274" w:rsidRDefault="00E8761E" w:rsidP="00113274">
            <w:pPr>
              <w:rPr>
                <w:rFonts w:ascii="Arial" w:hAnsi="Arial" w:cs="Arial"/>
              </w:rPr>
            </w:pPr>
            <w:r w:rsidRPr="00113274">
              <w:rPr>
                <w:rFonts w:ascii="Arial" w:hAnsi="Arial" w:cs="Arial"/>
              </w:rPr>
              <w:lastRenderedPageBreak/>
              <w:t>3</w:t>
            </w:r>
          </w:p>
        </w:tc>
        <w:tc>
          <w:tcPr>
            <w:tcW w:w="546" w:type="pct"/>
          </w:tcPr>
          <w:p w:rsidR="00E8761E" w:rsidRPr="00113274" w:rsidRDefault="00E8761E" w:rsidP="00113274">
            <w:pPr>
              <w:rPr>
                <w:rFonts w:ascii="Arial" w:eastAsia="Calibri" w:hAnsi="Arial" w:cs="Arial"/>
              </w:rPr>
            </w:pPr>
            <w:r w:rsidRPr="00113274">
              <w:rPr>
                <w:rFonts w:ascii="Arial" w:eastAsia="Calibri" w:hAnsi="Arial" w:cs="Arial"/>
              </w:rPr>
              <w:t>Banking Association South Africa</w:t>
            </w:r>
          </w:p>
        </w:tc>
        <w:tc>
          <w:tcPr>
            <w:tcW w:w="1029" w:type="pct"/>
          </w:tcPr>
          <w:p w:rsidR="008E42AB" w:rsidRDefault="008E42AB" w:rsidP="00113274">
            <w:pPr>
              <w:rPr>
                <w:rFonts w:ascii="Arial" w:hAnsi="Arial" w:cs="Arial"/>
              </w:rPr>
            </w:pPr>
            <w:r>
              <w:rPr>
                <w:rFonts w:ascii="Arial" w:hAnsi="Arial" w:cs="Arial"/>
              </w:rPr>
              <w:t xml:space="preserve">The Banking Association is of the view that the Act is not intended to regulate the affairs of corporate counsel.  It refers to a </w:t>
            </w:r>
            <w:r>
              <w:rPr>
                <w:rFonts w:ascii="Arial" w:hAnsi="Arial" w:cs="Arial"/>
              </w:rPr>
              <w:lastRenderedPageBreak/>
              <w:t>number of provisions in the Act which in the opinion of the Banking Association are examples that the Act does not apply to corporate counsel.  It argues that the proposed amendments in clause 3 demonstrates and confirms that the meaning of “legal practitioner” in the Act was never intended t</w:t>
            </w:r>
            <w:r w:rsidR="009719AE">
              <w:rPr>
                <w:rFonts w:ascii="Arial" w:hAnsi="Arial" w:cs="Arial"/>
              </w:rPr>
              <w:t>o include corporate counsel.  It</w:t>
            </w:r>
            <w:r>
              <w:rPr>
                <w:rFonts w:ascii="Arial" w:hAnsi="Arial" w:cs="Arial"/>
              </w:rPr>
              <w:t xml:space="preserve"> argues further that if the purpose of the Act was</w:t>
            </w:r>
            <w:r w:rsidR="009719AE">
              <w:rPr>
                <w:rFonts w:ascii="Arial" w:hAnsi="Arial" w:cs="Arial"/>
              </w:rPr>
              <w:t xml:space="preserve"> indeed</w:t>
            </w:r>
            <w:r>
              <w:rPr>
                <w:rFonts w:ascii="Arial" w:hAnsi="Arial" w:cs="Arial"/>
              </w:rPr>
              <w:t xml:space="preserve"> also to regulate the conduct and affairs of</w:t>
            </w:r>
            <w:r w:rsidR="009719AE">
              <w:rPr>
                <w:rFonts w:ascii="Arial" w:hAnsi="Arial" w:cs="Arial"/>
              </w:rPr>
              <w:t xml:space="preserve"> corporate counsel, the proposed amendments contained in clause 3 have the potential of depriving corporate counsel of legislative </w:t>
            </w:r>
            <w:proofErr w:type="gramStart"/>
            <w:r w:rsidR="009719AE">
              <w:rPr>
                <w:rFonts w:ascii="Arial" w:hAnsi="Arial" w:cs="Arial"/>
              </w:rPr>
              <w:t>competencies  to</w:t>
            </w:r>
            <w:proofErr w:type="gramEnd"/>
            <w:r w:rsidR="009719AE">
              <w:rPr>
                <w:rFonts w:ascii="Arial" w:hAnsi="Arial" w:cs="Arial"/>
              </w:rPr>
              <w:t xml:space="preserve"> render certain legal services it has in terms of the current section 33 of the </w:t>
            </w:r>
            <w:r w:rsidR="009719AE">
              <w:rPr>
                <w:rFonts w:ascii="Arial" w:hAnsi="Arial" w:cs="Arial"/>
              </w:rPr>
              <w:lastRenderedPageBreak/>
              <w:t>Act.</w:t>
            </w:r>
            <w:r>
              <w:rPr>
                <w:rFonts w:ascii="Arial" w:hAnsi="Arial" w:cs="Arial"/>
              </w:rPr>
              <w:t xml:space="preserve"> </w:t>
            </w:r>
          </w:p>
          <w:p w:rsidR="008E42AB" w:rsidRDefault="008E42AB" w:rsidP="00113274">
            <w:pPr>
              <w:rPr>
                <w:rFonts w:ascii="Arial" w:hAnsi="Arial" w:cs="Arial"/>
              </w:rPr>
            </w:pPr>
          </w:p>
          <w:p w:rsidR="00E8761E" w:rsidRPr="00113274" w:rsidRDefault="00E8761E" w:rsidP="0019095D">
            <w:pPr>
              <w:rPr>
                <w:rFonts w:ascii="Arial" w:hAnsi="Arial" w:cs="Arial"/>
              </w:rPr>
            </w:pPr>
            <w:r w:rsidRPr="00113274">
              <w:rPr>
                <w:rFonts w:ascii="Arial" w:hAnsi="Arial" w:cs="Arial"/>
              </w:rPr>
              <w:t xml:space="preserve">The word ‘practising’ </w:t>
            </w:r>
            <w:r w:rsidR="0019095D">
              <w:rPr>
                <w:rFonts w:ascii="Arial" w:hAnsi="Arial" w:cs="Arial"/>
              </w:rPr>
              <w:t xml:space="preserve">should also be </w:t>
            </w:r>
            <w:r w:rsidRPr="00113274">
              <w:rPr>
                <w:rFonts w:ascii="Arial" w:hAnsi="Arial" w:cs="Arial"/>
              </w:rPr>
              <w:t xml:space="preserve">inserted in section 34 of the Act too. </w:t>
            </w:r>
          </w:p>
        </w:tc>
        <w:tc>
          <w:tcPr>
            <w:tcW w:w="2995" w:type="pct"/>
          </w:tcPr>
          <w:p w:rsidR="008E42AB" w:rsidRDefault="009719AE" w:rsidP="00113274">
            <w:pPr>
              <w:rPr>
                <w:rFonts w:ascii="Arial" w:hAnsi="Arial" w:cs="Arial"/>
              </w:rPr>
            </w:pPr>
            <w:r>
              <w:rPr>
                <w:rFonts w:ascii="Arial" w:hAnsi="Arial" w:cs="Arial"/>
              </w:rPr>
              <w:lastRenderedPageBreak/>
              <w:t>The Department does not agree with the conclusions reached by the Banking Association.  As indicated above, the Act is primarily focused on practising legal practitioners.  However, in terms of the definition of “legal practitioner” a person is a legal practitioner if he or she is admitted and enrolled as such under sections 23 and 30, respectively, even if he or she is on the roll of non-</w:t>
            </w:r>
            <w:proofErr w:type="spellStart"/>
            <w:r>
              <w:rPr>
                <w:rFonts w:ascii="Arial" w:hAnsi="Arial" w:cs="Arial"/>
              </w:rPr>
              <w:t>practising</w:t>
            </w:r>
            <w:proofErr w:type="spellEnd"/>
            <w:r>
              <w:rPr>
                <w:rFonts w:ascii="Arial" w:hAnsi="Arial" w:cs="Arial"/>
              </w:rPr>
              <w:t xml:space="preserve"> legal practitioners and to that extent falls under the jurisdiction of </w:t>
            </w:r>
            <w:r>
              <w:rPr>
                <w:rFonts w:ascii="Arial" w:hAnsi="Arial" w:cs="Arial"/>
              </w:rPr>
              <w:lastRenderedPageBreak/>
              <w:t xml:space="preserve">the Act.  An </w:t>
            </w:r>
            <w:proofErr w:type="gramStart"/>
            <w:r>
              <w:rPr>
                <w:rFonts w:ascii="Arial" w:hAnsi="Arial" w:cs="Arial"/>
              </w:rPr>
              <w:t>attorney</w:t>
            </w:r>
            <w:proofErr w:type="gramEnd"/>
            <w:r>
              <w:rPr>
                <w:rFonts w:ascii="Arial" w:hAnsi="Arial" w:cs="Arial"/>
              </w:rPr>
              <w:t xml:space="preserve"> who is on the roll of non-</w:t>
            </w:r>
            <w:proofErr w:type="spellStart"/>
            <w:r>
              <w:rPr>
                <w:rFonts w:ascii="Arial" w:hAnsi="Arial" w:cs="Arial"/>
              </w:rPr>
              <w:t>practising</w:t>
            </w:r>
            <w:proofErr w:type="spellEnd"/>
            <w:r>
              <w:rPr>
                <w:rFonts w:ascii="Arial" w:hAnsi="Arial" w:cs="Arial"/>
              </w:rPr>
              <w:t xml:space="preserve"> attorneys, remains an attorney even though not in active practice and remains a member of the legal profession.  Nothing stops persons falling in this category from continuing to call themselves “admitted attorneys or admitted advocates” which they often do when applying for prospective </w:t>
            </w:r>
            <w:r w:rsidR="001C088D">
              <w:rPr>
                <w:rFonts w:ascii="Arial" w:hAnsi="Arial" w:cs="Arial"/>
              </w:rPr>
              <w:t xml:space="preserve">job opportunities.  If they want the benefits deriving from being a member of the legal profession they must then realize that they, in limited circumstances, will also fall under the jurisdiction of the SA Legal Practice Council which, in terms of section 5(d) of the Act, must “regulate all legal practitioners (as defined) and all candidate legal practitioners”.  These limited circumstances relate mostly to cases of gross misconduct which could result in a non-practising legal practitioner being struck off the roll. </w:t>
            </w:r>
            <w:r>
              <w:rPr>
                <w:rFonts w:ascii="Arial" w:hAnsi="Arial" w:cs="Arial"/>
              </w:rPr>
              <w:t xml:space="preserve">  </w:t>
            </w:r>
          </w:p>
          <w:p w:rsidR="001C088D" w:rsidRDefault="001C088D" w:rsidP="00113274">
            <w:pPr>
              <w:rPr>
                <w:rFonts w:ascii="Arial" w:hAnsi="Arial" w:cs="Arial"/>
              </w:rPr>
            </w:pPr>
          </w:p>
          <w:p w:rsidR="008E42AB" w:rsidRDefault="001C088D" w:rsidP="00113274">
            <w:pPr>
              <w:rPr>
                <w:rFonts w:ascii="Arial" w:hAnsi="Arial" w:cs="Arial"/>
              </w:rPr>
            </w:pPr>
            <w:r>
              <w:rPr>
                <w:rFonts w:ascii="Arial" w:hAnsi="Arial" w:cs="Arial"/>
              </w:rPr>
              <w:t>The term “</w:t>
            </w:r>
            <w:r w:rsidRPr="00113274">
              <w:rPr>
                <w:rFonts w:ascii="Arial" w:hAnsi="Arial" w:cs="Arial"/>
              </w:rPr>
              <w:t>practising</w:t>
            </w:r>
            <w:r>
              <w:rPr>
                <w:rFonts w:ascii="Arial" w:hAnsi="Arial" w:cs="Arial"/>
              </w:rPr>
              <w:t xml:space="preserve"> legal practitioner”</w:t>
            </w:r>
            <w:r w:rsidRPr="00113274">
              <w:rPr>
                <w:rFonts w:ascii="Arial" w:hAnsi="Arial" w:cs="Arial"/>
              </w:rPr>
              <w:t xml:space="preserve"> is used in numerous </w:t>
            </w:r>
            <w:r>
              <w:rPr>
                <w:rFonts w:ascii="Arial" w:hAnsi="Arial" w:cs="Arial"/>
              </w:rPr>
              <w:t>places</w:t>
            </w:r>
            <w:r w:rsidRPr="00113274">
              <w:rPr>
                <w:rFonts w:ascii="Arial" w:hAnsi="Arial" w:cs="Arial"/>
              </w:rPr>
              <w:t xml:space="preserve"> in the Act </w:t>
            </w:r>
            <w:r>
              <w:rPr>
                <w:rFonts w:ascii="Arial" w:hAnsi="Arial" w:cs="Arial"/>
              </w:rPr>
              <w:t>where it is necessary to distinguish between practising and non-practising legal practitioners, as does the Attorneys Act, 1979, in respect of practising and non-practising attorneys.</w:t>
            </w:r>
          </w:p>
          <w:p w:rsidR="001C088D" w:rsidRDefault="001C088D" w:rsidP="00113274">
            <w:pPr>
              <w:rPr>
                <w:rFonts w:ascii="Arial" w:hAnsi="Arial" w:cs="Arial"/>
              </w:rPr>
            </w:pPr>
          </w:p>
          <w:p w:rsidR="001C088D" w:rsidRDefault="001C088D" w:rsidP="00113274">
            <w:pPr>
              <w:rPr>
                <w:rFonts w:ascii="Arial" w:hAnsi="Arial" w:cs="Arial"/>
              </w:rPr>
            </w:pPr>
            <w:r>
              <w:rPr>
                <w:rFonts w:ascii="Arial" w:hAnsi="Arial" w:cs="Arial"/>
              </w:rPr>
              <w:t xml:space="preserve">The amendments proposed in clause 3 do not have the potential of depriving corporate counsel of legislative competencies  to render certain legal services it has in terms of the current section 33 of the Act, as alleged by the Banking Council.  The </w:t>
            </w:r>
            <w:r w:rsidR="0019095D">
              <w:rPr>
                <w:rFonts w:ascii="Arial" w:hAnsi="Arial" w:cs="Arial"/>
              </w:rPr>
              <w:t>Bill</w:t>
            </w:r>
            <w:r>
              <w:rPr>
                <w:rFonts w:ascii="Arial" w:hAnsi="Arial" w:cs="Arial"/>
              </w:rPr>
              <w:t xml:space="preserve"> does not change the position relating to legal consultants/corporate counsel/corporate lawyers at all.  They can continue offering the services that they have done to date.</w:t>
            </w:r>
            <w:r w:rsidR="0019095D">
              <w:rPr>
                <w:rFonts w:ascii="Arial" w:hAnsi="Arial" w:cs="Arial"/>
              </w:rPr>
              <w:t xml:space="preserve">  The proposed amendment will not preclude corporate counsel from continuing to offer legal services for remuneration so long as those services do not amount to the reserved work set out in section 33(1</w:t>
            </w:r>
            <w:proofErr w:type="gramStart"/>
            <w:r w:rsidR="0019095D">
              <w:rPr>
                <w:rFonts w:ascii="Arial" w:hAnsi="Arial" w:cs="Arial"/>
              </w:rPr>
              <w:t>)(</w:t>
            </w:r>
            <w:proofErr w:type="gramEnd"/>
            <w:r w:rsidR="0019095D">
              <w:rPr>
                <w:rFonts w:ascii="Arial" w:hAnsi="Arial" w:cs="Arial"/>
              </w:rPr>
              <w:t>a) and (b).</w:t>
            </w:r>
          </w:p>
          <w:p w:rsidR="008E42AB" w:rsidRDefault="008E42AB" w:rsidP="00113274">
            <w:pPr>
              <w:rPr>
                <w:rFonts w:ascii="Arial" w:hAnsi="Arial" w:cs="Arial"/>
              </w:rPr>
            </w:pPr>
          </w:p>
          <w:p w:rsidR="008E42AB" w:rsidRDefault="008E42AB" w:rsidP="00113274">
            <w:pPr>
              <w:rPr>
                <w:rFonts w:ascii="Arial" w:hAnsi="Arial" w:cs="Arial"/>
              </w:rPr>
            </w:pPr>
          </w:p>
          <w:p w:rsidR="00E8761E" w:rsidRPr="00113274" w:rsidRDefault="0019095D" w:rsidP="0019095D">
            <w:pPr>
              <w:rPr>
                <w:rFonts w:ascii="Arial" w:hAnsi="Arial" w:cs="Arial"/>
              </w:rPr>
            </w:pPr>
            <w:r>
              <w:rPr>
                <w:rFonts w:ascii="Arial" w:hAnsi="Arial" w:cs="Arial"/>
              </w:rPr>
              <w:t>As indicated above, the term “</w:t>
            </w:r>
            <w:r w:rsidRPr="00113274">
              <w:rPr>
                <w:rFonts w:ascii="Arial" w:hAnsi="Arial" w:cs="Arial"/>
              </w:rPr>
              <w:t>practising</w:t>
            </w:r>
            <w:r>
              <w:rPr>
                <w:rFonts w:ascii="Arial" w:hAnsi="Arial" w:cs="Arial"/>
              </w:rPr>
              <w:t xml:space="preserve"> legal practitioner”</w:t>
            </w:r>
            <w:r w:rsidRPr="00113274">
              <w:rPr>
                <w:rFonts w:ascii="Arial" w:hAnsi="Arial" w:cs="Arial"/>
              </w:rPr>
              <w:t xml:space="preserve"> is used </w:t>
            </w:r>
            <w:r>
              <w:rPr>
                <w:rFonts w:ascii="Arial" w:hAnsi="Arial" w:cs="Arial"/>
              </w:rPr>
              <w:t>where it is clearly necessary to distinguish between practising and non-practising legal practitioners.  S</w:t>
            </w:r>
            <w:r w:rsidR="00E8761E" w:rsidRPr="00113274">
              <w:rPr>
                <w:rFonts w:ascii="Arial" w:hAnsi="Arial" w:cs="Arial"/>
              </w:rPr>
              <w:t xml:space="preserve">ection 34 </w:t>
            </w:r>
            <w:r>
              <w:rPr>
                <w:rFonts w:ascii="Arial" w:hAnsi="Arial" w:cs="Arial"/>
              </w:rPr>
              <w:t xml:space="preserve">deals with forms of legal practice which, in itself, </w:t>
            </w:r>
            <w:r>
              <w:rPr>
                <w:rFonts w:ascii="Arial" w:hAnsi="Arial" w:cs="Arial"/>
              </w:rPr>
              <w:lastRenderedPageBreak/>
              <w:t>means that we can only be referring to practising legal practitioners.</w:t>
            </w:r>
            <w:r w:rsidR="00E8761E" w:rsidRPr="00113274">
              <w:rPr>
                <w:rFonts w:ascii="Arial" w:hAnsi="Arial" w:cs="Arial"/>
              </w:rPr>
              <w:t xml:space="preserve"> </w:t>
            </w:r>
          </w:p>
        </w:tc>
      </w:tr>
      <w:tr w:rsidR="00B85A19" w:rsidRPr="003B3B20" w:rsidTr="00345DCD">
        <w:tc>
          <w:tcPr>
            <w:tcW w:w="430" w:type="pct"/>
          </w:tcPr>
          <w:p w:rsidR="00B85A19" w:rsidRPr="00113274" w:rsidRDefault="00B85A19" w:rsidP="00113274">
            <w:pPr>
              <w:rPr>
                <w:rFonts w:ascii="Arial" w:hAnsi="Arial" w:cs="Arial"/>
              </w:rPr>
            </w:pPr>
            <w:r>
              <w:rPr>
                <w:rFonts w:ascii="Arial" w:hAnsi="Arial" w:cs="Arial"/>
              </w:rPr>
              <w:lastRenderedPageBreak/>
              <w:t>4</w:t>
            </w:r>
          </w:p>
        </w:tc>
        <w:tc>
          <w:tcPr>
            <w:tcW w:w="546" w:type="pct"/>
          </w:tcPr>
          <w:p w:rsidR="00B85A19" w:rsidRPr="00113274" w:rsidRDefault="00B85A19" w:rsidP="00113274">
            <w:pPr>
              <w:rPr>
                <w:rFonts w:ascii="Arial" w:eastAsia="Calibri" w:hAnsi="Arial" w:cs="Arial"/>
              </w:rPr>
            </w:pPr>
            <w:r>
              <w:rPr>
                <w:rFonts w:ascii="Arial" w:eastAsia="Calibri" w:hAnsi="Arial" w:cs="Arial"/>
              </w:rPr>
              <w:t>National Bar Council of South Africa</w:t>
            </w:r>
          </w:p>
        </w:tc>
        <w:tc>
          <w:tcPr>
            <w:tcW w:w="1029" w:type="pct"/>
          </w:tcPr>
          <w:p w:rsidR="00B85A19" w:rsidRDefault="00B85A19" w:rsidP="00113274">
            <w:pPr>
              <w:rPr>
                <w:rFonts w:ascii="Arial" w:hAnsi="Arial" w:cs="Arial"/>
              </w:rPr>
            </w:pPr>
            <w:r>
              <w:rPr>
                <w:rFonts w:ascii="Arial" w:hAnsi="Arial" w:cs="Arial"/>
              </w:rPr>
              <w:t>Supports clause 4.</w:t>
            </w:r>
          </w:p>
        </w:tc>
        <w:tc>
          <w:tcPr>
            <w:tcW w:w="2995" w:type="pct"/>
          </w:tcPr>
          <w:p w:rsidR="00B85A19" w:rsidRDefault="00B85A19" w:rsidP="00113274">
            <w:pPr>
              <w:rPr>
                <w:rFonts w:ascii="Arial" w:hAnsi="Arial" w:cs="Arial"/>
              </w:rPr>
            </w:pPr>
            <w:r>
              <w:rPr>
                <w:rFonts w:ascii="Arial" w:hAnsi="Arial" w:cs="Arial"/>
              </w:rPr>
              <w:t>Noted.</w:t>
            </w:r>
          </w:p>
        </w:tc>
      </w:tr>
      <w:tr w:rsidR="00176469" w:rsidRPr="003B3B20" w:rsidTr="00345DCD">
        <w:tc>
          <w:tcPr>
            <w:tcW w:w="430" w:type="pct"/>
          </w:tcPr>
          <w:p w:rsidR="004E78E7" w:rsidRPr="00113274" w:rsidRDefault="004E78E7" w:rsidP="00113274">
            <w:pPr>
              <w:rPr>
                <w:rFonts w:ascii="Arial" w:hAnsi="Arial" w:cs="Arial"/>
              </w:rPr>
            </w:pPr>
            <w:r w:rsidRPr="00113274">
              <w:rPr>
                <w:rFonts w:ascii="Arial" w:hAnsi="Arial" w:cs="Arial"/>
              </w:rPr>
              <w:t>4</w:t>
            </w:r>
          </w:p>
        </w:tc>
        <w:tc>
          <w:tcPr>
            <w:tcW w:w="546" w:type="pct"/>
          </w:tcPr>
          <w:p w:rsidR="004E78E7" w:rsidRPr="00113274" w:rsidRDefault="004E78E7" w:rsidP="00113274">
            <w:pPr>
              <w:rPr>
                <w:rFonts w:ascii="Arial" w:hAnsi="Arial" w:cs="Arial"/>
              </w:rPr>
            </w:pPr>
            <w:r w:rsidRPr="00113274">
              <w:rPr>
                <w:rFonts w:ascii="Arial" w:hAnsi="Arial" w:cs="Arial"/>
              </w:rPr>
              <w:t xml:space="preserve">Adv A </w:t>
            </w:r>
            <w:proofErr w:type="spellStart"/>
            <w:r w:rsidRPr="00113274">
              <w:rPr>
                <w:rFonts w:ascii="Arial" w:hAnsi="Arial" w:cs="Arial"/>
              </w:rPr>
              <w:t>Reinecke</w:t>
            </w:r>
            <w:proofErr w:type="spellEnd"/>
          </w:p>
        </w:tc>
        <w:tc>
          <w:tcPr>
            <w:tcW w:w="1029" w:type="pct"/>
          </w:tcPr>
          <w:p w:rsidR="004E78E7" w:rsidRPr="00113274" w:rsidRDefault="004E78E7" w:rsidP="00113274">
            <w:pPr>
              <w:pStyle w:val="ListParagraph"/>
              <w:numPr>
                <w:ilvl w:val="0"/>
                <w:numId w:val="10"/>
              </w:numPr>
              <w:ind w:left="0"/>
              <w:rPr>
                <w:rFonts w:ascii="Arial" w:hAnsi="Arial" w:cs="Arial"/>
              </w:rPr>
            </w:pPr>
            <w:r w:rsidRPr="00113274">
              <w:rPr>
                <w:rFonts w:ascii="Arial" w:hAnsi="Arial" w:cs="Arial"/>
              </w:rPr>
              <w:t xml:space="preserve">She states that the </w:t>
            </w:r>
            <w:r w:rsidR="00682703" w:rsidRPr="00113274">
              <w:rPr>
                <w:rFonts w:ascii="Arial" w:hAnsi="Arial" w:cs="Arial"/>
              </w:rPr>
              <w:t>‘</w:t>
            </w:r>
            <w:r w:rsidRPr="00113274">
              <w:rPr>
                <w:rFonts w:ascii="Arial" w:hAnsi="Arial" w:cs="Arial"/>
              </w:rPr>
              <w:t>preamble</w:t>
            </w:r>
            <w:r w:rsidR="00682703" w:rsidRPr="00113274">
              <w:rPr>
                <w:rFonts w:ascii="Arial" w:hAnsi="Arial" w:cs="Arial"/>
              </w:rPr>
              <w:t>’ is misleading because</w:t>
            </w:r>
            <w:r w:rsidRPr="00113274">
              <w:rPr>
                <w:rFonts w:ascii="Arial" w:hAnsi="Arial" w:cs="Arial"/>
              </w:rPr>
              <w:t xml:space="preserve"> it only deals with a description and/or terminology of what </w:t>
            </w:r>
            <w:r w:rsidR="00682703" w:rsidRPr="00113274">
              <w:rPr>
                <w:rFonts w:ascii="Arial" w:hAnsi="Arial" w:cs="Arial"/>
              </w:rPr>
              <w:t xml:space="preserve">a bank </w:t>
            </w:r>
            <w:r w:rsidRPr="00113274">
              <w:rPr>
                <w:rFonts w:ascii="Arial" w:hAnsi="Arial" w:cs="Arial"/>
              </w:rPr>
              <w:t xml:space="preserve">should furnish to the Council or the Board if so directed.  </w:t>
            </w:r>
          </w:p>
          <w:p w:rsidR="004E78E7" w:rsidRPr="00113274" w:rsidRDefault="004E78E7" w:rsidP="00113274">
            <w:pPr>
              <w:pStyle w:val="ListParagraph"/>
              <w:ind w:left="0"/>
              <w:rPr>
                <w:rFonts w:ascii="Arial" w:hAnsi="Arial" w:cs="Arial"/>
              </w:rPr>
            </w:pPr>
          </w:p>
          <w:p w:rsidR="004E78E7" w:rsidRPr="00113274" w:rsidRDefault="004E78E7" w:rsidP="00113274">
            <w:pPr>
              <w:pStyle w:val="ListParagraph"/>
              <w:numPr>
                <w:ilvl w:val="0"/>
                <w:numId w:val="10"/>
              </w:numPr>
              <w:ind w:left="0"/>
              <w:rPr>
                <w:rFonts w:ascii="Arial" w:hAnsi="Arial" w:cs="Arial"/>
              </w:rPr>
            </w:pPr>
            <w:r w:rsidRPr="00113274">
              <w:rPr>
                <w:rFonts w:ascii="Arial" w:hAnsi="Arial" w:cs="Arial"/>
              </w:rPr>
              <w:t xml:space="preserve">The proposed amendment should be properly considered before final approval, because it can only contribute towards a comprehensive transformation of the legal profession, if correct and adequate information can be obtained for transparency and accountability purposes.  </w:t>
            </w:r>
          </w:p>
        </w:tc>
        <w:tc>
          <w:tcPr>
            <w:tcW w:w="2995" w:type="pct"/>
          </w:tcPr>
          <w:p w:rsidR="00B00757" w:rsidRPr="00F4229D" w:rsidRDefault="004E78E7" w:rsidP="00113274">
            <w:pPr>
              <w:pStyle w:val="ListParagraph"/>
              <w:numPr>
                <w:ilvl w:val="0"/>
                <w:numId w:val="10"/>
              </w:numPr>
              <w:ind w:left="0"/>
              <w:rPr>
                <w:rFonts w:ascii="Arial" w:hAnsi="Arial" w:cs="Arial"/>
                <w:b/>
              </w:rPr>
            </w:pPr>
            <w:r w:rsidRPr="00F4229D">
              <w:rPr>
                <w:rFonts w:ascii="Arial" w:hAnsi="Arial" w:cs="Arial"/>
              </w:rPr>
              <w:t xml:space="preserve">She erroneously refers to preamble of the Bill, whereas it should be the long title. </w:t>
            </w:r>
            <w:r w:rsidR="00B85A19" w:rsidRPr="00F4229D">
              <w:rPr>
                <w:rFonts w:ascii="Arial" w:hAnsi="Arial" w:cs="Arial"/>
              </w:rPr>
              <w:t>The Department does not agree with the allegation.  The proposed amendment of section 91 does indeed deal with the duties of banks in respect of attorneys’ trust accounts.  The long title is a correct reflection of what clause 4 is about, namely the duty of banks to provide information in respect of trust accounts to the Council or the Board of the Fidelity Fund.</w:t>
            </w:r>
            <w:r w:rsidR="00F4229D" w:rsidRPr="00F4229D">
              <w:rPr>
                <w:rFonts w:ascii="Arial" w:hAnsi="Arial" w:cs="Arial"/>
              </w:rPr>
              <w:t xml:space="preserve">  </w:t>
            </w:r>
            <w:r w:rsidRPr="00F4229D">
              <w:rPr>
                <w:rFonts w:ascii="Arial" w:hAnsi="Arial" w:cs="Arial"/>
              </w:rPr>
              <w:t>No specific proposal for an amendment is made</w:t>
            </w:r>
            <w:r w:rsidR="00682703" w:rsidRPr="00F4229D">
              <w:rPr>
                <w:rFonts w:ascii="Arial" w:hAnsi="Arial" w:cs="Arial"/>
              </w:rPr>
              <w:t xml:space="preserve"> by Adv </w:t>
            </w:r>
            <w:proofErr w:type="spellStart"/>
            <w:r w:rsidR="00682703" w:rsidRPr="00F4229D">
              <w:rPr>
                <w:rFonts w:ascii="Arial" w:hAnsi="Arial" w:cs="Arial"/>
              </w:rPr>
              <w:t>Reinecke</w:t>
            </w:r>
            <w:proofErr w:type="spellEnd"/>
            <w:r w:rsidRPr="00F4229D">
              <w:rPr>
                <w:rFonts w:ascii="Arial" w:hAnsi="Arial" w:cs="Arial"/>
              </w:rPr>
              <w:t xml:space="preserve">. </w:t>
            </w:r>
            <w:r w:rsidR="00B00757" w:rsidRPr="00F4229D">
              <w:rPr>
                <w:rFonts w:ascii="Arial" w:hAnsi="Arial" w:cs="Arial"/>
              </w:rPr>
              <w:t>It is unclear what her objection to this technical issue is.</w:t>
            </w:r>
          </w:p>
          <w:p w:rsidR="00B00757" w:rsidRPr="00113274" w:rsidRDefault="00B00757" w:rsidP="00113274">
            <w:pPr>
              <w:pStyle w:val="ListParagraph"/>
              <w:rPr>
                <w:rFonts w:ascii="Arial" w:hAnsi="Arial" w:cs="Arial"/>
              </w:rPr>
            </w:pPr>
          </w:p>
          <w:p w:rsidR="004E78E7" w:rsidRPr="00113274" w:rsidRDefault="00F4229D" w:rsidP="00113274">
            <w:pPr>
              <w:pStyle w:val="ListParagraph"/>
              <w:numPr>
                <w:ilvl w:val="0"/>
                <w:numId w:val="10"/>
              </w:numPr>
              <w:ind w:left="0"/>
              <w:rPr>
                <w:rFonts w:ascii="Arial" w:hAnsi="Arial" w:cs="Arial"/>
              </w:rPr>
            </w:pPr>
            <w:r>
              <w:rPr>
                <w:rFonts w:ascii="Arial" w:hAnsi="Arial" w:cs="Arial"/>
              </w:rPr>
              <w:t>The purpose of the amendment proposed by t</w:t>
            </w:r>
            <w:r w:rsidR="00B00757" w:rsidRPr="00113274">
              <w:rPr>
                <w:rFonts w:ascii="Arial" w:hAnsi="Arial" w:cs="Arial"/>
              </w:rPr>
              <w:t xml:space="preserve">he National Forum </w:t>
            </w:r>
            <w:r>
              <w:rPr>
                <w:rFonts w:ascii="Arial" w:hAnsi="Arial" w:cs="Arial"/>
              </w:rPr>
              <w:t xml:space="preserve">is in our view clear and sound.  A bank statement issued by a bank does not always provide sufficient information for purposes of an investigation into a trust account.  A transaction history provides a better paper trail of monies going into and out of a trust account.  It is not clear what Adv </w:t>
            </w:r>
            <w:proofErr w:type="spellStart"/>
            <w:r>
              <w:rPr>
                <w:rFonts w:ascii="Arial" w:hAnsi="Arial" w:cs="Arial"/>
              </w:rPr>
              <w:t>Reinecke’s</w:t>
            </w:r>
            <w:proofErr w:type="spellEnd"/>
            <w:r>
              <w:rPr>
                <w:rFonts w:ascii="Arial" w:hAnsi="Arial" w:cs="Arial"/>
              </w:rPr>
              <w:t xml:space="preserve"> concern is about.</w:t>
            </w:r>
          </w:p>
          <w:p w:rsidR="004E78E7" w:rsidRPr="00113274" w:rsidRDefault="004E78E7" w:rsidP="00113274">
            <w:pPr>
              <w:rPr>
                <w:rFonts w:ascii="Arial" w:hAnsi="Arial" w:cs="Arial"/>
                <w:b/>
              </w:rPr>
            </w:pPr>
            <w:r w:rsidRPr="00113274">
              <w:rPr>
                <w:rFonts w:ascii="Arial" w:hAnsi="Arial" w:cs="Arial"/>
              </w:rPr>
              <w:t xml:space="preserve"> </w:t>
            </w:r>
          </w:p>
        </w:tc>
      </w:tr>
      <w:tr w:rsidR="007557A0" w:rsidRPr="003B3B20" w:rsidTr="00345DCD">
        <w:tc>
          <w:tcPr>
            <w:tcW w:w="430" w:type="pct"/>
          </w:tcPr>
          <w:p w:rsidR="007557A0" w:rsidRPr="00113274" w:rsidRDefault="007557A0" w:rsidP="00113274">
            <w:pPr>
              <w:rPr>
                <w:rFonts w:ascii="Arial" w:hAnsi="Arial" w:cs="Arial"/>
              </w:rPr>
            </w:pPr>
            <w:r>
              <w:rPr>
                <w:rFonts w:ascii="Arial" w:hAnsi="Arial" w:cs="Arial"/>
              </w:rPr>
              <w:lastRenderedPageBreak/>
              <w:t>4</w:t>
            </w:r>
          </w:p>
        </w:tc>
        <w:tc>
          <w:tcPr>
            <w:tcW w:w="546" w:type="pct"/>
          </w:tcPr>
          <w:p w:rsidR="007557A0" w:rsidRPr="00113274" w:rsidRDefault="007557A0" w:rsidP="00113274">
            <w:pPr>
              <w:rPr>
                <w:rFonts w:ascii="Arial" w:hAnsi="Arial" w:cs="Arial"/>
              </w:rPr>
            </w:pPr>
            <w:r>
              <w:rPr>
                <w:rFonts w:ascii="Arial" w:hAnsi="Arial" w:cs="Arial"/>
              </w:rPr>
              <w:t>Commission for Gender Equality</w:t>
            </w:r>
          </w:p>
        </w:tc>
        <w:tc>
          <w:tcPr>
            <w:tcW w:w="1029" w:type="pct"/>
          </w:tcPr>
          <w:p w:rsidR="007557A0" w:rsidRDefault="007557A0" w:rsidP="002C0445">
            <w:pPr>
              <w:rPr>
                <w:rFonts w:ascii="Arial" w:hAnsi="Arial" w:cs="Arial"/>
              </w:rPr>
            </w:pPr>
            <w:r>
              <w:rPr>
                <w:rFonts w:ascii="Arial" w:hAnsi="Arial" w:cs="Arial"/>
              </w:rPr>
              <w:t>Supports clause 4.</w:t>
            </w:r>
          </w:p>
        </w:tc>
        <w:tc>
          <w:tcPr>
            <w:tcW w:w="2995" w:type="pct"/>
          </w:tcPr>
          <w:p w:rsidR="007557A0" w:rsidRDefault="007557A0" w:rsidP="002C0445">
            <w:pPr>
              <w:rPr>
                <w:rFonts w:ascii="Arial" w:hAnsi="Arial" w:cs="Arial"/>
              </w:rPr>
            </w:pPr>
            <w:r>
              <w:rPr>
                <w:rFonts w:ascii="Arial" w:hAnsi="Arial" w:cs="Arial"/>
              </w:rPr>
              <w:t>Noted.</w:t>
            </w:r>
          </w:p>
        </w:tc>
      </w:tr>
      <w:tr w:rsidR="007557A0" w:rsidRPr="003B3B20" w:rsidTr="00345DCD">
        <w:tc>
          <w:tcPr>
            <w:tcW w:w="430" w:type="pct"/>
          </w:tcPr>
          <w:p w:rsidR="007557A0" w:rsidRPr="00113274" w:rsidRDefault="007557A0" w:rsidP="00113274">
            <w:pPr>
              <w:rPr>
                <w:rFonts w:ascii="Arial" w:hAnsi="Arial" w:cs="Arial"/>
              </w:rPr>
            </w:pPr>
            <w:r>
              <w:rPr>
                <w:rFonts w:ascii="Arial" w:hAnsi="Arial" w:cs="Arial"/>
              </w:rPr>
              <w:t>5</w:t>
            </w:r>
          </w:p>
        </w:tc>
        <w:tc>
          <w:tcPr>
            <w:tcW w:w="546" w:type="pct"/>
          </w:tcPr>
          <w:p w:rsidR="007557A0" w:rsidRPr="00113274" w:rsidRDefault="007557A0" w:rsidP="00113274">
            <w:pPr>
              <w:rPr>
                <w:rFonts w:ascii="Arial" w:hAnsi="Arial" w:cs="Arial"/>
              </w:rPr>
            </w:pPr>
            <w:r>
              <w:rPr>
                <w:rFonts w:ascii="Arial" w:hAnsi="Arial" w:cs="Arial"/>
              </w:rPr>
              <w:t>National Bar Council of South Africa</w:t>
            </w:r>
          </w:p>
        </w:tc>
        <w:tc>
          <w:tcPr>
            <w:tcW w:w="1029" w:type="pct"/>
          </w:tcPr>
          <w:p w:rsidR="007557A0" w:rsidRPr="00113274" w:rsidRDefault="007557A0" w:rsidP="00113274">
            <w:pPr>
              <w:pStyle w:val="ListParagraph"/>
              <w:ind w:left="0"/>
              <w:rPr>
                <w:rFonts w:ascii="Arial" w:hAnsi="Arial" w:cs="Arial"/>
              </w:rPr>
            </w:pPr>
            <w:r>
              <w:rPr>
                <w:rFonts w:ascii="Arial" w:hAnsi="Arial" w:cs="Arial"/>
              </w:rPr>
              <w:t xml:space="preserve">Supports clause 5. </w:t>
            </w:r>
          </w:p>
        </w:tc>
        <w:tc>
          <w:tcPr>
            <w:tcW w:w="2995" w:type="pct"/>
          </w:tcPr>
          <w:p w:rsidR="007557A0" w:rsidRPr="00113274" w:rsidRDefault="007557A0" w:rsidP="00113274">
            <w:pPr>
              <w:pStyle w:val="ListParagraph"/>
              <w:ind w:left="0"/>
              <w:rPr>
                <w:rFonts w:ascii="Arial" w:hAnsi="Arial" w:cs="Arial"/>
              </w:rPr>
            </w:pPr>
            <w:r>
              <w:rPr>
                <w:rFonts w:ascii="Arial" w:hAnsi="Arial" w:cs="Arial"/>
              </w:rPr>
              <w:t>Noted.</w:t>
            </w:r>
          </w:p>
        </w:tc>
      </w:tr>
      <w:tr w:rsidR="007557A0" w:rsidRPr="003B3B20" w:rsidTr="00345DCD">
        <w:tc>
          <w:tcPr>
            <w:tcW w:w="430" w:type="pct"/>
          </w:tcPr>
          <w:p w:rsidR="007557A0" w:rsidRPr="00113274" w:rsidRDefault="007557A0" w:rsidP="00113274">
            <w:pPr>
              <w:rPr>
                <w:rFonts w:ascii="Arial" w:hAnsi="Arial" w:cs="Arial"/>
              </w:rPr>
            </w:pPr>
            <w:r w:rsidRPr="00113274">
              <w:rPr>
                <w:rFonts w:ascii="Arial" w:hAnsi="Arial" w:cs="Arial"/>
              </w:rPr>
              <w:t>5</w:t>
            </w:r>
          </w:p>
        </w:tc>
        <w:tc>
          <w:tcPr>
            <w:tcW w:w="546" w:type="pct"/>
          </w:tcPr>
          <w:p w:rsidR="007557A0" w:rsidRPr="00113274" w:rsidRDefault="007557A0" w:rsidP="00113274">
            <w:pPr>
              <w:rPr>
                <w:rFonts w:ascii="Arial" w:hAnsi="Arial" w:cs="Arial"/>
              </w:rPr>
            </w:pPr>
            <w:r w:rsidRPr="00113274">
              <w:rPr>
                <w:rFonts w:ascii="Arial" w:hAnsi="Arial" w:cs="Arial"/>
              </w:rPr>
              <w:t xml:space="preserve">Adv A </w:t>
            </w:r>
            <w:proofErr w:type="spellStart"/>
            <w:r w:rsidRPr="00113274">
              <w:rPr>
                <w:rFonts w:ascii="Arial" w:hAnsi="Arial" w:cs="Arial"/>
              </w:rPr>
              <w:t>Reinecke</w:t>
            </w:r>
            <w:proofErr w:type="spellEnd"/>
          </w:p>
        </w:tc>
        <w:tc>
          <w:tcPr>
            <w:tcW w:w="1029" w:type="pct"/>
          </w:tcPr>
          <w:p w:rsidR="007557A0" w:rsidRPr="00113274" w:rsidRDefault="007557A0" w:rsidP="00537E44">
            <w:pPr>
              <w:pStyle w:val="ListParagraph"/>
              <w:ind w:left="0"/>
              <w:rPr>
                <w:rFonts w:ascii="Arial" w:hAnsi="Arial" w:cs="Arial"/>
              </w:rPr>
            </w:pPr>
            <w:r>
              <w:rPr>
                <w:rFonts w:ascii="Arial" w:hAnsi="Arial" w:cs="Arial"/>
              </w:rPr>
              <w:t xml:space="preserve">She raises the question whether this proposed amendment will not delay the implementation of the remainder of the Act and frustrate the process of transformation of the profession.  She is of the view that the </w:t>
            </w:r>
            <w:r w:rsidRPr="00113274">
              <w:rPr>
                <w:rFonts w:ascii="Arial" w:hAnsi="Arial" w:cs="Arial"/>
              </w:rPr>
              <w:t xml:space="preserve">Council must be established </w:t>
            </w:r>
            <w:r>
              <w:rPr>
                <w:rFonts w:ascii="Arial" w:hAnsi="Arial" w:cs="Arial"/>
              </w:rPr>
              <w:t xml:space="preserve">as </w:t>
            </w:r>
            <w:r w:rsidRPr="00113274">
              <w:rPr>
                <w:rFonts w:ascii="Arial" w:hAnsi="Arial" w:cs="Arial"/>
              </w:rPr>
              <w:t>soon</w:t>
            </w:r>
            <w:r>
              <w:rPr>
                <w:rFonts w:ascii="Arial" w:hAnsi="Arial" w:cs="Arial"/>
              </w:rPr>
              <w:t xml:space="preserve"> as possible</w:t>
            </w:r>
            <w:r w:rsidRPr="00113274">
              <w:rPr>
                <w:rFonts w:ascii="Arial" w:hAnsi="Arial" w:cs="Arial"/>
              </w:rPr>
              <w:t xml:space="preserve">. </w:t>
            </w:r>
          </w:p>
        </w:tc>
        <w:tc>
          <w:tcPr>
            <w:tcW w:w="2995" w:type="pct"/>
          </w:tcPr>
          <w:p w:rsidR="007557A0" w:rsidRPr="00113274" w:rsidRDefault="007557A0" w:rsidP="003861FA">
            <w:pPr>
              <w:pStyle w:val="ListParagraph"/>
              <w:ind w:left="0"/>
              <w:rPr>
                <w:rFonts w:ascii="Arial" w:hAnsi="Arial" w:cs="Arial"/>
              </w:rPr>
            </w:pPr>
            <w:r>
              <w:rPr>
                <w:rFonts w:ascii="Arial" w:hAnsi="Arial" w:cs="Arial"/>
              </w:rPr>
              <w:t xml:space="preserve">One of the main objectives of the Bill is to facilitate a smooth implementation of the remainder of the Act.  Section 96(4) of the Act currently provides that the lifespan of the National Forum is 3 years.  The National Forum came into existence on 1 February 2015 and in terms of section 96(4), as reads currently, will cease to exist on 1 February 2018.  The National Forum is not going to be in a position to </w:t>
            </w:r>
            <w:proofErr w:type="spellStart"/>
            <w:r>
              <w:rPr>
                <w:rFonts w:ascii="Arial" w:hAnsi="Arial" w:cs="Arial"/>
              </w:rPr>
              <w:t>finalise</w:t>
            </w:r>
            <w:proofErr w:type="spellEnd"/>
            <w:r>
              <w:rPr>
                <w:rFonts w:ascii="Arial" w:hAnsi="Arial" w:cs="Arial"/>
              </w:rPr>
              <w:t xml:space="preserve"> its mandate as set out in Chapter 10 of the Act before 1 February 2018.  Clause 5 therefore amends section 96(4) of the Act by extending its lifespan so that the Forum can carry out its statutory mandate as set out in the Act and as proposed in the Bill.  Pragmatism must prevail in order to ensure </w:t>
            </w:r>
            <w:r w:rsidRPr="00113274">
              <w:rPr>
                <w:rFonts w:ascii="Arial" w:hAnsi="Arial" w:cs="Arial"/>
              </w:rPr>
              <w:t>a smooth hand-over of responsibilities</w:t>
            </w:r>
            <w:r>
              <w:rPr>
                <w:rFonts w:ascii="Arial" w:hAnsi="Arial" w:cs="Arial"/>
              </w:rPr>
              <w:t xml:space="preserve"> from the current regulatory bodies to the new regulatory bodies</w:t>
            </w:r>
            <w:r w:rsidRPr="00113274">
              <w:rPr>
                <w:rFonts w:ascii="Arial" w:hAnsi="Arial" w:cs="Arial"/>
              </w:rPr>
              <w:t xml:space="preserve">. </w:t>
            </w:r>
          </w:p>
        </w:tc>
      </w:tr>
      <w:tr w:rsidR="007557A0" w:rsidRPr="003B3B20" w:rsidTr="00345DCD">
        <w:tc>
          <w:tcPr>
            <w:tcW w:w="430" w:type="pct"/>
          </w:tcPr>
          <w:p w:rsidR="007557A0" w:rsidRPr="00113274" w:rsidRDefault="007557A0" w:rsidP="00113274">
            <w:pPr>
              <w:rPr>
                <w:rFonts w:ascii="Arial" w:hAnsi="Arial" w:cs="Arial"/>
              </w:rPr>
            </w:pPr>
            <w:r w:rsidRPr="00113274">
              <w:rPr>
                <w:rFonts w:ascii="Arial" w:hAnsi="Arial" w:cs="Arial"/>
              </w:rPr>
              <w:t>5</w:t>
            </w:r>
          </w:p>
        </w:tc>
        <w:tc>
          <w:tcPr>
            <w:tcW w:w="546" w:type="pct"/>
          </w:tcPr>
          <w:p w:rsidR="007557A0" w:rsidRPr="00113274" w:rsidRDefault="007557A0" w:rsidP="00113274">
            <w:pPr>
              <w:rPr>
                <w:rFonts w:ascii="Arial" w:hAnsi="Arial" w:cs="Arial"/>
              </w:rPr>
            </w:pPr>
            <w:proofErr w:type="spellStart"/>
            <w:r w:rsidRPr="00113274">
              <w:rPr>
                <w:rFonts w:ascii="Arial" w:eastAsia="Calibri" w:hAnsi="Arial" w:cs="Arial"/>
              </w:rPr>
              <w:t>ClearlawSA</w:t>
            </w:r>
            <w:proofErr w:type="spellEnd"/>
            <w:r w:rsidRPr="00113274">
              <w:rPr>
                <w:rFonts w:ascii="Arial" w:eastAsia="Calibri" w:hAnsi="Arial" w:cs="Arial"/>
              </w:rPr>
              <w:t xml:space="preserve"> Pty Ltd</w:t>
            </w:r>
          </w:p>
        </w:tc>
        <w:tc>
          <w:tcPr>
            <w:tcW w:w="1029" w:type="pct"/>
          </w:tcPr>
          <w:p w:rsidR="007557A0" w:rsidRPr="00113274" w:rsidRDefault="007557A0" w:rsidP="00113274">
            <w:pPr>
              <w:pStyle w:val="ListParagraph"/>
              <w:ind w:left="0"/>
              <w:rPr>
                <w:rFonts w:ascii="Arial" w:hAnsi="Arial" w:cs="Arial"/>
              </w:rPr>
            </w:pPr>
            <w:r>
              <w:rPr>
                <w:rFonts w:ascii="Arial" w:hAnsi="Arial" w:cs="Arial"/>
              </w:rPr>
              <w:t>T</w:t>
            </w:r>
            <w:r w:rsidRPr="00113274">
              <w:rPr>
                <w:rFonts w:ascii="Arial" w:hAnsi="Arial" w:cs="Arial"/>
              </w:rPr>
              <w:t>he proposed amendment renders the date on which the National Forum will need to hand over to the Council and the date on which that Forum will cease to exist</w:t>
            </w:r>
            <w:r>
              <w:rPr>
                <w:rFonts w:ascii="Arial" w:hAnsi="Arial" w:cs="Arial"/>
              </w:rPr>
              <w:t>,</w:t>
            </w:r>
            <w:r w:rsidRPr="00113274">
              <w:rPr>
                <w:rFonts w:ascii="Arial" w:hAnsi="Arial" w:cs="Arial"/>
              </w:rPr>
              <w:t xml:space="preserve"> vague. They propose the inclusion of the words: “which should not be later than </w:t>
            </w:r>
            <w:r w:rsidRPr="00113274">
              <w:rPr>
                <w:rFonts w:ascii="Arial" w:hAnsi="Arial" w:cs="Arial"/>
              </w:rPr>
              <w:lastRenderedPageBreak/>
              <w:t>1 February 2018.</w:t>
            </w:r>
            <w:proofErr w:type="gramStart"/>
            <w:r w:rsidRPr="00113274">
              <w:rPr>
                <w:rFonts w:ascii="Arial" w:hAnsi="Arial" w:cs="Arial"/>
              </w:rPr>
              <w:t>”.</w:t>
            </w:r>
            <w:proofErr w:type="gramEnd"/>
          </w:p>
          <w:p w:rsidR="007557A0" w:rsidRPr="00113274" w:rsidRDefault="007557A0" w:rsidP="00113274">
            <w:pPr>
              <w:pStyle w:val="ListParagraph"/>
              <w:ind w:left="0"/>
              <w:rPr>
                <w:rFonts w:ascii="Arial" w:hAnsi="Arial" w:cs="Arial"/>
              </w:rPr>
            </w:pPr>
          </w:p>
          <w:p w:rsidR="007557A0" w:rsidRPr="00113274" w:rsidRDefault="007557A0" w:rsidP="00113274">
            <w:pPr>
              <w:pStyle w:val="ListParagraph"/>
              <w:ind w:left="0"/>
              <w:rPr>
                <w:rFonts w:ascii="Arial" w:hAnsi="Arial" w:cs="Arial"/>
              </w:rPr>
            </w:pPr>
            <w:r w:rsidRPr="00113274">
              <w:rPr>
                <w:rFonts w:ascii="Arial" w:hAnsi="Arial" w:cs="Arial"/>
              </w:rPr>
              <w:t>The proposed amendment does not go far enough because it fails to indicate that membership of the Forum should also terminate on the date that the Forum terminates.</w:t>
            </w:r>
          </w:p>
        </w:tc>
        <w:tc>
          <w:tcPr>
            <w:tcW w:w="2995" w:type="pct"/>
          </w:tcPr>
          <w:p w:rsidR="007557A0" w:rsidRPr="00113274" w:rsidRDefault="007557A0" w:rsidP="00113274">
            <w:pPr>
              <w:pStyle w:val="ListParagraph"/>
              <w:ind w:left="0"/>
              <w:rPr>
                <w:rFonts w:ascii="Arial" w:hAnsi="Arial" w:cs="Arial"/>
              </w:rPr>
            </w:pPr>
            <w:r>
              <w:rPr>
                <w:rFonts w:ascii="Arial" w:hAnsi="Arial" w:cs="Arial"/>
              </w:rPr>
              <w:lastRenderedPageBreak/>
              <w:t xml:space="preserve">Consideration could be given to setting a specific statutory date (after 1 February 2018) on which the National Forum ceases to exist in order to ensure that the remainder of the Act is implemented and that transformation of the legal profession proceeds as planned.  However, clause 5 does provide for the National Forum to cease to exist on a “date as the Minister may determine after consultation with the National Forum”.  The Minister could use this power to ensure that there is not undue delay in the hand-over from the old to the new transformed regulatory bodies.   </w:t>
            </w:r>
            <w:r w:rsidRPr="00113274">
              <w:rPr>
                <w:rFonts w:ascii="Arial" w:hAnsi="Arial" w:cs="Arial"/>
              </w:rPr>
              <w:t xml:space="preserve"> </w:t>
            </w:r>
          </w:p>
          <w:p w:rsidR="007557A0" w:rsidRPr="00113274" w:rsidRDefault="007557A0" w:rsidP="00113274">
            <w:pPr>
              <w:pStyle w:val="ListParagraph"/>
              <w:ind w:left="0"/>
              <w:rPr>
                <w:rFonts w:ascii="Arial" w:hAnsi="Arial" w:cs="Arial"/>
              </w:rPr>
            </w:pPr>
          </w:p>
          <w:p w:rsidR="007557A0" w:rsidRDefault="007557A0" w:rsidP="00113274">
            <w:pPr>
              <w:pStyle w:val="ListParagraph"/>
              <w:ind w:left="0"/>
              <w:rPr>
                <w:rFonts w:ascii="Arial" w:hAnsi="Arial" w:cs="Arial"/>
              </w:rPr>
            </w:pPr>
          </w:p>
          <w:p w:rsidR="007557A0" w:rsidRPr="00113274" w:rsidRDefault="007557A0" w:rsidP="00113274">
            <w:pPr>
              <w:pStyle w:val="ListParagraph"/>
              <w:ind w:left="0"/>
              <w:rPr>
                <w:rFonts w:ascii="Arial" w:hAnsi="Arial" w:cs="Arial"/>
              </w:rPr>
            </w:pPr>
          </w:p>
          <w:p w:rsidR="007557A0" w:rsidRDefault="007557A0" w:rsidP="00113274">
            <w:pPr>
              <w:pStyle w:val="ListParagraph"/>
              <w:ind w:left="0"/>
              <w:rPr>
                <w:rFonts w:ascii="Arial" w:hAnsi="Arial" w:cs="Arial"/>
              </w:rPr>
            </w:pPr>
          </w:p>
          <w:p w:rsidR="002D1F5B" w:rsidRPr="00113274" w:rsidRDefault="002D1F5B" w:rsidP="00113274">
            <w:pPr>
              <w:pStyle w:val="ListParagraph"/>
              <w:ind w:left="0"/>
              <w:rPr>
                <w:rFonts w:ascii="Arial" w:hAnsi="Arial" w:cs="Arial"/>
              </w:rPr>
            </w:pPr>
          </w:p>
          <w:p w:rsidR="007557A0" w:rsidRPr="00113274" w:rsidRDefault="007557A0" w:rsidP="00113274">
            <w:pPr>
              <w:pStyle w:val="ListParagraph"/>
              <w:ind w:left="0"/>
              <w:rPr>
                <w:rFonts w:ascii="Arial" w:hAnsi="Arial" w:cs="Arial"/>
              </w:rPr>
            </w:pPr>
          </w:p>
          <w:p w:rsidR="007557A0" w:rsidRPr="00113274" w:rsidRDefault="007557A0" w:rsidP="00113274">
            <w:pPr>
              <w:pStyle w:val="ListParagraph"/>
              <w:ind w:hanging="720"/>
              <w:rPr>
                <w:rFonts w:ascii="Arial" w:hAnsi="Arial" w:cs="Arial"/>
              </w:rPr>
            </w:pPr>
            <w:r>
              <w:rPr>
                <w:rFonts w:ascii="Arial" w:hAnsi="Arial" w:cs="Arial"/>
              </w:rPr>
              <w:t>T</w:t>
            </w:r>
            <w:r w:rsidRPr="00113274">
              <w:rPr>
                <w:rFonts w:ascii="Arial" w:hAnsi="Arial" w:cs="Arial"/>
              </w:rPr>
              <w:t>his insertion is unnecessary as section 101 provides:</w:t>
            </w:r>
          </w:p>
          <w:p w:rsidR="007557A0" w:rsidRPr="00113274" w:rsidRDefault="007557A0" w:rsidP="00113274">
            <w:pPr>
              <w:pStyle w:val="ListParagraph"/>
              <w:ind w:hanging="720"/>
              <w:rPr>
                <w:rFonts w:ascii="Arial" w:hAnsi="Arial" w:cs="Arial"/>
              </w:rPr>
            </w:pPr>
            <w:r w:rsidRPr="00113274">
              <w:rPr>
                <w:rFonts w:ascii="Arial" w:hAnsi="Arial" w:cs="Arial"/>
              </w:rPr>
              <w:t>“ A member of the National Forum holds office for the duration of the National</w:t>
            </w:r>
          </w:p>
          <w:p w:rsidR="007557A0" w:rsidRPr="00113274" w:rsidRDefault="007557A0" w:rsidP="00113274">
            <w:pPr>
              <w:pStyle w:val="ListParagraph"/>
              <w:ind w:left="0"/>
              <w:rPr>
                <w:rFonts w:ascii="Arial" w:hAnsi="Arial" w:cs="Arial"/>
              </w:rPr>
            </w:pPr>
            <w:r w:rsidRPr="00113274">
              <w:rPr>
                <w:rFonts w:ascii="Arial" w:hAnsi="Arial" w:cs="Arial"/>
              </w:rPr>
              <w:t>Forum.</w:t>
            </w:r>
            <w:proofErr w:type="gramStart"/>
            <w:r w:rsidRPr="00113274">
              <w:rPr>
                <w:rFonts w:ascii="Arial" w:hAnsi="Arial" w:cs="Arial"/>
              </w:rPr>
              <w:t>”.</w:t>
            </w:r>
            <w:proofErr w:type="gramEnd"/>
          </w:p>
        </w:tc>
      </w:tr>
      <w:tr w:rsidR="007557A0" w:rsidRPr="003B3B20" w:rsidTr="00345DCD">
        <w:tc>
          <w:tcPr>
            <w:tcW w:w="430" w:type="pct"/>
          </w:tcPr>
          <w:p w:rsidR="007557A0" w:rsidRPr="00113274" w:rsidRDefault="007557A0" w:rsidP="00113274">
            <w:pPr>
              <w:rPr>
                <w:rFonts w:ascii="Arial" w:hAnsi="Arial" w:cs="Arial"/>
              </w:rPr>
            </w:pPr>
            <w:r>
              <w:rPr>
                <w:rFonts w:ascii="Arial" w:hAnsi="Arial" w:cs="Arial"/>
              </w:rPr>
              <w:lastRenderedPageBreak/>
              <w:t>5</w:t>
            </w:r>
          </w:p>
        </w:tc>
        <w:tc>
          <w:tcPr>
            <w:tcW w:w="546" w:type="pct"/>
          </w:tcPr>
          <w:p w:rsidR="007557A0" w:rsidRPr="00113274" w:rsidRDefault="007557A0" w:rsidP="00113274">
            <w:pPr>
              <w:rPr>
                <w:rFonts w:ascii="Arial" w:eastAsia="Calibri" w:hAnsi="Arial" w:cs="Arial"/>
              </w:rPr>
            </w:pPr>
            <w:r>
              <w:rPr>
                <w:rFonts w:ascii="Arial" w:eastAsia="Calibri" w:hAnsi="Arial" w:cs="Arial"/>
              </w:rPr>
              <w:t>Commission for Gender Equality</w:t>
            </w:r>
          </w:p>
        </w:tc>
        <w:tc>
          <w:tcPr>
            <w:tcW w:w="1029" w:type="pct"/>
          </w:tcPr>
          <w:p w:rsidR="007557A0" w:rsidRDefault="007557A0" w:rsidP="00113274">
            <w:pPr>
              <w:pStyle w:val="ListParagraph"/>
              <w:ind w:left="0"/>
              <w:rPr>
                <w:rFonts w:ascii="Arial" w:hAnsi="Arial" w:cs="Arial"/>
              </w:rPr>
            </w:pPr>
            <w:r>
              <w:rPr>
                <w:rFonts w:ascii="Arial" w:hAnsi="Arial" w:cs="Arial"/>
              </w:rPr>
              <w:t>Supports clause 5.</w:t>
            </w:r>
          </w:p>
        </w:tc>
        <w:tc>
          <w:tcPr>
            <w:tcW w:w="2995" w:type="pct"/>
          </w:tcPr>
          <w:p w:rsidR="007557A0" w:rsidRDefault="007557A0" w:rsidP="00113274">
            <w:pPr>
              <w:pStyle w:val="ListParagraph"/>
              <w:ind w:left="0"/>
              <w:rPr>
                <w:rFonts w:ascii="Arial" w:hAnsi="Arial" w:cs="Arial"/>
              </w:rPr>
            </w:pPr>
            <w:r>
              <w:rPr>
                <w:rFonts w:ascii="Arial" w:hAnsi="Arial" w:cs="Arial"/>
              </w:rPr>
              <w:t>Noted.</w:t>
            </w:r>
          </w:p>
        </w:tc>
      </w:tr>
      <w:tr w:rsidR="007557A0" w:rsidRPr="003B3B20" w:rsidTr="00345DCD">
        <w:tc>
          <w:tcPr>
            <w:tcW w:w="430" w:type="pct"/>
          </w:tcPr>
          <w:p w:rsidR="007557A0" w:rsidRPr="00113274" w:rsidRDefault="007557A0" w:rsidP="00113274">
            <w:pPr>
              <w:rPr>
                <w:rFonts w:ascii="Arial" w:hAnsi="Arial" w:cs="Arial"/>
              </w:rPr>
            </w:pPr>
            <w:r w:rsidRPr="00113274">
              <w:rPr>
                <w:rFonts w:ascii="Arial" w:hAnsi="Arial" w:cs="Arial"/>
              </w:rPr>
              <w:t>6(d)</w:t>
            </w:r>
          </w:p>
        </w:tc>
        <w:tc>
          <w:tcPr>
            <w:tcW w:w="546" w:type="pct"/>
          </w:tcPr>
          <w:p w:rsidR="007557A0" w:rsidRPr="00113274" w:rsidRDefault="007557A0" w:rsidP="00113274">
            <w:pPr>
              <w:rPr>
                <w:rFonts w:ascii="Arial" w:hAnsi="Arial" w:cs="Arial"/>
              </w:rPr>
            </w:pPr>
            <w:proofErr w:type="spellStart"/>
            <w:r w:rsidRPr="00113274">
              <w:rPr>
                <w:rFonts w:ascii="Arial" w:eastAsia="Calibri" w:hAnsi="Arial" w:cs="Arial"/>
              </w:rPr>
              <w:t>ClearlawSA</w:t>
            </w:r>
            <w:proofErr w:type="spellEnd"/>
            <w:r w:rsidRPr="00113274">
              <w:rPr>
                <w:rFonts w:ascii="Arial" w:eastAsia="Calibri" w:hAnsi="Arial" w:cs="Arial"/>
              </w:rPr>
              <w:t xml:space="preserve"> Pty Ltd</w:t>
            </w:r>
          </w:p>
        </w:tc>
        <w:tc>
          <w:tcPr>
            <w:tcW w:w="1029" w:type="pct"/>
          </w:tcPr>
          <w:p w:rsidR="00673C08" w:rsidRDefault="00673C08" w:rsidP="00113274">
            <w:pPr>
              <w:pStyle w:val="ListParagraph"/>
              <w:ind w:left="0"/>
              <w:rPr>
                <w:rFonts w:ascii="Arial" w:hAnsi="Arial" w:cs="Arial"/>
              </w:rPr>
            </w:pPr>
            <w:r>
              <w:rPr>
                <w:rFonts w:ascii="Arial" w:hAnsi="Arial" w:cs="Arial"/>
              </w:rPr>
              <w:t>Clause 6(d) of the Bill amends section 97(2</w:t>
            </w:r>
            <w:proofErr w:type="gramStart"/>
            <w:r>
              <w:rPr>
                <w:rFonts w:ascii="Arial" w:hAnsi="Arial" w:cs="Arial"/>
              </w:rPr>
              <w:t>)(</w:t>
            </w:r>
            <w:proofErr w:type="gramEnd"/>
            <w:r>
              <w:rPr>
                <w:rFonts w:ascii="Arial" w:hAnsi="Arial" w:cs="Arial"/>
              </w:rPr>
              <w:t xml:space="preserve">a) of the Act.  Section 97 deals with the terms of reference of the National Forum and section 97(2)(a) provides that the National Forum must, within 24 months of the commencement of Chapter 10, negotiate and reach agreement with the law societies in respect of the transfer of their assets, rights, liabilities, obligations and staff, to the Council </w:t>
            </w:r>
            <w:r>
              <w:rPr>
                <w:rFonts w:ascii="Arial" w:hAnsi="Arial" w:cs="Arial"/>
              </w:rPr>
              <w:lastRenderedPageBreak/>
              <w:t xml:space="preserve">and provincial councils.  The amendment adds that the National Forum must also reach agreement on the date on which the law societies will be dissolved, which date may not be </w:t>
            </w:r>
            <w:r w:rsidR="000447AA">
              <w:rPr>
                <w:rFonts w:ascii="Arial" w:hAnsi="Arial" w:cs="Arial"/>
              </w:rPr>
              <w:t>later than 6 months after the date of commencement of Chapter 2.</w:t>
            </w:r>
            <w:r>
              <w:rPr>
                <w:rFonts w:ascii="Arial" w:hAnsi="Arial" w:cs="Arial"/>
              </w:rPr>
              <w:t xml:space="preserve"> </w:t>
            </w:r>
          </w:p>
          <w:p w:rsidR="00673C08" w:rsidRDefault="00673C08" w:rsidP="00113274">
            <w:pPr>
              <w:pStyle w:val="ListParagraph"/>
              <w:ind w:left="0"/>
              <w:rPr>
                <w:rFonts w:ascii="Arial" w:hAnsi="Arial" w:cs="Arial"/>
              </w:rPr>
            </w:pPr>
          </w:p>
          <w:p w:rsidR="007557A0" w:rsidRPr="00113274" w:rsidRDefault="000447AA" w:rsidP="00113274">
            <w:pPr>
              <w:pStyle w:val="ListParagraph"/>
              <w:ind w:left="0"/>
              <w:rPr>
                <w:rFonts w:ascii="Arial" w:hAnsi="Arial" w:cs="Arial"/>
              </w:rPr>
            </w:pPr>
            <w:proofErr w:type="spellStart"/>
            <w:r>
              <w:rPr>
                <w:rFonts w:ascii="Arial" w:hAnsi="Arial" w:cs="Arial"/>
              </w:rPr>
              <w:t>ClearlawSA</w:t>
            </w:r>
            <w:proofErr w:type="spellEnd"/>
            <w:r>
              <w:rPr>
                <w:rFonts w:ascii="Arial" w:hAnsi="Arial" w:cs="Arial"/>
              </w:rPr>
              <w:t xml:space="preserve"> suggests the insertion</w:t>
            </w:r>
            <w:r w:rsidR="007557A0" w:rsidRPr="00113274">
              <w:rPr>
                <w:rFonts w:ascii="Arial" w:hAnsi="Arial" w:cs="Arial"/>
              </w:rPr>
              <w:t xml:space="preserve"> of the following wording</w:t>
            </w:r>
            <w:r>
              <w:rPr>
                <w:rFonts w:ascii="Arial" w:hAnsi="Arial" w:cs="Arial"/>
              </w:rPr>
              <w:t xml:space="preserve"> should agreement not be reached</w:t>
            </w:r>
            <w:r w:rsidR="007557A0" w:rsidRPr="00113274">
              <w:rPr>
                <w:rFonts w:ascii="Arial" w:hAnsi="Arial" w:cs="Arial"/>
              </w:rPr>
              <w:t>:</w:t>
            </w:r>
          </w:p>
          <w:p w:rsidR="007557A0" w:rsidRPr="00113274" w:rsidRDefault="007557A0" w:rsidP="00113274">
            <w:pPr>
              <w:pStyle w:val="ListParagraph"/>
              <w:ind w:left="0"/>
              <w:rPr>
                <w:rFonts w:ascii="Arial" w:hAnsi="Arial" w:cs="Arial"/>
              </w:rPr>
            </w:pPr>
            <w:r w:rsidRPr="00113274">
              <w:rPr>
                <w:rFonts w:ascii="Arial" w:hAnsi="Arial" w:cs="Arial"/>
              </w:rPr>
              <w:t>“provided further that in the absence of an agreement, the law societies shall transfer their assets, rights, liabilities, obligations and staff to the Council with effect from 1 February 2018.’’</w:t>
            </w:r>
          </w:p>
        </w:tc>
        <w:tc>
          <w:tcPr>
            <w:tcW w:w="2995" w:type="pct"/>
          </w:tcPr>
          <w:p w:rsidR="00545063" w:rsidRPr="00545063" w:rsidRDefault="007557A0" w:rsidP="003548D0">
            <w:pPr>
              <w:rPr>
                <w:rFonts w:ascii="Arial" w:hAnsi="Arial" w:cs="Arial"/>
              </w:rPr>
            </w:pPr>
            <w:r w:rsidRPr="00545063">
              <w:rPr>
                <w:rFonts w:ascii="Arial" w:hAnsi="Arial" w:cs="Arial"/>
              </w:rPr>
              <w:lastRenderedPageBreak/>
              <w:t>The Department does not support this insertion</w:t>
            </w:r>
            <w:r w:rsidR="000447AA" w:rsidRPr="00545063">
              <w:rPr>
                <w:rFonts w:ascii="Arial" w:hAnsi="Arial" w:cs="Arial"/>
              </w:rPr>
              <w:t xml:space="preserve">.  Law societies, with their assets and liabilities and staff, exist </w:t>
            </w:r>
            <w:r w:rsidRPr="00545063">
              <w:rPr>
                <w:rFonts w:ascii="Arial" w:hAnsi="Arial" w:cs="Arial"/>
              </w:rPr>
              <w:t xml:space="preserve">as </w:t>
            </w:r>
            <w:r w:rsidR="000447AA" w:rsidRPr="00545063">
              <w:rPr>
                <w:rFonts w:ascii="Arial" w:hAnsi="Arial" w:cs="Arial"/>
              </w:rPr>
              <w:t>entities in their ow</w:t>
            </w:r>
            <w:r w:rsidR="00545063" w:rsidRPr="00545063">
              <w:rPr>
                <w:rFonts w:ascii="Arial" w:hAnsi="Arial" w:cs="Arial"/>
              </w:rPr>
              <w:t xml:space="preserve">n right.  Their assets cannot simply be transferred.  There has to be agreement.  </w:t>
            </w:r>
            <w:r w:rsidR="00545063">
              <w:rPr>
                <w:rFonts w:ascii="Arial" w:hAnsi="Arial" w:cs="Arial"/>
              </w:rPr>
              <w:t>(See section 60</w:t>
            </w:r>
            <w:r w:rsidR="003548D0">
              <w:rPr>
                <w:rFonts w:ascii="Arial" w:hAnsi="Arial" w:cs="Arial"/>
              </w:rPr>
              <w:t>(1)</w:t>
            </w:r>
            <w:r w:rsidR="00545063">
              <w:rPr>
                <w:rFonts w:ascii="Arial" w:hAnsi="Arial" w:cs="Arial"/>
              </w:rPr>
              <w:t xml:space="preserve"> of the </w:t>
            </w:r>
            <w:r w:rsidR="003548D0">
              <w:rPr>
                <w:rFonts w:ascii="Arial" w:hAnsi="Arial" w:cs="Arial"/>
              </w:rPr>
              <w:t>Attorneys Act, 1979 which provides that</w:t>
            </w:r>
            <w:r w:rsidR="00545063" w:rsidRPr="00545063">
              <w:rPr>
                <w:rFonts w:ascii="Arial" w:hAnsi="Arial" w:cs="Arial"/>
              </w:rPr>
              <w:t> </w:t>
            </w:r>
            <w:r w:rsidR="003548D0">
              <w:rPr>
                <w:rFonts w:ascii="Arial" w:hAnsi="Arial" w:cs="Arial"/>
              </w:rPr>
              <w:t>t</w:t>
            </w:r>
            <w:r w:rsidR="00545063" w:rsidRPr="00545063">
              <w:rPr>
                <w:rFonts w:ascii="Arial" w:hAnsi="Arial" w:cs="Arial"/>
              </w:rPr>
              <w:t xml:space="preserve">he affairs of a </w:t>
            </w:r>
            <w:r w:rsidR="003548D0">
              <w:rPr>
                <w:rFonts w:ascii="Arial" w:hAnsi="Arial" w:cs="Arial"/>
              </w:rPr>
              <w:t xml:space="preserve">law </w:t>
            </w:r>
            <w:r w:rsidR="00545063" w:rsidRPr="00545063">
              <w:rPr>
                <w:rFonts w:ascii="Arial" w:hAnsi="Arial" w:cs="Arial"/>
              </w:rPr>
              <w:t>society shall be managed and controlled by a council, which may,</w:t>
            </w:r>
            <w:r w:rsidR="003548D0">
              <w:rPr>
                <w:rFonts w:ascii="Arial" w:hAnsi="Arial" w:cs="Arial"/>
              </w:rPr>
              <w:t xml:space="preserve"> subject to th</w:t>
            </w:r>
            <w:r w:rsidR="00545063" w:rsidRPr="00545063">
              <w:rPr>
                <w:rFonts w:ascii="Arial" w:hAnsi="Arial" w:cs="Arial"/>
              </w:rPr>
              <w:t xml:space="preserve">e provisions </w:t>
            </w:r>
            <w:r w:rsidR="00545063" w:rsidRPr="003548D0">
              <w:rPr>
                <w:rFonts w:ascii="Arial" w:hAnsi="Arial" w:cs="Arial"/>
              </w:rPr>
              <w:t xml:space="preserve">of </w:t>
            </w:r>
            <w:hyperlink r:id="rId8" w:anchor="g2" w:history="1">
              <w:r w:rsidR="00545063" w:rsidRPr="003548D0">
                <w:rPr>
                  <w:rStyle w:val="Hyperlink"/>
                  <w:rFonts w:ascii="Arial" w:hAnsi="Arial" w:cs="Arial"/>
                  <w:color w:val="auto"/>
                  <w:u w:val="none"/>
                </w:rPr>
                <w:t>subsection (2)</w:t>
              </w:r>
            </w:hyperlink>
            <w:r w:rsidR="00545063" w:rsidRPr="003548D0">
              <w:rPr>
                <w:rFonts w:ascii="Arial" w:hAnsi="Arial" w:cs="Arial"/>
              </w:rPr>
              <w:t>, exerci</w:t>
            </w:r>
            <w:r w:rsidR="00545063" w:rsidRPr="00545063">
              <w:rPr>
                <w:rFonts w:ascii="Arial" w:hAnsi="Arial" w:cs="Arial"/>
              </w:rPr>
              <w:t>se the powers of the society.</w:t>
            </w:r>
            <w:r w:rsidR="003548D0">
              <w:rPr>
                <w:rFonts w:ascii="Arial" w:hAnsi="Arial" w:cs="Arial"/>
              </w:rPr>
              <w:t xml:space="preserve">  Section 60(2) provides that t</w:t>
            </w:r>
            <w:r w:rsidR="00545063" w:rsidRPr="00545063">
              <w:rPr>
                <w:rFonts w:ascii="Arial" w:hAnsi="Arial" w:cs="Arial"/>
              </w:rPr>
              <w:t xml:space="preserve">he alienation or mortgaging of any immovable property of a </w:t>
            </w:r>
            <w:r w:rsidR="003548D0">
              <w:rPr>
                <w:rFonts w:ascii="Arial" w:hAnsi="Arial" w:cs="Arial"/>
              </w:rPr>
              <w:t xml:space="preserve">law </w:t>
            </w:r>
            <w:r w:rsidR="00545063" w:rsidRPr="00545063">
              <w:rPr>
                <w:rFonts w:ascii="Arial" w:hAnsi="Arial" w:cs="Arial"/>
              </w:rPr>
              <w:t xml:space="preserve">society, the appointment of the auditors of a </w:t>
            </w:r>
            <w:r w:rsidR="003548D0">
              <w:rPr>
                <w:rFonts w:ascii="Arial" w:hAnsi="Arial" w:cs="Arial"/>
              </w:rPr>
              <w:t xml:space="preserve">law </w:t>
            </w:r>
            <w:r w:rsidR="00545063" w:rsidRPr="00545063">
              <w:rPr>
                <w:rFonts w:ascii="Arial" w:hAnsi="Arial" w:cs="Arial"/>
              </w:rPr>
              <w:t xml:space="preserve">society and the fixing of any subscription, fees, levies or other charges payable to a society by its members, shall be subject to the approval of such majority of the members of that </w:t>
            </w:r>
            <w:r w:rsidR="003548D0">
              <w:rPr>
                <w:rFonts w:ascii="Arial" w:hAnsi="Arial" w:cs="Arial"/>
              </w:rPr>
              <w:t xml:space="preserve">law </w:t>
            </w:r>
            <w:r w:rsidR="00545063" w:rsidRPr="00545063">
              <w:rPr>
                <w:rFonts w:ascii="Arial" w:hAnsi="Arial" w:cs="Arial"/>
              </w:rPr>
              <w:t>society who are present or represented at a general meeting or at a meeting specially convened for that purpose, as may be prescribed</w:t>
            </w:r>
            <w:r w:rsidR="003548D0">
              <w:rPr>
                <w:rFonts w:ascii="Arial" w:hAnsi="Arial" w:cs="Arial"/>
              </w:rPr>
              <w:t>)</w:t>
            </w:r>
            <w:r w:rsidR="00545063" w:rsidRPr="00545063">
              <w:rPr>
                <w:rFonts w:ascii="Arial" w:hAnsi="Arial" w:cs="Arial"/>
              </w:rPr>
              <w:t>.</w:t>
            </w:r>
            <w:r w:rsidR="003548D0">
              <w:rPr>
                <w:rFonts w:ascii="Arial" w:hAnsi="Arial" w:cs="Arial"/>
              </w:rPr>
              <w:t xml:space="preserve">  Failure to reach agreement is catered for in section 97(4) of the Act</w:t>
            </w:r>
            <w:r w:rsidR="000E3508">
              <w:rPr>
                <w:rFonts w:ascii="Arial" w:hAnsi="Arial" w:cs="Arial"/>
              </w:rPr>
              <w:t>,</w:t>
            </w:r>
            <w:r w:rsidR="003548D0">
              <w:rPr>
                <w:rFonts w:ascii="Arial" w:hAnsi="Arial" w:cs="Arial"/>
              </w:rPr>
              <w:t xml:space="preserve"> which provides that if an agreement cannot be reached between the National Forum and the law societies, the parties may agree to refer the matter to arbitration.</w:t>
            </w:r>
          </w:p>
          <w:p w:rsidR="00545063" w:rsidRPr="00545063" w:rsidRDefault="00545063" w:rsidP="00545063">
            <w:pPr>
              <w:pStyle w:val="ListParagraph"/>
              <w:rPr>
                <w:rFonts w:ascii="Arial" w:hAnsi="Arial" w:cs="Arial"/>
              </w:rPr>
            </w:pPr>
          </w:p>
          <w:p w:rsidR="00673C08" w:rsidRDefault="00673C08" w:rsidP="00673C08"/>
          <w:p w:rsidR="007557A0" w:rsidRPr="00673C08" w:rsidRDefault="00673C08" w:rsidP="00673C08">
            <w:pPr>
              <w:tabs>
                <w:tab w:val="left" w:pos="1528"/>
              </w:tabs>
            </w:pPr>
            <w:r>
              <w:tab/>
              <w:t xml:space="preserve"> </w:t>
            </w:r>
          </w:p>
        </w:tc>
      </w:tr>
      <w:tr w:rsidR="007557A0" w:rsidRPr="003B3B20" w:rsidTr="00345DCD">
        <w:tc>
          <w:tcPr>
            <w:tcW w:w="430" w:type="pct"/>
          </w:tcPr>
          <w:p w:rsidR="007557A0" w:rsidRPr="00113274" w:rsidRDefault="007557A0" w:rsidP="00113274">
            <w:pPr>
              <w:rPr>
                <w:rFonts w:ascii="Arial" w:hAnsi="Arial" w:cs="Arial"/>
              </w:rPr>
            </w:pPr>
            <w:r w:rsidRPr="00113274">
              <w:rPr>
                <w:rFonts w:ascii="Arial" w:hAnsi="Arial" w:cs="Arial"/>
              </w:rPr>
              <w:lastRenderedPageBreak/>
              <w:t>6</w:t>
            </w:r>
          </w:p>
        </w:tc>
        <w:tc>
          <w:tcPr>
            <w:tcW w:w="546" w:type="pct"/>
          </w:tcPr>
          <w:p w:rsidR="007557A0" w:rsidRPr="00113274" w:rsidRDefault="007557A0" w:rsidP="00113274">
            <w:pPr>
              <w:rPr>
                <w:rFonts w:ascii="Arial" w:hAnsi="Arial" w:cs="Arial"/>
              </w:rPr>
            </w:pPr>
            <w:r w:rsidRPr="00113274">
              <w:rPr>
                <w:rFonts w:ascii="Arial" w:hAnsi="Arial" w:cs="Arial"/>
              </w:rPr>
              <w:t xml:space="preserve">Adv A </w:t>
            </w:r>
            <w:proofErr w:type="spellStart"/>
            <w:r w:rsidRPr="00113274">
              <w:rPr>
                <w:rFonts w:ascii="Arial" w:hAnsi="Arial" w:cs="Arial"/>
              </w:rPr>
              <w:t>Reinecke</w:t>
            </w:r>
            <w:proofErr w:type="spellEnd"/>
          </w:p>
        </w:tc>
        <w:tc>
          <w:tcPr>
            <w:tcW w:w="1029" w:type="pct"/>
          </w:tcPr>
          <w:p w:rsidR="007557A0" w:rsidRPr="00113274" w:rsidRDefault="007557A0" w:rsidP="003548D0">
            <w:pPr>
              <w:pStyle w:val="ListParagraph"/>
              <w:ind w:left="0"/>
              <w:rPr>
                <w:rFonts w:ascii="Arial" w:hAnsi="Arial" w:cs="Arial"/>
              </w:rPr>
            </w:pPr>
            <w:r w:rsidRPr="00113274">
              <w:rPr>
                <w:rFonts w:ascii="Arial" w:hAnsi="Arial" w:cs="Arial"/>
              </w:rPr>
              <w:t>(</w:t>
            </w:r>
            <w:proofErr w:type="spellStart"/>
            <w:r w:rsidRPr="00113274">
              <w:rPr>
                <w:rFonts w:ascii="Arial" w:hAnsi="Arial" w:cs="Arial"/>
              </w:rPr>
              <w:t>i</w:t>
            </w:r>
            <w:proofErr w:type="spellEnd"/>
            <w:r w:rsidRPr="00113274">
              <w:rPr>
                <w:rFonts w:ascii="Arial" w:hAnsi="Arial" w:cs="Arial"/>
              </w:rPr>
              <w:t xml:space="preserve">) </w:t>
            </w:r>
            <w:r w:rsidR="003548D0">
              <w:rPr>
                <w:rFonts w:ascii="Arial" w:hAnsi="Arial" w:cs="Arial"/>
              </w:rPr>
              <w:t xml:space="preserve">Adv </w:t>
            </w:r>
            <w:proofErr w:type="spellStart"/>
            <w:r w:rsidR="003548D0">
              <w:rPr>
                <w:rFonts w:ascii="Arial" w:hAnsi="Arial" w:cs="Arial"/>
              </w:rPr>
              <w:t>Reinecke</w:t>
            </w:r>
            <w:proofErr w:type="spellEnd"/>
            <w:r w:rsidR="003548D0">
              <w:rPr>
                <w:rFonts w:ascii="Arial" w:hAnsi="Arial" w:cs="Arial"/>
              </w:rPr>
              <w:t xml:space="preserve"> queries the need to delete section 97(1</w:t>
            </w:r>
            <w:proofErr w:type="gramStart"/>
            <w:r w:rsidR="003548D0">
              <w:rPr>
                <w:rFonts w:ascii="Arial" w:hAnsi="Arial" w:cs="Arial"/>
              </w:rPr>
              <w:t>)(</w:t>
            </w:r>
            <w:proofErr w:type="gramEnd"/>
            <w:r w:rsidR="003548D0">
              <w:rPr>
                <w:rFonts w:ascii="Arial" w:hAnsi="Arial" w:cs="Arial"/>
              </w:rPr>
              <w:t xml:space="preserve">a) (iv) of the Act as proposed by clause </w:t>
            </w:r>
            <w:r w:rsidR="003548D0">
              <w:rPr>
                <w:rFonts w:ascii="Arial" w:hAnsi="Arial" w:cs="Arial"/>
              </w:rPr>
              <w:lastRenderedPageBreak/>
              <w:t>6(a).</w:t>
            </w:r>
            <w:r w:rsidR="0013061B">
              <w:rPr>
                <w:rFonts w:ascii="Arial" w:hAnsi="Arial" w:cs="Arial"/>
              </w:rPr>
              <w:t xml:space="preserve">  She argues that the need for this is not “well explained” in the Memorandum on the Objects of the Bill.</w:t>
            </w:r>
          </w:p>
        </w:tc>
        <w:tc>
          <w:tcPr>
            <w:tcW w:w="2995" w:type="pct"/>
          </w:tcPr>
          <w:p w:rsidR="007557A0" w:rsidRPr="00113274" w:rsidRDefault="007557A0" w:rsidP="00233D78">
            <w:pPr>
              <w:pStyle w:val="ListParagraph"/>
              <w:ind w:left="0"/>
              <w:rPr>
                <w:rFonts w:ascii="Arial" w:hAnsi="Arial" w:cs="Arial"/>
              </w:rPr>
            </w:pPr>
            <w:r w:rsidRPr="00113274">
              <w:rPr>
                <w:rFonts w:ascii="Arial" w:hAnsi="Arial" w:cs="Arial"/>
              </w:rPr>
              <w:lastRenderedPageBreak/>
              <w:t>(i) Section 97(1) of the Act provides that the National Forum must make recommendations, including the manner in which the Provincial Councils must be elected</w:t>
            </w:r>
            <w:r w:rsidR="00233D78">
              <w:rPr>
                <w:rFonts w:ascii="Arial" w:hAnsi="Arial" w:cs="Arial"/>
              </w:rPr>
              <w:t>, which must then be made into regulations</w:t>
            </w:r>
            <w:r w:rsidRPr="00113274">
              <w:rPr>
                <w:rFonts w:ascii="Arial" w:hAnsi="Arial" w:cs="Arial"/>
              </w:rPr>
              <w:t xml:space="preserve">. However, section 23(4) provides </w:t>
            </w:r>
            <w:r w:rsidR="00233D78">
              <w:rPr>
                <w:rFonts w:ascii="Arial" w:hAnsi="Arial" w:cs="Arial"/>
              </w:rPr>
              <w:t xml:space="preserve">that </w:t>
            </w:r>
            <w:r w:rsidRPr="00113274">
              <w:rPr>
                <w:rFonts w:ascii="Arial" w:hAnsi="Arial" w:cs="Arial"/>
              </w:rPr>
              <w:t xml:space="preserve">Provincial Councils </w:t>
            </w:r>
            <w:r w:rsidR="00233D78">
              <w:rPr>
                <w:rFonts w:ascii="Arial" w:hAnsi="Arial" w:cs="Arial"/>
              </w:rPr>
              <w:t xml:space="preserve">must </w:t>
            </w:r>
            <w:r w:rsidRPr="00113274">
              <w:rPr>
                <w:rFonts w:ascii="Arial" w:hAnsi="Arial" w:cs="Arial"/>
              </w:rPr>
              <w:t xml:space="preserve">be elected in accordance with a procedure determined by the Council in the rules (referring to the rules of the </w:t>
            </w:r>
            <w:r w:rsidRPr="00113274">
              <w:rPr>
                <w:rFonts w:ascii="Arial" w:hAnsi="Arial" w:cs="Arial"/>
              </w:rPr>
              <w:lastRenderedPageBreak/>
              <w:t xml:space="preserve">Council as per the definition). </w:t>
            </w:r>
            <w:r w:rsidR="00233D78">
              <w:rPr>
                <w:rFonts w:ascii="Arial" w:hAnsi="Arial" w:cs="Arial"/>
              </w:rPr>
              <w:t xml:space="preserve">Section 97 requires regulations and section 23 requires rules.  </w:t>
            </w:r>
            <w:r w:rsidRPr="00113274">
              <w:rPr>
                <w:rFonts w:ascii="Arial" w:hAnsi="Arial" w:cs="Arial"/>
              </w:rPr>
              <w:t>Clause 6(a) therefore deletes section 97(1</w:t>
            </w:r>
            <w:proofErr w:type="gramStart"/>
            <w:r w:rsidRPr="00113274">
              <w:rPr>
                <w:rFonts w:ascii="Arial" w:hAnsi="Arial" w:cs="Arial"/>
              </w:rPr>
              <w:t>)(</w:t>
            </w:r>
            <w:proofErr w:type="gramEnd"/>
            <w:r w:rsidRPr="00113274">
              <w:rPr>
                <w:rFonts w:ascii="Arial" w:hAnsi="Arial" w:cs="Arial"/>
              </w:rPr>
              <w:t xml:space="preserve">a)(iv) of the Act </w:t>
            </w:r>
            <w:r w:rsidR="00233D78">
              <w:rPr>
                <w:rFonts w:ascii="Arial" w:hAnsi="Arial" w:cs="Arial"/>
              </w:rPr>
              <w:t>in order to remove the contradiction</w:t>
            </w:r>
            <w:r w:rsidRPr="00113274">
              <w:rPr>
                <w:rFonts w:ascii="Arial" w:hAnsi="Arial" w:cs="Arial"/>
              </w:rPr>
              <w:t xml:space="preserve">. </w:t>
            </w:r>
          </w:p>
        </w:tc>
      </w:tr>
      <w:tr w:rsidR="007557A0" w:rsidRPr="003B3B20" w:rsidTr="00345DCD">
        <w:tc>
          <w:tcPr>
            <w:tcW w:w="430" w:type="pct"/>
          </w:tcPr>
          <w:p w:rsidR="007557A0" w:rsidRPr="00113274" w:rsidRDefault="007557A0" w:rsidP="00113274">
            <w:pPr>
              <w:rPr>
                <w:rFonts w:ascii="Arial" w:hAnsi="Arial" w:cs="Arial"/>
              </w:rPr>
            </w:pPr>
            <w:r w:rsidRPr="00113274">
              <w:rPr>
                <w:rFonts w:ascii="Arial" w:hAnsi="Arial" w:cs="Arial"/>
              </w:rPr>
              <w:lastRenderedPageBreak/>
              <w:t>6</w:t>
            </w:r>
          </w:p>
        </w:tc>
        <w:tc>
          <w:tcPr>
            <w:tcW w:w="546" w:type="pct"/>
          </w:tcPr>
          <w:p w:rsidR="007557A0" w:rsidRPr="00113274" w:rsidRDefault="007557A0" w:rsidP="00113274">
            <w:pPr>
              <w:rPr>
                <w:rFonts w:ascii="Arial" w:hAnsi="Arial" w:cs="Arial"/>
              </w:rPr>
            </w:pPr>
            <w:r w:rsidRPr="00113274">
              <w:rPr>
                <w:rFonts w:ascii="Arial" w:hAnsi="Arial" w:cs="Arial"/>
              </w:rPr>
              <w:t xml:space="preserve">Adv A </w:t>
            </w:r>
            <w:proofErr w:type="spellStart"/>
            <w:r w:rsidRPr="00113274">
              <w:rPr>
                <w:rFonts w:ascii="Arial" w:hAnsi="Arial" w:cs="Arial"/>
              </w:rPr>
              <w:t>Reinecke</w:t>
            </w:r>
            <w:proofErr w:type="spellEnd"/>
          </w:p>
        </w:tc>
        <w:tc>
          <w:tcPr>
            <w:tcW w:w="1029" w:type="pct"/>
          </w:tcPr>
          <w:p w:rsidR="007557A0" w:rsidRPr="00113274" w:rsidRDefault="007557A0" w:rsidP="00233D78">
            <w:pPr>
              <w:pStyle w:val="ListParagraph"/>
              <w:ind w:left="0"/>
              <w:rPr>
                <w:rFonts w:ascii="Arial" w:hAnsi="Arial" w:cs="Arial"/>
              </w:rPr>
            </w:pPr>
            <w:r w:rsidRPr="00113274">
              <w:rPr>
                <w:rFonts w:ascii="Arial" w:hAnsi="Arial" w:cs="Arial"/>
              </w:rPr>
              <w:t xml:space="preserve">(ii) </w:t>
            </w:r>
            <w:r w:rsidR="00233D78">
              <w:rPr>
                <w:rFonts w:ascii="Arial" w:hAnsi="Arial" w:cs="Arial"/>
              </w:rPr>
              <w:t xml:space="preserve">Adv </w:t>
            </w:r>
            <w:proofErr w:type="spellStart"/>
            <w:r w:rsidR="00233D78">
              <w:rPr>
                <w:rFonts w:ascii="Arial" w:hAnsi="Arial" w:cs="Arial"/>
              </w:rPr>
              <w:t>Reineicke</w:t>
            </w:r>
            <w:proofErr w:type="spellEnd"/>
            <w:r w:rsidR="00233D78">
              <w:rPr>
                <w:rFonts w:ascii="Arial" w:hAnsi="Arial" w:cs="Arial"/>
              </w:rPr>
              <w:t xml:space="preserve"> suggests i</w:t>
            </w:r>
            <w:r w:rsidRPr="00113274">
              <w:rPr>
                <w:rFonts w:ascii="Arial" w:hAnsi="Arial" w:cs="Arial"/>
              </w:rPr>
              <w:t xml:space="preserve">t would not be wise to broaden the mandate of the National Forum </w:t>
            </w:r>
            <w:r w:rsidR="00233D78">
              <w:rPr>
                <w:rFonts w:ascii="Arial" w:hAnsi="Arial" w:cs="Arial"/>
              </w:rPr>
              <w:t>to deal with the first set of rules “</w:t>
            </w:r>
            <w:r w:rsidRPr="00113274">
              <w:rPr>
                <w:rFonts w:ascii="Arial" w:hAnsi="Arial" w:cs="Arial"/>
              </w:rPr>
              <w:t>when it has become evident that the representatives on the National Forum might already struggle to deliver within their limited current scope of work and areas of responsibility</w:t>
            </w:r>
            <w:r w:rsidR="00233D78">
              <w:rPr>
                <w:rFonts w:ascii="Arial" w:hAnsi="Arial" w:cs="Arial"/>
              </w:rPr>
              <w:t>”</w:t>
            </w:r>
            <w:r w:rsidRPr="00113274">
              <w:rPr>
                <w:rFonts w:ascii="Arial" w:hAnsi="Arial" w:cs="Arial"/>
              </w:rPr>
              <w:t xml:space="preserve">.  </w:t>
            </w:r>
            <w:r w:rsidR="00462241">
              <w:rPr>
                <w:rFonts w:ascii="Arial" w:hAnsi="Arial" w:cs="Arial"/>
              </w:rPr>
              <w:t>The added burden might frustrate the process of transformation.</w:t>
            </w:r>
          </w:p>
        </w:tc>
        <w:tc>
          <w:tcPr>
            <w:tcW w:w="2995" w:type="pct"/>
          </w:tcPr>
          <w:p w:rsidR="007557A0" w:rsidRPr="00113274" w:rsidRDefault="007557A0" w:rsidP="00113274">
            <w:pPr>
              <w:rPr>
                <w:rFonts w:ascii="Arial" w:hAnsi="Arial" w:cs="Arial"/>
              </w:rPr>
            </w:pPr>
            <w:r w:rsidRPr="00113274">
              <w:rPr>
                <w:rFonts w:ascii="Arial" w:hAnsi="Arial" w:cs="Arial"/>
              </w:rPr>
              <w:t>(ii) The Department do</w:t>
            </w:r>
            <w:r w:rsidR="00462241">
              <w:rPr>
                <w:rFonts w:ascii="Arial" w:hAnsi="Arial" w:cs="Arial"/>
              </w:rPr>
              <w:t xml:space="preserve">es not agree with Adv </w:t>
            </w:r>
            <w:proofErr w:type="spellStart"/>
            <w:r w:rsidR="00462241">
              <w:rPr>
                <w:rFonts w:ascii="Arial" w:hAnsi="Arial" w:cs="Arial"/>
              </w:rPr>
              <w:t>Reinecke</w:t>
            </w:r>
            <w:proofErr w:type="spellEnd"/>
            <w:r w:rsidR="00462241">
              <w:rPr>
                <w:rFonts w:ascii="Arial" w:hAnsi="Arial" w:cs="Arial"/>
              </w:rPr>
              <w:t xml:space="preserve">.  </w:t>
            </w:r>
            <w:r w:rsidRPr="00113274">
              <w:rPr>
                <w:rFonts w:ascii="Arial" w:hAnsi="Arial" w:cs="Arial"/>
              </w:rPr>
              <w:t xml:space="preserve">This amendment was requested by the National Forum. </w:t>
            </w:r>
            <w:r w:rsidR="000E3508">
              <w:rPr>
                <w:rFonts w:ascii="Arial" w:hAnsi="Arial" w:cs="Arial"/>
              </w:rPr>
              <w:t xml:space="preserve">Section 97 of the Act deals with the statutory mandate of the National Forum.  The mandate of the National Forum was originally to be limited to what was thought to be absolutely essential for purposes of preparing for the installation of the proposed new regulatory structures contemplated in the Act.  It has been suggested that </w:t>
            </w:r>
            <w:r w:rsidRPr="00113274">
              <w:rPr>
                <w:rFonts w:ascii="Arial" w:hAnsi="Arial" w:cs="Arial"/>
              </w:rPr>
              <w:t xml:space="preserve">the mandate of the National Forum is </w:t>
            </w:r>
            <w:r w:rsidR="00967D7D">
              <w:rPr>
                <w:rFonts w:ascii="Arial" w:hAnsi="Arial" w:cs="Arial"/>
              </w:rPr>
              <w:t xml:space="preserve">not </w:t>
            </w:r>
            <w:r w:rsidRPr="00113274">
              <w:rPr>
                <w:rFonts w:ascii="Arial" w:hAnsi="Arial" w:cs="Arial"/>
              </w:rPr>
              <w:t>broad enough to ensure a smooth handover of</w:t>
            </w:r>
            <w:r w:rsidR="00967D7D">
              <w:rPr>
                <w:rFonts w:ascii="Arial" w:hAnsi="Arial" w:cs="Arial"/>
              </w:rPr>
              <w:t xml:space="preserve"> ongoing work carried out by the existing regulatory bodies (the statutory law societies) when the new regulatory bodies come into existence on a particular day.  </w:t>
            </w:r>
            <w:r w:rsidRPr="00113274">
              <w:rPr>
                <w:rFonts w:ascii="Arial" w:hAnsi="Arial" w:cs="Arial"/>
              </w:rPr>
              <w:t>In  other words, the question is whether the mandate of the National Forum should not be extended in order to ensure that all the functions and duties of the current regulatory bodies do not come to an  abrupt and complete stand-still when the new Council comes into operation on a particular day, on which it will take up the reins. This might give rise to an unnecessary disruption of these functions and duties as there will not immediately be rules and regulations in place for the legal profession</w:t>
            </w:r>
            <w:r w:rsidR="00967D7D">
              <w:rPr>
                <w:rFonts w:ascii="Arial" w:hAnsi="Arial" w:cs="Arial"/>
              </w:rPr>
              <w:t xml:space="preserve">.  This is certainly </w:t>
            </w:r>
            <w:r w:rsidRPr="00113274">
              <w:rPr>
                <w:rFonts w:ascii="Arial" w:hAnsi="Arial" w:cs="Arial"/>
              </w:rPr>
              <w:t xml:space="preserve">not in the public interest. </w:t>
            </w:r>
          </w:p>
          <w:p w:rsidR="007557A0" w:rsidRPr="00113274" w:rsidRDefault="007557A0" w:rsidP="00113274">
            <w:pPr>
              <w:pStyle w:val="ListParagraph"/>
              <w:rPr>
                <w:rFonts w:ascii="Arial" w:hAnsi="Arial" w:cs="Arial"/>
              </w:rPr>
            </w:pPr>
          </w:p>
          <w:p w:rsidR="007557A0" w:rsidRPr="00113274" w:rsidRDefault="007557A0" w:rsidP="00967D7D">
            <w:pPr>
              <w:rPr>
                <w:rFonts w:ascii="Arial" w:hAnsi="Arial" w:cs="Arial"/>
              </w:rPr>
            </w:pPr>
            <w:r w:rsidRPr="00113274">
              <w:rPr>
                <w:rFonts w:ascii="Arial" w:hAnsi="Arial" w:cs="Arial"/>
              </w:rPr>
              <w:t xml:space="preserve">The need for this shift </w:t>
            </w:r>
            <w:r w:rsidR="00967D7D">
              <w:rPr>
                <w:rFonts w:ascii="Arial" w:hAnsi="Arial" w:cs="Arial"/>
              </w:rPr>
              <w:t>is</w:t>
            </w:r>
            <w:r w:rsidRPr="00113274">
              <w:rPr>
                <w:rFonts w:ascii="Arial" w:hAnsi="Arial" w:cs="Arial"/>
              </w:rPr>
              <w:t xml:space="preserve"> to ensure that the following crucial responsibilities, among others, of the existing law societies do not get interrupted when the law societies cease to exist on a particular day  and are taken over by the new Council, as the Council and Provincial Councils might not immediately be able to function fully: registration of attorneys, processing applications for Fidelity Fund certificates, registration of contracts of candidate attorneys, furnishing certificates of right of appearance in the High Court, dealing with applications for admission as attorneys, conveyancers and notaries, issuing certificates of good standing, conducting admission exams, dealing with </w:t>
            </w:r>
            <w:r w:rsidRPr="00113274">
              <w:rPr>
                <w:rFonts w:ascii="Arial" w:hAnsi="Arial" w:cs="Arial"/>
              </w:rPr>
              <w:lastRenderedPageBreak/>
              <w:t>cases of misconduct and payment of staff of the law societies.</w:t>
            </w:r>
          </w:p>
        </w:tc>
      </w:tr>
      <w:tr w:rsidR="007557A0" w:rsidRPr="003B3B20" w:rsidTr="00345DCD">
        <w:tc>
          <w:tcPr>
            <w:tcW w:w="430" w:type="pct"/>
          </w:tcPr>
          <w:p w:rsidR="007557A0" w:rsidRPr="00113274" w:rsidRDefault="007557A0" w:rsidP="00113274">
            <w:pPr>
              <w:rPr>
                <w:rFonts w:ascii="Arial" w:hAnsi="Arial" w:cs="Arial"/>
              </w:rPr>
            </w:pPr>
            <w:r w:rsidRPr="00113274">
              <w:rPr>
                <w:rFonts w:ascii="Arial" w:hAnsi="Arial" w:cs="Arial"/>
              </w:rPr>
              <w:lastRenderedPageBreak/>
              <w:t>6</w:t>
            </w:r>
          </w:p>
        </w:tc>
        <w:tc>
          <w:tcPr>
            <w:tcW w:w="546" w:type="pct"/>
          </w:tcPr>
          <w:p w:rsidR="007557A0" w:rsidRPr="00113274" w:rsidRDefault="007557A0" w:rsidP="00113274">
            <w:pPr>
              <w:rPr>
                <w:rFonts w:ascii="Arial" w:hAnsi="Arial" w:cs="Arial"/>
              </w:rPr>
            </w:pPr>
            <w:r w:rsidRPr="00113274">
              <w:rPr>
                <w:rFonts w:ascii="Arial" w:hAnsi="Arial" w:cs="Arial"/>
              </w:rPr>
              <w:t>Commission for Gender Equality</w:t>
            </w:r>
          </w:p>
        </w:tc>
        <w:tc>
          <w:tcPr>
            <w:tcW w:w="1029" w:type="pct"/>
          </w:tcPr>
          <w:p w:rsidR="007557A0" w:rsidRPr="00113274" w:rsidRDefault="007557A0" w:rsidP="00113274">
            <w:pPr>
              <w:rPr>
                <w:rFonts w:ascii="Arial" w:hAnsi="Arial" w:cs="Arial"/>
              </w:rPr>
            </w:pPr>
            <w:r w:rsidRPr="00113274">
              <w:rPr>
                <w:rFonts w:ascii="Arial" w:hAnsi="Arial" w:cs="Arial"/>
              </w:rPr>
              <w:t>The CGE is concerned with the long delay in the promulgation of the Legal Practice Act.</w:t>
            </w:r>
          </w:p>
          <w:p w:rsidR="007557A0" w:rsidRPr="00113274" w:rsidRDefault="007557A0" w:rsidP="00113274">
            <w:pPr>
              <w:pStyle w:val="ListParagraph"/>
              <w:rPr>
                <w:rFonts w:ascii="Arial" w:hAnsi="Arial" w:cs="Arial"/>
              </w:rPr>
            </w:pPr>
          </w:p>
          <w:p w:rsidR="007557A0" w:rsidRPr="00113274" w:rsidRDefault="007557A0" w:rsidP="00113274">
            <w:pPr>
              <w:pStyle w:val="ListParagraph"/>
              <w:ind w:left="0"/>
              <w:rPr>
                <w:rFonts w:ascii="Arial" w:hAnsi="Arial" w:cs="Arial"/>
              </w:rPr>
            </w:pPr>
            <w:r w:rsidRPr="00113274">
              <w:rPr>
                <w:rFonts w:ascii="Arial" w:hAnsi="Arial" w:cs="Arial"/>
              </w:rPr>
              <w:t>The CGE does not support subparagraph (d) which allows for 24 months to dissolve existing structures such as law societies and recommends a period of 12 months.</w:t>
            </w:r>
          </w:p>
        </w:tc>
        <w:tc>
          <w:tcPr>
            <w:tcW w:w="2995" w:type="pct"/>
          </w:tcPr>
          <w:p w:rsidR="007557A0" w:rsidRPr="00113274" w:rsidRDefault="007557A0" w:rsidP="00113274">
            <w:pPr>
              <w:rPr>
                <w:rFonts w:ascii="Arial" w:hAnsi="Arial" w:cs="Arial"/>
              </w:rPr>
            </w:pPr>
            <w:r w:rsidRPr="00113274">
              <w:rPr>
                <w:rFonts w:ascii="Arial" w:hAnsi="Arial" w:cs="Arial"/>
              </w:rPr>
              <w:t>The Department does not agree with this statement.</w:t>
            </w:r>
          </w:p>
          <w:p w:rsidR="007557A0" w:rsidRPr="00113274" w:rsidRDefault="007557A0" w:rsidP="00113274">
            <w:pPr>
              <w:rPr>
                <w:rFonts w:ascii="Arial" w:hAnsi="Arial" w:cs="Arial"/>
              </w:rPr>
            </w:pPr>
          </w:p>
          <w:p w:rsidR="007557A0" w:rsidRPr="00113274" w:rsidRDefault="007557A0" w:rsidP="00113274">
            <w:pPr>
              <w:rPr>
                <w:rFonts w:ascii="Arial" w:hAnsi="Arial" w:cs="Arial"/>
              </w:rPr>
            </w:pPr>
            <w:r w:rsidRPr="00113274">
              <w:rPr>
                <w:rFonts w:ascii="Arial" w:hAnsi="Arial" w:cs="Arial"/>
              </w:rPr>
              <w:t>Chapter 10 came into operation on 1 February 2015, which is already more than 12 months ago.</w:t>
            </w:r>
          </w:p>
          <w:p w:rsidR="007557A0" w:rsidRPr="00113274" w:rsidRDefault="007557A0" w:rsidP="00113274">
            <w:pPr>
              <w:rPr>
                <w:rFonts w:ascii="Arial" w:hAnsi="Arial" w:cs="Arial"/>
              </w:rPr>
            </w:pPr>
          </w:p>
          <w:p w:rsidR="007557A0" w:rsidRPr="00113274" w:rsidRDefault="007557A0" w:rsidP="00DD6783">
            <w:pPr>
              <w:pStyle w:val="ListParagraph"/>
              <w:ind w:left="0"/>
              <w:rPr>
                <w:rFonts w:ascii="Arial" w:hAnsi="Arial" w:cs="Arial"/>
                <w:highlight w:val="yellow"/>
              </w:rPr>
            </w:pPr>
            <w:r w:rsidRPr="00113274">
              <w:rPr>
                <w:rFonts w:ascii="Arial" w:hAnsi="Arial" w:cs="Arial"/>
              </w:rPr>
              <w:t xml:space="preserve">The Act has a major impact on the legal profession.  Numerous complicated issues must be resolved.  If this process is rushed it could have unintended consequences. </w:t>
            </w:r>
            <w:r w:rsidR="00DD6783">
              <w:rPr>
                <w:rFonts w:ascii="Arial" w:hAnsi="Arial" w:cs="Arial"/>
              </w:rPr>
              <w:t xml:space="preserve">Clause 5 provides for the National Forum to cease to exist on the date of the meeting with the Council envisaged in section 105(3) </w:t>
            </w:r>
            <w:r w:rsidR="00DD6783" w:rsidRPr="00DD6783">
              <w:rPr>
                <w:rFonts w:ascii="Arial" w:hAnsi="Arial" w:cs="Arial"/>
                <w:b/>
              </w:rPr>
              <w:t>or</w:t>
            </w:r>
            <w:r w:rsidR="00DD6783">
              <w:rPr>
                <w:rFonts w:ascii="Arial" w:hAnsi="Arial" w:cs="Arial"/>
              </w:rPr>
              <w:t xml:space="preserve"> </w:t>
            </w:r>
            <w:proofErr w:type="gramStart"/>
            <w:r w:rsidR="00DD6783">
              <w:rPr>
                <w:rFonts w:ascii="Arial" w:hAnsi="Arial" w:cs="Arial"/>
              </w:rPr>
              <w:t>on  “</w:t>
            </w:r>
            <w:proofErr w:type="gramEnd"/>
            <w:r w:rsidR="00DD6783">
              <w:rPr>
                <w:rFonts w:ascii="Arial" w:hAnsi="Arial" w:cs="Arial"/>
              </w:rPr>
              <w:t xml:space="preserve">such other date as the Minister may determine after consultation with the National Forum”.  The Minister could use this power to ensure that there is not undue delay in the hand-over from the old to the new transformed regulatory bodies.   </w:t>
            </w:r>
            <w:r w:rsidR="00DD6783" w:rsidRPr="00113274">
              <w:rPr>
                <w:rFonts w:ascii="Arial" w:hAnsi="Arial" w:cs="Arial"/>
              </w:rPr>
              <w:t xml:space="preserve"> </w:t>
            </w:r>
          </w:p>
        </w:tc>
      </w:tr>
      <w:tr w:rsidR="007557A0" w:rsidRPr="003B3B20" w:rsidTr="00345DCD">
        <w:tc>
          <w:tcPr>
            <w:tcW w:w="430" w:type="pct"/>
          </w:tcPr>
          <w:p w:rsidR="007557A0" w:rsidRPr="00113274" w:rsidRDefault="007557A0" w:rsidP="00113274">
            <w:pPr>
              <w:rPr>
                <w:rFonts w:ascii="Arial" w:hAnsi="Arial" w:cs="Arial"/>
              </w:rPr>
            </w:pPr>
            <w:r>
              <w:rPr>
                <w:rFonts w:ascii="Arial" w:hAnsi="Arial" w:cs="Arial"/>
              </w:rPr>
              <w:t>6</w:t>
            </w:r>
          </w:p>
        </w:tc>
        <w:tc>
          <w:tcPr>
            <w:tcW w:w="546" w:type="pct"/>
          </w:tcPr>
          <w:p w:rsidR="007557A0" w:rsidRPr="00113274" w:rsidRDefault="007557A0" w:rsidP="00113274">
            <w:pPr>
              <w:rPr>
                <w:rFonts w:ascii="Arial" w:hAnsi="Arial" w:cs="Arial"/>
              </w:rPr>
            </w:pPr>
            <w:r>
              <w:rPr>
                <w:rFonts w:ascii="Arial" w:hAnsi="Arial" w:cs="Arial"/>
              </w:rPr>
              <w:t>National Bar Council of South Africa</w:t>
            </w:r>
          </w:p>
        </w:tc>
        <w:tc>
          <w:tcPr>
            <w:tcW w:w="1029" w:type="pct"/>
          </w:tcPr>
          <w:p w:rsidR="007557A0" w:rsidRPr="00113274" w:rsidRDefault="007557A0" w:rsidP="00113274">
            <w:pPr>
              <w:rPr>
                <w:rFonts w:ascii="Arial" w:hAnsi="Arial" w:cs="Arial"/>
              </w:rPr>
            </w:pPr>
            <w:r>
              <w:rPr>
                <w:rFonts w:ascii="Arial" w:hAnsi="Arial" w:cs="Arial"/>
              </w:rPr>
              <w:t>Supports clause 6.</w:t>
            </w:r>
          </w:p>
        </w:tc>
        <w:tc>
          <w:tcPr>
            <w:tcW w:w="2995" w:type="pct"/>
          </w:tcPr>
          <w:p w:rsidR="007557A0" w:rsidRPr="00113274" w:rsidRDefault="007557A0" w:rsidP="00113274">
            <w:pPr>
              <w:rPr>
                <w:rFonts w:ascii="Arial" w:hAnsi="Arial" w:cs="Arial"/>
              </w:rPr>
            </w:pPr>
            <w:r>
              <w:rPr>
                <w:rFonts w:ascii="Arial" w:hAnsi="Arial" w:cs="Arial"/>
              </w:rPr>
              <w:t>Noted.</w:t>
            </w:r>
          </w:p>
        </w:tc>
      </w:tr>
      <w:tr w:rsidR="00DD6783" w:rsidRPr="003B3B20" w:rsidTr="00345DCD">
        <w:tc>
          <w:tcPr>
            <w:tcW w:w="430" w:type="pct"/>
          </w:tcPr>
          <w:p w:rsidR="00DD6783" w:rsidRDefault="00DD6783" w:rsidP="00113274">
            <w:pPr>
              <w:rPr>
                <w:rFonts w:ascii="Arial" w:hAnsi="Arial" w:cs="Arial"/>
              </w:rPr>
            </w:pPr>
            <w:r>
              <w:rPr>
                <w:rFonts w:ascii="Arial" w:hAnsi="Arial" w:cs="Arial"/>
              </w:rPr>
              <w:t>7.</w:t>
            </w:r>
          </w:p>
        </w:tc>
        <w:tc>
          <w:tcPr>
            <w:tcW w:w="546" w:type="pct"/>
          </w:tcPr>
          <w:p w:rsidR="00DD6783" w:rsidRDefault="00DD6783" w:rsidP="00113274">
            <w:pPr>
              <w:rPr>
                <w:rFonts w:ascii="Arial" w:hAnsi="Arial" w:cs="Arial"/>
              </w:rPr>
            </w:pPr>
            <w:r>
              <w:rPr>
                <w:rFonts w:ascii="Arial" w:hAnsi="Arial" w:cs="Arial"/>
              </w:rPr>
              <w:t>Commission for Gender Equality</w:t>
            </w:r>
          </w:p>
        </w:tc>
        <w:tc>
          <w:tcPr>
            <w:tcW w:w="1029" w:type="pct"/>
          </w:tcPr>
          <w:p w:rsidR="00DD6783" w:rsidRDefault="00DD6783" w:rsidP="00113274">
            <w:pPr>
              <w:rPr>
                <w:rFonts w:ascii="Arial" w:hAnsi="Arial" w:cs="Arial"/>
              </w:rPr>
            </w:pPr>
            <w:r>
              <w:rPr>
                <w:rFonts w:ascii="Arial" w:hAnsi="Arial" w:cs="Arial"/>
              </w:rPr>
              <w:t>Supports clause 7.</w:t>
            </w:r>
          </w:p>
        </w:tc>
        <w:tc>
          <w:tcPr>
            <w:tcW w:w="2995" w:type="pct"/>
          </w:tcPr>
          <w:p w:rsidR="00DD6783" w:rsidRDefault="00DD6783" w:rsidP="00113274">
            <w:pPr>
              <w:rPr>
                <w:rFonts w:ascii="Arial" w:hAnsi="Arial" w:cs="Arial"/>
              </w:rPr>
            </w:pPr>
            <w:r>
              <w:rPr>
                <w:rFonts w:ascii="Arial" w:hAnsi="Arial" w:cs="Arial"/>
              </w:rPr>
              <w:t>Noted.</w:t>
            </w:r>
          </w:p>
        </w:tc>
      </w:tr>
      <w:tr w:rsidR="00BE5F00" w:rsidRPr="003B3B20" w:rsidTr="00345DCD">
        <w:tc>
          <w:tcPr>
            <w:tcW w:w="430" w:type="pct"/>
          </w:tcPr>
          <w:p w:rsidR="00BE5F00" w:rsidRDefault="00BE5F00" w:rsidP="00113274">
            <w:pPr>
              <w:rPr>
                <w:rFonts w:ascii="Arial" w:hAnsi="Arial" w:cs="Arial"/>
              </w:rPr>
            </w:pPr>
            <w:r>
              <w:rPr>
                <w:rFonts w:ascii="Arial" w:hAnsi="Arial" w:cs="Arial"/>
              </w:rPr>
              <w:t>7</w:t>
            </w:r>
          </w:p>
        </w:tc>
        <w:tc>
          <w:tcPr>
            <w:tcW w:w="546" w:type="pct"/>
          </w:tcPr>
          <w:p w:rsidR="00BE5F00" w:rsidRDefault="00BE5F00" w:rsidP="00113274">
            <w:pPr>
              <w:rPr>
                <w:rFonts w:ascii="Arial" w:hAnsi="Arial" w:cs="Arial"/>
              </w:rPr>
            </w:pPr>
            <w:r>
              <w:rPr>
                <w:rFonts w:ascii="Arial" w:hAnsi="Arial" w:cs="Arial"/>
              </w:rPr>
              <w:t>National Bar Council of South Africa</w:t>
            </w:r>
          </w:p>
        </w:tc>
        <w:tc>
          <w:tcPr>
            <w:tcW w:w="1029" w:type="pct"/>
          </w:tcPr>
          <w:p w:rsidR="00BE5F00" w:rsidRDefault="00BE5F00" w:rsidP="00113274">
            <w:pPr>
              <w:rPr>
                <w:rFonts w:ascii="Arial" w:hAnsi="Arial" w:cs="Arial"/>
              </w:rPr>
            </w:pPr>
            <w:r>
              <w:rPr>
                <w:rFonts w:ascii="Arial" w:hAnsi="Arial" w:cs="Arial"/>
              </w:rPr>
              <w:t>Supports clause 7.</w:t>
            </w:r>
          </w:p>
        </w:tc>
        <w:tc>
          <w:tcPr>
            <w:tcW w:w="2995" w:type="pct"/>
          </w:tcPr>
          <w:p w:rsidR="00BE5F00" w:rsidRDefault="00BE5F00" w:rsidP="00113274">
            <w:pPr>
              <w:rPr>
                <w:rFonts w:ascii="Arial" w:hAnsi="Arial" w:cs="Arial"/>
              </w:rPr>
            </w:pPr>
            <w:r>
              <w:rPr>
                <w:rFonts w:ascii="Arial" w:hAnsi="Arial" w:cs="Arial"/>
              </w:rPr>
              <w:t>Noted.</w:t>
            </w:r>
          </w:p>
        </w:tc>
      </w:tr>
      <w:tr w:rsidR="007557A0" w:rsidRPr="003B3B20" w:rsidTr="00345DCD">
        <w:tc>
          <w:tcPr>
            <w:tcW w:w="430" w:type="pct"/>
          </w:tcPr>
          <w:p w:rsidR="007557A0" w:rsidRPr="00113274" w:rsidRDefault="007557A0" w:rsidP="00113274">
            <w:pPr>
              <w:rPr>
                <w:rFonts w:ascii="Arial" w:hAnsi="Arial" w:cs="Arial"/>
              </w:rPr>
            </w:pPr>
            <w:r w:rsidRPr="00113274">
              <w:rPr>
                <w:rFonts w:ascii="Arial" w:hAnsi="Arial" w:cs="Arial"/>
              </w:rPr>
              <w:t>7</w:t>
            </w:r>
          </w:p>
        </w:tc>
        <w:tc>
          <w:tcPr>
            <w:tcW w:w="546" w:type="pct"/>
          </w:tcPr>
          <w:p w:rsidR="007557A0" w:rsidRPr="00113274" w:rsidRDefault="007557A0" w:rsidP="00113274">
            <w:pPr>
              <w:rPr>
                <w:rFonts w:ascii="Arial" w:hAnsi="Arial" w:cs="Arial"/>
              </w:rPr>
            </w:pPr>
            <w:r w:rsidRPr="00113274">
              <w:rPr>
                <w:rFonts w:ascii="Arial" w:hAnsi="Arial" w:cs="Arial"/>
              </w:rPr>
              <w:t xml:space="preserve">Adv A </w:t>
            </w:r>
            <w:proofErr w:type="spellStart"/>
            <w:r w:rsidRPr="00113274">
              <w:rPr>
                <w:rFonts w:ascii="Arial" w:hAnsi="Arial" w:cs="Arial"/>
              </w:rPr>
              <w:t>Reinecke</w:t>
            </w:r>
            <w:proofErr w:type="spellEnd"/>
          </w:p>
        </w:tc>
        <w:tc>
          <w:tcPr>
            <w:tcW w:w="1029" w:type="pct"/>
          </w:tcPr>
          <w:p w:rsidR="007557A0" w:rsidRPr="00113274" w:rsidRDefault="007557A0" w:rsidP="00DD6783">
            <w:pPr>
              <w:pStyle w:val="ListParagraph"/>
              <w:ind w:left="0"/>
              <w:rPr>
                <w:rFonts w:ascii="Arial" w:hAnsi="Arial" w:cs="Arial"/>
              </w:rPr>
            </w:pPr>
            <w:r w:rsidRPr="00113274">
              <w:rPr>
                <w:rFonts w:ascii="Arial" w:hAnsi="Arial" w:cs="Arial"/>
              </w:rPr>
              <w:t>This amendment</w:t>
            </w:r>
            <w:r w:rsidR="00DD6783">
              <w:rPr>
                <w:rFonts w:ascii="Arial" w:hAnsi="Arial" w:cs="Arial"/>
              </w:rPr>
              <w:t>,</w:t>
            </w:r>
            <w:r w:rsidRPr="00113274">
              <w:rPr>
                <w:rFonts w:ascii="Arial" w:hAnsi="Arial" w:cs="Arial"/>
              </w:rPr>
              <w:t xml:space="preserve"> as proposed, might not achieve what is required for purposes of ensuring the required transformation of the legal profession. </w:t>
            </w:r>
            <w:r w:rsidR="00DD6783">
              <w:rPr>
                <w:rFonts w:ascii="Arial" w:hAnsi="Arial" w:cs="Arial"/>
              </w:rPr>
              <w:t>F</w:t>
            </w:r>
            <w:r w:rsidRPr="00113274">
              <w:rPr>
                <w:rFonts w:ascii="Arial" w:hAnsi="Arial" w:cs="Arial"/>
              </w:rPr>
              <w:t>urther investigation and consultation</w:t>
            </w:r>
            <w:r w:rsidR="00DD6783">
              <w:rPr>
                <w:rFonts w:ascii="Arial" w:hAnsi="Arial" w:cs="Arial"/>
              </w:rPr>
              <w:t xml:space="preserve"> is</w:t>
            </w:r>
            <w:r w:rsidRPr="00113274">
              <w:rPr>
                <w:rFonts w:ascii="Arial" w:hAnsi="Arial" w:cs="Arial"/>
              </w:rPr>
              <w:t xml:space="preserve"> </w:t>
            </w:r>
            <w:r w:rsidRPr="00113274">
              <w:rPr>
                <w:rFonts w:ascii="Arial" w:hAnsi="Arial" w:cs="Arial"/>
              </w:rPr>
              <w:lastRenderedPageBreak/>
              <w:t>required.</w:t>
            </w:r>
          </w:p>
        </w:tc>
        <w:tc>
          <w:tcPr>
            <w:tcW w:w="2995" w:type="pct"/>
          </w:tcPr>
          <w:p w:rsidR="007557A0" w:rsidRPr="00113274" w:rsidRDefault="007557A0" w:rsidP="00113274">
            <w:pPr>
              <w:rPr>
                <w:rFonts w:ascii="Arial" w:hAnsi="Arial" w:cs="Arial"/>
              </w:rPr>
            </w:pPr>
            <w:r w:rsidRPr="00113274">
              <w:rPr>
                <w:rFonts w:ascii="Arial" w:hAnsi="Arial" w:cs="Arial"/>
              </w:rPr>
              <w:lastRenderedPageBreak/>
              <w:t xml:space="preserve">The Department does not agree with this proposal. Adv </w:t>
            </w:r>
            <w:proofErr w:type="spellStart"/>
            <w:r w:rsidRPr="00113274">
              <w:rPr>
                <w:rFonts w:ascii="Arial" w:hAnsi="Arial" w:cs="Arial"/>
              </w:rPr>
              <w:t>Reinecke</w:t>
            </w:r>
            <w:proofErr w:type="spellEnd"/>
            <w:r w:rsidRPr="00113274">
              <w:rPr>
                <w:rFonts w:ascii="Arial" w:hAnsi="Arial" w:cs="Arial"/>
              </w:rPr>
              <w:t xml:space="preserve"> does not elaborate on her view</w:t>
            </w:r>
            <w:r w:rsidR="00DD6783">
              <w:rPr>
                <w:rFonts w:ascii="Arial" w:hAnsi="Arial" w:cs="Arial"/>
              </w:rPr>
              <w:t>.</w:t>
            </w:r>
            <w:r w:rsidRPr="00113274">
              <w:rPr>
                <w:rFonts w:ascii="Arial" w:hAnsi="Arial" w:cs="Arial"/>
              </w:rPr>
              <w:t xml:space="preserve"> </w:t>
            </w:r>
          </w:p>
          <w:p w:rsidR="007557A0" w:rsidRPr="00113274" w:rsidRDefault="007557A0" w:rsidP="00113274">
            <w:pPr>
              <w:rPr>
                <w:rFonts w:ascii="Arial" w:hAnsi="Arial" w:cs="Arial"/>
              </w:rPr>
            </w:pPr>
          </w:p>
          <w:p w:rsidR="007557A0" w:rsidRPr="00113274" w:rsidRDefault="007557A0" w:rsidP="00DD6783">
            <w:pPr>
              <w:rPr>
                <w:rFonts w:ascii="Arial" w:hAnsi="Arial" w:cs="Arial"/>
                <w:highlight w:val="yellow"/>
              </w:rPr>
            </w:pPr>
            <w:r w:rsidRPr="00113274">
              <w:rPr>
                <w:rFonts w:ascii="Arial" w:hAnsi="Arial" w:cs="Arial"/>
              </w:rPr>
              <w:t xml:space="preserve">Although the intention was that the rules and regulations contemplated in sections 94 and 95 should be dealt with by the Council and not the National Forum, it </w:t>
            </w:r>
            <w:r w:rsidR="00DD6783">
              <w:rPr>
                <w:rFonts w:ascii="Arial" w:hAnsi="Arial" w:cs="Arial"/>
              </w:rPr>
              <w:t>is</w:t>
            </w:r>
            <w:r w:rsidRPr="00113274">
              <w:rPr>
                <w:rFonts w:ascii="Arial" w:hAnsi="Arial" w:cs="Arial"/>
              </w:rPr>
              <w:t xml:space="preserve"> in the interests of the profession and the public to have continuity and, to this end, </w:t>
            </w:r>
            <w:r w:rsidR="00DD6783">
              <w:rPr>
                <w:rFonts w:ascii="Arial" w:hAnsi="Arial" w:cs="Arial"/>
              </w:rPr>
              <w:t xml:space="preserve">it is necessary </w:t>
            </w:r>
            <w:r w:rsidRPr="00113274">
              <w:rPr>
                <w:rFonts w:ascii="Arial" w:hAnsi="Arial" w:cs="Arial"/>
              </w:rPr>
              <w:t xml:space="preserve">to empower the National Forum to deal with the first set of rules and regulations which will apply when the Act becomes fully operational. </w:t>
            </w:r>
            <w:r w:rsidR="00DD6783">
              <w:rPr>
                <w:rFonts w:ascii="Arial" w:hAnsi="Arial" w:cs="Arial"/>
              </w:rPr>
              <w:t xml:space="preserve"> </w:t>
            </w:r>
            <w:r w:rsidRPr="00113274">
              <w:rPr>
                <w:rFonts w:ascii="Arial" w:hAnsi="Arial" w:cs="Arial"/>
              </w:rPr>
              <w:t xml:space="preserve">Once the Council is fully operational there is nothing that </w:t>
            </w:r>
            <w:r w:rsidRPr="00113274">
              <w:rPr>
                <w:rFonts w:ascii="Arial" w:hAnsi="Arial" w:cs="Arial"/>
              </w:rPr>
              <w:lastRenderedPageBreak/>
              <w:t>precludes it from later replacing or amending the rules made by the National Forum and requesting the Minister to amend the regulations initiated by the National Forum.</w:t>
            </w:r>
          </w:p>
        </w:tc>
      </w:tr>
      <w:tr w:rsidR="007557A0" w:rsidRPr="003B3B20" w:rsidTr="00345DCD">
        <w:tc>
          <w:tcPr>
            <w:tcW w:w="430" w:type="pct"/>
          </w:tcPr>
          <w:p w:rsidR="007557A0" w:rsidRPr="00113274" w:rsidRDefault="007557A0" w:rsidP="00113274">
            <w:pPr>
              <w:rPr>
                <w:rFonts w:ascii="Arial" w:hAnsi="Arial" w:cs="Arial"/>
              </w:rPr>
            </w:pPr>
            <w:r w:rsidRPr="00113274">
              <w:rPr>
                <w:rFonts w:ascii="Arial" w:hAnsi="Arial" w:cs="Arial"/>
              </w:rPr>
              <w:lastRenderedPageBreak/>
              <w:t>8</w:t>
            </w:r>
          </w:p>
        </w:tc>
        <w:tc>
          <w:tcPr>
            <w:tcW w:w="546" w:type="pct"/>
          </w:tcPr>
          <w:p w:rsidR="007557A0" w:rsidRPr="00113274" w:rsidRDefault="007557A0" w:rsidP="00113274">
            <w:pPr>
              <w:rPr>
                <w:rFonts w:ascii="Arial" w:hAnsi="Arial" w:cs="Arial"/>
              </w:rPr>
            </w:pPr>
            <w:r w:rsidRPr="00113274">
              <w:rPr>
                <w:rFonts w:ascii="Arial" w:hAnsi="Arial" w:cs="Arial"/>
              </w:rPr>
              <w:t xml:space="preserve">Adv A </w:t>
            </w:r>
            <w:proofErr w:type="spellStart"/>
            <w:r w:rsidRPr="00113274">
              <w:rPr>
                <w:rFonts w:ascii="Arial" w:hAnsi="Arial" w:cs="Arial"/>
              </w:rPr>
              <w:t>Reinecke</w:t>
            </w:r>
            <w:proofErr w:type="spellEnd"/>
          </w:p>
        </w:tc>
        <w:tc>
          <w:tcPr>
            <w:tcW w:w="1029" w:type="pct"/>
          </w:tcPr>
          <w:p w:rsidR="007557A0" w:rsidRPr="00113274" w:rsidRDefault="007557A0" w:rsidP="00133EC7">
            <w:pPr>
              <w:pStyle w:val="ListParagraph"/>
              <w:ind w:left="0"/>
              <w:rPr>
                <w:rFonts w:ascii="Arial" w:hAnsi="Arial" w:cs="Arial"/>
              </w:rPr>
            </w:pPr>
            <w:r w:rsidRPr="00113274">
              <w:rPr>
                <w:rFonts w:ascii="Arial" w:hAnsi="Arial" w:cs="Arial"/>
              </w:rPr>
              <w:t xml:space="preserve">Adv </w:t>
            </w:r>
            <w:proofErr w:type="spellStart"/>
            <w:r w:rsidRPr="00113274">
              <w:rPr>
                <w:rFonts w:ascii="Arial" w:hAnsi="Arial" w:cs="Arial"/>
              </w:rPr>
              <w:t>Reinecke</w:t>
            </w:r>
            <w:proofErr w:type="spellEnd"/>
            <w:r w:rsidRPr="00113274">
              <w:rPr>
                <w:rFonts w:ascii="Arial" w:hAnsi="Arial" w:cs="Arial"/>
              </w:rPr>
              <w:t xml:space="preserve"> states that the impression is created that things that should have been done, have not been done (</w:t>
            </w:r>
            <w:proofErr w:type="gramStart"/>
            <w:r w:rsidR="00133EC7">
              <w:rPr>
                <w:rFonts w:ascii="Arial" w:hAnsi="Arial" w:cs="Arial"/>
              </w:rPr>
              <w:t xml:space="preserve">probably </w:t>
            </w:r>
            <w:r w:rsidRPr="00113274">
              <w:rPr>
                <w:rFonts w:ascii="Arial" w:hAnsi="Arial" w:cs="Arial"/>
              </w:rPr>
              <w:t xml:space="preserve"> because</w:t>
            </w:r>
            <w:proofErr w:type="gramEnd"/>
            <w:r w:rsidRPr="00113274">
              <w:rPr>
                <w:rFonts w:ascii="Arial" w:hAnsi="Arial" w:cs="Arial"/>
              </w:rPr>
              <w:t xml:space="preserve"> of a conflict of interest</w:t>
            </w:r>
            <w:r w:rsidR="00133EC7">
              <w:rPr>
                <w:rFonts w:ascii="Arial" w:hAnsi="Arial" w:cs="Arial"/>
              </w:rPr>
              <w:t>s</w:t>
            </w:r>
            <w:r w:rsidRPr="00113274">
              <w:rPr>
                <w:rFonts w:ascii="Arial" w:hAnsi="Arial" w:cs="Arial"/>
              </w:rPr>
              <w:t xml:space="preserve">).  </w:t>
            </w:r>
            <w:r w:rsidR="00133EC7">
              <w:rPr>
                <w:rFonts w:ascii="Arial" w:hAnsi="Arial" w:cs="Arial"/>
              </w:rPr>
              <w:t>The r</w:t>
            </w:r>
            <w:r w:rsidRPr="00113274">
              <w:rPr>
                <w:rFonts w:ascii="Arial" w:hAnsi="Arial" w:cs="Arial"/>
              </w:rPr>
              <w:t xml:space="preserve">eason </w:t>
            </w:r>
            <w:r w:rsidR="00133EC7">
              <w:rPr>
                <w:rFonts w:ascii="Arial" w:hAnsi="Arial" w:cs="Arial"/>
              </w:rPr>
              <w:t xml:space="preserve">for this is that </w:t>
            </w:r>
            <w:r w:rsidRPr="00113274">
              <w:rPr>
                <w:rFonts w:ascii="Arial" w:hAnsi="Arial" w:cs="Arial"/>
              </w:rPr>
              <w:t xml:space="preserve">the respective Societies, Councils and Associations have been put in a position where they need to negotiate with themselves.  It also seems </w:t>
            </w:r>
            <w:r w:rsidR="00133EC7">
              <w:rPr>
                <w:rFonts w:ascii="Arial" w:hAnsi="Arial" w:cs="Arial"/>
              </w:rPr>
              <w:t>as if</w:t>
            </w:r>
            <w:r w:rsidRPr="00113274">
              <w:rPr>
                <w:rFonts w:ascii="Arial" w:hAnsi="Arial" w:cs="Arial"/>
              </w:rPr>
              <w:t xml:space="preserve"> the National Forum might want to include </w:t>
            </w:r>
            <w:r w:rsidR="00133EC7">
              <w:rPr>
                <w:rFonts w:ascii="Arial" w:hAnsi="Arial" w:cs="Arial"/>
              </w:rPr>
              <w:t xml:space="preserve">aspects </w:t>
            </w:r>
            <w:r w:rsidRPr="00113274">
              <w:rPr>
                <w:rFonts w:ascii="Arial" w:hAnsi="Arial" w:cs="Arial"/>
              </w:rPr>
              <w:t xml:space="preserve">that </w:t>
            </w:r>
            <w:r w:rsidR="00133EC7">
              <w:rPr>
                <w:rFonts w:ascii="Arial" w:hAnsi="Arial" w:cs="Arial"/>
              </w:rPr>
              <w:t>were</w:t>
            </w:r>
            <w:r w:rsidRPr="00113274">
              <w:rPr>
                <w:rFonts w:ascii="Arial" w:hAnsi="Arial" w:cs="Arial"/>
              </w:rPr>
              <w:t xml:space="preserve"> previously excluded from the transitional provisions</w:t>
            </w:r>
            <w:r w:rsidR="00133EC7">
              <w:rPr>
                <w:rFonts w:ascii="Arial" w:hAnsi="Arial" w:cs="Arial"/>
              </w:rPr>
              <w:t>.</w:t>
            </w:r>
            <w:r w:rsidRPr="00113274">
              <w:rPr>
                <w:rFonts w:ascii="Arial" w:hAnsi="Arial" w:cs="Arial"/>
              </w:rPr>
              <w:t xml:space="preserve"> </w:t>
            </w:r>
            <w:r w:rsidR="00133EC7">
              <w:rPr>
                <w:rFonts w:ascii="Arial" w:hAnsi="Arial" w:cs="Arial"/>
              </w:rPr>
              <w:t xml:space="preserve">This </w:t>
            </w:r>
            <w:r w:rsidRPr="00113274">
              <w:rPr>
                <w:rFonts w:ascii="Arial" w:hAnsi="Arial" w:cs="Arial"/>
              </w:rPr>
              <w:t>require</w:t>
            </w:r>
            <w:r w:rsidR="00133EC7">
              <w:rPr>
                <w:rFonts w:ascii="Arial" w:hAnsi="Arial" w:cs="Arial"/>
              </w:rPr>
              <w:t>s</w:t>
            </w:r>
            <w:r w:rsidRPr="00113274">
              <w:rPr>
                <w:rFonts w:ascii="Arial" w:hAnsi="Arial" w:cs="Arial"/>
              </w:rPr>
              <w:t xml:space="preserve"> further investigation and </w:t>
            </w:r>
            <w:r w:rsidR="00133EC7">
              <w:rPr>
                <w:rFonts w:ascii="Arial" w:hAnsi="Arial" w:cs="Arial"/>
              </w:rPr>
              <w:t xml:space="preserve">she </w:t>
            </w:r>
            <w:r w:rsidRPr="00113274">
              <w:rPr>
                <w:rFonts w:ascii="Arial" w:hAnsi="Arial" w:cs="Arial"/>
              </w:rPr>
              <w:t>is not convinced that the proposed amendment will indeed result in a smooth hand-over.</w:t>
            </w:r>
          </w:p>
        </w:tc>
        <w:tc>
          <w:tcPr>
            <w:tcW w:w="2995" w:type="pct"/>
          </w:tcPr>
          <w:p w:rsidR="007557A0" w:rsidRPr="00113274" w:rsidRDefault="007557A0" w:rsidP="00113274">
            <w:pPr>
              <w:rPr>
                <w:rFonts w:ascii="Arial" w:hAnsi="Arial" w:cs="Arial"/>
              </w:rPr>
            </w:pPr>
            <w:r w:rsidRPr="00113274">
              <w:rPr>
                <w:rFonts w:ascii="Arial" w:hAnsi="Arial" w:cs="Arial"/>
              </w:rPr>
              <w:t xml:space="preserve">It is not clear exactly what Adv </w:t>
            </w:r>
            <w:proofErr w:type="spellStart"/>
            <w:r w:rsidRPr="00113274">
              <w:rPr>
                <w:rFonts w:ascii="Arial" w:hAnsi="Arial" w:cs="Arial"/>
              </w:rPr>
              <w:t>Reinecke’s</w:t>
            </w:r>
            <w:proofErr w:type="spellEnd"/>
            <w:r w:rsidRPr="00113274">
              <w:rPr>
                <w:rFonts w:ascii="Arial" w:hAnsi="Arial" w:cs="Arial"/>
              </w:rPr>
              <w:t xml:space="preserve"> objection is.</w:t>
            </w:r>
          </w:p>
          <w:p w:rsidR="007557A0" w:rsidRPr="00113274" w:rsidRDefault="007557A0" w:rsidP="00113274">
            <w:pPr>
              <w:rPr>
                <w:rFonts w:ascii="Arial" w:hAnsi="Arial" w:cs="Arial"/>
              </w:rPr>
            </w:pPr>
          </w:p>
          <w:p w:rsidR="007557A0" w:rsidRPr="00113274" w:rsidRDefault="007557A0" w:rsidP="00113274">
            <w:pPr>
              <w:rPr>
                <w:rFonts w:ascii="Arial" w:hAnsi="Arial" w:cs="Arial"/>
              </w:rPr>
            </w:pPr>
            <w:r w:rsidRPr="00113274">
              <w:rPr>
                <w:rFonts w:ascii="Arial" w:hAnsi="Arial" w:cs="Arial"/>
              </w:rPr>
              <w:t>The amendment proposes that the existing law societies must continue to perform their powers and functions until the date of transfer contemplated in section 97(2</w:t>
            </w:r>
            <w:proofErr w:type="gramStart"/>
            <w:r w:rsidRPr="00113274">
              <w:rPr>
                <w:rFonts w:ascii="Arial" w:hAnsi="Arial" w:cs="Arial"/>
              </w:rPr>
              <w:t>)(</w:t>
            </w:r>
            <w:proofErr w:type="gramEnd"/>
            <w:r w:rsidRPr="00113274">
              <w:rPr>
                <w:rFonts w:ascii="Arial" w:hAnsi="Arial" w:cs="Arial"/>
              </w:rPr>
              <w:t>a). This will facilitate a smooth hand-over, particularly in respect of the functions currently carried out by the law societies and the staff of the law societies.</w:t>
            </w:r>
          </w:p>
        </w:tc>
      </w:tr>
      <w:tr w:rsidR="00BE5F00" w:rsidRPr="003B3B20" w:rsidTr="00345DCD">
        <w:tc>
          <w:tcPr>
            <w:tcW w:w="430" w:type="pct"/>
          </w:tcPr>
          <w:p w:rsidR="00BE5F00" w:rsidRPr="00113274" w:rsidRDefault="00BE5F00" w:rsidP="00113274">
            <w:pPr>
              <w:rPr>
                <w:rFonts w:ascii="Arial" w:hAnsi="Arial" w:cs="Arial"/>
              </w:rPr>
            </w:pPr>
            <w:r>
              <w:rPr>
                <w:rFonts w:ascii="Arial" w:hAnsi="Arial" w:cs="Arial"/>
              </w:rPr>
              <w:t>8</w:t>
            </w:r>
          </w:p>
        </w:tc>
        <w:tc>
          <w:tcPr>
            <w:tcW w:w="546" w:type="pct"/>
          </w:tcPr>
          <w:p w:rsidR="00BE5F00" w:rsidRPr="00113274" w:rsidRDefault="00BE5F00" w:rsidP="00113274">
            <w:pPr>
              <w:rPr>
                <w:rFonts w:ascii="Arial" w:hAnsi="Arial" w:cs="Arial"/>
              </w:rPr>
            </w:pPr>
            <w:r>
              <w:rPr>
                <w:rFonts w:ascii="Arial" w:hAnsi="Arial" w:cs="Arial"/>
              </w:rPr>
              <w:t>National Bar Council of South Africa</w:t>
            </w:r>
          </w:p>
        </w:tc>
        <w:tc>
          <w:tcPr>
            <w:tcW w:w="1029" w:type="pct"/>
          </w:tcPr>
          <w:p w:rsidR="00BE5F00" w:rsidRPr="00113274" w:rsidRDefault="00BE5F00" w:rsidP="00133EC7">
            <w:pPr>
              <w:pStyle w:val="ListParagraph"/>
              <w:ind w:left="0"/>
              <w:rPr>
                <w:rFonts w:ascii="Arial" w:hAnsi="Arial" w:cs="Arial"/>
              </w:rPr>
            </w:pPr>
            <w:r>
              <w:rPr>
                <w:rFonts w:ascii="Arial" w:hAnsi="Arial" w:cs="Arial"/>
              </w:rPr>
              <w:t>Supports clause 8.</w:t>
            </w:r>
          </w:p>
        </w:tc>
        <w:tc>
          <w:tcPr>
            <w:tcW w:w="2995" w:type="pct"/>
          </w:tcPr>
          <w:p w:rsidR="00BE5F00" w:rsidRPr="00113274" w:rsidRDefault="00BE5F00" w:rsidP="00113274">
            <w:pPr>
              <w:rPr>
                <w:rFonts w:ascii="Arial" w:hAnsi="Arial" w:cs="Arial"/>
              </w:rPr>
            </w:pPr>
            <w:r>
              <w:rPr>
                <w:rFonts w:ascii="Arial" w:hAnsi="Arial" w:cs="Arial"/>
              </w:rPr>
              <w:t>Noted.</w:t>
            </w:r>
          </w:p>
        </w:tc>
      </w:tr>
      <w:tr w:rsidR="008D729D" w:rsidRPr="003B3B20" w:rsidTr="00345DCD">
        <w:tc>
          <w:tcPr>
            <w:tcW w:w="430" w:type="pct"/>
          </w:tcPr>
          <w:p w:rsidR="008D729D" w:rsidRDefault="008D729D" w:rsidP="00113274">
            <w:pPr>
              <w:rPr>
                <w:rFonts w:ascii="Arial" w:hAnsi="Arial" w:cs="Arial"/>
              </w:rPr>
            </w:pPr>
            <w:r>
              <w:rPr>
                <w:rFonts w:ascii="Arial" w:hAnsi="Arial" w:cs="Arial"/>
              </w:rPr>
              <w:lastRenderedPageBreak/>
              <w:t>General comment</w:t>
            </w:r>
            <w:r w:rsidR="00852B8F">
              <w:rPr>
                <w:rFonts w:ascii="Arial" w:hAnsi="Arial" w:cs="Arial"/>
              </w:rPr>
              <w:t>s</w:t>
            </w:r>
          </w:p>
        </w:tc>
        <w:tc>
          <w:tcPr>
            <w:tcW w:w="546" w:type="pct"/>
          </w:tcPr>
          <w:p w:rsidR="008D729D" w:rsidRDefault="008D729D" w:rsidP="00113274">
            <w:pPr>
              <w:rPr>
                <w:rFonts w:ascii="Arial" w:hAnsi="Arial" w:cs="Arial"/>
              </w:rPr>
            </w:pPr>
            <w:r w:rsidRPr="00113274">
              <w:rPr>
                <w:rFonts w:ascii="Arial" w:hAnsi="Arial" w:cs="Arial"/>
              </w:rPr>
              <w:t xml:space="preserve">National Bar Council </w:t>
            </w:r>
            <w:r>
              <w:rPr>
                <w:rFonts w:ascii="Arial" w:hAnsi="Arial" w:cs="Arial"/>
              </w:rPr>
              <w:t>o</w:t>
            </w:r>
            <w:r w:rsidRPr="00113274">
              <w:rPr>
                <w:rFonts w:ascii="Arial" w:hAnsi="Arial" w:cs="Arial"/>
              </w:rPr>
              <w:t>f South Africa</w:t>
            </w:r>
          </w:p>
        </w:tc>
        <w:tc>
          <w:tcPr>
            <w:tcW w:w="1029" w:type="pct"/>
          </w:tcPr>
          <w:p w:rsidR="008D729D" w:rsidRDefault="008D729D" w:rsidP="008D729D">
            <w:pPr>
              <w:rPr>
                <w:rFonts w:ascii="Arial" w:eastAsia="Calibri" w:hAnsi="Arial" w:cs="Arial"/>
              </w:rPr>
            </w:pPr>
            <w:r w:rsidRPr="00113274">
              <w:rPr>
                <w:rFonts w:ascii="Arial" w:eastAsia="Calibri" w:hAnsi="Arial" w:cs="Arial"/>
              </w:rPr>
              <w:t>Proposes an amendment to section 34(2</w:t>
            </w:r>
            <w:proofErr w:type="gramStart"/>
            <w:r w:rsidRPr="00113274">
              <w:rPr>
                <w:rFonts w:ascii="Arial" w:eastAsia="Calibri" w:hAnsi="Arial" w:cs="Arial"/>
              </w:rPr>
              <w:t>)(</w:t>
            </w:r>
            <w:proofErr w:type="gramEnd"/>
            <w:r w:rsidRPr="00113274">
              <w:rPr>
                <w:rFonts w:ascii="Arial" w:eastAsia="Calibri" w:hAnsi="Arial" w:cs="Arial"/>
              </w:rPr>
              <w:t>b)</w:t>
            </w:r>
            <w:r>
              <w:rPr>
                <w:rFonts w:ascii="Arial" w:eastAsia="Calibri" w:hAnsi="Arial" w:cs="Arial"/>
              </w:rPr>
              <w:t>.  Section 34(2)(b) reads as follows:</w:t>
            </w:r>
          </w:p>
          <w:p w:rsidR="008D729D" w:rsidRDefault="008D729D" w:rsidP="008D729D">
            <w:pPr>
              <w:rPr>
                <w:rFonts w:ascii="Arial" w:eastAsia="Calibri" w:hAnsi="Arial" w:cs="Arial"/>
              </w:rPr>
            </w:pPr>
            <w:r>
              <w:rPr>
                <w:rFonts w:ascii="Arial" w:eastAsia="Calibri" w:hAnsi="Arial" w:cs="Arial"/>
              </w:rPr>
              <w:t>“An advocate contemplated in paragraph (a</w:t>
            </w:r>
            <w:proofErr w:type="gramStart"/>
            <w:r>
              <w:rPr>
                <w:rFonts w:ascii="Arial" w:eastAsia="Calibri" w:hAnsi="Arial" w:cs="Arial"/>
              </w:rPr>
              <w:t>)(</w:t>
            </w:r>
            <w:proofErr w:type="gramEnd"/>
            <w:r>
              <w:rPr>
                <w:rFonts w:ascii="Arial" w:eastAsia="Calibri" w:hAnsi="Arial" w:cs="Arial"/>
              </w:rPr>
              <w:t>ii) may only render those legal services rendered by advocates before the commencement of this Act, as determined by the Council in the rules, if …..”.</w:t>
            </w:r>
          </w:p>
          <w:p w:rsidR="002D1F5B" w:rsidRPr="00113274" w:rsidRDefault="002D1F5B" w:rsidP="008D729D">
            <w:pPr>
              <w:rPr>
                <w:rFonts w:ascii="Arial" w:eastAsia="Calibri" w:hAnsi="Arial" w:cs="Arial"/>
              </w:rPr>
            </w:pPr>
          </w:p>
          <w:p w:rsidR="008D729D" w:rsidRDefault="008D729D" w:rsidP="008D729D">
            <w:pPr>
              <w:pStyle w:val="ListParagraph"/>
              <w:ind w:left="0"/>
              <w:rPr>
                <w:rFonts w:ascii="Arial" w:eastAsia="Calibri" w:hAnsi="Arial" w:cs="Arial"/>
              </w:rPr>
            </w:pPr>
            <w:r w:rsidRPr="00113274">
              <w:rPr>
                <w:rFonts w:ascii="Arial" w:eastAsia="Calibri" w:hAnsi="Arial" w:cs="Arial"/>
              </w:rPr>
              <w:t xml:space="preserve">The question </w:t>
            </w:r>
            <w:r>
              <w:rPr>
                <w:rFonts w:ascii="Arial" w:eastAsia="Calibri" w:hAnsi="Arial" w:cs="Arial"/>
              </w:rPr>
              <w:t>raised by the National Bar Council is whether</w:t>
            </w:r>
            <w:r w:rsidRPr="00113274">
              <w:rPr>
                <w:rFonts w:ascii="Arial" w:eastAsia="Calibri" w:hAnsi="Arial" w:cs="Arial"/>
              </w:rPr>
              <w:t xml:space="preserve"> advocates who possess a Fidelity </w:t>
            </w:r>
            <w:r>
              <w:rPr>
                <w:rFonts w:ascii="Arial" w:eastAsia="Calibri" w:hAnsi="Arial" w:cs="Arial"/>
              </w:rPr>
              <w:t>Fund certificate are</w:t>
            </w:r>
            <w:r w:rsidRPr="00113274">
              <w:rPr>
                <w:rFonts w:ascii="Arial" w:eastAsia="Calibri" w:hAnsi="Arial" w:cs="Arial"/>
              </w:rPr>
              <w:t xml:space="preserve"> permitted to perform those functions which are </w:t>
            </w:r>
            <w:r>
              <w:rPr>
                <w:rFonts w:ascii="Arial" w:eastAsia="Calibri" w:hAnsi="Arial" w:cs="Arial"/>
              </w:rPr>
              <w:t xml:space="preserve">traditionally </w:t>
            </w:r>
            <w:r w:rsidRPr="00113274">
              <w:rPr>
                <w:rFonts w:ascii="Arial" w:eastAsia="Calibri" w:hAnsi="Arial" w:cs="Arial"/>
              </w:rPr>
              <w:t xml:space="preserve">performed by attorneys? </w:t>
            </w:r>
            <w:r>
              <w:rPr>
                <w:rFonts w:ascii="Arial" w:eastAsia="Calibri" w:hAnsi="Arial" w:cs="Arial"/>
              </w:rPr>
              <w:t xml:space="preserve"> </w:t>
            </w:r>
            <w:r w:rsidRPr="00113274">
              <w:rPr>
                <w:rFonts w:ascii="Arial" w:eastAsia="Calibri" w:hAnsi="Arial" w:cs="Arial"/>
              </w:rPr>
              <w:t xml:space="preserve">Advocates do not sign notices and or pleadings etc. Must litigants who approach Fidelity Fund </w:t>
            </w:r>
            <w:r>
              <w:rPr>
                <w:rFonts w:ascii="Arial" w:eastAsia="Calibri" w:hAnsi="Arial" w:cs="Arial"/>
              </w:rPr>
              <w:t>a</w:t>
            </w:r>
            <w:r w:rsidRPr="00113274">
              <w:rPr>
                <w:rFonts w:ascii="Arial" w:eastAsia="Calibri" w:hAnsi="Arial" w:cs="Arial"/>
              </w:rPr>
              <w:t xml:space="preserve">dvocates be required to have </w:t>
            </w:r>
            <w:r w:rsidRPr="00113274">
              <w:rPr>
                <w:rFonts w:ascii="Arial" w:eastAsia="Calibri" w:hAnsi="Arial" w:cs="Arial"/>
              </w:rPr>
              <w:lastRenderedPageBreak/>
              <w:t xml:space="preserve">notices and or pleadings drafted and settled by the Fidelity Fund </w:t>
            </w:r>
            <w:r>
              <w:rPr>
                <w:rFonts w:ascii="Arial" w:eastAsia="Calibri" w:hAnsi="Arial" w:cs="Arial"/>
              </w:rPr>
              <w:t>a</w:t>
            </w:r>
            <w:r w:rsidRPr="00113274">
              <w:rPr>
                <w:rFonts w:ascii="Arial" w:eastAsia="Calibri" w:hAnsi="Arial" w:cs="Arial"/>
              </w:rPr>
              <w:t xml:space="preserve">dvocate </w:t>
            </w:r>
            <w:r>
              <w:rPr>
                <w:rFonts w:ascii="Arial" w:eastAsia="Calibri" w:hAnsi="Arial" w:cs="Arial"/>
              </w:rPr>
              <w:t xml:space="preserve">to be signed by an attorney </w:t>
            </w:r>
            <w:proofErr w:type="gramStart"/>
            <w:r>
              <w:rPr>
                <w:rFonts w:ascii="Arial" w:eastAsia="Calibri" w:hAnsi="Arial" w:cs="Arial"/>
              </w:rPr>
              <w:t>too</w:t>
            </w:r>
            <w:r w:rsidRPr="00113274">
              <w:rPr>
                <w:rFonts w:ascii="Arial" w:eastAsia="Calibri" w:hAnsi="Arial" w:cs="Arial"/>
              </w:rPr>
              <w:t>.</w:t>
            </w:r>
            <w:proofErr w:type="gramEnd"/>
            <w:r>
              <w:rPr>
                <w:rFonts w:ascii="Arial" w:eastAsia="Calibri" w:hAnsi="Arial" w:cs="Arial"/>
              </w:rPr>
              <w:t xml:space="preserve">  </w:t>
            </w:r>
          </w:p>
          <w:p w:rsidR="002D1F5B" w:rsidRDefault="002D1F5B" w:rsidP="008D729D">
            <w:pPr>
              <w:pStyle w:val="ListParagraph"/>
              <w:ind w:left="0"/>
              <w:rPr>
                <w:rFonts w:ascii="Arial" w:eastAsia="Calibri" w:hAnsi="Arial" w:cs="Arial"/>
              </w:rPr>
            </w:pPr>
          </w:p>
          <w:p w:rsidR="008D729D" w:rsidRPr="00113274" w:rsidRDefault="008D729D" w:rsidP="008D729D">
            <w:pPr>
              <w:rPr>
                <w:rFonts w:ascii="Arial" w:eastAsia="Calibri" w:hAnsi="Arial" w:cs="Arial"/>
              </w:rPr>
            </w:pPr>
            <w:r>
              <w:rPr>
                <w:rFonts w:ascii="Arial" w:eastAsia="Calibri" w:hAnsi="Arial" w:cs="Arial"/>
              </w:rPr>
              <w:t>Advocates with Fidelity Fund certificates should be recognized by the Act in the same manner as attorneys who possess the same Fidelity Fund certificate.</w:t>
            </w:r>
            <w:r w:rsidRPr="00113274">
              <w:rPr>
                <w:rFonts w:ascii="Arial" w:eastAsia="Calibri" w:hAnsi="Arial" w:cs="Arial"/>
              </w:rPr>
              <w:t xml:space="preserve"> </w:t>
            </w:r>
          </w:p>
          <w:p w:rsidR="008D729D" w:rsidRDefault="008D729D" w:rsidP="008D729D">
            <w:pPr>
              <w:rPr>
                <w:rFonts w:ascii="Arial" w:eastAsia="Calibri" w:hAnsi="Arial" w:cs="Arial"/>
              </w:rPr>
            </w:pPr>
          </w:p>
          <w:p w:rsidR="008D729D" w:rsidRPr="00113274" w:rsidRDefault="008D729D" w:rsidP="008D729D">
            <w:pPr>
              <w:rPr>
                <w:rFonts w:ascii="Arial" w:eastAsia="Calibri" w:hAnsi="Arial" w:cs="Arial"/>
              </w:rPr>
            </w:pPr>
            <w:r w:rsidRPr="00113274">
              <w:rPr>
                <w:rFonts w:ascii="Arial" w:eastAsia="Calibri" w:hAnsi="Arial" w:cs="Arial"/>
              </w:rPr>
              <w:t>The following amendment is proposed, that would have the effect that the Council determines what work these legal practitioners may render:</w:t>
            </w:r>
          </w:p>
          <w:p w:rsidR="008D729D" w:rsidRDefault="008D729D" w:rsidP="008D729D">
            <w:pPr>
              <w:pStyle w:val="ListParagraph"/>
              <w:ind w:left="0"/>
              <w:rPr>
                <w:rFonts w:ascii="Arial" w:hAnsi="Arial" w:cs="Arial"/>
              </w:rPr>
            </w:pPr>
            <w:r w:rsidRPr="00113274">
              <w:rPr>
                <w:rFonts w:ascii="Arial" w:eastAsia="Calibri" w:hAnsi="Arial" w:cs="Arial"/>
              </w:rPr>
              <w:t xml:space="preserve">“34(2)(b) An advocate contemplated in paragraph (a)(ii) may only render those legal services </w:t>
            </w:r>
            <w:r w:rsidRPr="00113274">
              <w:rPr>
                <w:rFonts w:ascii="Arial" w:eastAsia="Calibri" w:hAnsi="Arial" w:cs="Arial"/>
                <w:b/>
              </w:rPr>
              <w:t>[rendered by advocates before the commencement of this Act]</w:t>
            </w:r>
            <w:r w:rsidRPr="00113274">
              <w:rPr>
                <w:rFonts w:ascii="Arial" w:eastAsia="Calibri" w:hAnsi="Arial" w:cs="Arial"/>
              </w:rPr>
              <w:t xml:space="preserve"> as determined by the Council in the </w:t>
            </w:r>
            <w:r w:rsidRPr="00113274">
              <w:rPr>
                <w:rFonts w:ascii="Arial" w:eastAsia="Calibri" w:hAnsi="Arial" w:cs="Arial"/>
              </w:rPr>
              <w:lastRenderedPageBreak/>
              <w:t>Rules,…”.</w:t>
            </w:r>
          </w:p>
        </w:tc>
        <w:tc>
          <w:tcPr>
            <w:tcW w:w="2995" w:type="pct"/>
          </w:tcPr>
          <w:p w:rsidR="008D729D" w:rsidRDefault="008D729D" w:rsidP="00852B8F">
            <w:pPr>
              <w:rPr>
                <w:rFonts w:ascii="Arial" w:hAnsi="Arial" w:cs="Arial"/>
              </w:rPr>
            </w:pPr>
            <w:r>
              <w:rPr>
                <w:rFonts w:ascii="Arial" w:eastAsia="Calibri" w:hAnsi="Arial" w:cs="Arial"/>
              </w:rPr>
              <w:lastRenderedPageBreak/>
              <w:t>The wording i</w:t>
            </w:r>
            <w:r w:rsidR="00852B8F">
              <w:rPr>
                <w:rFonts w:ascii="Arial" w:eastAsia="Calibri" w:hAnsi="Arial" w:cs="Arial"/>
              </w:rPr>
              <w:t>n</w:t>
            </w:r>
            <w:r>
              <w:rPr>
                <w:rFonts w:ascii="Arial" w:eastAsia="Calibri" w:hAnsi="Arial" w:cs="Arial"/>
              </w:rPr>
              <w:t xml:space="preserve"> the provision is clear.  Advocates with Fidelity Fund certificates may not render legal services </w:t>
            </w:r>
            <w:r w:rsidR="00852B8F">
              <w:rPr>
                <w:rFonts w:ascii="Arial" w:eastAsia="Calibri" w:hAnsi="Arial" w:cs="Arial"/>
              </w:rPr>
              <w:t xml:space="preserve">that </w:t>
            </w:r>
            <w:r>
              <w:rPr>
                <w:rFonts w:ascii="Arial" w:eastAsia="Calibri" w:hAnsi="Arial" w:cs="Arial"/>
              </w:rPr>
              <w:t xml:space="preserve">traditionally </w:t>
            </w:r>
            <w:r w:rsidR="00852B8F">
              <w:rPr>
                <w:rFonts w:ascii="Arial" w:eastAsia="Calibri" w:hAnsi="Arial" w:cs="Arial"/>
              </w:rPr>
              <w:t xml:space="preserve">were </w:t>
            </w:r>
            <w:r>
              <w:rPr>
                <w:rFonts w:ascii="Arial" w:eastAsia="Calibri" w:hAnsi="Arial" w:cs="Arial"/>
              </w:rPr>
              <w:t xml:space="preserve">the preserve of attorneys.  That was the intention. </w:t>
            </w:r>
            <w:r w:rsidRPr="00113274">
              <w:rPr>
                <w:rFonts w:ascii="Arial" w:eastAsia="Calibri" w:hAnsi="Arial" w:cs="Arial"/>
              </w:rPr>
              <w:t xml:space="preserve"> </w:t>
            </w:r>
            <w:r>
              <w:rPr>
                <w:rFonts w:ascii="Arial" w:eastAsia="Calibri" w:hAnsi="Arial" w:cs="Arial"/>
              </w:rPr>
              <w:t xml:space="preserve"> The proposed amendment is therefore not supported.</w:t>
            </w:r>
          </w:p>
        </w:tc>
      </w:tr>
      <w:tr w:rsidR="008D729D" w:rsidRPr="003B3B20" w:rsidTr="00345DCD">
        <w:tc>
          <w:tcPr>
            <w:tcW w:w="430" w:type="pct"/>
          </w:tcPr>
          <w:p w:rsidR="008D729D" w:rsidRDefault="008D729D" w:rsidP="00113274">
            <w:pPr>
              <w:rPr>
                <w:rFonts w:ascii="Arial" w:hAnsi="Arial" w:cs="Arial"/>
              </w:rPr>
            </w:pPr>
            <w:r>
              <w:rPr>
                <w:rFonts w:ascii="Arial" w:hAnsi="Arial" w:cs="Arial"/>
              </w:rPr>
              <w:lastRenderedPageBreak/>
              <w:t>General comment</w:t>
            </w:r>
            <w:r w:rsidR="00402EC4">
              <w:rPr>
                <w:rFonts w:ascii="Arial" w:hAnsi="Arial" w:cs="Arial"/>
              </w:rPr>
              <w:t>s</w:t>
            </w:r>
          </w:p>
        </w:tc>
        <w:tc>
          <w:tcPr>
            <w:tcW w:w="546" w:type="pct"/>
          </w:tcPr>
          <w:p w:rsidR="008D729D" w:rsidRDefault="008D729D" w:rsidP="00113274">
            <w:pPr>
              <w:rPr>
                <w:rFonts w:ascii="Arial" w:hAnsi="Arial" w:cs="Arial"/>
              </w:rPr>
            </w:pPr>
            <w:r w:rsidRPr="00113274">
              <w:rPr>
                <w:rFonts w:ascii="Arial" w:eastAsia="Calibri" w:hAnsi="Arial" w:cs="Arial"/>
              </w:rPr>
              <w:t xml:space="preserve">Adv A </w:t>
            </w:r>
            <w:proofErr w:type="spellStart"/>
            <w:r w:rsidRPr="00113274">
              <w:rPr>
                <w:rFonts w:ascii="Arial" w:eastAsia="Calibri" w:hAnsi="Arial" w:cs="Arial"/>
              </w:rPr>
              <w:t>Reinecke</w:t>
            </w:r>
            <w:proofErr w:type="spellEnd"/>
          </w:p>
        </w:tc>
        <w:tc>
          <w:tcPr>
            <w:tcW w:w="1029" w:type="pct"/>
          </w:tcPr>
          <w:p w:rsidR="008D729D" w:rsidRPr="00113274" w:rsidRDefault="008D729D" w:rsidP="008D729D">
            <w:pPr>
              <w:rPr>
                <w:rFonts w:ascii="Arial" w:eastAsia="Calibri" w:hAnsi="Arial" w:cs="Arial"/>
              </w:rPr>
            </w:pPr>
            <w:r>
              <w:rPr>
                <w:rFonts w:ascii="Arial" w:eastAsia="Calibri" w:hAnsi="Arial" w:cs="Arial"/>
              </w:rPr>
              <w:t xml:space="preserve">She raises numerous general aspects which do not have a direct bearing on the Bill but rather on issues relating to </w:t>
            </w:r>
          </w:p>
          <w:p w:rsidR="008D729D" w:rsidRDefault="008D729D" w:rsidP="008D729D">
            <w:pPr>
              <w:pStyle w:val="ListParagraph"/>
              <w:ind w:left="0"/>
              <w:rPr>
                <w:rFonts w:ascii="Arial" w:hAnsi="Arial" w:cs="Arial"/>
              </w:rPr>
            </w:pPr>
            <w:r w:rsidRPr="00113274">
              <w:rPr>
                <w:rFonts w:ascii="Arial" w:eastAsia="Calibri" w:hAnsi="Arial" w:cs="Arial"/>
              </w:rPr>
              <w:t>Transformation</w:t>
            </w:r>
            <w:r>
              <w:rPr>
                <w:rFonts w:ascii="Arial" w:eastAsia="Calibri" w:hAnsi="Arial" w:cs="Arial"/>
              </w:rPr>
              <w:t>, independence of the legal profession and access to justice.</w:t>
            </w:r>
          </w:p>
        </w:tc>
        <w:tc>
          <w:tcPr>
            <w:tcW w:w="2995" w:type="pct"/>
          </w:tcPr>
          <w:p w:rsidR="008D729D" w:rsidRDefault="008D729D" w:rsidP="00113274">
            <w:pPr>
              <w:rPr>
                <w:rFonts w:ascii="Arial" w:hAnsi="Arial" w:cs="Arial"/>
              </w:rPr>
            </w:pPr>
            <w:r>
              <w:rPr>
                <w:rFonts w:ascii="Arial" w:hAnsi="Arial" w:cs="Arial"/>
                <w:bCs/>
                <w:lang w:val="en-ZA"/>
              </w:rPr>
              <w:t>Noted.</w:t>
            </w:r>
          </w:p>
        </w:tc>
      </w:tr>
      <w:tr w:rsidR="008D729D" w:rsidRPr="003B3B20" w:rsidTr="00345DCD">
        <w:tc>
          <w:tcPr>
            <w:tcW w:w="430" w:type="pct"/>
          </w:tcPr>
          <w:p w:rsidR="008D729D" w:rsidRDefault="008D729D" w:rsidP="00113274">
            <w:pPr>
              <w:rPr>
                <w:rFonts w:ascii="Arial" w:hAnsi="Arial" w:cs="Arial"/>
              </w:rPr>
            </w:pPr>
            <w:r>
              <w:rPr>
                <w:rFonts w:ascii="Arial" w:hAnsi="Arial" w:cs="Arial"/>
              </w:rPr>
              <w:t>General comment</w:t>
            </w:r>
            <w:r w:rsidR="00402EC4">
              <w:rPr>
                <w:rFonts w:ascii="Arial" w:hAnsi="Arial" w:cs="Arial"/>
              </w:rPr>
              <w:t>s</w:t>
            </w:r>
          </w:p>
        </w:tc>
        <w:tc>
          <w:tcPr>
            <w:tcW w:w="546" w:type="pct"/>
          </w:tcPr>
          <w:p w:rsidR="008D729D" w:rsidRDefault="008D729D" w:rsidP="00113274">
            <w:pPr>
              <w:rPr>
                <w:rFonts w:ascii="Arial" w:hAnsi="Arial" w:cs="Arial"/>
              </w:rPr>
            </w:pPr>
            <w:r w:rsidRPr="00113274">
              <w:rPr>
                <w:rFonts w:ascii="Arial" w:eastAsia="Calibri" w:hAnsi="Arial" w:cs="Arial"/>
              </w:rPr>
              <w:t>Adv H Horn</w:t>
            </w:r>
          </w:p>
        </w:tc>
        <w:tc>
          <w:tcPr>
            <w:tcW w:w="1029" w:type="pct"/>
          </w:tcPr>
          <w:p w:rsidR="008D729D" w:rsidRDefault="008D729D" w:rsidP="008D729D">
            <w:pPr>
              <w:rPr>
                <w:rFonts w:ascii="Arial" w:hAnsi="Arial" w:cs="Arial"/>
                <w:bCs/>
                <w:lang w:val="en-ZA"/>
              </w:rPr>
            </w:pPr>
            <w:r>
              <w:rPr>
                <w:rFonts w:ascii="Arial" w:hAnsi="Arial" w:cs="Arial"/>
                <w:bCs/>
                <w:lang w:val="en-ZA"/>
              </w:rPr>
              <w:t>He raises the following questions which do not have a bearing on the Bill in a direct manner:</w:t>
            </w:r>
          </w:p>
          <w:p w:rsidR="008D729D" w:rsidRDefault="008D729D" w:rsidP="008D729D">
            <w:pPr>
              <w:rPr>
                <w:rFonts w:ascii="Arial" w:hAnsi="Arial" w:cs="Arial"/>
                <w:bCs/>
                <w:lang w:val="en-ZA"/>
              </w:rPr>
            </w:pPr>
            <w:r>
              <w:rPr>
                <w:rFonts w:ascii="Arial" w:hAnsi="Arial" w:cs="Arial"/>
                <w:bCs/>
                <w:lang w:val="en-ZA"/>
              </w:rPr>
              <w:t>(a)</w:t>
            </w:r>
            <w:r>
              <w:rPr>
                <w:rFonts w:ascii="Arial" w:hAnsi="Arial" w:cs="Arial"/>
                <w:bCs/>
                <w:lang w:val="en-ZA"/>
              </w:rPr>
              <w:tab/>
              <w:t xml:space="preserve">When will </w:t>
            </w:r>
            <w:r w:rsidR="00852B8F">
              <w:rPr>
                <w:rFonts w:ascii="Arial" w:hAnsi="Arial" w:cs="Arial"/>
                <w:bCs/>
                <w:lang w:val="en-ZA"/>
              </w:rPr>
              <w:t xml:space="preserve">he </w:t>
            </w:r>
            <w:proofErr w:type="gramStart"/>
            <w:r>
              <w:rPr>
                <w:rFonts w:ascii="Arial" w:hAnsi="Arial" w:cs="Arial"/>
                <w:bCs/>
                <w:lang w:val="en-ZA"/>
              </w:rPr>
              <w:t xml:space="preserve">be </w:t>
            </w:r>
            <w:r w:rsidR="00852B8F">
              <w:rPr>
                <w:rFonts w:ascii="Arial" w:hAnsi="Arial" w:cs="Arial"/>
                <w:bCs/>
                <w:lang w:val="en-ZA"/>
              </w:rPr>
              <w:t xml:space="preserve"> </w:t>
            </w:r>
            <w:r>
              <w:rPr>
                <w:rFonts w:ascii="Arial" w:hAnsi="Arial" w:cs="Arial"/>
                <w:bCs/>
                <w:lang w:val="en-ZA"/>
              </w:rPr>
              <w:t>able</w:t>
            </w:r>
            <w:proofErr w:type="gramEnd"/>
            <w:r>
              <w:rPr>
                <w:rFonts w:ascii="Arial" w:hAnsi="Arial" w:cs="Arial"/>
                <w:bCs/>
                <w:lang w:val="en-ZA"/>
              </w:rPr>
              <w:t xml:space="preserve"> to act as a legal representative after the Act comes into operation?  Will he, as an advocate, have to still apply for a Fidelity Fund certificate and how long will it take?</w:t>
            </w:r>
          </w:p>
          <w:p w:rsidR="008D729D" w:rsidRDefault="008D729D" w:rsidP="008D729D">
            <w:pPr>
              <w:rPr>
                <w:rFonts w:ascii="Arial" w:hAnsi="Arial" w:cs="Arial"/>
                <w:bCs/>
                <w:lang w:val="en-ZA"/>
              </w:rPr>
            </w:pPr>
            <w:r>
              <w:rPr>
                <w:rFonts w:ascii="Arial" w:hAnsi="Arial" w:cs="Arial"/>
                <w:bCs/>
                <w:lang w:val="en-ZA"/>
              </w:rPr>
              <w:t>(b)</w:t>
            </w:r>
            <w:r>
              <w:rPr>
                <w:rFonts w:ascii="Arial" w:hAnsi="Arial" w:cs="Arial"/>
                <w:bCs/>
                <w:lang w:val="en-ZA"/>
              </w:rPr>
              <w:tab/>
              <w:t>The Act is unclear about partnering relationships with attorneys and other advocates or even consultants, and sharing offices.</w:t>
            </w:r>
          </w:p>
          <w:p w:rsidR="008D729D" w:rsidRDefault="008D729D" w:rsidP="008D729D">
            <w:pPr>
              <w:pStyle w:val="ListParagraph"/>
              <w:ind w:left="0"/>
              <w:rPr>
                <w:rFonts w:ascii="Arial" w:hAnsi="Arial" w:cs="Arial"/>
              </w:rPr>
            </w:pPr>
            <w:r>
              <w:rPr>
                <w:rFonts w:ascii="Arial" w:hAnsi="Arial" w:cs="Arial"/>
                <w:bCs/>
                <w:lang w:val="en-ZA"/>
              </w:rPr>
              <w:t>(c)</w:t>
            </w:r>
            <w:r>
              <w:rPr>
                <w:rFonts w:ascii="Arial" w:hAnsi="Arial" w:cs="Arial"/>
                <w:bCs/>
                <w:lang w:val="en-ZA"/>
              </w:rPr>
              <w:tab/>
              <w:t xml:space="preserve">The Act is </w:t>
            </w:r>
            <w:r>
              <w:rPr>
                <w:rFonts w:ascii="Arial" w:hAnsi="Arial" w:cs="Arial"/>
                <w:bCs/>
                <w:lang w:val="en-ZA"/>
              </w:rPr>
              <w:lastRenderedPageBreak/>
              <w:t>unclear if practitioners who belong to their own associations, such as the National Bar Council of South Africa, have to pay membership fees to the national body (the Council).</w:t>
            </w:r>
          </w:p>
        </w:tc>
        <w:tc>
          <w:tcPr>
            <w:tcW w:w="2995" w:type="pct"/>
          </w:tcPr>
          <w:p w:rsidR="00345DCD" w:rsidRDefault="008D729D" w:rsidP="00345DCD">
            <w:pPr>
              <w:rPr>
                <w:rFonts w:ascii="Arial" w:hAnsi="Arial" w:cs="Arial"/>
                <w:bCs/>
                <w:lang w:val="en-ZA"/>
              </w:rPr>
            </w:pPr>
            <w:r>
              <w:rPr>
                <w:rFonts w:ascii="Arial" w:hAnsi="Arial" w:cs="Arial"/>
                <w:bCs/>
                <w:lang w:val="en-ZA"/>
              </w:rPr>
              <w:lastRenderedPageBreak/>
              <w:t>(a)</w:t>
            </w:r>
            <w:r>
              <w:rPr>
                <w:rFonts w:ascii="Arial" w:hAnsi="Arial" w:cs="Arial"/>
                <w:bCs/>
                <w:lang w:val="en-ZA"/>
              </w:rPr>
              <w:tab/>
              <w:t>When the Act comes into operation</w:t>
            </w:r>
            <w:r w:rsidR="00345DCD">
              <w:rPr>
                <w:rFonts w:ascii="Arial" w:hAnsi="Arial" w:cs="Arial"/>
                <w:bCs/>
                <w:lang w:val="en-ZA"/>
              </w:rPr>
              <w:t xml:space="preserve"> if he wants to practise as an advocate with a Fidelity Fund certificate he will have to apply for a certificate.  The Department is not in a position to say how long that will take.</w:t>
            </w:r>
          </w:p>
          <w:p w:rsidR="00345DCD" w:rsidRDefault="00345DCD" w:rsidP="00345DCD">
            <w:pPr>
              <w:rPr>
                <w:rFonts w:ascii="Arial" w:hAnsi="Arial" w:cs="Arial"/>
                <w:bCs/>
                <w:lang w:val="en-ZA"/>
              </w:rPr>
            </w:pPr>
          </w:p>
          <w:p w:rsidR="00345DCD" w:rsidRDefault="00345DCD" w:rsidP="00345DCD">
            <w:pPr>
              <w:rPr>
                <w:rFonts w:ascii="Arial" w:hAnsi="Arial" w:cs="Arial"/>
                <w:bCs/>
                <w:lang w:val="en-ZA"/>
              </w:rPr>
            </w:pPr>
            <w:r>
              <w:rPr>
                <w:rFonts w:ascii="Arial" w:hAnsi="Arial" w:cs="Arial"/>
                <w:bCs/>
                <w:lang w:val="en-ZA"/>
              </w:rPr>
              <w:t>(b)</w:t>
            </w:r>
            <w:r>
              <w:rPr>
                <w:rFonts w:ascii="Arial" w:hAnsi="Arial" w:cs="Arial"/>
                <w:bCs/>
                <w:lang w:val="en-ZA"/>
              </w:rPr>
              <w:tab/>
              <w:t>Section 34 of the Act, which sets out forms of legal practice, is clear.  It sets out how legal practices are to be run.  This does not differ from the current situation.  Advocates will continue to practise for their own account on their own.</w:t>
            </w:r>
          </w:p>
          <w:p w:rsidR="00345DCD" w:rsidRDefault="00345DCD" w:rsidP="00345DCD">
            <w:pPr>
              <w:rPr>
                <w:rFonts w:ascii="Arial" w:hAnsi="Arial" w:cs="Arial"/>
                <w:bCs/>
                <w:lang w:val="en-ZA"/>
              </w:rPr>
            </w:pPr>
          </w:p>
          <w:p w:rsidR="00345DCD" w:rsidRDefault="00345DCD" w:rsidP="00345DCD">
            <w:pPr>
              <w:rPr>
                <w:rFonts w:ascii="Arial" w:hAnsi="Arial" w:cs="Arial"/>
              </w:rPr>
            </w:pPr>
            <w:r>
              <w:rPr>
                <w:rFonts w:ascii="Arial" w:hAnsi="Arial" w:cs="Arial"/>
                <w:bCs/>
                <w:lang w:val="en-ZA"/>
              </w:rPr>
              <w:t>(c)</w:t>
            </w:r>
            <w:r>
              <w:rPr>
                <w:rFonts w:ascii="Arial" w:hAnsi="Arial" w:cs="Arial"/>
                <w:bCs/>
                <w:lang w:val="en-ZA"/>
              </w:rPr>
              <w:tab/>
              <w:t>The Act is clear.  Fees are payable to the Council.  See section 6(4</w:t>
            </w:r>
            <w:proofErr w:type="gramStart"/>
            <w:r>
              <w:rPr>
                <w:rFonts w:ascii="Arial" w:hAnsi="Arial" w:cs="Arial"/>
                <w:bCs/>
                <w:lang w:val="en-ZA"/>
              </w:rPr>
              <w:t>)(</w:t>
            </w:r>
            <w:proofErr w:type="gramEnd"/>
            <w:r>
              <w:rPr>
                <w:rFonts w:ascii="Arial" w:hAnsi="Arial" w:cs="Arial"/>
                <w:bCs/>
                <w:lang w:val="en-ZA"/>
              </w:rPr>
              <w:t>c) of the Act.  However, the Act does not prohibit legal practitioners from being members of other associations.</w:t>
            </w:r>
          </w:p>
        </w:tc>
      </w:tr>
      <w:tr w:rsidR="00345DCD" w:rsidRPr="003B3B20" w:rsidTr="00345DCD">
        <w:tc>
          <w:tcPr>
            <w:tcW w:w="430" w:type="pct"/>
          </w:tcPr>
          <w:p w:rsidR="00345DCD" w:rsidRDefault="00345DCD" w:rsidP="00113274">
            <w:pPr>
              <w:rPr>
                <w:rFonts w:ascii="Arial" w:hAnsi="Arial" w:cs="Arial"/>
              </w:rPr>
            </w:pPr>
            <w:r>
              <w:rPr>
                <w:rFonts w:ascii="Arial" w:hAnsi="Arial" w:cs="Arial"/>
              </w:rPr>
              <w:lastRenderedPageBreak/>
              <w:t>General comment</w:t>
            </w:r>
            <w:r w:rsidR="00402EC4">
              <w:rPr>
                <w:rFonts w:ascii="Arial" w:hAnsi="Arial" w:cs="Arial"/>
              </w:rPr>
              <w:t>s</w:t>
            </w:r>
          </w:p>
        </w:tc>
        <w:tc>
          <w:tcPr>
            <w:tcW w:w="546" w:type="pct"/>
          </w:tcPr>
          <w:p w:rsidR="00345DCD" w:rsidRDefault="00345DCD" w:rsidP="00113274">
            <w:pPr>
              <w:rPr>
                <w:rFonts w:ascii="Arial" w:hAnsi="Arial" w:cs="Arial"/>
              </w:rPr>
            </w:pPr>
            <w:proofErr w:type="spellStart"/>
            <w:r w:rsidRPr="00113274">
              <w:rPr>
                <w:rFonts w:ascii="Arial" w:eastAsia="Calibri" w:hAnsi="Arial" w:cs="Arial"/>
              </w:rPr>
              <w:t>ClearlawSA</w:t>
            </w:r>
            <w:proofErr w:type="spellEnd"/>
            <w:r w:rsidRPr="00113274">
              <w:rPr>
                <w:rFonts w:ascii="Arial" w:eastAsia="Calibri" w:hAnsi="Arial" w:cs="Arial"/>
              </w:rPr>
              <w:t xml:space="preserve"> Pty Ltd</w:t>
            </w:r>
          </w:p>
        </w:tc>
        <w:tc>
          <w:tcPr>
            <w:tcW w:w="1029" w:type="pct"/>
          </w:tcPr>
          <w:p w:rsidR="00345DCD" w:rsidRDefault="00345DCD" w:rsidP="00133EC7">
            <w:pPr>
              <w:pStyle w:val="ListParagraph"/>
              <w:ind w:left="0"/>
              <w:rPr>
                <w:rFonts w:ascii="Arial" w:hAnsi="Arial" w:cs="Arial"/>
              </w:rPr>
            </w:pPr>
            <w:r w:rsidRPr="00113274">
              <w:rPr>
                <w:rFonts w:ascii="Arial" w:eastAsia="Calibri" w:hAnsi="Arial" w:cs="Arial"/>
              </w:rPr>
              <w:t xml:space="preserve">Proposes an amendment to sections 25(1), 31 and 95(1) of the Act to insert the concept of an annual practising certificate </w:t>
            </w:r>
            <w:r>
              <w:rPr>
                <w:rFonts w:ascii="Arial" w:eastAsia="Calibri" w:hAnsi="Arial" w:cs="Arial"/>
              </w:rPr>
              <w:t xml:space="preserve">which is issued by the Council confirming that the legal practitioner has complied with the requirements relating to </w:t>
            </w:r>
            <w:r w:rsidRPr="00113274">
              <w:rPr>
                <w:rFonts w:ascii="Arial" w:eastAsia="Calibri" w:hAnsi="Arial" w:cs="Arial"/>
              </w:rPr>
              <w:t xml:space="preserve">continued </w:t>
            </w:r>
            <w:r>
              <w:rPr>
                <w:rFonts w:ascii="Arial" w:eastAsia="Calibri" w:hAnsi="Arial" w:cs="Arial"/>
              </w:rPr>
              <w:t xml:space="preserve">legal </w:t>
            </w:r>
            <w:r w:rsidRPr="00113274">
              <w:rPr>
                <w:rFonts w:ascii="Arial" w:eastAsia="Calibri" w:hAnsi="Arial" w:cs="Arial"/>
              </w:rPr>
              <w:t xml:space="preserve">education. </w:t>
            </w:r>
          </w:p>
        </w:tc>
        <w:tc>
          <w:tcPr>
            <w:tcW w:w="2995" w:type="pct"/>
          </w:tcPr>
          <w:p w:rsidR="00345DCD" w:rsidRDefault="00345DCD" w:rsidP="00113274">
            <w:pPr>
              <w:rPr>
                <w:rFonts w:ascii="Arial" w:hAnsi="Arial" w:cs="Arial"/>
              </w:rPr>
            </w:pPr>
            <w:r w:rsidRPr="00113274">
              <w:rPr>
                <w:rFonts w:ascii="Arial" w:hAnsi="Arial" w:cs="Arial"/>
              </w:rPr>
              <w:t xml:space="preserve">Section 6 provides for the powers and functions of Council and </w:t>
            </w:r>
            <w:r>
              <w:rPr>
                <w:rFonts w:ascii="Arial" w:hAnsi="Arial" w:cs="Arial"/>
              </w:rPr>
              <w:t>provides that the Council may determine conditions relating to the nature and extent of continuing education and training, including compulsory post-qualification professional development.</w:t>
            </w:r>
            <w:r w:rsidRPr="00113274">
              <w:rPr>
                <w:rFonts w:ascii="Arial" w:hAnsi="Arial" w:cs="Arial"/>
              </w:rPr>
              <w:t xml:space="preserve"> </w:t>
            </w:r>
          </w:p>
        </w:tc>
      </w:tr>
      <w:tr w:rsidR="00345DCD" w:rsidRPr="003B3B20" w:rsidTr="00345DCD">
        <w:tc>
          <w:tcPr>
            <w:tcW w:w="430" w:type="pct"/>
          </w:tcPr>
          <w:p w:rsidR="00345DCD" w:rsidRDefault="00345DCD" w:rsidP="00113274">
            <w:pPr>
              <w:rPr>
                <w:rFonts w:ascii="Arial" w:hAnsi="Arial" w:cs="Arial"/>
              </w:rPr>
            </w:pPr>
            <w:r>
              <w:rPr>
                <w:rFonts w:ascii="Arial" w:hAnsi="Arial" w:cs="Arial"/>
              </w:rPr>
              <w:t>General comment</w:t>
            </w:r>
            <w:r w:rsidR="00402EC4">
              <w:rPr>
                <w:rFonts w:ascii="Arial" w:hAnsi="Arial" w:cs="Arial"/>
              </w:rPr>
              <w:t>s</w:t>
            </w:r>
          </w:p>
        </w:tc>
        <w:tc>
          <w:tcPr>
            <w:tcW w:w="546" w:type="pct"/>
          </w:tcPr>
          <w:p w:rsidR="00345DCD" w:rsidRDefault="00345DCD" w:rsidP="00113274">
            <w:pPr>
              <w:rPr>
                <w:rFonts w:ascii="Arial" w:hAnsi="Arial" w:cs="Arial"/>
              </w:rPr>
            </w:pPr>
            <w:proofErr w:type="spellStart"/>
            <w:r w:rsidRPr="00113274">
              <w:rPr>
                <w:rFonts w:ascii="Arial" w:eastAsia="Calibri" w:hAnsi="Arial" w:cs="Arial"/>
              </w:rPr>
              <w:t>ClearlawSA</w:t>
            </w:r>
            <w:proofErr w:type="spellEnd"/>
            <w:r w:rsidRPr="00113274">
              <w:rPr>
                <w:rFonts w:ascii="Arial" w:eastAsia="Calibri" w:hAnsi="Arial" w:cs="Arial"/>
              </w:rPr>
              <w:t xml:space="preserve"> Pty Ltd</w:t>
            </w:r>
          </w:p>
        </w:tc>
        <w:tc>
          <w:tcPr>
            <w:tcW w:w="1029" w:type="pct"/>
          </w:tcPr>
          <w:p w:rsidR="00345DCD" w:rsidRDefault="00345DCD" w:rsidP="00133EC7">
            <w:pPr>
              <w:pStyle w:val="ListParagraph"/>
              <w:ind w:left="0"/>
              <w:rPr>
                <w:rFonts w:ascii="Arial" w:hAnsi="Arial" w:cs="Arial"/>
              </w:rPr>
            </w:pPr>
            <w:r w:rsidRPr="00113274">
              <w:rPr>
                <w:rFonts w:ascii="Arial" w:eastAsia="Calibri" w:hAnsi="Arial" w:cs="Arial"/>
              </w:rPr>
              <w:t>Proposes an amendment to sections 1 and 30 to provide for defin</w:t>
            </w:r>
            <w:r>
              <w:rPr>
                <w:rFonts w:ascii="Arial" w:eastAsia="Calibri" w:hAnsi="Arial" w:cs="Arial"/>
              </w:rPr>
              <w:t>i</w:t>
            </w:r>
            <w:r w:rsidRPr="00113274">
              <w:rPr>
                <w:rFonts w:ascii="Arial" w:eastAsia="Calibri" w:hAnsi="Arial" w:cs="Arial"/>
              </w:rPr>
              <w:t>tions of “non-practis</w:t>
            </w:r>
            <w:r>
              <w:rPr>
                <w:rFonts w:ascii="Arial" w:eastAsia="Calibri" w:hAnsi="Arial" w:cs="Arial"/>
              </w:rPr>
              <w:t>ing Roll” and “practising Roll” of legal practitioners.</w:t>
            </w:r>
          </w:p>
        </w:tc>
        <w:tc>
          <w:tcPr>
            <w:tcW w:w="2995" w:type="pct"/>
          </w:tcPr>
          <w:p w:rsidR="00345DCD" w:rsidRDefault="00345DCD" w:rsidP="00113274">
            <w:pPr>
              <w:rPr>
                <w:rFonts w:ascii="Arial" w:hAnsi="Arial" w:cs="Arial"/>
              </w:rPr>
            </w:pPr>
            <w:r>
              <w:rPr>
                <w:rFonts w:ascii="Arial" w:eastAsia="Calibri" w:hAnsi="Arial" w:cs="Arial"/>
              </w:rPr>
              <w:t xml:space="preserve">Existing legislation differentiates between practising and non-practising practitioners.  </w:t>
            </w:r>
            <w:r w:rsidRPr="00113274">
              <w:rPr>
                <w:rFonts w:ascii="Arial" w:eastAsia="Calibri" w:hAnsi="Arial" w:cs="Arial"/>
              </w:rPr>
              <w:t xml:space="preserve">The </w:t>
            </w:r>
            <w:r>
              <w:rPr>
                <w:rFonts w:ascii="Arial" w:eastAsia="Calibri" w:hAnsi="Arial" w:cs="Arial"/>
              </w:rPr>
              <w:t>opinion is held that the Act is clear as it is.</w:t>
            </w:r>
            <w:r w:rsidRPr="00113274">
              <w:rPr>
                <w:rFonts w:ascii="Arial" w:eastAsia="Calibri" w:hAnsi="Arial" w:cs="Arial"/>
              </w:rPr>
              <w:t xml:space="preserve"> </w:t>
            </w:r>
          </w:p>
        </w:tc>
      </w:tr>
      <w:tr w:rsidR="00345DCD" w:rsidRPr="003B3B20" w:rsidTr="00345DCD">
        <w:tc>
          <w:tcPr>
            <w:tcW w:w="430" w:type="pct"/>
          </w:tcPr>
          <w:p w:rsidR="00345DCD" w:rsidRDefault="00345DCD" w:rsidP="00113274">
            <w:pPr>
              <w:rPr>
                <w:rFonts w:ascii="Arial" w:hAnsi="Arial" w:cs="Arial"/>
              </w:rPr>
            </w:pPr>
            <w:r>
              <w:rPr>
                <w:rFonts w:ascii="Arial" w:hAnsi="Arial" w:cs="Arial"/>
              </w:rPr>
              <w:t>General comment</w:t>
            </w:r>
            <w:r w:rsidR="00402EC4">
              <w:rPr>
                <w:rFonts w:ascii="Arial" w:hAnsi="Arial" w:cs="Arial"/>
              </w:rPr>
              <w:t>s</w:t>
            </w:r>
          </w:p>
        </w:tc>
        <w:tc>
          <w:tcPr>
            <w:tcW w:w="546" w:type="pct"/>
          </w:tcPr>
          <w:p w:rsidR="00345DCD" w:rsidRPr="00113274" w:rsidRDefault="00345DCD" w:rsidP="00113274">
            <w:pPr>
              <w:rPr>
                <w:rFonts w:ascii="Arial" w:eastAsia="Calibri" w:hAnsi="Arial" w:cs="Arial"/>
              </w:rPr>
            </w:pPr>
            <w:r w:rsidRPr="00113274">
              <w:rPr>
                <w:rFonts w:ascii="Arial" w:eastAsia="Calibri" w:hAnsi="Arial" w:cs="Arial"/>
              </w:rPr>
              <w:t xml:space="preserve">South African Human </w:t>
            </w:r>
            <w:r w:rsidRPr="00113274">
              <w:rPr>
                <w:rFonts w:ascii="Arial" w:eastAsia="Calibri" w:hAnsi="Arial" w:cs="Arial"/>
              </w:rPr>
              <w:lastRenderedPageBreak/>
              <w:t>Rights Commission</w:t>
            </w:r>
          </w:p>
        </w:tc>
        <w:tc>
          <w:tcPr>
            <w:tcW w:w="1029" w:type="pct"/>
          </w:tcPr>
          <w:p w:rsidR="00345DCD" w:rsidRPr="00113274" w:rsidRDefault="00345DCD" w:rsidP="00133EC7">
            <w:pPr>
              <w:pStyle w:val="ListParagraph"/>
              <w:ind w:left="0"/>
              <w:rPr>
                <w:rFonts w:ascii="Arial" w:eastAsia="Calibri" w:hAnsi="Arial" w:cs="Arial"/>
              </w:rPr>
            </w:pPr>
            <w:r w:rsidRPr="00113274">
              <w:rPr>
                <w:rFonts w:ascii="Arial" w:eastAsia="Calibri" w:hAnsi="Arial" w:cs="Arial"/>
              </w:rPr>
              <w:lastRenderedPageBreak/>
              <w:t>Proposes an amendment to section 34(8).</w:t>
            </w:r>
            <w:r>
              <w:rPr>
                <w:rFonts w:ascii="Arial" w:eastAsia="Calibri" w:hAnsi="Arial" w:cs="Arial"/>
              </w:rPr>
              <w:t xml:space="preserve">  </w:t>
            </w:r>
            <w:proofErr w:type="gramStart"/>
            <w:r>
              <w:rPr>
                <w:rFonts w:ascii="Arial" w:eastAsia="Calibri" w:hAnsi="Arial" w:cs="Arial"/>
              </w:rPr>
              <w:t xml:space="preserve">Section 34 deals </w:t>
            </w:r>
            <w:r>
              <w:rPr>
                <w:rFonts w:ascii="Arial" w:eastAsia="Calibri" w:hAnsi="Arial" w:cs="Arial"/>
              </w:rPr>
              <w:lastRenderedPageBreak/>
              <w:t>with forms of legal practice and section 34(8) regulates</w:t>
            </w:r>
            <w:proofErr w:type="gramEnd"/>
            <w:r>
              <w:rPr>
                <w:rFonts w:ascii="Arial" w:eastAsia="Calibri" w:hAnsi="Arial" w:cs="Arial"/>
              </w:rPr>
              <w:t xml:space="preserve"> law clinics and provides that a law clinic may be established by a non-profit juristic entity or university in the Republic, subject to certain conditions that must be complied with.  The South African Human Rights Commission is of the view that section 34(8) should be amended to provide that it and other Chapter 9 institutions have the authority to establish law clinics, subject to the approval of the Council.  It argues that it is neither a non-profit juristic entity nor is it a university but it does provide legal services free of charge in cases of alleged violations of human rights.  It employs admitted attorneys and initiates </w:t>
            </w:r>
            <w:r>
              <w:rPr>
                <w:rFonts w:ascii="Arial" w:eastAsia="Calibri" w:hAnsi="Arial" w:cs="Arial"/>
              </w:rPr>
              <w:lastRenderedPageBreak/>
              <w:t xml:space="preserve">litigation. </w:t>
            </w:r>
          </w:p>
        </w:tc>
        <w:tc>
          <w:tcPr>
            <w:tcW w:w="2995" w:type="pct"/>
          </w:tcPr>
          <w:p w:rsidR="00345DCD" w:rsidRDefault="00345DCD" w:rsidP="001C02EF">
            <w:pPr>
              <w:rPr>
                <w:rFonts w:ascii="Arial" w:eastAsia="Calibri" w:hAnsi="Arial" w:cs="Arial"/>
              </w:rPr>
            </w:pPr>
            <w:r>
              <w:rPr>
                <w:rFonts w:ascii="Arial" w:eastAsia="Calibri" w:hAnsi="Arial" w:cs="Arial"/>
              </w:rPr>
              <w:lastRenderedPageBreak/>
              <w:t xml:space="preserve">The South African Human Rights Commission derives its authority to render legal services from the South African Human Rights Commission Act, 2013.  Section 13 of that Act sets out the powers and functions of the Commission </w:t>
            </w:r>
            <w:r>
              <w:rPr>
                <w:rFonts w:ascii="Arial" w:eastAsia="Calibri" w:hAnsi="Arial" w:cs="Arial"/>
              </w:rPr>
              <w:lastRenderedPageBreak/>
              <w:t>and section 13(3) provides that “the Commission is competent –</w:t>
            </w:r>
          </w:p>
          <w:p w:rsidR="00345DCD" w:rsidRDefault="00345DCD" w:rsidP="001C02EF">
            <w:pPr>
              <w:rPr>
                <w:rFonts w:ascii="Arial" w:eastAsia="Calibri" w:hAnsi="Arial" w:cs="Arial"/>
              </w:rPr>
            </w:pPr>
            <w:r>
              <w:rPr>
                <w:rFonts w:ascii="Arial" w:eastAsia="Calibri" w:hAnsi="Arial" w:cs="Arial"/>
              </w:rPr>
              <w:t>(a)</w:t>
            </w:r>
            <w:r>
              <w:rPr>
                <w:rFonts w:ascii="Arial" w:eastAsia="Calibri" w:hAnsi="Arial" w:cs="Arial"/>
              </w:rPr>
              <w:tab/>
              <w:t xml:space="preserve">to investigate on its own initiative or </w:t>
            </w:r>
            <w:r w:rsidR="002D1F5B">
              <w:rPr>
                <w:rFonts w:ascii="Arial" w:eastAsia="Calibri" w:hAnsi="Arial" w:cs="Arial"/>
              </w:rPr>
              <w:t xml:space="preserve">on receipt of a complaint, any </w:t>
            </w:r>
            <w:r>
              <w:rPr>
                <w:rFonts w:ascii="Arial" w:eastAsia="Calibri" w:hAnsi="Arial" w:cs="Arial"/>
              </w:rPr>
              <w:t xml:space="preserve">alleged violation of human rights, and if, after due investigation, the Commission  is of the opinion that there is substance in any complaint made to it, it must, in so far as it able to do so, assist the </w:t>
            </w:r>
            <w:r>
              <w:rPr>
                <w:rFonts w:ascii="Arial" w:eastAsia="Calibri" w:hAnsi="Arial" w:cs="Arial"/>
              </w:rPr>
              <w:tab/>
              <w:t xml:space="preserve">complainant and other persons adversely affected thereby, to secure redress, and where it is necessary for that purpose to do so, it may arrange for or provide </w:t>
            </w:r>
            <w:r>
              <w:rPr>
                <w:rFonts w:ascii="Arial" w:eastAsia="Calibri" w:hAnsi="Arial" w:cs="Arial"/>
              </w:rPr>
              <w:tab/>
              <w:t xml:space="preserve">financial assistance to enable </w:t>
            </w:r>
            <w:r w:rsidR="002D1F5B">
              <w:rPr>
                <w:rFonts w:ascii="Arial" w:eastAsia="Calibri" w:hAnsi="Arial" w:cs="Arial"/>
              </w:rPr>
              <w:t xml:space="preserve">proceedings to be taken </w:t>
            </w:r>
            <w:r>
              <w:rPr>
                <w:rFonts w:ascii="Arial" w:eastAsia="Calibri" w:hAnsi="Arial" w:cs="Arial"/>
              </w:rPr>
              <w:t>to a competent court for the necessary relief or may direct a complainant to an appropriate forum;  and</w:t>
            </w:r>
          </w:p>
          <w:p w:rsidR="00345DCD" w:rsidRDefault="00345DCD" w:rsidP="001C02EF">
            <w:pPr>
              <w:rPr>
                <w:rFonts w:ascii="Arial" w:eastAsia="Calibri" w:hAnsi="Arial" w:cs="Arial"/>
              </w:rPr>
            </w:pPr>
            <w:r>
              <w:rPr>
                <w:rFonts w:ascii="Arial" w:eastAsia="Calibri" w:hAnsi="Arial" w:cs="Arial"/>
              </w:rPr>
              <w:t>(b)</w:t>
            </w:r>
            <w:r>
              <w:rPr>
                <w:rFonts w:ascii="Arial" w:eastAsia="Calibri" w:hAnsi="Arial" w:cs="Arial"/>
              </w:rPr>
              <w:tab/>
            </w:r>
            <w:proofErr w:type="gramStart"/>
            <w:r>
              <w:rPr>
                <w:rFonts w:ascii="Arial" w:eastAsia="Calibri" w:hAnsi="Arial" w:cs="Arial"/>
              </w:rPr>
              <w:t>to</w:t>
            </w:r>
            <w:proofErr w:type="gramEnd"/>
            <w:r>
              <w:rPr>
                <w:rFonts w:ascii="Arial" w:eastAsia="Calibri" w:hAnsi="Arial" w:cs="Arial"/>
              </w:rPr>
              <w:t xml:space="preserve"> bring proceedings in a competent court or tribunal in its </w:t>
            </w:r>
            <w:r>
              <w:rPr>
                <w:rFonts w:ascii="Arial" w:eastAsia="Calibri" w:hAnsi="Arial" w:cs="Arial"/>
              </w:rPr>
              <w:tab/>
              <w:t>own name, or on behalf of a person or group or class of persons”.</w:t>
            </w:r>
          </w:p>
          <w:p w:rsidR="00345DCD" w:rsidRDefault="00345DCD" w:rsidP="001C02EF">
            <w:pPr>
              <w:rPr>
                <w:rFonts w:ascii="Arial" w:eastAsia="Calibri" w:hAnsi="Arial" w:cs="Arial"/>
              </w:rPr>
            </w:pPr>
          </w:p>
          <w:p w:rsidR="00345DCD" w:rsidRDefault="00345DCD" w:rsidP="001C02EF">
            <w:pPr>
              <w:rPr>
                <w:rFonts w:ascii="Arial" w:eastAsia="Calibri" w:hAnsi="Arial" w:cs="Arial"/>
              </w:rPr>
            </w:pPr>
            <w:r>
              <w:rPr>
                <w:rFonts w:ascii="Arial" w:eastAsia="Calibri" w:hAnsi="Arial" w:cs="Arial"/>
              </w:rPr>
              <w:t xml:space="preserve">The Legal Practice Act, 2014 moreover </w:t>
            </w:r>
            <w:proofErr w:type="spellStart"/>
            <w:r>
              <w:rPr>
                <w:rFonts w:ascii="Arial" w:eastAsia="Calibri" w:hAnsi="Arial" w:cs="Arial"/>
              </w:rPr>
              <w:t>recognises</w:t>
            </w:r>
            <w:proofErr w:type="spellEnd"/>
            <w:r>
              <w:rPr>
                <w:rFonts w:ascii="Arial" w:eastAsia="Calibri" w:hAnsi="Arial" w:cs="Arial"/>
              </w:rPr>
              <w:t xml:space="preserve"> the constitutionally enshrined role, as a Chapter 9 Institution, played by the Human Rights Commission when it comes to rendering legal services.  See for instance section 84(1) dealing with obligations of legal practitioners relating to the handling of trust monies.  Section 84(1) provides that every attorney or advocate who </w:t>
            </w:r>
            <w:proofErr w:type="spellStart"/>
            <w:r>
              <w:rPr>
                <w:rFonts w:ascii="Arial" w:eastAsia="Calibri" w:hAnsi="Arial" w:cs="Arial"/>
              </w:rPr>
              <w:t>practises</w:t>
            </w:r>
            <w:proofErr w:type="spellEnd"/>
            <w:r>
              <w:rPr>
                <w:rFonts w:ascii="Arial" w:eastAsia="Calibri" w:hAnsi="Arial" w:cs="Arial"/>
              </w:rPr>
              <w:t xml:space="preserve"> with a Fidelity Fund certificate, other than a legal practitioner in the full-time employment of the South African Human Rights Commission or the State as a state attorney or state advocate and who </w:t>
            </w:r>
            <w:proofErr w:type="spellStart"/>
            <w:r>
              <w:rPr>
                <w:rFonts w:ascii="Arial" w:eastAsia="Calibri" w:hAnsi="Arial" w:cs="Arial"/>
              </w:rPr>
              <w:t>practises</w:t>
            </w:r>
            <w:proofErr w:type="spellEnd"/>
            <w:r>
              <w:rPr>
                <w:rFonts w:ascii="Arial" w:eastAsia="Calibri" w:hAnsi="Arial" w:cs="Arial"/>
              </w:rPr>
              <w:t xml:space="preserve"> …. </w:t>
            </w:r>
            <w:proofErr w:type="gramStart"/>
            <w:r>
              <w:rPr>
                <w:rFonts w:ascii="Arial" w:eastAsia="Calibri" w:hAnsi="Arial" w:cs="Arial"/>
              </w:rPr>
              <w:t>must</w:t>
            </w:r>
            <w:proofErr w:type="gramEnd"/>
            <w:r>
              <w:rPr>
                <w:rFonts w:ascii="Arial" w:eastAsia="Calibri" w:hAnsi="Arial" w:cs="Arial"/>
              </w:rPr>
              <w:t xml:space="preserve"> be in possession of a Fidelity Fund certificate.  See also section 84(9) which provides that no legal practitioner in the full-time employment of the South African Human Rights Commission  or the State as state attorney or state advocate, state law adviser or in any other professional capacity may receive or keep money or property belonging to any persons, except during the course of employment of such legal practitioner with the State or the South African Human Rights Commission and in such case only on behalf of the South African Human Rights Commission or the State and for no other purpose.</w:t>
            </w:r>
          </w:p>
          <w:p w:rsidR="00345DCD" w:rsidRDefault="00345DCD" w:rsidP="001C02EF">
            <w:pPr>
              <w:rPr>
                <w:rFonts w:ascii="Arial" w:eastAsia="Calibri" w:hAnsi="Arial" w:cs="Arial"/>
              </w:rPr>
            </w:pPr>
          </w:p>
          <w:p w:rsidR="00345DCD" w:rsidRDefault="00345DCD" w:rsidP="00113274">
            <w:pPr>
              <w:rPr>
                <w:rFonts w:ascii="Arial" w:eastAsia="Calibri" w:hAnsi="Arial" w:cs="Arial"/>
              </w:rPr>
            </w:pPr>
            <w:r>
              <w:rPr>
                <w:rFonts w:ascii="Arial" w:eastAsia="Calibri" w:hAnsi="Arial" w:cs="Arial"/>
              </w:rPr>
              <w:t xml:space="preserve">The South African Human Rights Commission is a special type of constitutionally enshrined institution, together with the other Chapter 9 </w:t>
            </w:r>
            <w:r>
              <w:rPr>
                <w:rFonts w:ascii="Arial" w:eastAsia="Calibri" w:hAnsi="Arial" w:cs="Arial"/>
              </w:rPr>
              <w:lastRenderedPageBreak/>
              <w:t xml:space="preserve">Institutions.  The Department has reservations about categorizing it and other Chapter 9 Institutions as law clinics.  They have their status and functions set out in the Constitution and other legislation and the question is raised whether it is appropriate for them to be regarded as law clinics.  The Department undertakes to take this up with the Commission at a later stage.   </w:t>
            </w:r>
            <w:r w:rsidRPr="00113274">
              <w:rPr>
                <w:rFonts w:ascii="Arial" w:eastAsia="Calibri" w:hAnsi="Arial" w:cs="Arial"/>
              </w:rPr>
              <w:t xml:space="preserve"> </w:t>
            </w:r>
          </w:p>
        </w:tc>
      </w:tr>
      <w:tr w:rsidR="00345DCD" w:rsidRPr="003B3B20" w:rsidTr="00345DCD">
        <w:tc>
          <w:tcPr>
            <w:tcW w:w="430" w:type="pct"/>
          </w:tcPr>
          <w:p w:rsidR="00345DCD" w:rsidRDefault="00345DCD" w:rsidP="00113274">
            <w:pPr>
              <w:rPr>
                <w:rFonts w:ascii="Arial" w:hAnsi="Arial" w:cs="Arial"/>
              </w:rPr>
            </w:pPr>
            <w:r>
              <w:rPr>
                <w:rFonts w:ascii="Arial" w:hAnsi="Arial" w:cs="Arial"/>
              </w:rPr>
              <w:lastRenderedPageBreak/>
              <w:t>General comment</w:t>
            </w:r>
            <w:r w:rsidR="00402EC4">
              <w:rPr>
                <w:rFonts w:ascii="Arial" w:hAnsi="Arial" w:cs="Arial"/>
              </w:rPr>
              <w:t>s</w:t>
            </w:r>
          </w:p>
        </w:tc>
        <w:tc>
          <w:tcPr>
            <w:tcW w:w="546" w:type="pct"/>
          </w:tcPr>
          <w:p w:rsidR="00345DCD" w:rsidRPr="00113274" w:rsidRDefault="00345DCD" w:rsidP="00113274">
            <w:pPr>
              <w:rPr>
                <w:rFonts w:ascii="Arial" w:eastAsia="Calibri" w:hAnsi="Arial" w:cs="Arial"/>
              </w:rPr>
            </w:pPr>
            <w:proofErr w:type="spellStart"/>
            <w:r w:rsidRPr="00113274">
              <w:rPr>
                <w:rFonts w:ascii="Arial" w:eastAsia="Calibri" w:hAnsi="Arial" w:cs="Arial"/>
              </w:rPr>
              <w:t>ClearlawSA</w:t>
            </w:r>
            <w:proofErr w:type="spellEnd"/>
            <w:r w:rsidRPr="00113274">
              <w:rPr>
                <w:rFonts w:ascii="Arial" w:eastAsia="Calibri" w:hAnsi="Arial" w:cs="Arial"/>
              </w:rPr>
              <w:t xml:space="preserve"> Pty Ltd</w:t>
            </w:r>
          </w:p>
        </w:tc>
        <w:tc>
          <w:tcPr>
            <w:tcW w:w="1029" w:type="pct"/>
          </w:tcPr>
          <w:p w:rsidR="00345DCD" w:rsidRPr="00113274" w:rsidRDefault="00345DCD" w:rsidP="00133EC7">
            <w:pPr>
              <w:pStyle w:val="ListParagraph"/>
              <w:ind w:left="0"/>
              <w:rPr>
                <w:rFonts w:ascii="Arial" w:eastAsia="Calibri" w:hAnsi="Arial" w:cs="Arial"/>
              </w:rPr>
            </w:pPr>
            <w:r w:rsidRPr="00113274">
              <w:rPr>
                <w:rFonts w:ascii="Arial" w:eastAsia="Calibri" w:hAnsi="Arial" w:cs="Arial"/>
              </w:rPr>
              <w:t>Proposes an amendment to section</w:t>
            </w:r>
            <w:r>
              <w:rPr>
                <w:rFonts w:ascii="Arial" w:eastAsia="Calibri" w:hAnsi="Arial" w:cs="Arial"/>
              </w:rPr>
              <w:t xml:space="preserve"> 34(9) because it </w:t>
            </w:r>
            <w:r w:rsidRPr="00113274">
              <w:rPr>
                <w:rFonts w:ascii="Arial" w:eastAsia="Calibri" w:hAnsi="Arial" w:cs="Arial"/>
              </w:rPr>
              <w:t>is unclear what the term “legal practi</w:t>
            </w:r>
            <w:r>
              <w:rPr>
                <w:rFonts w:ascii="Arial" w:eastAsia="Calibri" w:hAnsi="Arial" w:cs="Arial"/>
              </w:rPr>
              <w:t>c</w:t>
            </w:r>
            <w:r w:rsidRPr="00113274">
              <w:rPr>
                <w:rFonts w:ascii="Arial" w:eastAsia="Calibri" w:hAnsi="Arial" w:cs="Arial"/>
              </w:rPr>
              <w:t>e” is intended to mean.</w:t>
            </w:r>
            <w:r w:rsidRPr="00113274">
              <w:rPr>
                <w:rFonts w:ascii="Arial" w:hAnsi="Arial" w:cs="Arial"/>
              </w:rPr>
              <w:t xml:space="preserve"> The following insertion is proposed: </w:t>
            </w:r>
            <w:r w:rsidRPr="00113274">
              <w:rPr>
                <w:rFonts w:ascii="Arial" w:eastAsia="Calibri" w:hAnsi="Arial" w:cs="Arial"/>
              </w:rPr>
              <w:t>“(10) The provisions of subsection (9) shall not prevent or exclude the activities of non-practising legal practitioners provided they do not contravene the provisions of section 33.”</w:t>
            </w:r>
          </w:p>
        </w:tc>
        <w:tc>
          <w:tcPr>
            <w:tcW w:w="2995" w:type="pct"/>
          </w:tcPr>
          <w:p w:rsidR="00345DCD" w:rsidRDefault="00345DCD" w:rsidP="00113274">
            <w:pPr>
              <w:rPr>
                <w:rFonts w:ascii="Arial" w:eastAsia="Calibri" w:hAnsi="Arial" w:cs="Arial"/>
              </w:rPr>
            </w:pPr>
            <w:r>
              <w:rPr>
                <w:rFonts w:ascii="Arial" w:eastAsia="Calibri" w:hAnsi="Arial" w:cs="Arial"/>
              </w:rPr>
              <w:t xml:space="preserve">The Department does not agree that there is uncertainty.  Section 34 deals with existing forms of legal practice.  In terms of section 34(9), the Council is intended to make recommendations on forms of legal practice not referred to in section 34, for instance limited liability legal practices and multi-disciplinary practices.  The uncertainty raised by </w:t>
            </w:r>
            <w:proofErr w:type="spellStart"/>
            <w:r>
              <w:rPr>
                <w:rFonts w:ascii="Arial" w:eastAsia="Calibri" w:hAnsi="Arial" w:cs="Arial"/>
              </w:rPr>
              <w:t>Clearlaw</w:t>
            </w:r>
            <w:proofErr w:type="spellEnd"/>
            <w:r>
              <w:rPr>
                <w:rFonts w:ascii="Arial" w:eastAsia="Calibri" w:hAnsi="Arial" w:cs="Arial"/>
              </w:rPr>
              <w:t xml:space="preserve"> seems to be based on practising and non-practising </w:t>
            </w:r>
            <w:proofErr w:type="gramStart"/>
            <w:r>
              <w:rPr>
                <w:rFonts w:ascii="Arial" w:eastAsia="Calibri" w:hAnsi="Arial" w:cs="Arial"/>
              </w:rPr>
              <w:t>legal practitioners which is</w:t>
            </w:r>
            <w:proofErr w:type="gramEnd"/>
            <w:r>
              <w:rPr>
                <w:rFonts w:ascii="Arial" w:eastAsia="Calibri" w:hAnsi="Arial" w:cs="Arial"/>
              </w:rPr>
              <w:t xml:space="preserve"> dealt with in the Department’s response in Table 1, Item 3.</w:t>
            </w:r>
            <w:r w:rsidRPr="00113274">
              <w:rPr>
                <w:rFonts w:ascii="Arial" w:eastAsia="Calibri" w:hAnsi="Arial" w:cs="Arial"/>
              </w:rPr>
              <w:t xml:space="preserve"> </w:t>
            </w:r>
          </w:p>
        </w:tc>
      </w:tr>
      <w:tr w:rsidR="00345DCD" w:rsidRPr="003B3B20" w:rsidTr="00345DCD">
        <w:tc>
          <w:tcPr>
            <w:tcW w:w="430" w:type="pct"/>
          </w:tcPr>
          <w:p w:rsidR="00345DCD" w:rsidRDefault="00345DCD" w:rsidP="00113274">
            <w:pPr>
              <w:rPr>
                <w:rFonts w:ascii="Arial" w:hAnsi="Arial" w:cs="Arial"/>
              </w:rPr>
            </w:pPr>
            <w:r>
              <w:rPr>
                <w:rFonts w:ascii="Arial" w:hAnsi="Arial" w:cs="Arial"/>
              </w:rPr>
              <w:t>General comment</w:t>
            </w:r>
            <w:r w:rsidR="00402EC4">
              <w:rPr>
                <w:rFonts w:ascii="Arial" w:hAnsi="Arial" w:cs="Arial"/>
              </w:rPr>
              <w:t>s</w:t>
            </w:r>
          </w:p>
        </w:tc>
        <w:tc>
          <w:tcPr>
            <w:tcW w:w="546" w:type="pct"/>
          </w:tcPr>
          <w:p w:rsidR="00345DCD" w:rsidRPr="00113274" w:rsidRDefault="00345DCD" w:rsidP="00113274">
            <w:pPr>
              <w:rPr>
                <w:rFonts w:ascii="Arial" w:eastAsia="Calibri" w:hAnsi="Arial" w:cs="Arial"/>
              </w:rPr>
            </w:pPr>
            <w:proofErr w:type="spellStart"/>
            <w:r w:rsidRPr="00113274">
              <w:rPr>
                <w:rFonts w:ascii="Arial" w:eastAsia="Calibri" w:hAnsi="Arial" w:cs="Arial"/>
              </w:rPr>
              <w:t>ClearlawSA</w:t>
            </w:r>
            <w:proofErr w:type="spellEnd"/>
            <w:r w:rsidRPr="00113274">
              <w:rPr>
                <w:rFonts w:ascii="Arial" w:eastAsia="Calibri" w:hAnsi="Arial" w:cs="Arial"/>
              </w:rPr>
              <w:t xml:space="preserve"> Pty Ltd</w:t>
            </w:r>
          </w:p>
        </w:tc>
        <w:tc>
          <w:tcPr>
            <w:tcW w:w="1029" w:type="pct"/>
          </w:tcPr>
          <w:p w:rsidR="00345DCD" w:rsidRDefault="00345DCD" w:rsidP="001C02EF">
            <w:pPr>
              <w:rPr>
                <w:rFonts w:ascii="Arial" w:eastAsia="Calibri" w:hAnsi="Arial" w:cs="Arial"/>
              </w:rPr>
            </w:pPr>
            <w:r w:rsidRPr="00113274">
              <w:rPr>
                <w:rFonts w:ascii="Arial" w:eastAsia="Calibri" w:hAnsi="Arial" w:cs="Arial"/>
              </w:rPr>
              <w:t>Proposes an amendment to section 94(2)</w:t>
            </w:r>
            <w:r>
              <w:rPr>
                <w:rFonts w:ascii="Arial" w:eastAsia="Calibri" w:hAnsi="Arial" w:cs="Arial"/>
              </w:rPr>
              <w:t xml:space="preserve"> dealing with the making of regulations.  It provides as follows:</w:t>
            </w:r>
          </w:p>
          <w:p w:rsidR="00345DCD" w:rsidRDefault="00345DCD" w:rsidP="001C02EF">
            <w:pPr>
              <w:rPr>
                <w:rFonts w:ascii="Arial" w:eastAsia="Calibri" w:hAnsi="Arial" w:cs="Arial"/>
              </w:rPr>
            </w:pPr>
            <w:r>
              <w:rPr>
                <w:rFonts w:ascii="Arial" w:eastAsia="Calibri" w:hAnsi="Arial" w:cs="Arial"/>
              </w:rPr>
              <w:tab/>
              <w:t xml:space="preserve">“The regulations contemplated in subsection (1) must be made, in certain </w:t>
            </w:r>
            <w:r w:rsidR="002D1F5B">
              <w:rPr>
                <w:rFonts w:ascii="Arial" w:eastAsia="Calibri" w:hAnsi="Arial" w:cs="Arial"/>
              </w:rPr>
              <w:t xml:space="preserve">circumstances, after </w:t>
            </w:r>
            <w:r>
              <w:rPr>
                <w:rFonts w:ascii="Arial" w:eastAsia="Calibri" w:hAnsi="Arial" w:cs="Arial"/>
              </w:rPr>
              <w:t xml:space="preserve">consultation with the </w:t>
            </w:r>
            <w:r>
              <w:rPr>
                <w:rFonts w:ascii="Arial" w:eastAsia="Calibri" w:hAnsi="Arial" w:cs="Arial"/>
              </w:rPr>
              <w:lastRenderedPageBreak/>
              <w:t>Council and, in certain circumstances with the Council and the Board of the Fidelity Fund.”</w:t>
            </w:r>
          </w:p>
          <w:p w:rsidR="00345DCD" w:rsidRPr="00113274" w:rsidRDefault="00345DCD" w:rsidP="00133EC7">
            <w:pPr>
              <w:pStyle w:val="ListParagraph"/>
              <w:ind w:left="0"/>
              <w:rPr>
                <w:rFonts w:ascii="Arial" w:eastAsia="Calibri" w:hAnsi="Arial" w:cs="Arial"/>
              </w:rPr>
            </w:pPr>
            <w:proofErr w:type="spellStart"/>
            <w:r>
              <w:rPr>
                <w:rFonts w:ascii="Arial" w:eastAsia="Calibri" w:hAnsi="Arial" w:cs="Arial"/>
              </w:rPr>
              <w:t>Clearlaw</w:t>
            </w:r>
            <w:proofErr w:type="spellEnd"/>
            <w:r>
              <w:rPr>
                <w:rFonts w:ascii="Arial" w:eastAsia="Calibri" w:hAnsi="Arial" w:cs="Arial"/>
              </w:rPr>
              <w:t xml:space="preserve"> SA raises the </w:t>
            </w:r>
            <w:proofErr w:type="gramStart"/>
            <w:r>
              <w:rPr>
                <w:rFonts w:ascii="Arial" w:eastAsia="Calibri" w:hAnsi="Arial" w:cs="Arial"/>
              </w:rPr>
              <w:t>question why there is a need to wait until the Board is established in order</w:t>
            </w:r>
            <w:proofErr w:type="gramEnd"/>
            <w:r>
              <w:rPr>
                <w:rFonts w:ascii="Arial" w:eastAsia="Calibri" w:hAnsi="Arial" w:cs="Arial"/>
              </w:rPr>
              <w:t xml:space="preserve"> to make regulations.</w:t>
            </w:r>
            <w:r w:rsidRPr="00113274">
              <w:rPr>
                <w:rFonts w:ascii="Arial" w:eastAsia="Calibri" w:hAnsi="Arial" w:cs="Arial"/>
              </w:rPr>
              <w:t xml:space="preserve"> </w:t>
            </w:r>
          </w:p>
        </w:tc>
        <w:tc>
          <w:tcPr>
            <w:tcW w:w="2995" w:type="pct"/>
          </w:tcPr>
          <w:p w:rsidR="00345DCD" w:rsidRDefault="00345DCD" w:rsidP="00113274">
            <w:pPr>
              <w:rPr>
                <w:rFonts w:ascii="Arial" w:eastAsia="Calibri" w:hAnsi="Arial" w:cs="Arial"/>
              </w:rPr>
            </w:pPr>
            <w:r w:rsidRPr="00113274">
              <w:rPr>
                <w:rFonts w:ascii="Arial" w:eastAsia="Calibri" w:hAnsi="Arial" w:cs="Arial"/>
              </w:rPr>
              <w:lastRenderedPageBreak/>
              <w:t xml:space="preserve">The Department does not support this proposal as it is unnecessary.  </w:t>
            </w:r>
            <w:r>
              <w:rPr>
                <w:rFonts w:ascii="Arial" w:eastAsia="Calibri" w:hAnsi="Arial" w:cs="Arial"/>
              </w:rPr>
              <w:t xml:space="preserve">Clauses 6 and 7 give the National Forum the power to make recommendations to the Minister for purposes of making the first set of regulations that are required for purposes of implementing the Act in its entirety.  It is not necessary to wait for the Council to be established as pointed out by </w:t>
            </w:r>
            <w:proofErr w:type="spellStart"/>
            <w:r>
              <w:rPr>
                <w:rFonts w:ascii="Arial" w:eastAsia="Calibri" w:hAnsi="Arial" w:cs="Arial"/>
              </w:rPr>
              <w:t>ClearlawSA</w:t>
            </w:r>
            <w:proofErr w:type="spellEnd"/>
            <w:r>
              <w:rPr>
                <w:rFonts w:ascii="Arial" w:eastAsia="Calibri" w:hAnsi="Arial" w:cs="Arial"/>
              </w:rPr>
              <w:t>.</w:t>
            </w:r>
          </w:p>
        </w:tc>
      </w:tr>
      <w:tr w:rsidR="00345DCD" w:rsidRPr="003B3B20" w:rsidTr="00345DCD">
        <w:tc>
          <w:tcPr>
            <w:tcW w:w="430" w:type="pct"/>
          </w:tcPr>
          <w:p w:rsidR="00345DCD" w:rsidRDefault="00345DCD" w:rsidP="00113274">
            <w:pPr>
              <w:rPr>
                <w:rFonts w:ascii="Arial" w:hAnsi="Arial" w:cs="Arial"/>
              </w:rPr>
            </w:pPr>
            <w:r>
              <w:rPr>
                <w:rFonts w:ascii="Arial" w:hAnsi="Arial" w:cs="Arial"/>
              </w:rPr>
              <w:lastRenderedPageBreak/>
              <w:t>General comment</w:t>
            </w:r>
            <w:r w:rsidR="00402EC4">
              <w:rPr>
                <w:rFonts w:ascii="Arial" w:hAnsi="Arial" w:cs="Arial"/>
              </w:rPr>
              <w:t>s</w:t>
            </w:r>
          </w:p>
        </w:tc>
        <w:tc>
          <w:tcPr>
            <w:tcW w:w="546" w:type="pct"/>
          </w:tcPr>
          <w:p w:rsidR="00345DCD" w:rsidRPr="00113274" w:rsidRDefault="00345DCD" w:rsidP="00113274">
            <w:pPr>
              <w:rPr>
                <w:rFonts w:ascii="Arial" w:eastAsia="Calibri" w:hAnsi="Arial" w:cs="Arial"/>
              </w:rPr>
            </w:pPr>
            <w:proofErr w:type="spellStart"/>
            <w:r w:rsidRPr="00113274">
              <w:rPr>
                <w:rFonts w:ascii="Arial" w:eastAsia="Calibri" w:hAnsi="Arial" w:cs="Arial"/>
              </w:rPr>
              <w:t>ClearlawSA</w:t>
            </w:r>
            <w:proofErr w:type="spellEnd"/>
            <w:r w:rsidRPr="00113274">
              <w:rPr>
                <w:rFonts w:ascii="Arial" w:eastAsia="Calibri" w:hAnsi="Arial" w:cs="Arial"/>
              </w:rPr>
              <w:t xml:space="preserve"> Pty Ltd</w:t>
            </w:r>
          </w:p>
        </w:tc>
        <w:tc>
          <w:tcPr>
            <w:tcW w:w="1029" w:type="pct"/>
          </w:tcPr>
          <w:p w:rsidR="00345DCD" w:rsidRPr="00113274" w:rsidRDefault="00345DCD" w:rsidP="00133EC7">
            <w:pPr>
              <w:pStyle w:val="ListParagraph"/>
              <w:ind w:left="0"/>
              <w:rPr>
                <w:rFonts w:ascii="Arial" w:eastAsia="Calibri" w:hAnsi="Arial" w:cs="Arial"/>
              </w:rPr>
            </w:pPr>
            <w:r w:rsidRPr="00113274">
              <w:rPr>
                <w:rFonts w:ascii="Arial" w:eastAsia="Calibri" w:hAnsi="Arial" w:cs="Arial"/>
              </w:rPr>
              <w:t>Proposes the deletion of section 94(3) that requires the approval of</w:t>
            </w:r>
            <w:r>
              <w:rPr>
                <w:rFonts w:ascii="Arial" w:eastAsia="Calibri" w:hAnsi="Arial" w:cs="Arial"/>
              </w:rPr>
              <w:t xml:space="preserve"> regulations by Parliament, as this</w:t>
            </w:r>
            <w:r w:rsidRPr="00113274">
              <w:rPr>
                <w:rFonts w:ascii="Arial" w:eastAsia="Calibri" w:hAnsi="Arial" w:cs="Arial"/>
              </w:rPr>
              <w:t xml:space="preserve"> could delay </w:t>
            </w:r>
            <w:r>
              <w:rPr>
                <w:rFonts w:ascii="Arial" w:eastAsia="Calibri" w:hAnsi="Arial" w:cs="Arial"/>
              </w:rPr>
              <w:t>the implementation of the remainder of the Act</w:t>
            </w:r>
            <w:r w:rsidRPr="00113274">
              <w:rPr>
                <w:rFonts w:ascii="Arial" w:eastAsia="Calibri" w:hAnsi="Arial" w:cs="Arial"/>
              </w:rPr>
              <w:t>.</w:t>
            </w:r>
          </w:p>
        </w:tc>
        <w:tc>
          <w:tcPr>
            <w:tcW w:w="2995" w:type="pct"/>
          </w:tcPr>
          <w:p w:rsidR="00345DCD" w:rsidRDefault="00345DCD" w:rsidP="00113274">
            <w:pPr>
              <w:rPr>
                <w:rFonts w:ascii="Arial" w:eastAsia="Calibri" w:hAnsi="Arial" w:cs="Arial"/>
              </w:rPr>
            </w:pPr>
            <w:r w:rsidRPr="00113274">
              <w:rPr>
                <w:rFonts w:ascii="Arial" w:eastAsia="Calibri" w:hAnsi="Arial" w:cs="Arial"/>
              </w:rPr>
              <w:t>The Department does not support this proposal.</w:t>
            </w:r>
            <w:r>
              <w:rPr>
                <w:rFonts w:ascii="Arial" w:eastAsia="Calibri" w:hAnsi="Arial" w:cs="Arial"/>
              </w:rPr>
              <w:t xml:space="preserve">  It is important that Parliament, representing the voice of the people, should be engaged on the important issues that the regulations are intended to cover.</w:t>
            </w:r>
          </w:p>
        </w:tc>
      </w:tr>
      <w:tr w:rsidR="00345DCD" w:rsidRPr="003B3B20" w:rsidTr="00345DCD">
        <w:tc>
          <w:tcPr>
            <w:tcW w:w="430" w:type="pct"/>
          </w:tcPr>
          <w:p w:rsidR="00345DCD" w:rsidRDefault="00345DCD" w:rsidP="00113274">
            <w:pPr>
              <w:rPr>
                <w:rFonts w:ascii="Arial" w:hAnsi="Arial" w:cs="Arial"/>
              </w:rPr>
            </w:pPr>
            <w:r>
              <w:rPr>
                <w:rFonts w:ascii="Arial" w:hAnsi="Arial" w:cs="Arial"/>
              </w:rPr>
              <w:t>General comment</w:t>
            </w:r>
            <w:r w:rsidR="00402EC4">
              <w:rPr>
                <w:rFonts w:ascii="Arial" w:hAnsi="Arial" w:cs="Arial"/>
              </w:rPr>
              <w:t>s</w:t>
            </w:r>
          </w:p>
        </w:tc>
        <w:tc>
          <w:tcPr>
            <w:tcW w:w="546" w:type="pct"/>
          </w:tcPr>
          <w:p w:rsidR="00345DCD" w:rsidRPr="00113274" w:rsidRDefault="00345DCD" w:rsidP="00113274">
            <w:pPr>
              <w:rPr>
                <w:rFonts w:ascii="Arial" w:eastAsia="Calibri" w:hAnsi="Arial" w:cs="Arial"/>
              </w:rPr>
            </w:pPr>
            <w:r w:rsidRPr="00113274">
              <w:rPr>
                <w:rFonts w:ascii="Arial" w:eastAsia="Calibri" w:hAnsi="Arial" w:cs="Arial"/>
              </w:rPr>
              <w:t>Paralegal Association of South Africa</w:t>
            </w:r>
          </w:p>
        </w:tc>
        <w:tc>
          <w:tcPr>
            <w:tcW w:w="1029" w:type="pct"/>
          </w:tcPr>
          <w:p w:rsidR="00345DCD" w:rsidRPr="00113274" w:rsidRDefault="00345DCD" w:rsidP="001C02EF">
            <w:pPr>
              <w:rPr>
                <w:rFonts w:ascii="Arial" w:eastAsia="Calibri" w:hAnsi="Arial" w:cs="Arial"/>
              </w:rPr>
            </w:pPr>
            <w:r>
              <w:rPr>
                <w:rFonts w:ascii="Arial" w:eastAsia="Calibri" w:hAnsi="Arial" w:cs="Arial"/>
              </w:rPr>
              <w:t>With reference to section 34(9) of the Act, which requires the Council to make recommendations to the Minister on the statutory recognition of paralegals, the Bill does not deal with paralegals at all.</w:t>
            </w:r>
          </w:p>
          <w:p w:rsidR="00345DCD" w:rsidRPr="00113274" w:rsidRDefault="00345DCD" w:rsidP="00133EC7">
            <w:pPr>
              <w:pStyle w:val="ListParagraph"/>
              <w:ind w:left="0"/>
              <w:rPr>
                <w:rFonts w:ascii="Arial" w:eastAsia="Calibri" w:hAnsi="Arial" w:cs="Arial"/>
              </w:rPr>
            </w:pPr>
          </w:p>
        </w:tc>
        <w:tc>
          <w:tcPr>
            <w:tcW w:w="2995" w:type="pct"/>
          </w:tcPr>
          <w:p w:rsidR="00345DCD" w:rsidRDefault="00345DCD" w:rsidP="00113274">
            <w:pPr>
              <w:rPr>
                <w:rFonts w:ascii="Arial" w:eastAsia="Calibri" w:hAnsi="Arial" w:cs="Arial"/>
              </w:rPr>
            </w:pPr>
            <w:r>
              <w:rPr>
                <w:rFonts w:ascii="Arial" w:eastAsia="Calibri" w:hAnsi="Arial" w:cs="Arial"/>
              </w:rPr>
              <w:t>A Regulation of Paralegals Bill is receiving attention by the Department.</w:t>
            </w:r>
          </w:p>
        </w:tc>
      </w:tr>
      <w:tr w:rsidR="00345DCD" w:rsidRPr="003B3B20" w:rsidTr="00345DCD">
        <w:tc>
          <w:tcPr>
            <w:tcW w:w="430" w:type="pct"/>
          </w:tcPr>
          <w:p w:rsidR="00345DCD" w:rsidRDefault="00345DCD" w:rsidP="00113274">
            <w:pPr>
              <w:rPr>
                <w:rFonts w:ascii="Arial" w:hAnsi="Arial" w:cs="Arial"/>
              </w:rPr>
            </w:pPr>
            <w:r>
              <w:rPr>
                <w:rFonts w:ascii="Arial" w:hAnsi="Arial" w:cs="Arial"/>
              </w:rPr>
              <w:t>General comment</w:t>
            </w:r>
            <w:r w:rsidR="00402EC4">
              <w:rPr>
                <w:rFonts w:ascii="Arial" w:hAnsi="Arial" w:cs="Arial"/>
              </w:rPr>
              <w:t>s</w:t>
            </w:r>
          </w:p>
        </w:tc>
        <w:tc>
          <w:tcPr>
            <w:tcW w:w="546" w:type="pct"/>
          </w:tcPr>
          <w:p w:rsidR="00345DCD" w:rsidRPr="00113274" w:rsidRDefault="00345DCD" w:rsidP="00113274">
            <w:pPr>
              <w:rPr>
                <w:rFonts w:ascii="Arial" w:eastAsia="Calibri" w:hAnsi="Arial" w:cs="Arial"/>
              </w:rPr>
            </w:pPr>
            <w:r w:rsidRPr="00113274">
              <w:rPr>
                <w:rFonts w:ascii="Arial" w:eastAsia="Calibri" w:hAnsi="Arial" w:cs="Arial"/>
              </w:rPr>
              <w:t xml:space="preserve">Adv A C </w:t>
            </w:r>
            <w:proofErr w:type="spellStart"/>
            <w:r w:rsidRPr="00113274">
              <w:rPr>
                <w:rFonts w:ascii="Arial" w:eastAsia="Calibri" w:hAnsi="Arial" w:cs="Arial"/>
              </w:rPr>
              <w:t>Paries</w:t>
            </w:r>
            <w:proofErr w:type="spellEnd"/>
            <w:r w:rsidRPr="00113274">
              <w:rPr>
                <w:rFonts w:ascii="Arial" w:eastAsia="Calibri" w:hAnsi="Arial" w:cs="Arial"/>
              </w:rPr>
              <w:t xml:space="preserve">  </w:t>
            </w:r>
          </w:p>
        </w:tc>
        <w:tc>
          <w:tcPr>
            <w:tcW w:w="1029" w:type="pct"/>
          </w:tcPr>
          <w:p w:rsidR="00345DCD" w:rsidRPr="00113274" w:rsidRDefault="00345DCD" w:rsidP="00133EC7">
            <w:pPr>
              <w:pStyle w:val="ListParagraph"/>
              <w:ind w:left="0"/>
              <w:rPr>
                <w:rFonts w:ascii="Arial" w:eastAsia="Calibri" w:hAnsi="Arial" w:cs="Arial"/>
              </w:rPr>
            </w:pPr>
            <w:r w:rsidRPr="00113274">
              <w:rPr>
                <w:rFonts w:ascii="Arial" w:eastAsia="Calibri" w:hAnsi="Arial" w:cs="Arial"/>
              </w:rPr>
              <w:t xml:space="preserve">Legal practitioners unaffiliated to the National Forum are not </w:t>
            </w:r>
            <w:r w:rsidRPr="00113274">
              <w:rPr>
                <w:rFonts w:ascii="Arial" w:eastAsia="Calibri" w:hAnsi="Arial" w:cs="Arial"/>
              </w:rPr>
              <w:lastRenderedPageBreak/>
              <w:t>informed and canvassed about the Bill and Act. Some are practitioners in the employ of State departments as prosecutors, etc. They call for provincial meetings in each proposed seat of the provincial councils.</w:t>
            </w:r>
          </w:p>
        </w:tc>
        <w:tc>
          <w:tcPr>
            <w:tcW w:w="2995" w:type="pct"/>
          </w:tcPr>
          <w:p w:rsidR="00345DCD" w:rsidRPr="00113274" w:rsidRDefault="00345DCD" w:rsidP="001C02EF">
            <w:pPr>
              <w:rPr>
                <w:rFonts w:ascii="Arial" w:eastAsia="Calibri" w:hAnsi="Arial" w:cs="Arial"/>
              </w:rPr>
            </w:pPr>
            <w:r w:rsidRPr="00113274">
              <w:rPr>
                <w:rFonts w:ascii="Arial" w:eastAsia="Calibri" w:hAnsi="Arial" w:cs="Arial"/>
              </w:rPr>
              <w:lastRenderedPageBreak/>
              <w:t>No comment is made on the Bill.</w:t>
            </w:r>
          </w:p>
          <w:p w:rsidR="00345DCD" w:rsidRPr="00113274" w:rsidRDefault="00345DCD" w:rsidP="001C02EF">
            <w:pPr>
              <w:rPr>
                <w:rFonts w:ascii="Arial" w:eastAsia="Calibri" w:hAnsi="Arial" w:cs="Arial"/>
              </w:rPr>
            </w:pPr>
          </w:p>
          <w:p w:rsidR="00345DCD" w:rsidRPr="00113274" w:rsidRDefault="00345DCD" w:rsidP="001C02EF">
            <w:pPr>
              <w:rPr>
                <w:rFonts w:ascii="Arial" w:eastAsia="Calibri" w:hAnsi="Arial" w:cs="Arial"/>
              </w:rPr>
            </w:pPr>
            <w:r w:rsidRPr="00113274">
              <w:rPr>
                <w:rFonts w:ascii="Arial" w:eastAsia="Calibri" w:hAnsi="Arial" w:cs="Arial"/>
              </w:rPr>
              <w:t xml:space="preserve">The Act does not apply to persons not in private practice, such as State </w:t>
            </w:r>
            <w:r w:rsidRPr="00113274">
              <w:rPr>
                <w:rFonts w:ascii="Arial" w:eastAsia="Calibri" w:hAnsi="Arial" w:cs="Arial"/>
              </w:rPr>
              <w:lastRenderedPageBreak/>
              <w:t>officials.</w:t>
            </w:r>
          </w:p>
          <w:p w:rsidR="00345DCD" w:rsidRPr="00113274" w:rsidRDefault="00345DCD" w:rsidP="001C02EF">
            <w:pPr>
              <w:rPr>
                <w:rFonts w:ascii="Arial" w:eastAsia="Calibri" w:hAnsi="Arial" w:cs="Arial"/>
              </w:rPr>
            </w:pPr>
          </w:p>
          <w:p w:rsidR="00345DCD" w:rsidRPr="00113274" w:rsidRDefault="00345DCD" w:rsidP="001C02EF">
            <w:pPr>
              <w:rPr>
                <w:rFonts w:ascii="Arial" w:eastAsia="Calibri" w:hAnsi="Arial" w:cs="Arial"/>
              </w:rPr>
            </w:pPr>
            <w:r w:rsidRPr="00113274">
              <w:rPr>
                <w:rFonts w:ascii="Arial" w:eastAsia="Calibri" w:hAnsi="Arial" w:cs="Arial"/>
              </w:rPr>
              <w:t xml:space="preserve">In terms of section 109(2)(b) of the Act, before the National Forum makes any rule, it must publish a draft of the proposed rule in the </w:t>
            </w:r>
            <w:r w:rsidRPr="00113274">
              <w:rPr>
                <w:rFonts w:ascii="Arial" w:eastAsia="Calibri" w:hAnsi="Arial" w:cs="Arial"/>
                <w:i/>
              </w:rPr>
              <w:t>Gazette</w:t>
            </w:r>
            <w:r w:rsidRPr="00113274">
              <w:rPr>
                <w:rFonts w:ascii="Arial" w:eastAsia="Calibri" w:hAnsi="Arial" w:cs="Arial"/>
              </w:rPr>
              <w:t>, calling on interested persons to comment.</w:t>
            </w:r>
          </w:p>
          <w:p w:rsidR="00345DCD" w:rsidRPr="00113274" w:rsidRDefault="00345DCD" w:rsidP="001C02EF">
            <w:pPr>
              <w:rPr>
                <w:rFonts w:ascii="Arial" w:eastAsia="Calibri" w:hAnsi="Arial" w:cs="Arial"/>
              </w:rPr>
            </w:pPr>
          </w:p>
          <w:p w:rsidR="00345DCD" w:rsidRDefault="00345DCD" w:rsidP="00113274">
            <w:pPr>
              <w:rPr>
                <w:rFonts w:ascii="Arial" w:eastAsia="Calibri" w:hAnsi="Arial" w:cs="Arial"/>
              </w:rPr>
            </w:pPr>
            <w:r w:rsidRPr="00113274">
              <w:rPr>
                <w:rFonts w:ascii="Arial" w:eastAsia="Calibri" w:hAnsi="Arial" w:cs="Arial"/>
              </w:rPr>
              <w:t xml:space="preserve">Public comment on the Bill was also invited by the Portfolio Committee.  </w:t>
            </w:r>
          </w:p>
        </w:tc>
      </w:tr>
      <w:tr w:rsidR="00345DCD" w:rsidRPr="003B3B20" w:rsidTr="00345DCD">
        <w:tc>
          <w:tcPr>
            <w:tcW w:w="430" w:type="pct"/>
          </w:tcPr>
          <w:p w:rsidR="00345DCD" w:rsidRDefault="00345DCD" w:rsidP="00113274">
            <w:pPr>
              <w:rPr>
                <w:rFonts w:ascii="Arial" w:hAnsi="Arial" w:cs="Arial"/>
              </w:rPr>
            </w:pPr>
            <w:r>
              <w:rPr>
                <w:rFonts w:ascii="Arial" w:hAnsi="Arial" w:cs="Arial"/>
              </w:rPr>
              <w:lastRenderedPageBreak/>
              <w:t>General Comment</w:t>
            </w:r>
            <w:r w:rsidR="00402EC4">
              <w:rPr>
                <w:rFonts w:ascii="Arial" w:hAnsi="Arial" w:cs="Arial"/>
              </w:rPr>
              <w:t>s</w:t>
            </w:r>
          </w:p>
        </w:tc>
        <w:tc>
          <w:tcPr>
            <w:tcW w:w="546" w:type="pct"/>
          </w:tcPr>
          <w:p w:rsidR="00345DCD" w:rsidRPr="00113274" w:rsidRDefault="00345DCD" w:rsidP="00113274">
            <w:pPr>
              <w:rPr>
                <w:rFonts w:ascii="Arial" w:eastAsia="Calibri" w:hAnsi="Arial" w:cs="Arial"/>
              </w:rPr>
            </w:pPr>
            <w:r>
              <w:rPr>
                <w:rFonts w:ascii="Arial" w:eastAsia="Calibri" w:hAnsi="Arial" w:cs="Arial"/>
              </w:rPr>
              <w:t xml:space="preserve">Mr </w:t>
            </w:r>
            <w:proofErr w:type="spellStart"/>
            <w:r>
              <w:rPr>
                <w:rFonts w:ascii="Arial" w:eastAsia="Calibri" w:hAnsi="Arial" w:cs="Arial"/>
              </w:rPr>
              <w:t>Nemusimbori</w:t>
            </w:r>
            <w:proofErr w:type="spellEnd"/>
            <w:r>
              <w:rPr>
                <w:rFonts w:ascii="Arial" w:eastAsia="Calibri" w:hAnsi="Arial" w:cs="Arial"/>
              </w:rPr>
              <w:t xml:space="preserve"> and Adv </w:t>
            </w:r>
            <w:proofErr w:type="spellStart"/>
            <w:r>
              <w:rPr>
                <w:rFonts w:ascii="Arial" w:eastAsia="Calibri" w:hAnsi="Arial" w:cs="Arial"/>
              </w:rPr>
              <w:t>Mokhine</w:t>
            </w:r>
            <w:proofErr w:type="spellEnd"/>
          </w:p>
        </w:tc>
        <w:tc>
          <w:tcPr>
            <w:tcW w:w="1029" w:type="pct"/>
          </w:tcPr>
          <w:p w:rsidR="00345DCD" w:rsidRPr="00113274" w:rsidRDefault="00345DCD" w:rsidP="00F25059">
            <w:pPr>
              <w:pStyle w:val="ListParagraph"/>
              <w:ind w:left="0"/>
              <w:rPr>
                <w:rFonts w:ascii="Arial" w:eastAsia="Calibri" w:hAnsi="Arial" w:cs="Arial"/>
              </w:rPr>
            </w:pPr>
            <w:r>
              <w:rPr>
                <w:rFonts w:ascii="Arial" w:eastAsia="Calibri" w:hAnsi="Arial" w:cs="Arial"/>
              </w:rPr>
              <w:t xml:space="preserve">The </w:t>
            </w:r>
            <w:r w:rsidR="00F25059">
              <w:rPr>
                <w:rFonts w:ascii="Arial" w:eastAsia="Calibri" w:hAnsi="Arial" w:cs="Arial"/>
              </w:rPr>
              <w:t>S</w:t>
            </w:r>
            <w:r>
              <w:rPr>
                <w:rFonts w:ascii="Arial" w:eastAsia="Calibri" w:hAnsi="Arial" w:cs="Arial"/>
              </w:rPr>
              <w:t>ide Bar advocates should be allowed to opportunity to participate in the National Forum.</w:t>
            </w:r>
          </w:p>
        </w:tc>
        <w:tc>
          <w:tcPr>
            <w:tcW w:w="2995" w:type="pct"/>
          </w:tcPr>
          <w:p w:rsidR="00345DCD" w:rsidRDefault="00F25059" w:rsidP="001C02EF">
            <w:pPr>
              <w:rPr>
                <w:rFonts w:ascii="Arial" w:eastAsia="Calibri" w:hAnsi="Arial" w:cs="Arial"/>
              </w:rPr>
            </w:pPr>
            <w:r>
              <w:rPr>
                <w:rFonts w:ascii="Arial" w:eastAsia="Calibri" w:hAnsi="Arial" w:cs="Arial"/>
              </w:rPr>
              <w:t>The Act provides for the composition of the National Forum.</w:t>
            </w:r>
          </w:p>
          <w:p w:rsidR="00F25059" w:rsidRDefault="00F25059" w:rsidP="001C02EF">
            <w:pPr>
              <w:rPr>
                <w:rFonts w:ascii="Arial" w:eastAsia="Calibri" w:hAnsi="Arial" w:cs="Arial"/>
              </w:rPr>
            </w:pPr>
          </w:p>
          <w:p w:rsidR="00F25059" w:rsidRPr="00113274" w:rsidRDefault="00F25059" w:rsidP="001C02EF">
            <w:pPr>
              <w:rPr>
                <w:rFonts w:ascii="Arial" w:eastAsia="Calibri" w:hAnsi="Arial" w:cs="Arial"/>
              </w:rPr>
            </w:pPr>
            <w:r>
              <w:rPr>
                <w:rFonts w:ascii="Arial" w:eastAsia="Calibri" w:hAnsi="Arial" w:cs="Arial"/>
              </w:rPr>
              <w:t xml:space="preserve">Comment will be requested on the regulations and rules. </w:t>
            </w:r>
          </w:p>
        </w:tc>
      </w:tr>
    </w:tbl>
    <w:p w:rsidR="002D1F5B" w:rsidRDefault="002D1F5B" w:rsidP="00F25059"/>
    <w:p w:rsidR="002D1F5B" w:rsidRDefault="002D1F5B" w:rsidP="00F25059"/>
    <w:p w:rsidR="00EF4D78" w:rsidRPr="00EF4D78" w:rsidRDefault="00EF4D78" w:rsidP="00DD3B15">
      <w:pPr>
        <w:spacing w:after="0" w:line="360" w:lineRule="auto"/>
        <w:jc w:val="center"/>
        <w:rPr>
          <w:rFonts w:ascii="Arial" w:hAnsi="Arial" w:cs="Arial"/>
          <w:b/>
          <w:bCs/>
          <w:sz w:val="28"/>
          <w:szCs w:val="28"/>
          <w:lang w:val="en-ZA"/>
        </w:rPr>
      </w:pPr>
      <w:r w:rsidRPr="00EF4D78">
        <w:rPr>
          <w:rFonts w:ascii="Arial" w:hAnsi="Arial" w:cs="Arial"/>
          <w:b/>
          <w:bCs/>
          <w:sz w:val="28"/>
          <w:szCs w:val="28"/>
          <w:lang w:val="en-ZA"/>
        </w:rPr>
        <w:t xml:space="preserve">AMENDMENTS </w:t>
      </w:r>
      <w:r w:rsidR="00CF3D76">
        <w:rPr>
          <w:rFonts w:ascii="Arial" w:hAnsi="Arial" w:cs="Arial"/>
          <w:b/>
          <w:bCs/>
          <w:sz w:val="28"/>
          <w:szCs w:val="28"/>
          <w:lang w:val="en-ZA"/>
        </w:rPr>
        <w:t xml:space="preserve">TO THE BILL </w:t>
      </w:r>
      <w:r w:rsidRPr="00EF4D78">
        <w:rPr>
          <w:rFonts w:ascii="Arial" w:hAnsi="Arial" w:cs="Arial"/>
          <w:b/>
          <w:bCs/>
          <w:sz w:val="28"/>
          <w:szCs w:val="28"/>
          <w:lang w:val="en-ZA"/>
        </w:rPr>
        <w:t xml:space="preserve">PROPOSED BY THE </w:t>
      </w:r>
      <w:r w:rsidRPr="00EF4D78">
        <w:rPr>
          <w:rFonts w:ascii="Arial" w:hAnsi="Arial" w:cs="Arial"/>
          <w:b/>
          <w:sz w:val="28"/>
          <w:szCs w:val="28"/>
        </w:rPr>
        <w:t>LAW SOCIETY OF SOUTH AFRICA AND NATIONAL FORUM ON THE LEGAL PROFESSION</w:t>
      </w:r>
    </w:p>
    <w:p w:rsidR="00EF4D78" w:rsidRDefault="00EF4D78" w:rsidP="00DD3B15">
      <w:pPr>
        <w:spacing w:after="0" w:line="360" w:lineRule="auto"/>
        <w:rPr>
          <w:rFonts w:ascii="Arial" w:hAnsi="Arial" w:cs="Arial"/>
          <w:bCs/>
          <w:lang w:val="en-ZA"/>
        </w:rPr>
      </w:pPr>
    </w:p>
    <w:p w:rsidR="00EF4D78" w:rsidRDefault="00EF4D78" w:rsidP="00DD3B15">
      <w:pPr>
        <w:spacing w:after="0" w:line="360" w:lineRule="auto"/>
        <w:rPr>
          <w:rFonts w:ascii="Arial" w:hAnsi="Arial" w:cs="Arial"/>
          <w:bCs/>
          <w:lang w:val="en-ZA"/>
        </w:rPr>
      </w:pPr>
      <w:r>
        <w:rPr>
          <w:rFonts w:ascii="Arial" w:hAnsi="Arial" w:cs="Arial"/>
          <w:bCs/>
          <w:lang w:val="en-ZA"/>
        </w:rPr>
        <w:t>1.</w:t>
      </w:r>
      <w:r>
        <w:rPr>
          <w:rFonts w:ascii="Arial" w:hAnsi="Arial" w:cs="Arial"/>
          <w:bCs/>
          <w:lang w:val="en-ZA"/>
        </w:rPr>
        <w:tab/>
        <w:t>AMENDMENT TO S</w:t>
      </w:r>
      <w:r w:rsidRPr="00EF4D78">
        <w:rPr>
          <w:rFonts w:ascii="Arial" w:hAnsi="Arial" w:cs="Arial"/>
          <w:bCs/>
          <w:lang w:val="en-ZA"/>
        </w:rPr>
        <w:t>ECTION 4</w:t>
      </w:r>
    </w:p>
    <w:p w:rsidR="00EF4D78" w:rsidRDefault="00EF4D78" w:rsidP="00DD3B15">
      <w:pPr>
        <w:spacing w:after="0" w:line="360" w:lineRule="auto"/>
        <w:rPr>
          <w:rFonts w:ascii="Arial" w:hAnsi="Arial" w:cs="Arial"/>
          <w:bCs/>
          <w:lang w:val="en-ZA"/>
        </w:rPr>
      </w:pPr>
      <w:r>
        <w:rPr>
          <w:rFonts w:ascii="Arial" w:hAnsi="Arial" w:cs="Arial"/>
          <w:bCs/>
          <w:lang w:val="en-ZA"/>
        </w:rPr>
        <w:t>1.1</w:t>
      </w:r>
      <w:r>
        <w:rPr>
          <w:rFonts w:ascii="Arial" w:hAnsi="Arial" w:cs="Arial"/>
          <w:bCs/>
          <w:lang w:val="en-ZA"/>
        </w:rPr>
        <w:tab/>
        <w:t>An amendment to s</w:t>
      </w:r>
      <w:r w:rsidRPr="00EF4D78">
        <w:rPr>
          <w:rFonts w:ascii="Arial" w:hAnsi="Arial" w:cs="Arial"/>
          <w:bCs/>
          <w:lang w:val="en-ZA"/>
        </w:rPr>
        <w:t>ection 4 of the Act</w:t>
      </w:r>
      <w:r>
        <w:rPr>
          <w:rFonts w:ascii="Arial" w:hAnsi="Arial" w:cs="Arial"/>
          <w:bCs/>
          <w:lang w:val="en-ZA"/>
        </w:rPr>
        <w:t>, which provides for the establishment of the Council, is proposed</w:t>
      </w:r>
      <w:r w:rsidR="0063675D">
        <w:rPr>
          <w:rFonts w:ascii="Arial" w:hAnsi="Arial" w:cs="Arial"/>
          <w:bCs/>
          <w:lang w:val="en-ZA"/>
        </w:rPr>
        <w:t xml:space="preserve"> by the National Forum</w:t>
      </w:r>
      <w:r w:rsidRPr="00EF4D78">
        <w:rPr>
          <w:rFonts w:ascii="Arial" w:hAnsi="Arial" w:cs="Arial"/>
          <w:bCs/>
          <w:lang w:val="en-ZA"/>
        </w:rPr>
        <w:t xml:space="preserve">.  </w:t>
      </w:r>
      <w:r w:rsidR="00DA36BE">
        <w:rPr>
          <w:rFonts w:ascii="Arial" w:hAnsi="Arial" w:cs="Arial"/>
          <w:bCs/>
          <w:lang w:val="en-ZA"/>
        </w:rPr>
        <w:t xml:space="preserve">The Bill’s intention is to facilitate a smooth transition from the current dispensation to the new structures, specifically the Legal Practice Council, and to avoid implementation challenges that could be detrimental. </w:t>
      </w:r>
      <w:r>
        <w:rPr>
          <w:rFonts w:ascii="Arial" w:hAnsi="Arial" w:cs="Arial"/>
          <w:bCs/>
          <w:lang w:val="en-ZA"/>
        </w:rPr>
        <w:t xml:space="preserve">This </w:t>
      </w:r>
      <w:r w:rsidR="00DA36BE">
        <w:rPr>
          <w:rFonts w:ascii="Arial" w:hAnsi="Arial" w:cs="Arial"/>
          <w:bCs/>
          <w:lang w:val="en-ZA"/>
        </w:rPr>
        <w:t>proposed amendment</w:t>
      </w:r>
      <w:r>
        <w:rPr>
          <w:rFonts w:ascii="Arial" w:hAnsi="Arial" w:cs="Arial"/>
          <w:bCs/>
          <w:lang w:val="en-ZA"/>
        </w:rPr>
        <w:t xml:space="preserve"> </w:t>
      </w:r>
      <w:r w:rsidR="0063675D">
        <w:rPr>
          <w:rFonts w:ascii="Arial" w:hAnsi="Arial" w:cs="Arial"/>
          <w:bCs/>
          <w:lang w:val="en-ZA"/>
        </w:rPr>
        <w:t xml:space="preserve">is </w:t>
      </w:r>
      <w:r w:rsidR="0063675D">
        <w:rPr>
          <w:rFonts w:ascii="Arial" w:hAnsi="Arial" w:cs="Arial"/>
          <w:bCs/>
          <w:lang w:val="en-ZA"/>
        </w:rPr>
        <w:lastRenderedPageBreak/>
        <w:t xml:space="preserve">consequential as it </w:t>
      </w:r>
      <w:r>
        <w:rPr>
          <w:rFonts w:ascii="Arial" w:hAnsi="Arial" w:cs="Arial"/>
          <w:bCs/>
          <w:lang w:val="en-ZA"/>
        </w:rPr>
        <w:t xml:space="preserve">relates to the smooth implementation and transition and it is submitted that the National Assembly’s permission in terms of Rule 249(1) of the </w:t>
      </w:r>
      <w:r w:rsidR="00DD3B15">
        <w:rPr>
          <w:rFonts w:ascii="Arial" w:hAnsi="Arial" w:cs="Arial"/>
          <w:bCs/>
          <w:lang w:val="en-ZA"/>
        </w:rPr>
        <w:t xml:space="preserve">National </w:t>
      </w:r>
      <w:r>
        <w:rPr>
          <w:rFonts w:ascii="Arial" w:hAnsi="Arial" w:cs="Arial"/>
          <w:bCs/>
          <w:lang w:val="en-ZA"/>
        </w:rPr>
        <w:t>Assembly Rules will be unnecessary.</w:t>
      </w:r>
    </w:p>
    <w:p w:rsidR="00EF4D78" w:rsidRDefault="00EF4D78" w:rsidP="00DD3B15">
      <w:pPr>
        <w:spacing w:after="0" w:line="360" w:lineRule="auto"/>
        <w:rPr>
          <w:rFonts w:ascii="Arial" w:hAnsi="Arial" w:cs="Arial"/>
          <w:bCs/>
          <w:lang w:val="en-ZA"/>
        </w:rPr>
      </w:pPr>
    </w:p>
    <w:p w:rsidR="00EF4D78" w:rsidRPr="00EF4D78" w:rsidRDefault="00EF4D78" w:rsidP="00DD3B15">
      <w:pPr>
        <w:spacing w:after="0" w:line="360" w:lineRule="auto"/>
        <w:rPr>
          <w:rFonts w:ascii="Arial" w:hAnsi="Arial" w:cs="Arial"/>
          <w:bCs/>
          <w:lang w:val="en-ZA"/>
        </w:rPr>
      </w:pPr>
      <w:r>
        <w:rPr>
          <w:rFonts w:ascii="Arial" w:hAnsi="Arial" w:cs="Arial"/>
          <w:bCs/>
          <w:lang w:val="en-ZA"/>
        </w:rPr>
        <w:t>1.2</w:t>
      </w:r>
      <w:r>
        <w:rPr>
          <w:rFonts w:ascii="Arial" w:hAnsi="Arial" w:cs="Arial"/>
          <w:bCs/>
          <w:lang w:val="en-ZA"/>
        </w:rPr>
        <w:tab/>
      </w:r>
      <w:r w:rsidRPr="00EF4D78">
        <w:rPr>
          <w:rFonts w:ascii="Arial" w:hAnsi="Arial" w:cs="Arial"/>
          <w:bCs/>
          <w:lang w:val="en-ZA"/>
        </w:rPr>
        <w:t xml:space="preserve">The underlined portion below sets out the insertion </w:t>
      </w:r>
      <w:r w:rsidR="0063675D" w:rsidRPr="00EF4D78">
        <w:rPr>
          <w:rFonts w:ascii="Arial" w:hAnsi="Arial" w:cs="Arial"/>
          <w:bCs/>
          <w:lang w:val="en-ZA"/>
        </w:rPr>
        <w:t>in section 4</w:t>
      </w:r>
      <w:r w:rsidR="0063675D">
        <w:rPr>
          <w:rFonts w:ascii="Arial" w:hAnsi="Arial" w:cs="Arial"/>
          <w:bCs/>
          <w:lang w:val="en-ZA"/>
        </w:rPr>
        <w:t xml:space="preserve"> </w:t>
      </w:r>
      <w:r w:rsidRPr="00EF4D78">
        <w:rPr>
          <w:rFonts w:ascii="Arial" w:hAnsi="Arial" w:cs="Arial"/>
          <w:bCs/>
          <w:lang w:val="en-ZA"/>
        </w:rPr>
        <w:t>proposed by the National Forum:</w:t>
      </w:r>
    </w:p>
    <w:p w:rsidR="00EF4D78" w:rsidRPr="002D1F5B" w:rsidRDefault="00EF4D78" w:rsidP="00DD3B15">
      <w:pPr>
        <w:spacing w:after="0" w:line="360" w:lineRule="auto"/>
        <w:ind w:left="720"/>
        <w:rPr>
          <w:rFonts w:ascii="Arial" w:hAnsi="Arial" w:cs="Arial"/>
          <w:bCs/>
          <w:u w:val="single"/>
          <w:lang w:val="en-ZA"/>
        </w:rPr>
      </w:pPr>
      <w:r w:rsidRPr="00EF4D78">
        <w:rPr>
          <w:rFonts w:ascii="Arial" w:hAnsi="Arial" w:cs="Arial"/>
          <w:bCs/>
          <w:lang w:val="en-ZA"/>
        </w:rPr>
        <w:t xml:space="preserve">“The South African Legal Practice Council is hereby established as a body corporate with full legal capacity, and exercises </w:t>
      </w:r>
      <w:r>
        <w:rPr>
          <w:rFonts w:ascii="Arial" w:hAnsi="Arial" w:cs="Arial"/>
          <w:bCs/>
          <w:lang w:val="en-ZA"/>
        </w:rPr>
        <w:t xml:space="preserve">Jurisdiction over all </w:t>
      </w:r>
      <w:r w:rsidRPr="00EF4D78">
        <w:rPr>
          <w:rFonts w:ascii="Arial" w:hAnsi="Arial" w:cs="Arial"/>
          <w:bCs/>
          <w:lang w:val="en-ZA"/>
        </w:rPr>
        <w:t xml:space="preserve">legal practitioners and candidate legal practitioners as contemplated in this Act </w:t>
      </w:r>
      <w:r w:rsidRPr="00DD3B15">
        <w:rPr>
          <w:rFonts w:ascii="Arial" w:hAnsi="Arial" w:cs="Arial"/>
          <w:bCs/>
          <w:u w:val="single"/>
          <w:lang w:val="en-ZA"/>
        </w:rPr>
        <w:t>when section 120(4) comes into operation</w:t>
      </w:r>
      <w:r w:rsidRPr="002D1F5B">
        <w:rPr>
          <w:rFonts w:ascii="Arial" w:hAnsi="Arial" w:cs="Arial"/>
          <w:bCs/>
          <w:u w:val="single"/>
          <w:lang w:val="en-ZA"/>
        </w:rPr>
        <w:t>”.</w:t>
      </w:r>
    </w:p>
    <w:p w:rsidR="00EF4D78" w:rsidRPr="00EF4D78" w:rsidRDefault="00EF4D78" w:rsidP="00DD3B15">
      <w:pPr>
        <w:spacing w:after="0" w:line="360" w:lineRule="auto"/>
        <w:rPr>
          <w:rFonts w:ascii="Arial" w:hAnsi="Arial" w:cs="Arial"/>
          <w:bCs/>
          <w:lang w:val="en-ZA"/>
        </w:rPr>
      </w:pPr>
    </w:p>
    <w:p w:rsidR="00EF4D78" w:rsidRDefault="00EF4D78" w:rsidP="00DD3B15">
      <w:pPr>
        <w:spacing w:after="0" w:line="360" w:lineRule="auto"/>
        <w:rPr>
          <w:rFonts w:ascii="Arial" w:hAnsi="Arial" w:cs="Arial"/>
          <w:bCs/>
          <w:lang w:val="en-ZA"/>
        </w:rPr>
      </w:pPr>
      <w:r>
        <w:rPr>
          <w:rFonts w:ascii="Arial" w:hAnsi="Arial" w:cs="Arial"/>
          <w:bCs/>
          <w:lang w:val="en-ZA"/>
        </w:rPr>
        <w:t>1.3</w:t>
      </w:r>
      <w:r>
        <w:rPr>
          <w:rFonts w:ascii="Arial" w:hAnsi="Arial" w:cs="Arial"/>
          <w:bCs/>
          <w:lang w:val="en-ZA"/>
        </w:rPr>
        <w:tab/>
      </w:r>
      <w:r w:rsidRPr="00EF4D78">
        <w:rPr>
          <w:rFonts w:ascii="Arial" w:hAnsi="Arial" w:cs="Arial"/>
          <w:bCs/>
          <w:lang w:val="en-ZA"/>
        </w:rPr>
        <w:t xml:space="preserve">Section 120 contains the short title of the Act and the commencement thereof.  Section 120(2) provides that Chapter 10 comes into operation on a date fixed by the President by proclamation in the </w:t>
      </w:r>
      <w:r w:rsidRPr="0063675D">
        <w:rPr>
          <w:rFonts w:ascii="Arial" w:hAnsi="Arial" w:cs="Arial"/>
          <w:bCs/>
          <w:i/>
          <w:lang w:val="en-ZA"/>
        </w:rPr>
        <w:t>Gazette</w:t>
      </w:r>
      <w:r w:rsidRPr="00EF4D78">
        <w:rPr>
          <w:rFonts w:ascii="Arial" w:hAnsi="Arial" w:cs="Arial"/>
          <w:bCs/>
          <w:lang w:val="en-ZA"/>
        </w:rPr>
        <w:t xml:space="preserve">, which was 1 February 2015.  Section 120(3) provides that Chapter 2 of the Act, dealing with the Council, comes into operation 3 years after the date of commencement of Chapter 10 or on any earlier date fixed by the President by proclamation in the </w:t>
      </w:r>
      <w:r w:rsidRPr="0063675D">
        <w:rPr>
          <w:rFonts w:ascii="Arial" w:hAnsi="Arial" w:cs="Arial"/>
          <w:bCs/>
          <w:i/>
          <w:lang w:val="en-ZA"/>
        </w:rPr>
        <w:t>Gazette</w:t>
      </w:r>
      <w:r w:rsidRPr="00EF4D78">
        <w:rPr>
          <w:rFonts w:ascii="Arial" w:hAnsi="Arial" w:cs="Arial"/>
          <w:bCs/>
          <w:lang w:val="en-ZA"/>
        </w:rPr>
        <w:t xml:space="preserve">.  Section 120(4) provides that the remaining provisions of the Act come into operation on a date, after the commencement of Chapter 2, fixed by the President by proclamation in the </w:t>
      </w:r>
      <w:r w:rsidRPr="00EF4D78">
        <w:rPr>
          <w:rFonts w:ascii="Arial" w:hAnsi="Arial" w:cs="Arial"/>
          <w:bCs/>
          <w:i/>
          <w:lang w:val="en-ZA"/>
        </w:rPr>
        <w:t>Gazette</w:t>
      </w:r>
      <w:r w:rsidRPr="00EF4D78">
        <w:rPr>
          <w:rFonts w:ascii="Arial" w:hAnsi="Arial" w:cs="Arial"/>
          <w:bCs/>
          <w:lang w:val="en-ZA"/>
        </w:rPr>
        <w:t>.</w:t>
      </w:r>
      <w:r>
        <w:rPr>
          <w:rFonts w:ascii="Arial" w:hAnsi="Arial" w:cs="Arial"/>
          <w:bCs/>
          <w:lang w:val="en-ZA"/>
        </w:rPr>
        <w:t xml:space="preserve"> </w:t>
      </w:r>
    </w:p>
    <w:p w:rsidR="00EF4D78" w:rsidRDefault="00EF4D78" w:rsidP="00DD3B15">
      <w:pPr>
        <w:spacing w:after="0" w:line="360" w:lineRule="auto"/>
        <w:rPr>
          <w:rFonts w:ascii="Arial" w:hAnsi="Arial" w:cs="Arial"/>
          <w:bCs/>
          <w:lang w:val="en-ZA"/>
        </w:rPr>
      </w:pPr>
    </w:p>
    <w:p w:rsidR="00EF4D78" w:rsidRDefault="00EF4D78" w:rsidP="00DD3B15">
      <w:pPr>
        <w:spacing w:after="0" w:line="360" w:lineRule="auto"/>
        <w:rPr>
          <w:rFonts w:ascii="Arial" w:hAnsi="Arial" w:cs="Arial"/>
          <w:bCs/>
          <w:lang w:val="en-ZA"/>
        </w:rPr>
      </w:pPr>
      <w:r>
        <w:rPr>
          <w:rFonts w:ascii="Arial" w:hAnsi="Arial" w:cs="Arial"/>
          <w:bCs/>
          <w:lang w:val="en-ZA"/>
        </w:rPr>
        <w:t>1.4</w:t>
      </w:r>
      <w:r>
        <w:rPr>
          <w:rFonts w:ascii="Arial" w:hAnsi="Arial" w:cs="Arial"/>
          <w:bCs/>
          <w:lang w:val="en-ZA"/>
        </w:rPr>
        <w:tab/>
      </w:r>
      <w:r w:rsidRPr="00EF4D78">
        <w:rPr>
          <w:rFonts w:ascii="Arial" w:hAnsi="Arial" w:cs="Arial"/>
          <w:bCs/>
          <w:lang w:val="en-ZA"/>
        </w:rPr>
        <w:t>This amendment is necessary to avoid conflicting jurisdiction between the new Council and the existing four law societies when Chapter 2 of the Act comes into operation in terms of section 120(3) and to ensure a smooth transfer.</w:t>
      </w:r>
      <w:r>
        <w:rPr>
          <w:rFonts w:ascii="Arial" w:hAnsi="Arial" w:cs="Arial"/>
          <w:bCs/>
          <w:lang w:val="en-ZA"/>
        </w:rPr>
        <w:t xml:space="preserve"> </w:t>
      </w:r>
      <w:r w:rsidRPr="00EF4D78">
        <w:rPr>
          <w:rFonts w:ascii="Arial" w:hAnsi="Arial" w:cs="Arial"/>
          <w:bCs/>
          <w:lang w:val="en-ZA"/>
        </w:rPr>
        <w:t>The existing law societies will continue to regulate the attorneys until section 120(4) comes into operation.  In the overlapping period, the new Council can become established. Infrastructure must be put in place, staff and assets allocated from existing law societies, provincial councils must be elected, functions must be delegated, all regulations and rules must be in place, the database must be finalised and be in operation and work in progress must be transferred from the old to the new regulatory structures.</w:t>
      </w:r>
      <w:r>
        <w:rPr>
          <w:rFonts w:ascii="Arial" w:hAnsi="Arial" w:cs="Arial"/>
          <w:bCs/>
          <w:lang w:val="en-ZA"/>
        </w:rPr>
        <w:t xml:space="preserve"> </w:t>
      </w:r>
      <w:r w:rsidRPr="00EF4D78">
        <w:rPr>
          <w:rFonts w:ascii="Arial" w:hAnsi="Arial" w:cs="Arial"/>
          <w:bCs/>
          <w:lang w:val="en-ZA"/>
        </w:rPr>
        <w:t>While the Council is getting “operationally ready”, the existing law societies will continue to regulate the attorneys until their staff, assets, liabilities and work in progress are transferred when section 120(4) comes into operation.</w:t>
      </w:r>
    </w:p>
    <w:p w:rsidR="00EF4D78" w:rsidRDefault="00EF4D78" w:rsidP="00DD3B15">
      <w:pPr>
        <w:spacing w:after="0" w:line="360" w:lineRule="auto"/>
        <w:rPr>
          <w:rFonts w:ascii="Arial" w:hAnsi="Arial" w:cs="Arial"/>
          <w:bCs/>
          <w:lang w:val="en-ZA"/>
        </w:rPr>
      </w:pPr>
    </w:p>
    <w:p w:rsidR="008F27E1" w:rsidRDefault="008F27E1" w:rsidP="00DD3B15">
      <w:pPr>
        <w:spacing w:after="0" w:line="360" w:lineRule="auto"/>
        <w:rPr>
          <w:rFonts w:ascii="Arial" w:eastAsia="Calibri" w:hAnsi="Arial" w:cs="Arial"/>
        </w:rPr>
      </w:pPr>
      <w:r>
        <w:rPr>
          <w:rFonts w:ascii="Arial" w:eastAsia="Calibri" w:hAnsi="Arial" w:cs="Arial"/>
        </w:rPr>
        <w:t>2.</w:t>
      </w:r>
      <w:r>
        <w:rPr>
          <w:rFonts w:ascii="Arial" w:eastAsia="Calibri" w:hAnsi="Arial" w:cs="Arial"/>
        </w:rPr>
        <w:tab/>
      </w:r>
      <w:r w:rsidRPr="00113274">
        <w:rPr>
          <w:rFonts w:ascii="Arial" w:eastAsia="Calibri" w:hAnsi="Arial" w:cs="Arial"/>
        </w:rPr>
        <w:t>AMENDMENTS TO SECTION</w:t>
      </w:r>
      <w:r w:rsidR="0063675D">
        <w:rPr>
          <w:rFonts w:ascii="Arial" w:eastAsia="Calibri" w:hAnsi="Arial" w:cs="Arial"/>
        </w:rPr>
        <w:t>S</w:t>
      </w:r>
      <w:r w:rsidRPr="00113274">
        <w:rPr>
          <w:rFonts w:ascii="Arial" w:eastAsia="Calibri" w:hAnsi="Arial" w:cs="Arial"/>
        </w:rPr>
        <w:t xml:space="preserve"> 25(3)</w:t>
      </w:r>
      <w:r>
        <w:rPr>
          <w:rFonts w:ascii="Arial" w:eastAsia="Calibri" w:hAnsi="Arial" w:cs="Arial"/>
        </w:rPr>
        <w:t xml:space="preserve"> AND 30(3)</w:t>
      </w:r>
    </w:p>
    <w:p w:rsidR="00DA36BE" w:rsidRDefault="00DA36BE" w:rsidP="00DD3B15">
      <w:pPr>
        <w:spacing w:after="0" w:line="360" w:lineRule="auto"/>
        <w:rPr>
          <w:rFonts w:ascii="Arial" w:eastAsia="Calibri" w:hAnsi="Arial" w:cs="Arial"/>
        </w:rPr>
      </w:pPr>
      <w:r>
        <w:rPr>
          <w:rFonts w:ascii="Arial" w:eastAsia="Calibri" w:hAnsi="Arial" w:cs="Arial"/>
        </w:rPr>
        <w:t>2.1</w:t>
      </w:r>
      <w:r>
        <w:rPr>
          <w:rFonts w:ascii="Arial" w:eastAsia="Calibri" w:hAnsi="Arial" w:cs="Arial"/>
        </w:rPr>
        <w:tab/>
      </w:r>
      <w:r w:rsidR="008F27E1">
        <w:rPr>
          <w:rFonts w:ascii="Arial" w:eastAsia="Calibri" w:hAnsi="Arial" w:cs="Arial"/>
        </w:rPr>
        <w:t>A</w:t>
      </w:r>
      <w:r w:rsidR="008F27E1" w:rsidRPr="00113274">
        <w:rPr>
          <w:rFonts w:ascii="Arial" w:eastAsia="Calibri" w:hAnsi="Arial" w:cs="Arial"/>
        </w:rPr>
        <w:t>mendments to section 25(3), and the consequential deletion of subsection (4) and section 30(3</w:t>
      </w:r>
      <w:proofErr w:type="gramStart"/>
      <w:r w:rsidR="008F27E1" w:rsidRPr="00113274">
        <w:rPr>
          <w:rFonts w:ascii="Arial" w:eastAsia="Calibri" w:hAnsi="Arial" w:cs="Arial"/>
        </w:rPr>
        <w:t>)(</w:t>
      </w:r>
      <w:proofErr w:type="gramEnd"/>
      <w:r w:rsidR="008F27E1" w:rsidRPr="00113274">
        <w:rPr>
          <w:rFonts w:ascii="Arial" w:eastAsia="Calibri" w:hAnsi="Arial" w:cs="Arial"/>
        </w:rPr>
        <w:t>h)</w:t>
      </w:r>
      <w:r w:rsidR="008F27E1">
        <w:rPr>
          <w:rFonts w:ascii="Arial" w:eastAsia="Calibri" w:hAnsi="Arial" w:cs="Arial"/>
        </w:rPr>
        <w:t xml:space="preserve"> are requested</w:t>
      </w:r>
      <w:r w:rsidR="0063675D">
        <w:rPr>
          <w:rFonts w:ascii="Arial" w:eastAsia="Calibri" w:hAnsi="Arial" w:cs="Arial"/>
        </w:rPr>
        <w:t xml:space="preserve"> </w:t>
      </w:r>
      <w:r w:rsidR="0063675D">
        <w:rPr>
          <w:rFonts w:ascii="Arial" w:hAnsi="Arial" w:cs="Arial"/>
          <w:bCs/>
          <w:lang w:val="en-ZA"/>
        </w:rPr>
        <w:t>by the National Forum and the Law Societies of SA</w:t>
      </w:r>
      <w:r w:rsidR="008F27E1" w:rsidRPr="00113274">
        <w:rPr>
          <w:rFonts w:ascii="Arial" w:eastAsia="Calibri" w:hAnsi="Arial" w:cs="Arial"/>
        </w:rPr>
        <w:t>.</w:t>
      </w:r>
      <w:r w:rsidR="008F27E1">
        <w:rPr>
          <w:rFonts w:ascii="Arial" w:eastAsia="Calibri" w:hAnsi="Arial" w:cs="Arial"/>
        </w:rPr>
        <w:t xml:space="preserve"> </w:t>
      </w:r>
    </w:p>
    <w:p w:rsidR="00DA36BE" w:rsidRDefault="00DA36BE" w:rsidP="00DD3B15">
      <w:pPr>
        <w:spacing w:after="0" w:line="360" w:lineRule="auto"/>
        <w:rPr>
          <w:rFonts w:ascii="Arial" w:eastAsia="Calibri" w:hAnsi="Arial" w:cs="Arial"/>
        </w:rPr>
      </w:pPr>
    </w:p>
    <w:p w:rsidR="00EF4D78" w:rsidRDefault="00DA36BE" w:rsidP="00DD3B15">
      <w:pPr>
        <w:spacing w:after="0" w:line="360" w:lineRule="auto"/>
        <w:rPr>
          <w:rFonts w:ascii="Arial" w:eastAsia="Calibri" w:hAnsi="Arial" w:cs="Arial"/>
        </w:rPr>
      </w:pPr>
      <w:r>
        <w:rPr>
          <w:rFonts w:ascii="Arial" w:eastAsia="Calibri" w:hAnsi="Arial" w:cs="Arial"/>
        </w:rPr>
        <w:t>2.2</w:t>
      </w:r>
      <w:r>
        <w:rPr>
          <w:rFonts w:ascii="Arial" w:eastAsia="Calibri" w:hAnsi="Arial" w:cs="Arial"/>
        </w:rPr>
        <w:tab/>
      </w:r>
      <w:r w:rsidR="008F27E1">
        <w:rPr>
          <w:rFonts w:ascii="Arial" w:eastAsia="Calibri" w:hAnsi="Arial" w:cs="Arial"/>
        </w:rPr>
        <w:t xml:space="preserve">These amendments do not directly relate to transition and implementation of the Council as it pertains to the right of appearance of legal practitioners and candidate legal practitioners.  Due to the statutory deadline of 1 February 2018 and the fact that this amendment would </w:t>
      </w:r>
      <w:r>
        <w:rPr>
          <w:rFonts w:ascii="Arial" w:eastAsia="Calibri" w:hAnsi="Arial" w:cs="Arial"/>
        </w:rPr>
        <w:t xml:space="preserve">possibly </w:t>
      </w:r>
      <w:r w:rsidR="008F27E1">
        <w:rPr>
          <w:rFonts w:ascii="Arial" w:eastAsia="Calibri" w:hAnsi="Arial" w:cs="Arial"/>
        </w:rPr>
        <w:t xml:space="preserve">require </w:t>
      </w:r>
      <w:r>
        <w:rPr>
          <w:rFonts w:ascii="Arial" w:eastAsia="Calibri" w:hAnsi="Arial" w:cs="Arial"/>
        </w:rPr>
        <w:t xml:space="preserve">the </w:t>
      </w:r>
      <w:r w:rsidR="0063675D">
        <w:rPr>
          <w:rFonts w:ascii="Arial" w:eastAsia="Calibri" w:hAnsi="Arial" w:cs="Arial"/>
        </w:rPr>
        <w:t xml:space="preserve">National </w:t>
      </w:r>
      <w:r w:rsidR="008F27E1">
        <w:rPr>
          <w:rFonts w:ascii="Arial" w:eastAsia="Calibri" w:hAnsi="Arial" w:cs="Arial"/>
        </w:rPr>
        <w:t>Assembly</w:t>
      </w:r>
      <w:r>
        <w:rPr>
          <w:rFonts w:ascii="Arial" w:eastAsia="Calibri" w:hAnsi="Arial" w:cs="Arial"/>
        </w:rPr>
        <w:t>’s</w:t>
      </w:r>
      <w:r w:rsidR="008F27E1">
        <w:rPr>
          <w:rFonts w:ascii="Arial" w:eastAsia="Calibri" w:hAnsi="Arial" w:cs="Arial"/>
        </w:rPr>
        <w:t xml:space="preserve"> permission, it is submitted that it should be dealt with at a later stage.</w:t>
      </w:r>
    </w:p>
    <w:p w:rsidR="008F27E1" w:rsidRDefault="008F27E1" w:rsidP="00DD3B15">
      <w:pPr>
        <w:spacing w:after="0" w:line="360" w:lineRule="auto"/>
        <w:rPr>
          <w:rFonts w:ascii="Arial" w:eastAsia="Calibri" w:hAnsi="Arial" w:cs="Arial"/>
        </w:rPr>
      </w:pPr>
    </w:p>
    <w:p w:rsidR="008F27E1" w:rsidRDefault="008F27E1" w:rsidP="00DD3B15">
      <w:pPr>
        <w:spacing w:after="0" w:line="360" w:lineRule="auto"/>
        <w:rPr>
          <w:rFonts w:ascii="Arial" w:eastAsia="Calibri" w:hAnsi="Arial" w:cs="Arial"/>
        </w:rPr>
      </w:pPr>
      <w:r>
        <w:rPr>
          <w:rFonts w:ascii="Arial" w:eastAsia="Calibri" w:hAnsi="Arial" w:cs="Arial"/>
        </w:rPr>
        <w:t>3.</w:t>
      </w:r>
      <w:r>
        <w:rPr>
          <w:rFonts w:ascii="Arial" w:eastAsia="Calibri" w:hAnsi="Arial" w:cs="Arial"/>
        </w:rPr>
        <w:tab/>
        <w:t>AMENDMENT TO SECTION 34</w:t>
      </w:r>
    </w:p>
    <w:p w:rsidR="008F27E1" w:rsidRDefault="008F27E1" w:rsidP="00DD3B15">
      <w:pPr>
        <w:spacing w:after="0" w:line="360" w:lineRule="auto"/>
        <w:rPr>
          <w:rFonts w:ascii="Arial" w:hAnsi="Arial" w:cs="Arial"/>
          <w:bCs/>
          <w:lang w:val="en-ZA"/>
        </w:rPr>
      </w:pPr>
      <w:r>
        <w:rPr>
          <w:rFonts w:ascii="Arial" w:eastAsia="Calibri" w:hAnsi="Arial" w:cs="Arial"/>
        </w:rPr>
        <w:t>3.1</w:t>
      </w:r>
      <w:r>
        <w:rPr>
          <w:rFonts w:ascii="Arial" w:eastAsia="Calibri" w:hAnsi="Arial" w:cs="Arial"/>
        </w:rPr>
        <w:tab/>
      </w:r>
      <w:r w:rsidR="00DA36BE" w:rsidRPr="00113274">
        <w:rPr>
          <w:rFonts w:ascii="Arial" w:eastAsia="Calibri" w:hAnsi="Arial" w:cs="Arial"/>
        </w:rPr>
        <w:t xml:space="preserve">An amendment to section 34(7) is proposed </w:t>
      </w:r>
      <w:r w:rsidR="00EF56E6">
        <w:rPr>
          <w:rFonts w:ascii="Arial" w:hAnsi="Arial" w:cs="Arial"/>
          <w:bCs/>
          <w:lang w:val="en-ZA"/>
        </w:rPr>
        <w:t>by the National Forum</w:t>
      </w:r>
      <w:r w:rsidR="00EF56E6" w:rsidRPr="00113274">
        <w:rPr>
          <w:rFonts w:ascii="Arial" w:eastAsia="Calibri" w:hAnsi="Arial" w:cs="Arial"/>
        </w:rPr>
        <w:t xml:space="preserve"> </w:t>
      </w:r>
      <w:r w:rsidR="00DA36BE" w:rsidRPr="00113274">
        <w:rPr>
          <w:rFonts w:ascii="Arial" w:eastAsia="Calibri" w:hAnsi="Arial" w:cs="Arial"/>
        </w:rPr>
        <w:t>that entails the insertion in subsection (7</w:t>
      </w:r>
      <w:proofErr w:type="gramStart"/>
      <w:r w:rsidR="00DA36BE" w:rsidRPr="00113274">
        <w:rPr>
          <w:rFonts w:ascii="Arial" w:eastAsia="Calibri" w:hAnsi="Arial" w:cs="Arial"/>
        </w:rPr>
        <w:t>)(</w:t>
      </w:r>
      <w:proofErr w:type="gramEnd"/>
      <w:r w:rsidR="00DA36BE" w:rsidRPr="00113274">
        <w:rPr>
          <w:rFonts w:ascii="Arial" w:eastAsia="Calibri" w:hAnsi="Arial" w:cs="Arial"/>
        </w:rPr>
        <w:t>c)(ii) of the words “theft of trust money or assets entrusted to the juristic entity”</w:t>
      </w:r>
      <w:r w:rsidR="00DA36BE">
        <w:rPr>
          <w:rFonts w:ascii="Arial" w:eastAsia="Calibri" w:hAnsi="Arial" w:cs="Arial"/>
        </w:rPr>
        <w:t xml:space="preserve">. </w:t>
      </w:r>
      <w:r>
        <w:rPr>
          <w:rFonts w:ascii="Arial" w:eastAsia="Calibri" w:hAnsi="Arial" w:cs="Arial"/>
        </w:rPr>
        <w:t xml:space="preserve">Section 34 deals with form of legal </w:t>
      </w:r>
      <w:proofErr w:type="gramStart"/>
      <w:r>
        <w:rPr>
          <w:rFonts w:ascii="Arial" w:eastAsia="Calibri" w:hAnsi="Arial" w:cs="Arial"/>
        </w:rPr>
        <w:t>practice</w:t>
      </w:r>
      <w:r w:rsidR="00EF56E6">
        <w:rPr>
          <w:rFonts w:ascii="Arial" w:eastAsia="Calibri" w:hAnsi="Arial" w:cs="Arial"/>
        </w:rPr>
        <w:t xml:space="preserve"> </w:t>
      </w:r>
      <w:r>
        <w:rPr>
          <w:rFonts w:ascii="Arial" w:eastAsia="Calibri" w:hAnsi="Arial" w:cs="Arial"/>
        </w:rPr>
        <w:t xml:space="preserve"> </w:t>
      </w:r>
      <w:r w:rsidR="00DA36BE">
        <w:rPr>
          <w:rFonts w:ascii="Arial" w:eastAsia="Calibri" w:hAnsi="Arial" w:cs="Arial"/>
        </w:rPr>
        <w:t>.</w:t>
      </w:r>
      <w:proofErr w:type="gramEnd"/>
    </w:p>
    <w:p w:rsidR="00DA36BE" w:rsidRDefault="00DA36BE" w:rsidP="00DD3B15">
      <w:pPr>
        <w:spacing w:after="0" w:line="360" w:lineRule="auto"/>
        <w:rPr>
          <w:rFonts w:ascii="Arial" w:hAnsi="Arial" w:cs="Arial"/>
          <w:bCs/>
          <w:lang w:val="en-ZA"/>
        </w:rPr>
      </w:pPr>
    </w:p>
    <w:p w:rsidR="00DA36BE" w:rsidRDefault="002D1F5B" w:rsidP="00DD3B15">
      <w:pPr>
        <w:spacing w:after="0" w:line="360" w:lineRule="auto"/>
        <w:rPr>
          <w:rFonts w:ascii="Arial" w:eastAsia="Calibri" w:hAnsi="Arial" w:cs="Arial"/>
        </w:rPr>
      </w:pPr>
      <w:r>
        <w:rPr>
          <w:rFonts w:ascii="Arial" w:eastAsia="Calibri" w:hAnsi="Arial" w:cs="Arial"/>
        </w:rPr>
        <w:t>3.2</w:t>
      </w:r>
      <w:r w:rsidR="00DA36BE">
        <w:rPr>
          <w:rFonts w:ascii="Arial" w:eastAsia="Calibri" w:hAnsi="Arial" w:cs="Arial"/>
        </w:rPr>
        <w:tab/>
        <w:t>This proposed amendment does not directly relate to transition and implementation of the Council.  Due to the statutory deadline of 1 February 2018 and the fact that this amendment would possibly require the Assembly’s permission, it is submitted that it should be dealt with at a later stage.</w:t>
      </w:r>
    </w:p>
    <w:p w:rsidR="00DA36BE" w:rsidRDefault="00DA36BE" w:rsidP="00DD3B15">
      <w:pPr>
        <w:spacing w:after="0" w:line="360" w:lineRule="auto"/>
        <w:rPr>
          <w:rFonts w:ascii="Arial" w:hAnsi="Arial" w:cs="Arial"/>
          <w:bCs/>
          <w:lang w:val="en-ZA"/>
        </w:rPr>
      </w:pPr>
    </w:p>
    <w:p w:rsidR="00DA36BE" w:rsidRDefault="00DA36BE" w:rsidP="00DD3B15">
      <w:pPr>
        <w:spacing w:after="0" w:line="360" w:lineRule="auto"/>
        <w:rPr>
          <w:rFonts w:ascii="Arial" w:hAnsi="Arial" w:cs="Arial"/>
        </w:rPr>
      </w:pPr>
      <w:r>
        <w:rPr>
          <w:rFonts w:ascii="Arial" w:hAnsi="Arial" w:cs="Arial"/>
        </w:rPr>
        <w:t>4.</w:t>
      </w:r>
      <w:r>
        <w:rPr>
          <w:rFonts w:ascii="Arial" w:hAnsi="Arial" w:cs="Arial"/>
        </w:rPr>
        <w:tab/>
        <w:t>AMENDMENT TO SECTION 62</w:t>
      </w:r>
    </w:p>
    <w:p w:rsidR="00DA36BE" w:rsidRPr="00113274" w:rsidRDefault="00DA36BE" w:rsidP="00DD3B15">
      <w:pPr>
        <w:spacing w:after="0" w:line="360" w:lineRule="auto"/>
        <w:rPr>
          <w:rFonts w:ascii="Arial" w:hAnsi="Arial" w:cs="Arial"/>
        </w:rPr>
      </w:pPr>
      <w:r>
        <w:rPr>
          <w:rFonts w:ascii="Arial" w:hAnsi="Arial" w:cs="Arial"/>
        </w:rPr>
        <w:t>4.1</w:t>
      </w:r>
      <w:r>
        <w:rPr>
          <w:rFonts w:ascii="Arial" w:hAnsi="Arial" w:cs="Arial"/>
        </w:rPr>
        <w:tab/>
        <w:t>An</w:t>
      </w:r>
      <w:r w:rsidRPr="00113274">
        <w:rPr>
          <w:rFonts w:ascii="Arial" w:hAnsi="Arial" w:cs="Arial"/>
        </w:rPr>
        <w:t xml:space="preserve"> insertion </w:t>
      </w:r>
      <w:r>
        <w:rPr>
          <w:rFonts w:ascii="Arial" w:hAnsi="Arial" w:cs="Arial"/>
        </w:rPr>
        <w:t xml:space="preserve">of the following subsection in section 62 of the Act is </w:t>
      </w:r>
      <w:r w:rsidR="00EF56E6">
        <w:rPr>
          <w:rFonts w:ascii="Arial" w:hAnsi="Arial" w:cs="Arial"/>
        </w:rPr>
        <w:t xml:space="preserve">proposed </w:t>
      </w:r>
      <w:r w:rsidR="00EF56E6">
        <w:rPr>
          <w:rFonts w:ascii="Arial" w:hAnsi="Arial" w:cs="Arial"/>
          <w:bCs/>
          <w:lang w:val="en-ZA"/>
        </w:rPr>
        <w:t>by the National Forum and the Attorneys Fidelity Fund</w:t>
      </w:r>
      <w:r>
        <w:rPr>
          <w:rFonts w:ascii="Arial" w:hAnsi="Arial" w:cs="Arial"/>
        </w:rPr>
        <w:t>:</w:t>
      </w:r>
    </w:p>
    <w:p w:rsidR="00DA36BE" w:rsidRPr="002D1F5B" w:rsidRDefault="00DA36BE" w:rsidP="00DD3B15">
      <w:pPr>
        <w:spacing w:after="0" w:line="360" w:lineRule="auto"/>
        <w:ind w:left="720"/>
        <w:rPr>
          <w:rFonts w:ascii="Arial" w:hAnsi="Arial" w:cs="Arial"/>
          <w:u w:val="single"/>
        </w:rPr>
      </w:pPr>
      <w:r w:rsidRPr="002D1F5B">
        <w:rPr>
          <w:rFonts w:ascii="Arial" w:hAnsi="Arial" w:cs="Arial"/>
          <w:u w:val="single"/>
        </w:rPr>
        <w:lastRenderedPageBreak/>
        <w:t>"(3)</w:t>
      </w:r>
      <w:r w:rsidRPr="002D1F5B">
        <w:rPr>
          <w:rFonts w:ascii="Arial" w:hAnsi="Arial" w:cs="Arial"/>
          <w:u w:val="single"/>
        </w:rPr>
        <w:tab/>
        <w:t>The members of the board of control of the Attorneys Fidelity Fund who hold office as members of that board at the date of commencement of Chapter 2 shall remain in office in that capacity as members of the Board for a period of six months after that date or until the members referred to in subsection (1)(a) have been elected, whichever occurs later.”.</w:t>
      </w:r>
    </w:p>
    <w:p w:rsidR="009140E8" w:rsidRDefault="009140E8" w:rsidP="00DD3B15">
      <w:pPr>
        <w:spacing w:after="0" w:line="360" w:lineRule="auto"/>
        <w:rPr>
          <w:rFonts w:ascii="Arial" w:hAnsi="Arial" w:cs="Arial"/>
        </w:rPr>
      </w:pPr>
    </w:p>
    <w:p w:rsidR="009140E8" w:rsidRDefault="009140E8" w:rsidP="00DD3B15">
      <w:pPr>
        <w:spacing w:after="0" w:line="360" w:lineRule="auto"/>
        <w:rPr>
          <w:rFonts w:ascii="Arial" w:hAnsi="Arial" w:cs="Arial"/>
          <w:bCs/>
          <w:lang w:val="en-ZA"/>
        </w:rPr>
      </w:pPr>
      <w:r>
        <w:rPr>
          <w:rFonts w:ascii="Arial" w:hAnsi="Arial" w:cs="Arial"/>
        </w:rPr>
        <w:t>4.2</w:t>
      </w:r>
      <w:r>
        <w:rPr>
          <w:rFonts w:ascii="Arial" w:hAnsi="Arial" w:cs="Arial"/>
        </w:rPr>
        <w:tab/>
      </w:r>
      <w:r>
        <w:rPr>
          <w:rFonts w:ascii="Arial" w:hAnsi="Arial" w:cs="Arial"/>
          <w:bCs/>
          <w:lang w:val="en-ZA"/>
        </w:rPr>
        <w:t>The Bill’s intention is to facilitate a smooth transition from the current dispensation to the new structures, specifically the Legal Practice Council, and to avoid implementation challenges that could be detrimental</w:t>
      </w:r>
      <w:r w:rsidR="00E4007D">
        <w:rPr>
          <w:rFonts w:ascii="Arial" w:hAnsi="Arial" w:cs="Arial"/>
          <w:bCs/>
          <w:lang w:val="en-ZA"/>
        </w:rPr>
        <w:t xml:space="preserve"> to the public or practitioners</w:t>
      </w:r>
      <w:r>
        <w:rPr>
          <w:rFonts w:ascii="Arial" w:hAnsi="Arial" w:cs="Arial"/>
          <w:bCs/>
          <w:lang w:val="en-ZA"/>
        </w:rPr>
        <w:t xml:space="preserve">. This proposed </w:t>
      </w:r>
      <w:r w:rsidR="00E4007D">
        <w:rPr>
          <w:rFonts w:ascii="Arial" w:hAnsi="Arial" w:cs="Arial"/>
          <w:bCs/>
          <w:lang w:val="en-ZA"/>
        </w:rPr>
        <w:t xml:space="preserve">amendment is consequential as it </w:t>
      </w:r>
      <w:r>
        <w:rPr>
          <w:rFonts w:ascii="Arial" w:hAnsi="Arial" w:cs="Arial"/>
          <w:bCs/>
          <w:lang w:val="en-ZA"/>
        </w:rPr>
        <w:t xml:space="preserve">relates to the smooth implementation and transition and it is submitted that the National Assembly’s permission in terms of Rule 249(1) of the </w:t>
      </w:r>
      <w:r w:rsidR="00E4007D">
        <w:rPr>
          <w:rFonts w:ascii="Arial" w:hAnsi="Arial" w:cs="Arial"/>
          <w:bCs/>
          <w:lang w:val="en-ZA"/>
        </w:rPr>
        <w:t xml:space="preserve">National </w:t>
      </w:r>
      <w:r>
        <w:rPr>
          <w:rFonts w:ascii="Arial" w:hAnsi="Arial" w:cs="Arial"/>
          <w:bCs/>
          <w:lang w:val="en-ZA"/>
        </w:rPr>
        <w:t>Assembly Rules will be unnecessary.</w:t>
      </w:r>
    </w:p>
    <w:p w:rsidR="00DA36BE" w:rsidRPr="00113274" w:rsidRDefault="00DA36BE" w:rsidP="00DD3B15">
      <w:pPr>
        <w:spacing w:after="0" w:line="360" w:lineRule="auto"/>
        <w:ind w:left="720"/>
        <w:rPr>
          <w:rFonts w:ascii="Arial" w:hAnsi="Arial" w:cs="Arial"/>
        </w:rPr>
      </w:pPr>
    </w:p>
    <w:p w:rsidR="00DA36BE" w:rsidRDefault="00DA36BE" w:rsidP="00DD3B15">
      <w:pPr>
        <w:spacing w:after="0" w:line="360" w:lineRule="auto"/>
        <w:rPr>
          <w:rFonts w:ascii="Arial" w:eastAsia="Calibri" w:hAnsi="Arial" w:cs="Arial"/>
        </w:rPr>
      </w:pPr>
      <w:r>
        <w:rPr>
          <w:rFonts w:ascii="Arial" w:eastAsia="Calibri" w:hAnsi="Arial" w:cs="Arial"/>
        </w:rPr>
        <w:t>4.</w:t>
      </w:r>
      <w:r w:rsidR="009140E8">
        <w:rPr>
          <w:rFonts w:ascii="Arial" w:eastAsia="Calibri" w:hAnsi="Arial" w:cs="Arial"/>
        </w:rPr>
        <w:t>3</w:t>
      </w:r>
      <w:r>
        <w:rPr>
          <w:rFonts w:ascii="Arial" w:eastAsia="Calibri" w:hAnsi="Arial" w:cs="Arial"/>
        </w:rPr>
        <w:tab/>
      </w:r>
      <w:r w:rsidRPr="00113274">
        <w:rPr>
          <w:rFonts w:ascii="Arial" w:eastAsia="Calibri" w:hAnsi="Arial" w:cs="Arial"/>
        </w:rPr>
        <w:t>The amendment is necessary to ensure a smooth transfer from the Board of Control of the Attorneys Fidelity Fund which will be in existence immediately before Chapter 2 of the Act commences (the “outgoing Board”), to the new Board of the Legal Practitioners’ Board of Control (the “new Board”) which will be constituted after the commencement of Chapter 2, in terms of section 62 of the Act.</w:t>
      </w:r>
      <w:r>
        <w:rPr>
          <w:rFonts w:ascii="Arial" w:eastAsia="Calibri" w:hAnsi="Arial" w:cs="Arial"/>
        </w:rPr>
        <w:t xml:space="preserve"> </w:t>
      </w:r>
      <w:r w:rsidRPr="00113274">
        <w:rPr>
          <w:rFonts w:ascii="Arial" w:eastAsia="Calibri" w:hAnsi="Arial" w:cs="Arial"/>
        </w:rPr>
        <w:t xml:space="preserve">Unless the outgoing Board remains in control for the interim period, the current wording of the Act will result in a situation where the Fund will not be managed and will </w:t>
      </w:r>
      <w:r>
        <w:rPr>
          <w:rFonts w:ascii="Arial" w:eastAsia="Calibri" w:hAnsi="Arial" w:cs="Arial"/>
        </w:rPr>
        <w:t xml:space="preserve">not be </w:t>
      </w:r>
      <w:r w:rsidRPr="00113274">
        <w:rPr>
          <w:rFonts w:ascii="Arial" w:eastAsia="Calibri" w:hAnsi="Arial" w:cs="Arial"/>
        </w:rPr>
        <w:t>able to function, to the serious detriment of the public, legal practitioners and other stakeholders. The outgoing Board will be in the best position to ensure the effective functioning of the Fund until the new Board is constituted.</w:t>
      </w:r>
    </w:p>
    <w:p w:rsidR="009140E8" w:rsidRDefault="009140E8" w:rsidP="00DD3B15">
      <w:pPr>
        <w:spacing w:after="0" w:line="360" w:lineRule="auto"/>
        <w:rPr>
          <w:rFonts w:ascii="Arial" w:eastAsia="Calibri" w:hAnsi="Arial" w:cs="Arial"/>
        </w:rPr>
      </w:pPr>
    </w:p>
    <w:p w:rsidR="009140E8" w:rsidRDefault="009140E8" w:rsidP="00DD3B15">
      <w:pPr>
        <w:spacing w:after="0" w:line="360" w:lineRule="auto"/>
        <w:rPr>
          <w:rFonts w:ascii="Arial" w:eastAsia="Calibri" w:hAnsi="Arial" w:cs="Arial"/>
        </w:rPr>
      </w:pPr>
      <w:r>
        <w:rPr>
          <w:rFonts w:ascii="Arial" w:eastAsia="Calibri" w:hAnsi="Arial" w:cs="Arial"/>
        </w:rPr>
        <w:t>5.</w:t>
      </w:r>
      <w:r>
        <w:rPr>
          <w:rFonts w:ascii="Arial" w:eastAsia="Calibri" w:hAnsi="Arial" w:cs="Arial"/>
        </w:rPr>
        <w:tab/>
        <w:t xml:space="preserve">AMENDMENT TO SECTION 85 </w:t>
      </w:r>
    </w:p>
    <w:p w:rsidR="009140E8" w:rsidRPr="00113274" w:rsidRDefault="009140E8" w:rsidP="00DD3B15">
      <w:pPr>
        <w:spacing w:after="0" w:line="360" w:lineRule="auto"/>
        <w:rPr>
          <w:rFonts w:ascii="Arial" w:hAnsi="Arial" w:cs="Arial"/>
        </w:rPr>
      </w:pPr>
      <w:r>
        <w:rPr>
          <w:rFonts w:ascii="Arial" w:eastAsia="Calibri" w:hAnsi="Arial" w:cs="Arial"/>
        </w:rPr>
        <w:t>5</w:t>
      </w:r>
      <w:r w:rsidR="00DA36BE">
        <w:rPr>
          <w:rFonts w:ascii="Arial" w:eastAsia="Calibri" w:hAnsi="Arial" w:cs="Arial"/>
        </w:rPr>
        <w:t>.</w:t>
      </w:r>
      <w:r>
        <w:rPr>
          <w:rFonts w:ascii="Arial" w:eastAsia="Calibri" w:hAnsi="Arial" w:cs="Arial"/>
        </w:rPr>
        <w:t>1</w:t>
      </w:r>
      <w:r w:rsidR="00DA36BE">
        <w:rPr>
          <w:rFonts w:ascii="Arial" w:eastAsia="Calibri" w:hAnsi="Arial" w:cs="Arial"/>
        </w:rPr>
        <w:tab/>
      </w:r>
      <w:r w:rsidRPr="00113274">
        <w:rPr>
          <w:rFonts w:ascii="Arial" w:hAnsi="Arial" w:cs="Arial"/>
        </w:rPr>
        <w:t>An amendment to section 85(6</w:t>
      </w:r>
      <w:proofErr w:type="gramStart"/>
      <w:r w:rsidRPr="00113274">
        <w:rPr>
          <w:rFonts w:ascii="Arial" w:hAnsi="Arial" w:cs="Arial"/>
        </w:rPr>
        <w:t>)(</w:t>
      </w:r>
      <w:proofErr w:type="gramEnd"/>
      <w:r w:rsidRPr="00113274">
        <w:rPr>
          <w:rFonts w:ascii="Arial" w:hAnsi="Arial" w:cs="Arial"/>
        </w:rPr>
        <w:t>c) of the Act is proposed</w:t>
      </w:r>
      <w:r w:rsidR="00EF56E6" w:rsidRPr="00EF56E6">
        <w:rPr>
          <w:rFonts w:ascii="Arial" w:hAnsi="Arial" w:cs="Arial"/>
          <w:bCs/>
          <w:lang w:val="en-ZA"/>
        </w:rPr>
        <w:t xml:space="preserve"> </w:t>
      </w:r>
      <w:r w:rsidR="00EF56E6">
        <w:rPr>
          <w:rFonts w:ascii="Arial" w:hAnsi="Arial" w:cs="Arial"/>
          <w:bCs/>
          <w:lang w:val="en-ZA"/>
        </w:rPr>
        <w:t>by the National Forum</w:t>
      </w:r>
      <w:r w:rsidRPr="00113274">
        <w:rPr>
          <w:rFonts w:ascii="Arial" w:hAnsi="Arial" w:cs="Arial"/>
        </w:rPr>
        <w:t xml:space="preserve">. </w:t>
      </w:r>
      <w:r>
        <w:rPr>
          <w:rFonts w:ascii="Arial" w:hAnsi="Arial" w:cs="Arial"/>
        </w:rPr>
        <w:t>Section 85 deals with the application for and issue of Fidelity Fund certificates.  Section 85(6</w:t>
      </w:r>
      <w:proofErr w:type="gramStart"/>
      <w:r>
        <w:rPr>
          <w:rFonts w:ascii="Arial" w:hAnsi="Arial" w:cs="Arial"/>
        </w:rPr>
        <w:t>)(</w:t>
      </w:r>
      <w:proofErr w:type="gramEnd"/>
      <w:r>
        <w:rPr>
          <w:rFonts w:ascii="Arial" w:hAnsi="Arial" w:cs="Arial"/>
        </w:rPr>
        <w:t xml:space="preserve">c) states that the Council must issue a Fidelity Fund certificate to an applicant if the person applying for a certificate has “discharged all liabilities in respect of enrolment fees”. </w:t>
      </w:r>
      <w:r w:rsidRPr="00113274">
        <w:rPr>
          <w:rFonts w:ascii="Arial" w:hAnsi="Arial" w:cs="Arial"/>
        </w:rPr>
        <w:t xml:space="preserve">The paragraph currently only refers to </w:t>
      </w:r>
      <w:r>
        <w:rPr>
          <w:rFonts w:ascii="Arial" w:hAnsi="Arial" w:cs="Arial"/>
        </w:rPr>
        <w:t>“</w:t>
      </w:r>
      <w:r w:rsidRPr="00113274">
        <w:rPr>
          <w:rFonts w:ascii="Arial" w:hAnsi="Arial" w:cs="Arial"/>
        </w:rPr>
        <w:t>enrolment fees</w:t>
      </w:r>
      <w:r>
        <w:rPr>
          <w:rFonts w:ascii="Arial" w:hAnsi="Arial" w:cs="Arial"/>
        </w:rPr>
        <w:t>”</w:t>
      </w:r>
      <w:r w:rsidRPr="00113274">
        <w:rPr>
          <w:rFonts w:ascii="Arial" w:hAnsi="Arial" w:cs="Arial"/>
        </w:rPr>
        <w:t xml:space="preserve"> and it is proposed that “fees, levies, charges and contributions payable by the legal practitioner concerned in terms of this Act" be added.</w:t>
      </w:r>
    </w:p>
    <w:p w:rsidR="009140E8" w:rsidRPr="00113274" w:rsidRDefault="009140E8" w:rsidP="00DD3B15">
      <w:pPr>
        <w:spacing w:after="0" w:line="360" w:lineRule="auto"/>
        <w:rPr>
          <w:rFonts w:ascii="Arial" w:hAnsi="Arial" w:cs="Arial"/>
        </w:rPr>
      </w:pPr>
    </w:p>
    <w:p w:rsidR="009140E8" w:rsidRDefault="009140E8" w:rsidP="00DD3B15">
      <w:pPr>
        <w:spacing w:after="0" w:line="360" w:lineRule="auto"/>
        <w:rPr>
          <w:rFonts w:ascii="Arial" w:eastAsia="Calibri" w:hAnsi="Arial" w:cs="Arial"/>
        </w:rPr>
      </w:pPr>
      <w:r>
        <w:rPr>
          <w:rFonts w:ascii="Arial" w:hAnsi="Arial" w:cs="Arial"/>
        </w:rPr>
        <w:t>5.2</w:t>
      </w:r>
      <w:r>
        <w:rPr>
          <w:rFonts w:ascii="Arial" w:hAnsi="Arial" w:cs="Arial"/>
        </w:rPr>
        <w:tab/>
      </w:r>
      <w:r>
        <w:rPr>
          <w:rFonts w:ascii="Arial" w:eastAsia="Calibri" w:hAnsi="Arial" w:cs="Arial"/>
        </w:rPr>
        <w:t xml:space="preserve">This proposed amendment does not directly relate to transition and implementation of the Council.  Due to the statutory deadline of 1 February 2018 and the fact that this amendment would possibly require the </w:t>
      </w:r>
      <w:r w:rsidR="00E4007D">
        <w:rPr>
          <w:rFonts w:ascii="Arial" w:eastAsia="Calibri" w:hAnsi="Arial" w:cs="Arial"/>
        </w:rPr>
        <w:t xml:space="preserve">National </w:t>
      </w:r>
      <w:r>
        <w:rPr>
          <w:rFonts w:ascii="Arial" w:eastAsia="Calibri" w:hAnsi="Arial" w:cs="Arial"/>
        </w:rPr>
        <w:t>Assembly’s permission, it is submitted that it should be dealt with at a later stage.</w:t>
      </w:r>
    </w:p>
    <w:p w:rsidR="00DA36BE" w:rsidRDefault="00DA36BE" w:rsidP="00DD3B15">
      <w:pPr>
        <w:spacing w:after="0" w:line="360" w:lineRule="auto"/>
        <w:rPr>
          <w:rFonts w:ascii="Arial" w:hAnsi="Arial" w:cs="Arial"/>
          <w:bCs/>
          <w:lang w:val="en-ZA"/>
        </w:rPr>
      </w:pPr>
    </w:p>
    <w:p w:rsidR="009140E8" w:rsidRDefault="009140E8" w:rsidP="00DD3B15">
      <w:pPr>
        <w:spacing w:after="0" w:line="360" w:lineRule="auto"/>
        <w:rPr>
          <w:rFonts w:ascii="Arial" w:hAnsi="Arial" w:cs="Arial"/>
          <w:bCs/>
          <w:lang w:val="en-ZA"/>
        </w:rPr>
      </w:pPr>
      <w:r>
        <w:rPr>
          <w:rFonts w:ascii="Arial" w:hAnsi="Arial" w:cs="Arial"/>
          <w:bCs/>
          <w:lang w:val="en-ZA"/>
        </w:rPr>
        <w:t>6.</w:t>
      </w:r>
      <w:r>
        <w:rPr>
          <w:rFonts w:ascii="Arial" w:hAnsi="Arial" w:cs="Arial"/>
          <w:bCs/>
          <w:lang w:val="en-ZA"/>
        </w:rPr>
        <w:tab/>
        <w:t xml:space="preserve">AMENDMENT TO SECTION </w:t>
      </w:r>
      <w:r w:rsidR="00A017C6">
        <w:rPr>
          <w:rFonts w:ascii="Arial" w:hAnsi="Arial" w:cs="Arial"/>
          <w:bCs/>
          <w:lang w:val="en-ZA"/>
        </w:rPr>
        <w:t>114</w:t>
      </w:r>
    </w:p>
    <w:p w:rsidR="00A017C6" w:rsidRDefault="00A017C6" w:rsidP="00DD3B15">
      <w:pPr>
        <w:spacing w:after="0" w:line="360" w:lineRule="auto"/>
        <w:rPr>
          <w:rFonts w:ascii="Arial" w:hAnsi="Arial" w:cs="Arial"/>
        </w:rPr>
      </w:pPr>
      <w:r>
        <w:rPr>
          <w:rFonts w:ascii="Arial" w:hAnsi="Arial" w:cs="Arial"/>
          <w:bCs/>
          <w:lang w:val="en-ZA"/>
        </w:rPr>
        <w:t>6.1</w:t>
      </w:r>
      <w:r>
        <w:rPr>
          <w:rFonts w:ascii="Arial" w:hAnsi="Arial" w:cs="Arial"/>
          <w:bCs/>
          <w:lang w:val="en-ZA"/>
        </w:rPr>
        <w:tab/>
      </w:r>
      <w:r w:rsidR="00EF56E6">
        <w:rPr>
          <w:rFonts w:ascii="Arial" w:hAnsi="Arial" w:cs="Arial"/>
          <w:bCs/>
          <w:lang w:val="en-ZA"/>
        </w:rPr>
        <w:t>The National Forum</w:t>
      </w:r>
      <w:r w:rsidR="00EF56E6" w:rsidRPr="00113274">
        <w:rPr>
          <w:rFonts w:ascii="Arial" w:hAnsi="Arial" w:cs="Arial"/>
        </w:rPr>
        <w:t xml:space="preserve"> </w:t>
      </w:r>
      <w:r w:rsidR="00EF56E6">
        <w:rPr>
          <w:rFonts w:ascii="Arial" w:hAnsi="Arial" w:cs="Arial"/>
        </w:rPr>
        <w:t>and the Law Societies of South Africa propose</w:t>
      </w:r>
      <w:r w:rsidRPr="00113274">
        <w:rPr>
          <w:rFonts w:ascii="Arial" w:hAnsi="Arial" w:cs="Arial"/>
        </w:rPr>
        <w:t xml:space="preserve"> the in</w:t>
      </w:r>
      <w:r>
        <w:rPr>
          <w:rFonts w:ascii="Arial" w:hAnsi="Arial" w:cs="Arial"/>
        </w:rPr>
        <w:t>sertion of a new section 114(5) as set out below.  Section 114 deals with transitional provisions relating to existing advocates, attorneys, conveyancers and notaries.</w:t>
      </w:r>
    </w:p>
    <w:p w:rsidR="00A017C6" w:rsidRPr="00113274" w:rsidRDefault="00A017C6" w:rsidP="00DD3B15">
      <w:pPr>
        <w:spacing w:after="0" w:line="360" w:lineRule="auto"/>
        <w:ind w:left="720"/>
        <w:rPr>
          <w:rFonts w:ascii="Arial" w:hAnsi="Arial" w:cs="Arial"/>
        </w:rPr>
      </w:pPr>
      <w:r w:rsidRPr="00113274">
        <w:rPr>
          <w:rFonts w:ascii="Arial" w:hAnsi="Arial" w:cs="Arial"/>
        </w:rPr>
        <w:t>"</w:t>
      </w:r>
      <w:r w:rsidRPr="002D1F5B">
        <w:rPr>
          <w:rFonts w:ascii="Arial" w:hAnsi="Arial" w:cs="Arial"/>
          <w:u w:val="single"/>
        </w:rPr>
        <w:t>Every attorney who, on the date referred to in section 120(4), has the right of appearance in the High Court, the Supreme Court of Appeal or the Constitutional Court in terms of any law retains that right after the commencement of this Act</w:t>
      </w:r>
      <w:r w:rsidRPr="00113274">
        <w:rPr>
          <w:rFonts w:ascii="Arial" w:hAnsi="Arial" w:cs="Arial"/>
        </w:rPr>
        <w:t>.”.</w:t>
      </w:r>
    </w:p>
    <w:p w:rsidR="00A017C6" w:rsidRPr="00113274" w:rsidRDefault="00A017C6" w:rsidP="00DD3B15">
      <w:pPr>
        <w:spacing w:after="0" w:line="360" w:lineRule="auto"/>
        <w:ind w:left="720"/>
        <w:rPr>
          <w:rFonts w:ascii="Arial" w:hAnsi="Arial" w:cs="Arial"/>
        </w:rPr>
      </w:pPr>
    </w:p>
    <w:p w:rsidR="00A017C6" w:rsidRDefault="00A017C6" w:rsidP="00DD3B15">
      <w:pPr>
        <w:spacing w:after="0" w:line="360" w:lineRule="auto"/>
        <w:rPr>
          <w:rFonts w:ascii="Arial" w:hAnsi="Arial" w:cs="Arial"/>
        </w:rPr>
      </w:pPr>
      <w:r>
        <w:rPr>
          <w:rFonts w:ascii="Arial" w:hAnsi="Arial" w:cs="Arial"/>
        </w:rPr>
        <w:t>6.2</w:t>
      </w:r>
      <w:r>
        <w:rPr>
          <w:rFonts w:ascii="Arial" w:hAnsi="Arial" w:cs="Arial"/>
        </w:rPr>
        <w:tab/>
      </w:r>
      <w:r w:rsidRPr="00113274">
        <w:rPr>
          <w:rFonts w:ascii="Arial" w:hAnsi="Arial" w:cs="Arial"/>
        </w:rPr>
        <w:t>Th</w:t>
      </w:r>
      <w:r>
        <w:rPr>
          <w:rFonts w:ascii="Arial" w:hAnsi="Arial" w:cs="Arial"/>
        </w:rPr>
        <w:t>e National</w:t>
      </w:r>
      <w:r w:rsidRPr="00113274">
        <w:rPr>
          <w:rFonts w:ascii="Arial" w:hAnsi="Arial" w:cs="Arial"/>
        </w:rPr>
        <w:t xml:space="preserve"> Forum states that the amendment is necessary in order to confirm the existing rights of appearance of attorneys in the High Court, the Supreme Court of Appeal or the Constitutional Court by virtue of the Admission of Legal Practitioners Act, 1995 (Act 33 of 1995) (which is to be repealed by s119 of the principal Act).</w:t>
      </w:r>
      <w:r>
        <w:rPr>
          <w:rFonts w:ascii="Arial" w:hAnsi="Arial" w:cs="Arial"/>
        </w:rPr>
        <w:t xml:space="preserve"> </w:t>
      </w:r>
      <w:r w:rsidRPr="00113274">
        <w:rPr>
          <w:rFonts w:ascii="Arial" w:hAnsi="Arial" w:cs="Arial"/>
        </w:rPr>
        <w:t xml:space="preserve">Section 114 of the Act currently does not provide for the recognition of the right attorneys currently have, some with </w:t>
      </w:r>
      <w:proofErr w:type="spellStart"/>
      <w:r w:rsidRPr="00113274">
        <w:rPr>
          <w:rFonts w:ascii="Arial" w:hAnsi="Arial" w:cs="Arial"/>
        </w:rPr>
        <w:t>B.Proc</w:t>
      </w:r>
      <w:proofErr w:type="spellEnd"/>
      <w:r w:rsidRPr="00113274">
        <w:rPr>
          <w:rFonts w:ascii="Arial" w:hAnsi="Arial" w:cs="Arial"/>
        </w:rPr>
        <w:t xml:space="preserve"> degrees.</w:t>
      </w:r>
      <w:r w:rsidR="00E4007D">
        <w:rPr>
          <w:rFonts w:ascii="Arial" w:hAnsi="Arial" w:cs="Arial"/>
        </w:rPr>
        <w:t xml:space="preserve"> It will be detrimental to the clients if an attorney suddenly after commencement of Chapter 2 does not have right of appearance any longer. </w:t>
      </w:r>
    </w:p>
    <w:p w:rsidR="00A017C6" w:rsidRDefault="00A017C6" w:rsidP="00DD3B15">
      <w:pPr>
        <w:spacing w:after="0" w:line="360" w:lineRule="auto"/>
        <w:rPr>
          <w:rFonts w:ascii="Arial" w:hAnsi="Arial" w:cs="Arial"/>
        </w:rPr>
      </w:pPr>
    </w:p>
    <w:p w:rsidR="00A017C6" w:rsidRDefault="00A017C6" w:rsidP="00DD3B15">
      <w:pPr>
        <w:spacing w:after="0" w:line="360" w:lineRule="auto"/>
        <w:rPr>
          <w:rFonts w:ascii="Arial" w:hAnsi="Arial" w:cs="Arial"/>
          <w:bCs/>
          <w:lang w:val="en-ZA"/>
        </w:rPr>
      </w:pPr>
      <w:r>
        <w:rPr>
          <w:rFonts w:ascii="Arial" w:hAnsi="Arial" w:cs="Arial"/>
        </w:rPr>
        <w:t>6.3</w:t>
      </w:r>
      <w:r>
        <w:rPr>
          <w:rFonts w:ascii="Arial" w:hAnsi="Arial" w:cs="Arial"/>
        </w:rPr>
        <w:tab/>
      </w:r>
      <w:r>
        <w:rPr>
          <w:rFonts w:ascii="Arial" w:hAnsi="Arial" w:cs="Arial"/>
          <w:bCs/>
          <w:lang w:val="en-ZA"/>
        </w:rPr>
        <w:t>The Bill’s intention is to facilitate a smooth transition from the current dispensation to the new structures, and to avoid implementation challenges that could be detrimental. This proposed amendment relates to the smooth implementation and transition and it is submitted that the National Assembly’s permission in terms of Rule 249(1) of the</w:t>
      </w:r>
      <w:r w:rsidR="00DD3B15">
        <w:rPr>
          <w:rFonts w:ascii="Arial" w:hAnsi="Arial" w:cs="Arial"/>
          <w:bCs/>
          <w:lang w:val="en-ZA"/>
        </w:rPr>
        <w:t xml:space="preserve"> National</w:t>
      </w:r>
      <w:r>
        <w:rPr>
          <w:rFonts w:ascii="Arial" w:hAnsi="Arial" w:cs="Arial"/>
          <w:bCs/>
          <w:lang w:val="en-ZA"/>
        </w:rPr>
        <w:t xml:space="preserve"> Assembly Rules will be unnecessary.</w:t>
      </w:r>
    </w:p>
    <w:p w:rsidR="00A017C6" w:rsidRDefault="00A017C6" w:rsidP="00DD3B15">
      <w:pPr>
        <w:spacing w:after="0" w:line="360" w:lineRule="auto"/>
        <w:rPr>
          <w:rFonts w:ascii="Arial" w:hAnsi="Arial" w:cs="Arial"/>
          <w:bCs/>
          <w:lang w:val="en-ZA"/>
        </w:rPr>
      </w:pPr>
    </w:p>
    <w:p w:rsidR="00A017C6" w:rsidRDefault="00A017C6" w:rsidP="00DD3B15">
      <w:pPr>
        <w:spacing w:after="0" w:line="360" w:lineRule="auto"/>
        <w:jc w:val="center"/>
        <w:rPr>
          <w:rFonts w:ascii="Arial" w:hAnsi="Arial" w:cs="Arial"/>
          <w:b/>
          <w:bCs/>
          <w:sz w:val="28"/>
          <w:szCs w:val="28"/>
          <w:lang w:val="en-ZA"/>
        </w:rPr>
      </w:pPr>
      <w:r w:rsidRPr="00DD3B15">
        <w:rPr>
          <w:rFonts w:ascii="Arial" w:hAnsi="Arial" w:cs="Arial"/>
          <w:b/>
          <w:bCs/>
          <w:sz w:val="28"/>
          <w:szCs w:val="28"/>
          <w:lang w:val="en-ZA"/>
        </w:rPr>
        <w:t>ADDITIONAL PROPOSAL</w:t>
      </w:r>
      <w:r w:rsidR="00E9470F">
        <w:rPr>
          <w:rFonts w:ascii="Arial" w:hAnsi="Arial" w:cs="Arial"/>
          <w:b/>
          <w:bCs/>
          <w:sz w:val="28"/>
          <w:szCs w:val="28"/>
          <w:lang w:val="en-ZA"/>
        </w:rPr>
        <w:t xml:space="preserve"> </w:t>
      </w:r>
    </w:p>
    <w:p w:rsidR="00DD3B15" w:rsidRPr="00DD3B15" w:rsidRDefault="00DD3B15" w:rsidP="00DD3B15">
      <w:pPr>
        <w:spacing w:after="0" w:line="360" w:lineRule="auto"/>
        <w:jc w:val="center"/>
        <w:rPr>
          <w:rFonts w:ascii="Arial" w:hAnsi="Arial" w:cs="Arial"/>
          <w:b/>
          <w:bCs/>
          <w:sz w:val="28"/>
          <w:szCs w:val="28"/>
          <w:lang w:val="en-ZA"/>
        </w:rPr>
      </w:pPr>
    </w:p>
    <w:p w:rsidR="00A017C6" w:rsidRDefault="00A017C6" w:rsidP="00DD3B15">
      <w:pPr>
        <w:spacing w:after="0" w:line="360" w:lineRule="auto"/>
        <w:rPr>
          <w:rFonts w:ascii="Arial" w:hAnsi="Arial" w:cs="Arial"/>
          <w:bCs/>
          <w:lang w:val="en-ZA"/>
        </w:rPr>
      </w:pPr>
      <w:r>
        <w:rPr>
          <w:rFonts w:ascii="Arial" w:hAnsi="Arial" w:cs="Arial"/>
          <w:bCs/>
          <w:lang w:val="en-ZA"/>
        </w:rPr>
        <w:t>7.</w:t>
      </w:r>
      <w:r>
        <w:rPr>
          <w:rFonts w:ascii="Arial" w:hAnsi="Arial" w:cs="Arial"/>
          <w:bCs/>
          <w:lang w:val="en-ZA"/>
        </w:rPr>
        <w:tab/>
        <w:t>AMENDMENT TO SECTION 120</w:t>
      </w:r>
    </w:p>
    <w:p w:rsidR="00DD3B15" w:rsidRDefault="00DD3B15" w:rsidP="00DD3B15">
      <w:pPr>
        <w:spacing w:after="0" w:line="360" w:lineRule="auto"/>
        <w:rPr>
          <w:rFonts w:ascii="Arial" w:hAnsi="Arial" w:cs="Arial"/>
          <w:bCs/>
          <w:lang w:val="en-ZA"/>
        </w:rPr>
      </w:pPr>
    </w:p>
    <w:p w:rsidR="00A017C6" w:rsidRPr="00A017C6" w:rsidRDefault="00DD3B15" w:rsidP="00DD3B15">
      <w:pPr>
        <w:spacing w:after="0" w:line="360" w:lineRule="auto"/>
        <w:rPr>
          <w:rFonts w:ascii="Arial" w:hAnsi="Arial" w:cs="Arial"/>
          <w:bCs/>
          <w:lang w:val="en-ZA"/>
        </w:rPr>
      </w:pPr>
      <w:r>
        <w:rPr>
          <w:rFonts w:ascii="Arial" w:hAnsi="Arial" w:cs="Arial"/>
          <w:bCs/>
          <w:lang w:val="en-ZA"/>
        </w:rPr>
        <w:t>7.1</w:t>
      </w:r>
      <w:r>
        <w:rPr>
          <w:rFonts w:ascii="Arial" w:hAnsi="Arial" w:cs="Arial"/>
          <w:bCs/>
          <w:lang w:val="en-ZA"/>
        </w:rPr>
        <w:tab/>
      </w:r>
      <w:r w:rsidR="00A017C6">
        <w:rPr>
          <w:rFonts w:ascii="Arial" w:hAnsi="Arial" w:cs="Arial"/>
          <w:bCs/>
          <w:lang w:val="en-ZA"/>
        </w:rPr>
        <w:t xml:space="preserve">It is proposed </w:t>
      </w:r>
      <w:r w:rsidR="00E9470F">
        <w:rPr>
          <w:rFonts w:ascii="Arial" w:hAnsi="Arial" w:cs="Arial"/>
          <w:bCs/>
          <w:lang w:val="en-ZA"/>
        </w:rPr>
        <w:t xml:space="preserve">by the Department that </w:t>
      </w:r>
      <w:r w:rsidR="00A017C6" w:rsidRPr="00A017C6">
        <w:rPr>
          <w:rFonts w:ascii="Arial" w:hAnsi="Arial" w:cs="Arial"/>
          <w:bCs/>
          <w:lang w:val="en-ZA"/>
        </w:rPr>
        <w:t>section 120(3)</w:t>
      </w:r>
      <w:r w:rsidR="00E9470F">
        <w:rPr>
          <w:rFonts w:ascii="Arial" w:hAnsi="Arial" w:cs="Arial"/>
          <w:bCs/>
          <w:lang w:val="en-ZA"/>
        </w:rPr>
        <w:t xml:space="preserve"> </w:t>
      </w:r>
      <w:r w:rsidR="00A017C6" w:rsidRPr="00A017C6">
        <w:rPr>
          <w:rFonts w:ascii="Arial" w:hAnsi="Arial" w:cs="Arial"/>
          <w:bCs/>
          <w:lang w:val="en-ZA"/>
        </w:rPr>
        <w:t>be amended as follows:</w:t>
      </w:r>
    </w:p>
    <w:p w:rsidR="00A017C6" w:rsidRPr="00A017C6" w:rsidRDefault="00A017C6" w:rsidP="00E9470F">
      <w:pPr>
        <w:spacing w:after="0" w:line="360" w:lineRule="auto"/>
        <w:ind w:left="720"/>
        <w:rPr>
          <w:rFonts w:ascii="Arial" w:hAnsi="Arial" w:cs="Arial"/>
          <w:bCs/>
          <w:lang w:val="en-ZA"/>
        </w:rPr>
      </w:pPr>
      <w:r w:rsidRPr="00A017C6">
        <w:rPr>
          <w:rFonts w:ascii="Arial" w:hAnsi="Arial" w:cs="Arial"/>
          <w:bCs/>
          <w:lang w:val="en-ZA"/>
        </w:rPr>
        <w:t xml:space="preserve">“Chapter 2 comes into operation </w:t>
      </w:r>
      <w:r w:rsidRPr="00DD3B15">
        <w:rPr>
          <w:rFonts w:ascii="Arial" w:hAnsi="Arial" w:cs="Arial"/>
          <w:b/>
          <w:bCs/>
          <w:lang w:val="en-ZA"/>
        </w:rPr>
        <w:t>[three years after the date of commencement of Chapter 10 or]</w:t>
      </w:r>
      <w:r w:rsidRPr="00A017C6">
        <w:rPr>
          <w:rFonts w:ascii="Arial" w:hAnsi="Arial" w:cs="Arial"/>
          <w:bCs/>
          <w:lang w:val="en-ZA"/>
        </w:rPr>
        <w:t xml:space="preserve"> on any </w:t>
      </w:r>
      <w:r w:rsidRPr="00DD3B15">
        <w:rPr>
          <w:rFonts w:ascii="Arial" w:hAnsi="Arial" w:cs="Arial"/>
          <w:b/>
          <w:bCs/>
          <w:lang w:val="en-ZA"/>
        </w:rPr>
        <w:t>[earlier]</w:t>
      </w:r>
      <w:r w:rsidRPr="00A017C6">
        <w:rPr>
          <w:rFonts w:ascii="Arial" w:hAnsi="Arial" w:cs="Arial"/>
          <w:bCs/>
          <w:lang w:val="en-ZA"/>
        </w:rPr>
        <w:t xml:space="preserve"> date fixed by the President by proclamation in the </w:t>
      </w:r>
      <w:r w:rsidRPr="00DD3B15">
        <w:rPr>
          <w:rFonts w:ascii="Arial" w:hAnsi="Arial" w:cs="Arial"/>
          <w:bCs/>
          <w:i/>
          <w:lang w:val="en-ZA"/>
        </w:rPr>
        <w:t>Gazette</w:t>
      </w:r>
      <w:r w:rsidRPr="00A017C6">
        <w:rPr>
          <w:rFonts w:ascii="Arial" w:hAnsi="Arial" w:cs="Arial"/>
          <w:bCs/>
          <w:lang w:val="en-ZA"/>
        </w:rPr>
        <w:t>.</w:t>
      </w:r>
      <w:proofErr w:type="gramStart"/>
      <w:r w:rsidRPr="00A017C6">
        <w:rPr>
          <w:rFonts w:ascii="Arial" w:hAnsi="Arial" w:cs="Arial"/>
          <w:bCs/>
          <w:lang w:val="en-ZA"/>
        </w:rPr>
        <w:t>”.</w:t>
      </w:r>
      <w:proofErr w:type="gramEnd"/>
    </w:p>
    <w:p w:rsidR="00A017C6" w:rsidRPr="00A017C6" w:rsidRDefault="00A017C6" w:rsidP="00DD3B15">
      <w:pPr>
        <w:spacing w:after="0" w:line="360" w:lineRule="auto"/>
        <w:rPr>
          <w:rFonts w:ascii="Arial" w:hAnsi="Arial" w:cs="Arial"/>
          <w:bCs/>
          <w:lang w:val="en-ZA"/>
        </w:rPr>
      </w:pPr>
    </w:p>
    <w:p w:rsidR="00A017C6" w:rsidRDefault="00DD3B15" w:rsidP="00DD3B15">
      <w:pPr>
        <w:spacing w:after="0" w:line="360" w:lineRule="auto"/>
        <w:rPr>
          <w:rFonts w:ascii="Arial" w:hAnsi="Arial" w:cs="Arial"/>
          <w:bCs/>
          <w:lang w:val="en-ZA"/>
        </w:rPr>
      </w:pPr>
      <w:r>
        <w:rPr>
          <w:rFonts w:ascii="Arial" w:hAnsi="Arial" w:cs="Arial"/>
          <w:bCs/>
          <w:lang w:val="en-ZA"/>
        </w:rPr>
        <w:t>7</w:t>
      </w:r>
      <w:r w:rsidR="00A017C6" w:rsidRPr="00A017C6">
        <w:rPr>
          <w:rFonts w:ascii="Arial" w:hAnsi="Arial" w:cs="Arial"/>
          <w:bCs/>
          <w:lang w:val="en-ZA"/>
        </w:rPr>
        <w:t>.2</w:t>
      </w:r>
      <w:r w:rsidR="00A017C6" w:rsidRPr="00A017C6">
        <w:rPr>
          <w:rFonts w:ascii="Arial" w:hAnsi="Arial" w:cs="Arial"/>
          <w:bCs/>
          <w:lang w:val="en-ZA"/>
        </w:rPr>
        <w:tab/>
        <w:t xml:space="preserve">Due to circumstances beyond control of the Minister and the Department the statutory date of 1 February 2018 might be difficult to attain. The Department will be hard pushed to prepare regulations on the strength of recommendations made by the National Forum as contemplated in section 97(1) of the Act, read with section 109, before 1 February 2018 when Chapter 2 of the Act comes into operation, more particularly because the recommendations </w:t>
      </w:r>
      <w:r w:rsidR="00E4007D">
        <w:rPr>
          <w:rFonts w:ascii="Arial" w:hAnsi="Arial" w:cs="Arial"/>
          <w:bCs/>
          <w:lang w:val="en-ZA"/>
        </w:rPr>
        <w:t>will</w:t>
      </w:r>
      <w:r w:rsidR="00A017C6" w:rsidRPr="00A017C6">
        <w:rPr>
          <w:rFonts w:ascii="Arial" w:hAnsi="Arial" w:cs="Arial"/>
          <w:bCs/>
          <w:lang w:val="en-ZA"/>
        </w:rPr>
        <w:t xml:space="preserve"> be received from the National Forum at the end of </w:t>
      </w:r>
      <w:r w:rsidR="00E4007D">
        <w:rPr>
          <w:rFonts w:ascii="Arial" w:hAnsi="Arial" w:cs="Arial"/>
          <w:bCs/>
          <w:lang w:val="en-ZA"/>
        </w:rPr>
        <w:t>October</w:t>
      </w:r>
      <w:r w:rsidR="00A017C6" w:rsidRPr="00A017C6">
        <w:rPr>
          <w:rFonts w:ascii="Arial" w:hAnsi="Arial" w:cs="Arial"/>
          <w:bCs/>
          <w:lang w:val="en-ZA"/>
        </w:rPr>
        <w:t xml:space="preserve"> 2017.  The processes required to be followed in promoting the regulations and the fact that the regulations must be approved by Parliament before they can be promulgated, suggest that the deadline of 1 February 2018 will not be met. This proposed amendment therefore will address this practical reality and contribute to a smoother transition and commencement of the Act.</w:t>
      </w:r>
    </w:p>
    <w:p w:rsidR="00DD3B15" w:rsidRDefault="00DD3B15" w:rsidP="00DD3B15">
      <w:pPr>
        <w:spacing w:after="0" w:line="360" w:lineRule="auto"/>
        <w:rPr>
          <w:rFonts w:ascii="Arial" w:hAnsi="Arial" w:cs="Arial"/>
          <w:bCs/>
          <w:lang w:val="en-ZA"/>
        </w:rPr>
      </w:pPr>
    </w:p>
    <w:p w:rsidR="00DD3B15" w:rsidRDefault="00DD3B15" w:rsidP="00DD3B15">
      <w:pPr>
        <w:spacing w:after="0" w:line="360" w:lineRule="auto"/>
        <w:rPr>
          <w:rFonts w:ascii="Arial" w:hAnsi="Arial" w:cs="Arial"/>
          <w:bCs/>
          <w:lang w:val="en-ZA"/>
        </w:rPr>
      </w:pPr>
      <w:r>
        <w:rPr>
          <w:rFonts w:ascii="Arial" w:hAnsi="Arial" w:cs="Arial"/>
          <w:bCs/>
          <w:lang w:val="en-ZA"/>
        </w:rPr>
        <w:t>7.3</w:t>
      </w:r>
      <w:r>
        <w:rPr>
          <w:rFonts w:ascii="Arial" w:hAnsi="Arial" w:cs="Arial"/>
          <w:bCs/>
          <w:lang w:val="en-ZA"/>
        </w:rPr>
        <w:tab/>
        <w:t>This proposed amendment has a direct bearing on transition. The Bill’s intention is to facilitate a smooth transition from the current dispensation to the new structures, specifically the Legal Practice Council, and to avoid implementation challenges that could be detrimental. This proposed amendment relates to the smooth implementation and transition and it is submitted that the National Assembly’s permission in terms of Rule 249(1) of the National Assembly Rules will be unnecessary.</w:t>
      </w:r>
    </w:p>
    <w:p w:rsidR="00DD3B15" w:rsidRPr="002A0AB9" w:rsidRDefault="00DD3B15" w:rsidP="00DD3B15">
      <w:pPr>
        <w:spacing w:after="0" w:line="360" w:lineRule="auto"/>
        <w:rPr>
          <w:rFonts w:ascii="Arial" w:hAnsi="Arial" w:cs="Arial"/>
          <w:bCs/>
          <w:lang w:val="en-ZA"/>
        </w:rPr>
      </w:pPr>
    </w:p>
    <w:sectPr w:rsidR="00DD3B15" w:rsidRPr="002A0AB9" w:rsidSect="002A0AB9">
      <w:headerReference w:type="default" r:id="rId9"/>
      <w:pgSz w:w="15840" w:h="12240" w:orient="landscape"/>
      <w:pgMar w:top="1440" w:right="1440" w:bottom="204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9CA" w:rsidRDefault="002359CA" w:rsidP="00E42D6F">
      <w:pPr>
        <w:spacing w:after="0" w:line="240" w:lineRule="auto"/>
      </w:pPr>
      <w:r>
        <w:separator/>
      </w:r>
    </w:p>
  </w:endnote>
  <w:endnote w:type="continuationSeparator" w:id="0">
    <w:p w:rsidR="002359CA" w:rsidRDefault="002359CA" w:rsidP="00E42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9CA" w:rsidRDefault="002359CA" w:rsidP="00E42D6F">
      <w:pPr>
        <w:spacing w:after="0" w:line="240" w:lineRule="auto"/>
      </w:pPr>
      <w:r>
        <w:separator/>
      </w:r>
    </w:p>
  </w:footnote>
  <w:footnote w:type="continuationSeparator" w:id="0">
    <w:p w:rsidR="002359CA" w:rsidRDefault="002359CA" w:rsidP="00E42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367134"/>
      <w:docPartObj>
        <w:docPartGallery w:val="Page Numbers (Top of Page)"/>
        <w:docPartUnique/>
      </w:docPartObj>
    </w:sdtPr>
    <w:sdtEndPr>
      <w:rPr>
        <w:noProof/>
      </w:rPr>
    </w:sdtEndPr>
    <w:sdtContent>
      <w:p w:rsidR="002D1F5B" w:rsidRDefault="00C676AB">
        <w:pPr>
          <w:pStyle w:val="Header"/>
          <w:jc w:val="center"/>
        </w:pPr>
        <w:r>
          <w:fldChar w:fldCharType="begin"/>
        </w:r>
        <w:r w:rsidR="002D1F5B">
          <w:instrText xml:space="preserve"> PAGE   \* MERGEFORMAT </w:instrText>
        </w:r>
        <w:r>
          <w:fldChar w:fldCharType="separate"/>
        </w:r>
        <w:r w:rsidR="00A74086">
          <w:rPr>
            <w:noProof/>
          </w:rPr>
          <w:t>1</w:t>
        </w:r>
        <w:r>
          <w:rPr>
            <w:noProof/>
          </w:rPr>
          <w:fldChar w:fldCharType="end"/>
        </w:r>
      </w:p>
    </w:sdtContent>
  </w:sdt>
  <w:p w:rsidR="00DA36BE" w:rsidRDefault="00DA36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465"/>
    <w:multiLevelType w:val="hybridMultilevel"/>
    <w:tmpl w:val="34A2B1F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
    <w:nsid w:val="10ED0381"/>
    <w:multiLevelType w:val="hybridMultilevel"/>
    <w:tmpl w:val="0E10FEB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AF354B"/>
    <w:multiLevelType w:val="hybridMultilevel"/>
    <w:tmpl w:val="C22C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76CAA"/>
    <w:multiLevelType w:val="multilevel"/>
    <w:tmpl w:val="EB3011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EA3C6F"/>
    <w:multiLevelType w:val="hybridMultilevel"/>
    <w:tmpl w:val="6EB4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F6373"/>
    <w:multiLevelType w:val="hybridMultilevel"/>
    <w:tmpl w:val="EB2CACBE"/>
    <w:lvl w:ilvl="0" w:tplc="3F38D7D0">
      <w:start w:val="1"/>
      <w:numFmt w:val="lowerRoman"/>
      <w:lvlText w:val="(%1)"/>
      <w:lvlJc w:val="left"/>
      <w:pPr>
        <w:ind w:left="3297" w:hanging="720"/>
      </w:pPr>
      <w:rPr>
        <w:rFonts w:hint="default"/>
      </w:rPr>
    </w:lvl>
    <w:lvl w:ilvl="1" w:tplc="04090019" w:tentative="1">
      <w:start w:val="1"/>
      <w:numFmt w:val="lowerLetter"/>
      <w:lvlText w:val="%2."/>
      <w:lvlJc w:val="left"/>
      <w:pPr>
        <w:ind w:left="3657" w:hanging="360"/>
      </w:pPr>
    </w:lvl>
    <w:lvl w:ilvl="2" w:tplc="0409001B" w:tentative="1">
      <w:start w:val="1"/>
      <w:numFmt w:val="lowerRoman"/>
      <w:lvlText w:val="%3."/>
      <w:lvlJc w:val="right"/>
      <w:pPr>
        <w:ind w:left="4377" w:hanging="180"/>
      </w:pPr>
    </w:lvl>
    <w:lvl w:ilvl="3" w:tplc="0409000F" w:tentative="1">
      <w:start w:val="1"/>
      <w:numFmt w:val="decimal"/>
      <w:lvlText w:val="%4."/>
      <w:lvlJc w:val="left"/>
      <w:pPr>
        <w:ind w:left="5097" w:hanging="360"/>
      </w:pPr>
    </w:lvl>
    <w:lvl w:ilvl="4" w:tplc="04090019" w:tentative="1">
      <w:start w:val="1"/>
      <w:numFmt w:val="lowerLetter"/>
      <w:lvlText w:val="%5."/>
      <w:lvlJc w:val="left"/>
      <w:pPr>
        <w:ind w:left="5817" w:hanging="360"/>
      </w:pPr>
    </w:lvl>
    <w:lvl w:ilvl="5" w:tplc="0409001B" w:tentative="1">
      <w:start w:val="1"/>
      <w:numFmt w:val="lowerRoman"/>
      <w:lvlText w:val="%6."/>
      <w:lvlJc w:val="right"/>
      <w:pPr>
        <w:ind w:left="6537" w:hanging="180"/>
      </w:pPr>
    </w:lvl>
    <w:lvl w:ilvl="6" w:tplc="0409000F" w:tentative="1">
      <w:start w:val="1"/>
      <w:numFmt w:val="decimal"/>
      <w:lvlText w:val="%7."/>
      <w:lvlJc w:val="left"/>
      <w:pPr>
        <w:ind w:left="7257" w:hanging="360"/>
      </w:pPr>
    </w:lvl>
    <w:lvl w:ilvl="7" w:tplc="04090019" w:tentative="1">
      <w:start w:val="1"/>
      <w:numFmt w:val="lowerLetter"/>
      <w:lvlText w:val="%8."/>
      <w:lvlJc w:val="left"/>
      <w:pPr>
        <w:ind w:left="7977" w:hanging="360"/>
      </w:pPr>
    </w:lvl>
    <w:lvl w:ilvl="8" w:tplc="0409001B" w:tentative="1">
      <w:start w:val="1"/>
      <w:numFmt w:val="lowerRoman"/>
      <w:lvlText w:val="%9."/>
      <w:lvlJc w:val="right"/>
      <w:pPr>
        <w:ind w:left="8697" w:hanging="180"/>
      </w:pPr>
    </w:lvl>
  </w:abstractNum>
  <w:abstractNum w:abstractNumId="6">
    <w:nsid w:val="47332F52"/>
    <w:multiLevelType w:val="hybridMultilevel"/>
    <w:tmpl w:val="4732973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2C046C"/>
    <w:multiLevelType w:val="hybridMultilevel"/>
    <w:tmpl w:val="67F209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AF4671"/>
    <w:multiLevelType w:val="multilevel"/>
    <w:tmpl w:val="C86A10C2"/>
    <w:lvl w:ilvl="0">
      <w:start w:val="4"/>
      <w:numFmt w:val="decimal"/>
      <w:lvlText w:val="%1."/>
      <w:lvlJc w:val="left"/>
      <w:pPr>
        <w:ind w:left="435" w:hanging="435"/>
      </w:pPr>
    </w:lvl>
    <w:lvl w:ilvl="1">
      <w:start w:val="12"/>
      <w:numFmt w:val="decimal"/>
      <w:lvlText w:val="%1.%2."/>
      <w:lvlJc w:val="left"/>
      <w:pPr>
        <w:ind w:left="115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nsid w:val="77E1379D"/>
    <w:multiLevelType w:val="hybridMultilevel"/>
    <w:tmpl w:val="941A0E36"/>
    <w:lvl w:ilvl="0" w:tplc="F84AC20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4"/>
  </w:num>
  <w:num w:numId="7">
    <w:abstractNumId w:val="3"/>
  </w:num>
  <w:num w:numId="8">
    <w:abstractNumId w:val="7"/>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30AFA"/>
    <w:rsid w:val="00001596"/>
    <w:rsid w:val="000028B2"/>
    <w:rsid w:val="000036F1"/>
    <w:rsid w:val="00007DE6"/>
    <w:rsid w:val="000113D1"/>
    <w:rsid w:val="000117E0"/>
    <w:rsid w:val="000124CF"/>
    <w:rsid w:val="000126C5"/>
    <w:rsid w:val="00013145"/>
    <w:rsid w:val="00013172"/>
    <w:rsid w:val="0001521B"/>
    <w:rsid w:val="000164EC"/>
    <w:rsid w:val="000172DA"/>
    <w:rsid w:val="00020FA3"/>
    <w:rsid w:val="00023E64"/>
    <w:rsid w:val="00025595"/>
    <w:rsid w:val="000273E3"/>
    <w:rsid w:val="000309CE"/>
    <w:rsid w:val="00030C22"/>
    <w:rsid w:val="00035C2D"/>
    <w:rsid w:val="000416E7"/>
    <w:rsid w:val="00041CB2"/>
    <w:rsid w:val="000425AE"/>
    <w:rsid w:val="000447AA"/>
    <w:rsid w:val="00044882"/>
    <w:rsid w:val="00051FBA"/>
    <w:rsid w:val="00061F81"/>
    <w:rsid w:val="00062273"/>
    <w:rsid w:val="0006346F"/>
    <w:rsid w:val="000775B7"/>
    <w:rsid w:val="00077ABD"/>
    <w:rsid w:val="00080B6A"/>
    <w:rsid w:val="000820B6"/>
    <w:rsid w:val="00087C5D"/>
    <w:rsid w:val="000927DC"/>
    <w:rsid w:val="000965A3"/>
    <w:rsid w:val="000A0065"/>
    <w:rsid w:val="000A32EA"/>
    <w:rsid w:val="000A410A"/>
    <w:rsid w:val="000B1FA5"/>
    <w:rsid w:val="000B2FCC"/>
    <w:rsid w:val="000B6FF5"/>
    <w:rsid w:val="000B700B"/>
    <w:rsid w:val="000C01A8"/>
    <w:rsid w:val="000C307C"/>
    <w:rsid w:val="000C32AE"/>
    <w:rsid w:val="000D06B5"/>
    <w:rsid w:val="000D37B4"/>
    <w:rsid w:val="000D43C9"/>
    <w:rsid w:val="000D4A31"/>
    <w:rsid w:val="000D4D74"/>
    <w:rsid w:val="000D63CC"/>
    <w:rsid w:val="000E1E3A"/>
    <w:rsid w:val="000E23C9"/>
    <w:rsid w:val="000E3508"/>
    <w:rsid w:val="000F0399"/>
    <w:rsid w:val="000F50D3"/>
    <w:rsid w:val="000F6523"/>
    <w:rsid w:val="000F7405"/>
    <w:rsid w:val="000F7B84"/>
    <w:rsid w:val="00100EE0"/>
    <w:rsid w:val="00102091"/>
    <w:rsid w:val="00106050"/>
    <w:rsid w:val="001069B3"/>
    <w:rsid w:val="00110343"/>
    <w:rsid w:val="0011117F"/>
    <w:rsid w:val="00113274"/>
    <w:rsid w:val="0011588A"/>
    <w:rsid w:val="0011708B"/>
    <w:rsid w:val="0012009C"/>
    <w:rsid w:val="00125EB0"/>
    <w:rsid w:val="00126C83"/>
    <w:rsid w:val="00127F32"/>
    <w:rsid w:val="00130589"/>
    <w:rsid w:val="0013061B"/>
    <w:rsid w:val="00133EC7"/>
    <w:rsid w:val="00135379"/>
    <w:rsid w:val="00136EE5"/>
    <w:rsid w:val="001379CC"/>
    <w:rsid w:val="001475BD"/>
    <w:rsid w:val="00152E17"/>
    <w:rsid w:val="00157A32"/>
    <w:rsid w:val="001616DD"/>
    <w:rsid w:val="00163134"/>
    <w:rsid w:val="001646F1"/>
    <w:rsid w:val="0016620C"/>
    <w:rsid w:val="001668C8"/>
    <w:rsid w:val="00166D35"/>
    <w:rsid w:val="00170181"/>
    <w:rsid w:val="00171E5D"/>
    <w:rsid w:val="00172514"/>
    <w:rsid w:val="00173DAF"/>
    <w:rsid w:val="00176469"/>
    <w:rsid w:val="00177568"/>
    <w:rsid w:val="00177A1B"/>
    <w:rsid w:val="00180778"/>
    <w:rsid w:val="00180C42"/>
    <w:rsid w:val="00182250"/>
    <w:rsid w:val="00182AB0"/>
    <w:rsid w:val="00185E71"/>
    <w:rsid w:val="00186830"/>
    <w:rsid w:val="0019095D"/>
    <w:rsid w:val="001A0756"/>
    <w:rsid w:val="001A179A"/>
    <w:rsid w:val="001A204A"/>
    <w:rsid w:val="001A4042"/>
    <w:rsid w:val="001A634C"/>
    <w:rsid w:val="001B3CED"/>
    <w:rsid w:val="001C088D"/>
    <w:rsid w:val="001D109E"/>
    <w:rsid w:val="001D6A20"/>
    <w:rsid w:val="001D6A5C"/>
    <w:rsid w:val="001D78BE"/>
    <w:rsid w:val="001E6D0C"/>
    <w:rsid w:val="001E6FC0"/>
    <w:rsid w:val="001F168B"/>
    <w:rsid w:val="001F3F14"/>
    <w:rsid w:val="001F43AC"/>
    <w:rsid w:val="001F570B"/>
    <w:rsid w:val="001F6623"/>
    <w:rsid w:val="001F6E2F"/>
    <w:rsid w:val="00201991"/>
    <w:rsid w:val="0020219E"/>
    <w:rsid w:val="002033DD"/>
    <w:rsid w:val="00212FB8"/>
    <w:rsid w:val="00214B12"/>
    <w:rsid w:val="0022278C"/>
    <w:rsid w:val="00227DA3"/>
    <w:rsid w:val="00233D78"/>
    <w:rsid w:val="002359CA"/>
    <w:rsid w:val="00237086"/>
    <w:rsid w:val="00241315"/>
    <w:rsid w:val="00242470"/>
    <w:rsid w:val="00242E9C"/>
    <w:rsid w:val="002441C8"/>
    <w:rsid w:val="002458BF"/>
    <w:rsid w:val="00246572"/>
    <w:rsid w:val="002536DE"/>
    <w:rsid w:val="00253D61"/>
    <w:rsid w:val="002559F2"/>
    <w:rsid w:val="00262EAE"/>
    <w:rsid w:val="0026461A"/>
    <w:rsid w:val="002724BF"/>
    <w:rsid w:val="00273647"/>
    <w:rsid w:val="00274222"/>
    <w:rsid w:val="002745D3"/>
    <w:rsid w:val="002750EC"/>
    <w:rsid w:val="0028062C"/>
    <w:rsid w:val="00285052"/>
    <w:rsid w:val="00286C47"/>
    <w:rsid w:val="00287BA0"/>
    <w:rsid w:val="002956BB"/>
    <w:rsid w:val="002A0AB9"/>
    <w:rsid w:val="002B0258"/>
    <w:rsid w:val="002B1983"/>
    <w:rsid w:val="002B321B"/>
    <w:rsid w:val="002B345C"/>
    <w:rsid w:val="002B3672"/>
    <w:rsid w:val="002B71FD"/>
    <w:rsid w:val="002C0445"/>
    <w:rsid w:val="002C4DCD"/>
    <w:rsid w:val="002C7B20"/>
    <w:rsid w:val="002C7E9F"/>
    <w:rsid w:val="002D08DC"/>
    <w:rsid w:val="002D1013"/>
    <w:rsid w:val="002D1F5B"/>
    <w:rsid w:val="002D2BBE"/>
    <w:rsid w:val="002E1DDA"/>
    <w:rsid w:val="002F35D4"/>
    <w:rsid w:val="002F4F10"/>
    <w:rsid w:val="002F5103"/>
    <w:rsid w:val="002F6609"/>
    <w:rsid w:val="00301735"/>
    <w:rsid w:val="003031B5"/>
    <w:rsid w:val="003050DA"/>
    <w:rsid w:val="00305214"/>
    <w:rsid w:val="00317C0C"/>
    <w:rsid w:val="00321A3F"/>
    <w:rsid w:val="00321FF7"/>
    <w:rsid w:val="00323C17"/>
    <w:rsid w:val="00325875"/>
    <w:rsid w:val="00326A6C"/>
    <w:rsid w:val="003273FA"/>
    <w:rsid w:val="003313D4"/>
    <w:rsid w:val="00334925"/>
    <w:rsid w:val="00334E5B"/>
    <w:rsid w:val="003373D6"/>
    <w:rsid w:val="0033771C"/>
    <w:rsid w:val="00342413"/>
    <w:rsid w:val="00342A99"/>
    <w:rsid w:val="00345DCD"/>
    <w:rsid w:val="003509C2"/>
    <w:rsid w:val="00350AA8"/>
    <w:rsid w:val="00350EB8"/>
    <w:rsid w:val="003526D1"/>
    <w:rsid w:val="003538B0"/>
    <w:rsid w:val="003548D0"/>
    <w:rsid w:val="00355014"/>
    <w:rsid w:val="0035794A"/>
    <w:rsid w:val="003579D0"/>
    <w:rsid w:val="00357E98"/>
    <w:rsid w:val="00361CD5"/>
    <w:rsid w:val="00363D93"/>
    <w:rsid w:val="0037240A"/>
    <w:rsid w:val="00383734"/>
    <w:rsid w:val="003859AB"/>
    <w:rsid w:val="003861FA"/>
    <w:rsid w:val="00387663"/>
    <w:rsid w:val="003901B8"/>
    <w:rsid w:val="00392DA4"/>
    <w:rsid w:val="0039508B"/>
    <w:rsid w:val="003A5EC5"/>
    <w:rsid w:val="003B1319"/>
    <w:rsid w:val="003B3B20"/>
    <w:rsid w:val="003B5576"/>
    <w:rsid w:val="003B5E7F"/>
    <w:rsid w:val="003B7D89"/>
    <w:rsid w:val="003C05D6"/>
    <w:rsid w:val="003C12CB"/>
    <w:rsid w:val="003C1BE8"/>
    <w:rsid w:val="003C312B"/>
    <w:rsid w:val="003C52CD"/>
    <w:rsid w:val="003C7944"/>
    <w:rsid w:val="003D02B9"/>
    <w:rsid w:val="003D1E0D"/>
    <w:rsid w:val="003D4721"/>
    <w:rsid w:val="003D7C7E"/>
    <w:rsid w:val="003E3060"/>
    <w:rsid w:val="003E3373"/>
    <w:rsid w:val="003E3456"/>
    <w:rsid w:val="003E5E0B"/>
    <w:rsid w:val="003F6031"/>
    <w:rsid w:val="003F68ED"/>
    <w:rsid w:val="003F6969"/>
    <w:rsid w:val="00402EC4"/>
    <w:rsid w:val="00407AF2"/>
    <w:rsid w:val="00411F72"/>
    <w:rsid w:val="00413D94"/>
    <w:rsid w:val="004147EC"/>
    <w:rsid w:val="00414F7E"/>
    <w:rsid w:val="00420F69"/>
    <w:rsid w:val="00424BD6"/>
    <w:rsid w:val="00426122"/>
    <w:rsid w:val="004301A4"/>
    <w:rsid w:val="00430741"/>
    <w:rsid w:val="004324F1"/>
    <w:rsid w:val="004343B3"/>
    <w:rsid w:val="00442C6E"/>
    <w:rsid w:val="004472A7"/>
    <w:rsid w:val="004478DD"/>
    <w:rsid w:val="00450AB5"/>
    <w:rsid w:val="00462241"/>
    <w:rsid w:val="00465C03"/>
    <w:rsid w:val="00467812"/>
    <w:rsid w:val="004700FB"/>
    <w:rsid w:val="004704F0"/>
    <w:rsid w:val="00470853"/>
    <w:rsid w:val="0047358D"/>
    <w:rsid w:val="004804E6"/>
    <w:rsid w:val="004830C3"/>
    <w:rsid w:val="004832CC"/>
    <w:rsid w:val="00483DF2"/>
    <w:rsid w:val="00485658"/>
    <w:rsid w:val="00486906"/>
    <w:rsid w:val="00490ADD"/>
    <w:rsid w:val="0049305C"/>
    <w:rsid w:val="004A0527"/>
    <w:rsid w:val="004A09CC"/>
    <w:rsid w:val="004A7A24"/>
    <w:rsid w:val="004B11A3"/>
    <w:rsid w:val="004C03CD"/>
    <w:rsid w:val="004C1EB7"/>
    <w:rsid w:val="004C5B57"/>
    <w:rsid w:val="004D1E91"/>
    <w:rsid w:val="004D4B96"/>
    <w:rsid w:val="004D4C09"/>
    <w:rsid w:val="004D5CE3"/>
    <w:rsid w:val="004D5D7A"/>
    <w:rsid w:val="004D6AEF"/>
    <w:rsid w:val="004E2BFA"/>
    <w:rsid w:val="004E683F"/>
    <w:rsid w:val="004E78E7"/>
    <w:rsid w:val="004F1762"/>
    <w:rsid w:val="004F43D1"/>
    <w:rsid w:val="004F5E97"/>
    <w:rsid w:val="00502419"/>
    <w:rsid w:val="00505553"/>
    <w:rsid w:val="00507F6B"/>
    <w:rsid w:val="00512F3C"/>
    <w:rsid w:val="005136FF"/>
    <w:rsid w:val="00514210"/>
    <w:rsid w:val="00514C29"/>
    <w:rsid w:val="00516919"/>
    <w:rsid w:val="0051730A"/>
    <w:rsid w:val="005202FE"/>
    <w:rsid w:val="0052087F"/>
    <w:rsid w:val="00521843"/>
    <w:rsid w:val="005231EC"/>
    <w:rsid w:val="00525942"/>
    <w:rsid w:val="00531D1D"/>
    <w:rsid w:val="00536E4F"/>
    <w:rsid w:val="00537E44"/>
    <w:rsid w:val="00541A68"/>
    <w:rsid w:val="005424B5"/>
    <w:rsid w:val="005446F3"/>
    <w:rsid w:val="00545063"/>
    <w:rsid w:val="0054519E"/>
    <w:rsid w:val="00551F07"/>
    <w:rsid w:val="00570164"/>
    <w:rsid w:val="00573EC7"/>
    <w:rsid w:val="00574997"/>
    <w:rsid w:val="00577ABA"/>
    <w:rsid w:val="0058247F"/>
    <w:rsid w:val="0058297D"/>
    <w:rsid w:val="00585251"/>
    <w:rsid w:val="0058629A"/>
    <w:rsid w:val="00586301"/>
    <w:rsid w:val="00591BC8"/>
    <w:rsid w:val="00594645"/>
    <w:rsid w:val="00597061"/>
    <w:rsid w:val="005A1C8F"/>
    <w:rsid w:val="005A2352"/>
    <w:rsid w:val="005B02DA"/>
    <w:rsid w:val="005B2E52"/>
    <w:rsid w:val="005B468E"/>
    <w:rsid w:val="005B4C2C"/>
    <w:rsid w:val="005C3589"/>
    <w:rsid w:val="005D5C46"/>
    <w:rsid w:val="005D6155"/>
    <w:rsid w:val="005E076D"/>
    <w:rsid w:val="005E0A9B"/>
    <w:rsid w:val="005E2110"/>
    <w:rsid w:val="005E4CB5"/>
    <w:rsid w:val="005E59C5"/>
    <w:rsid w:val="005E7E9F"/>
    <w:rsid w:val="005F0204"/>
    <w:rsid w:val="005F19EF"/>
    <w:rsid w:val="005F1AED"/>
    <w:rsid w:val="005F21A5"/>
    <w:rsid w:val="005F220F"/>
    <w:rsid w:val="005F394B"/>
    <w:rsid w:val="005F519E"/>
    <w:rsid w:val="0060174D"/>
    <w:rsid w:val="00607E11"/>
    <w:rsid w:val="0061023D"/>
    <w:rsid w:val="00610B25"/>
    <w:rsid w:val="00610FED"/>
    <w:rsid w:val="00611619"/>
    <w:rsid w:val="0061299D"/>
    <w:rsid w:val="006152ED"/>
    <w:rsid w:val="0061626C"/>
    <w:rsid w:val="00616EBD"/>
    <w:rsid w:val="006175D3"/>
    <w:rsid w:val="006227BF"/>
    <w:rsid w:val="00634C45"/>
    <w:rsid w:val="00634F37"/>
    <w:rsid w:val="0063675D"/>
    <w:rsid w:val="00637E97"/>
    <w:rsid w:val="00640171"/>
    <w:rsid w:val="00641DDF"/>
    <w:rsid w:val="00644675"/>
    <w:rsid w:val="00644F6F"/>
    <w:rsid w:val="006514A9"/>
    <w:rsid w:val="00652F25"/>
    <w:rsid w:val="0065536F"/>
    <w:rsid w:val="00655490"/>
    <w:rsid w:val="00662C0A"/>
    <w:rsid w:val="00667A94"/>
    <w:rsid w:val="00670D04"/>
    <w:rsid w:val="00671540"/>
    <w:rsid w:val="00671B98"/>
    <w:rsid w:val="00673A31"/>
    <w:rsid w:val="00673C08"/>
    <w:rsid w:val="00675E80"/>
    <w:rsid w:val="00676C55"/>
    <w:rsid w:val="00677032"/>
    <w:rsid w:val="0067746B"/>
    <w:rsid w:val="00681362"/>
    <w:rsid w:val="00682703"/>
    <w:rsid w:val="00683DC5"/>
    <w:rsid w:val="00684FDD"/>
    <w:rsid w:val="006857A7"/>
    <w:rsid w:val="00686AF0"/>
    <w:rsid w:val="00691D35"/>
    <w:rsid w:val="006921A3"/>
    <w:rsid w:val="006A0D64"/>
    <w:rsid w:val="006A22FC"/>
    <w:rsid w:val="006A5893"/>
    <w:rsid w:val="006B0B9D"/>
    <w:rsid w:val="006B64A7"/>
    <w:rsid w:val="006B75EA"/>
    <w:rsid w:val="006C01AB"/>
    <w:rsid w:val="006C4230"/>
    <w:rsid w:val="006C4B17"/>
    <w:rsid w:val="006C6AAB"/>
    <w:rsid w:val="006D0544"/>
    <w:rsid w:val="006D06CE"/>
    <w:rsid w:val="006D10EC"/>
    <w:rsid w:val="006D15CF"/>
    <w:rsid w:val="006D6EF2"/>
    <w:rsid w:val="006E0B9A"/>
    <w:rsid w:val="006E0FB4"/>
    <w:rsid w:val="006E3BFF"/>
    <w:rsid w:val="006E3CE2"/>
    <w:rsid w:val="006F0AA4"/>
    <w:rsid w:val="006F5300"/>
    <w:rsid w:val="006F61E3"/>
    <w:rsid w:val="006F6EC4"/>
    <w:rsid w:val="006F720A"/>
    <w:rsid w:val="006F73B3"/>
    <w:rsid w:val="00705844"/>
    <w:rsid w:val="007100CC"/>
    <w:rsid w:val="00716380"/>
    <w:rsid w:val="00723D7A"/>
    <w:rsid w:val="00724748"/>
    <w:rsid w:val="007301CD"/>
    <w:rsid w:val="007352E0"/>
    <w:rsid w:val="0073581B"/>
    <w:rsid w:val="00742FB1"/>
    <w:rsid w:val="00744725"/>
    <w:rsid w:val="007523FF"/>
    <w:rsid w:val="0075367F"/>
    <w:rsid w:val="00753851"/>
    <w:rsid w:val="007543FF"/>
    <w:rsid w:val="0075492B"/>
    <w:rsid w:val="007557A0"/>
    <w:rsid w:val="00757D63"/>
    <w:rsid w:val="00761E5B"/>
    <w:rsid w:val="007634C1"/>
    <w:rsid w:val="0077429D"/>
    <w:rsid w:val="00774CA0"/>
    <w:rsid w:val="007764CD"/>
    <w:rsid w:val="00776FE8"/>
    <w:rsid w:val="00781108"/>
    <w:rsid w:val="00781259"/>
    <w:rsid w:val="007819CA"/>
    <w:rsid w:val="007830FB"/>
    <w:rsid w:val="0078419C"/>
    <w:rsid w:val="00784489"/>
    <w:rsid w:val="00785CFD"/>
    <w:rsid w:val="00786065"/>
    <w:rsid w:val="0079075C"/>
    <w:rsid w:val="00794E02"/>
    <w:rsid w:val="007A03F9"/>
    <w:rsid w:val="007A0DF9"/>
    <w:rsid w:val="007A533F"/>
    <w:rsid w:val="007B0776"/>
    <w:rsid w:val="007B0BC1"/>
    <w:rsid w:val="007B5B52"/>
    <w:rsid w:val="007B6AF2"/>
    <w:rsid w:val="007B7FB7"/>
    <w:rsid w:val="007C0464"/>
    <w:rsid w:val="007C2221"/>
    <w:rsid w:val="007C31E1"/>
    <w:rsid w:val="007C42A6"/>
    <w:rsid w:val="007C7A2C"/>
    <w:rsid w:val="007D09A2"/>
    <w:rsid w:val="007D0C00"/>
    <w:rsid w:val="007D159C"/>
    <w:rsid w:val="007D4C8E"/>
    <w:rsid w:val="007E0EDA"/>
    <w:rsid w:val="007E14F8"/>
    <w:rsid w:val="007E16EA"/>
    <w:rsid w:val="007E5C30"/>
    <w:rsid w:val="007E6217"/>
    <w:rsid w:val="007F45A6"/>
    <w:rsid w:val="007F636B"/>
    <w:rsid w:val="007F7A26"/>
    <w:rsid w:val="00801C81"/>
    <w:rsid w:val="00802718"/>
    <w:rsid w:val="00804DBF"/>
    <w:rsid w:val="0080508D"/>
    <w:rsid w:val="0080746D"/>
    <w:rsid w:val="008107BF"/>
    <w:rsid w:val="00810E1F"/>
    <w:rsid w:val="008127CD"/>
    <w:rsid w:val="00812982"/>
    <w:rsid w:val="00816E2E"/>
    <w:rsid w:val="00821B92"/>
    <w:rsid w:val="008232ED"/>
    <w:rsid w:val="0082625A"/>
    <w:rsid w:val="00826A06"/>
    <w:rsid w:val="00830B44"/>
    <w:rsid w:val="008317EB"/>
    <w:rsid w:val="008332F7"/>
    <w:rsid w:val="00833CA9"/>
    <w:rsid w:val="008354A6"/>
    <w:rsid w:val="00842790"/>
    <w:rsid w:val="00846359"/>
    <w:rsid w:val="008509DB"/>
    <w:rsid w:val="00852B8F"/>
    <w:rsid w:val="00854D69"/>
    <w:rsid w:val="008562B1"/>
    <w:rsid w:val="00867794"/>
    <w:rsid w:val="00867856"/>
    <w:rsid w:val="0086786F"/>
    <w:rsid w:val="00867EF1"/>
    <w:rsid w:val="00875821"/>
    <w:rsid w:val="0087598B"/>
    <w:rsid w:val="008811F3"/>
    <w:rsid w:val="00882494"/>
    <w:rsid w:val="00885FA9"/>
    <w:rsid w:val="00890C46"/>
    <w:rsid w:val="00892470"/>
    <w:rsid w:val="00892D0C"/>
    <w:rsid w:val="00893242"/>
    <w:rsid w:val="00894E47"/>
    <w:rsid w:val="0089583B"/>
    <w:rsid w:val="008966F7"/>
    <w:rsid w:val="008A1465"/>
    <w:rsid w:val="008A5DE6"/>
    <w:rsid w:val="008A7BA1"/>
    <w:rsid w:val="008B3DE9"/>
    <w:rsid w:val="008B62EC"/>
    <w:rsid w:val="008C09CA"/>
    <w:rsid w:val="008C134D"/>
    <w:rsid w:val="008C3A94"/>
    <w:rsid w:val="008C4018"/>
    <w:rsid w:val="008C557E"/>
    <w:rsid w:val="008D10DE"/>
    <w:rsid w:val="008D312D"/>
    <w:rsid w:val="008D6675"/>
    <w:rsid w:val="008D729D"/>
    <w:rsid w:val="008E198C"/>
    <w:rsid w:val="008E42AB"/>
    <w:rsid w:val="008E7284"/>
    <w:rsid w:val="008F1E21"/>
    <w:rsid w:val="008F27E1"/>
    <w:rsid w:val="008F28F3"/>
    <w:rsid w:val="008F515C"/>
    <w:rsid w:val="009002FB"/>
    <w:rsid w:val="009004C6"/>
    <w:rsid w:val="009035C1"/>
    <w:rsid w:val="00903704"/>
    <w:rsid w:val="00905D2F"/>
    <w:rsid w:val="00906DC5"/>
    <w:rsid w:val="00910E40"/>
    <w:rsid w:val="0091310D"/>
    <w:rsid w:val="009140E8"/>
    <w:rsid w:val="00915A60"/>
    <w:rsid w:val="00917D99"/>
    <w:rsid w:val="009201F1"/>
    <w:rsid w:val="00923E48"/>
    <w:rsid w:val="00925BB5"/>
    <w:rsid w:val="00926362"/>
    <w:rsid w:val="00931EE1"/>
    <w:rsid w:val="009346C6"/>
    <w:rsid w:val="00934E88"/>
    <w:rsid w:val="00941F80"/>
    <w:rsid w:val="00943BDC"/>
    <w:rsid w:val="0095055F"/>
    <w:rsid w:val="00950CEA"/>
    <w:rsid w:val="00952711"/>
    <w:rsid w:val="00952C58"/>
    <w:rsid w:val="0095601E"/>
    <w:rsid w:val="00961B82"/>
    <w:rsid w:val="009670A7"/>
    <w:rsid w:val="009679BB"/>
    <w:rsid w:val="00967D7D"/>
    <w:rsid w:val="0097157E"/>
    <w:rsid w:val="00971932"/>
    <w:rsid w:val="009719AE"/>
    <w:rsid w:val="00972EB1"/>
    <w:rsid w:val="009756A9"/>
    <w:rsid w:val="00976695"/>
    <w:rsid w:val="00976BB4"/>
    <w:rsid w:val="00977119"/>
    <w:rsid w:val="00977B6E"/>
    <w:rsid w:val="00982D20"/>
    <w:rsid w:val="00982F4D"/>
    <w:rsid w:val="009852CD"/>
    <w:rsid w:val="009871C5"/>
    <w:rsid w:val="00987AB2"/>
    <w:rsid w:val="00987B37"/>
    <w:rsid w:val="00990CAA"/>
    <w:rsid w:val="00990EA6"/>
    <w:rsid w:val="00994228"/>
    <w:rsid w:val="009944F1"/>
    <w:rsid w:val="00995C38"/>
    <w:rsid w:val="009A4F59"/>
    <w:rsid w:val="009B6A8A"/>
    <w:rsid w:val="009C090E"/>
    <w:rsid w:val="009D01DE"/>
    <w:rsid w:val="009D0F93"/>
    <w:rsid w:val="009D122B"/>
    <w:rsid w:val="009D3CB6"/>
    <w:rsid w:val="009E2069"/>
    <w:rsid w:val="009E66CF"/>
    <w:rsid w:val="009E678C"/>
    <w:rsid w:val="009E7FF1"/>
    <w:rsid w:val="009F0FFC"/>
    <w:rsid w:val="009F38A8"/>
    <w:rsid w:val="00A00F2F"/>
    <w:rsid w:val="00A017C6"/>
    <w:rsid w:val="00A01914"/>
    <w:rsid w:val="00A01D0A"/>
    <w:rsid w:val="00A03404"/>
    <w:rsid w:val="00A0397D"/>
    <w:rsid w:val="00A0546D"/>
    <w:rsid w:val="00A06742"/>
    <w:rsid w:val="00A075AF"/>
    <w:rsid w:val="00A116A5"/>
    <w:rsid w:val="00A11CCE"/>
    <w:rsid w:val="00A1456B"/>
    <w:rsid w:val="00A14CEF"/>
    <w:rsid w:val="00A15F2F"/>
    <w:rsid w:val="00A15FDE"/>
    <w:rsid w:val="00A302D4"/>
    <w:rsid w:val="00A36059"/>
    <w:rsid w:val="00A37302"/>
    <w:rsid w:val="00A378AA"/>
    <w:rsid w:val="00A40E20"/>
    <w:rsid w:val="00A42775"/>
    <w:rsid w:val="00A450B7"/>
    <w:rsid w:val="00A477E4"/>
    <w:rsid w:val="00A51CD1"/>
    <w:rsid w:val="00A60E97"/>
    <w:rsid w:val="00A62E92"/>
    <w:rsid w:val="00A630DC"/>
    <w:rsid w:val="00A64745"/>
    <w:rsid w:val="00A65C60"/>
    <w:rsid w:val="00A67213"/>
    <w:rsid w:val="00A7368E"/>
    <w:rsid w:val="00A74086"/>
    <w:rsid w:val="00A854C1"/>
    <w:rsid w:val="00A95249"/>
    <w:rsid w:val="00A9607B"/>
    <w:rsid w:val="00AA06A3"/>
    <w:rsid w:val="00AA41EC"/>
    <w:rsid w:val="00AA6B36"/>
    <w:rsid w:val="00AB0A84"/>
    <w:rsid w:val="00AC1F89"/>
    <w:rsid w:val="00AC38A0"/>
    <w:rsid w:val="00AD0E09"/>
    <w:rsid w:val="00AD48A9"/>
    <w:rsid w:val="00AD495C"/>
    <w:rsid w:val="00AD65A5"/>
    <w:rsid w:val="00AD6BB3"/>
    <w:rsid w:val="00AD70CE"/>
    <w:rsid w:val="00AE4811"/>
    <w:rsid w:val="00AE4AAA"/>
    <w:rsid w:val="00AE4FD9"/>
    <w:rsid w:val="00AE6F26"/>
    <w:rsid w:val="00AF2A07"/>
    <w:rsid w:val="00B00757"/>
    <w:rsid w:val="00B011C2"/>
    <w:rsid w:val="00B02E26"/>
    <w:rsid w:val="00B03CB4"/>
    <w:rsid w:val="00B051B2"/>
    <w:rsid w:val="00B11F79"/>
    <w:rsid w:val="00B12773"/>
    <w:rsid w:val="00B1795C"/>
    <w:rsid w:val="00B33695"/>
    <w:rsid w:val="00B40205"/>
    <w:rsid w:val="00B41E66"/>
    <w:rsid w:val="00B41F80"/>
    <w:rsid w:val="00B47C63"/>
    <w:rsid w:val="00B510FD"/>
    <w:rsid w:val="00B537C4"/>
    <w:rsid w:val="00B56AF0"/>
    <w:rsid w:val="00B60EAF"/>
    <w:rsid w:val="00B61E4B"/>
    <w:rsid w:val="00B61F4B"/>
    <w:rsid w:val="00B64B52"/>
    <w:rsid w:val="00B71F61"/>
    <w:rsid w:val="00B756E4"/>
    <w:rsid w:val="00B75D85"/>
    <w:rsid w:val="00B848B7"/>
    <w:rsid w:val="00B85846"/>
    <w:rsid w:val="00B85A19"/>
    <w:rsid w:val="00B85AEE"/>
    <w:rsid w:val="00B8698B"/>
    <w:rsid w:val="00B951DA"/>
    <w:rsid w:val="00BA1571"/>
    <w:rsid w:val="00BA2E70"/>
    <w:rsid w:val="00BA4DC2"/>
    <w:rsid w:val="00BA604C"/>
    <w:rsid w:val="00BB03EC"/>
    <w:rsid w:val="00BB2059"/>
    <w:rsid w:val="00BB31E5"/>
    <w:rsid w:val="00BB4E35"/>
    <w:rsid w:val="00BC1481"/>
    <w:rsid w:val="00BC40DE"/>
    <w:rsid w:val="00BD7A43"/>
    <w:rsid w:val="00BE18FF"/>
    <w:rsid w:val="00BE2B48"/>
    <w:rsid w:val="00BE3ED7"/>
    <w:rsid w:val="00BE4224"/>
    <w:rsid w:val="00BE5F00"/>
    <w:rsid w:val="00BF0011"/>
    <w:rsid w:val="00BF0C48"/>
    <w:rsid w:val="00BF2315"/>
    <w:rsid w:val="00BF3901"/>
    <w:rsid w:val="00BF59C0"/>
    <w:rsid w:val="00C02D0A"/>
    <w:rsid w:val="00C0776A"/>
    <w:rsid w:val="00C110A0"/>
    <w:rsid w:val="00C134BE"/>
    <w:rsid w:val="00C14E2E"/>
    <w:rsid w:val="00C17968"/>
    <w:rsid w:val="00C24FF0"/>
    <w:rsid w:val="00C272F4"/>
    <w:rsid w:val="00C30D0E"/>
    <w:rsid w:val="00C3275F"/>
    <w:rsid w:val="00C37630"/>
    <w:rsid w:val="00C41C15"/>
    <w:rsid w:val="00C4543D"/>
    <w:rsid w:val="00C456E3"/>
    <w:rsid w:val="00C468F8"/>
    <w:rsid w:val="00C475C5"/>
    <w:rsid w:val="00C549C3"/>
    <w:rsid w:val="00C56F3C"/>
    <w:rsid w:val="00C56FC7"/>
    <w:rsid w:val="00C57F18"/>
    <w:rsid w:val="00C60CA6"/>
    <w:rsid w:val="00C620D4"/>
    <w:rsid w:val="00C65043"/>
    <w:rsid w:val="00C67528"/>
    <w:rsid w:val="00C676AB"/>
    <w:rsid w:val="00C67A40"/>
    <w:rsid w:val="00C71057"/>
    <w:rsid w:val="00C75046"/>
    <w:rsid w:val="00C82719"/>
    <w:rsid w:val="00C83AA9"/>
    <w:rsid w:val="00C91071"/>
    <w:rsid w:val="00C95952"/>
    <w:rsid w:val="00CA2042"/>
    <w:rsid w:val="00CA51A8"/>
    <w:rsid w:val="00CA6686"/>
    <w:rsid w:val="00CC00C4"/>
    <w:rsid w:val="00CC0596"/>
    <w:rsid w:val="00CC05A7"/>
    <w:rsid w:val="00CC293E"/>
    <w:rsid w:val="00CC4CAF"/>
    <w:rsid w:val="00CC5C12"/>
    <w:rsid w:val="00CC77B7"/>
    <w:rsid w:val="00CD6F0E"/>
    <w:rsid w:val="00CE4FD4"/>
    <w:rsid w:val="00CE79CF"/>
    <w:rsid w:val="00CE7B10"/>
    <w:rsid w:val="00CF0DCC"/>
    <w:rsid w:val="00CF1841"/>
    <w:rsid w:val="00CF2BE2"/>
    <w:rsid w:val="00CF3D76"/>
    <w:rsid w:val="00D01153"/>
    <w:rsid w:val="00D026BF"/>
    <w:rsid w:val="00D0523D"/>
    <w:rsid w:val="00D15809"/>
    <w:rsid w:val="00D2032E"/>
    <w:rsid w:val="00D2141A"/>
    <w:rsid w:val="00D24BC1"/>
    <w:rsid w:val="00D31F2B"/>
    <w:rsid w:val="00D345C3"/>
    <w:rsid w:val="00D34EED"/>
    <w:rsid w:val="00D36DA3"/>
    <w:rsid w:val="00D37064"/>
    <w:rsid w:val="00D4202D"/>
    <w:rsid w:val="00D43E03"/>
    <w:rsid w:val="00D46142"/>
    <w:rsid w:val="00D47735"/>
    <w:rsid w:val="00D523CD"/>
    <w:rsid w:val="00D53979"/>
    <w:rsid w:val="00D54DFD"/>
    <w:rsid w:val="00D552D6"/>
    <w:rsid w:val="00D56255"/>
    <w:rsid w:val="00D5781B"/>
    <w:rsid w:val="00D60C6D"/>
    <w:rsid w:val="00D667F6"/>
    <w:rsid w:val="00D72150"/>
    <w:rsid w:val="00D7377D"/>
    <w:rsid w:val="00D73878"/>
    <w:rsid w:val="00D75BE9"/>
    <w:rsid w:val="00D76CEB"/>
    <w:rsid w:val="00D77086"/>
    <w:rsid w:val="00D868C2"/>
    <w:rsid w:val="00D87BE5"/>
    <w:rsid w:val="00D95796"/>
    <w:rsid w:val="00DA0EC1"/>
    <w:rsid w:val="00DA1680"/>
    <w:rsid w:val="00DA36BE"/>
    <w:rsid w:val="00DA575C"/>
    <w:rsid w:val="00DB03D3"/>
    <w:rsid w:val="00DB1EB9"/>
    <w:rsid w:val="00DB2167"/>
    <w:rsid w:val="00DB2206"/>
    <w:rsid w:val="00DB4BFA"/>
    <w:rsid w:val="00DB54BC"/>
    <w:rsid w:val="00DB6193"/>
    <w:rsid w:val="00DC2425"/>
    <w:rsid w:val="00DC2EA4"/>
    <w:rsid w:val="00DC4AB3"/>
    <w:rsid w:val="00DC5FC5"/>
    <w:rsid w:val="00DD0DA5"/>
    <w:rsid w:val="00DD11B5"/>
    <w:rsid w:val="00DD3B15"/>
    <w:rsid w:val="00DD45D3"/>
    <w:rsid w:val="00DD487D"/>
    <w:rsid w:val="00DD4E55"/>
    <w:rsid w:val="00DD51FA"/>
    <w:rsid w:val="00DD6783"/>
    <w:rsid w:val="00DD706E"/>
    <w:rsid w:val="00DE43B9"/>
    <w:rsid w:val="00DE4948"/>
    <w:rsid w:val="00DE5B43"/>
    <w:rsid w:val="00DF07C9"/>
    <w:rsid w:val="00DF3178"/>
    <w:rsid w:val="00DF3F2D"/>
    <w:rsid w:val="00DF4253"/>
    <w:rsid w:val="00DF59D1"/>
    <w:rsid w:val="00E017F9"/>
    <w:rsid w:val="00E04ECA"/>
    <w:rsid w:val="00E05F81"/>
    <w:rsid w:val="00E122B8"/>
    <w:rsid w:val="00E133C9"/>
    <w:rsid w:val="00E150D0"/>
    <w:rsid w:val="00E16BD7"/>
    <w:rsid w:val="00E17B3C"/>
    <w:rsid w:val="00E20267"/>
    <w:rsid w:val="00E23E06"/>
    <w:rsid w:val="00E30EE0"/>
    <w:rsid w:val="00E32489"/>
    <w:rsid w:val="00E33656"/>
    <w:rsid w:val="00E33966"/>
    <w:rsid w:val="00E3401F"/>
    <w:rsid w:val="00E3571F"/>
    <w:rsid w:val="00E358AA"/>
    <w:rsid w:val="00E4007D"/>
    <w:rsid w:val="00E404DC"/>
    <w:rsid w:val="00E40998"/>
    <w:rsid w:val="00E40C71"/>
    <w:rsid w:val="00E42782"/>
    <w:rsid w:val="00E42D6F"/>
    <w:rsid w:val="00E4456B"/>
    <w:rsid w:val="00E4707A"/>
    <w:rsid w:val="00E5166D"/>
    <w:rsid w:val="00E51AB3"/>
    <w:rsid w:val="00E524EC"/>
    <w:rsid w:val="00E562DC"/>
    <w:rsid w:val="00E60C2E"/>
    <w:rsid w:val="00E61161"/>
    <w:rsid w:val="00E6370F"/>
    <w:rsid w:val="00E66DF6"/>
    <w:rsid w:val="00E670B2"/>
    <w:rsid w:val="00E672C1"/>
    <w:rsid w:val="00E72CA2"/>
    <w:rsid w:val="00E7523A"/>
    <w:rsid w:val="00E75E12"/>
    <w:rsid w:val="00E76D01"/>
    <w:rsid w:val="00E7775A"/>
    <w:rsid w:val="00E83367"/>
    <w:rsid w:val="00E85CF5"/>
    <w:rsid w:val="00E8761E"/>
    <w:rsid w:val="00E920F3"/>
    <w:rsid w:val="00E94546"/>
    <w:rsid w:val="00E9470F"/>
    <w:rsid w:val="00E96662"/>
    <w:rsid w:val="00EA0FC8"/>
    <w:rsid w:val="00EA3233"/>
    <w:rsid w:val="00EA37FD"/>
    <w:rsid w:val="00EA57C0"/>
    <w:rsid w:val="00EA65E6"/>
    <w:rsid w:val="00EB1E3B"/>
    <w:rsid w:val="00EB49BA"/>
    <w:rsid w:val="00EB5E88"/>
    <w:rsid w:val="00EB77EB"/>
    <w:rsid w:val="00EC0A2C"/>
    <w:rsid w:val="00EC300C"/>
    <w:rsid w:val="00EC5A5B"/>
    <w:rsid w:val="00EC6442"/>
    <w:rsid w:val="00ED1426"/>
    <w:rsid w:val="00ED74EB"/>
    <w:rsid w:val="00EE0D92"/>
    <w:rsid w:val="00EE0E1B"/>
    <w:rsid w:val="00EE12E4"/>
    <w:rsid w:val="00EE2184"/>
    <w:rsid w:val="00EE2746"/>
    <w:rsid w:val="00EE461F"/>
    <w:rsid w:val="00EE5C44"/>
    <w:rsid w:val="00EE61EC"/>
    <w:rsid w:val="00EE6DA1"/>
    <w:rsid w:val="00EE6FEE"/>
    <w:rsid w:val="00EF0B76"/>
    <w:rsid w:val="00EF4D78"/>
    <w:rsid w:val="00EF56E6"/>
    <w:rsid w:val="00EF64DE"/>
    <w:rsid w:val="00EF6C3A"/>
    <w:rsid w:val="00F01461"/>
    <w:rsid w:val="00F06CD6"/>
    <w:rsid w:val="00F06EBC"/>
    <w:rsid w:val="00F11FE4"/>
    <w:rsid w:val="00F15718"/>
    <w:rsid w:val="00F219EA"/>
    <w:rsid w:val="00F225D0"/>
    <w:rsid w:val="00F25059"/>
    <w:rsid w:val="00F25E14"/>
    <w:rsid w:val="00F30650"/>
    <w:rsid w:val="00F30AFA"/>
    <w:rsid w:val="00F31257"/>
    <w:rsid w:val="00F34A3E"/>
    <w:rsid w:val="00F3724C"/>
    <w:rsid w:val="00F408D3"/>
    <w:rsid w:val="00F4229D"/>
    <w:rsid w:val="00F42F38"/>
    <w:rsid w:val="00F4557C"/>
    <w:rsid w:val="00F47350"/>
    <w:rsid w:val="00F52207"/>
    <w:rsid w:val="00F557FA"/>
    <w:rsid w:val="00F565D5"/>
    <w:rsid w:val="00F61B52"/>
    <w:rsid w:val="00F624A8"/>
    <w:rsid w:val="00F656D3"/>
    <w:rsid w:val="00F65835"/>
    <w:rsid w:val="00F77E2F"/>
    <w:rsid w:val="00F8169E"/>
    <w:rsid w:val="00F86733"/>
    <w:rsid w:val="00F87A13"/>
    <w:rsid w:val="00F907A2"/>
    <w:rsid w:val="00F9360B"/>
    <w:rsid w:val="00F946B9"/>
    <w:rsid w:val="00F9525A"/>
    <w:rsid w:val="00F96550"/>
    <w:rsid w:val="00FA62B0"/>
    <w:rsid w:val="00FA764A"/>
    <w:rsid w:val="00FB037A"/>
    <w:rsid w:val="00FB1B4B"/>
    <w:rsid w:val="00FC04A6"/>
    <w:rsid w:val="00FC365D"/>
    <w:rsid w:val="00FC38E0"/>
    <w:rsid w:val="00FC7979"/>
    <w:rsid w:val="00FD1A7A"/>
    <w:rsid w:val="00FD262D"/>
    <w:rsid w:val="00FD2D11"/>
    <w:rsid w:val="00FD30D5"/>
    <w:rsid w:val="00FD600C"/>
    <w:rsid w:val="00FE2C6C"/>
    <w:rsid w:val="00FE3F47"/>
    <w:rsid w:val="00FE4434"/>
    <w:rsid w:val="00FE586C"/>
    <w:rsid w:val="00FE790A"/>
    <w:rsid w:val="00FF5116"/>
    <w:rsid w:val="00FF60D4"/>
    <w:rsid w:val="00FF7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D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2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6F"/>
  </w:style>
  <w:style w:type="paragraph" w:styleId="Footer">
    <w:name w:val="footer"/>
    <w:basedOn w:val="Normal"/>
    <w:link w:val="FooterChar"/>
    <w:uiPriority w:val="99"/>
    <w:unhideWhenUsed/>
    <w:rsid w:val="00E42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6F"/>
  </w:style>
  <w:style w:type="paragraph" w:customStyle="1" w:styleId="Default">
    <w:name w:val="Default"/>
    <w:rsid w:val="00CE7B1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0D04"/>
    <w:pPr>
      <w:ind w:left="720"/>
      <w:contextualSpacing/>
    </w:pPr>
  </w:style>
  <w:style w:type="paragraph" w:styleId="BalloonText">
    <w:name w:val="Balloon Text"/>
    <w:basedOn w:val="Normal"/>
    <w:link w:val="BalloonTextChar"/>
    <w:uiPriority w:val="99"/>
    <w:semiHidden/>
    <w:unhideWhenUsed/>
    <w:rsid w:val="001F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23"/>
    <w:rPr>
      <w:rFonts w:ascii="Tahoma" w:hAnsi="Tahoma" w:cs="Tahoma"/>
      <w:sz w:val="16"/>
      <w:szCs w:val="16"/>
    </w:rPr>
  </w:style>
  <w:style w:type="character" w:styleId="CommentReference">
    <w:name w:val="annotation reference"/>
    <w:basedOn w:val="DefaultParagraphFont"/>
    <w:uiPriority w:val="99"/>
    <w:semiHidden/>
    <w:unhideWhenUsed/>
    <w:rsid w:val="00F15718"/>
    <w:rPr>
      <w:sz w:val="16"/>
      <w:szCs w:val="16"/>
    </w:rPr>
  </w:style>
  <w:style w:type="paragraph" w:styleId="CommentText">
    <w:name w:val="annotation text"/>
    <w:basedOn w:val="Normal"/>
    <w:link w:val="CommentTextChar"/>
    <w:uiPriority w:val="99"/>
    <w:semiHidden/>
    <w:unhideWhenUsed/>
    <w:rsid w:val="00F15718"/>
    <w:pPr>
      <w:spacing w:line="240" w:lineRule="auto"/>
    </w:pPr>
    <w:rPr>
      <w:sz w:val="20"/>
      <w:szCs w:val="20"/>
    </w:rPr>
  </w:style>
  <w:style w:type="character" w:customStyle="1" w:styleId="CommentTextChar">
    <w:name w:val="Comment Text Char"/>
    <w:basedOn w:val="DefaultParagraphFont"/>
    <w:link w:val="CommentText"/>
    <w:uiPriority w:val="99"/>
    <w:semiHidden/>
    <w:rsid w:val="00F15718"/>
    <w:rPr>
      <w:sz w:val="20"/>
      <w:szCs w:val="20"/>
    </w:rPr>
  </w:style>
  <w:style w:type="paragraph" w:styleId="CommentSubject">
    <w:name w:val="annotation subject"/>
    <w:basedOn w:val="CommentText"/>
    <w:next w:val="CommentText"/>
    <w:link w:val="CommentSubjectChar"/>
    <w:uiPriority w:val="99"/>
    <w:semiHidden/>
    <w:unhideWhenUsed/>
    <w:rsid w:val="00F15718"/>
    <w:rPr>
      <w:b/>
      <w:bCs/>
    </w:rPr>
  </w:style>
  <w:style w:type="character" w:customStyle="1" w:styleId="CommentSubjectChar">
    <w:name w:val="Comment Subject Char"/>
    <w:basedOn w:val="CommentTextChar"/>
    <w:link w:val="CommentSubject"/>
    <w:uiPriority w:val="99"/>
    <w:semiHidden/>
    <w:rsid w:val="00F15718"/>
    <w:rPr>
      <w:b/>
      <w:bCs/>
      <w:sz w:val="20"/>
      <w:szCs w:val="20"/>
    </w:rPr>
  </w:style>
  <w:style w:type="character" w:styleId="Hyperlink">
    <w:name w:val="Hyperlink"/>
    <w:basedOn w:val="DefaultParagraphFont"/>
    <w:uiPriority w:val="99"/>
    <w:unhideWhenUsed/>
    <w:rsid w:val="005450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8439488">
      <w:bodyDiv w:val="1"/>
      <w:marLeft w:val="0"/>
      <w:marRight w:val="0"/>
      <w:marTop w:val="0"/>
      <w:marBottom w:val="0"/>
      <w:divBdr>
        <w:top w:val="none" w:sz="0" w:space="0" w:color="auto"/>
        <w:left w:val="none" w:sz="0" w:space="0" w:color="auto"/>
        <w:bottom w:val="none" w:sz="0" w:space="0" w:color="auto"/>
        <w:right w:val="none" w:sz="0" w:space="0" w:color="auto"/>
      </w:divBdr>
    </w:div>
    <w:div w:id="375660429">
      <w:bodyDiv w:val="1"/>
      <w:marLeft w:val="0"/>
      <w:marRight w:val="0"/>
      <w:marTop w:val="0"/>
      <w:marBottom w:val="75"/>
      <w:divBdr>
        <w:top w:val="none" w:sz="0" w:space="0" w:color="auto"/>
        <w:left w:val="none" w:sz="0" w:space="0" w:color="auto"/>
        <w:bottom w:val="none" w:sz="0" w:space="0" w:color="auto"/>
        <w:right w:val="none" w:sz="0" w:space="0" w:color="auto"/>
      </w:divBdr>
    </w:div>
    <w:div w:id="625935126">
      <w:bodyDiv w:val="1"/>
      <w:marLeft w:val="0"/>
      <w:marRight w:val="0"/>
      <w:marTop w:val="0"/>
      <w:marBottom w:val="0"/>
      <w:divBdr>
        <w:top w:val="none" w:sz="0" w:space="0" w:color="auto"/>
        <w:left w:val="none" w:sz="0" w:space="0" w:color="auto"/>
        <w:bottom w:val="none" w:sz="0" w:space="0" w:color="auto"/>
        <w:right w:val="none" w:sz="0" w:space="0" w:color="auto"/>
      </w:divBdr>
    </w:div>
    <w:div w:id="707874659">
      <w:bodyDiv w:val="1"/>
      <w:marLeft w:val="0"/>
      <w:marRight w:val="0"/>
      <w:marTop w:val="0"/>
      <w:marBottom w:val="0"/>
      <w:divBdr>
        <w:top w:val="none" w:sz="0" w:space="0" w:color="auto"/>
        <w:left w:val="none" w:sz="0" w:space="0" w:color="auto"/>
        <w:bottom w:val="none" w:sz="0" w:space="0" w:color="auto"/>
        <w:right w:val="none" w:sz="0" w:space="0" w:color="auto"/>
      </w:divBdr>
    </w:div>
    <w:div w:id="889458695">
      <w:bodyDiv w:val="1"/>
      <w:marLeft w:val="0"/>
      <w:marRight w:val="0"/>
      <w:marTop w:val="0"/>
      <w:marBottom w:val="0"/>
      <w:divBdr>
        <w:top w:val="none" w:sz="0" w:space="0" w:color="auto"/>
        <w:left w:val="none" w:sz="0" w:space="0" w:color="auto"/>
        <w:bottom w:val="none" w:sz="0" w:space="0" w:color="auto"/>
        <w:right w:val="none" w:sz="0" w:space="0" w:color="auto"/>
      </w:divBdr>
    </w:div>
    <w:div w:id="1209761357">
      <w:bodyDiv w:val="1"/>
      <w:marLeft w:val="0"/>
      <w:marRight w:val="0"/>
      <w:marTop w:val="0"/>
      <w:marBottom w:val="0"/>
      <w:divBdr>
        <w:top w:val="none" w:sz="0" w:space="0" w:color="auto"/>
        <w:left w:val="none" w:sz="0" w:space="0" w:color="auto"/>
        <w:bottom w:val="none" w:sz="0" w:space="0" w:color="auto"/>
        <w:right w:val="none" w:sz="0" w:space="0" w:color="auto"/>
      </w:divBdr>
    </w:div>
    <w:div w:id="1464688920">
      <w:bodyDiv w:val="1"/>
      <w:marLeft w:val="0"/>
      <w:marRight w:val="0"/>
      <w:marTop w:val="0"/>
      <w:marBottom w:val="0"/>
      <w:divBdr>
        <w:top w:val="none" w:sz="0" w:space="0" w:color="auto"/>
        <w:left w:val="none" w:sz="0" w:space="0" w:color="auto"/>
        <w:bottom w:val="none" w:sz="0" w:space="0" w:color="auto"/>
        <w:right w:val="none" w:sz="0" w:space="0" w:color="auto"/>
      </w:divBdr>
    </w:div>
    <w:div w:id="1782071236">
      <w:bodyDiv w:val="1"/>
      <w:marLeft w:val="0"/>
      <w:marRight w:val="0"/>
      <w:marTop w:val="0"/>
      <w:marBottom w:val="0"/>
      <w:divBdr>
        <w:top w:val="none" w:sz="0" w:space="0" w:color="auto"/>
        <w:left w:val="none" w:sz="0" w:space="0" w:color="auto"/>
        <w:bottom w:val="none" w:sz="0" w:space="0" w:color="auto"/>
        <w:right w:val="none" w:sz="0" w:space="0" w:color="auto"/>
      </w:divBdr>
    </w:div>
    <w:div w:id="2023125259">
      <w:bodyDiv w:val="1"/>
      <w:marLeft w:val="0"/>
      <w:marRight w:val="0"/>
      <w:marTop w:val="0"/>
      <w:marBottom w:val="100"/>
      <w:divBdr>
        <w:top w:val="none" w:sz="0" w:space="0" w:color="auto"/>
        <w:left w:val="none" w:sz="0" w:space="0" w:color="auto"/>
        <w:bottom w:val="none" w:sz="0" w:space="0" w:color="auto"/>
        <w:right w:val="none" w:sz="0" w:space="0" w:color="auto"/>
      </w:divBdr>
    </w:div>
    <w:div w:id="21052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jcdnoc-ln1/nxt/gateway.dll/jilc/kilc/c0pg/7aqg/8aqg/r22g?f=templates$fn=document-frame.htm$3.0$q=$x=$nc=19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44F8-74D7-49BA-9596-602B5C7B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7742</Words>
  <Characters>44134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Louw</dc:creator>
  <cp:lastModifiedBy>PUMZA</cp:lastModifiedBy>
  <cp:revision>2</cp:revision>
  <cp:lastPrinted>2017-10-13T06:26:00Z</cp:lastPrinted>
  <dcterms:created xsi:type="dcterms:W3CDTF">2017-10-19T09:02:00Z</dcterms:created>
  <dcterms:modified xsi:type="dcterms:W3CDTF">2017-10-19T09:02:00Z</dcterms:modified>
</cp:coreProperties>
</file>