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E7F3" w14:textId="77777777" w:rsidR="00EE1DA1" w:rsidRPr="00E22056" w:rsidRDefault="00AD305A" w:rsidP="00AD305A">
      <w:pPr>
        <w:pStyle w:val="TOC1"/>
        <w:spacing w:line="240" w:lineRule="auto"/>
        <w:ind w:left="446" w:hanging="446"/>
      </w:pPr>
      <w:bookmarkStart w:id="0" w:name="_GoBack"/>
      <w:bookmarkEnd w:id="0"/>
      <w:r w:rsidRPr="00AD305A">
        <w:rPr>
          <w:sz w:val="28"/>
          <w:szCs w:val="28"/>
        </w:rPr>
        <w:t>3.</w:t>
      </w:r>
      <w:r w:rsidRPr="00AD305A">
        <w:rPr>
          <w:sz w:val="28"/>
          <w:szCs w:val="28"/>
        </w:rPr>
        <w:tab/>
      </w:r>
      <w:r w:rsidR="00EE1DA1" w:rsidRPr="00AD305A">
        <w:rPr>
          <w:sz w:val="28"/>
          <w:szCs w:val="28"/>
        </w:rPr>
        <w:t>budgetary review and recommendations report of the porfolio committee on cooperative gov</w:t>
      </w:r>
      <w:r w:rsidR="003C7BD0" w:rsidRPr="00AD305A">
        <w:rPr>
          <w:sz w:val="28"/>
          <w:szCs w:val="28"/>
        </w:rPr>
        <w:t xml:space="preserve">ernance and traditonal affairs </w:t>
      </w:r>
      <w:r w:rsidR="00EE1DA1" w:rsidRPr="00AD305A">
        <w:rPr>
          <w:sz w:val="28"/>
          <w:szCs w:val="28"/>
        </w:rPr>
        <w:t>DATED</w:t>
      </w:r>
      <w:r w:rsidR="003C7BD0" w:rsidRPr="00AD305A">
        <w:rPr>
          <w:sz w:val="28"/>
          <w:szCs w:val="28"/>
        </w:rPr>
        <w:t xml:space="preserve"> 17 october</w:t>
      </w:r>
      <w:r w:rsidR="003C7BD0">
        <w:t xml:space="preserve"> 2017</w:t>
      </w:r>
    </w:p>
    <w:p w14:paraId="11A95A6E" w14:textId="77777777" w:rsidR="00EE1DA1" w:rsidRDefault="00EE1DA1" w:rsidP="00151081">
      <w:pPr>
        <w:pStyle w:val="Heading1"/>
        <w:spacing w:before="0" w:line="360" w:lineRule="auto"/>
        <w:rPr>
          <w:rFonts w:cs="Arial"/>
        </w:rPr>
      </w:pPr>
    </w:p>
    <w:p w14:paraId="28FED8E6" w14:textId="77777777" w:rsidR="00EE1DA1" w:rsidRDefault="00EE1DA1" w:rsidP="00151081">
      <w:pPr>
        <w:pStyle w:val="Footer"/>
        <w:spacing w:line="360" w:lineRule="auto"/>
      </w:pPr>
      <w:r w:rsidRPr="0095482B">
        <w:t>The Portfolio Committee on Cooperative Governance and Traditional Affairs (the Committee), having assessed the financial and non-financial performance of Department of Cooperative Governance and Traditional Affairs</w:t>
      </w:r>
      <w:r>
        <w:t xml:space="preserve"> (COGTA), for the 2016/17</w:t>
      </w:r>
      <w:r w:rsidRPr="0095482B">
        <w:t xml:space="preserve"> financial year, reports as follows:  </w:t>
      </w:r>
    </w:p>
    <w:p w14:paraId="53D3A61A" w14:textId="77777777" w:rsidR="00DD238C" w:rsidRPr="006F32BE" w:rsidRDefault="00DD238C" w:rsidP="00151081">
      <w:pPr>
        <w:pStyle w:val="Footer"/>
        <w:spacing w:line="360" w:lineRule="auto"/>
      </w:pPr>
    </w:p>
    <w:p w14:paraId="79981646" w14:textId="77777777" w:rsidR="00EE1DA1" w:rsidRPr="00EE1DA1" w:rsidRDefault="00EE1DA1" w:rsidP="00151081">
      <w:pPr>
        <w:pStyle w:val="Heading1"/>
        <w:numPr>
          <w:ilvl w:val="0"/>
          <w:numId w:val="1"/>
        </w:numPr>
        <w:spacing w:line="360" w:lineRule="auto"/>
        <w:rPr>
          <w:color w:val="000000" w:themeColor="text1"/>
        </w:rPr>
      </w:pPr>
      <w:bookmarkStart w:id="1" w:name="_Toc495067553"/>
      <w:r w:rsidRPr="00EE1DA1">
        <w:rPr>
          <w:color w:val="000000" w:themeColor="text1"/>
        </w:rPr>
        <w:t>Introduction</w:t>
      </w:r>
      <w:bookmarkEnd w:id="1"/>
    </w:p>
    <w:p w14:paraId="5A9B6BAC" w14:textId="77777777" w:rsidR="00EE1DA1" w:rsidRDefault="00EE1DA1" w:rsidP="00151081">
      <w:pPr>
        <w:spacing w:line="360" w:lineRule="auto"/>
      </w:pPr>
    </w:p>
    <w:p w14:paraId="177E8339" w14:textId="77777777" w:rsidR="00EE1DA1" w:rsidRPr="00EE1DA1" w:rsidRDefault="00EE1DA1" w:rsidP="00151081">
      <w:pPr>
        <w:pStyle w:val="Heading2"/>
        <w:numPr>
          <w:ilvl w:val="1"/>
          <w:numId w:val="1"/>
        </w:numPr>
        <w:spacing w:line="360" w:lineRule="auto"/>
        <w:rPr>
          <w:color w:val="000000" w:themeColor="text1"/>
        </w:rPr>
      </w:pPr>
      <w:bookmarkStart w:id="2" w:name="_Toc495067554"/>
      <w:r w:rsidRPr="00EE1DA1">
        <w:rPr>
          <w:color w:val="000000" w:themeColor="text1"/>
        </w:rPr>
        <w:t>Committee mandate</w:t>
      </w:r>
      <w:bookmarkEnd w:id="2"/>
    </w:p>
    <w:p w14:paraId="6B7CDE19" w14:textId="77777777" w:rsidR="00EE1DA1" w:rsidRDefault="00EE1DA1" w:rsidP="00151081">
      <w:pPr>
        <w:spacing w:line="360" w:lineRule="auto"/>
      </w:pPr>
    </w:p>
    <w:p w14:paraId="30614E5C" w14:textId="77777777" w:rsidR="00EE1DA1" w:rsidRDefault="00EE1DA1" w:rsidP="00151081">
      <w:pPr>
        <w:spacing w:line="360" w:lineRule="auto"/>
        <w:rPr>
          <w:rFonts w:eastAsia="Times New Roman" w:cs="Arial"/>
          <w:lang w:val="en-GB"/>
        </w:rPr>
      </w:pPr>
      <w:r w:rsidRPr="0095482B">
        <w:rPr>
          <w:rFonts w:eastAsia="Times New Roman" w:cs="Arial"/>
          <w:lang w:val="en-GB"/>
        </w:rPr>
        <w:t xml:space="preserve">Chapter 4 of the </w:t>
      </w:r>
      <w:r w:rsidRPr="00B92AB4">
        <w:rPr>
          <w:rFonts w:eastAsia="Times New Roman" w:cs="Arial"/>
          <w:i/>
          <w:lang w:val="en-GB"/>
        </w:rPr>
        <w:t>Constitution of the Republic of South Africa (1996)</w:t>
      </w:r>
      <w:r>
        <w:rPr>
          <w:rFonts w:eastAsia="Times New Roman" w:cs="Arial"/>
          <w:lang w:val="en-GB"/>
        </w:rPr>
        <w:t xml:space="preserve"> </w:t>
      </w:r>
      <w:r w:rsidRPr="0095482B">
        <w:rPr>
          <w:rFonts w:eastAsia="Times New Roman" w:cs="Arial"/>
          <w:lang w:val="en-GB"/>
        </w:rPr>
        <w:t xml:space="preserve">sets out in detail the powers, functions and procedures of Parliament. </w:t>
      </w:r>
      <w:r>
        <w:rPr>
          <w:rFonts w:eastAsia="Times New Roman" w:cs="Arial"/>
          <w:lang w:val="en-GB"/>
        </w:rPr>
        <w:t xml:space="preserve">It tasks </w:t>
      </w:r>
      <w:r w:rsidRPr="0095482B">
        <w:rPr>
          <w:rFonts w:eastAsia="Times New Roman" w:cs="Arial"/>
          <w:lang w:val="en-GB"/>
        </w:rPr>
        <w:t>Parliament through its Committees, such as the Portfolio Committee on Cooperative Governance and</w:t>
      </w:r>
      <w:r>
        <w:rPr>
          <w:rFonts w:eastAsia="Times New Roman" w:cs="Arial"/>
          <w:lang w:val="en-GB"/>
        </w:rPr>
        <w:t xml:space="preserve"> Traditional Affairs, </w:t>
      </w:r>
      <w:r w:rsidRPr="0095482B">
        <w:rPr>
          <w:rFonts w:eastAsia="Times New Roman" w:cs="Arial"/>
          <w:lang w:val="en-GB"/>
        </w:rPr>
        <w:t>with the following functions:</w:t>
      </w:r>
    </w:p>
    <w:p w14:paraId="2007DAD8" w14:textId="77777777" w:rsidR="00EE1DA1" w:rsidRPr="0095482B" w:rsidRDefault="00EE1DA1" w:rsidP="00151081">
      <w:pPr>
        <w:spacing w:line="360" w:lineRule="auto"/>
        <w:rPr>
          <w:rFonts w:eastAsia="Times New Roman" w:cs="Arial"/>
          <w:lang w:val="en-GB"/>
        </w:rPr>
      </w:pPr>
    </w:p>
    <w:p w14:paraId="68634584" w14:textId="77777777" w:rsidR="00EE1DA1" w:rsidRPr="006C2B4A" w:rsidRDefault="00EE1DA1" w:rsidP="00151081">
      <w:pPr>
        <w:pStyle w:val="ListParagraph"/>
        <w:numPr>
          <w:ilvl w:val="0"/>
          <w:numId w:val="3"/>
        </w:numPr>
        <w:spacing w:line="360" w:lineRule="auto"/>
        <w:ind w:left="714" w:hanging="357"/>
        <w:rPr>
          <w:rFonts w:eastAsia="Times New Roman" w:cs="Arial"/>
          <w:lang w:val="en-GB"/>
        </w:rPr>
      </w:pPr>
      <w:r w:rsidRPr="00B92AB4">
        <w:rPr>
          <w:rFonts w:eastAsia="Times New Roman" w:cs="Arial"/>
          <w:lang w:val="en-GB"/>
        </w:rPr>
        <w:t>Making laws;</w:t>
      </w:r>
    </w:p>
    <w:p w14:paraId="436EC9DF" w14:textId="77777777" w:rsidR="00EE1DA1" w:rsidRDefault="00EE1DA1" w:rsidP="00151081">
      <w:pPr>
        <w:pStyle w:val="ListParagraph"/>
        <w:numPr>
          <w:ilvl w:val="0"/>
          <w:numId w:val="3"/>
        </w:numPr>
        <w:spacing w:line="360" w:lineRule="auto"/>
        <w:ind w:left="714" w:hanging="357"/>
        <w:rPr>
          <w:rFonts w:eastAsia="Times New Roman" w:cs="Arial"/>
          <w:lang w:val="en-GB"/>
        </w:rPr>
      </w:pPr>
      <w:r w:rsidRPr="00B92AB4">
        <w:rPr>
          <w:rFonts w:eastAsia="Times New Roman" w:cs="Arial"/>
          <w:lang w:val="en-GB"/>
        </w:rPr>
        <w:t>Maintaining oversight over the National Executive Authority and any organ of state;</w:t>
      </w:r>
    </w:p>
    <w:p w14:paraId="0C433F97" w14:textId="77777777" w:rsidR="00EE1DA1" w:rsidRDefault="00EE1DA1" w:rsidP="00151081">
      <w:pPr>
        <w:pStyle w:val="ListParagraph"/>
        <w:numPr>
          <w:ilvl w:val="0"/>
          <w:numId w:val="3"/>
        </w:numPr>
        <w:spacing w:line="360" w:lineRule="auto"/>
        <w:ind w:left="714" w:hanging="357"/>
        <w:rPr>
          <w:rFonts w:eastAsia="Times New Roman" w:cs="Arial"/>
          <w:lang w:val="en-GB"/>
        </w:rPr>
      </w:pPr>
      <w:r w:rsidRPr="00B92AB4">
        <w:rPr>
          <w:rFonts w:eastAsia="Times New Roman" w:cs="Arial"/>
          <w:lang w:val="en-GB"/>
        </w:rPr>
        <w:t xml:space="preserve">Facilitating public involvement in the legislative and other processes of the </w:t>
      </w:r>
      <w:r>
        <w:rPr>
          <w:rFonts w:eastAsia="Times New Roman" w:cs="Arial"/>
          <w:lang w:val="en-GB"/>
        </w:rPr>
        <w:t xml:space="preserve">National </w:t>
      </w:r>
      <w:r w:rsidRPr="00B92AB4">
        <w:rPr>
          <w:rFonts w:eastAsia="Times New Roman" w:cs="Arial"/>
          <w:lang w:val="en-GB"/>
        </w:rPr>
        <w:t>Assembly and its Committees;</w:t>
      </w:r>
    </w:p>
    <w:p w14:paraId="0AEB3397" w14:textId="77777777" w:rsidR="00EE1DA1" w:rsidRDefault="00EE1DA1" w:rsidP="00151081">
      <w:pPr>
        <w:pStyle w:val="ListParagraph"/>
        <w:numPr>
          <w:ilvl w:val="0"/>
          <w:numId w:val="3"/>
        </w:numPr>
        <w:spacing w:line="360" w:lineRule="auto"/>
        <w:ind w:left="714" w:hanging="357"/>
        <w:rPr>
          <w:rFonts w:eastAsia="Times New Roman" w:cs="Arial"/>
          <w:lang w:val="en-GB"/>
        </w:rPr>
      </w:pPr>
      <w:r w:rsidRPr="00B92AB4">
        <w:rPr>
          <w:rFonts w:eastAsia="Times New Roman" w:cs="Arial"/>
          <w:lang w:val="en-GB"/>
        </w:rPr>
        <w:t>Participating in, promoting and overseeing co-operative governance; and</w:t>
      </w:r>
    </w:p>
    <w:p w14:paraId="7C26D004" w14:textId="77777777" w:rsidR="00EE1DA1" w:rsidRPr="00B92AB4" w:rsidRDefault="00EE1DA1" w:rsidP="00151081">
      <w:pPr>
        <w:pStyle w:val="ListParagraph"/>
        <w:numPr>
          <w:ilvl w:val="0"/>
          <w:numId w:val="3"/>
        </w:numPr>
        <w:spacing w:line="360" w:lineRule="auto"/>
        <w:ind w:left="714" w:hanging="357"/>
        <w:rPr>
          <w:rFonts w:eastAsia="Times New Roman" w:cs="Arial"/>
          <w:lang w:val="en-GB"/>
        </w:rPr>
      </w:pPr>
      <w:r>
        <w:rPr>
          <w:rFonts w:eastAsia="Times New Roman" w:cs="Arial"/>
          <w:lang w:val="en-GB"/>
        </w:rPr>
        <w:t>Engaging and participating</w:t>
      </w:r>
      <w:r w:rsidRPr="00B92AB4">
        <w:rPr>
          <w:rFonts w:eastAsia="Times New Roman" w:cs="Arial"/>
          <w:lang w:val="en-GB"/>
        </w:rPr>
        <w:t xml:space="preserve"> in international participation (participate in regional, continental and international bodies) </w:t>
      </w:r>
    </w:p>
    <w:p w14:paraId="78071113" w14:textId="77777777" w:rsidR="00EE1DA1" w:rsidRPr="0095482B" w:rsidRDefault="00EE1DA1" w:rsidP="00151081">
      <w:pPr>
        <w:pStyle w:val="ListParagraph"/>
        <w:spacing w:line="360" w:lineRule="auto"/>
        <w:rPr>
          <w:rFonts w:eastAsia="Times New Roman" w:cs="Arial"/>
          <w:lang w:val="en-GB"/>
        </w:rPr>
      </w:pPr>
    </w:p>
    <w:p w14:paraId="42270E32" w14:textId="77777777" w:rsidR="00EE1DA1" w:rsidRDefault="00EE1DA1" w:rsidP="00151081">
      <w:pPr>
        <w:spacing w:line="360" w:lineRule="auto"/>
        <w:rPr>
          <w:rFonts w:eastAsia="Times New Roman" w:cs="Arial"/>
          <w:lang w:val="en-GB"/>
        </w:rPr>
      </w:pPr>
      <w:r w:rsidRPr="0095482B">
        <w:rPr>
          <w:rFonts w:eastAsia="Times New Roman" w:cs="Arial"/>
          <w:lang w:val="en-GB"/>
        </w:rPr>
        <w:t xml:space="preserve">In line with the parliamentary oversight functions, Section 5 of </w:t>
      </w:r>
      <w:r w:rsidRPr="00605D91">
        <w:rPr>
          <w:rFonts w:eastAsia="Times New Roman" w:cs="Arial"/>
          <w:i/>
          <w:lang w:val="en-GB"/>
        </w:rPr>
        <w:t xml:space="preserve">the Money Bills Amendment Procedure and Related Matters </w:t>
      </w:r>
      <w:r>
        <w:rPr>
          <w:rFonts w:eastAsia="Times New Roman" w:cs="Arial"/>
          <w:i/>
          <w:lang w:val="en-GB"/>
        </w:rPr>
        <w:t>(</w:t>
      </w:r>
      <w:r w:rsidRPr="00605D91">
        <w:rPr>
          <w:rFonts w:eastAsia="Times New Roman" w:cs="Arial"/>
          <w:i/>
          <w:lang w:val="en-GB"/>
        </w:rPr>
        <w:t>Act No.9 of 2009</w:t>
      </w:r>
      <w:r>
        <w:rPr>
          <w:rFonts w:eastAsia="Times New Roman" w:cs="Arial"/>
          <w:i/>
          <w:lang w:val="en-GB"/>
        </w:rPr>
        <w:t>)</w:t>
      </w:r>
      <w:r w:rsidRPr="0095482B">
        <w:rPr>
          <w:rFonts w:eastAsia="Times New Roman" w:cs="Arial"/>
          <w:lang w:val="en-GB"/>
        </w:rPr>
        <w:t xml:space="preserve"> empowers Po</w:t>
      </w:r>
      <w:r>
        <w:rPr>
          <w:rFonts w:eastAsia="Times New Roman" w:cs="Arial"/>
          <w:lang w:val="en-GB"/>
        </w:rPr>
        <w:t xml:space="preserve">rtfolio Committees, to </w:t>
      </w:r>
      <w:r w:rsidRPr="0095482B">
        <w:rPr>
          <w:rFonts w:eastAsia="Times New Roman" w:cs="Arial"/>
          <w:lang w:val="en-GB"/>
        </w:rPr>
        <w:t xml:space="preserve">assess </w:t>
      </w:r>
      <w:r>
        <w:rPr>
          <w:rFonts w:eastAsia="Times New Roman" w:cs="Arial"/>
          <w:lang w:val="en-GB"/>
        </w:rPr>
        <w:t xml:space="preserve">annually </w:t>
      </w:r>
      <w:r w:rsidRPr="0095482B">
        <w:rPr>
          <w:rFonts w:eastAsia="Times New Roman" w:cs="Arial"/>
          <w:lang w:val="en-GB"/>
        </w:rPr>
        <w:t xml:space="preserve">the performance of each national department through an annual Budgetary Review and Recommendations Report (BRRR). The overarching purpose of the BRR Report is for a Committee to make recommendations on the forward use of resources to address the implementation of policy priorities and services as the relevant department may require additional, reduced or re-configured resources to achieve these priorities and services. The Act also gives effect to Parliament’s constitutional powers to amend the budget in line with </w:t>
      </w:r>
      <w:r w:rsidRPr="0095482B">
        <w:rPr>
          <w:rFonts w:eastAsia="Times New Roman" w:cs="Arial"/>
          <w:lang w:val="en-GB"/>
        </w:rPr>
        <w:lastRenderedPageBreak/>
        <w:t>the fisc</w:t>
      </w:r>
      <w:r>
        <w:rPr>
          <w:rFonts w:eastAsia="Times New Roman" w:cs="Arial"/>
          <w:lang w:val="en-GB"/>
        </w:rPr>
        <w:t xml:space="preserve">al framework. The BRRR process </w:t>
      </w:r>
      <w:r w:rsidRPr="0095482B">
        <w:rPr>
          <w:rFonts w:eastAsia="Times New Roman" w:cs="Arial"/>
          <w:lang w:val="en-GB"/>
        </w:rPr>
        <w:t>enables a Committee to exercise its legislative responsibility to ensu</w:t>
      </w:r>
      <w:r>
        <w:rPr>
          <w:rFonts w:eastAsia="Times New Roman" w:cs="Arial"/>
          <w:lang w:val="en-GB"/>
        </w:rPr>
        <w:t>re that the Department</w:t>
      </w:r>
      <w:r w:rsidRPr="0095482B">
        <w:rPr>
          <w:rFonts w:eastAsia="Times New Roman" w:cs="Arial"/>
          <w:lang w:val="en-GB"/>
        </w:rPr>
        <w:t xml:space="preserve"> fulfil their respective mand</w:t>
      </w:r>
      <w:r>
        <w:rPr>
          <w:rFonts w:eastAsia="Times New Roman" w:cs="Arial"/>
          <w:lang w:val="en-GB"/>
        </w:rPr>
        <w:t xml:space="preserve">ates. </w:t>
      </w:r>
      <w:r w:rsidRPr="0095482B">
        <w:rPr>
          <w:rFonts w:eastAsia="Times New Roman" w:cs="Arial"/>
          <w:lang w:val="en-GB"/>
        </w:rPr>
        <w:t xml:space="preserve"> </w:t>
      </w:r>
    </w:p>
    <w:p w14:paraId="6F587D96" w14:textId="77777777" w:rsidR="00EE1DA1" w:rsidRDefault="00EE1DA1" w:rsidP="00151081">
      <w:pPr>
        <w:spacing w:line="360" w:lineRule="auto"/>
        <w:rPr>
          <w:rFonts w:eastAsia="Times New Roman" w:cs="Arial"/>
          <w:lang w:val="en-GB"/>
        </w:rPr>
      </w:pPr>
    </w:p>
    <w:p w14:paraId="30D6D323" w14:textId="77777777" w:rsidR="00EE1DA1" w:rsidRPr="00EE1DA1" w:rsidRDefault="00EE1DA1" w:rsidP="00151081">
      <w:pPr>
        <w:pStyle w:val="Heading2"/>
        <w:numPr>
          <w:ilvl w:val="1"/>
          <w:numId w:val="1"/>
        </w:numPr>
        <w:spacing w:line="360" w:lineRule="auto"/>
        <w:rPr>
          <w:rFonts w:eastAsia="Times New Roman"/>
          <w:color w:val="000000" w:themeColor="text1"/>
          <w:lang w:val="en-GB"/>
        </w:rPr>
      </w:pPr>
      <w:bookmarkStart w:id="3" w:name="_Toc495067555"/>
      <w:r w:rsidRPr="00EE1DA1">
        <w:rPr>
          <w:rFonts w:eastAsia="Times New Roman"/>
          <w:color w:val="000000" w:themeColor="text1"/>
          <w:lang w:val="en-GB"/>
        </w:rPr>
        <w:t>Core functions of the Department</w:t>
      </w:r>
      <w:bookmarkEnd w:id="3"/>
      <w:r w:rsidRPr="00EE1DA1">
        <w:rPr>
          <w:rFonts w:eastAsia="Times New Roman"/>
          <w:color w:val="000000" w:themeColor="text1"/>
          <w:lang w:val="en-GB"/>
        </w:rPr>
        <w:t xml:space="preserve"> </w:t>
      </w:r>
    </w:p>
    <w:p w14:paraId="3C6EB211" w14:textId="77777777" w:rsidR="00EE1DA1" w:rsidRDefault="00EE1DA1" w:rsidP="00151081">
      <w:pPr>
        <w:spacing w:line="360" w:lineRule="auto"/>
      </w:pPr>
    </w:p>
    <w:p w14:paraId="7DB21388" w14:textId="77777777" w:rsidR="00EE1DA1" w:rsidRPr="0095482B" w:rsidRDefault="00EE1DA1" w:rsidP="00151081">
      <w:pPr>
        <w:spacing w:line="360" w:lineRule="auto"/>
        <w:rPr>
          <w:rFonts w:eastAsia="Times New Roman" w:cs="Arial"/>
          <w:lang w:val="en-GB"/>
        </w:rPr>
      </w:pPr>
      <w:r w:rsidRPr="0095482B">
        <w:rPr>
          <w:rFonts w:eastAsia="Times New Roman" w:cs="Arial"/>
          <w:lang w:val="en-GB"/>
        </w:rPr>
        <w:t>The main aim of the Department of Cooperative Governance and Traditional Affairs is to improve cooperative governance across the three spheres of governme</w:t>
      </w:r>
      <w:r>
        <w:rPr>
          <w:rFonts w:eastAsia="Times New Roman" w:cs="Arial"/>
          <w:lang w:val="en-GB"/>
        </w:rPr>
        <w:t>nt. The Department</w:t>
      </w:r>
      <w:r w:rsidRPr="0095482B">
        <w:rPr>
          <w:rFonts w:eastAsia="Times New Roman" w:cs="Arial"/>
          <w:lang w:val="en-GB"/>
        </w:rPr>
        <w:t xml:space="preserve"> must support and strengthen the capacity of municipalities to manage their own affairs, exercise their powe</w:t>
      </w:r>
      <w:r>
        <w:rPr>
          <w:rFonts w:eastAsia="Times New Roman" w:cs="Arial"/>
          <w:lang w:val="en-GB"/>
        </w:rPr>
        <w:t>rs and perform their functions, as envisaged in s154 of the Constitution.</w:t>
      </w:r>
    </w:p>
    <w:p w14:paraId="33A4550C" w14:textId="77777777" w:rsidR="00EE1DA1" w:rsidRDefault="00EE1DA1" w:rsidP="00151081">
      <w:pPr>
        <w:spacing w:line="360" w:lineRule="auto"/>
        <w:rPr>
          <w:rFonts w:eastAsia="Times New Roman" w:cs="Arial"/>
          <w:lang w:val="en-GB"/>
        </w:rPr>
      </w:pPr>
    </w:p>
    <w:p w14:paraId="425F84F3" w14:textId="77777777" w:rsidR="00EE1DA1" w:rsidRDefault="00EE1DA1" w:rsidP="00151081">
      <w:pPr>
        <w:spacing w:line="360" w:lineRule="auto"/>
        <w:rPr>
          <w:rFonts w:eastAsia="Times New Roman" w:cs="Arial"/>
          <w:lang w:val="en-GB"/>
        </w:rPr>
      </w:pPr>
      <w:r w:rsidRPr="0095482B">
        <w:rPr>
          <w:rFonts w:eastAsia="Times New Roman" w:cs="Arial"/>
          <w:lang w:val="en-GB"/>
        </w:rPr>
        <w:t>The Department also ov</w:t>
      </w:r>
      <w:r>
        <w:rPr>
          <w:rFonts w:eastAsia="Times New Roman" w:cs="Arial"/>
          <w:lang w:val="en-GB"/>
        </w:rPr>
        <w:t xml:space="preserve">ersees the following entities: </w:t>
      </w:r>
    </w:p>
    <w:p w14:paraId="657C4514" w14:textId="77777777" w:rsidR="00EE1DA1" w:rsidRPr="0095482B" w:rsidRDefault="00EE1DA1" w:rsidP="00151081">
      <w:pPr>
        <w:spacing w:line="360" w:lineRule="auto"/>
        <w:rPr>
          <w:rFonts w:eastAsia="Times New Roman" w:cs="Arial"/>
          <w:lang w:val="en-GB"/>
        </w:rPr>
      </w:pPr>
    </w:p>
    <w:p w14:paraId="6B72F232" w14:textId="77777777" w:rsidR="00EE1DA1" w:rsidRDefault="00EE1DA1" w:rsidP="00151081">
      <w:pPr>
        <w:pStyle w:val="ListParagraph"/>
        <w:numPr>
          <w:ilvl w:val="0"/>
          <w:numId w:val="4"/>
        </w:numPr>
        <w:spacing w:line="360" w:lineRule="auto"/>
        <w:ind w:left="714" w:hanging="357"/>
        <w:rPr>
          <w:rFonts w:eastAsia="Times New Roman" w:cs="Arial"/>
          <w:lang w:val="en-GB"/>
        </w:rPr>
      </w:pPr>
      <w:r w:rsidRPr="0095482B">
        <w:rPr>
          <w:rFonts w:eastAsia="Times New Roman" w:cs="Arial"/>
          <w:lang w:val="en-GB"/>
        </w:rPr>
        <w:t>The Commission for the Promotion and Protection of the Rights of Cultural, Religious and Linguistic Communities, which promotes and protects cultural, religious and linguistic rights.</w:t>
      </w:r>
    </w:p>
    <w:p w14:paraId="33C25184" w14:textId="77777777" w:rsidR="00EE1DA1" w:rsidRPr="006C2B4A" w:rsidRDefault="00EE1DA1" w:rsidP="00151081">
      <w:pPr>
        <w:pStyle w:val="ListParagraph"/>
        <w:spacing w:line="360" w:lineRule="auto"/>
        <w:ind w:left="714"/>
        <w:rPr>
          <w:rFonts w:eastAsia="Times New Roman" w:cs="Arial"/>
          <w:lang w:val="en-GB"/>
        </w:rPr>
      </w:pPr>
    </w:p>
    <w:p w14:paraId="40BDF76A" w14:textId="77777777" w:rsidR="00EE1DA1" w:rsidRDefault="00EE1DA1" w:rsidP="00151081">
      <w:pPr>
        <w:pStyle w:val="ListParagraph"/>
        <w:numPr>
          <w:ilvl w:val="0"/>
          <w:numId w:val="4"/>
        </w:numPr>
        <w:spacing w:line="360" w:lineRule="auto"/>
        <w:ind w:left="714" w:hanging="357"/>
        <w:rPr>
          <w:rFonts w:eastAsia="Times New Roman" w:cs="Arial"/>
          <w:lang w:val="en-GB"/>
        </w:rPr>
      </w:pPr>
      <w:r w:rsidRPr="0095482B">
        <w:rPr>
          <w:rFonts w:eastAsia="Times New Roman" w:cs="Arial"/>
          <w:lang w:val="en-GB"/>
        </w:rPr>
        <w:t>The Municipal Demarcation Board, an independent authority responsible for determining municipal boundaries and also mandated to declare district management areas, delimit wards for local elections and assess the capacity of municipalities to perform their functions.</w:t>
      </w:r>
    </w:p>
    <w:p w14:paraId="52C97BC4" w14:textId="77777777" w:rsidR="00EE1DA1" w:rsidRPr="00D1165A" w:rsidRDefault="00EE1DA1" w:rsidP="00151081">
      <w:pPr>
        <w:spacing w:line="360" w:lineRule="auto"/>
        <w:rPr>
          <w:rFonts w:eastAsia="Times New Roman" w:cs="Arial"/>
          <w:lang w:val="en-GB"/>
        </w:rPr>
      </w:pPr>
    </w:p>
    <w:p w14:paraId="169DFB60" w14:textId="77777777" w:rsidR="00EE1DA1" w:rsidRDefault="00EE1DA1" w:rsidP="00151081">
      <w:pPr>
        <w:pStyle w:val="ListParagraph"/>
        <w:numPr>
          <w:ilvl w:val="0"/>
          <w:numId w:val="4"/>
        </w:numPr>
        <w:spacing w:line="360" w:lineRule="auto"/>
        <w:ind w:left="714" w:hanging="357"/>
        <w:rPr>
          <w:rFonts w:eastAsia="Times New Roman" w:cs="Arial"/>
          <w:lang w:val="en-GB"/>
        </w:rPr>
      </w:pPr>
      <w:r w:rsidRPr="0095482B">
        <w:rPr>
          <w:rFonts w:eastAsia="Times New Roman" w:cs="Arial"/>
          <w:lang w:val="en-GB"/>
        </w:rPr>
        <w:t>The South African Local Government Assoc</w:t>
      </w:r>
      <w:r>
        <w:rPr>
          <w:rFonts w:eastAsia="Times New Roman" w:cs="Arial"/>
          <w:lang w:val="en-GB"/>
        </w:rPr>
        <w:t>iation, which has a c</w:t>
      </w:r>
      <w:r w:rsidRPr="0095482B">
        <w:rPr>
          <w:rFonts w:eastAsia="Times New Roman" w:cs="Arial"/>
          <w:lang w:val="en-GB"/>
        </w:rPr>
        <w:t>onstitution</w:t>
      </w:r>
      <w:r>
        <w:rPr>
          <w:rFonts w:eastAsia="Times New Roman" w:cs="Arial"/>
          <w:lang w:val="en-GB"/>
        </w:rPr>
        <w:t>al mandate</w:t>
      </w:r>
      <w:r w:rsidRPr="0095482B">
        <w:rPr>
          <w:rFonts w:eastAsia="Times New Roman" w:cs="Arial"/>
          <w:lang w:val="en-GB"/>
        </w:rPr>
        <w:t xml:space="preserve"> to assist in the transformation of local government.</w:t>
      </w:r>
    </w:p>
    <w:p w14:paraId="45C15E4D" w14:textId="77777777" w:rsidR="00EE1DA1" w:rsidRPr="00D1165A" w:rsidRDefault="00EE1DA1" w:rsidP="00151081">
      <w:pPr>
        <w:spacing w:line="360" w:lineRule="auto"/>
        <w:rPr>
          <w:rFonts w:eastAsia="Times New Roman" w:cs="Arial"/>
          <w:lang w:val="en-GB"/>
        </w:rPr>
      </w:pPr>
    </w:p>
    <w:p w14:paraId="264B944E" w14:textId="77777777" w:rsidR="00EE1DA1" w:rsidRDefault="00EE1DA1" w:rsidP="00151081">
      <w:pPr>
        <w:pStyle w:val="ListParagraph"/>
        <w:numPr>
          <w:ilvl w:val="0"/>
          <w:numId w:val="4"/>
        </w:numPr>
        <w:spacing w:line="360" w:lineRule="auto"/>
        <w:ind w:left="714" w:hanging="357"/>
        <w:rPr>
          <w:rFonts w:eastAsia="Times New Roman" w:cs="Arial"/>
          <w:lang w:val="en-GB"/>
        </w:rPr>
      </w:pPr>
      <w:r w:rsidRPr="0095482B">
        <w:rPr>
          <w:rFonts w:eastAsia="Times New Roman" w:cs="Arial"/>
          <w:lang w:val="en-GB"/>
        </w:rPr>
        <w:t>The Municipal Infrastructure S</w:t>
      </w:r>
      <w:r>
        <w:rPr>
          <w:rFonts w:eastAsia="Times New Roman" w:cs="Arial"/>
          <w:lang w:val="en-GB"/>
        </w:rPr>
        <w:t>upport Agency, whose mandate is</w:t>
      </w:r>
      <w:r w:rsidRPr="0095482B">
        <w:rPr>
          <w:rFonts w:eastAsia="Times New Roman" w:cs="Arial"/>
          <w:lang w:val="en-GB"/>
        </w:rPr>
        <w:t xml:space="preserve"> to render technical advice</w:t>
      </w:r>
      <w:r>
        <w:rPr>
          <w:rFonts w:eastAsia="Times New Roman" w:cs="Arial"/>
          <w:lang w:val="en-GB"/>
        </w:rPr>
        <w:t>,</w:t>
      </w:r>
      <w:r w:rsidRPr="0095482B">
        <w:rPr>
          <w:rFonts w:eastAsia="Times New Roman" w:cs="Arial"/>
          <w:lang w:val="en-GB"/>
        </w:rPr>
        <w:t xml:space="preserve"> and support to municipalities, as well as strengthen their capacity to provide access to basic services.</w:t>
      </w:r>
    </w:p>
    <w:p w14:paraId="3C853021" w14:textId="77777777" w:rsidR="00EE1DA1" w:rsidRPr="0028177F" w:rsidRDefault="00EE1DA1" w:rsidP="00151081">
      <w:pPr>
        <w:pStyle w:val="ListParagraph"/>
        <w:spacing w:line="360" w:lineRule="auto"/>
        <w:rPr>
          <w:rFonts w:eastAsia="Times New Roman" w:cs="Arial"/>
          <w:lang w:val="en-GB"/>
        </w:rPr>
      </w:pPr>
    </w:p>
    <w:p w14:paraId="5C9439E1" w14:textId="77777777" w:rsidR="00EE1DA1" w:rsidRPr="00EE1DA1" w:rsidRDefault="00EE1DA1" w:rsidP="00151081">
      <w:pPr>
        <w:pStyle w:val="Heading2"/>
        <w:numPr>
          <w:ilvl w:val="1"/>
          <w:numId w:val="1"/>
        </w:numPr>
        <w:spacing w:line="360" w:lineRule="auto"/>
        <w:rPr>
          <w:rFonts w:eastAsia="Times New Roman"/>
          <w:color w:val="000000" w:themeColor="text1"/>
          <w:lang w:val="en-GB"/>
        </w:rPr>
      </w:pPr>
      <w:bookmarkStart w:id="4" w:name="_Toc495067556"/>
      <w:r w:rsidRPr="00EE1DA1">
        <w:rPr>
          <w:rFonts w:eastAsia="Times New Roman"/>
          <w:color w:val="000000" w:themeColor="text1"/>
          <w:lang w:val="en-GB"/>
        </w:rPr>
        <w:t>Purpose of the Report</w:t>
      </w:r>
      <w:bookmarkEnd w:id="4"/>
      <w:r w:rsidRPr="00EE1DA1">
        <w:rPr>
          <w:rFonts w:eastAsia="Times New Roman"/>
          <w:color w:val="000000" w:themeColor="text1"/>
          <w:lang w:val="en-GB"/>
        </w:rPr>
        <w:t xml:space="preserve"> </w:t>
      </w:r>
    </w:p>
    <w:p w14:paraId="3D7D490D" w14:textId="77777777" w:rsidR="00EE1DA1" w:rsidRDefault="00EE1DA1" w:rsidP="00151081">
      <w:pPr>
        <w:spacing w:line="360" w:lineRule="auto"/>
        <w:rPr>
          <w:lang w:val="en-GB"/>
        </w:rPr>
      </w:pPr>
    </w:p>
    <w:p w14:paraId="0A68492C" w14:textId="77777777" w:rsidR="00EE1DA1" w:rsidRDefault="00EE1DA1" w:rsidP="00151081">
      <w:pPr>
        <w:spacing w:line="360" w:lineRule="auto"/>
        <w:rPr>
          <w:rFonts w:eastAsia="Times New Roman" w:cs="Arial"/>
          <w:lang w:val="en-GB"/>
        </w:rPr>
      </w:pPr>
      <w:r w:rsidRPr="0095482B">
        <w:rPr>
          <w:rFonts w:eastAsia="Times New Roman" w:cs="Arial"/>
          <w:lang w:val="en-GB"/>
        </w:rPr>
        <w:t xml:space="preserve">Section 77 (3) of the Constitution stipulates that an Act of Parliament must provide for a procedure to amend money Bills before Parliament. This Constitutional provision resulted in Parliament passing the </w:t>
      </w:r>
      <w:r w:rsidRPr="00605D91">
        <w:rPr>
          <w:rFonts w:eastAsia="Times New Roman" w:cs="Arial"/>
          <w:i/>
          <w:lang w:val="en-GB"/>
        </w:rPr>
        <w:t xml:space="preserve">Money Bills Amendment Procedure and Related Matters </w:t>
      </w:r>
      <w:r>
        <w:rPr>
          <w:rFonts w:eastAsia="Times New Roman" w:cs="Arial"/>
          <w:i/>
          <w:lang w:val="en-GB"/>
        </w:rPr>
        <w:t>(</w:t>
      </w:r>
      <w:r w:rsidRPr="00605D91">
        <w:rPr>
          <w:rFonts w:eastAsia="Times New Roman" w:cs="Arial"/>
          <w:i/>
          <w:lang w:val="en-GB"/>
        </w:rPr>
        <w:t>Act No. 9 of 2009</w:t>
      </w:r>
      <w:r>
        <w:rPr>
          <w:rFonts w:eastAsia="Times New Roman" w:cs="Arial"/>
          <w:i/>
          <w:lang w:val="en-GB"/>
        </w:rPr>
        <w:t>)</w:t>
      </w:r>
      <w:r>
        <w:rPr>
          <w:rFonts w:eastAsia="Times New Roman" w:cs="Arial"/>
          <w:lang w:val="en-GB"/>
        </w:rPr>
        <w:t xml:space="preserve"> (the Money Bills Act). </w:t>
      </w:r>
      <w:r w:rsidRPr="0095482B">
        <w:rPr>
          <w:rFonts w:eastAsia="Times New Roman" w:cs="Arial"/>
          <w:lang w:val="en-GB"/>
        </w:rPr>
        <w:t xml:space="preserve">The Money Bills Act sets out the process that allows Parliament to make recommendations to the Minister of finance to amend the budget of a </w:t>
      </w:r>
      <w:r w:rsidRPr="0095482B">
        <w:rPr>
          <w:rFonts w:eastAsia="Times New Roman" w:cs="Arial"/>
          <w:lang w:val="en-GB"/>
        </w:rPr>
        <w:lastRenderedPageBreak/>
        <w:t>national department. In October each year, Portfolio Committees must compile the Budgetary Review and Recommendation Reports (BRRR) that assess service delivery performance given the available resources; evaluate the effective and efficient use and forward allocation of resources; and may make recommendations on forward use of resources.</w:t>
      </w:r>
    </w:p>
    <w:p w14:paraId="5DCBE178" w14:textId="77777777" w:rsidR="00EE1DA1" w:rsidRDefault="00EE1DA1" w:rsidP="00151081">
      <w:pPr>
        <w:spacing w:line="360" w:lineRule="auto"/>
        <w:rPr>
          <w:rFonts w:eastAsia="Times New Roman" w:cs="Arial"/>
          <w:lang w:val="en-GB"/>
        </w:rPr>
      </w:pPr>
    </w:p>
    <w:p w14:paraId="7195932E" w14:textId="77777777" w:rsidR="00EE1DA1" w:rsidRPr="00EE1DA1" w:rsidRDefault="00EE1DA1" w:rsidP="00151081">
      <w:pPr>
        <w:pStyle w:val="Heading2"/>
        <w:numPr>
          <w:ilvl w:val="1"/>
          <w:numId w:val="1"/>
        </w:numPr>
        <w:spacing w:line="360" w:lineRule="auto"/>
        <w:rPr>
          <w:rFonts w:eastAsia="Times New Roman"/>
          <w:color w:val="000000" w:themeColor="text1"/>
          <w:lang w:val="en-GB"/>
        </w:rPr>
      </w:pPr>
      <w:bookmarkStart w:id="5" w:name="_Toc495067557"/>
      <w:r w:rsidRPr="00EE1DA1">
        <w:rPr>
          <w:rFonts w:eastAsia="Times New Roman"/>
          <w:color w:val="000000" w:themeColor="text1"/>
          <w:lang w:val="en-GB"/>
        </w:rPr>
        <w:t>Method of reporting</w:t>
      </w:r>
      <w:bookmarkEnd w:id="5"/>
    </w:p>
    <w:p w14:paraId="123C3CB5" w14:textId="77777777" w:rsidR="00EE1DA1" w:rsidRDefault="00EE1DA1" w:rsidP="00151081">
      <w:pPr>
        <w:spacing w:line="360" w:lineRule="auto"/>
        <w:rPr>
          <w:lang w:val="en-GB"/>
        </w:rPr>
      </w:pPr>
    </w:p>
    <w:p w14:paraId="2BF19BEF" w14:textId="77777777" w:rsidR="00EE1DA1" w:rsidRPr="0095482B" w:rsidRDefault="00EE1DA1" w:rsidP="00151081">
      <w:pPr>
        <w:spacing w:line="360" w:lineRule="auto"/>
        <w:rPr>
          <w:rFonts w:eastAsia="Times New Roman" w:cs="Arial"/>
          <w:lang w:val="en-GB"/>
        </w:rPr>
      </w:pPr>
      <w:r w:rsidRPr="0095482B">
        <w:rPr>
          <w:rFonts w:eastAsia="Times New Roman" w:cs="Arial"/>
          <w:lang w:val="en-GB"/>
        </w:rPr>
        <w:t>This BRR Report assesses the financial performance as well as service delivery performance of the Department of Cooperative Governance and Traditional Affai</w:t>
      </w:r>
      <w:r>
        <w:rPr>
          <w:rFonts w:eastAsia="Times New Roman" w:cs="Arial"/>
          <w:lang w:val="en-GB"/>
        </w:rPr>
        <w:t>rs and its entities for the 2016/17 financial year. Informing the assessment are</w:t>
      </w:r>
      <w:r w:rsidRPr="0095482B">
        <w:rPr>
          <w:rFonts w:eastAsia="Times New Roman" w:cs="Arial"/>
          <w:lang w:val="en-GB"/>
        </w:rPr>
        <w:t xml:space="preserve"> briefings to the Committee by the </w:t>
      </w:r>
      <w:r>
        <w:rPr>
          <w:rFonts w:eastAsia="Times New Roman" w:cs="Arial"/>
          <w:lang w:val="en-GB"/>
        </w:rPr>
        <w:t>D</w:t>
      </w:r>
      <w:r w:rsidRPr="0095482B">
        <w:rPr>
          <w:rFonts w:eastAsia="Times New Roman" w:cs="Arial"/>
          <w:lang w:val="en-GB"/>
        </w:rPr>
        <w:t>epartment and its entities</w:t>
      </w:r>
      <w:r>
        <w:rPr>
          <w:rFonts w:eastAsia="Times New Roman" w:cs="Arial"/>
          <w:lang w:val="en-GB"/>
        </w:rPr>
        <w:t>,</w:t>
      </w:r>
      <w:r w:rsidRPr="0095482B">
        <w:rPr>
          <w:rFonts w:eastAsia="Times New Roman" w:cs="Arial"/>
          <w:lang w:val="en-GB"/>
        </w:rPr>
        <w:t xml:space="preserve"> and other sources of information suc</w:t>
      </w:r>
      <w:r>
        <w:rPr>
          <w:rFonts w:eastAsia="Times New Roman" w:cs="Arial"/>
          <w:lang w:val="en-GB"/>
        </w:rPr>
        <w:t>h as the reports of the Auditor-</w:t>
      </w:r>
      <w:r w:rsidRPr="0095482B">
        <w:rPr>
          <w:rFonts w:eastAsia="Times New Roman" w:cs="Arial"/>
          <w:lang w:val="en-GB"/>
        </w:rPr>
        <w:t>General</w:t>
      </w:r>
      <w:r>
        <w:rPr>
          <w:rFonts w:eastAsia="Times New Roman" w:cs="Arial"/>
          <w:lang w:val="en-GB"/>
        </w:rPr>
        <w:t xml:space="preserve"> and Annual R</w:t>
      </w:r>
      <w:r w:rsidRPr="0095482B">
        <w:rPr>
          <w:rFonts w:eastAsia="Times New Roman" w:cs="Arial"/>
          <w:lang w:val="en-GB"/>
        </w:rPr>
        <w:t>eports</w:t>
      </w:r>
      <w:r w:rsidRPr="00151081">
        <w:rPr>
          <w:rFonts w:eastAsia="Times New Roman" w:cs="Arial"/>
          <w:lang w:val="en-GB"/>
        </w:rPr>
        <w:t>.</w:t>
      </w:r>
      <w:r w:rsidR="008D56E5" w:rsidRPr="00151081">
        <w:rPr>
          <w:rFonts w:eastAsia="Times New Roman" w:cs="Arial"/>
          <w:lang w:val="en-GB"/>
        </w:rPr>
        <w:t xml:space="preserve"> The Committee had meetings on</w:t>
      </w:r>
      <w:r w:rsidR="00151081">
        <w:rPr>
          <w:rFonts w:eastAsia="Times New Roman" w:cs="Arial"/>
          <w:lang w:val="en-GB"/>
        </w:rPr>
        <w:t xml:space="preserve"> 3 -5 October 2017 dealing with</w:t>
      </w:r>
      <w:r w:rsidR="008D56E5" w:rsidRPr="00151081">
        <w:rPr>
          <w:rFonts w:eastAsia="Times New Roman" w:cs="Arial"/>
          <w:lang w:val="en-GB"/>
        </w:rPr>
        <w:t xml:space="preserve"> Office of the Auditor-General of South Africa (AGSA), Departments of Cooperative Governance and Traditional Affairs and South African Local Government Association (SALGA), Municipal Demarcation Board (MDB), and CRL Rights Commission) </w:t>
      </w:r>
      <w:r w:rsidR="00151081">
        <w:rPr>
          <w:rFonts w:eastAsia="Times New Roman" w:cs="Arial"/>
          <w:lang w:val="en-GB"/>
        </w:rPr>
        <w:t xml:space="preserve">respectively. </w:t>
      </w:r>
    </w:p>
    <w:p w14:paraId="6EF7F1CB" w14:textId="77777777" w:rsidR="00EE1DA1" w:rsidRDefault="00EE1DA1" w:rsidP="00151081">
      <w:pPr>
        <w:spacing w:line="360" w:lineRule="auto"/>
        <w:rPr>
          <w:lang w:val="en-GB"/>
        </w:rPr>
      </w:pPr>
    </w:p>
    <w:p w14:paraId="3903EE02" w14:textId="77777777" w:rsidR="00EE1DA1" w:rsidRPr="00EE1DA1" w:rsidRDefault="00EE1DA1" w:rsidP="00151081">
      <w:pPr>
        <w:pStyle w:val="Heading2"/>
        <w:numPr>
          <w:ilvl w:val="1"/>
          <w:numId w:val="1"/>
        </w:numPr>
        <w:spacing w:line="360" w:lineRule="auto"/>
        <w:rPr>
          <w:color w:val="000000" w:themeColor="text1"/>
          <w:lang w:val="en-GB"/>
        </w:rPr>
      </w:pPr>
      <w:bookmarkStart w:id="6" w:name="_Toc495067558"/>
      <w:r w:rsidRPr="00EE1DA1">
        <w:rPr>
          <w:color w:val="000000" w:themeColor="text1"/>
          <w:lang w:val="en-GB"/>
        </w:rPr>
        <w:t>Report outline</w:t>
      </w:r>
      <w:bookmarkEnd w:id="6"/>
    </w:p>
    <w:p w14:paraId="66CEA6E7" w14:textId="77777777" w:rsidR="00EE1DA1" w:rsidRDefault="00EE1DA1" w:rsidP="00151081">
      <w:pPr>
        <w:spacing w:line="360" w:lineRule="auto"/>
        <w:rPr>
          <w:lang w:val="en-GB"/>
        </w:rPr>
      </w:pPr>
    </w:p>
    <w:p w14:paraId="20E5E681" w14:textId="77777777" w:rsidR="00EE1DA1" w:rsidRDefault="00EE1DA1" w:rsidP="00151081">
      <w:pPr>
        <w:spacing w:line="360" w:lineRule="auto"/>
        <w:rPr>
          <w:rFonts w:eastAsia="Times New Roman" w:cs="Arial"/>
          <w:lang w:val="en-GB"/>
        </w:rPr>
      </w:pPr>
      <w:r>
        <w:rPr>
          <w:rFonts w:eastAsia="Times New Roman" w:cs="Arial"/>
          <w:lang w:val="en-GB"/>
        </w:rPr>
        <w:t>The structure of the Report is</w:t>
      </w:r>
      <w:r w:rsidRPr="0095482B">
        <w:rPr>
          <w:rFonts w:eastAsia="Times New Roman" w:cs="Arial"/>
          <w:lang w:val="en-GB"/>
        </w:rPr>
        <w:t xml:space="preserve"> as follows: section 2 provides an overview of key policy focus areas of the Department of Cooperative Governance and Traditional A</w:t>
      </w:r>
      <w:r>
        <w:rPr>
          <w:rFonts w:eastAsia="Times New Roman" w:cs="Arial"/>
          <w:lang w:val="en-GB"/>
        </w:rPr>
        <w:t>ffairs during the 2016/17</w:t>
      </w:r>
      <w:r w:rsidRPr="0095482B">
        <w:rPr>
          <w:rFonts w:eastAsia="Times New Roman" w:cs="Arial"/>
          <w:lang w:val="en-GB"/>
        </w:rPr>
        <w:t xml:space="preserve"> financial year. Section 3 provides key financial and performance recommendations of the Portfolio Committee on </w:t>
      </w:r>
      <w:r>
        <w:rPr>
          <w:rFonts w:eastAsia="Times New Roman" w:cs="Arial"/>
          <w:lang w:val="en-GB"/>
        </w:rPr>
        <w:t>COGTA. Section 4 of the R</w:t>
      </w:r>
      <w:r w:rsidRPr="0095482B">
        <w:rPr>
          <w:rFonts w:eastAsia="Times New Roman" w:cs="Arial"/>
          <w:lang w:val="en-GB"/>
        </w:rPr>
        <w:t>eport provides an overview and assessment of reported financial and servi</w:t>
      </w:r>
      <w:r>
        <w:rPr>
          <w:rFonts w:eastAsia="Times New Roman" w:cs="Arial"/>
          <w:lang w:val="en-GB"/>
        </w:rPr>
        <w:t>ce delivery performance for the 2016/17</w:t>
      </w:r>
      <w:r w:rsidRPr="0095482B">
        <w:rPr>
          <w:rFonts w:eastAsia="Times New Roman" w:cs="Arial"/>
          <w:lang w:val="en-GB"/>
        </w:rPr>
        <w:t xml:space="preserve"> fi</w:t>
      </w:r>
      <w:r>
        <w:rPr>
          <w:rFonts w:eastAsia="Times New Roman" w:cs="Arial"/>
          <w:lang w:val="en-GB"/>
        </w:rPr>
        <w:t>nancial year. Section 5 of the R</w:t>
      </w:r>
      <w:r w:rsidRPr="0095482B">
        <w:rPr>
          <w:rFonts w:eastAsia="Times New Roman" w:cs="Arial"/>
          <w:lang w:val="en-GB"/>
        </w:rPr>
        <w:t>eport focuses on the Portfolio Committee’s observations on COGTA’s governance, technical, service delivery and financial performance information. Section 6 table’s additional reporting requests by the Portfolio Committee</w:t>
      </w:r>
      <w:r>
        <w:rPr>
          <w:rFonts w:eastAsia="Times New Roman" w:cs="Arial"/>
          <w:lang w:val="en-GB"/>
        </w:rPr>
        <w:t>. The R</w:t>
      </w:r>
      <w:r w:rsidRPr="0095482B">
        <w:rPr>
          <w:rFonts w:eastAsia="Times New Roman" w:cs="Arial"/>
          <w:lang w:val="en-GB"/>
        </w:rPr>
        <w:t>eport conclude</w:t>
      </w:r>
      <w:r>
        <w:rPr>
          <w:rFonts w:eastAsia="Times New Roman" w:cs="Arial"/>
          <w:lang w:val="en-GB"/>
        </w:rPr>
        <w:t>s</w:t>
      </w:r>
      <w:r w:rsidRPr="0095482B">
        <w:rPr>
          <w:rFonts w:eastAsia="Times New Roman" w:cs="Arial"/>
          <w:lang w:val="en-GB"/>
        </w:rPr>
        <w:t xml:space="preserve"> with recommendations in section 7. </w:t>
      </w:r>
    </w:p>
    <w:p w14:paraId="2EC89CA2" w14:textId="77777777" w:rsidR="00DD238C" w:rsidRDefault="00DD238C" w:rsidP="00151081">
      <w:pPr>
        <w:spacing w:line="360" w:lineRule="auto"/>
        <w:rPr>
          <w:rFonts w:eastAsia="Times New Roman" w:cs="Arial"/>
          <w:lang w:val="en-GB"/>
        </w:rPr>
      </w:pPr>
    </w:p>
    <w:p w14:paraId="612DCE6A" w14:textId="77777777" w:rsidR="00EE1DA1" w:rsidRPr="00EE1DA1" w:rsidRDefault="00EE1DA1" w:rsidP="00151081">
      <w:pPr>
        <w:pStyle w:val="Heading1"/>
        <w:numPr>
          <w:ilvl w:val="0"/>
          <w:numId w:val="1"/>
        </w:numPr>
        <w:spacing w:line="360" w:lineRule="auto"/>
        <w:rPr>
          <w:color w:val="000000" w:themeColor="text1"/>
        </w:rPr>
      </w:pPr>
      <w:bookmarkStart w:id="7" w:name="_Toc495067559"/>
      <w:r w:rsidRPr="00EE1DA1">
        <w:rPr>
          <w:color w:val="000000" w:themeColor="text1"/>
        </w:rPr>
        <w:t>policy overview</w:t>
      </w:r>
      <w:bookmarkEnd w:id="7"/>
    </w:p>
    <w:p w14:paraId="35549100" w14:textId="77777777" w:rsidR="00EE1DA1" w:rsidRDefault="00EE1DA1" w:rsidP="00151081">
      <w:pPr>
        <w:spacing w:line="360" w:lineRule="auto"/>
        <w:rPr>
          <w:rFonts w:cs="Arial"/>
          <w:bCs/>
        </w:rPr>
      </w:pPr>
    </w:p>
    <w:p w14:paraId="084B7456" w14:textId="77777777" w:rsidR="00EE1DA1" w:rsidRDefault="00EE1DA1" w:rsidP="00151081">
      <w:pPr>
        <w:spacing w:line="360" w:lineRule="auto"/>
        <w:rPr>
          <w:rFonts w:cs="Arial"/>
          <w:bCs/>
        </w:rPr>
      </w:pPr>
      <w:r>
        <w:rPr>
          <w:rFonts w:cs="Arial"/>
          <w:bCs/>
        </w:rPr>
        <w:t>Government’s policy priorities for the 2016 MTEF that were relevant to Cooperative Governance and Traditional Affairs included:</w:t>
      </w:r>
    </w:p>
    <w:p w14:paraId="51BAB7B8" w14:textId="77777777" w:rsidR="00EE1DA1" w:rsidRDefault="00EE1DA1" w:rsidP="00151081">
      <w:pPr>
        <w:spacing w:line="360" w:lineRule="auto"/>
        <w:rPr>
          <w:rFonts w:cs="Arial"/>
          <w:bCs/>
        </w:rPr>
      </w:pPr>
    </w:p>
    <w:p w14:paraId="0326FBB1" w14:textId="77777777" w:rsidR="00EE1DA1" w:rsidRDefault="00EE1DA1" w:rsidP="00151081">
      <w:pPr>
        <w:pStyle w:val="ListParagraph"/>
        <w:numPr>
          <w:ilvl w:val="0"/>
          <w:numId w:val="9"/>
        </w:numPr>
        <w:spacing w:line="360" w:lineRule="auto"/>
        <w:rPr>
          <w:rFonts w:cs="Arial"/>
          <w:bCs/>
        </w:rPr>
      </w:pPr>
      <w:r>
        <w:rPr>
          <w:rFonts w:cs="Arial"/>
          <w:bCs/>
        </w:rPr>
        <w:t xml:space="preserve">The introduction of appropriate incentives to upgrade and maintain provincial and municipal infrastructure. In line with the recommendations made by the Cooperative Governance and Traditional Affairs Portfolio Committee in previous years, the Department of Cooperative Governance was to work on strengthening municipalities and their project management units receive funds through the </w:t>
      </w:r>
      <w:r w:rsidRPr="0075196E">
        <w:rPr>
          <w:rFonts w:cs="Arial"/>
          <w:bCs/>
          <w:i/>
        </w:rPr>
        <w:t>municipal infrastructure grant</w:t>
      </w:r>
      <w:r>
        <w:rPr>
          <w:rFonts w:cs="Arial"/>
          <w:bCs/>
        </w:rPr>
        <w:t>.</w:t>
      </w:r>
    </w:p>
    <w:p w14:paraId="099273B8" w14:textId="77777777" w:rsidR="00EE1DA1" w:rsidRPr="00781A87" w:rsidRDefault="00EE1DA1" w:rsidP="00151081">
      <w:pPr>
        <w:spacing w:line="360" w:lineRule="auto"/>
        <w:ind w:left="360"/>
        <w:rPr>
          <w:rFonts w:cs="Arial"/>
          <w:bCs/>
        </w:rPr>
      </w:pPr>
    </w:p>
    <w:p w14:paraId="526E1916" w14:textId="77777777" w:rsidR="00EE1DA1" w:rsidRPr="00FE6298" w:rsidRDefault="00EE1DA1" w:rsidP="00151081">
      <w:pPr>
        <w:pStyle w:val="ListParagraph"/>
        <w:numPr>
          <w:ilvl w:val="0"/>
          <w:numId w:val="9"/>
        </w:numPr>
        <w:spacing w:line="360" w:lineRule="auto"/>
        <w:rPr>
          <w:rFonts w:cs="Arial"/>
          <w:bCs/>
        </w:rPr>
      </w:pPr>
      <w:r>
        <w:rPr>
          <w:rFonts w:cs="Arial"/>
          <w:bCs/>
        </w:rPr>
        <w:t xml:space="preserve">The completion of the eradication of bucket sanitation systems in formal residential areas. In this regard, a total of R350 million was added to the </w:t>
      </w:r>
      <w:r w:rsidRPr="00F522BA">
        <w:rPr>
          <w:rFonts w:cs="Arial"/>
          <w:bCs/>
          <w:i/>
        </w:rPr>
        <w:t>bucket eradication programme grant</w:t>
      </w:r>
      <w:r>
        <w:rPr>
          <w:rFonts w:cs="Arial"/>
          <w:bCs/>
        </w:rPr>
        <w:t xml:space="preserve"> in 2016/17.</w:t>
      </w:r>
    </w:p>
    <w:p w14:paraId="64C53726" w14:textId="77777777" w:rsidR="00EE1DA1" w:rsidRDefault="00EE1DA1" w:rsidP="00151081">
      <w:pPr>
        <w:spacing w:line="360" w:lineRule="auto"/>
        <w:rPr>
          <w:rFonts w:cs="Arial"/>
          <w:bCs/>
        </w:rPr>
      </w:pPr>
      <w:r>
        <w:rPr>
          <w:rFonts w:cs="Arial"/>
          <w:bCs/>
        </w:rPr>
        <w:t xml:space="preserve"> </w:t>
      </w:r>
    </w:p>
    <w:p w14:paraId="7CE1995F" w14:textId="77777777" w:rsidR="00EE1DA1" w:rsidRDefault="00EE1DA1" w:rsidP="00151081">
      <w:pPr>
        <w:pStyle w:val="ListParagraph"/>
        <w:numPr>
          <w:ilvl w:val="0"/>
          <w:numId w:val="9"/>
        </w:numPr>
        <w:spacing w:line="360" w:lineRule="auto"/>
        <w:rPr>
          <w:rFonts w:cs="Arial"/>
          <w:bCs/>
        </w:rPr>
      </w:pPr>
      <w:r w:rsidRPr="00781A87">
        <w:rPr>
          <w:rFonts w:cs="Arial"/>
          <w:bCs/>
        </w:rPr>
        <w:t>Investment in infrastructure to increase potential growth also continued to be a key pri</w:t>
      </w:r>
      <w:r>
        <w:rPr>
          <w:rFonts w:cs="Arial"/>
          <w:bCs/>
        </w:rPr>
        <w:t>ority of government in 2016/17, with R102 billion earmarked for water resources and bulk infrastructure and R173 billion for transfers of the local government equitable share to support the expansion of access of poor households to free basic services.</w:t>
      </w:r>
      <w:r w:rsidR="00DD238C">
        <w:rPr>
          <w:rFonts w:cs="Arial"/>
          <w:bCs/>
        </w:rPr>
        <w:t xml:space="preserve"> </w:t>
      </w:r>
    </w:p>
    <w:p w14:paraId="75C5D947" w14:textId="77777777" w:rsidR="00DD238C" w:rsidRPr="00DD238C" w:rsidRDefault="00DD238C" w:rsidP="00DD238C">
      <w:pPr>
        <w:spacing w:line="360" w:lineRule="auto"/>
        <w:rPr>
          <w:rFonts w:cs="Arial"/>
          <w:bCs/>
        </w:rPr>
      </w:pPr>
    </w:p>
    <w:p w14:paraId="422D7E17" w14:textId="77777777" w:rsidR="00EE1DA1" w:rsidRPr="00EE1DA1" w:rsidRDefault="00EE1DA1" w:rsidP="00151081">
      <w:pPr>
        <w:pStyle w:val="Heading1"/>
        <w:numPr>
          <w:ilvl w:val="0"/>
          <w:numId w:val="1"/>
        </w:numPr>
        <w:spacing w:line="360" w:lineRule="auto"/>
        <w:rPr>
          <w:color w:val="000000" w:themeColor="text1"/>
        </w:rPr>
      </w:pPr>
      <w:bookmarkStart w:id="8" w:name="_Toc495067560"/>
      <w:r w:rsidRPr="00EE1DA1">
        <w:rPr>
          <w:color w:val="000000" w:themeColor="text1"/>
        </w:rPr>
        <w:t>Summary of previous key financial and performance recommendations to the committee</w:t>
      </w:r>
      <w:bookmarkEnd w:id="8"/>
    </w:p>
    <w:p w14:paraId="664B1796" w14:textId="77777777" w:rsidR="00EE1DA1" w:rsidRPr="00E22056" w:rsidRDefault="00EE1DA1" w:rsidP="00151081">
      <w:pPr>
        <w:spacing w:line="360" w:lineRule="auto"/>
        <w:rPr>
          <w:rFonts w:cs="Arial"/>
          <w:b/>
          <w:bCs/>
        </w:r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4838"/>
        <w:gridCol w:w="4306"/>
      </w:tblGrid>
      <w:tr w:rsidR="00EE1DA1" w:rsidRPr="00980D0C" w14:paraId="4088352D" w14:textId="77777777" w:rsidTr="00133C3A">
        <w:trPr>
          <w:trHeight w:val="394"/>
        </w:trPr>
        <w:tc>
          <w:tcPr>
            <w:tcW w:w="0" w:type="auto"/>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108" w:type="dxa"/>
              <w:bottom w:w="0" w:type="dxa"/>
              <w:right w:w="108" w:type="dxa"/>
            </w:tcMar>
          </w:tcPr>
          <w:p w14:paraId="69D4D086" w14:textId="77777777" w:rsidR="00EE1DA1" w:rsidRPr="00980D0C" w:rsidRDefault="00EE1DA1" w:rsidP="00151081">
            <w:pPr>
              <w:spacing w:line="360" w:lineRule="auto"/>
              <w:rPr>
                <w:rFonts w:cs="Arial"/>
                <w:b/>
              </w:rPr>
            </w:pPr>
            <w:r>
              <w:rPr>
                <w:rFonts w:cs="Arial"/>
                <w:b/>
              </w:rPr>
              <w:t>2015/16 RECOMMENDATION</w:t>
            </w:r>
          </w:p>
        </w:tc>
        <w:tc>
          <w:tcPr>
            <w:tcW w:w="0" w:type="auto"/>
            <w:tcBorders>
              <w:top w:val="single" w:sz="8" w:space="0" w:color="000000"/>
              <w:left w:val="single" w:sz="8" w:space="0" w:color="000000"/>
              <w:bottom w:val="single" w:sz="8" w:space="0" w:color="000000"/>
              <w:right w:val="single" w:sz="8" w:space="0" w:color="000000"/>
            </w:tcBorders>
            <w:shd w:val="clear" w:color="auto" w:fill="A8D08D" w:themeFill="accent6" w:themeFillTint="99"/>
          </w:tcPr>
          <w:p w14:paraId="24508843" w14:textId="77777777" w:rsidR="00EE1DA1" w:rsidRPr="00980D0C" w:rsidRDefault="00EE1DA1" w:rsidP="00151081">
            <w:pPr>
              <w:spacing w:line="360" w:lineRule="auto"/>
              <w:rPr>
                <w:rFonts w:cs="Arial"/>
                <w:b/>
              </w:rPr>
            </w:pPr>
            <w:r>
              <w:rPr>
                <w:rFonts w:cs="Arial"/>
                <w:b/>
              </w:rPr>
              <w:t>PROGRESS MADE IN 2016/17</w:t>
            </w:r>
          </w:p>
        </w:tc>
      </w:tr>
      <w:tr w:rsidR="00EE1DA1" w:rsidRPr="00980D0C" w14:paraId="201EBBF9" w14:textId="77777777" w:rsidTr="00133C3A">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CDA16" w14:textId="77777777" w:rsidR="00EE1DA1" w:rsidRPr="00095913" w:rsidRDefault="00EE1DA1" w:rsidP="00151081">
            <w:pPr>
              <w:pStyle w:val="ListParagraph"/>
              <w:numPr>
                <w:ilvl w:val="0"/>
                <w:numId w:val="10"/>
              </w:numPr>
              <w:spacing w:after="160" w:line="360" w:lineRule="auto"/>
              <w:rPr>
                <w:rFonts w:cs="Arial"/>
              </w:rPr>
            </w:pPr>
            <w:r w:rsidRPr="00C93CBE">
              <w:rPr>
                <w:rFonts w:cs="Arial"/>
              </w:rPr>
              <w:t>The Committee recommended that the Department of Cooperative Governance improve its management of contracts signed with implementing agents of CWP. The</w:t>
            </w:r>
            <w:r>
              <w:rPr>
                <w:rFonts w:cs="Arial"/>
              </w:rPr>
              <w:t xml:space="preserve"> Committee further requested the</w:t>
            </w:r>
            <w:r w:rsidRPr="00C93CBE">
              <w:rPr>
                <w:rFonts w:cs="Arial"/>
              </w:rPr>
              <w:t xml:space="preserve"> </w:t>
            </w:r>
            <w:r>
              <w:rPr>
                <w:rFonts w:cs="Arial"/>
              </w:rPr>
              <w:t xml:space="preserve">Department </w:t>
            </w:r>
            <w:r w:rsidRPr="00C93CBE">
              <w:rPr>
                <w:rFonts w:cs="Arial"/>
              </w:rPr>
              <w:t>to maintain an assets register that adheres to t</w:t>
            </w:r>
            <w:r>
              <w:rPr>
                <w:rFonts w:cs="Arial"/>
              </w:rPr>
              <w:t xml:space="preserve">he minimum requirements for </w:t>
            </w:r>
            <w:r w:rsidRPr="00C93CBE">
              <w:rPr>
                <w:rFonts w:cs="Arial"/>
              </w:rPr>
              <w:t>assets register</w:t>
            </w:r>
            <w:r>
              <w:rPr>
                <w:rFonts w:cs="Arial"/>
              </w:rPr>
              <w:t>s</w:t>
            </w:r>
            <w:r w:rsidRPr="00C93CBE">
              <w:rPr>
                <w:rFonts w:cs="Arial"/>
              </w:rPr>
              <w:t xml:space="preserve"> as prescribed by National Treasury.</w:t>
            </w:r>
          </w:p>
        </w:tc>
        <w:tc>
          <w:tcPr>
            <w:tcW w:w="0" w:type="auto"/>
            <w:tcBorders>
              <w:top w:val="single" w:sz="8" w:space="0" w:color="000000"/>
              <w:left w:val="single" w:sz="8" w:space="0" w:color="000000"/>
              <w:bottom w:val="single" w:sz="8" w:space="0" w:color="000000"/>
              <w:right w:val="single" w:sz="8" w:space="0" w:color="000000"/>
            </w:tcBorders>
          </w:tcPr>
          <w:p w14:paraId="1EF7568F" w14:textId="77777777" w:rsidR="00EE1DA1" w:rsidRPr="001B1CDC" w:rsidRDefault="00EE1DA1" w:rsidP="00151081">
            <w:pPr>
              <w:spacing w:line="360" w:lineRule="auto"/>
              <w:rPr>
                <w:b/>
              </w:rPr>
            </w:pPr>
            <w:r>
              <w:t>The Department reported that the implementation and management of the Community Work Programme remained a challenge, particularly around managing the relationship between the Department and Implementing Agents. The CWP continued to contribute negatively to the Department’s audit outcomes and irregular expenditure</w:t>
            </w:r>
          </w:p>
          <w:p w14:paraId="11C07A41" w14:textId="77777777" w:rsidR="00EE1DA1" w:rsidRPr="00CA0203" w:rsidRDefault="00EE1DA1" w:rsidP="00151081">
            <w:pPr>
              <w:tabs>
                <w:tab w:val="center" w:pos="837"/>
              </w:tabs>
              <w:spacing w:line="360" w:lineRule="auto"/>
              <w:rPr>
                <w:rFonts w:cs="Arial"/>
              </w:rPr>
            </w:pPr>
          </w:p>
        </w:tc>
      </w:tr>
      <w:tr w:rsidR="00EE1DA1" w:rsidRPr="00980D0C" w14:paraId="25D43FCA" w14:textId="77777777" w:rsidTr="00133C3A">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1E0750" w14:textId="77777777" w:rsidR="00EE1DA1" w:rsidRPr="00B00D01" w:rsidRDefault="00EE1DA1" w:rsidP="00151081">
            <w:pPr>
              <w:pStyle w:val="ListParagraph"/>
              <w:numPr>
                <w:ilvl w:val="0"/>
                <w:numId w:val="10"/>
              </w:numPr>
              <w:spacing w:after="160" w:line="360" w:lineRule="auto"/>
              <w:rPr>
                <w:rFonts w:cs="Arial"/>
              </w:rPr>
            </w:pPr>
            <w:r w:rsidRPr="00B00D01">
              <w:rPr>
                <w:rFonts w:cs="Arial"/>
              </w:rPr>
              <w:t xml:space="preserve">The Department should ensure that all municipalities enforce competency </w:t>
            </w:r>
            <w:r w:rsidRPr="00B00D01">
              <w:rPr>
                <w:rFonts w:cs="Arial"/>
              </w:rPr>
              <w:lastRenderedPageBreak/>
              <w:t>standards for Managers and appoint persons with the requisite skills, expertise and qualifications. In instances w</w:t>
            </w:r>
            <w:r>
              <w:rPr>
                <w:rFonts w:cs="Arial"/>
              </w:rPr>
              <w:t>here municipalities contravene</w:t>
            </w:r>
            <w:r w:rsidRPr="00B00D01">
              <w:rPr>
                <w:rFonts w:cs="Arial"/>
              </w:rPr>
              <w:t xml:space="preserve"> the Systems Act and its regulations, and</w:t>
            </w:r>
            <w:r>
              <w:rPr>
                <w:rFonts w:cs="Arial"/>
              </w:rPr>
              <w:t xml:space="preserve"> take corrective measures to ensure compliance.</w:t>
            </w:r>
          </w:p>
        </w:tc>
        <w:tc>
          <w:tcPr>
            <w:tcW w:w="0" w:type="auto"/>
            <w:tcBorders>
              <w:top w:val="single" w:sz="8" w:space="0" w:color="000000"/>
              <w:left w:val="single" w:sz="8" w:space="0" w:color="000000"/>
              <w:bottom w:val="single" w:sz="8" w:space="0" w:color="000000"/>
              <w:right w:val="single" w:sz="8" w:space="0" w:color="000000"/>
            </w:tcBorders>
          </w:tcPr>
          <w:p w14:paraId="590B6951" w14:textId="77777777" w:rsidR="00EE1DA1" w:rsidRPr="00CA0203" w:rsidRDefault="00EE1DA1" w:rsidP="00151081">
            <w:pPr>
              <w:tabs>
                <w:tab w:val="center" w:pos="837"/>
              </w:tabs>
              <w:spacing w:line="360" w:lineRule="auto"/>
              <w:rPr>
                <w:rFonts w:cs="Arial"/>
              </w:rPr>
            </w:pPr>
            <w:r>
              <w:rPr>
                <w:rFonts w:cs="Arial"/>
              </w:rPr>
              <w:lastRenderedPageBreak/>
              <w:t xml:space="preserve">During the discussion on the 2016/17 BRRR process, there was an observation </w:t>
            </w:r>
            <w:r>
              <w:rPr>
                <w:rFonts w:cs="Arial"/>
              </w:rPr>
              <w:lastRenderedPageBreak/>
              <w:t>that there were still instances of municipal senior officials who contravene the law in one municipality but find employment in another municipality</w:t>
            </w:r>
          </w:p>
        </w:tc>
      </w:tr>
      <w:tr w:rsidR="00EE1DA1" w:rsidRPr="00980D0C" w14:paraId="27849719" w14:textId="77777777" w:rsidTr="00133C3A">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9FE96B" w14:textId="77777777" w:rsidR="00EE1DA1" w:rsidRPr="00FB23D8" w:rsidRDefault="00EE1DA1" w:rsidP="00151081">
            <w:pPr>
              <w:pStyle w:val="ListParagraph"/>
              <w:numPr>
                <w:ilvl w:val="0"/>
                <w:numId w:val="10"/>
              </w:numPr>
              <w:spacing w:after="160" w:line="360" w:lineRule="auto"/>
              <w:rPr>
                <w:rFonts w:cs="Arial"/>
              </w:rPr>
            </w:pPr>
            <w:r w:rsidRPr="00FB23D8">
              <w:rPr>
                <w:rFonts w:cs="Arial"/>
              </w:rPr>
              <w:lastRenderedPageBreak/>
              <w:t>The Department and its entities must reduce irregular expenditure and ensure that there is no unauthorised, fruitless and wasteful expenditure incurred.</w:t>
            </w:r>
          </w:p>
        </w:tc>
        <w:tc>
          <w:tcPr>
            <w:tcW w:w="0" w:type="auto"/>
            <w:tcBorders>
              <w:top w:val="single" w:sz="8" w:space="0" w:color="000000"/>
              <w:left w:val="single" w:sz="8" w:space="0" w:color="000000"/>
              <w:bottom w:val="single" w:sz="8" w:space="0" w:color="000000"/>
              <w:right w:val="single" w:sz="8" w:space="0" w:color="000000"/>
            </w:tcBorders>
          </w:tcPr>
          <w:p w14:paraId="43CAA130" w14:textId="77777777" w:rsidR="00EE1DA1" w:rsidRPr="002F7CA4" w:rsidRDefault="00EE1DA1" w:rsidP="00151081">
            <w:pPr>
              <w:pStyle w:val="ListParagraph"/>
              <w:numPr>
                <w:ilvl w:val="0"/>
                <w:numId w:val="16"/>
              </w:numPr>
              <w:tabs>
                <w:tab w:val="center" w:pos="837"/>
              </w:tabs>
              <w:spacing w:line="360" w:lineRule="auto"/>
              <w:rPr>
                <w:rFonts w:cs="Arial"/>
              </w:rPr>
            </w:pPr>
            <w:r>
              <w:t xml:space="preserve">Having deviated from Supply Chain Management prescripts to the value of R329.8 million, the CWP continued to contribute significantly to the Department of Cooperative Governance’s irregular expenditure. </w:t>
            </w:r>
          </w:p>
          <w:p w14:paraId="4F9676D1" w14:textId="77777777" w:rsidR="00EE1DA1" w:rsidRPr="002F7CA4" w:rsidRDefault="00EE1DA1" w:rsidP="00151081">
            <w:pPr>
              <w:pStyle w:val="ListParagraph"/>
              <w:numPr>
                <w:ilvl w:val="0"/>
                <w:numId w:val="16"/>
              </w:numPr>
              <w:tabs>
                <w:tab w:val="center" w:pos="837"/>
              </w:tabs>
              <w:spacing w:line="360" w:lineRule="auto"/>
              <w:rPr>
                <w:rFonts w:cs="Arial"/>
              </w:rPr>
            </w:pPr>
            <w:r>
              <w:rPr>
                <w:rFonts w:cs="Arial"/>
                <w:lang w:val="en-GB"/>
              </w:rPr>
              <w:t>DCoG incurred fruitless and wasteful expenditure to the value of R349 000 due late of cancellation of services requested.</w:t>
            </w:r>
          </w:p>
          <w:p w14:paraId="5A591B99" w14:textId="77777777" w:rsidR="00EE1DA1" w:rsidRPr="002F7CA4" w:rsidRDefault="00EE1DA1" w:rsidP="00151081">
            <w:pPr>
              <w:pStyle w:val="ListParagraph"/>
              <w:numPr>
                <w:ilvl w:val="0"/>
                <w:numId w:val="16"/>
              </w:numPr>
              <w:tabs>
                <w:tab w:val="center" w:pos="837"/>
              </w:tabs>
              <w:spacing w:line="360" w:lineRule="auto"/>
              <w:rPr>
                <w:rFonts w:cs="Arial"/>
              </w:rPr>
            </w:pPr>
            <w:r>
              <w:t xml:space="preserve">The MDB also incurred irregular expenditure amounting 5% of its total budget, and </w:t>
            </w:r>
            <w:r>
              <w:rPr>
                <w:rFonts w:cs="Arial"/>
                <w:lang w:val="en-GB"/>
              </w:rPr>
              <w:t>identified fruitless and wasteful expenditure of R19 000 due to terminating a contract outside the agreed notice period.</w:t>
            </w:r>
          </w:p>
        </w:tc>
      </w:tr>
      <w:tr w:rsidR="00EE1DA1" w:rsidRPr="00980D0C" w14:paraId="59FB5D88" w14:textId="77777777" w:rsidTr="00133C3A">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A55DBF" w14:textId="77777777" w:rsidR="00EE1DA1" w:rsidRPr="00F76676" w:rsidRDefault="00EE1DA1" w:rsidP="00151081">
            <w:pPr>
              <w:pStyle w:val="ListParagraph"/>
              <w:numPr>
                <w:ilvl w:val="0"/>
                <w:numId w:val="10"/>
              </w:numPr>
              <w:spacing w:after="160" w:line="360" w:lineRule="auto"/>
              <w:rPr>
                <w:rFonts w:cs="Arial"/>
              </w:rPr>
            </w:pPr>
            <w:r w:rsidRPr="00F76676">
              <w:rPr>
                <w:rFonts w:cs="Arial"/>
              </w:rPr>
              <w:t>The Department must arrange a meeting between ESKOM and SALGA in order to assist to resolve the challenge of ESKOM billing and interest charged to municipalities.</w:t>
            </w:r>
          </w:p>
        </w:tc>
        <w:tc>
          <w:tcPr>
            <w:tcW w:w="0" w:type="auto"/>
            <w:tcBorders>
              <w:top w:val="single" w:sz="8" w:space="0" w:color="000000"/>
              <w:left w:val="single" w:sz="8" w:space="0" w:color="000000"/>
              <w:bottom w:val="single" w:sz="8" w:space="0" w:color="000000"/>
              <w:right w:val="single" w:sz="8" w:space="0" w:color="000000"/>
            </w:tcBorders>
          </w:tcPr>
          <w:p w14:paraId="770A1CAF" w14:textId="77777777" w:rsidR="00EE1DA1" w:rsidRPr="00F76676" w:rsidRDefault="00EE1DA1" w:rsidP="00151081">
            <w:pPr>
              <w:spacing w:line="360" w:lineRule="auto"/>
            </w:pPr>
            <w:r>
              <w:rPr>
                <w:rFonts w:cs="Arial"/>
              </w:rPr>
              <w:t>Engagements between the Department, SALGA and Eskom</w:t>
            </w:r>
            <w:r w:rsidRPr="00F76676">
              <w:rPr>
                <w:rFonts w:cs="Arial"/>
              </w:rPr>
              <w:t xml:space="preserve"> </w:t>
            </w:r>
            <w:r>
              <w:rPr>
                <w:rFonts w:cs="Arial"/>
              </w:rPr>
              <w:t xml:space="preserve">led to the </w:t>
            </w:r>
            <w:r>
              <w:t>reduction of the prime plus 5% interest on overdue amounts to prime plus 2.5%, as well as to the increase of the Eskom 15</w:t>
            </w:r>
            <w:r w:rsidR="00151081">
              <w:t>-</w:t>
            </w:r>
            <w:r>
              <w:t xml:space="preserve">day payment requirement to 30 days. However, </w:t>
            </w:r>
            <w:r>
              <w:rPr>
                <w:rFonts w:cs="Arial"/>
              </w:rPr>
              <w:t>the challenge of municipalities that are unable to honour debt owed to Eskom remains.</w:t>
            </w:r>
          </w:p>
        </w:tc>
      </w:tr>
    </w:tbl>
    <w:p w14:paraId="1B402345" w14:textId="77777777" w:rsidR="00EE1DA1" w:rsidRDefault="00EE1DA1" w:rsidP="00151081">
      <w:pPr>
        <w:spacing w:line="360" w:lineRule="auto"/>
        <w:rPr>
          <w:rFonts w:cs="Arial"/>
          <w:b/>
          <w:bCs/>
        </w:rPr>
      </w:pPr>
    </w:p>
    <w:p w14:paraId="0695C105" w14:textId="77777777" w:rsidR="00EE1DA1" w:rsidRDefault="00EE1DA1" w:rsidP="00151081">
      <w:pPr>
        <w:spacing w:line="360" w:lineRule="auto"/>
        <w:rPr>
          <w:rFonts w:cs="Arial"/>
          <w:b/>
          <w:bCs/>
        </w:rPr>
      </w:pPr>
    </w:p>
    <w:p w14:paraId="3A1AA413" w14:textId="77777777" w:rsidR="00EE1DA1" w:rsidRPr="00EE1DA1" w:rsidRDefault="00EE1DA1" w:rsidP="00151081">
      <w:pPr>
        <w:pStyle w:val="Heading1"/>
        <w:numPr>
          <w:ilvl w:val="0"/>
          <w:numId w:val="1"/>
        </w:numPr>
        <w:spacing w:line="360" w:lineRule="auto"/>
        <w:rPr>
          <w:color w:val="000000" w:themeColor="text1"/>
        </w:rPr>
      </w:pPr>
      <w:bookmarkStart w:id="9" w:name="_Toc495067561"/>
      <w:r w:rsidRPr="00EE1DA1">
        <w:rPr>
          <w:color w:val="000000" w:themeColor="text1"/>
        </w:rPr>
        <w:lastRenderedPageBreak/>
        <w:t>overview and assessment of financial and service delivery performance 2016/17</w:t>
      </w:r>
      <w:bookmarkEnd w:id="9"/>
    </w:p>
    <w:p w14:paraId="2B153CC7" w14:textId="77777777" w:rsidR="00EE1DA1" w:rsidRPr="00EE1DA1" w:rsidRDefault="00EE1DA1" w:rsidP="00151081">
      <w:pPr>
        <w:spacing w:line="360" w:lineRule="auto"/>
        <w:rPr>
          <w:color w:val="000000" w:themeColor="text1"/>
        </w:rPr>
      </w:pPr>
    </w:p>
    <w:p w14:paraId="68C969E5" w14:textId="77777777" w:rsidR="00EE1DA1" w:rsidRPr="00EE1DA1" w:rsidRDefault="00EE1DA1" w:rsidP="00151081">
      <w:pPr>
        <w:pStyle w:val="Heading2"/>
        <w:numPr>
          <w:ilvl w:val="1"/>
          <w:numId w:val="1"/>
        </w:numPr>
        <w:spacing w:line="360" w:lineRule="auto"/>
        <w:rPr>
          <w:color w:val="000000" w:themeColor="text1"/>
        </w:rPr>
      </w:pPr>
      <w:bookmarkStart w:id="10" w:name="_Toc495067562"/>
      <w:r w:rsidRPr="00EE1DA1">
        <w:rPr>
          <w:color w:val="000000" w:themeColor="text1"/>
        </w:rPr>
        <w:t>Department of Cooperative Governance</w:t>
      </w:r>
      <w:bookmarkEnd w:id="10"/>
    </w:p>
    <w:p w14:paraId="11F05A99" w14:textId="77777777" w:rsidR="00EE1DA1" w:rsidRPr="00EE1DA1" w:rsidRDefault="00EE1DA1" w:rsidP="00151081">
      <w:pPr>
        <w:spacing w:line="360" w:lineRule="auto"/>
        <w:rPr>
          <w:color w:val="000000" w:themeColor="text1"/>
        </w:rPr>
      </w:pPr>
    </w:p>
    <w:p w14:paraId="4CD06258" w14:textId="77777777" w:rsidR="00EE1DA1" w:rsidRPr="00EE1DA1" w:rsidRDefault="00EE1DA1" w:rsidP="00151081">
      <w:pPr>
        <w:pStyle w:val="Heading3"/>
        <w:numPr>
          <w:ilvl w:val="2"/>
          <w:numId w:val="1"/>
        </w:numPr>
        <w:spacing w:line="360" w:lineRule="auto"/>
        <w:rPr>
          <w:color w:val="000000" w:themeColor="text1"/>
        </w:rPr>
      </w:pPr>
      <w:bookmarkStart w:id="11" w:name="_Toc495067563"/>
      <w:r w:rsidRPr="00EE1DA1">
        <w:rPr>
          <w:color w:val="000000" w:themeColor="text1"/>
        </w:rPr>
        <w:t>Service delivery performance</w:t>
      </w:r>
      <w:bookmarkEnd w:id="11"/>
    </w:p>
    <w:p w14:paraId="71599DBC" w14:textId="77777777" w:rsidR="00EE1DA1" w:rsidRDefault="00EE1DA1" w:rsidP="00151081">
      <w:pPr>
        <w:spacing w:line="360" w:lineRule="auto"/>
      </w:pPr>
    </w:p>
    <w:p w14:paraId="16053859" w14:textId="77777777" w:rsidR="00EE1DA1" w:rsidRDefault="00EE1DA1" w:rsidP="00151081">
      <w:pPr>
        <w:spacing w:line="360" w:lineRule="auto"/>
      </w:pPr>
      <w:r>
        <w:t>In terms of the 2016/17 Annual Report, the Department of Cooperative Governance achieved 91% (20/22) of the planned annual targets, with a staff complement of 86% or a vacancy rate of 14% (392/454). However, the Annual Performance Plan presented to the Committee at the beginning of 2016/17 specified 18 indicators. Under Programmes 3 and 5, the Annual Report includes additional indicators (namely, number of municipalities supported to establish functional ward committees and 1 215 Municipal Infrastructure Grant projects monitored on financial compliance with the Division of Revenue Act) that were not part of the Annual Performance Plan. In respect of some targets</w:t>
      </w:r>
      <w:r>
        <w:rPr>
          <w:rFonts w:cs="Arial"/>
        </w:rPr>
        <w:t>, the Auditor-General could not obtain sufficient appropriate audit evidence for the reported achievement.</w:t>
      </w:r>
    </w:p>
    <w:p w14:paraId="614F7C55" w14:textId="77777777" w:rsidR="00EE1DA1" w:rsidRPr="00C3367C" w:rsidRDefault="00EE1DA1" w:rsidP="00151081">
      <w:pPr>
        <w:spacing w:line="360" w:lineRule="auto"/>
      </w:pPr>
    </w:p>
    <w:p w14:paraId="4161A617" w14:textId="77777777" w:rsidR="00EE1DA1" w:rsidRDefault="00EE1DA1" w:rsidP="00151081">
      <w:pPr>
        <w:pStyle w:val="Heading3"/>
        <w:numPr>
          <w:ilvl w:val="2"/>
          <w:numId w:val="1"/>
        </w:numPr>
        <w:spacing w:line="360" w:lineRule="auto"/>
      </w:pPr>
      <w:bookmarkStart w:id="12" w:name="_Toc495067564"/>
      <w:r w:rsidRPr="00EE1DA1">
        <w:rPr>
          <w:color w:val="000000" w:themeColor="text1"/>
        </w:rPr>
        <w:t>Financial performance</w:t>
      </w:r>
      <w:bookmarkEnd w:id="12"/>
    </w:p>
    <w:tbl>
      <w:tblPr>
        <w:tblStyle w:val="TableGrid"/>
        <w:tblW w:w="5000" w:type="pct"/>
        <w:tblLook w:val="04A0" w:firstRow="1" w:lastRow="0" w:firstColumn="1" w:lastColumn="0" w:noHBand="0" w:noVBand="1"/>
      </w:tblPr>
      <w:tblGrid>
        <w:gridCol w:w="2763"/>
        <w:gridCol w:w="6479"/>
      </w:tblGrid>
      <w:tr w:rsidR="00EE1DA1" w:rsidRPr="00980D0C" w14:paraId="2247C46D" w14:textId="77777777" w:rsidTr="00133C3A">
        <w:tc>
          <w:tcPr>
            <w:tcW w:w="5000" w:type="pct"/>
            <w:gridSpan w:val="2"/>
            <w:shd w:val="clear" w:color="auto" w:fill="A8D08D" w:themeFill="accent6" w:themeFillTint="99"/>
          </w:tcPr>
          <w:p w14:paraId="5A2D98B2" w14:textId="77777777" w:rsidR="00EE1DA1" w:rsidRPr="00980D0C" w:rsidRDefault="00EE1DA1" w:rsidP="00151081">
            <w:pPr>
              <w:spacing w:line="360" w:lineRule="auto"/>
              <w:jc w:val="center"/>
              <w:rPr>
                <w:rFonts w:cs="Arial"/>
                <w:b/>
                <w:lang w:val="en-GB"/>
              </w:rPr>
            </w:pPr>
            <w:r>
              <w:rPr>
                <w:rFonts w:cs="Arial"/>
                <w:b/>
                <w:lang w:val="en-GB"/>
              </w:rPr>
              <w:t>2016/17</w:t>
            </w:r>
          </w:p>
        </w:tc>
      </w:tr>
      <w:tr w:rsidR="00EE1DA1" w:rsidRPr="00980D0C" w14:paraId="23487C24" w14:textId="77777777" w:rsidTr="00133C3A">
        <w:tc>
          <w:tcPr>
            <w:tcW w:w="1495" w:type="pct"/>
          </w:tcPr>
          <w:p w14:paraId="36474252" w14:textId="77777777" w:rsidR="00EE1DA1" w:rsidRPr="00980D0C" w:rsidRDefault="00EE1DA1" w:rsidP="00151081">
            <w:pPr>
              <w:spacing w:line="360" w:lineRule="auto"/>
              <w:rPr>
                <w:rFonts w:cs="Arial"/>
                <w:b/>
                <w:lang w:val="en-GB"/>
              </w:rPr>
            </w:pPr>
            <w:r>
              <w:rPr>
                <w:rFonts w:cs="Arial"/>
                <w:b/>
                <w:lang w:val="en-GB"/>
              </w:rPr>
              <w:t>Expenditure</w:t>
            </w:r>
          </w:p>
        </w:tc>
        <w:tc>
          <w:tcPr>
            <w:tcW w:w="3505" w:type="pct"/>
          </w:tcPr>
          <w:p w14:paraId="66C80A85" w14:textId="77777777" w:rsidR="00EE1DA1" w:rsidRPr="00E40DA4" w:rsidRDefault="00EE1DA1" w:rsidP="00151081">
            <w:pPr>
              <w:spacing w:line="360" w:lineRule="auto"/>
              <w:rPr>
                <w:rFonts w:cs="Arial"/>
              </w:rPr>
            </w:pPr>
            <w:r w:rsidRPr="004C0B87">
              <w:rPr>
                <w:rFonts w:cs="Arial"/>
              </w:rPr>
              <w:t xml:space="preserve">Under-expenditure has increased to R3.18 billion in 2016/17 owing to </w:t>
            </w:r>
            <w:r>
              <w:t xml:space="preserve">slower than expected expenditure on the </w:t>
            </w:r>
            <w:r w:rsidRPr="004C0B87">
              <w:rPr>
                <w:i/>
              </w:rPr>
              <w:t xml:space="preserve">Municipal Systems Improvement Grant, </w:t>
            </w:r>
            <w:r>
              <w:t>as well as the off-setting/withholding of Local Government Equitable Share funds from some municipalities that contravened legislative requirements.</w:t>
            </w:r>
          </w:p>
        </w:tc>
      </w:tr>
      <w:tr w:rsidR="00EE1DA1" w:rsidRPr="00980D0C" w14:paraId="1009BF0C" w14:textId="77777777" w:rsidTr="00133C3A">
        <w:tc>
          <w:tcPr>
            <w:tcW w:w="1495" w:type="pct"/>
          </w:tcPr>
          <w:p w14:paraId="2ECF332B" w14:textId="77777777" w:rsidR="00EE1DA1" w:rsidRPr="00980D0C" w:rsidRDefault="00EE1DA1" w:rsidP="00151081">
            <w:pPr>
              <w:spacing w:line="360" w:lineRule="auto"/>
              <w:rPr>
                <w:rFonts w:cs="Arial"/>
                <w:b/>
                <w:lang w:val="en-GB"/>
              </w:rPr>
            </w:pPr>
            <w:r w:rsidRPr="00980D0C">
              <w:rPr>
                <w:rFonts w:cs="Arial"/>
                <w:b/>
                <w:lang w:val="en-GB"/>
              </w:rPr>
              <w:t>Fruitless and wasteful expenditure</w:t>
            </w:r>
          </w:p>
        </w:tc>
        <w:tc>
          <w:tcPr>
            <w:tcW w:w="3505" w:type="pct"/>
          </w:tcPr>
          <w:p w14:paraId="5DEAB40A" w14:textId="77777777" w:rsidR="00EE1DA1" w:rsidRPr="00980D0C" w:rsidRDefault="00EE1DA1" w:rsidP="00151081">
            <w:pPr>
              <w:spacing w:line="360" w:lineRule="auto"/>
              <w:rPr>
                <w:rFonts w:cs="Arial"/>
                <w:lang w:val="en-GB"/>
              </w:rPr>
            </w:pPr>
            <w:r>
              <w:rPr>
                <w:rFonts w:cs="Arial"/>
                <w:lang w:val="en-GB"/>
              </w:rPr>
              <w:t>Incurred fruitless and wasteful expenditure to the value of R349 000 due late of cancellation of services requested.</w:t>
            </w:r>
          </w:p>
        </w:tc>
      </w:tr>
      <w:tr w:rsidR="00EE1DA1" w:rsidRPr="00980D0C" w14:paraId="5E620B38" w14:textId="77777777" w:rsidTr="00133C3A">
        <w:tc>
          <w:tcPr>
            <w:tcW w:w="1495" w:type="pct"/>
          </w:tcPr>
          <w:p w14:paraId="60F2F9E9" w14:textId="77777777" w:rsidR="00EE1DA1" w:rsidRPr="00980D0C" w:rsidRDefault="00EE1DA1" w:rsidP="00151081">
            <w:pPr>
              <w:spacing w:line="360" w:lineRule="auto"/>
              <w:rPr>
                <w:rFonts w:cs="Arial"/>
                <w:b/>
                <w:lang w:val="en-GB"/>
              </w:rPr>
            </w:pPr>
            <w:r w:rsidRPr="00980D0C">
              <w:rPr>
                <w:rFonts w:cs="Arial"/>
                <w:b/>
                <w:lang w:val="en-GB"/>
              </w:rPr>
              <w:t>Irregular expenditure</w:t>
            </w:r>
          </w:p>
        </w:tc>
        <w:tc>
          <w:tcPr>
            <w:tcW w:w="3505" w:type="pct"/>
          </w:tcPr>
          <w:p w14:paraId="646A5594" w14:textId="77777777" w:rsidR="00EE1DA1" w:rsidRPr="00980D0C" w:rsidRDefault="00EE1DA1" w:rsidP="00151081">
            <w:pPr>
              <w:spacing w:line="360" w:lineRule="auto"/>
              <w:rPr>
                <w:rFonts w:cs="Arial"/>
              </w:rPr>
            </w:pPr>
            <w:r>
              <w:rPr>
                <w:rFonts w:cs="Arial"/>
              </w:rPr>
              <w:t>Incurred irregular expenditure to the amount of R329 863 million as the Department did not follow proper procurement processes with regard to CWP contracts.</w:t>
            </w:r>
          </w:p>
        </w:tc>
      </w:tr>
      <w:tr w:rsidR="00EE1DA1" w:rsidRPr="00980D0C" w14:paraId="1B499C62" w14:textId="77777777" w:rsidTr="00133C3A">
        <w:tc>
          <w:tcPr>
            <w:tcW w:w="1495" w:type="pct"/>
          </w:tcPr>
          <w:p w14:paraId="7255583B" w14:textId="77777777" w:rsidR="00EE1DA1" w:rsidRPr="00980D0C" w:rsidRDefault="00EE1DA1" w:rsidP="00151081">
            <w:pPr>
              <w:spacing w:line="360" w:lineRule="auto"/>
              <w:rPr>
                <w:rFonts w:cs="Arial"/>
                <w:b/>
                <w:lang w:val="en-GB"/>
              </w:rPr>
            </w:pPr>
            <w:r w:rsidRPr="00980D0C">
              <w:rPr>
                <w:rFonts w:cs="Arial"/>
                <w:b/>
                <w:lang w:val="en-GB"/>
              </w:rPr>
              <w:t>Contingent liability</w:t>
            </w:r>
          </w:p>
        </w:tc>
        <w:tc>
          <w:tcPr>
            <w:tcW w:w="3505" w:type="pct"/>
          </w:tcPr>
          <w:p w14:paraId="4F26B70F" w14:textId="77777777" w:rsidR="00EE1DA1" w:rsidRPr="00980D0C" w:rsidRDefault="00EE1DA1" w:rsidP="00151081">
            <w:pPr>
              <w:spacing w:line="360" w:lineRule="auto"/>
              <w:rPr>
                <w:rFonts w:cs="Arial"/>
              </w:rPr>
            </w:pPr>
            <w:r>
              <w:rPr>
                <w:rFonts w:cs="Arial"/>
              </w:rPr>
              <w:t>Contingent liabilities amounted to R326 000 in respect of claims against the Department and intergovernmental payables.</w:t>
            </w:r>
          </w:p>
        </w:tc>
      </w:tr>
    </w:tbl>
    <w:p w14:paraId="72011E96" w14:textId="77777777" w:rsidR="00EE1DA1" w:rsidRDefault="00EE1DA1" w:rsidP="00151081">
      <w:pPr>
        <w:spacing w:line="360" w:lineRule="auto"/>
      </w:pPr>
    </w:p>
    <w:p w14:paraId="2FFF492B" w14:textId="77777777" w:rsidR="00DD238C" w:rsidRPr="004C0B87" w:rsidRDefault="00DD238C" w:rsidP="00151081">
      <w:pPr>
        <w:spacing w:line="360" w:lineRule="auto"/>
      </w:pPr>
    </w:p>
    <w:p w14:paraId="6FA6C704" w14:textId="77777777" w:rsidR="00EE1DA1" w:rsidRPr="00EE1DA1" w:rsidRDefault="00EE1DA1" w:rsidP="00151081">
      <w:pPr>
        <w:pStyle w:val="Heading3"/>
        <w:numPr>
          <w:ilvl w:val="2"/>
          <w:numId w:val="1"/>
        </w:numPr>
        <w:spacing w:line="360" w:lineRule="auto"/>
        <w:rPr>
          <w:color w:val="000000" w:themeColor="text1"/>
        </w:rPr>
      </w:pPr>
      <w:bookmarkStart w:id="13" w:name="_Toc495067565"/>
      <w:r w:rsidRPr="00EE1DA1">
        <w:rPr>
          <w:color w:val="000000" w:themeColor="text1"/>
        </w:rPr>
        <w:lastRenderedPageBreak/>
        <w:t>Audit findings</w:t>
      </w:r>
      <w:bookmarkEnd w:id="13"/>
    </w:p>
    <w:tbl>
      <w:tblPr>
        <w:tblStyle w:val="TableGrid"/>
        <w:tblW w:w="0" w:type="auto"/>
        <w:tblLook w:val="04A0" w:firstRow="1" w:lastRow="0" w:firstColumn="1" w:lastColumn="0" w:noHBand="0" w:noVBand="1"/>
      </w:tblPr>
      <w:tblGrid>
        <w:gridCol w:w="2084"/>
        <w:gridCol w:w="7158"/>
      </w:tblGrid>
      <w:tr w:rsidR="00EE1DA1" w:rsidRPr="00980D0C" w14:paraId="3717394D" w14:textId="77777777" w:rsidTr="00133C3A">
        <w:tc>
          <w:tcPr>
            <w:tcW w:w="0" w:type="auto"/>
            <w:gridSpan w:val="2"/>
            <w:shd w:val="clear" w:color="auto" w:fill="A8D08D" w:themeFill="accent6" w:themeFillTint="99"/>
          </w:tcPr>
          <w:p w14:paraId="6C2DE0D5" w14:textId="77777777" w:rsidR="00EE1DA1" w:rsidRPr="00980D0C" w:rsidRDefault="00EE1DA1" w:rsidP="00151081">
            <w:pPr>
              <w:spacing w:line="360" w:lineRule="auto"/>
              <w:jc w:val="center"/>
              <w:rPr>
                <w:rFonts w:cs="Arial"/>
                <w:b/>
              </w:rPr>
            </w:pPr>
            <w:r>
              <w:rPr>
                <w:rFonts w:cs="Arial"/>
                <w:b/>
              </w:rPr>
              <w:t>2016/17</w:t>
            </w:r>
          </w:p>
        </w:tc>
      </w:tr>
      <w:tr w:rsidR="00EE1DA1" w:rsidRPr="00980D0C" w14:paraId="7BFCD868" w14:textId="77777777" w:rsidTr="00133C3A">
        <w:tc>
          <w:tcPr>
            <w:tcW w:w="0" w:type="auto"/>
            <w:gridSpan w:val="2"/>
          </w:tcPr>
          <w:p w14:paraId="10FE046F" w14:textId="77777777" w:rsidR="00EE1DA1" w:rsidRPr="00980D0C" w:rsidRDefault="00EE1DA1" w:rsidP="00151081">
            <w:pPr>
              <w:spacing w:line="360" w:lineRule="auto"/>
              <w:jc w:val="center"/>
              <w:rPr>
                <w:rFonts w:cs="Arial"/>
              </w:rPr>
            </w:pPr>
            <w:r>
              <w:rPr>
                <w:rFonts w:cs="Arial"/>
              </w:rPr>
              <w:t>Financially qualified</w:t>
            </w:r>
          </w:p>
        </w:tc>
      </w:tr>
      <w:tr w:rsidR="00EE1DA1" w:rsidRPr="00980D0C" w14:paraId="61D100E7" w14:textId="77777777" w:rsidTr="00133C3A">
        <w:tc>
          <w:tcPr>
            <w:tcW w:w="0" w:type="auto"/>
            <w:shd w:val="clear" w:color="auto" w:fill="A8D08D" w:themeFill="accent6" w:themeFillTint="99"/>
          </w:tcPr>
          <w:p w14:paraId="2E0715ED"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 xml:space="preserve">AUDIT FOCUS </w:t>
            </w:r>
          </w:p>
          <w:p w14:paraId="60E10095"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AREAS</w:t>
            </w:r>
          </w:p>
        </w:tc>
        <w:tc>
          <w:tcPr>
            <w:tcW w:w="0" w:type="auto"/>
            <w:shd w:val="clear" w:color="auto" w:fill="A8D08D" w:themeFill="accent6" w:themeFillTint="99"/>
          </w:tcPr>
          <w:p w14:paraId="32E04C04" w14:textId="77777777" w:rsidR="00EE1DA1" w:rsidRPr="00980D0C" w:rsidRDefault="00EE1DA1" w:rsidP="00151081">
            <w:pPr>
              <w:spacing w:line="360" w:lineRule="auto"/>
              <w:jc w:val="center"/>
              <w:rPr>
                <w:rFonts w:cs="Arial"/>
                <w:b/>
                <w:color w:val="000000" w:themeColor="text1"/>
              </w:rPr>
            </w:pPr>
            <w:r>
              <w:rPr>
                <w:rFonts w:cs="Arial"/>
                <w:b/>
                <w:color w:val="000000" w:themeColor="text1"/>
              </w:rPr>
              <w:t>FINDINGS</w:t>
            </w:r>
          </w:p>
        </w:tc>
      </w:tr>
      <w:tr w:rsidR="00EE1DA1" w:rsidRPr="00980D0C" w14:paraId="166A0368" w14:textId="77777777" w:rsidTr="00133C3A">
        <w:tc>
          <w:tcPr>
            <w:tcW w:w="0" w:type="auto"/>
          </w:tcPr>
          <w:p w14:paraId="2A1C9AC0" w14:textId="77777777" w:rsidR="00EE1DA1" w:rsidRPr="00980D0C" w:rsidRDefault="00EE1DA1" w:rsidP="00151081">
            <w:pPr>
              <w:spacing w:line="360" w:lineRule="auto"/>
              <w:rPr>
                <w:rFonts w:cs="Arial"/>
                <w:b/>
              </w:rPr>
            </w:pPr>
            <w:r w:rsidRPr="00980D0C">
              <w:rPr>
                <w:rFonts w:cs="Arial"/>
                <w:b/>
              </w:rPr>
              <w:t>Quality of submitted financial statements</w:t>
            </w:r>
          </w:p>
        </w:tc>
        <w:tc>
          <w:tcPr>
            <w:tcW w:w="0" w:type="auto"/>
          </w:tcPr>
          <w:p w14:paraId="266982C1" w14:textId="77777777" w:rsidR="00EE1DA1" w:rsidRDefault="00EE1DA1" w:rsidP="00151081">
            <w:pPr>
              <w:pStyle w:val="ListParagraph"/>
              <w:numPr>
                <w:ilvl w:val="0"/>
                <w:numId w:val="13"/>
              </w:numPr>
              <w:spacing w:line="360" w:lineRule="auto"/>
              <w:rPr>
                <w:rFonts w:cs="Arial"/>
              </w:rPr>
            </w:pPr>
            <w:r w:rsidRPr="003E367B">
              <w:rPr>
                <w:rFonts w:cs="Arial"/>
              </w:rPr>
              <w:t>Auditor-General could not obtain sufficient appropriate audit evidence for payments made to the Community Work Programme implementing agents as the Department could not provide accurate and complete substantiating records, as per the contracts signed with implementing agents</w:t>
            </w:r>
          </w:p>
          <w:p w14:paraId="38C9F922" w14:textId="77777777" w:rsidR="00EE1DA1" w:rsidRDefault="00EE1DA1" w:rsidP="00151081">
            <w:pPr>
              <w:pStyle w:val="ListParagraph"/>
              <w:spacing w:line="360" w:lineRule="auto"/>
              <w:rPr>
                <w:rFonts w:cs="Arial"/>
              </w:rPr>
            </w:pPr>
          </w:p>
          <w:p w14:paraId="37677115" w14:textId="77777777" w:rsidR="00EE1DA1" w:rsidRPr="003E367B" w:rsidRDefault="00EE1DA1" w:rsidP="00151081">
            <w:pPr>
              <w:pStyle w:val="ListParagraph"/>
              <w:numPr>
                <w:ilvl w:val="0"/>
                <w:numId w:val="13"/>
              </w:numPr>
              <w:spacing w:line="360" w:lineRule="auto"/>
              <w:rPr>
                <w:rFonts w:cs="Arial"/>
              </w:rPr>
            </w:pPr>
            <w:r>
              <w:rPr>
                <w:rFonts w:cs="Arial"/>
              </w:rPr>
              <w:t>The Department did not prepare financial statement prepared for auditing in accordance with prescribed financial reporting framework</w:t>
            </w:r>
          </w:p>
        </w:tc>
      </w:tr>
      <w:tr w:rsidR="00EE1DA1" w:rsidRPr="00980D0C" w14:paraId="77D35168" w14:textId="77777777" w:rsidTr="00133C3A">
        <w:tc>
          <w:tcPr>
            <w:tcW w:w="0" w:type="auto"/>
          </w:tcPr>
          <w:p w14:paraId="7C1158E9" w14:textId="77777777" w:rsidR="00EE1DA1" w:rsidRPr="00980D0C" w:rsidRDefault="00EE1DA1" w:rsidP="00151081">
            <w:pPr>
              <w:spacing w:line="360" w:lineRule="auto"/>
              <w:rPr>
                <w:rFonts w:cs="Arial"/>
                <w:b/>
              </w:rPr>
            </w:pPr>
            <w:r w:rsidRPr="00980D0C">
              <w:rPr>
                <w:rFonts w:cs="Arial"/>
                <w:b/>
              </w:rPr>
              <w:t>Quality of submitted performance reports</w:t>
            </w:r>
          </w:p>
        </w:tc>
        <w:tc>
          <w:tcPr>
            <w:tcW w:w="0" w:type="auto"/>
          </w:tcPr>
          <w:p w14:paraId="408CE253" w14:textId="77777777" w:rsidR="00EE1DA1" w:rsidRPr="00980D0C" w:rsidRDefault="00EE1DA1" w:rsidP="00151081">
            <w:pPr>
              <w:spacing w:line="360" w:lineRule="auto"/>
              <w:rPr>
                <w:rFonts w:cs="Arial"/>
              </w:rPr>
            </w:pPr>
            <w:r>
              <w:t>The Auditor-General could not obtain sufficient appropriate evidence for the reported achievement of some of the targets, due to the inadequacy of the technical indicator descriptions that predetermined how the Department would measure, monitor and report on the achievement of these targets</w:t>
            </w:r>
          </w:p>
        </w:tc>
      </w:tr>
      <w:tr w:rsidR="00EE1DA1" w:rsidRPr="00980D0C" w14:paraId="45E886EE" w14:textId="77777777" w:rsidTr="00133C3A">
        <w:tc>
          <w:tcPr>
            <w:tcW w:w="0" w:type="auto"/>
          </w:tcPr>
          <w:p w14:paraId="00E6F906" w14:textId="77777777" w:rsidR="00EE1DA1" w:rsidRPr="00980D0C" w:rsidRDefault="00EE1DA1" w:rsidP="00151081">
            <w:pPr>
              <w:spacing w:line="360" w:lineRule="auto"/>
              <w:rPr>
                <w:rFonts w:cs="Arial"/>
                <w:b/>
              </w:rPr>
            </w:pPr>
            <w:r w:rsidRPr="00980D0C">
              <w:rPr>
                <w:rFonts w:cs="Arial"/>
                <w:b/>
              </w:rPr>
              <w:t>Compliance with legislation</w:t>
            </w:r>
          </w:p>
        </w:tc>
        <w:tc>
          <w:tcPr>
            <w:tcW w:w="0" w:type="auto"/>
          </w:tcPr>
          <w:p w14:paraId="37EC0092" w14:textId="77777777" w:rsidR="00EE1DA1" w:rsidRDefault="00EE1DA1" w:rsidP="00151081">
            <w:pPr>
              <w:pStyle w:val="ListParagraph"/>
              <w:numPr>
                <w:ilvl w:val="0"/>
                <w:numId w:val="12"/>
              </w:numPr>
              <w:spacing w:line="360" w:lineRule="auto"/>
              <w:rPr>
                <w:rFonts w:cs="Arial"/>
              </w:rPr>
            </w:pPr>
            <w:r w:rsidRPr="004C1BDA">
              <w:rPr>
                <w:rFonts w:cs="Arial"/>
              </w:rPr>
              <w:t>Throughout the year the Audit Committee remained concerned with the status of compliance with all applicable legislation and regulations relating to financial matters, financial management and other related matters</w:t>
            </w:r>
          </w:p>
          <w:p w14:paraId="73DEAD04" w14:textId="77777777" w:rsidR="00EE1DA1" w:rsidRDefault="00EE1DA1" w:rsidP="00151081">
            <w:pPr>
              <w:pStyle w:val="ListParagraph"/>
              <w:spacing w:line="360" w:lineRule="auto"/>
              <w:rPr>
                <w:rFonts w:cs="Arial"/>
              </w:rPr>
            </w:pPr>
          </w:p>
          <w:p w14:paraId="40A05ECD" w14:textId="77777777" w:rsidR="00EE1DA1" w:rsidRDefault="00EE1DA1" w:rsidP="00151081">
            <w:pPr>
              <w:pStyle w:val="ListParagraph"/>
              <w:numPr>
                <w:ilvl w:val="0"/>
                <w:numId w:val="12"/>
              </w:numPr>
              <w:spacing w:line="360" w:lineRule="auto"/>
              <w:rPr>
                <w:rFonts w:cs="Arial"/>
              </w:rPr>
            </w:pPr>
            <w:r>
              <w:rPr>
                <w:rFonts w:cs="Arial"/>
              </w:rPr>
              <w:t>The Department did not meet or settle contractual obligations, or money owing, within 30 days in accordance with the Public Finance Management Act and Treasury Regulations</w:t>
            </w:r>
          </w:p>
          <w:p w14:paraId="6361AB1F" w14:textId="77777777" w:rsidR="00EE1DA1" w:rsidRDefault="00EE1DA1" w:rsidP="00151081">
            <w:pPr>
              <w:pStyle w:val="ListParagraph"/>
              <w:spacing w:line="360" w:lineRule="auto"/>
              <w:rPr>
                <w:rFonts w:cs="Arial"/>
              </w:rPr>
            </w:pPr>
          </w:p>
          <w:p w14:paraId="34EEBD7F" w14:textId="77777777" w:rsidR="00EE1DA1" w:rsidRPr="004C1BDA" w:rsidRDefault="00EE1DA1" w:rsidP="00151081">
            <w:pPr>
              <w:pStyle w:val="ListParagraph"/>
              <w:numPr>
                <w:ilvl w:val="0"/>
                <w:numId w:val="12"/>
              </w:numPr>
              <w:spacing w:line="360" w:lineRule="auto"/>
              <w:rPr>
                <w:rFonts w:cs="Arial"/>
              </w:rPr>
            </w:pPr>
            <w:r>
              <w:rPr>
                <w:rFonts w:cs="Arial"/>
              </w:rPr>
              <w:t>The Department did not follow proper procurement processes</w:t>
            </w:r>
          </w:p>
        </w:tc>
      </w:tr>
    </w:tbl>
    <w:p w14:paraId="048D317B" w14:textId="77777777" w:rsidR="00EE1DA1" w:rsidRDefault="00EE1DA1" w:rsidP="00151081">
      <w:pPr>
        <w:spacing w:line="360" w:lineRule="auto"/>
      </w:pPr>
    </w:p>
    <w:p w14:paraId="37AFE711" w14:textId="77777777" w:rsidR="00EE1DA1" w:rsidRPr="00E64930" w:rsidRDefault="00EE1DA1" w:rsidP="00151081">
      <w:pPr>
        <w:spacing w:line="360" w:lineRule="auto"/>
        <w:rPr>
          <w:rFonts w:cs="Arial"/>
        </w:rPr>
      </w:pPr>
      <w:r w:rsidRPr="00E64930">
        <w:rPr>
          <w:b/>
        </w:rPr>
        <w:t xml:space="preserve">Comment: </w:t>
      </w:r>
      <w:r w:rsidRPr="00E64930">
        <w:rPr>
          <w:rFonts w:cs="Arial"/>
        </w:rPr>
        <w:t>The Department’s audit outcome for 2016/17 regressed from unqualified to qualified. This</w:t>
      </w:r>
      <w:r>
        <w:rPr>
          <w:rFonts w:cs="Arial"/>
        </w:rPr>
        <w:t xml:space="preserve"> mainly</w:t>
      </w:r>
      <w:r w:rsidRPr="00E64930">
        <w:rPr>
          <w:rFonts w:cs="Arial"/>
        </w:rPr>
        <w:t xml:space="preserve"> relates to recurrent problems around the administration of the Community Work Programme</w:t>
      </w:r>
      <w:r>
        <w:rPr>
          <w:rFonts w:cs="Arial"/>
        </w:rPr>
        <w:t>.</w:t>
      </w:r>
    </w:p>
    <w:p w14:paraId="72405788" w14:textId="77777777" w:rsidR="00EE1DA1" w:rsidRDefault="00EE1DA1" w:rsidP="00151081">
      <w:pPr>
        <w:spacing w:line="360" w:lineRule="auto"/>
      </w:pPr>
    </w:p>
    <w:p w14:paraId="296AECE0" w14:textId="77777777" w:rsidR="00EE1DA1" w:rsidRPr="00EE1DA1" w:rsidRDefault="00EE1DA1" w:rsidP="00151081">
      <w:pPr>
        <w:pStyle w:val="Heading3"/>
        <w:numPr>
          <w:ilvl w:val="2"/>
          <w:numId w:val="1"/>
        </w:numPr>
        <w:spacing w:line="360" w:lineRule="auto"/>
        <w:rPr>
          <w:color w:val="000000" w:themeColor="text1"/>
        </w:rPr>
      </w:pPr>
      <w:bookmarkStart w:id="14" w:name="_Toc495067566"/>
      <w:r w:rsidRPr="00EE1DA1">
        <w:rPr>
          <w:color w:val="000000" w:themeColor="text1"/>
        </w:rPr>
        <w:lastRenderedPageBreak/>
        <w:t>Key reported achievements</w:t>
      </w:r>
      <w:bookmarkEnd w:id="14"/>
    </w:p>
    <w:p w14:paraId="060E1995" w14:textId="77777777" w:rsidR="00EE1DA1" w:rsidRDefault="00EE1DA1" w:rsidP="00151081">
      <w:pPr>
        <w:spacing w:line="360" w:lineRule="auto"/>
      </w:pPr>
    </w:p>
    <w:p w14:paraId="65F81230" w14:textId="77777777" w:rsidR="00EE1DA1" w:rsidRDefault="00EE1DA1" w:rsidP="00151081">
      <w:pPr>
        <w:pStyle w:val="ListParagraph"/>
        <w:numPr>
          <w:ilvl w:val="0"/>
          <w:numId w:val="14"/>
        </w:numPr>
        <w:spacing w:line="360" w:lineRule="auto"/>
      </w:pPr>
      <w:r>
        <w:rPr>
          <w:rFonts w:cs="Arial"/>
        </w:rPr>
        <w:t>Engagements between the Department, SALGA and Eskom</w:t>
      </w:r>
      <w:r w:rsidRPr="00F76676">
        <w:rPr>
          <w:rFonts w:cs="Arial"/>
        </w:rPr>
        <w:t xml:space="preserve"> </w:t>
      </w:r>
      <w:r>
        <w:rPr>
          <w:rFonts w:cs="Arial"/>
        </w:rPr>
        <w:t xml:space="preserve">led to the </w:t>
      </w:r>
      <w:r>
        <w:t>reduction of the prime plus 5% interest Eskom charges municipalities on overdue amounts, to prime plus 2.5%, as well as to the increase of the Eskom 15</w:t>
      </w:r>
      <w:r w:rsidR="00DD238C">
        <w:t>-</w:t>
      </w:r>
      <w:r>
        <w:t>day payment requirement to 30 days.</w:t>
      </w:r>
    </w:p>
    <w:p w14:paraId="78DEA9F4" w14:textId="77777777" w:rsidR="00EE1DA1" w:rsidRDefault="00EE1DA1" w:rsidP="00151081">
      <w:pPr>
        <w:pStyle w:val="ListParagraph"/>
        <w:spacing w:line="360" w:lineRule="auto"/>
      </w:pPr>
    </w:p>
    <w:p w14:paraId="112AF2C6" w14:textId="77777777" w:rsidR="00EE1DA1" w:rsidRPr="00902FBB" w:rsidRDefault="00EE1DA1" w:rsidP="00151081">
      <w:pPr>
        <w:pStyle w:val="ListParagraph"/>
        <w:numPr>
          <w:ilvl w:val="0"/>
          <w:numId w:val="14"/>
        </w:numPr>
        <w:spacing w:line="360" w:lineRule="auto"/>
      </w:pPr>
      <w:r w:rsidRPr="00902FBB">
        <w:rPr>
          <w:rFonts w:cs="Arial"/>
        </w:rPr>
        <w:t>Supported 21 municipalities to implement red tape reduction initiatives and local economic development programmes</w:t>
      </w:r>
    </w:p>
    <w:p w14:paraId="37B05698" w14:textId="77777777" w:rsidR="00EE1DA1" w:rsidRDefault="00EE1DA1" w:rsidP="00151081">
      <w:pPr>
        <w:pStyle w:val="ListParagraph"/>
        <w:numPr>
          <w:ilvl w:val="0"/>
          <w:numId w:val="14"/>
        </w:numPr>
        <w:spacing w:line="360" w:lineRule="auto"/>
      </w:pPr>
      <w:r>
        <w:rPr>
          <w:rFonts w:cs="Arial"/>
        </w:rPr>
        <w:t>Supported eThekwini and Ekurhuleni as pilot cities for the implementation of spatial contracts</w:t>
      </w:r>
    </w:p>
    <w:p w14:paraId="02F6D5B2" w14:textId="77777777" w:rsidR="00EE1DA1" w:rsidRDefault="00EE1DA1" w:rsidP="00151081">
      <w:pPr>
        <w:pStyle w:val="ListParagraph"/>
        <w:numPr>
          <w:ilvl w:val="0"/>
          <w:numId w:val="14"/>
        </w:numPr>
        <w:spacing w:line="360" w:lineRule="auto"/>
      </w:pPr>
      <w:r>
        <w:rPr>
          <w:rFonts w:cs="Arial"/>
        </w:rPr>
        <w:t>As at 31 March 2017, 229 municipalities (based on old boundaries) had CWP sites.</w:t>
      </w:r>
    </w:p>
    <w:p w14:paraId="5270C449" w14:textId="77777777" w:rsidR="00EE1DA1" w:rsidRDefault="00EE1DA1" w:rsidP="00151081">
      <w:pPr>
        <w:spacing w:line="360" w:lineRule="auto"/>
      </w:pPr>
    </w:p>
    <w:p w14:paraId="4B270E52" w14:textId="77777777" w:rsidR="00EE1DA1" w:rsidRPr="00EE1DA1" w:rsidRDefault="00EE1DA1" w:rsidP="00151081">
      <w:pPr>
        <w:pStyle w:val="Heading3"/>
        <w:numPr>
          <w:ilvl w:val="2"/>
          <w:numId w:val="1"/>
        </w:numPr>
        <w:spacing w:line="360" w:lineRule="auto"/>
        <w:rPr>
          <w:color w:val="000000" w:themeColor="text1"/>
        </w:rPr>
      </w:pPr>
      <w:bookmarkStart w:id="15" w:name="_Toc495067567"/>
      <w:r w:rsidRPr="00EE1DA1">
        <w:rPr>
          <w:color w:val="000000" w:themeColor="text1"/>
        </w:rPr>
        <w:t>Key reported challenges</w:t>
      </w:r>
      <w:bookmarkEnd w:id="15"/>
    </w:p>
    <w:p w14:paraId="345D3C8D" w14:textId="77777777" w:rsidR="00EE1DA1" w:rsidRDefault="00EE1DA1" w:rsidP="00151081">
      <w:pPr>
        <w:spacing w:line="360" w:lineRule="auto"/>
        <w:rPr>
          <w:b/>
        </w:rPr>
      </w:pPr>
    </w:p>
    <w:p w14:paraId="77E8C21D" w14:textId="77777777" w:rsidR="00EE1DA1" w:rsidRPr="00E93F65" w:rsidRDefault="00EE1DA1" w:rsidP="00151081">
      <w:pPr>
        <w:spacing w:line="360" w:lineRule="auto"/>
        <w:rPr>
          <w:b/>
        </w:rPr>
      </w:pPr>
      <w:r>
        <w:t>The Department reported the implementation, management and administration of the Community Work Programme as a remaining challenge that contributed significantly to the Department’s poor financial management and audit outcomes.</w:t>
      </w:r>
      <w:r w:rsidRPr="00E93F65">
        <w:rPr>
          <w:rFonts w:cs="Arial"/>
        </w:rPr>
        <w:t xml:space="preserve"> </w:t>
      </w:r>
    </w:p>
    <w:p w14:paraId="376BCB05" w14:textId="77777777" w:rsidR="00EE1DA1" w:rsidRPr="00FE16C7" w:rsidRDefault="00EE1DA1" w:rsidP="00151081">
      <w:pPr>
        <w:spacing w:line="360" w:lineRule="auto"/>
        <w:rPr>
          <w:b/>
        </w:rPr>
      </w:pPr>
    </w:p>
    <w:p w14:paraId="3D585BA7" w14:textId="77777777" w:rsidR="00EE1DA1" w:rsidRDefault="00EE1DA1" w:rsidP="00151081">
      <w:pPr>
        <w:pStyle w:val="Heading2"/>
        <w:numPr>
          <w:ilvl w:val="1"/>
          <w:numId w:val="1"/>
        </w:numPr>
        <w:spacing w:line="360" w:lineRule="auto"/>
      </w:pPr>
      <w:bookmarkStart w:id="16" w:name="_Toc495067568"/>
      <w:r w:rsidRPr="00EE1DA1">
        <w:rPr>
          <w:color w:val="000000" w:themeColor="text1"/>
        </w:rPr>
        <w:t>Department of Traditional Affairs</w:t>
      </w:r>
      <w:bookmarkEnd w:id="16"/>
    </w:p>
    <w:p w14:paraId="01C0F189" w14:textId="77777777" w:rsidR="00EE1DA1" w:rsidRPr="00EF1C86" w:rsidRDefault="00EE1DA1" w:rsidP="00151081">
      <w:pPr>
        <w:spacing w:line="360" w:lineRule="auto"/>
      </w:pPr>
    </w:p>
    <w:p w14:paraId="61FEBC68" w14:textId="77777777" w:rsidR="00EE1DA1" w:rsidRPr="00EE1DA1" w:rsidRDefault="00EE1DA1" w:rsidP="00151081">
      <w:pPr>
        <w:pStyle w:val="Heading3"/>
        <w:numPr>
          <w:ilvl w:val="2"/>
          <w:numId w:val="1"/>
        </w:numPr>
        <w:spacing w:line="360" w:lineRule="auto"/>
        <w:rPr>
          <w:color w:val="000000" w:themeColor="text1"/>
        </w:rPr>
      </w:pPr>
      <w:bookmarkStart w:id="17" w:name="_Toc495067569"/>
      <w:r w:rsidRPr="00EE1DA1">
        <w:rPr>
          <w:color w:val="000000" w:themeColor="text1"/>
        </w:rPr>
        <w:t>Service delivery performance</w:t>
      </w:r>
      <w:bookmarkEnd w:id="17"/>
    </w:p>
    <w:p w14:paraId="048EBF00" w14:textId="77777777" w:rsidR="00EE1DA1" w:rsidRDefault="00EE1DA1" w:rsidP="00151081">
      <w:pPr>
        <w:spacing w:line="360" w:lineRule="auto"/>
      </w:pPr>
    </w:p>
    <w:p w14:paraId="7342059D" w14:textId="77777777" w:rsidR="00EE1DA1" w:rsidRDefault="00EE1DA1" w:rsidP="00151081">
      <w:pPr>
        <w:spacing w:line="360" w:lineRule="auto"/>
      </w:pPr>
      <w:r>
        <w:t>In terms of the Annual Report, the Department of Traditional Affairs achieved 95% (18/19) of its planned annual targets. The Department performed with a human resource capacity of 90.5%, indicating a vacancy rate of 9.5% (86/95). There were no audit findings on the usefulness and reliability of the Department’s performance information.</w:t>
      </w:r>
    </w:p>
    <w:p w14:paraId="46DE5517" w14:textId="77777777" w:rsidR="00EE1DA1" w:rsidRDefault="00EE1DA1" w:rsidP="00151081">
      <w:pPr>
        <w:spacing w:line="360" w:lineRule="auto"/>
      </w:pPr>
    </w:p>
    <w:p w14:paraId="5A733356" w14:textId="77777777" w:rsidR="00DD238C" w:rsidRDefault="00DD238C" w:rsidP="00151081">
      <w:pPr>
        <w:spacing w:line="360" w:lineRule="auto"/>
      </w:pPr>
    </w:p>
    <w:p w14:paraId="10855E3C" w14:textId="77777777" w:rsidR="00DD238C" w:rsidRDefault="00DD238C" w:rsidP="00151081">
      <w:pPr>
        <w:spacing w:line="360" w:lineRule="auto"/>
      </w:pPr>
    </w:p>
    <w:p w14:paraId="677CDE2A" w14:textId="77777777" w:rsidR="00DD238C" w:rsidRDefault="00DD238C" w:rsidP="00151081">
      <w:pPr>
        <w:spacing w:line="360" w:lineRule="auto"/>
      </w:pPr>
    </w:p>
    <w:p w14:paraId="3C63DE34" w14:textId="77777777" w:rsidR="00DD238C" w:rsidRDefault="00DD238C" w:rsidP="00151081">
      <w:pPr>
        <w:spacing w:line="360" w:lineRule="auto"/>
      </w:pPr>
    </w:p>
    <w:p w14:paraId="5E504EC6" w14:textId="77777777" w:rsidR="00DD238C" w:rsidRDefault="00DD238C" w:rsidP="00151081">
      <w:pPr>
        <w:spacing w:line="360" w:lineRule="auto"/>
      </w:pPr>
    </w:p>
    <w:p w14:paraId="49EAF29F" w14:textId="77777777" w:rsidR="00DD238C" w:rsidRPr="00586DF0" w:rsidRDefault="00DD238C" w:rsidP="00151081">
      <w:pPr>
        <w:spacing w:line="360" w:lineRule="auto"/>
      </w:pPr>
    </w:p>
    <w:p w14:paraId="556A9ECB" w14:textId="77777777" w:rsidR="00EE1DA1" w:rsidRPr="00EE1DA1" w:rsidRDefault="00EE1DA1" w:rsidP="00151081">
      <w:pPr>
        <w:pStyle w:val="Heading3"/>
        <w:numPr>
          <w:ilvl w:val="2"/>
          <w:numId w:val="1"/>
        </w:numPr>
        <w:spacing w:line="360" w:lineRule="auto"/>
        <w:rPr>
          <w:color w:val="000000" w:themeColor="text1"/>
        </w:rPr>
      </w:pPr>
      <w:bookmarkStart w:id="18" w:name="_Toc495067570"/>
      <w:r w:rsidRPr="00EE1DA1">
        <w:rPr>
          <w:color w:val="000000" w:themeColor="text1"/>
        </w:rPr>
        <w:lastRenderedPageBreak/>
        <w:t>Financial performance</w:t>
      </w:r>
      <w:bookmarkEnd w:id="18"/>
    </w:p>
    <w:p w14:paraId="765AB433" w14:textId="77777777" w:rsidR="00EE1DA1" w:rsidRDefault="00EE1DA1" w:rsidP="00151081">
      <w:pPr>
        <w:spacing w:line="360" w:lineRule="auto"/>
      </w:pPr>
    </w:p>
    <w:tbl>
      <w:tblPr>
        <w:tblStyle w:val="TableGrid"/>
        <w:tblW w:w="5000" w:type="pct"/>
        <w:tblLook w:val="04A0" w:firstRow="1" w:lastRow="0" w:firstColumn="1" w:lastColumn="0" w:noHBand="0" w:noVBand="1"/>
      </w:tblPr>
      <w:tblGrid>
        <w:gridCol w:w="2763"/>
        <w:gridCol w:w="6479"/>
      </w:tblGrid>
      <w:tr w:rsidR="00EE1DA1" w:rsidRPr="00980D0C" w14:paraId="303E9526" w14:textId="77777777" w:rsidTr="00133C3A">
        <w:tc>
          <w:tcPr>
            <w:tcW w:w="5000" w:type="pct"/>
            <w:gridSpan w:val="2"/>
            <w:shd w:val="clear" w:color="auto" w:fill="A8D08D" w:themeFill="accent6" w:themeFillTint="99"/>
          </w:tcPr>
          <w:p w14:paraId="10BFFC4B" w14:textId="77777777" w:rsidR="00EE1DA1" w:rsidRPr="00980D0C" w:rsidRDefault="00EE1DA1" w:rsidP="00151081">
            <w:pPr>
              <w:tabs>
                <w:tab w:val="left" w:pos="388"/>
                <w:tab w:val="center" w:pos="4400"/>
              </w:tabs>
              <w:spacing w:line="360" w:lineRule="auto"/>
              <w:jc w:val="left"/>
              <w:rPr>
                <w:rFonts w:cs="Arial"/>
                <w:b/>
                <w:lang w:val="en-GB"/>
              </w:rPr>
            </w:pPr>
            <w:r>
              <w:rPr>
                <w:rFonts w:cs="Arial"/>
                <w:b/>
                <w:lang w:val="en-GB"/>
              </w:rPr>
              <w:tab/>
            </w:r>
            <w:r>
              <w:rPr>
                <w:rFonts w:cs="Arial"/>
                <w:b/>
                <w:lang w:val="en-GB"/>
              </w:rPr>
              <w:tab/>
              <w:t>2016/17</w:t>
            </w:r>
          </w:p>
        </w:tc>
      </w:tr>
      <w:tr w:rsidR="00EE1DA1" w:rsidRPr="00980D0C" w14:paraId="447F5564" w14:textId="77777777" w:rsidTr="00133C3A">
        <w:tc>
          <w:tcPr>
            <w:tcW w:w="1495" w:type="pct"/>
          </w:tcPr>
          <w:p w14:paraId="6BECACB7" w14:textId="77777777" w:rsidR="00EE1DA1" w:rsidRPr="00980D0C" w:rsidRDefault="00EE1DA1" w:rsidP="00151081">
            <w:pPr>
              <w:spacing w:line="360" w:lineRule="auto"/>
              <w:rPr>
                <w:rFonts w:cs="Arial"/>
                <w:b/>
                <w:lang w:val="en-GB"/>
              </w:rPr>
            </w:pPr>
            <w:r w:rsidRPr="00980D0C">
              <w:rPr>
                <w:rFonts w:cs="Arial"/>
                <w:b/>
                <w:lang w:val="en-GB"/>
              </w:rPr>
              <w:t>Fruitless and wasteful expenditure</w:t>
            </w:r>
          </w:p>
        </w:tc>
        <w:tc>
          <w:tcPr>
            <w:tcW w:w="3505" w:type="pct"/>
          </w:tcPr>
          <w:p w14:paraId="71AAE77B" w14:textId="77777777" w:rsidR="00EE1DA1" w:rsidRPr="00980D0C" w:rsidRDefault="00EE1DA1" w:rsidP="00151081">
            <w:pPr>
              <w:spacing w:line="360" w:lineRule="auto"/>
              <w:rPr>
                <w:rFonts w:cs="Arial"/>
                <w:lang w:val="en-GB"/>
              </w:rPr>
            </w:pPr>
            <w:r>
              <w:rPr>
                <w:rFonts w:cs="Arial"/>
                <w:lang w:val="en-GB"/>
              </w:rPr>
              <w:t>No cases of fruitless and wasteful expenditure detected</w:t>
            </w:r>
          </w:p>
        </w:tc>
      </w:tr>
      <w:tr w:rsidR="00EE1DA1" w:rsidRPr="00980D0C" w14:paraId="0D5FF2C3" w14:textId="77777777" w:rsidTr="00133C3A">
        <w:tc>
          <w:tcPr>
            <w:tcW w:w="1495" w:type="pct"/>
          </w:tcPr>
          <w:p w14:paraId="63FBB2F8" w14:textId="77777777" w:rsidR="00EE1DA1" w:rsidRPr="00980D0C" w:rsidRDefault="00EE1DA1" w:rsidP="00151081">
            <w:pPr>
              <w:spacing w:line="360" w:lineRule="auto"/>
              <w:rPr>
                <w:rFonts w:cs="Arial"/>
                <w:b/>
                <w:lang w:val="en-GB"/>
              </w:rPr>
            </w:pPr>
            <w:r w:rsidRPr="00980D0C">
              <w:rPr>
                <w:rFonts w:cs="Arial"/>
                <w:b/>
                <w:lang w:val="en-GB"/>
              </w:rPr>
              <w:t>Irregular expenditure</w:t>
            </w:r>
          </w:p>
        </w:tc>
        <w:tc>
          <w:tcPr>
            <w:tcW w:w="3505" w:type="pct"/>
          </w:tcPr>
          <w:p w14:paraId="4A0DC589" w14:textId="77777777" w:rsidR="00EE1DA1" w:rsidRPr="00980D0C" w:rsidRDefault="00EE1DA1" w:rsidP="00151081">
            <w:pPr>
              <w:spacing w:line="360" w:lineRule="auto"/>
              <w:rPr>
                <w:rFonts w:cs="Arial"/>
              </w:rPr>
            </w:pPr>
            <w:r>
              <w:rPr>
                <w:rFonts w:cs="Arial"/>
              </w:rPr>
              <w:t>Did not incur any irregular expenditure</w:t>
            </w:r>
          </w:p>
        </w:tc>
      </w:tr>
      <w:tr w:rsidR="00EE1DA1" w:rsidRPr="00980D0C" w14:paraId="5BC3790D" w14:textId="77777777" w:rsidTr="00133C3A">
        <w:tc>
          <w:tcPr>
            <w:tcW w:w="1495" w:type="pct"/>
          </w:tcPr>
          <w:p w14:paraId="34F0DC16" w14:textId="77777777" w:rsidR="00EE1DA1" w:rsidRPr="00980D0C" w:rsidRDefault="00EE1DA1" w:rsidP="00151081">
            <w:pPr>
              <w:spacing w:line="360" w:lineRule="auto"/>
              <w:rPr>
                <w:rFonts w:cs="Arial"/>
                <w:b/>
                <w:lang w:val="en-GB"/>
              </w:rPr>
            </w:pPr>
            <w:r w:rsidRPr="00980D0C">
              <w:rPr>
                <w:rFonts w:cs="Arial"/>
                <w:b/>
                <w:lang w:val="en-GB"/>
              </w:rPr>
              <w:t>Contingent liability</w:t>
            </w:r>
          </w:p>
        </w:tc>
        <w:tc>
          <w:tcPr>
            <w:tcW w:w="3505" w:type="pct"/>
          </w:tcPr>
          <w:p w14:paraId="17380924" w14:textId="77777777" w:rsidR="00EE1DA1" w:rsidRPr="00980D0C" w:rsidRDefault="00EE1DA1" w:rsidP="00151081">
            <w:pPr>
              <w:spacing w:line="360" w:lineRule="auto"/>
              <w:rPr>
                <w:rFonts w:cs="Arial"/>
              </w:rPr>
            </w:pPr>
            <w:r>
              <w:rPr>
                <w:rFonts w:cs="Arial"/>
              </w:rPr>
              <w:t>Contingent liabilities amounted to R5.8 million in respect of claims against the Department for services rendered by the Department of Cooperative Governance</w:t>
            </w:r>
          </w:p>
        </w:tc>
      </w:tr>
    </w:tbl>
    <w:p w14:paraId="7507D2CB" w14:textId="77777777" w:rsidR="00EE1DA1" w:rsidRPr="00586DF0" w:rsidRDefault="00EE1DA1" w:rsidP="00151081">
      <w:pPr>
        <w:spacing w:line="360" w:lineRule="auto"/>
      </w:pPr>
    </w:p>
    <w:p w14:paraId="482EA53D" w14:textId="77777777" w:rsidR="00EE1DA1" w:rsidRPr="00EE1DA1" w:rsidRDefault="00EE1DA1" w:rsidP="00151081">
      <w:pPr>
        <w:pStyle w:val="Heading3"/>
        <w:numPr>
          <w:ilvl w:val="2"/>
          <w:numId w:val="1"/>
        </w:numPr>
        <w:spacing w:line="360" w:lineRule="auto"/>
        <w:rPr>
          <w:color w:val="000000" w:themeColor="text1"/>
        </w:rPr>
      </w:pPr>
      <w:bookmarkStart w:id="19" w:name="_Toc495067571"/>
      <w:r w:rsidRPr="00EE1DA1">
        <w:rPr>
          <w:color w:val="000000" w:themeColor="text1"/>
        </w:rPr>
        <w:t>Audit findings</w:t>
      </w:r>
      <w:bookmarkEnd w:id="19"/>
    </w:p>
    <w:p w14:paraId="4085F9CA" w14:textId="77777777" w:rsidR="00EE1DA1" w:rsidRDefault="00EE1DA1" w:rsidP="00151081">
      <w:pPr>
        <w:spacing w:line="360" w:lineRule="auto"/>
      </w:pPr>
    </w:p>
    <w:tbl>
      <w:tblPr>
        <w:tblStyle w:val="TableGrid"/>
        <w:tblW w:w="9067" w:type="dxa"/>
        <w:tblLook w:val="04A0" w:firstRow="1" w:lastRow="0" w:firstColumn="1" w:lastColumn="0" w:noHBand="0" w:noVBand="1"/>
      </w:tblPr>
      <w:tblGrid>
        <w:gridCol w:w="4556"/>
        <w:gridCol w:w="4511"/>
      </w:tblGrid>
      <w:tr w:rsidR="00EE1DA1" w:rsidRPr="00980D0C" w14:paraId="390BC421" w14:textId="77777777" w:rsidTr="00EE1DA1">
        <w:tc>
          <w:tcPr>
            <w:tcW w:w="9067" w:type="dxa"/>
            <w:gridSpan w:val="2"/>
            <w:shd w:val="clear" w:color="auto" w:fill="A8D08D" w:themeFill="accent6" w:themeFillTint="99"/>
          </w:tcPr>
          <w:p w14:paraId="6ECC920C" w14:textId="77777777" w:rsidR="00EE1DA1" w:rsidRPr="00980D0C" w:rsidRDefault="00EE1DA1" w:rsidP="00151081">
            <w:pPr>
              <w:spacing w:line="360" w:lineRule="auto"/>
              <w:jc w:val="center"/>
              <w:rPr>
                <w:rFonts w:cs="Arial"/>
                <w:b/>
              </w:rPr>
            </w:pPr>
            <w:r>
              <w:rPr>
                <w:rFonts w:cs="Arial"/>
                <w:b/>
              </w:rPr>
              <w:t>2016/17</w:t>
            </w:r>
          </w:p>
        </w:tc>
      </w:tr>
      <w:tr w:rsidR="00EE1DA1" w:rsidRPr="00980D0C" w14:paraId="4B5172B4" w14:textId="77777777" w:rsidTr="00EE1DA1">
        <w:tc>
          <w:tcPr>
            <w:tcW w:w="9067" w:type="dxa"/>
            <w:gridSpan w:val="2"/>
          </w:tcPr>
          <w:p w14:paraId="137003E0" w14:textId="77777777" w:rsidR="00EE1DA1" w:rsidRPr="00980D0C" w:rsidRDefault="00EE1DA1" w:rsidP="00151081">
            <w:pPr>
              <w:spacing w:line="360" w:lineRule="auto"/>
              <w:jc w:val="center"/>
              <w:rPr>
                <w:rFonts w:cs="Arial"/>
              </w:rPr>
            </w:pPr>
            <w:r w:rsidRPr="00980D0C">
              <w:rPr>
                <w:rFonts w:cs="Arial"/>
              </w:rPr>
              <w:t>Financially unqualified (with</w:t>
            </w:r>
            <w:r>
              <w:rPr>
                <w:rFonts w:cs="Arial"/>
              </w:rPr>
              <w:t xml:space="preserve"> no</w:t>
            </w:r>
            <w:r w:rsidRPr="00980D0C">
              <w:rPr>
                <w:rFonts w:cs="Arial"/>
              </w:rPr>
              <w:t xml:space="preserve"> findings)</w:t>
            </w:r>
          </w:p>
        </w:tc>
      </w:tr>
      <w:tr w:rsidR="00EE1DA1" w:rsidRPr="00980D0C" w14:paraId="17959939" w14:textId="77777777" w:rsidTr="00EE1DA1">
        <w:tc>
          <w:tcPr>
            <w:tcW w:w="0" w:type="auto"/>
            <w:shd w:val="clear" w:color="auto" w:fill="A8D08D" w:themeFill="accent6" w:themeFillTint="99"/>
          </w:tcPr>
          <w:p w14:paraId="0EAA446D"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 xml:space="preserve">AUDIT FOCUS </w:t>
            </w:r>
          </w:p>
          <w:p w14:paraId="350FC5B1"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AREAS</w:t>
            </w:r>
          </w:p>
        </w:tc>
        <w:tc>
          <w:tcPr>
            <w:tcW w:w="4511" w:type="dxa"/>
            <w:shd w:val="clear" w:color="auto" w:fill="A8D08D" w:themeFill="accent6" w:themeFillTint="99"/>
          </w:tcPr>
          <w:p w14:paraId="391FE4B4" w14:textId="77777777" w:rsidR="00EE1DA1" w:rsidRPr="00980D0C" w:rsidRDefault="00EE1DA1" w:rsidP="00151081">
            <w:pPr>
              <w:spacing w:line="360" w:lineRule="auto"/>
              <w:jc w:val="center"/>
              <w:rPr>
                <w:rFonts w:cs="Arial"/>
                <w:b/>
                <w:color w:val="000000" w:themeColor="text1"/>
              </w:rPr>
            </w:pPr>
            <w:r>
              <w:rPr>
                <w:rFonts w:cs="Arial"/>
                <w:b/>
                <w:color w:val="000000" w:themeColor="text1"/>
              </w:rPr>
              <w:t>FINDINGS</w:t>
            </w:r>
          </w:p>
        </w:tc>
      </w:tr>
      <w:tr w:rsidR="00EE1DA1" w:rsidRPr="00980D0C" w14:paraId="67A201D5" w14:textId="77777777" w:rsidTr="00EE1DA1">
        <w:tc>
          <w:tcPr>
            <w:tcW w:w="0" w:type="auto"/>
          </w:tcPr>
          <w:p w14:paraId="6123CC4A" w14:textId="77777777" w:rsidR="00EE1DA1" w:rsidRPr="00980D0C" w:rsidRDefault="00EE1DA1" w:rsidP="00151081">
            <w:pPr>
              <w:spacing w:line="360" w:lineRule="auto"/>
              <w:rPr>
                <w:rFonts w:cs="Arial"/>
                <w:b/>
              </w:rPr>
            </w:pPr>
            <w:r w:rsidRPr="00980D0C">
              <w:rPr>
                <w:rFonts w:cs="Arial"/>
                <w:b/>
              </w:rPr>
              <w:t>Quality of submitted financial statements</w:t>
            </w:r>
          </w:p>
        </w:tc>
        <w:tc>
          <w:tcPr>
            <w:tcW w:w="4511" w:type="dxa"/>
          </w:tcPr>
          <w:p w14:paraId="35610FA5" w14:textId="77777777" w:rsidR="00EE1DA1" w:rsidRPr="00980D0C" w:rsidRDefault="00EE1DA1" w:rsidP="00151081">
            <w:pPr>
              <w:spacing w:line="360" w:lineRule="auto"/>
              <w:rPr>
                <w:rFonts w:cs="Arial"/>
              </w:rPr>
            </w:pPr>
            <w:r>
              <w:rPr>
                <w:rFonts w:cs="Arial"/>
              </w:rPr>
              <w:t>No findings</w:t>
            </w:r>
          </w:p>
        </w:tc>
      </w:tr>
      <w:tr w:rsidR="00EE1DA1" w:rsidRPr="00980D0C" w14:paraId="0ECEF021" w14:textId="77777777" w:rsidTr="00EE1DA1">
        <w:tc>
          <w:tcPr>
            <w:tcW w:w="0" w:type="auto"/>
          </w:tcPr>
          <w:p w14:paraId="4D2D40DD" w14:textId="77777777" w:rsidR="00EE1DA1" w:rsidRPr="00980D0C" w:rsidRDefault="00EE1DA1" w:rsidP="00151081">
            <w:pPr>
              <w:spacing w:line="360" w:lineRule="auto"/>
              <w:rPr>
                <w:rFonts w:cs="Arial"/>
                <w:b/>
              </w:rPr>
            </w:pPr>
            <w:r w:rsidRPr="00980D0C">
              <w:rPr>
                <w:rFonts w:cs="Arial"/>
                <w:b/>
              </w:rPr>
              <w:t>Quality of submitted performance reports</w:t>
            </w:r>
          </w:p>
        </w:tc>
        <w:tc>
          <w:tcPr>
            <w:tcW w:w="4511" w:type="dxa"/>
          </w:tcPr>
          <w:p w14:paraId="5C1E3B1F" w14:textId="77777777" w:rsidR="00EE1DA1" w:rsidRPr="00980D0C" w:rsidRDefault="00EE1DA1" w:rsidP="00151081">
            <w:pPr>
              <w:spacing w:line="360" w:lineRule="auto"/>
              <w:rPr>
                <w:rFonts w:cs="Arial"/>
              </w:rPr>
            </w:pPr>
            <w:r>
              <w:rPr>
                <w:rFonts w:cs="Arial"/>
              </w:rPr>
              <w:t>No findings</w:t>
            </w:r>
          </w:p>
        </w:tc>
      </w:tr>
      <w:tr w:rsidR="00EE1DA1" w:rsidRPr="00980D0C" w14:paraId="1AB6A796" w14:textId="77777777" w:rsidTr="00EE1DA1">
        <w:tc>
          <w:tcPr>
            <w:tcW w:w="0" w:type="auto"/>
          </w:tcPr>
          <w:p w14:paraId="33DEC9A0" w14:textId="77777777" w:rsidR="00EE1DA1" w:rsidRPr="00980D0C" w:rsidRDefault="00EE1DA1" w:rsidP="00151081">
            <w:pPr>
              <w:spacing w:line="360" w:lineRule="auto"/>
              <w:rPr>
                <w:rFonts w:cs="Arial"/>
                <w:b/>
              </w:rPr>
            </w:pPr>
            <w:r w:rsidRPr="00980D0C">
              <w:rPr>
                <w:rFonts w:cs="Arial"/>
                <w:b/>
              </w:rPr>
              <w:t>Compliance with legislation</w:t>
            </w:r>
          </w:p>
        </w:tc>
        <w:tc>
          <w:tcPr>
            <w:tcW w:w="4511" w:type="dxa"/>
          </w:tcPr>
          <w:p w14:paraId="04E9DC57" w14:textId="77777777" w:rsidR="00EE1DA1" w:rsidRPr="00E57279" w:rsidRDefault="00EE1DA1" w:rsidP="00151081">
            <w:pPr>
              <w:spacing w:line="360" w:lineRule="auto"/>
              <w:rPr>
                <w:rFonts w:cs="Arial"/>
              </w:rPr>
            </w:pPr>
            <w:r>
              <w:rPr>
                <w:rFonts w:cs="Arial"/>
              </w:rPr>
              <w:t>No findings</w:t>
            </w:r>
          </w:p>
        </w:tc>
      </w:tr>
      <w:tr w:rsidR="00EE1DA1" w:rsidRPr="00980D0C" w14:paraId="262FAD08" w14:textId="77777777" w:rsidTr="00EE1DA1">
        <w:tc>
          <w:tcPr>
            <w:tcW w:w="0" w:type="auto"/>
          </w:tcPr>
          <w:p w14:paraId="6C47DEE3" w14:textId="77777777" w:rsidR="00EE1DA1" w:rsidRPr="00980D0C" w:rsidRDefault="00EE1DA1" w:rsidP="00151081">
            <w:pPr>
              <w:spacing w:line="360" w:lineRule="auto"/>
              <w:rPr>
                <w:rFonts w:cs="Arial"/>
                <w:b/>
              </w:rPr>
            </w:pPr>
            <w:r>
              <w:rPr>
                <w:rFonts w:cs="Arial"/>
                <w:b/>
              </w:rPr>
              <w:t>Financial health</w:t>
            </w:r>
          </w:p>
        </w:tc>
        <w:tc>
          <w:tcPr>
            <w:tcW w:w="4511" w:type="dxa"/>
          </w:tcPr>
          <w:p w14:paraId="1C3E898D" w14:textId="77777777" w:rsidR="00EE1DA1" w:rsidRPr="00980D0C" w:rsidRDefault="00EE1DA1" w:rsidP="00151081">
            <w:pPr>
              <w:spacing w:line="360" w:lineRule="auto"/>
              <w:rPr>
                <w:rFonts w:cs="Arial"/>
              </w:rPr>
            </w:pPr>
            <w:r>
              <w:rPr>
                <w:rFonts w:cs="Arial"/>
              </w:rPr>
              <w:t>No findings</w:t>
            </w:r>
          </w:p>
        </w:tc>
      </w:tr>
      <w:tr w:rsidR="00EE1DA1" w:rsidRPr="00980D0C" w14:paraId="2AA0E869" w14:textId="77777777" w:rsidTr="00EE1DA1">
        <w:tc>
          <w:tcPr>
            <w:tcW w:w="0" w:type="auto"/>
          </w:tcPr>
          <w:p w14:paraId="0E0DD856" w14:textId="77777777" w:rsidR="00EE1DA1" w:rsidRPr="00980D0C" w:rsidRDefault="00EE1DA1" w:rsidP="00151081">
            <w:pPr>
              <w:spacing w:line="360" w:lineRule="auto"/>
              <w:rPr>
                <w:rFonts w:cs="Arial"/>
                <w:b/>
              </w:rPr>
            </w:pPr>
            <w:r w:rsidRPr="00980D0C">
              <w:rPr>
                <w:rFonts w:cs="Arial"/>
                <w:b/>
              </w:rPr>
              <w:t>Human resource management</w:t>
            </w:r>
          </w:p>
        </w:tc>
        <w:tc>
          <w:tcPr>
            <w:tcW w:w="4511" w:type="dxa"/>
          </w:tcPr>
          <w:p w14:paraId="44311935" w14:textId="77777777" w:rsidR="00EE1DA1" w:rsidRPr="00980D0C" w:rsidRDefault="00EE1DA1" w:rsidP="00151081">
            <w:pPr>
              <w:spacing w:line="360" w:lineRule="auto"/>
              <w:rPr>
                <w:rFonts w:cs="Arial"/>
              </w:rPr>
            </w:pPr>
            <w:r>
              <w:rPr>
                <w:rFonts w:cs="Arial"/>
              </w:rPr>
              <w:t>No findings</w:t>
            </w:r>
          </w:p>
        </w:tc>
      </w:tr>
      <w:tr w:rsidR="00EE1DA1" w:rsidRPr="00980D0C" w14:paraId="1C432294" w14:textId="77777777" w:rsidTr="00EE1DA1">
        <w:tc>
          <w:tcPr>
            <w:tcW w:w="0" w:type="auto"/>
          </w:tcPr>
          <w:p w14:paraId="7A00DC08" w14:textId="77777777" w:rsidR="00EE1DA1" w:rsidRPr="00980D0C" w:rsidRDefault="00EE1DA1" w:rsidP="00151081">
            <w:pPr>
              <w:spacing w:line="360" w:lineRule="auto"/>
              <w:rPr>
                <w:rFonts w:cs="Arial"/>
                <w:b/>
              </w:rPr>
            </w:pPr>
            <w:r w:rsidRPr="00980D0C">
              <w:rPr>
                <w:rFonts w:cs="Arial"/>
                <w:b/>
              </w:rPr>
              <w:t>Information technology</w:t>
            </w:r>
          </w:p>
        </w:tc>
        <w:tc>
          <w:tcPr>
            <w:tcW w:w="4511" w:type="dxa"/>
          </w:tcPr>
          <w:p w14:paraId="0E062196" w14:textId="77777777" w:rsidR="00EE1DA1" w:rsidRPr="00980D0C" w:rsidRDefault="00EE1DA1" w:rsidP="00151081">
            <w:pPr>
              <w:spacing w:line="360" w:lineRule="auto"/>
              <w:rPr>
                <w:rFonts w:cs="Arial"/>
              </w:rPr>
            </w:pPr>
            <w:r>
              <w:rPr>
                <w:rFonts w:cs="Arial"/>
              </w:rPr>
              <w:t>No findings</w:t>
            </w:r>
          </w:p>
        </w:tc>
      </w:tr>
    </w:tbl>
    <w:p w14:paraId="56924C40" w14:textId="77777777" w:rsidR="00EE1DA1" w:rsidRDefault="00EE1DA1" w:rsidP="00151081">
      <w:pPr>
        <w:spacing w:line="360" w:lineRule="auto"/>
      </w:pPr>
    </w:p>
    <w:p w14:paraId="45840DD7" w14:textId="77777777" w:rsidR="00EE1DA1" w:rsidRPr="00E50CB6" w:rsidRDefault="00EE1DA1" w:rsidP="00151081">
      <w:pPr>
        <w:spacing w:line="360" w:lineRule="auto"/>
        <w:rPr>
          <w:rFonts w:cs="Arial"/>
        </w:rPr>
      </w:pPr>
      <w:r>
        <w:rPr>
          <w:b/>
        </w:rPr>
        <w:t xml:space="preserve">Comment: </w:t>
      </w:r>
      <w:r>
        <w:t xml:space="preserve">The Department </w:t>
      </w:r>
      <w:r>
        <w:rPr>
          <w:rFonts w:cs="Arial"/>
        </w:rPr>
        <w:t>a</w:t>
      </w:r>
      <w:r w:rsidRPr="00E50CB6">
        <w:rPr>
          <w:rFonts w:cs="Arial"/>
        </w:rPr>
        <w:t>chieved an unqualified audit, with no emphasis of matters, for the first time since becoming a stand-alone</w:t>
      </w:r>
      <w:r>
        <w:rPr>
          <w:rFonts w:cs="Arial"/>
        </w:rPr>
        <w:t xml:space="preserve"> Department.</w:t>
      </w:r>
    </w:p>
    <w:p w14:paraId="7613BBBB" w14:textId="77777777" w:rsidR="00EE1DA1" w:rsidRPr="00E9703D" w:rsidRDefault="00EE1DA1" w:rsidP="00151081">
      <w:pPr>
        <w:spacing w:line="360" w:lineRule="auto"/>
        <w:rPr>
          <w:b/>
        </w:rPr>
      </w:pPr>
    </w:p>
    <w:p w14:paraId="6E15F1D6" w14:textId="77777777" w:rsidR="00EE1DA1" w:rsidRPr="00EE1DA1" w:rsidRDefault="00EE1DA1" w:rsidP="00151081">
      <w:pPr>
        <w:pStyle w:val="Heading3"/>
        <w:numPr>
          <w:ilvl w:val="2"/>
          <w:numId w:val="1"/>
        </w:numPr>
        <w:spacing w:line="360" w:lineRule="auto"/>
        <w:rPr>
          <w:color w:val="000000" w:themeColor="text1"/>
        </w:rPr>
      </w:pPr>
      <w:bookmarkStart w:id="20" w:name="_Toc495067572"/>
      <w:r w:rsidRPr="00EE1DA1">
        <w:rPr>
          <w:color w:val="000000" w:themeColor="text1"/>
        </w:rPr>
        <w:t>Key reported achievements</w:t>
      </w:r>
      <w:bookmarkEnd w:id="20"/>
    </w:p>
    <w:p w14:paraId="5AEB9727" w14:textId="77777777" w:rsidR="00EE1DA1" w:rsidRDefault="00EE1DA1" w:rsidP="00151081">
      <w:pPr>
        <w:spacing w:line="360" w:lineRule="auto"/>
      </w:pPr>
    </w:p>
    <w:p w14:paraId="1B12891D" w14:textId="77777777" w:rsidR="00EE1DA1" w:rsidRDefault="00EE1DA1" w:rsidP="00151081">
      <w:pPr>
        <w:pStyle w:val="ListParagraph"/>
        <w:numPr>
          <w:ilvl w:val="0"/>
          <w:numId w:val="17"/>
        </w:numPr>
        <w:spacing w:line="360" w:lineRule="auto"/>
        <w:rPr>
          <w:rFonts w:cs="Arial"/>
        </w:rPr>
      </w:pPr>
      <w:r w:rsidRPr="008B0ACA">
        <w:rPr>
          <w:rFonts w:cs="Arial"/>
        </w:rPr>
        <w:t>Achieved an unqualified audit, with no emphasis of matters, for the first time since becoming a stand-alone Department.</w:t>
      </w:r>
    </w:p>
    <w:p w14:paraId="3122DE20" w14:textId="77777777" w:rsidR="00EE1DA1" w:rsidRDefault="00EE1DA1" w:rsidP="00151081">
      <w:pPr>
        <w:pStyle w:val="ListParagraph"/>
        <w:numPr>
          <w:ilvl w:val="0"/>
          <w:numId w:val="17"/>
        </w:numPr>
        <w:spacing w:line="360" w:lineRule="auto"/>
        <w:rPr>
          <w:rFonts w:cs="Arial"/>
        </w:rPr>
      </w:pPr>
      <w:r>
        <w:rPr>
          <w:rFonts w:cs="Arial"/>
        </w:rPr>
        <w:t>Assessed 401 traditional councils on their functionality.</w:t>
      </w:r>
    </w:p>
    <w:p w14:paraId="21B03B22" w14:textId="77777777" w:rsidR="00EE1DA1" w:rsidRDefault="00EE1DA1" w:rsidP="00151081">
      <w:pPr>
        <w:pStyle w:val="ListParagraph"/>
        <w:numPr>
          <w:ilvl w:val="0"/>
          <w:numId w:val="17"/>
        </w:numPr>
        <w:spacing w:line="360" w:lineRule="auto"/>
        <w:rPr>
          <w:rFonts w:cs="Arial"/>
        </w:rPr>
      </w:pPr>
      <w:r>
        <w:rPr>
          <w:rFonts w:cs="Arial"/>
        </w:rPr>
        <w:t>Implemented two projects on food security promotion and HIV and Aids awareness.</w:t>
      </w:r>
    </w:p>
    <w:p w14:paraId="00D94219" w14:textId="77777777" w:rsidR="00EE1DA1" w:rsidRPr="008B0ACA" w:rsidRDefault="00EE1DA1" w:rsidP="00151081">
      <w:pPr>
        <w:pStyle w:val="ListParagraph"/>
        <w:numPr>
          <w:ilvl w:val="0"/>
          <w:numId w:val="17"/>
        </w:numPr>
        <w:spacing w:line="360" w:lineRule="auto"/>
        <w:rPr>
          <w:rFonts w:cs="Arial"/>
        </w:rPr>
      </w:pPr>
      <w:r>
        <w:rPr>
          <w:rFonts w:cs="Arial"/>
        </w:rPr>
        <w:t>Researched 160 traditional leadership claims and disputes.</w:t>
      </w:r>
    </w:p>
    <w:p w14:paraId="29C97C25" w14:textId="77777777" w:rsidR="00EE1DA1" w:rsidRDefault="00EE1DA1" w:rsidP="00151081">
      <w:pPr>
        <w:spacing w:line="360" w:lineRule="auto"/>
      </w:pPr>
    </w:p>
    <w:p w14:paraId="31AC60B9" w14:textId="77777777" w:rsidR="00EE1DA1" w:rsidRPr="00EE1DA1" w:rsidRDefault="00EE1DA1" w:rsidP="00151081">
      <w:pPr>
        <w:pStyle w:val="Heading3"/>
        <w:numPr>
          <w:ilvl w:val="2"/>
          <w:numId w:val="1"/>
        </w:numPr>
        <w:spacing w:line="360" w:lineRule="auto"/>
        <w:rPr>
          <w:color w:val="000000" w:themeColor="text1"/>
        </w:rPr>
      </w:pPr>
      <w:bookmarkStart w:id="21" w:name="_Toc495067573"/>
      <w:r w:rsidRPr="00EE1DA1">
        <w:rPr>
          <w:color w:val="000000" w:themeColor="text1"/>
        </w:rPr>
        <w:lastRenderedPageBreak/>
        <w:t>Key reported challenges</w:t>
      </w:r>
      <w:bookmarkEnd w:id="21"/>
    </w:p>
    <w:p w14:paraId="3D0770E9" w14:textId="77777777" w:rsidR="00EE1DA1" w:rsidRDefault="00EE1DA1" w:rsidP="00151081">
      <w:pPr>
        <w:spacing w:line="360" w:lineRule="auto"/>
      </w:pPr>
    </w:p>
    <w:p w14:paraId="618378B7" w14:textId="77777777" w:rsidR="00EE1DA1" w:rsidRPr="00E50CB6" w:rsidRDefault="00EE1DA1" w:rsidP="00151081">
      <w:pPr>
        <w:spacing w:line="360" w:lineRule="auto"/>
        <w:rPr>
          <w:rFonts w:cs="Arial"/>
        </w:rPr>
      </w:pPr>
      <w:r>
        <w:t>Performed with a human resource capacity of 90.5%, indicating a vacancy rate of 9.5% (86/95), which had a negative impact on the Department delivering on all aspects of its mandate.</w:t>
      </w:r>
    </w:p>
    <w:p w14:paraId="0BBAF361" w14:textId="77777777" w:rsidR="00EE1DA1" w:rsidRPr="00FE16C7" w:rsidRDefault="00EE1DA1" w:rsidP="00151081">
      <w:pPr>
        <w:spacing w:line="360" w:lineRule="auto"/>
      </w:pPr>
    </w:p>
    <w:p w14:paraId="1E177D1F" w14:textId="77777777" w:rsidR="00EE1DA1" w:rsidRPr="00EE1DA1" w:rsidRDefault="00EE1DA1" w:rsidP="00151081">
      <w:pPr>
        <w:pStyle w:val="Heading2"/>
        <w:numPr>
          <w:ilvl w:val="1"/>
          <w:numId w:val="1"/>
        </w:numPr>
        <w:spacing w:line="360" w:lineRule="auto"/>
        <w:rPr>
          <w:color w:val="000000" w:themeColor="text1"/>
        </w:rPr>
      </w:pPr>
      <w:bookmarkStart w:id="22" w:name="_Toc495067574"/>
      <w:r w:rsidRPr="00EE1DA1">
        <w:rPr>
          <w:color w:val="000000" w:themeColor="text1"/>
        </w:rPr>
        <w:t>Municipal Infrastructure Support Agent</w:t>
      </w:r>
      <w:bookmarkEnd w:id="22"/>
    </w:p>
    <w:p w14:paraId="0627E089" w14:textId="77777777" w:rsidR="00EE1DA1" w:rsidRDefault="00EE1DA1" w:rsidP="00151081">
      <w:pPr>
        <w:spacing w:line="360" w:lineRule="auto"/>
      </w:pPr>
    </w:p>
    <w:p w14:paraId="42DDAC2E" w14:textId="77777777" w:rsidR="00EE1DA1" w:rsidRDefault="00EE1DA1" w:rsidP="00151081">
      <w:pPr>
        <w:spacing w:line="360" w:lineRule="auto"/>
      </w:pPr>
      <w:r>
        <w:t>At the time of the BRRR process, MISA had not yet tabled its Annual Report for the 2016/17 financial year. Consequently, the Committee is yet to undertake a full and effective assessment of the entity’s financial and service delivery performance during the financial year under review.</w:t>
      </w:r>
    </w:p>
    <w:p w14:paraId="4D233455" w14:textId="77777777" w:rsidR="00EE1DA1" w:rsidRPr="00685A92" w:rsidRDefault="00EE1DA1" w:rsidP="00151081">
      <w:pPr>
        <w:spacing w:line="360" w:lineRule="auto"/>
      </w:pPr>
    </w:p>
    <w:p w14:paraId="5A9B6FA1" w14:textId="77777777" w:rsidR="00EE1DA1" w:rsidRPr="00EE1DA1" w:rsidRDefault="00EE1DA1" w:rsidP="00151081">
      <w:pPr>
        <w:pStyle w:val="Heading2"/>
        <w:numPr>
          <w:ilvl w:val="1"/>
          <w:numId w:val="1"/>
        </w:numPr>
        <w:spacing w:line="360" w:lineRule="auto"/>
        <w:rPr>
          <w:color w:val="000000" w:themeColor="text1"/>
        </w:rPr>
      </w:pPr>
      <w:bookmarkStart w:id="23" w:name="_Toc495067575"/>
      <w:r w:rsidRPr="00EE1DA1">
        <w:rPr>
          <w:color w:val="000000" w:themeColor="text1"/>
        </w:rPr>
        <w:t>South African Local Government Association</w:t>
      </w:r>
      <w:bookmarkEnd w:id="23"/>
    </w:p>
    <w:p w14:paraId="181649A9" w14:textId="77777777" w:rsidR="00EE1DA1" w:rsidRDefault="00EE1DA1" w:rsidP="00151081">
      <w:pPr>
        <w:spacing w:line="360" w:lineRule="auto"/>
      </w:pPr>
    </w:p>
    <w:p w14:paraId="2A148787" w14:textId="77777777" w:rsidR="00EE1DA1" w:rsidRPr="00EE1DA1" w:rsidRDefault="00EE1DA1" w:rsidP="00151081">
      <w:pPr>
        <w:pStyle w:val="Heading3"/>
        <w:numPr>
          <w:ilvl w:val="2"/>
          <w:numId w:val="1"/>
        </w:numPr>
        <w:spacing w:line="360" w:lineRule="auto"/>
        <w:rPr>
          <w:color w:val="000000" w:themeColor="text1"/>
        </w:rPr>
      </w:pPr>
      <w:bookmarkStart w:id="24" w:name="_Toc495067576"/>
      <w:r w:rsidRPr="00EE1DA1">
        <w:rPr>
          <w:color w:val="000000" w:themeColor="text1"/>
        </w:rPr>
        <w:t>Service delivery performance</w:t>
      </w:r>
      <w:bookmarkEnd w:id="24"/>
    </w:p>
    <w:p w14:paraId="70A0032F" w14:textId="77777777" w:rsidR="00EE1DA1" w:rsidRDefault="00EE1DA1" w:rsidP="00151081">
      <w:pPr>
        <w:spacing w:line="360" w:lineRule="auto"/>
        <w:rPr>
          <w:rFonts w:cs="Arial"/>
          <w:bCs/>
        </w:rPr>
      </w:pPr>
    </w:p>
    <w:p w14:paraId="45A7044E" w14:textId="77777777" w:rsidR="00EE1DA1" w:rsidRDefault="00EE1DA1" w:rsidP="00151081">
      <w:pPr>
        <w:spacing w:line="360" w:lineRule="auto"/>
        <w:rPr>
          <w:rFonts w:cs="Arial"/>
          <w:bCs/>
        </w:rPr>
      </w:pPr>
      <w:r w:rsidRPr="00B26FFD">
        <w:rPr>
          <w:rFonts w:cs="Arial"/>
          <w:bCs/>
        </w:rPr>
        <w:t>The organisation reports an achievement of 100% of its 35 performance targets against pre-determined objectives, as illustrated in the graph below. This while operating at a human resource capacity level of 87.5% (the vacancy rate was 12.5% as at 31 March 2017).</w:t>
      </w:r>
      <w:r w:rsidR="00151081">
        <w:rPr>
          <w:rFonts w:cs="Arial"/>
          <w:bCs/>
        </w:rPr>
        <w:t xml:space="preserve"> </w:t>
      </w:r>
    </w:p>
    <w:p w14:paraId="335D0345" w14:textId="77777777" w:rsidR="00151081" w:rsidRDefault="00151081" w:rsidP="00151081">
      <w:pPr>
        <w:spacing w:line="360" w:lineRule="auto"/>
        <w:rPr>
          <w:rFonts w:cs="Arial"/>
          <w:bCs/>
        </w:rPr>
      </w:pPr>
    </w:p>
    <w:p w14:paraId="12534D3A" w14:textId="77777777" w:rsidR="00EE1DA1" w:rsidRDefault="00EE1DA1" w:rsidP="00151081">
      <w:pPr>
        <w:spacing w:line="360" w:lineRule="auto"/>
        <w:rPr>
          <w:rFonts w:cs="Arial"/>
          <w:bCs/>
        </w:rPr>
      </w:pPr>
    </w:p>
    <w:p w14:paraId="20C677C6" w14:textId="77777777" w:rsidR="00EE1DA1" w:rsidRDefault="00EE1DA1" w:rsidP="00151081">
      <w:pPr>
        <w:spacing w:line="360" w:lineRule="auto"/>
        <w:rPr>
          <w:rFonts w:cs="Arial"/>
          <w:bCs/>
        </w:rPr>
      </w:pPr>
      <w:r>
        <w:rPr>
          <w:noProof/>
          <w:lang w:eastAsia="en-ZA"/>
        </w:rPr>
        <w:drawing>
          <wp:anchor distT="0" distB="0" distL="114300" distR="114300" simplePos="0" relativeHeight="251659264" behindDoc="0" locked="0" layoutInCell="1" allowOverlap="1" wp14:anchorId="1CA94650" wp14:editId="24FB285B">
            <wp:simplePos x="0" y="0"/>
            <wp:positionH relativeFrom="margin">
              <wp:align>right</wp:align>
            </wp:positionH>
            <wp:positionV relativeFrom="paragraph">
              <wp:posOffset>5232</wp:posOffset>
            </wp:positionV>
            <wp:extent cx="5731510" cy="23812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381250"/>
                    </a:xfrm>
                    <a:prstGeom prst="rect">
                      <a:avLst/>
                    </a:prstGeom>
                  </pic:spPr>
                </pic:pic>
              </a:graphicData>
            </a:graphic>
            <wp14:sizeRelH relativeFrom="margin">
              <wp14:pctWidth>0</wp14:pctWidth>
            </wp14:sizeRelH>
            <wp14:sizeRelV relativeFrom="margin">
              <wp14:pctHeight>0</wp14:pctHeight>
            </wp14:sizeRelV>
          </wp:anchor>
        </w:drawing>
      </w:r>
    </w:p>
    <w:p w14:paraId="78EDA844" w14:textId="77777777" w:rsidR="00EE1DA1" w:rsidRDefault="00EE1DA1" w:rsidP="00151081">
      <w:pPr>
        <w:spacing w:line="360" w:lineRule="auto"/>
        <w:rPr>
          <w:rFonts w:cs="Arial"/>
          <w:bCs/>
        </w:rPr>
      </w:pPr>
    </w:p>
    <w:p w14:paraId="505D2187" w14:textId="77777777" w:rsidR="00EE1DA1" w:rsidRDefault="00EE1DA1" w:rsidP="00151081">
      <w:pPr>
        <w:spacing w:line="360" w:lineRule="auto"/>
        <w:rPr>
          <w:rFonts w:cs="Arial"/>
          <w:bCs/>
        </w:rPr>
      </w:pPr>
    </w:p>
    <w:p w14:paraId="1FDC1661" w14:textId="77777777" w:rsidR="00151081" w:rsidRDefault="00151081" w:rsidP="00151081">
      <w:pPr>
        <w:spacing w:line="360" w:lineRule="auto"/>
        <w:rPr>
          <w:rFonts w:cs="Arial"/>
          <w:bCs/>
        </w:rPr>
      </w:pPr>
    </w:p>
    <w:p w14:paraId="59535503" w14:textId="77777777" w:rsidR="00151081" w:rsidRDefault="00151081" w:rsidP="00151081">
      <w:pPr>
        <w:spacing w:line="360" w:lineRule="auto"/>
        <w:rPr>
          <w:rFonts w:cs="Arial"/>
          <w:bCs/>
        </w:rPr>
      </w:pPr>
    </w:p>
    <w:p w14:paraId="6CF142C2" w14:textId="77777777" w:rsidR="00151081" w:rsidRDefault="00151081" w:rsidP="00151081">
      <w:pPr>
        <w:spacing w:line="360" w:lineRule="auto"/>
        <w:rPr>
          <w:rFonts w:cs="Arial"/>
          <w:bCs/>
        </w:rPr>
      </w:pPr>
    </w:p>
    <w:p w14:paraId="7E9AF12D" w14:textId="77777777" w:rsidR="00151081" w:rsidRDefault="00151081" w:rsidP="00151081">
      <w:pPr>
        <w:spacing w:line="360" w:lineRule="auto"/>
        <w:rPr>
          <w:rFonts w:cs="Arial"/>
          <w:bCs/>
        </w:rPr>
      </w:pPr>
    </w:p>
    <w:p w14:paraId="19235059" w14:textId="77777777" w:rsidR="00151081" w:rsidRDefault="00151081" w:rsidP="00151081">
      <w:pPr>
        <w:spacing w:line="360" w:lineRule="auto"/>
        <w:rPr>
          <w:rFonts w:cs="Arial"/>
          <w:bCs/>
        </w:rPr>
      </w:pPr>
    </w:p>
    <w:p w14:paraId="7ACE29B0" w14:textId="77777777" w:rsidR="00151081" w:rsidRDefault="00151081" w:rsidP="00151081">
      <w:pPr>
        <w:spacing w:line="360" w:lineRule="auto"/>
        <w:rPr>
          <w:rFonts w:cs="Arial"/>
          <w:bCs/>
        </w:rPr>
      </w:pPr>
    </w:p>
    <w:p w14:paraId="52225074" w14:textId="77777777" w:rsidR="00151081" w:rsidRDefault="00151081" w:rsidP="00151081">
      <w:pPr>
        <w:spacing w:line="360" w:lineRule="auto"/>
        <w:rPr>
          <w:rFonts w:cs="Arial"/>
          <w:bCs/>
        </w:rPr>
      </w:pPr>
    </w:p>
    <w:p w14:paraId="09755460" w14:textId="77777777" w:rsidR="00151081" w:rsidRDefault="00151081" w:rsidP="00151081">
      <w:pPr>
        <w:spacing w:line="360" w:lineRule="auto"/>
        <w:rPr>
          <w:rFonts w:cs="Arial"/>
          <w:bCs/>
        </w:rPr>
      </w:pPr>
    </w:p>
    <w:p w14:paraId="75329F5E" w14:textId="77777777" w:rsidR="00151081" w:rsidRDefault="00151081" w:rsidP="00151081">
      <w:pPr>
        <w:spacing w:line="360" w:lineRule="auto"/>
        <w:rPr>
          <w:rFonts w:cs="Arial"/>
          <w:bCs/>
        </w:rPr>
      </w:pPr>
    </w:p>
    <w:p w14:paraId="3218D7B4" w14:textId="77777777" w:rsidR="00EE1DA1" w:rsidRPr="00EE1DA1" w:rsidRDefault="00EE1DA1" w:rsidP="00151081">
      <w:pPr>
        <w:pStyle w:val="Heading3"/>
        <w:numPr>
          <w:ilvl w:val="2"/>
          <w:numId w:val="1"/>
        </w:numPr>
        <w:spacing w:line="360" w:lineRule="auto"/>
        <w:rPr>
          <w:color w:val="000000" w:themeColor="text1"/>
        </w:rPr>
      </w:pPr>
      <w:bookmarkStart w:id="25" w:name="_Toc495067577"/>
      <w:r w:rsidRPr="00EE1DA1">
        <w:rPr>
          <w:color w:val="000000" w:themeColor="text1"/>
        </w:rPr>
        <w:lastRenderedPageBreak/>
        <w:t>Financial performance</w:t>
      </w:r>
      <w:bookmarkEnd w:id="25"/>
    </w:p>
    <w:tbl>
      <w:tblPr>
        <w:tblStyle w:val="TableGrid"/>
        <w:tblW w:w="5000" w:type="pct"/>
        <w:tblLook w:val="04A0" w:firstRow="1" w:lastRow="0" w:firstColumn="1" w:lastColumn="0" w:noHBand="0" w:noVBand="1"/>
      </w:tblPr>
      <w:tblGrid>
        <w:gridCol w:w="2763"/>
        <w:gridCol w:w="6479"/>
      </w:tblGrid>
      <w:tr w:rsidR="00EE1DA1" w:rsidRPr="00980D0C" w14:paraId="75EA6CD0" w14:textId="77777777" w:rsidTr="00133C3A">
        <w:tc>
          <w:tcPr>
            <w:tcW w:w="5000" w:type="pct"/>
            <w:gridSpan w:val="2"/>
            <w:shd w:val="clear" w:color="auto" w:fill="A8D08D" w:themeFill="accent6" w:themeFillTint="99"/>
          </w:tcPr>
          <w:p w14:paraId="7E17E649" w14:textId="77777777" w:rsidR="00EE1DA1" w:rsidRPr="00980D0C" w:rsidRDefault="00EE1DA1" w:rsidP="00151081">
            <w:pPr>
              <w:spacing w:line="360" w:lineRule="auto"/>
              <w:jc w:val="center"/>
              <w:rPr>
                <w:rFonts w:cs="Arial"/>
                <w:b/>
                <w:lang w:val="en-GB"/>
              </w:rPr>
            </w:pPr>
            <w:r>
              <w:rPr>
                <w:rFonts w:cs="Arial"/>
                <w:b/>
                <w:lang w:val="en-GB"/>
              </w:rPr>
              <w:t>2016/17</w:t>
            </w:r>
          </w:p>
        </w:tc>
      </w:tr>
      <w:tr w:rsidR="00EE1DA1" w:rsidRPr="00980D0C" w14:paraId="61013C9F" w14:textId="77777777" w:rsidTr="00133C3A">
        <w:tc>
          <w:tcPr>
            <w:tcW w:w="1495" w:type="pct"/>
          </w:tcPr>
          <w:p w14:paraId="3D5D4FCA" w14:textId="77777777" w:rsidR="00EE1DA1" w:rsidRPr="00980D0C" w:rsidRDefault="00EE1DA1" w:rsidP="00151081">
            <w:pPr>
              <w:spacing w:line="360" w:lineRule="auto"/>
              <w:rPr>
                <w:rFonts w:cs="Arial"/>
                <w:b/>
                <w:lang w:val="en-GB"/>
              </w:rPr>
            </w:pPr>
            <w:r w:rsidRPr="00980D0C">
              <w:rPr>
                <w:rFonts w:cs="Arial"/>
                <w:b/>
                <w:lang w:val="en-GB"/>
              </w:rPr>
              <w:t>Expenditure</w:t>
            </w:r>
          </w:p>
        </w:tc>
        <w:tc>
          <w:tcPr>
            <w:tcW w:w="3505" w:type="pct"/>
          </w:tcPr>
          <w:p w14:paraId="3FCAC556" w14:textId="77777777" w:rsidR="00EE1DA1" w:rsidRPr="00980D0C" w:rsidRDefault="00EE1DA1" w:rsidP="00151081">
            <w:pPr>
              <w:spacing w:line="360" w:lineRule="auto"/>
              <w:rPr>
                <w:rFonts w:cs="Arial"/>
              </w:rPr>
            </w:pPr>
            <w:r>
              <w:rPr>
                <w:rFonts w:cs="Arial"/>
              </w:rPr>
              <w:t xml:space="preserve">Total expenses </w:t>
            </w:r>
            <w:r w:rsidRPr="00980D0C">
              <w:rPr>
                <w:rFonts w:cs="Arial"/>
              </w:rPr>
              <w:t>amounted</w:t>
            </w:r>
            <w:r>
              <w:rPr>
                <w:rFonts w:cs="Arial"/>
              </w:rPr>
              <w:t xml:space="preserve"> to R594.6 million, with R331.1 million</w:t>
            </w:r>
            <w:r w:rsidRPr="00980D0C">
              <w:rPr>
                <w:rFonts w:cs="Arial"/>
              </w:rPr>
              <w:t xml:space="preserve"> </w:t>
            </w:r>
            <w:r>
              <w:rPr>
                <w:rFonts w:cs="Arial"/>
              </w:rPr>
              <w:t xml:space="preserve">or 55.6% </w:t>
            </w:r>
            <w:r w:rsidRPr="00980D0C">
              <w:rPr>
                <w:rFonts w:cs="Arial"/>
              </w:rPr>
              <w:t>sp</w:t>
            </w:r>
            <w:r>
              <w:rPr>
                <w:rFonts w:cs="Arial"/>
              </w:rPr>
              <w:t>ent on employee related costs</w:t>
            </w:r>
            <w:r w:rsidRPr="00980D0C">
              <w:rPr>
                <w:rFonts w:cs="Arial"/>
              </w:rPr>
              <w:t>. There was a</w:t>
            </w:r>
            <w:r>
              <w:rPr>
                <w:rFonts w:cs="Arial"/>
              </w:rPr>
              <w:t xml:space="preserve"> surplus of R15 million, which amounted 2.5 percent of the total expenses.</w:t>
            </w:r>
          </w:p>
        </w:tc>
      </w:tr>
      <w:tr w:rsidR="00EE1DA1" w:rsidRPr="00980D0C" w14:paraId="170E2AC5" w14:textId="77777777" w:rsidTr="00133C3A">
        <w:tc>
          <w:tcPr>
            <w:tcW w:w="1495" w:type="pct"/>
          </w:tcPr>
          <w:p w14:paraId="077F8B70" w14:textId="77777777" w:rsidR="00EE1DA1" w:rsidRPr="00980D0C" w:rsidRDefault="00EE1DA1" w:rsidP="00151081">
            <w:pPr>
              <w:spacing w:line="360" w:lineRule="auto"/>
              <w:rPr>
                <w:rFonts w:cs="Arial"/>
                <w:b/>
                <w:lang w:val="en-GB"/>
              </w:rPr>
            </w:pPr>
            <w:r w:rsidRPr="00980D0C">
              <w:rPr>
                <w:rFonts w:cs="Arial"/>
                <w:b/>
                <w:lang w:val="en-GB"/>
              </w:rPr>
              <w:t>Fruitless and wasteful expenditure</w:t>
            </w:r>
          </w:p>
        </w:tc>
        <w:tc>
          <w:tcPr>
            <w:tcW w:w="3505" w:type="pct"/>
          </w:tcPr>
          <w:p w14:paraId="4314FBD6" w14:textId="77777777" w:rsidR="00EE1DA1" w:rsidRPr="00980D0C" w:rsidRDefault="00EE1DA1" w:rsidP="00151081">
            <w:pPr>
              <w:spacing w:line="360" w:lineRule="auto"/>
              <w:rPr>
                <w:rFonts w:cs="Arial"/>
                <w:lang w:val="en-GB"/>
              </w:rPr>
            </w:pPr>
            <w:r>
              <w:rPr>
                <w:rFonts w:cs="Arial"/>
                <w:lang w:val="en-GB"/>
              </w:rPr>
              <w:t>Incurred fruitless and wasteful expenditure to the value of R91 965, of which R56 414 (61%) related to a Workmen’s Compensation Commissioner claim, R25 374 (28%) to the South African Revenue Service and R10 177 (11%) to late payment of various creditors.</w:t>
            </w:r>
          </w:p>
        </w:tc>
      </w:tr>
      <w:tr w:rsidR="00EE1DA1" w:rsidRPr="00980D0C" w14:paraId="7B6AD44E" w14:textId="77777777" w:rsidTr="00133C3A">
        <w:tc>
          <w:tcPr>
            <w:tcW w:w="1495" w:type="pct"/>
          </w:tcPr>
          <w:p w14:paraId="158B7BDF" w14:textId="77777777" w:rsidR="00EE1DA1" w:rsidRPr="00980D0C" w:rsidRDefault="00EE1DA1" w:rsidP="00151081">
            <w:pPr>
              <w:spacing w:line="360" w:lineRule="auto"/>
              <w:rPr>
                <w:rFonts w:cs="Arial"/>
                <w:b/>
                <w:lang w:val="en-GB"/>
              </w:rPr>
            </w:pPr>
            <w:r w:rsidRPr="00980D0C">
              <w:rPr>
                <w:rFonts w:cs="Arial"/>
                <w:b/>
                <w:lang w:val="en-GB"/>
              </w:rPr>
              <w:t>Irregular expenditure</w:t>
            </w:r>
          </w:p>
        </w:tc>
        <w:tc>
          <w:tcPr>
            <w:tcW w:w="3505" w:type="pct"/>
          </w:tcPr>
          <w:p w14:paraId="231BC53F" w14:textId="77777777" w:rsidR="00EE1DA1" w:rsidRPr="00980D0C" w:rsidRDefault="00EE1DA1" w:rsidP="00151081">
            <w:pPr>
              <w:spacing w:line="360" w:lineRule="auto"/>
              <w:rPr>
                <w:rFonts w:cs="Arial"/>
              </w:rPr>
            </w:pPr>
            <w:r>
              <w:rPr>
                <w:rFonts w:cs="Arial"/>
              </w:rPr>
              <w:t>Incurred 0% irregular expenditure.</w:t>
            </w:r>
          </w:p>
        </w:tc>
      </w:tr>
      <w:tr w:rsidR="00EE1DA1" w:rsidRPr="00980D0C" w14:paraId="46BAB208" w14:textId="77777777" w:rsidTr="00133C3A">
        <w:tc>
          <w:tcPr>
            <w:tcW w:w="1495" w:type="pct"/>
          </w:tcPr>
          <w:p w14:paraId="4C5FAD0C" w14:textId="77777777" w:rsidR="00EE1DA1" w:rsidRPr="00980D0C" w:rsidRDefault="00EE1DA1" w:rsidP="00151081">
            <w:pPr>
              <w:spacing w:line="360" w:lineRule="auto"/>
              <w:rPr>
                <w:rFonts w:cs="Arial"/>
                <w:b/>
                <w:lang w:val="en-GB"/>
              </w:rPr>
            </w:pPr>
            <w:r w:rsidRPr="00980D0C">
              <w:rPr>
                <w:rFonts w:cs="Arial"/>
                <w:b/>
                <w:lang w:val="en-GB"/>
              </w:rPr>
              <w:t>Contingent liability</w:t>
            </w:r>
          </w:p>
        </w:tc>
        <w:tc>
          <w:tcPr>
            <w:tcW w:w="3505" w:type="pct"/>
          </w:tcPr>
          <w:p w14:paraId="0D7E70D1" w14:textId="77777777" w:rsidR="00EE1DA1" w:rsidRPr="00980D0C" w:rsidRDefault="00EE1DA1" w:rsidP="00151081">
            <w:pPr>
              <w:spacing w:line="360" w:lineRule="auto"/>
              <w:rPr>
                <w:rFonts w:cs="Arial"/>
              </w:rPr>
            </w:pPr>
            <w:r>
              <w:rPr>
                <w:rFonts w:cs="Arial"/>
              </w:rPr>
              <w:t>There were no contingent liabilities.</w:t>
            </w:r>
          </w:p>
        </w:tc>
      </w:tr>
    </w:tbl>
    <w:p w14:paraId="034CA7EA" w14:textId="77777777" w:rsidR="00EE1DA1" w:rsidRDefault="00EE1DA1" w:rsidP="00151081">
      <w:pPr>
        <w:tabs>
          <w:tab w:val="left" w:pos="999"/>
        </w:tabs>
        <w:spacing w:line="360" w:lineRule="auto"/>
      </w:pPr>
    </w:p>
    <w:p w14:paraId="2ED268AB" w14:textId="77777777" w:rsidR="00EE1DA1" w:rsidRPr="00EE1DA1" w:rsidRDefault="00EE1DA1" w:rsidP="00151081">
      <w:pPr>
        <w:pStyle w:val="Heading3"/>
        <w:numPr>
          <w:ilvl w:val="2"/>
          <w:numId w:val="1"/>
        </w:numPr>
        <w:spacing w:line="360" w:lineRule="auto"/>
        <w:rPr>
          <w:color w:val="000000" w:themeColor="text1"/>
        </w:rPr>
      </w:pPr>
      <w:bookmarkStart w:id="26" w:name="_Toc495067578"/>
      <w:r w:rsidRPr="00EE1DA1">
        <w:rPr>
          <w:color w:val="000000" w:themeColor="text1"/>
        </w:rPr>
        <w:t>Audit findings</w:t>
      </w:r>
      <w:bookmarkEnd w:id="26"/>
    </w:p>
    <w:tbl>
      <w:tblPr>
        <w:tblStyle w:val="TableGrid"/>
        <w:tblW w:w="9067" w:type="dxa"/>
        <w:tblLook w:val="04A0" w:firstRow="1" w:lastRow="0" w:firstColumn="1" w:lastColumn="0" w:noHBand="0" w:noVBand="1"/>
      </w:tblPr>
      <w:tblGrid>
        <w:gridCol w:w="4556"/>
        <w:gridCol w:w="4511"/>
      </w:tblGrid>
      <w:tr w:rsidR="00EE1DA1" w:rsidRPr="00980D0C" w14:paraId="5BD9142F" w14:textId="77777777" w:rsidTr="00EE1DA1">
        <w:tc>
          <w:tcPr>
            <w:tcW w:w="9067" w:type="dxa"/>
            <w:gridSpan w:val="2"/>
            <w:shd w:val="clear" w:color="auto" w:fill="A8D08D" w:themeFill="accent6" w:themeFillTint="99"/>
          </w:tcPr>
          <w:p w14:paraId="5906257D" w14:textId="77777777" w:rsidR="00EE1DA1" w:rsidRPr="00980D0C" w:rsidRDefault="00EE1DA1" w:rsidP="00151081">
            <w:pPr>
              <w:spacing w:line="360" w:lineRule="auto"/>
              <w:jc w:val="center"/>
              <w:rPr>
                <w:rFonts w:cs="Arial"/>
                <w:b/>
              </w:rPr>
            </w:pPr>
            <w:r>
              <w:rPr>
                <w:rFonts w:cs="Arial"/>
                <w:b/>
              </w:rPr>
              <w:t>2016/17</w:t>
            </w:r>
          </w:p>
        </w:tc>
      </w:tr>
      <w:tr w:rsidR="00EE1DA1" w:rsidRPr="00980D0C" w14:paraId="35C0A4CA" w14:textId="77777777" w:rsidTr="00EE1DA1">
        <w:tc>
          <w:tcPr>
            <w:tcW w:w="9067" w:type="dxa"/>
            <w:gridSpan w:val="2"/>
          </w:tcPr>
          <w:p w14:paraId="31E83EDE" w14:textId="77777777" w:rsidR="00EE1DA1" w:rsidRPr="00980D0C" w:rsidRDefault="00EE1DA1" w:rsidP="00151081">
            <w:pPr>
              <w:spacing w:line="360" w:lineRule="auto"/>
              <w:jc w:val="center"/>
              <w:rPr>
                <w:rFonts w:cs="Arial"/>
              </w:rPr>
            </w:pPr>
            <w:r w:rsidRPr="00980D0C">
              <w:rPr>
                <w:rFonts w:cs="Arial"/>
              </w:rPr>
              <w:t>Financially unqualified (with</w:t>
            </w:r>
            <w:r>
              <w:rPr>
                <w:rFonts w:cs="Arial"/>
              </w:rPr>
              <w:t xml:space="preserve"> no</w:t>
            </w:r>
            <w:r w:rsidRPr="00980D0C">
              <w:rPr>
                <w:rFonts w:cs="Arial"/>
              </w:rPr>
              <w:t xml:space="preserve"> findings)</w:t>
            </w:r>
          </w:p>
        </w:tc>
      </w:tr>
      <w:tr w:rsidR="00EE1DA1" w:rsidRPr="00980D0C" w14:paraId="256C413A" w14:textId="77777777" w:rsidTr="00EE1DA1">
        <w:tc>
          <w:tcPr>
            <w:tcW w:w="0" w:type="auto"/>
            <w:shd w:val="clear" w:color="auto" w:fill="A8D08D" w:themeFill="accent6" w:themeFillTint="99"/>
          </w:tcPr>
          <w:p w14:paraId="3A7EA091"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 xml:space="preserve">AUDIT FOCUS </w:t>
            </w:r>
          </w:p>
          <w:p w14:paraId="26E2A395"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AREAS</w:t>
            </w:r>
          </w:p>
        </w:tc>
        <w:tc>
          <w:tcPr>
            <w:tcW w:w="4511" w:type="dxa"/>
            <w:shd w:val="clear" w:color="auto" w:fill="A8D08D" w:themeFill="accent6" w:themeFillTint="99"/>
          </w:tcPr>
          <w:p w14:paraId="5FAA5ADA" w14:textId="77777777" w:rsidR="00EE1DA1" w:rsidRPr="00980D0C" w:rsidRDefault="00EE1DA1" w:rsidP="00151081">
            <w:pPr>
              <w:spacing w:line="360" w:lineRule="auto"/>
              <w:jc w:val="center"/>
              <w:rPr>
                <w:rFonts w:cs="Arial"/>
                <w:b/>
                <w:color w:val="000000" w:themeColor="text1"/>
              </w:rPr>
            </w:pPr>
            <w:r>
              <w:rPr>
                <w:rFonts w:cs="Arial"/>
                <w:b/>
                <w:color w:val="000000" w:themeColor="text1"/>
              </w:rPr>
              <w:t>FINDINGS</w:t>
            </w:r>
          </w:p>
        </w:tc>
      </w:tr>
      <w:tr w:rsidR="00EE1DA1" w:rsidRPr="00980D0C" w14:paraId="253EF25B" w14:textId="77777777" w:rsidTr="00EE1DA1">
        <w:tc>
          <w:tcPr>
            <w:tcW w:w="0" w:type="auto"/>
          </w:tcPr>
          <w:p w14:paraId="450F145A" w14:textId="77777777" w:rsidR="00EE1DA1" w:rsidRPr="00980D0C" w:rsidRDefault="00EE1DA1" w:rsidP="00151081">
            <w:pPr>
              <w:spacing w:line="360" w:lineRule="auto"/>
              <w:rPr>
                <w:rFonts w:cs="Arial"/>
                <w:b/>
              </w:rPr>
            </w:pPr>
            <w:r w:rsidRPr="00980D0C">
              <w:rPr>
                <w:rFonts w:cs="Arial"/>
                <w:b/>
              </w:rPr>
              <w:t>Quality of submitted financial statements</w:t>
            </w:r>
          </w:p>
        </w:tc>
        <w:tc>
          <w:tcPr>
            <w:tcW w:w="4511" w:type="dxa"/>
          </w:tcPr>
          <w:p w14:paraId="6E8CA911" w14:textId="77777777" w:rsidR="00EE1DA1" w:rsidRPr="00980D0C" w:rsidRDefault="00EE1DA1" w:rsidP="00151081">
            <w:pPr>
              <w:spacing w:line="360" w:lineRule="auto"/>
              <w:rPr>
                <w:rFonts w:cs="Arial"/>
              </w:rPr>
            </w:pPr>
            <w:r>
              <w:rPr>
                <w:rFonts w:cs="Arial"/>
              </w:rPr>
              <w:t>No findings</w:t>
            </w:r>
          </w:p>
        </w:tc>
      </w:tr>
      <w:tr w:rsidR="00EE1DA1" w:rsidRPr="00980D0C" w14:paraId="66CECD47" w14:textId="77777777" w:rsidTr="00EE1DA1">
        <w:tc>
          <w:tcPr>
            <w:tcW w:w="0" w:type="auto"/>
          </w:tcPr>
          <w:p w14:paraId="7AE4463A" w14:textId="77777777" w:rsidR="00EE1DA1" w:rsidRPr="00980D0C" w:rsidRDefault="00EE1DA1" w:rsidP="00151081">
            <w:pPr>
              <w:spacing w:line="360" w:lineRule="auto"/>
              <w:rPr>
                <w:rFonts w:cs="Arial"/>
                <w:b/>
              </w:rPr>
            </w:pPr>
            <w:r w:rsidRPr="00980D0C">
              <w:rPr>
                <w:rFonts w:cs="Arial"/>
                <w:b/>
              </w:rPr>
              <w:t>Quality of submitted performance reports</w:t>
            </w:r>
          </w:p>
        </w:tc>
        <w:tc>
          <w:tcPr>
            <w:tcW w:w="4511" w:type="dxa"/>
          </w:tcPr>
          <w:p w14:paraId="22670F9D" w14:textId="77777777" w:rsidR="00EE1DA1" w:rsidRPr="00980D0C" w:rsidRDefault="00EE1DA1" w:rsidP="00151081">
            <w:pPr>
              <w:spacing w:line="360" w:lineRule="auto"/>
              <w:rPr>
                <w:rFonts w:cs="Arial"/>
              </w:rPr>
            </w:pPr>
            <w:r>
              <w:rPr>
                <w:rFonts w:cs="Arial"/>
              </w:rPr>
              <w:t>No findings</w:t>
            </w:r>
          </w:p>
        </w:tc>
      </w:tr>
      <w:tr w:rsidR="00EE1DA1" w:rsidRPr="00980D0C" w14:paraId="6D22CD21" w14:textId="77777777" w:rsidTr="00EE1DA1">
        <w:tc>
          <w:tcPr>
            <w:tcW w:w="0" w:type="auto"/>
          </w:tcPr>
          <w:p w14:paraId="26A6156E" w14:textId="77777777" w:rsidR="00EE1DA1" w:rsidRPr="00980D0C" w:rsidRDefault="00EE1DA1" w:rsidP="00151081">
            <w:pPr>
              <w:spacing w:line="360" w:lineRule="auto"/>
              <w:rPr>
                <w:rFonts w:cs="Arial"/>
                <w:b/>
              </w:rPr>
            </w:pPr>
            <w:r w:rsidRPr="00980D0C">
              <w:rPr>
                <w:rFonts w:cs="Arial"/>
                <w:b/>
              </w:rPr>
              <w:t>Compliance with legislation</w:t>
            </w:r>
          </w:p>
        </w:tc>
        <w:tc>
          <w:tcPr>
            <w:tcW w:w="4511" w:type="dxa"/>
          </w:tcPr>
          <w:p w14:paraId="4C90E15F" w14:textId="77777777" w:rsidR="00EE1DA1" w:rsidRPr="00E57279" w:rsidRDefault="00EE1DA1" w:rsidP="00151081">
            <w:pPr>
              <w:spacing w:line="360" w:lineRule="auto"/>
              <w:rPr>
                <w:rFonts w:cs="Arial"/>
              </w:rPr>
            </w:pPr>
            <w:r>
              <w:rPr>
                <w:rFonts w:cs="Arial"/>
              </w:rPr>
              <w:t>No findings</w:t>
            </w:r>
          </w:p>
        </w:tc>
      </w:tr>
      <w:tr w:rsidR="00EE1DA1" w:rsidRPr="00980D0C" w14:paraId="066C8B7A" w14:textId="77777777" w:rsidTr="00EE1DA1">
        <w:tc>
          <w:tcPr>
            <w:tcW w:w="0" w:type="auto"/>
          </w:tcPr>
          <w:p w14:paraId="6B246019" w14:textId="77777777" w:rsidR="00EE1DA1" w:rsidRPr="00980D0C" w:rsidRDefault="00EE1DA1" w:rsidP="00151081">
            <w:pPr>
              <w:spacing w:line="360" w:lineRule="auto"/>
              <w:rPr>
                <w:rFonts w:cs="Arial"/>
                <w:b/>
              </w:rPr>
            </w:pPr>
            <w:r>
              <w:rPr>
                <w:rFonts w:cs="Arial"/>
                <w:b/>
              </w:rPr>
              <w:t>Financial health</w:t>
            </w:r>
          </w:p>
        </w:tc>
        <w:tc>
          <w:tcPr>
            <w:tcW w:w="4511" w:type="dxa"/>
          </w:tcPr>
          <w:p w14:paraId="6D879BAF" w14:textId="77777777" w:rsidR="00EE1DA1" w:rsidRPr="00980D0C" w:rsidRDefault="00EE1DA1" w:rsidP="00151081">
            <w:pPr>
              <w:spacing w:line="360" w:lineRule="auto"/>
              <w:rPr>
                <w:rFonts w:cs="Arial"/>
              </w:rPr>
            </w:pPr>
            <w:r>
              <w:rPr>
                <w:rFonts w:cs="Arial"/>
              </w:rPr>
              <w:t>No findings</w:t>
            </w:r>
          </w:p>
        </w:tc>
      </w:tr>
      <w:tr w:rsidR="00EE1DA1" w:rsidRPr="00980D0C" w14:paraId="362E10AE" w14:textId="77777777" w:rsidTr="00EE1DA1">
        <w:tc>
          <w:tcPr>
            <w:tcW w:w="0" w:type="auto"/>
          </w:tcPr>
          <w:p w14:paraId="0D2F8763" w14:textId="77777777" w:rsidR="00EE1DA1" w:rsidRPr="00980D0C" w:rsidRDefault="00EE1DA1" w:rsidP="00151081">
            <w:pPr>
              <w:spacing w:line="360" w:lineRule="auto"/>
              <w:rPr>
                <w:rFonts w:cs="Arial"/>
                <w:b/>
              </w:rPr>
            </w:pPr>
            <w:r w:rsidRPr="00980D0C">
              <w:rPr>
                <w:rFonts w:cs="Arial"/>
                <w:b/>
              </w:rPr>
              <w:t>Human resource management</w:t>
            </w:r>
          </w:p>
        </w:tc>
        <w:tc>
          <w:tcPr>
            <w:tcW w:w="4511" w:type="dxa"/>
          </w:tcPr>
          <w:p w14:paraId="7369A00D" w14:textId="77777777" w:rsidR="00EE1DA1" w:rsidRPr="00980D0C" w:rsidRDefault="00EE1DA1" w:rsidP="00151081">
            <w:pPr>
              <w:spacing w:line="360" w:lineRule="auto"/>
              <w:rPr>
                <w:rFonts w:cs="Arial"/>
              </w:rPr>
            </w:pPr>
            <w:r>
              <w:rPr>
                <w:rFonts w:cs="Arial"/>
              </w:rPr>
              <w:t>No findings</w:t>
            </w:r>
          </w:p>
        </w:tc>
      </w:tr>
      <w:tr w:rsidR="00EE1DA1" w:rsidRPr="00980D0C" w14:paraId="2488C60A" w14:textId="77777777" w:rsidTr="00EE1DA1">
        <w:tc>
          <w:tcPr>
            <w:tcW w:w="0" w:type="auto"/>
          </w:tcPr>
          <w:p w14:paraId="2042A3BA" w14:textId="77777777" w:rsidR="00EE1DA1" w:rsidRPr="00980D0C" w:rsidRDefault="00EE1DA1" w:rsidP="00151081">
            <w:pPr>
              <w:spacing w:line="360" w:lineRule="auto"/>
              <w:rPr>
                <w:rFonts w:cs="Arial"/>
                <w:b/>
              </w:rPr>
            </w:pPr>
            <w:r w:rsidRPr="00980D0C">
              <w:rPr>
                <w:rFonts w:cs="Arial"/>
                <w:b/>
              </w:rPr>
              <w:t>Information technology</w:t>
            </w:r>
          </w:p>
        </w:tc>
        <w:tc>
          <w:tcPr>
            <w:tcW w:w="4511" w:type="dxa"/>
          </w:tcPr>
          <w:p w14:paraId="378FD91C" w14:textId="77777777" w:rsidR="00EE1DA1" w:rsidRPr="00980D0C" w:rsidRDefault="00EE1DA1" w:rsidP="00151081">
            <w:pPr>
              <w:spacing w:line="360" w:lineRule="auto"/>
              <w:rPr>
                <w:rFonts w:cs="Arial"/>
              </w:rPr>
            </w:pPr>
            <w:r>
              <w:rPr>
                <w:rFonts w:cs="Arial"/>
              </w:rPr>
              <w:t>No findings</w:t>
            </w:r>
          </w:p>
        </w:tc>
      </w:tr>
    </w:tbl>
    <w:p w14:paraId="2E223052" w14:textId="77777777" w:rsidR="00EE1DA1" w:rsidRDefault="00EE1DA1" w:rsidP="00151081">
      <w:pPr>
        <w:spacing w:line="360" w:lineRule="auto"/>
      </w:pPr>
    </w:p>
    <w:p w14:paraId="70A48697" w14:textId="77777777" w:rsidR="00EE1DA1" w:rsidRDefault="00EE1DA1" w:rsidP="00151081">
      <w:pPr>
        <w:spacing w:line="360" w:lineRule="auto"/>
        <w:rPr>
          <w:rFonts w:cs="Arial"/>
          <w:bCs/>
        </w:rPr>
      </w:pPr>
      <w:r w:rsidRPr="00152B9B">
        <w:rPr>
          <w:b/>
        </w:rPr>
        <w:t>Comment:</w:t>
      </w:r>
      <w:r>
        <w:rPr>
          <w:b/>
        </w:rPr>
        <w:t xml:space="preserve"> </w:t>
      </w:r>
      <w:r>
        <w:rPr>
          <w:rFonts w:cs="Arial"/>
          <w:bCs/>
        </w:rPr>
        <w:t>SALGA has received the fifth consecutive clean audit in 2016/17.</w:t>
      </w:r>
      <w:r w:rsidR="00151081">
        <w:rPr>
          <w:rFonts w:cs="Arial"/>
          <w:bCs/>
        </w:rPr>
        <w:t xml:space="preserve"> </w:t>
      </w:r>
    </w:p>
    <w:p w14:paraId="72CC2FA9" w14:textId="77777777" w:rsidR="00151081" w:rsidRPr="00152B9B" w:rsidRDefault="00151081" w:rsidP="00151081">
      <w:pPr>
        <w:spacing w:line="360" w:lineRule="auto"/>
        <w:rPr>
          <w:b/>
        </w:rPr>
      </w:pPr>
    </w:p>
    <w:p w14:paraId="1E4D5A50" w14:textId="77777777" w:rsidR="00EE1DA1" w:rsidRPr="00EE1DA1" w:rsidRDefault="00EE1DA1" w:rsidP="00151081">
      <w:pPr>
        <w:pStyle w:val="Heading3"/>
        <w:numPr>
          <w:ilvl w:val="2"/>
          <w:numId w:val="1"/>
        </w:numPr>
        <w:spacing w:line="360" w:lineRule="auto"/>
        <w:rPr>
          <w:color w:val="000000" w:themeColor="text1"/>
        </w:rPr>
      </w:pPr>
      <w:bookmarkStart w:id="27" w:name="_Toc495067579"/>
      <w:r w:rsidRPr="00EE1DA1">
        <w:rPr>
          <w:color w:val="000000" w:themeColor="text1"/>
        </w:rPr>
        <w:t>Key reported achievements</w:t>
      </w:r>
      <w:bookmarkEnd w:id="27"/>
    </w:p>
    <w:p w14:paraId="188E628A" w14:textId="77777777" w:rsidR="00EE1DA1" w:rsidRDefault="00EE1DA1" w:rsidP="00151081">
      <w:pPr>
        <w:spacing w:line="360" w:lineRule="auto"/>
      </w:pPr>
    </w:p>
    <w:p w14:paraId="296719CE" w14:textId="77777777" w:rsidR="00EE1DA1" w:rsidRDefault="00EE1DA1" w:rsidP="00151081">
      <w:pPr>
        <w:pStyle w:val="ListParagraph"/>
        <w:numPr>
          <w:ilvl w:val="0"/>
          <w:numId w:val="11"/>
        </w:numPr>
        <w:spacing w:line="360" w:lineRule="auto"/>
      </w:pPr>
      <w:r>
        <w:t>Successfully lobbied for changes to some of Eskom’s credit control policies, including reducing the prime plus 5% interest on overdue amounts to prime plus 2.5%, as well as increasing the Eskom 15</w:t>
      </w:r>
      <w:r w:rsidR="00151081">
        <w:t>-</w:t>
      </w:r>
      <w:r>
        <w:t>day payment requirement to 30 days.</w:t>
      </w:r>
    </w:p>
    <w:p w14:paraId="7355CD39" w14:textId="77777777" w:rsidR="00EE1DA1" w:rsidRDefault="00EE1DA1" w:rsidP="00151081">
      <w:pPr>
        <w:pStyle w:val="ListParagraph"/>
        <w:spacing w:line="360" w:lineRule="auto"/>
      </w:pPr>
    </w:p>
    <w:p w14:paraId="3DAEF84C" w14:textId="77777777" w:rsidR="00EE1DA1" w:rsidRDefault="00EE1DA1" w:rsidP="00151081">
      <w:pPr>
        <w:pStyle w:val="ListParagraph"/>
        <w:numPr>
          <w:ilvl w:val="0"/>
          <w:numId w:val="11"/>
        </w:numPr>
        <w:spacing w:line="360" w:lineRule="auto"/>
      </w:pPr>
      <w:r>
        <w:lastRenderedPageBreak/>
        <w:t>Successfully advocated for key reforms in spatial planning and land use planning, including providing support to municipalities to ensure that they meet the key readiness indicators to implement the Spatial Planning and Land Use Management Act that became operational on first of July 2015.</w:t>
      </w:r>
    </w:p>
    <w:p w14:paraId="7C78475C" w14:textId="77777777" w:rsidR="00EE1DA1" w:rsidRDefault="00EE1DA1" w:rsidP="00151081">
      <w:pPr>
        <w:pStyle w:val="ListParagraph"/>
        <w:spacing w:line="360" w:lineRule="auto"/>
      </w:pPr>
    </w:p>
    <w:p w14:paraId="2D5686C4" w14:textId="77777777" w:rsidR="00EE1DA1" w:rsidRDefault="00EE1DA1" w:rsidP="00151081">
      <w:pPr>
        <w:pStyle w:val="ListParagraph"/>
        <w:numPr>
          <w:ilvl w:val="0"/>
          <w:numId w:val="11"/>
        </w:numPr>
        <w:spacing w:line="360" w:lineRule="auto"/>
      </w:pPr>
      <w:r>
        <w:t>Induction and training of a new body of 9 306 local councillors assuming office after the local government elections of 3 August 2016. The outcome of this initiative, according to the Annual Report, is a group of new councillors who have a fully integrated understanding of the context in which they operate.</w:t>
      </w:r>
    </w:p>
    <w:p w14:paraId="6B7CC7DF" w14:textId="77777777" w:rsidR="00EE1DA1" w:rsidRDefault="00EE1DA1" w:rsidP="00151081">
      <w:pPr>
        <w:spacing w:line="360" w:lineRule="auto"/>
      </w:pPr>
    </w:p>
    <w:p w14:paraId="2D0C9878" w14:textId="77777777" w:rsidR="00EE1DA1" w:rsidRPr="00EE1DA1" w:rsidRDefault="00EE1DA1" w:rsidP="00151081">
      <w:pPr>
        <w:pStyle w:val="Heading3"/>
        <w:numPr>
          <w:ilvl w:val="2"/>
          <w:numId w:val="1"/>
        </w:numPr>
        <w:spacing w:line="360" w:lineRule="auto"/>
        <w:rPr>
          <w:color w:val="000000" w:themeColor="text1"/>
        </w:rPr>
      </w:pPr>
      <w:bookmarkStart w:id="28" w:name="_Toc495067580"/>
      <w:r w:rsidRPr="00EE1DA1">
        <w:rPr>
          <w:color w:val="000000" w:themeColor="text1"/>
        </w:rPr>
        <w:t>Key reported challenges</w:t>
      </w:r>
      <w:bookmarkEnd w:id="28"/>
    </w:p>
    <w:p w14:paraId="57420125" w14:textId="77777777" w:rsidR="00EE1DA1" w:rsidRDefault="00EE1DA1" w:rsidP="00151081">
      <w:pPr>
        <w:spacing w:line="360" w:lineRule="auto"/>
      </w:pPr>
    </w:p>
    <w:p w14:paraId="1A32C235" w14:textId="77777777" w:rsidR="00EE1DA1" w:rsidRDefault="00EE1DA1" w:rsidP="00151081">
      <w:pPr>
        <w:spacing w:line="360" w:lineRule="auto"/>
        <w:rPr>
          <w:rFonts w:cs="Arial"/>
          <w:bCs/>
        </w:rPr>
      </w:pPr>
      <w:r>
        <w:rPr>
          <w:rFonts w:cs="Arial"/>
          <w:bCs/>
        </w:rPr>
        <w:t>While presenting its Annual Performance Plan (APP) for the 2016/17 financial year, SALGA lamented the inadequacy of its funding from the national fiscus, arguing that the government grant of R29.5 million fell short of the R127.7 million SALGA believed would be commensurate with its intergovernmental participation activities.</w:t>
      </w:r>
    </w:p>
    <w:p w14:paraId="285135F6" w14:textId="77777777" w:rsidR="00EE1DA1" w:rsidRPr="00EF5070" w:rsidRDefault="00EE1DA1" w:rsidP="00151081">
      <w:pPr>
        <w:spacing w:line="360" w:lineRule="auto"/>
        <w:rPr>
          <w:rFonts w:cs="Arial"/>
          <w:bCs/>
        </w:rPr>
      </w:pPr>
    </w:p>
    <w:p w14:paraId="4E8FD584" w14:textId="77777777" w:rsidR="00EE1DA1" w:rsidRPr="00EE1DA1" w:rsidRDefault="00EE1DA1" w:rsidP="00151081">
      <w:pPr>
        <w:pStyle w:val="Heading2"/>
        <w:numPr>
          <w:ilvl w:val="1"/>
          <w:numId w:val="1"/>
        </w:numPr>
        <w:spacing w:line="360" w:lineRule="auto"/>
        <w:rPr>
          <w:color w:val="000000" w:themeColor="text1"/>
        </w:rPr>
      </w:pPr>
      <w:bookmarkStart w:id="29" w:name="_Toc495067581"/>
      <w:r w:rsidRPr="00EE1DA1">
        <w:rPr>
          <w:color w:val="000000" w:themeColor="text1"/>
        </w:rPr>
        <w:t>CRL Rights Commission</w:t>
      </w:r>
      <w:bookmarkEnd w:id="29"/>
    </w:p>
    <w:p w14:paraId="7EFEF6CD" w14:textId="77777777" w:rsidR="00EE1DA1" w:rsidRPr="00685A92" w:rsidRDefault="00EE1DA1" w:rsidP="00151081">
      <w:pPr>
        <w:spacing w:line="360" w:lineRule="auto"/>
      </w:pPr>
    </w:p>
    <w:p w14:paraId="164F0C1D" w14:textId="77777777" w:rsidR="00EE1DA1" w:rsidRPr="008D56E5" w:rsidRDefault="00EE1DA1" w:rsidP="00151081">
      <w:pPr>
        <w:pStyle w:val="Heading3"/>
        <w:numPr>
          <w:ilvl w:val="2"/>
          <w:numId w:val="1"/>
        </w:numPr>
        <w:spacing w:line="360" w:lineRule="auto"/>
        <w:rPr>
          <w:color w:val="000000" w:themeColor="text1"/>
        </w:rPr>
      </w:pPr>
      <w:bookmarkStart w:id="30" w:name="_Toc495067582"/>
      <w:r w:rsidRPr="00EE1DA1">
        <w:rPr>
          <w:color w:val="000000" w:themeColor="text1"/>
        </w:rPr>
        <w:t xml:space="preserve">Service </w:t>
      </w:r>
      <w:r w:rsidRPr="008D56E5">
        <w:rPr>
          <w:color w:val="000000" w:themeColor="text1"/>
        </w:rPr>
        <w:t>delivery performance</w:t>
      </w:r>
      <w:bookmarkEnd w:id="30"/>
    </w:p>
    <w:p w14:paraId="71906EE7" w14:textId="77777777" w:rsidR="00EE1DA1" w:rsidRDefault="00EE1DA1" w:rsidP="00151081">
      <w:pPr>
        <w:tabs>
          <w:tab w:val="left" w:pos="1053"/>
        </w:tabs>
        <w:spacing w:line="360" w:lineRule="auto"/>
      </w:pPr>
    </w:p>
    <w:p w14:paraId="4CFB80DD" w14:textId="77777777" w:rsidR="00EE1DA1" w:rsidRDefault="00EE1DA1" w:rsidP="00151081">
      <w:pPr>
        <w:tabs>
          <w:tab w:val="left" w:pos="1053"/>
        </w:tabs>
        <w:spacing w:line="360" w:lineRule="auto"/>
      </w:pPr>
      <w:r>
        <w:t>During the period under review, the CRL Rights Commission had planned to achieve 50 targets. From the Annual Report, it appeared to have achieved the majority of these targets despite having reduced its staff component from 43 to 33 posts, due financial constraints. However, during the BRRR deliberations it emerged that the entity had revised some of its Annual Performance Plan targets without consulting Parliament.</w:t>
      </w:r>
    </w:p>
    <w:p w14:paraId="678B7C51" w14:textId="77777777" w:rsidR="00EE1DA1" w:rsidRDefault="00EE1DA1" w:rsidP="00151081">
      <w:pPr>
        <w:tabs>
          <w:tab w:val="left" w:pos="1053"/>
        </w:tabs>
        <w:spacing w:line="360" w:lineRule="auto"/>
      </w:pPr>
    </w:p>
    <w:p w14:paraId="6D2D2E0D" w14:textId="77777777" w:rsidR="00DD238C" w:rsidRDefault="00DD238C" w:rsidP="00151081">
      <w:pPr>
        <w:tabs>
          <w:tab w:val="left" w:pos="1053"/>
        </w:tabs>
        <w:spacing w:line="360" w:lineRule="auto"/>
      </w:pPr>
    </w:p>
    <w:p w14:paraId="794CA7DF" w14:textId="77777777" w:rsidR="00DD238C" w:rsidRDefault="00DD238C" w:rsidP="00151081">
      <w:pPr>
        <w:tabs>
          <w:tab w:val="left" w:pos="1053"/>
        </w:tabs>
        <w:spacing w:line="360" w:lineRule="auto"/>
      </w:pPr>
    </w:p>
    <w:p w14:paraId="0CD11FA9" w14:textId="77777777" w:rsidR="00DD238C" w:rsidRDefault="00DD238C" w:rsidP="00151081">
      <w:pPr>
        <w:tabs>
          <w:tab w:val="left" w:pos="1053"/>
        </w:tabs>
        <w:spacing w:line="360" w:lineRule="auto"/>
      </w:pPr>
    </w:p>
    <w:p w14:paraId="4DB83D6F" w14:textId="77777777" w:rsidR="00DD238C" w:rsidRDefault="00DD238C" w:rsidP="00151081">
      <w:pPr>
        <w:tabs>
          <w:tab w:val="left" w:pos="1053"/>
        </w:tabs>
        <w:spacing w:line="360" w:lineRule="auto"/>
      </w:pPr>
    </w:p>
    <w:p w14:paraId="30199727" w14:textId="77777777" w:rsidR="00DD238C" w:rsidRDefault="00DD238C" w:rsidP="00151081">
      <w:pPr>
        <w:tabs>
          <w:tab w:val="left" w:pos="1053"/>
        </w:tabs>
        <w:spacing w:line="360" w:lineRule="auto"/>
      </w:pPr>
    </w:p>
    <w:p w14:paraId="60C8861D" w14:textId="77777777" w:rsidR="00DD238C" w:rsidRDefault="00DD238C" w:rsidP="00151081">
      <w:pPr>
        <w:tabs>
          <w:tab w:val="left" w:pos="1053"/>
        </w:tabs>
        <w:spacing w:line="360" w:lineRule="auto"/>
      </w:pPr>
    </w:p>
    <w:p w14:paraId="07CDE34D" w14:textId="77777777" w:rsidR="00DD238C" w:rsidRPr="000B3758" w:rsidRDefault="00DD238C" w:rsidP="00151081">
      <w:pPr>
        <w:tabs>
          <w:tab w:val="left" w:pos="1053"/>
        </w:tabs>
        <w:spacing w:line="360" w:lineRule="auto"/>
      </w:pPr>
    </w:p>
    <w:p w14:paraId="0095AF82" w14:textId="77777777" w:rsidR="00EE1DA1" w:rsidRPr="00EE1DA1" w:rsidRDefault="00EE1DA1" w:rsidP="00151081">
      <w:pPr>
        <w:pStyle w:val="Heading3"/>
        <w:numPr>
          <w:ilvl w:val="2"/>
          <w:numId w:val="1"/>
        </w:numPr>
        <w:spacing w:line="360" w:lineRule="auto"/>
        <w:rPr>
          <w:color w:val="000000" w:themeColor="text1"/>
        </w:rPr>
      </w:pPr>
      <w:bookmarkStart w:id="31" w:name="_Toc495067583"/>
      <w:r w:rsidRPr="00EE1DA1">
        <w:rPr>
          <w:color w:val="000000" w:themeColor="text1"/>
        </w:rPr>
        <w:lastRenderedPageBreak/>
        <w:t>Financial performance</w:t>
      </w:r>
      <w:bookmarkEnd w:id="31"/>
    </w:p>
    <w:tbl>
      <w:tblPr>
        <w:tblStyle w:val="TableGrid"/>
        <w:tblW w:w="5000" w:type="pct"/>
        <w:tblLook w:val="04A0" w:firstRow="1" w:lastRow="0" w:firstColumn="1" w:lastColumn="0" w:noHBand="0" w:noVBand="1"/>
      </w:tblPr>
      <w:tblGrid>
        <w:gridCol w:w="2763"/>
        <w:gridCol w:w="6479"/>
      </w:tblGrid>
      <w:tr w:rsidR="00EE1DA1" w:rsidRPr="00980D0C" w14:paraId="443DD562" w14:textId="77777777" w:rsidTr="00133C3A">
        <w:tc>
          <w:tcPr>
            <w:tcW w:w="5000" w:type="pct"/>
            <w:gridSpan w:val="2"/>
            <w:shd w:val="clear" w:color="auto" w:fill="A8D08D" w:themeFill="accent6" w:themeFillTint="99"/>
          </w:tcPr>
          <w:p w14:paraId="097AB9FD" w14:textId="77777777" w:rsidR="00EE1DA1" w:rsidRPr="00980D0C" w:rsidRDefault="00EE1DA1" w:rsidP="00151081">
            <w:pPr>
              <w:spacing w:line="360" w:lineRule="auto"/>
              <w:jc w:val="center"/>
              <w:rPr>
                <w:rFonts w:cs="Arial"/>
                <w:b/>
                <w:lang w:val="en-GB"/>
              </w:rPr>
            </w:pPr>
            <w:r>
              <w:rPr>
                <w:rFonts w:cs="Arial"/>
                <w:b/>
                <w:lang w:val="en-GB"/>
              </w:rPr>
              <w:t>2016/17</w:t>
            </w:r>
          </w:p>
        </w:tc>
      </w:tr>
      <w:tr w:rsidR="00EE1DA1" w:rsidRPr="00980D0C" w14:paraId="267C45ED" w14:textId="77777777" w:rsidTr="00133C3A">
        <w:tc>
          <w:tcPr>
            <w:tcW w:w="1495" w:type="pct"/>
          </w:tcPr>
          <w:p w14:paraId="132FF7F8" w14:textId="77777777" w:rsidR="00EE1DA1" w:rsidRPr="00980D0C" w:rsidRDefault="00EE1DA1" w:rsidP="00151081">
            <w:pPr>
              <w:spacing w:line="360" w:lineRule="auto"/>
              <w:rPr>
                <w:rFonts w:cs="Arial"/>
                <w:b/>
                <w:lang w:val="en-GB"/>
              </w:rPr>
            </w:pPr>
            <w:r>
              <w:rPr>
                <w:rFonts w:cs="Arial"/>
                <w:b/>
                <w:lang w:val="en-GB"/>
              </w:rPr>
              <w:t>Expenditure</w:t>
            </w:r>
          </w:p>
        </w:tc>
        <w:tc>
          <w:tcPr>
            <w:tcW w:w="3505" w:type="pct"/>
          </w:tcPr>
          <w:p w14:paraId="32489B58" w14:textId="77777777" w:rsidR="00EE1DA1" w:rsidRPr="00980D0C" w:rsidRDefault="00EE1DA1" w:rsidP="00151081">
            <w:pPr>
              <w:spacing w:line="360" w:lineRule="auto"/>
              <w:rPr>
                <w:rFonts w:cs="Arial"/>
                <w:lang w:val="en-GB"/>
              </w:rPr>
            </w:pPr>
            <w:r>
              <w:rPr>
                <w:rFonts w:cs="Arial"/>
                <w:lang w:val="en-GB"/>
              </w:rPr>
              <w:t>Total expenses amounted to R38 million, resulting in a surplus of R765 000.</w:t>
            </w:r>
          </w:p>
        </w:tc>
      </w:tr>
      <w:tr w:rsidR="00EE1DA1" w:rsidRPr="00980D0C" w14:paraId="637ABC8B" w14:textId="77777777" w:rsidTr="00133C3A">
        <w:tc>
          <w:tcPr>
            <w:tcW w:w="1495" w:type="pct"/>
          </w:tcPr>
          <w:p w14:paraId="08936F77" w14:textId="77777777" w:rsidR="00EE1DA1" w:rsidRPr="00980D0C" w:rsidRDefault="00EE1DA1" w:rsidP="00151081">
            <w:pPr>
              <w:spacing w:line="360" w:lineRule="auto"/>
              <w:rPr>
                <w:rFonts w:cs="Arial"/>
                <w:b/>
                <w:lang w:val="en-GB"/>
              </w:rPr>
            </w:pPr>
            <w:r w:rsidRPr="00980D0C">
              <w:rPr>
                <w:rFonts w:cs="Arial"/>
                <w:b/>
                <w:lang w:val="en-GB"/>
              </w:rPr>
              <w:t>Fruitless and wasteful expenditure</w:t>
            </w:r>
          </w:p>
        </w:tc>
        <w:tc>
          <w:tcPr>
            <w:tcW w:w="3505" w:type="pct"/>
          </w:tcPr>
          <w:p w14:paraId="1B27DDF5" w14:textId="77777777" w:rsidR="00EE1DA1" w:rsidRPr="00980D0C" w:rsidRDefault="00EE1DA1" w:rsidP="00151081">
            <w:pPr>
              <w:spacing w:line="360" w:lineRule="auto"/>
              <w:rPr>
                <w:rFonts w:cs="Arial"/>
                <w:lang w:val="en-GB"/>
              </w:rPr>
            </w:pPr>
            <w:r>
              <w:rPr>
                <w:rFonts w:cs="Arial"/>
                <w:lang w:val="en-GB"/>
              </w:rPr>
              <w:t>Incurred no fruitless and wasteful expenditure</w:t>
            </w:r>
          </w:p>
        </w:tc>
      </w:tr>
      <w:tr w:rsidR="00EE1DA1" w:rsidRPr="00980D0C" w14:paraId="653DBDAF" w14:textId="77777777" w:rsidTr="00133C3A">
        <w:tc>
          <w:tcPr>
            <w:tcW w:w="1495" w:type="pct"/>
          </w:tcPr>
          <w:p w14:paraId="76A017B4" w14:textId="77777777" w:rsidR="00EE1DA1" w:rsidRPr="00980D0C" w:rsidRDefault="00EE1DA1" w:rsidP="00151081">
            <w:pPr>
              <w:spacing w:line="360" w:lineRule="auto"/>
              <w:rPr>
                <w:rFonts w:cs="Arial"/>
                <w:b/>
                <w:lang w:val="en-GB"/>
              </w:rPr>
            </w:pPr>
            <w:r w:rsidRPr="00980D0C">
              <w:rPr>
                <w:rFonts w:cs="Arial"/>
                <w:b/>
                <w:lang w:val="en-GB"/>
              </w:rPr>
              <w:t>Irregular expenditure</w:t>
            </w:r>
          </w:p>
        </w:tc>
        <w:tc>
          <w:tcPr>
            <w:tcW w:w="3505" w:type="pct"/>
          </w:tcPr>
          <w:p w14:paraId="76BA5437" w14:textId="77777777" w:rsidR="00EE1DA1" w:rsidRPr="00980D0C" w:rsidRDefault="00EE1DA1" w:rsidP="00151081">
            <w:pPr>
              <w:spacing w:line="360" w:lineRule="auto"/>
              <w:rPr>
                <w:rFonts w:cs="Arial"/>
              </w:rPr>
            </w:pPr>
            <w:r>
              <w:rPr>
                <w:rFonts w:cs="Arial"/>
              </w:rPr>
              <w:t>Incurred irregular expenditure of R44 000</w:t>
            </w:r>
          </w:p>
        </w:tc>
      </w:tr>
      <w:tr w:rsidR="00EE1DA1" w:rsidRPr="00980D0C" w14:paraId="79375C3D" w14:textId="77777777" w:rsidTr="00133C3A">
        <w:tc>
          <w:tcPr>
            <w:tcW w:w="1495" w:type="pct"/>
          </w:tcPr>
          <w:p w14:paraId="0CA2DE96" w14:textId="77777777" w:rsidR="00EE1DA1" w:rsidRPr="00980D0C" w:rsidRDefault="00EE1DA1" w:rsidP="00151081">
            <w:pPr>
              <w:spacing w:line="360" w:lineRule="auto"/>
              <w:rPr>
                <w:rFonts w:cs="Arial"/>
                <w:b/>
                <w:lang w:val="en-GB"/>
              </w:rPr>
            </w:pPr>
            <w:r>
              <w:rPr>
                <w:rFonts w:cs="Arial"/>
                <w:b/>
                <w:lang w:val="en-GB"/>
              </w:rPr>
              <w:t>Contingent liabilities</w:t>
            </w:r>
          </w:p>
        </w:tc>
        <w:tc>
          <w:tcPr>
            <w:tcW w:w="3505" w:type="pct"/>
          </w:tcPr>
          <w:p w14:paraId="5F41C535" w14:textId="77777777" w:rsidR="00EE1DA1" w:rsidRDefault="00EE1DA1" w:rsidP="00151081">
            <w:pPr>
              <w:spacing w:line="360" w:lineRule="auto"/>
              <w:rPr>
                <w:rFonts w:cs="Arial"/>
              </w:rPr>
            </w:pPr>
            <w:r>
              <w:rPr>
                <w:rFonts w:cs="Arial"/>
              </w:rPr>
              <w:t>Contingent liabilities amounted R4 000</w:t>
            </w:r>
          </w:p>
        </w:tc>
      </w:tr>
    </w:tbl>
    <w:p w14:paraId="5BDA9621" w14:textId="77777777" w:rsidR="00EE1DA1" w:rsidRDefault="00EE1DA1" w:rsidP="00151081">
      <w:pPr>
        <w:spacing w:line="360" w:lineRule="auto"/>
      </w:pPr>
    </w:p>
    <w:p w14:paraId="6BBE677F" w14:textId="77777777" w:rsidR="00EE1DA1" w:rsidRPr="00EE1DA1" w:rsidRDefault="00EE1DA1" w:rsidP="00151081">
      <w:pPr>
        <w:pStyle w:val="Heading3"/>
        <w:numPr>
          <w:ilvl w:val="2"/>
          <w:numId w:val="1"/>
        </w:numPr>
        <w:spacing w:line="360" w:lineRule="auto"/>
        <w:rPr>
          <w:color w:val="000000" w:themeColor="text1"/>
        </w:rPr>
      </w:pPr>
      <w:bookmarkStart w:id="32" w:name="_Toc495067584"/>
      <w:r w:rsidRPr="00EE1DA1">
        <w:rPr>
          <w:color w:val="000000" w:themeColor="text1"/>
        </w:rPr>
        <w:t>Audit findings</w:t>
      </w:r>
      <w:bookmarkEnd w:id="32"/>
    </w:p>
    <w:tbl>
      <w:tblPr>
        <w:tblStyle w:val="TableGrid"/>
        <w:tblW w:w="0" w:type="auto"/>
        <w:tblLook w:val="04A0" w:firstRow="1" w:lastRow="0" w:firstColumn="1" w:lastColumn="0" w:noHBand="0" w:noVBand="1"/>
      </w:tblPr>
      <w:tblGrid>
        <w:gridCol w:w="4556"/>
        <w:gridCol w:w="4370"/>
      </w:tblGrid>
      <w:tr w:rsidR="00EE1DA1" w:rsidRPr="00980D0C" w14:paraId="38D5D52E" w14:textId="77777777" w:rsidTr="00EE1DA1">
        <w:tc>
          <w:tcPr>
            <w:tcW w:w="8926" w:type="dxa"/>
            <w:gridSpan w:val="2"/>
            <w:shd w:val="clear" w:color="auto" w:fill="A8D08D" w:themeFill="accent6" w:themeFillTint="99"/>
          </w:tcPr>
          <w:p w14:paraId="0295687A" w14:textId="77777777" w:rsidR="00EE1DA1" w:rsidRPr="00980D0C" w:rsidRDefault="00EE1DA1" w:rsidP="00151081">
            <w:pPr>
              <w:spacing w:line="360" w:lineRule="auto"/>
              <w:jc w:val="center"/>
              <w:rPr>
                <w:rFonts w:cs="Arial"/>
                <w:b/>
              </w:rPr>
            </w:pPr>
            <w:r>
              <w:rPr>
                <w:rFonts w:cs="Arial"/>
                <w:b/>
              </w:rPr>
              <w:t>2016/17</w:t>
            </w:r>
          </w:p>
        </w:tc>
      </w:tr>
      <w:tr w:rsidR="00EE1DA1" w:rsidRPr="00980D0C" w14:paraId="483CF1AF" w14:textId="77777777" w:rsidTr="00EE1DA1">
        <w:tc>
          <w:tcPr>
            <w:tcW w:w="8926" w:type="dxa"/>
            <w:gridSpan w:val="2"/>
          </w:tcPr>
          <w:p w14:paraId="7E601CC7" w14:textId="77777777" w:rsidR="00EE1DA1" w:rsidRPr="00980D0C" w:rsidRDefault="00EE1DA1" w:rsidP="00151081">
            <w:pPr>
              <w:spacing w:line="360" w:lineRule="auto"/>
              <w:jc w:val="center"/>
              <w:rPr>
                <w:rFonts w:cs="Arial"/>
              </w:rPr>
            </w:pPr>
            <w:r w:rsidRPr="00980D0C">
              <w:rPr>
                <w:rFonts w:cs="Arial"/>
              </w:rPr>
              <w:t>Financially unqualified (with</w:t>
            </w:r>
            <w:r>
              <w:rPr>
                <w:rFonts w:cs="Arial"/>
              </w:rPr>
              <w:t xml:space="preserve"> no</w:t>
            </w:r>
            <w:r w:rsidRPr="00980D0C">
              <w:rPr>
                <w:rFonts w:cs="Arial"/>
              </w:rPr>
              <w:t xml:space="preserve"> findings)</w:t>
            </w:r>
          </w:p>
        </w:tc>
      </w:tr>
      <w:tr w:rsidR="00EE1DA1" w:rsidRPr="00980D0C" w14:paraId="2E755149" w14:textId="77777777" w:rsidTr="00EE1DA1">
        <w:tc>
          <w:tcPr>
            <w:tcW w:w="0" w:type="auto"/>
            <w:shd w:val="clear" w:color="auto" w:fill="A8D08D" w:themeFill="accent6" w:themeFillTint="99"/>
          </w:tcPr>
          <w:p w14:paraId="651095EC"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 xml:space="preserve">AUDIT FOCUS </w:t>
            </w:r>
          </w:p>
          <w:p w14:paraId="48546649"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AREAS</w:t>
            </w:r>
          </w:p>
        </w:tc>
        <w:tc>
          <w:tcPr>
            <w:tcW w:w="4370" w:type="dxa"/>
            <w:shd w:val="clear" w:color="auto" w:fill="A8D08D" w:themeFill="accent6" w:themeFillTint="99"/>
          </w:tcPr>
          <w:p w14:paraId="68E4D968" w14:textId="77777777" w:rsidR="00EE1DA1" w:rsidRPr="00980D0C" w:rsidRDefault="00EE1DA1" w:rsidP="00151081">
            <w:pPr>
              <w:spacing w:line="360" w:lineRule="auto"/>
              <w:jc w:val="center"/>
              <w:rPr>
                <w:rFonts w:cs="Arial"/>
                <w:b/>
                <w:color w:val="000000" w:themeColor="text1"/>
              </w:rPr>
            </w:pPr>
            <w:r>
              <w:rPr>
                <w:rFonts w:cs="Arial"/>
                <w:b/>
                <w:color w:val="000000" w:themeColor="text1"/>
              </w:rPr>
              <w:t>FINDINGS</w:t>
            </w:r>
          </w:p>
        </w:tc>
      </w:tr>
      <w:tr w:rsidR="00EE1DA1" w:rsidRPr="00980D0C" w14:paraId="0C81BCFA" w14:textId="77777777" w:rsidTr="00EE1DA1">
        <w:tc>
          <w:tcPr>
            <w:tcW w:w="0" w:type="auto"/>
          </w:tcPr>
          <w:p w14:paraId="65BC2393" w14:textId="77777777" w:rsidR="00EE1DA1" w:rsidRPr="00980D0C" w:rsidRDefault="00EE1DA1" w:rsidP="00151081">
            <w:pPr>
              <w:spacing w:line="360" w:lineRule="auto"/>
              <w:rPr>
                <w:rFonts w:cs="Arial"/>
                <w:b/>
              </w:rPr>
            </w:pPr>
            <w:r w:rsidRPr="00980D0C">
              <w:rPr>
                <w:rFonts w:cs="Arial"/>
                <w:b/>
              </w:rPr>
              <w:t>Quality of submitted financial statements</w:t>
            </w:r>
          </w:p>
        </w:tc>
        <w:tc>
          <w:tcPr>
            <w:tcW w:w="4370" w:type="dxa"/>
          </w:tcPr>
          <w:p w14:paraId="7DADB83B" w14:textId="77777777" w:rsidR="00EE1DA1" w:rsidRPr="00980D0C" w:rsidRDefault="00EE1DA1" w:rsidP="00151081">
            <w:pPr>
              <w:spacing w:line="360" w:lineRule="auto"/>
              <w:rPr>
                <w:rFonts w:cs="Arial"/>
              </w:rPr>
            </w:pPr>
            <w:r>
              <w:rPr>
                <w:rFonts w:cs="Arial"/>
              </w:rPr>
              <w:t>No findings</w:t>
            </w:r>
          </w:p>
        </w:tc>
      </w:tr>
      <w:tr w:rsidR="00EE1DA1" w:rsidRPr="00980D0C" w14:paraId="069C2FC5" w14:textId="77777777" w:rsidTr="00EE1DA1">
        <w:tc>
          <w:tcPr>
            <w:tcW w:w="0" w:type="auto"/>
          </w:tcPr>
          <w:p w14:paraId="683B7AF1" w14:textId="77777777" w:rsidR="00EE1DA1" w:rsidRPr="00980D0C" w:rsidRDefault="00EE1DA1" w:rsidP="00151081">
            <w:pPr>
              <w:spacing w:line="360" w:lineRule="auto"/>
              <w:rPr>
                <w:rFonts w:cs="Arial"/>
                <w:b/>
              </w:rPr>
            </w:pPr>
            <w:r w:rsidRPr="00980D0C">
              <w:rPr>
                <w:rFonts w:cs="Arial"/>
                <w:b/>
              </w:rPr>
              <w:t>Quality of submitted performance reports</w:t>
            </w:r>
          </w:p>
        </w:tc>
        <w:tc>
          <w:tcPr>
            <w:tcW w:w="4370" w:type="dxa"/>
          </w:tcPr>
          <w:p w14:paraId="4CE84B43" w14:textId="77777777" w:rsidR="00EE1DA1" w:rsidRPr="00980D0C" w:rsidRDefault="00EE1DA1" w:rsidP="00151081">
            <w:pPr>
              <w:spacing w:line="360" w:lineRule="auto"/>
              <w:rPr>
                <w:rFonts w:cs="Arial"/>
              </w:rPr>
            </w:pPr>
            <w:r>
              <w:rPr>
                <w:rFonts w:cs="Arial"/>
              </w:rPr>
              <w:t>No findings</w:t>
            </w:r>
          </w:p>
        </w:tc>
      </w:tr>
      <w:tr w:rsidR="00EE1DA1" w:rsidRPr="00980D0C" w14:paraId="43B47D90" w14:textId="77777777" w:rsidTr="00EE1DA1">
        <w:tc>
          <w:tcPr>
            <w:tcW w:w="0" w:type="auto"/>
          </w:tcPr>
          <w:p w14:paraId="30E157A8" w14:textId="77777777" w:rsidR="00EE1DA1" w:rsidRPr="00980D0C" w:rsidRDefault="00EE1DA1" w:rsidP="00151081">
            <w:pPr>
              <w:spacing w:line="360" w:lineRule="auto"/>
              <w:rPr>
                <w:rFonts w:cs="Arial"/>
                <w:b/>
              </w:rPr>
            </w:pPr>
            <w:r w:rsidRPr="00980D0C">
              <w:rPr>
                <w:rFonts w:cs="Arial"/>
                <w:b/>
              </w:rPr>
              <w:t>Compliance with legislation</w:t>
            </w:r>
          </w:p>
        </w:tc>
        <w:tc>
          <w:tcPr>
            <w:tcW w:w="4370" w:type="dxa"/>
          </w:tcPr>
          <w:p w14:paraId="4FEC9F9F" w14:textId="77777777" w:rsidR="00EE1DA1" w:rsidRPr="00E57279" w:rsidRDefault="00EE1DA1" w:rsidP="00151081">
            <w:pPr>
              <w:spacing w:line="360" w:lineRule="auto"/>
              <w:rPr>
                <w:rFonts w:cs="Arial"/>
              </w:rPr>
            </w:pPr>
            <w:r>
              <w:rPr>
                <w:rFonts w:cs="Arial"/>
              </w:rPr>
              <w:t>No findings</w:t>
            </w:r>
          </w:p>
        </w:tc>
      </w:tr>
      <w:tr w:rsidR="00EE1DA1" w:rsidRPr="00980D0C" w14:paraId="622BF1D6" w14:textId="77777777" w:rsidTr="00EE1DA1">
        <w:tc>
          <w:tcPr>
            <w:tcW w:w="0" w:type="auto"/>
          </w:tcPr>
          <w:p w14:paraId="7E41DF3E" w14:textId="77777777" w:rsidR="00EE1DA1" w:rsidRPr="00980D0C" w:rsidRDefault="00EE1DA1" w:rsidP="00151081">
            <w:pPr>
              <w:spacing w:line="360" w:lineRule="auto"/>
              <w:rPr>
                <w:rFonts w:cs="Arial"/>
                <w:b/>
              </w:rPr>
            </w:pPr>
            <w:r>
              <w:rPr>
                <w:rFonts w:cs="Arial"/>
                <w:b/>
              </w:rPr>
              <w:t>Financial health</w:t>
            </w:r>
          </w:p>
        </w:tc>
        <w:tc>
          <w:tcPr>
            <w:tcW w:w="4370" w:type="dxa"/>
          </w:tcPr>
          <w:p w14:paraId="401E36DF" w14:textId="77777777" w:rsidR="00EE1DA1" w:rsidRPr="00980D0C" w:rsidRDefault="00EE1DA1" w:rsidP="00151081">
            <w:pPr>
              <w:spacing w:line="360" w:lineRule="auto"/>
              <w:rPr>
                <w:rFonts w:cs="Arial"/>
              </w:rPr>
            </w:pPr>
            <w:r>
              <w:rPr>
                <w:rFonts w:cs="Arial"/>
              </w:rPr>
              <w:t>No findings</w:t>
            </w:r>
          </w:p>
        </w:tc>
      </w:tr>
      <w:tr w:rsidR="00EE1DA1" w:rsidRPr="00980D0C" w14:paraId="4F8FA269" w14:textId="77777777" w:rsidTr="00EE1DA1">
        <w:tc>
          <w:tcPr>
            <w:tcW w:w="0" w:type="auto"/>
          </w:tcPr>
          <w:p w14:paraId="4AE97D00" w14:textId="77777777" w:rsidR="00EE1DA1" w:rsidRPr="00980D0C" w:rsidRDefault="00EE1DA1" w:rsidP="00151081">
            <w:pPr>
              <w:spacing w:line="360" w:lineRule="auto"/>
              <w:rPr>
                <w:rFonts w:cs="Arial"/>
                <w:b/>
              </w:rPr>
            </w:pPr>
            <w:r w:rsidRPr="00980D0C">
              <w:rPr>
                <w:rFonts w:cs="Arial"/>
                <w:b/>
              </w:rPr>
              <w:t>Human resource management</w:t>
            </w:r>
          </w:p>
        </w:tc>
        <w:tc>
          <w:tcPr>
            <w:tcW w:w="4370" w:type="dxa"/>
          </w:tcPr>
          <w:p w14:paraId="7A6D562B" w14:textId="77777777" w:rsidR="00EE1DA1" w:rsidRPr="00980D0C" w:rsidRDefault="00EE1DA1" w:rsidP="00151081">
            <w:pPr>
              <w:spacing w:line="360" w:lineRule="auto"/>
              <w:rPr>
                <w:rFonts w:cs="Arial"/>
              </w:rPr>
            </w:pPr>
            <w:r>
              <w:rPr>
                <w:rFonts w:cs="Arial"/>
              </w:rPr>
              <w:t>No findings</w:t>
            </w:r>
          </w:p>
        </w:tc>
      </w:tr>
      <w:tr w:rsidR="00EE1DA1" w:rsidRPr="00980D0C" w14:paraId="25E56E6E" w14:textId="77777777" w:rsidTr="00EE1DA1">
        <w:tc>
          <w:tcPr>
            <w:tcW w:w="0" w:type="auto"/>
          </w:tcPr>
          <w:p w14:paraId="54567A79" w14:textId="77777777" w:rsidR="00EE1DA1" w:rsidRPr="00980D0C" w:rsidRDefault="00EE1DA1" w:rsidP="00151081">
            <w:pPr>
              <w:spacing w:line="360" w:lineRule="auto"/>
              <w:rPr>
                <w:rFonts w:cs="Arial"/>
                <w:b/>
              </w:rPr>
            </w:pPr>
            <w:r w:rsidRPr="00980D0C">
              <w:rPr>
                <w:rFonts w:cs="Arial"/>
                <w:b/>
              </w:rPr>
              <w:t>Information technology</w:t>
            </w:r>
          </w:p>
        </w:tc>
        <w:tc>
          <w:tcPr>
            <w:tcW w:w="4370" w:type="dxa"/>
          </w:tcPr>
          <w:p w14:paraId="14A5561E" w14:textId="77777777" w:rsidR="00EE1DA1" w:rsidRPr="00980D0C" w:rsidRDefault="00EE1DA1" w:rsidP="00151081">
            <w:pPr>
              <w:spacing w:line="360" w:lineRule="auto"/>
              <w:rPr>
                <w:rFonts w:cs="Arial"/>
              </w:rPr>
            </w:pPr>
            <w:r>
              <w:rPr>
                <w:rFonts w:cs="Arial"/>
              </w:rPr>
              <w:t>No findings</w:t>
            </w:r>
          </w:p>
        </w:tc>
      </w:tr>
    </w:tbl>
    <w:p w14:paraId="6DCA27E8" w14:textId="77777777" w:rsidR="00EE1DA1" w:rsidRDefault="00EE1DA1" w:rsidP="00151081">
      <w:pPr>
        <w:spacing w:line="360" w:lineRule="auto"/>
      </w:pPr>
    </w:p>
    <w:p w14:paraId="7F69E717" w14:textId="77777777" w:rsidR="00EE1DA1" w:rsidRPr="00190B31" w:rsidRDefault="00EE1DA1" w:rsidP="00151081">
      <w:pPr>
        <w:spacing w:line="360" w:lineRule="auto"/>
        <w:rPr>
          <w:rFonts w:cs="Arial"/>
        </w:rPr>
      </w:pPr>
      <w:r>
        <w:rPr>
          <w:b/>
        </w:rPr>
        <w:t xml:space="preserve">Comment: </w:t>
      </w:r>
      <w:r>
        <w:t>The CRL Rights Commission achieved</w:t>
      </w:r>
      <w:r w:rsidRPr="00190B31">
        <w:rPr>
          <w:rFonts w:cs="Arial"/>
        </w:rPr>
        <w:t xml:space="preserve"> an unqualified audit, with no emphasis of matters, for the first time since the Commission’s inception in 2004.</w:t>
      </w:r>
    </w:p>
    <w:p w14:paraId="1CD34848" w14:textId="77777777" w:rsidR="00EE1DA1" w:rsidRPr="00190B31" w:rsidRDefault="00EE1DA1" w:rsidP="00151081">
      <w:pPr>
        <w:spacing w:line="360" w:lineRule="auto"/>
        <w:rPr>
          <w:b/>
        </w:rPr>
      </w:pPr>
    </w:p>
    <w:p w14:paraId="7088AD6C" w14:textId="77777777" w:rsidR="00EE1DA1" w:rsidRPr="00EE1DA1" w:rsidRDefault="00EE1DA1" w:rsidP="00151081">
      <w:pPr>
        <w:pStyle w:val="Heading3"/>
        <w:numPr>
          <w:ilvl w:val="2"/>
          <w:numId w:val="1"/>
        </w:numPr>
        <w:spacing w:line="360" w:lineRule="auto"/>
        <w:rPr>
          <w:color w:val="000000" w:themeColor="text1"/>
        </w:rPr>
      </w:pPr>
      <w:bookmarkStart w:id="33" w:name="_Toc495067585"/>
      <w:r w:rsidRPr="00EE1DA1">
        <w:rPr>
          <w:color w:val="000000" w:themeColor="text1"/>
        </w:rPr>
        <w:t>Key reported achievements</w:t>
      </w:r>
      <w:bookmarkEnd w:id="33"/>
    </w:p>
    <w:p w14:paraId="4671FC13" w14:textId="77777777" w:rsidR="00EE1DA1" w:rsidRDefault="00EE1DA1" w:rsidP="00151081">
      <w:pPr>
        <w:spacing w:line="360" w:lineRule="auto"/>
        <w:rPr>
          <w:rFonts w:cs="Arial"/>
        </w:rPr>
      </w:pPr>
    </w:p>
    <w:p w14:paraId="1DE037DA" w14:textId="77777777" w:rsidR="00EE1DA1" w:rsidRDefault="00EE1DA1" w:rsidP="00151081">
      <w:pPr>
        <w:pStyle w:val="ListParagraph"/>
        <w:numPr>
          <w:ilvl w:val="0"/>
          <w:numId w:val="8"/>
        </w:numPr>
        <w:spacing w:line="360" w:lineRule="auto"/>
        <w:rPr>
          <w:rFonts w:cs="Arial"/>
        </w:rPr>
      </w:pPr>
      <w:r w:rsidRPr="00FF1182">
        <w:rPr>
          <w:rFonts w:cs="Arial"/>
        </w:rPr>
        <w:t>Achievement of an unqualified audit, with no emphasis of matters, for the first time since the Commission’s inception in 2004.</w:t>
      </w:r>
    </w:p>
    <w:p w14:paraId="3DCB5C98" w14:textId="77777777" w:rsidR="00EE1DA1" w:rsidRPr="00D9487E" w:rsidRDefault="00EE1DA1" w:rsidP="00151081">
      <w:pPr>
        <w:pStyle w:val="ListParagraph"/>
        <w:spacing w:line="360" w:lineRule="auto"/>
        <w:rPr>
          <w:rFonts w:cs="Arial"/>
        </w:rPr>
      </w:pPr>
    </w:p>
    <w:p w14:paraId="3DAC081D" w14:textId="77777777" w:rsidR="00EE1DA1" w:rsidRPr="001A2DC9" w:rsidRDefault="00EE1DA1" w:rsidP="00151081">
      <w:pPr>
        <w:pStyle w:val="ListParagraph"/>
        <w:numPr>
          <w:ilvl w:val="0"/>
          <w:numId w:val="8"/>
        </w:numPr>
        <w:spacing w:line="360" w:lineRule="auto"/>
        <w:rPr>
          <w:rFonts w:cs="Arial"/>
        </w:rPr>
      </w:pPr>
      <w:r>
        <w:rPr>
          <w:rFonts w:cs="Arial"/>
        </w:rPr>
        <w:t>Compilation of an investigative report on the commercialisation of religion and abuse of people’s belief systems. The Report, which the Commission has tabled to Parliament and brought before the Portfolio Committee on Cooperative Governance and Traditional Affairs, has generated much controversy and debate, and contributed to the entity’s s</w:t>
      </w:r>
      <w:r w:rsidRPr="001A2DC9">
        <w:rPr>
          <w:rFonts w:cs="Arial"/>
        </w:rPr>
        <w:t xml:space="preserve">trong </w:t>
      </w:r>
      <w:r>
        <w:rPr>
          <w:rFonts w:cs="Arial"/>
        </w:rPr>
        <w:t xml:space="preserve">media presence </w:t>
      </w:r>
      <w:r w:rsidRPr="001A2DC9">
        <w:rPr>
          <w:rFonts w:cs="Arial"/>
        </w:rPr>
        <w:t>during the year under review</w:t>
      </w:r>
      <w:r>
        <w:rPr>
          <w:rFonts w:cs="Arial"/>
        </w:rPr>
        <w:t>.</w:t>
      </w:r>
    </w:p>
    <w:p w14:paraId="0BC012A9" w14:textId="77777777" w:rsidR="00EE1DA1" w:rsidRDefault="00EE1DA1" w:rsidP="00151081">
      <w:pPr>
        <w:spacing w:line="360" w:lineRule="auto"/>
      </w:pPr>
    </w:p>
    <w:p w14:paraId="629893DE" w14:textId="77777777" w:rsidR="00EE1DA1" w:rsidRPr="00EE1DA1" w:rsidRDefault="00EE1DA1" w:rsidP="00151081">
      <w:pPr>
        <w:pStyle w:val="Heading3"/>
        <w:numPr>
          <w:ilvl w:val="2"/>
          <w:numId w:val="1"/>
        </w:numPr>
        <w:spacing w:line="360" w:lineRule="auto"/>
        <w:rPr>
          <w:color w:val="000000" w:themeColor="text1"/>
        </w:rPr>
      </w:pPr>
      <w:bookmarkStart w:id="34" w:name="_Toc495067586"/>
      <w:r w:rsidRPr="00EE1DA1">
        <w:rPr>
          <w:color w:val="000000" w:themeColor="text1"/>
        </w:rPr>
        <w:lastRenderedPageBreak/>
        <w:t>Key reported challenges</w:t>
      </w:r>
      <w:bookmarkEnd w:id="34"/>
    </w:p>
    <w:p w14:paraId="126D8783" w14:textId="77777777" w:rsidR="00EE1DA1" w:rsidRPr="00370501" w:rsidRDefault="00EE1DA1" w:rsidP="00151081">
      <w:pPr>
        <w:spacing w:line="360" w:lineRule="auto"/>
      </w:pPr>
    </w:p>
    <w:p w14:paraId="0EF47A98" w14:textId="77777777" w:rsidR="00EE1DA1" w:rsidRDefault="00EE1DA1" w:rsidP="00151081">
      <w:pPr>
        <w:pStyle w:val="ListParagraph"/>
        <w:numPr>
          <w:ilvl w:val="0"/>
          <w:numId w:val="8"/>
        </w:numPr>
        <w:spacing w:line="360" w:lineRule="auto"/>
      </w:pPr>
      <w:r>
        <w:t>Limited financial and human resources appropriated to the organisation</w:t>
      </w:r>
    </w:p>
    <w:p w14:paraId="540FD011" w14:textId="77777777" w:rsidR="00EE1DA1" w:rsidRDefault="00EE1DA1" w:rsidP="00151081">
      <w:pPr>
        <w:pStyle w:val="ListParagraph"/>
        <w:numPr>
          <w:ilvl w:val="0"/>
          <w:numId w:val="8"/>
        </w:numPr>
        <w:spacing w:line="360" w:lineRule="auto"/>
      </w:pPr>
      <w:r>
        <w:t>Non-compliance with the CRL Rights Act of 2002, particularly s24(1)(a), which states that the Commission must convene two consultative conferences during every term of the Commission, the first of which must take place within the first 12 months of a new term of the Commission. One community council is planning to take the Commission to court because of this non-compliance. The suggested resolution to this non-compliance is to resource the Commission through Parliament, rather than through the Department of Traditional Affairs.</w:t>
      </w:r>
    </w:p>
    <w:p w14:paraId="7DADF483" w14:textId="77777777" w:rsidR="00EE1DA1" w:rsidRPr="00685A92" w:rsidRDefault="00EE1DA1" w:rsidP="00151081">
      <w:pPr>
        <w:spacing w:line="360" w:lineRule="auto"/>
      </w:pPr>
    </w:p>
    <w:p w14:paraId="158A4BB7" w14:textId="77777777" w:rsidR="00EE1DA1" w:rsidRPr="00EE1DA1" w:rsidRDefault="00EE1DA1" w:rsidP="00151081">
      <w:pPr>
        <w:pStyle w:val="Heading2"/>
        <w:numPr>
          <w:ilvl w:val="1"/>
          <w:numId w:val="1"/>
        </w:numPr>
        <w:spacing w:line="360" w:lineRule="auto"/>
        <w:rPr>
          <w:color w:val="000000" w:themeColor="text1"/>
        </w:rPr>
      </w:pPr>
      <w:bookmarkStart w:id="35" w:name="_Toc495067587"/>
      <w:r w:rsidRPr="00EE1DA1">
        <w:rPr>
          <w:color w:val="000000" w:themeColor="text1"/>
        </w:rPr>
        <w:t>Municipal Demarcation Board</w:t>
      </w:r>
      <w:bookmarkEnd w:id="35"/>
    </w:p>
    <w:p w14:paraId="75876459" w14:textId="77777777" w:rsidR="00EE1DA1" w:rsidRDefault="00EE1DA1" w:rsidP="00151081">
      <w:pPr>
        <w:spacing w:line="360" w:lineRule="auto"/>
      </w:pPr>
    </w:p>
    <w:p w14:paraId="6621A55D" w14:textId="77777777" w:rsidR="00EE1DA1" w:rsidRPr="00EE1DA1" w:rsidRDefault="00EE1DA1" w:rsidP="00151081">
      <w:pPr>
        <w:pStyle w:val="Heading3"/>
        <w:numPr>
          <w:ilvl w:val="2"/>
          <w:numId w:val="1"/>
        </w:numPr>
        <w:spacing w:line="360" w:lineRule="auto"/>
        <w:rPr>
          <w:color w:val="000000" w:themeColor="text1"/>
        </w:rPr>
      </w:pPr>
      <w:bookmarkStart w:id="36" w:name="_Toc495067588"/>
      <w:r w:rsidRPr="00EE1DA1">
        <w:rPr>
          <w:color w:val="000000" w:themeColor="text1"/>
        </w:rPr>
        <w:t>Service delivery performance</w:t>
      </w:r>
      <w:bookmarkEnd w:id="36"/>
      <w:r w:rsidRPr="00EE1DA1">
        <w:rPr>
          <w:color w:val="000000" w:themeColor="text1"/>
        </w:rPr>
        <w:t xml:space="preserve"> </w:t>
      </w:r>
    </w:p>
    <w:p w14:paraId="33D1C484" w14:textId="77777777" w:rsidR="00EE1DA1" w:rsidRDefault="00EE1DA1" w:rsidP="00151081">
      <w:pPr>
        <w:spacing w:line="360" w:lineRule="auto"/>
      </w:pPr>
    </w:p>
    <w:p w14:paraId="116CCCBB" w14:textId="77777777" w:rsidR="00EE1DA1" w:rsidRDefault="00EE1DA1" w:rsidP="00151081">
      <w:pPr>
        <w:spacing w:line="360" w:lineRule="auto"/>
      </w:pPr>
      <w:r>
        <w:t>The MDB reported an achievement rate of 65% (17/26) on the planned annual targets because of operating at</w:t>
      </w:r>
      <w:r w:rsidRPr="00B3410D">
        <w:rPr>
          <w:rFonts w:cs="Arial"/>
        </w:rPr>
        <w:t xml:space="preserve"> </w:t>
      </w:r>
      <w:r>
        <w:rPr>
          <w:rFonts w:cs="Arial"/>
        </w:rPr>
        <w:t>a human resource capacity rate of 84.4%, which translates to a vacancy rate of 15.6 percent</w:t>
      </w:r>
      <w:r>
        <w:t>. There was also a weak articulation of performance indicators, which contributed to the inability of the Board to achieve the planned clean audit.</w:t>
      </w:r>
    </w:p>
    <w:p w14:paraId="15F6CE12" w14:textId="77777777" w:rsidR="00EE1DA1" w:rsidRPr="007C18D6" w:rsidRDefault="00EE1DA1" w:rsidP="00151081">
      <w:pPr>
        <w:spacing w:line="360" w:lineRule="auto"/>
      </w:pPr>
    </w:p>
    <w:p w14:paraId="384C3B7E" w14:textId="77777777" w:rsidR="00EE1DA1" w:rsidRPr="00EE1DA1" w:rsidRDefault="00EE1DA1" w:rsidP="00151081">
      <w:pPr>
        <w:pStyle w:val="Heading3"/>
        <w:numPr>
          <w:ilvl w:val="2"/>
          <w:numId w:val="1"/>
        </w:numPr>
        <w:spacing w:line="360" w:lineRule="auto"/>
        <w:rPr>
          <w:color w:val="000000" w:themeColor="text1"/>
        </w:rPr>
      </w:pPr>
      <w:bookmarkStart w:id="37" w:name="_Toc495067589"/>
      <w:r w:rsidRPr="00EE1DA1">
        <w:rPr>
          <w:color w:val="000000" w:themeColor="text1"/>
        </w:rPr>
        <w:t>Financial performance</w:t>
      </w:r>
      <w:bookmarkEnd w:id="37"/>
      <w:r w:rsidRPr="00EE1DA1">
        <w:rPr>
          <w:color w:val="000000" w:themeColor="text1"/>
        </w:rPr>
        <w:t xml:space="preserve"> </w:t>
      </w:r>
    </w:p>
    <w:p w14:paraId="5F931807" w14:textId="77777777" w:rsidR="00EE1DA1" w:rsidRPr="00957356" w:rsidRDefault="00EE1DA1" w:rsidP="00151081">
      <w:pPr>
        <w:spacing w:line="360" w:lineRule="auto"/>
      </w:pPr>
    </w:p>
    <w:tbl>
      <w:tblPr>
        <w:tblStyle w:val="TableGrid"/>
        <w:tblW w:w="5000" w:type="pct"/>
        <w:tblLook w:val="04A0" w:firstRow="1" w:lastRow="0" w:firstColumn="1" w:lastColumn="0" w:noHBand="0" w:noVBand="1"/>
      </w:tblPr>
      <w:tblGrid>
        <w:gridCol w:w="2763"/>
        <w:gridCol w:w="6479"/>
      </w:tblGrid>
      <w:tr w:rsidR="00EE1DA1" w:rsidRPr="00980D0C" w14:paraId="0EC35643" w14:textId="77777777" w:rsidTr="00133C3A">
        <w:tc>
          <w:tcPr>
            <w:tcW w:w="5000" w:type="pct"/>
            <w:gridSpan w:val="2"/>
            <w:shd w:val="clear" w:color="auto" w:fill="A8D08D" w:themeFill="accent6" w:themeFillTint="99"/>
          </w:tcPr>
          <w:p w14:paraId="290DBAC8" w14:textId="77777777" w:rsidR="00EE1DA1" w:rsidRPr="00980D0C" w:rsidRDefault="00EE1DA1" w:rsidP="00151081">
            <w:pPr>
              <w:spacing w:line="360" w:lineRule="auto"/>
              <w:jc w:val="center"/>
              <w:rPr>
                <w:rFonts w:cs="Arial"/>
                <w:b/>
                <w:lang w:val="en-GB"/>
              </w:rPr>
            </w:pPr>
            <w:r>
              <w:rPr>
                <w:rFonts w:cs="Arial"/>
                <w:b/>
                <w:lang w:val="en-GB"/>
              </w:rPr>
              <w:t>2016/17</w:t>
            </w:r>
          </w:p>
        </w:tc>
      </w:tr>
      <w:tr w:rsidR="00EE1DA1" w:rsidRPr="00980D0C" w14:paraId="1C8AE3A2" w14:textId="77777777" w:rsidTr="00133C3A">
        <w:tc>
          <w:tcPr>
            <w:tcW w:w="1495" w:type="pct"/>
          </w:tcPr>
          <w:p w14:paraId="76D10661" w14:textId="77777777" w:rsidR="00EE1DA1" w:rsidRPr="00980D0C" w:rsidRDefault="00EE1DA1" w:rsidP="00151081">
            <w:pPr>
              <w:spacing w:line="360" w:lineRule="auto"/>
              <w:rPr>
                <w:rFonts w:cs="Arial"/>
                <w:b/>
                <w:lang w:val="en-GB"/>
              </w:rPr>
            </w:pPr>
            <w:r w:rsidRPr="00980D0C">
              <w:rPr>
                <w:rFonts w:cs="Arial"/>
                <w:b/>
                <w:lang w:val="en-GB"/>
              </w:rPr>
              <w:t>Fruitless and wasteful expenditure</w:t>
            </w:r>
          </w:p>
        </w:tc>
        <w:tc>
          <w:tcPr>
            <w:tcW w:w="3505" w:type="pct"/>
          </w:tcPr>
          <w:p w14:paraId="4BEEA05D" w14:textId="77777777" w:rsidR="00EE1DA1" w:rsidRPr="00980D0C" w:rsidRDefault="00EE1DA1" w:rsidP="00151081">
            <w:pPr>
              <w:spacing w:line="360" w:lineRule="auto"/>
              <w:rPr>
                <w:rFonts w:cs="Arial"/>
                <w:lang w:val="en-GB"/>
              </w:rPr>
            </w:pPr>
            <w:r>
              <w:rPr>
                <w:rFonts w:cs="Arial"/>
                <w:lang w:val="en-GB"/>
              </w:rPr>
              <w:t>Identified fruitless and wasteful expenditure of R19 000 due to the MDB terminating a contract outside the agreed notice period.</w:t>
            </w:r>
          </w:p>
        </w:tc>
      </w:tr>
      <w:tr w:rsidR="00EE1DA1" w:rsidRPr="00980D0C" w14:paraId="726FBB80" w14:textId="77777777" w:rsidTr="00133C3A">
        <w:tc>
          <w:tcPr>
            <w:tcW w:w="1495" w:type="pct"/>
          </w:tcPr>
          <w:p w14:paraId="174B7B25" w14:textId="77777777" w:rsidR="00EE1DA1" w:rsidRPr="00980D0C" w:rsidRDefault="00EE1DA1" w:rsidP="00151081">
            <w:pPr>
              <w:spacing w:line="360" w:lineRule="auto"/>
              <w:rPr>
                <w:rFonts w:cs="Arial"/>
                <w:b/>
                <w:lang w:val="en-GB"/>
              </w:rPr>
            </w:pPr>
            <w:r w:rsidRPr="00980D0C">
              <w:rPr>
                <w:rFonts w:cs="Arial"/>
                <w:b/>
                <w:lang w:val="en-GB"/>
              </w:rPr>
              <w:t>Irregular expenditure</w:t>
            </w:r>
          </w:p>
        </w:tc>
        <w:tc>
          <w:tcPr>
            <w:tcW w:w="3505" w:type="pct"/>
          </w:tcPr>
          <w:p w14:paraId="45C0043F" w14:textId="77777777" w:rsidR="00EE1DA1" w:rsidRPr="00980D0C" w:rsidRDefault="00EE1DA1" w:rsidP="00151081">
            <w:pPr>
              <w:spacing w:line="360" w:lineRule="auto"/>
              <w:rPr>
                <w:rFonts w:cs="Arial"/>
              </w:rPr>
            </w:pPr>
            <w:r>
              <w:rPr>
                <w:rFonts w:cs="Arial"/>
              </w:rPr>
              <w:t>Poor controls resulted in irregular expenditure amounting to R3.1 million.</w:t>
            </w:r>
          </w:p>
        </w:tc>
      </w:tr>
    </w:tbl>
    <w:p w14:paraId="43791CCE" w14:textId="77777777" w:rsidR="00EE1DA1" w:rsidRDefault="00EE1DA1" w:rsidP="00151081">
      <w:pPr>
        <w:spacing w:line="360" w:lineRule="auto"/>
      </w:pPr>
    </w:p>
    <w:p w14:paraId="1852D5B1" w14:textId="77777777" w:rsidR="00DD238C" w:rsidRDefault="00DD238C" w:rsidP="00151081">
      <w:pPr>
        <w:spacing w:line="360" w:lineRule="auto"/>
      </w:pPr>
    </w:p>
    <w:p w14:paraId="3CDCAC63" w14:textId="77777777" w:rsidR="00DD238C" w:rsidRDefault="00DD238C" w:rsidP="00151081">
      <w:pPr>
        <w:spacing w:line="360" w:lineRule="auto"/>
      </w:pPr>
    </w:p>
    <w:p w14:paraId="78CE1792" w14:textId="77777777" w:rsidR="00DD238C" w:rsidRDefault="00DD238C" w:rsidP="00151081">
      <w:pPr>
        <w:spacing w:line="360" w:lineRule="auto"/>
      </w:pPr>
    </w:p>
    <w:p w14:paraId="156B326E" w14:textId="77777777" w:rsidR="00DD238C" w:rsidRDefault="00DD238C" w:rsidP="00151081">
      <w:pPr>
        <w:spacing w:line="360" w:lineRule="auto"/>
      </w:pPr>
    </w:p>
    <w:p w14:paraId="4C7A5923" w14:textId="77777777" w:rsidR="00DD238C" w:rsidRPr="00957356" w:rsidRDefault="00DD238C" w:rsidP="00151081">
      <w:pPr>
        <w:spacing w:line="360" w:lineRule="auto"/>
      </w:pPr>
    </w:p>
    <w:p w14:paraId="0CBA6FE1" w14:textId="77777777" w:rsidR="00EE1DA1" w:rsidRPr="00EE1DA1" w:rsidRDefault="00EE1DA1" w:rsidP="00151081">
      <w:pPr>
        <w:pStyle w:val="Heading3"/>
        <w:numPr>
          <w:ilvl w:val="2"/>
          <w:numId w:val="1"/>
        </w:numPr>
        <w:spacing w:line="360" w:lineRule="auto"/>
        <w:rPr>
          <w:color w:val="000000" w:themeColor="text1"/>
        </w:rPr>
      </w:pPr>
      <w:bookmarkStart w:id="38" w:name="_Toc495067590"/>
      <w:r w:rsidRPr="00EE1DA1">
        <w:rPr>
          <w:color w:val="000000" w:themeColor="text1"/>
        </w:rPr>
        <w:lastRenderedPageBreak/>
        <w:t>Audit findings</w:t>
      </w:r>
      <w:bookmarkEnd w:id="38"/>
    </w:p>
    <w:tbl>
      <w:tblPr>
        <w:tblStyle w:val="TableGrid"/>
        <w:tblW w:w="0" w:type="auto"/>
        <w:tblLook w:val="04A0" w:firstRow="1" w:lastRow="0" w:firstColumn="1" w:lastColumn="0" w:noHBand="0" w:noVBand="1"/>
      </w:tblPr>
      <w:tblGrid>
        <w:gridCol w:w="2477"/>
        <w:gridCol w:w="6765"/>
      </w:tblGrid>
      <w:tr w:rsidR="00EE1DA1" w:rsidRPr="00980D0C" w14:paraId="548F39FA" w14:textId="77777777" w:rsidTr="00133C3A">
        <w:tc>
          <w:tcPr>
            <w:tcW w:w="0" w:type="auto"/>
            <w:gridSpan w:val="2"/>
            <w:shd w:val="clear" w:color="auto" w:fill="A8D08D" w:themeFill="accent6" w:themeFillTint="99"/>
          </w:tcPr>
          <w:p w14:paraId="6762CE3F" w14:textId="77777777" w:rsidR="00EE1DA1" w:rsidRPr="00980D0C" w:rsidRDefault="00EE1DA1" w:rsidP="00151081">
            <w:pPr>
              <w:spacing w:line="360" w:lineRule="auto"/>
              <w:jc w:val="center"/>
              <w:rPr>
                <w:rFonts w:cs="Arial"/>
                <w:b/>
              </w:rPr>
            </w:pPr>
            <w:r>
              <w:rPr>
                <w:rFonts w:cs="Arial"/>
                <w:b/>
              </w:rPr>
              <w:t>2016/17</w:t>
            </w:r>
          </w:p>
        </w:tc>
      </w:tr>
      <w:tr w:rsidR="00EE1DA1" w:rsidRPr="00980D0C" w14:paraId="1CD5F612" w14:textId="77777777" w:rsidTr="00133C3A">
        <w:tc>
          <w:tcPr>
            <w:tcW w:w="0" w:type="auto"/>
            <w:gridSpan w:val="2"/>
          </w:tcPr>
          <w:p w14:paraId="15B005AA" w14:textId="77777777" w:rsidR="00EE1DA1" w:rsidRPr="00980D0C" w:rsidRDefault="00EE1DA1" w:rsidP="00151081">
            <w:pPr>
              <w:spacing w:line="360" w:lineRule="auto"/>
              <w:jc w:val="center"/>
              <w:rPr>
                <w:rFonts w:cs="Arial"/>
              </w:rPr>
            </w:pPr>
            <w:r>
              <w:rPr>
                <w:rFonts w:cs="Arial"/>
              </w:rPr>
              <w:t>Financially qualified</w:t>
            </w:r>
          </w:p>
        </w:tc>
      </w:tr>
      <w:tr w:rsidR="00EE1DA1" w:rsidRPr="00980D0C" w14:paraId="77574E75" w14:textId="77777777" w:rsidTr="00133C3A">
        <w:tc>
          <w:tcPr>
            <w:tcW w:w="0" w:type="auto"/>
            <w:shd w:val="clear" w:color="auto" w:fill="A8D08D" w:themeFill="accent6" w:themeFillTint="99"/>
          </w:tcPr>
          <w:p w14:paraId="574DC390"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 xml:space="preserve">AUDIT FOCUS </w:t>
            </w:r>
          </w:p>
          <w:p w14:paraId="5D545FE6" w14:textId="77777777" w:rsidR="00EE1DA1" w:rsidRPr="00980D0C" w:rsidRDefault="00EE1DA1" w:rsidP="00151081">
            <w:pPr>
              <w:spacing w:line="360" w:lineRule="auto"/>
              <w:jc w:val="center"/>
              <w:rPr>
                <w:rFonts w:cs="Arial"/>
                <w:b/>
                <w:color w:val="000000" w:themeColor="text1"/>
              </w:rPr>
            </w:pPr>
            <w:r w:rsidRPr="00980D0C">
              <w:rPr>
                <w:rFonts w:cs="Arial"/>
                <w:b/>
                <w:color w:val="000000" w:themeColor="text1"/>
              </w:rPr>
              <w:t>AREAS</w:t>
            </w:r>
          </w:p>
        </w:tc>
        <w:tc>
          <w:tcPr>
            <w:tcW w:w="0" w:type="auto"/>
            <w:shd w:val="clear" w:color="auto" w:fill="A8D08D" w:themeFill="accent6" w:themeFillTint="99"/>
          </w:tcPr>
          <w:p w14:paraId="08EFECAD" w14:textId="77777777" w:rsidR="00EE1DA1" w:rsidRPr="00980D0C" w:rsidRDefault="00EE1DA1" w:rsidP="00151081">
            <w:pPr>
              <w:spacing w:line="360" w:lineRule="auto"/>
              <w:jc w:val="center"/>
              <w:rPr>
                <w:rFonts w:cs="Arial"/>
                <w:b/>
                <w:color w:val="000000" w:themeColor="text1"/>
              </w:rPr>
            </w:pPr>
            <w:r>
              <w:rPr>
                <w:rFonts w:cs="Arial"/>
                <w:b/>
                <w:color w:val="000000" w:themeColor="text1"/>
              </w:rPr>
              <w:t>FINDINGS</w:t>
            </w:r>
          </w:p>
        </w:tc>
      </w:tr>
      <w:tr w:rsidR="00EE1DA1" w:rsidRPr="00980D0C" w14:paraId="54B9B9F5" w14:textId="77777777" w:rsidTr="00133C3A">
        <w:tc>
          <w:tcPr>
            <w:tcW w:w="0" w:type="auto"/>
          </w:tcPr>
          <w:p w14:paraId="6B69E5BF" w14:textId="77777777" w:rsidR="00EE1DA1" w:rsidRPr="00980D0C" w:rsidRDefault="00EE1DA1" w:rsidP="00151081">
            <w:pPr>
              <w:spacing w:line="360" w:lineRule="auto"/>
              <w:rPr>
                <w:rFonts w:cs="Arial"/>
                <w:b/>
              </w:rPr>
            </w:pPr>
            <w:r w:rsidRPr="00980D0C">
              <w:rPr>
                <w:rFonts w:cs="Arial"/>
                <w:b/>
              </w:rPr>
              <w:t>Quality of submitted performance reports</w:t>
            </w:r>
          </w:p>
        </w:tc>
        <w:tc>
          <w:tcPr>
            <w:tcW w:w="0" w:type="auto"/>
          </w:tcPr>
          <w:p w14:paraId="589FCB58" w14:textId="77777777" w:rsidR="00EE1DA1" w:rsidRPr="005B5157" w:rsidRDefault="00EE1DA1" w:rsidP="00151081">
            <w:pPr>
              <w:pStyle w:val="ListParagraph"/>
              <w:numPr>
                <w:ilvl w:val="0"/>
                <w:numId w:val="18"/>
              </w:numPr>
              <w:spacing w:line="360" w:lineRule="auto"/>
              <w:rPr>
                <w:rFonts w:cs="Arial"/>
              </w:rPr>
            </w:pPr>
            <w:r w:rsidRPr="00AA6FDE">
              <w:rPr>
                <w:rFonts w:cs="Arial"/>
              </w:rPr>
              <w:t>Weak articulation of performance indicators</w:t>
            </w:r>
          </w:p>
          <w:p w14:paraId="0548CBA9" w14:textId="77777777" w:rsidR="00EE1DA1" w:rsidRPr="00AA6FDE" w:rsidRDefault="00EE1DA1" w:rsidP="00151081">
            <w:pPr>
              <w:pStyle w:val="ListParagraph"/>
              <w:numPr>
                <w:ilvl w:val="0"/>
                <w:numId w:val="18"/>
              </w:numPr>
              <w:spacing w:line="360" w:lineRule="auto"/>
              <w:rPr>
                <w:rFonts w:cs="Arial"/>
              </w:rPr>
            </w:pPr>
            <w:r>
              <w:rPr>
                <w:rFonts w:cs="Arial"/>
              </w:rPr>
              <w:t>Leadership did not exercise adequate oversight responsibility regarding performance reporting.</w:t>
            </w:r>
          </w:p>
        </w:tc>
      </w:tr>
      <w:tr w:rsidR="00EE1DA1" w:rsidRPr="00980D0C" w14:paraId="3C43399D" w14:textId="77777777" w:rsidTr="00133C3A">
        <w:tc>
          <w:tcPr>
            <w:tcW w:w="0" w:type="auto"/>
          </w:tcPr>
          <w:p w14:paraId="741FC23E" w14:textId="77777777" w:rsidR="00EE1DA1" w:rsidRPr="00980D0C" w:rsidRDefault="00EE1DA1" w:rsidP="00151081">
            <w:pPr>
              <w:spacing w:line="360" w:lineRule="auto"/>
              <w:rPr>
                <w:rFonts w:cs="Arial"/>
                <w:b/>
              </w:rPr>
            </w:pPr>
            <w:r w:rsidRPr="00980D0C">
              <w:rPr>
                <w:rFonts w:cs="Arial"/>
                <w:b/>
              </w:rPr>
              <w:t>Compliance with legislation</w:t>
            </w:r>
          </w:p>
        </w:tc>
        <w:tc>
          <w:tcPr>
            <w:tcW w:w="0" w:type="auto"/>
          </w:tcPr>
          <w:p w14:paraId="016BC75A" w14:textId="77777777" w:rsidR="00EE1DA1" w:rsidRDefault="00EE1DA1" w:rsidP="00151081">
            <w:pPr>
              <w:pStyle w:val="ListParagraph"/>
              <w:numPr>
                <w:ilvl w:val="0"/>
                <w:numId w:val="18"/>
              </w:numPr>
              <w:spacing w:line="360" w:lineRule="auto"/>
              <w:rPr>
                <w:rFonts w:cs="Arial"/>
              </w:rPr>
            </w:pPr>
            <w:r w:rsidRPr="00C34929">
              <w:rPr>
                <w:rFonts w:cs="Arial"/>
              </w:rPr>
              <w:t>Inadequate compliance monitoring resulted in non-compliance with SCM legislation</w:t>
            </w:r>
            <w:r>
              <w:rPr>
                <w:rFonts w:cs="Arial"/>
              </w:rPr>
              <w:t>,</w:t>
            </w:r>
            <w:r w:rsidRPr="00C34929">
              <w:rPr>
                <w:rFonts w:cs="Arial"/>
              </w:rPr>
              <w:t xml:space="preserve"> especially due to poorly motivated deviations and contract management</w:t>
            </w:r>
            <w:r>
              <w:rPr>
                <w:rFonts w:cs="Arial"/>
              </w:rPr>
              <w:t>.</w:t>
            </w:r>
            <w:r w:rsidRPr="00C34929">
              <w:rPr>
                <w:rFonts w:cs="Arial"/>
              </w:rPr>
              <w:t xml:space="preserve"> </w:t>
            </w:r>
          </w:p>
          <w:p w14:paraId="1ECB80DE" w14:textId="77777777" w:rsidR="00EE1DA1" w:rsidRDefault="00EE1DA1" w:rsidP="00151081">
            <w:pPr>
              <w:pStyle w:val="ListParagraph"/>
              <w:spacing w:line="360" w:lineRule="auto"/>
              <w:rPr>
                <w:rFonts w:cs="Arial"/>
              </w:rPr>
            </w:pPr>
          </w:p>
          <w:p w14:paraId="001B8ED5" w14:textId="77777777" w:rsidR="00EE1DA1" w:rsidRPr="00C34929" w:rsidRDefault="00EE1DA1" w:rsidP="00151081">
            <w:pPr>
              <w:pStyle w:val="ListParagraph"/>
              <w:numPr>
                <w:ilvl w:val="0"/>
                <w:numId w:val="18"/>
              </w:numPr>
              <w:spacing w:line="360" w:lineRule="auto"/>
              <w:rPr>
                <w:rFonts w:cs="Arial"/>
              </w:rPr>
            </w:pPr>
            <w:r>
              <w:rPr>
                <w:rFonts w:cs="Arial"/>
              </w:rPr>
              <w:t>Procured goods and services of a transaction value above R500 000 without inviting competitive bids, in contravention of Treasury Regulations.</w:t>
            </w:r>
          </w:p>
        </w:tc>
      </w:tr>
    </w:tbl>
    <w:p w14:paraId="7A060F04" w14:textId="77777777" w:rsidR="00EE1DA1" w:rsidRDefault="00EE1DA1" w:rsidP="00151081">
      <w:pPr>
        <w:spacing w:line="360" w:lineRule="auto"/>
      </w:pPr>
    </w:p>
    <w:p w14:paraId="557B0E3A" w14:textId="77777777" w:rsidR="00EE1DA1" w:rsidRPr="00EE1DA1" w:rsidRDefault="00EE1DA1" w:rsidP="00151081">
      <w:pPr>
        <w:pStyle w:val="Heading3"/>
        <w:numPr>
          <w:ilvl w:val="2"/>
          <w:numId w:val="1"/>
        </w:numPr>
        <w:spacing w:line="360" w:lineRule="auto"/>
        <w:rPr>
          <w:color w:val="000000" w:themeColor="text1"/>
        </w:rPr>
      </w:pPr>
      <w:bookmarkStart w:id="39" w:name="_Toc495067591"/>
      <w:r w:rsidRPr="00EE1DA1">
        <w:rPr>
          <w:color w:val="000000" w:themeColor="text1"/>
        </w:rPr>
        <w:t>Key reported achievements</w:t>
      </w:r>
      <w:bookmarkEnd w:id="39"/>
    </w:p>
    <w:p w14:paraId="6CDDB7FC" w14:textId="77777777" w:rsidR="00EE1DA1" w:rsidRDefault="00EE1DA1" w:rsidP="00151081">
      <w:pPr>
        <w:spacing w:line="360" w:lineRule="auto"/>
      </w:pPr>
    </w:p>
    <w:p w14:paraId="10E8347D" w14:textId="77777777" w:rsidR="00EE1DA1" w:rsidRDefault="00EE1DA1" w:rsidP="00151081">
      <w:pPr>
        <w:pStyle w:val="ListParagraph"/>
        <w:numPr>
          <w:ilvl w:val="0"/>
          <w:numId w:val="7"/>
        </w:numPr>
        <w:spacing w:line="360" w:lineRule="auto"/>
      </w:pPr>
      <w:r>
        <w:t xml:space="preserve">Technical assessment of all municipal boundaries </w:t>
      </w:r>
    </w:p>
    <w:p w14:paraId="37324F4A" w14:textId="77777777" w:rsidR="00EE1DA1" w:rsidRDefault="00EE1DA1" w:rsidP="00151081">
      <w:pPr>
        <w:pStyle w:val="ListParagraph"/>
        <w:numPr>
          <w:ilvl w:val="0"/>
          <w:numId w:val="7"/>
        </w:numPr>
        <w:spacing w:line="360" w:lineRule="auto"/>
      </w:pPr>
      <w:r>
        <w:t>Successful consultative conference on demarcation and spatial transformation</w:t>
      </w:r>
    </w:p>
    <w:p w14:paraId="2018A659" w14:textId="77777777" w:rsidR="00EE1DA1" w:rsidRDefault="00EE1DA1" w:rsidP="00151081">
      <w:pPr>
        <w:pStyle w:val="ListParagraph"/>
        <w:numPr>
          <w:ilvl w:val="0"/>
          <w:numId w:val="7"/>
        </w:numPr>
        <w:spacing w:line="360" w:lineRule="auto"/>
      </w:pPr>
      <w:r>
        <w:t>The development of a regionalisation model, which aims at cascading the work of the institution and operate at a regional level in order to enhance local participatory democracy by allowing the public to have access to the MDB</w:t>
      </w:r>
    </w:p>
    <w:p w14:paraId="6CB25D5A" w14:textId="77777777" w:rsidR="00EE1DA1" w:rsidRDefault="00EE1DA1" w:rsidP="00151081">
      <w:pPr>
        <w:pStyle w:val="ListParagraph"/>
        <w:numPr>
          <w:ilvl w:val="0"/>
          <w:numId w:val="7"/>
        </w:numPr>
        <w:spacing w:line="360" w:lineRule="auto"/>
      </w:pPr>
      <w:r>
        <w:t>A framework on public participation for boundary re-determination process</w:t>
      </w:r>
    </w:p>
    <w:p w14:paraId="11B4284E" w14:textId="77777777" w:rsidR="00EE1DA1" w:rsidRDefault="00EE1DA1" w:rsidP="00151081">
      <w:pPr>
        <w:pStyle w:val="ListParagraph"/>
        <w:spacing w:line="360" w:lineRule="auto"/>
      </w:pPr>
    </w:p>
    <w:p w14:paraId="477AED4F" w14:textId="77777777" w:rsidR="00EE1DA1" w:rsidRPr="00EE1DA1" w:rsidRDefault="00EE1DA1" w:rsidP="00151081">
      <w:pPr>
        <w:pStyle w:val="Heading3"/>
        <w:numPr>
          <w:ilvl w:val="2"/>
          <w:numId w:val="1"/>
        </w:numPr>
        <w:spacing w:line="360" w:lineRule="auto"/>
        <w:rPr>
          <w:color w:val="000000" w:themeColor="text1"/>
        </w:rPr>
      </w:pPr>
      <w:bookmarkStart w:id="40" w:name="_Toc495067592"/>
      <w:r w:rsidRPr="00EE1DA1">
        <w:rPr>
          <w:color w:val="000000" w:themeColor="text1"/>
        </w:rPr>
        <w:t>Key reported challenges</w:t>
      </w:r>
      <w:bookmarkEnd w:id="40"/>
    </w:p>
    <w:p w14:paraId="51EED9A6" w14:textId="77777777" w:rsidR="00EE1DA1" w:rsidRDefault="00EE1DA1" w:rsidP="00151081">
      <w:pPr>
        <w:spacing w:line="360" w:lineRule="auto"/>
      </w:pPr>
    </w:p>
    <w:p w14:paraId="53208900" w14:textId="77777777" w:rsidR="00EE1DA1" w:rsidRDefault="00EE1DA1" w:rsidP="00151081">
      <w:pPr>
        <w:pStyle w:val="ListParagraph"/>
        <w:numPr>
          <w:ilvl w:val="0"/>
          <w:numId w:val="6"/>
        </w:numPr>
        <w:spacing w:line="360" w:lineRule="auto"/>
      </w:pPr>
      <w:r>
        <w:t>Lack of a clear plan on configuration of the local government landscape, e.g. perpetual debates on the future of the two-tier system, secondary cities and long-term plans on the rationalisation of municipalities.</w:t>
      </w:r>
    </w:p>
    <w:p w14:paraId="22349AB8" w14:textId="77777777" w:rsidR="00EE1DA1" w:rsidRDefault="00EE1DA1" w:rsidP="00151081">
      <w:pPr>
        <w:pStyle w:val="ListParagraph"/>
        <w:spacing w:line="360" w:lineRule="auto"/>
      </w:pPr>
    </w:p>
    <w:p w14:paraId="572056E4" w14:textId="77777777" w:rsidR="00EE1DA1" w:rsidRDefault="00EE1DA1" w:rsidP="00151081">
      <w:pPr>
        <w:pStyle w:val="ListParagraph"/>
        <w:numPr>
          <w:ilvl w:val="0"/>
          <w:numId w:val="6"/>
        </w:numPr>
        <w:spacing w:line="360" w:lineRule="auto"/>
      </w:pPr>
      <w:r>
        <w:t>Provincial boundaries that impede the MDB’s work, e.g. Moutse, Dipalaseng, Ba ga Mothibi, Matatiele etc.</w:t>
      </w:r>
    </w:p>
    <w:p w14:paraId="0EB23EB3" w14:textId="77777777" w:rsidR="00EE1DA1" w:rsidRDefault="00EE1DA1" w:rsidP="00151081">
      <w:pPr>
        <w:pStyle w:val="ListParagraph"/>
        <w:numPr>
          <w:ilvl w:val="0"/>
          <w:numId w:val="6"/>
        </w:numPr>
        <w:spacing w:line="360" w:lineRule="auto"/>
      </w:pPr>
      <w:r>
        <w:t>Inadequate funding of the MDB: constraining effective public participation and establishment of regional presence.</w:t>
      </w:r>
    </w:p>
    <w:p w14:paraId="671C12A5" w14:textId="77777777" w:rsidR="00EE1DA1" w:rsidRDefault="00EE1DA1" w:rsidP="00151081">
      <w:pPr>
        <w:pStyle w:val="ListParagraph"/>
        <w:numPr>
          <w:ilvl w:val="0"/>
          <w:numId w:val="6"/>
        </w:numPr>
        <w:spacing w:line="360" w:lineRule="auto"/>
      </w:pPr>
      <w:r>
        <w:lastRenderedPageBreak/>
        <w:t>Spatial discrepancies concerning traditional community areas exacerbated by lack of proclamations thus resulting in misaligned of municipal boundaries.</w:t>
      </w:r>
    </w:p>
    <w:p w14:paraId="3B0437EE" w14:textId="77777777" w:rsidR="00EE1DA1" w:rsidRDefault="00EE1DA1" w:rsidP="00151081">
      <w:pPr>
        <w:pStyle w:val="ListParagraph"/>
        <w:spacing w:line="360" w:lineRule="auto"/>
      </w:pPr>
    </w:p>
    <w:p w14:paraId="2BE28632" w14:textId="77777777" w:rsidR="00EE1DA1" w:rsidRDefault="00EE1DA1" w:rsidP="00151081">
      <w:pPr>
        <w:pStyle w:val="ListParagraph"/>
        <w:numPr>
          <w:ilvl w:val="0"/>
          <w:numId w:val="6"/>
        </w:numPr>
        <w:spacing w:line="360" w:lineRule="auto"/>
        <w:rPr>
          <w:rFonts w:cs="Arial"/>
        </w:rPr>
      </w:pPr>
      <w:r>
        <w:rPr>
          <w:rFonts w:cs="Arial"/>
        </w:rPr>
        <w:t>The Board operated at a human resource capacity rate of 84.4%, indicating a vacancy rate of 15.6 percent. In this regard, the Board was under-capacitated to deliver on its mandate, as this vacancy rate also affected the Board’s key managerial positions.</w:t>
      </w:r>
      <w:r w:rsidR="00151081">
        <w:rPr>
          <w:rFonts w:cs="Arial"/>
        </w:rPr>
        <w:t xml:space="preserve"> </w:t>
      </w:r>
    </w:p>
    <w:p w14:paraId="2C42F2BF" w14:textId="77777777" w:rsidR="00151081" w:rsidRPr="00151081" w:rsidRDefault="00151081" w:rsidP="00151081">
      <w:pPr>
        <w:pStyle w:val="ListParagraph"/>
        <w:spacing w:line="360" w:lineRule="auto"/>
        <w:rPr>
          <w:rFonts w:cs="Arial"/>
        </w:rPr>
      </w:pPr>
    </w:p>
    <w:p w14:paraId="1F676746" w14:textId="77777777" w:rsidR="00151081" w:rsidRPr="00151081" w:rsidRDefault="00151081" w:rsidP="00151081">
      <w:pPr>
        <w:spacing w:line="360" w:lineRule="auto"/>
        <w:rPr>
          <w:rFonts w:cs="Arial"/>
        </w:rPr>
      </w:pPr>
    </w:p>
    <w:p w14:paraId="5CF1B2C2" w14:textId="77777777" w:rsidR="00EE1DA1" w:rsidRPr="00EE1DA1" w:rsidRDefault="00EE1DA1" w:rsidP="00151081">
      <w:pPr>
        <w:pStyle w:val="Heading1"/>
        <w:numPr>
          <w:ilvl w:val="0"/>
          <w:numId w:val="1"/>
        </w:numPr>
        <w:spacing w:line="360" w:lineRule="auto"/>
        <w:rPr>
          <w:color w:val="000000" w:themeColor="text1"/>
        </w:rPr>
      </w:pPr>
      <w:bookmarkStart w:id="41" w:name="_Toc495067593"/>
      <w:r w:rsidRPr="00EE1DA1">
        <w:rPr>
          <w:color w:val="000000" w:themeColor="text1"/>
        </w:rPr>
        <w:t>COmmittee observations</w:t>
      </w:r>
      <w:bookmarkEnd w:id="41"/>
    </w:p>
    <w:p w14:paraId="3F639D82" w14:textId="77777777" w:rsidR="00EE1DA1" w:rsidRDefault="00EE1DA1" w:rsidP="00151081">
      <w:pPr>
        <w:spacing w:line="360" w:lineRule="auto"/>
      </w:pPr>
    </w:p>
    <w:p w14:paraId="6B9E66AE" w14:textId="77777777" w:rsidR="00EE1DA1" w:rsidRPr="00EE1DA1" w:rsidRDefault="00EE1DA1" w:rsidP="00151081">
      <w:pPr>
        <w:pStyle w:val="Heading2"/>
        <w:numPr>
          <w:ilvl w:val="1"/>
          <w:numId w:val="1"/>
        </w:numPr>
        <w:spacing w:line="360" w:lineRule="auto"/>
        <w:rPr>
          <w:color w:val="000000" w:themeColor="text1"/>
        </w:rPr>
      </w:pPr>
      <w:bookmarkStart w:id="42" w:name="_Toc495067594"/>
      <w:r w:rsidRPr="00EE1DA1">
        <w:rPr>
          <w:color w:val="000000" w:themeColor="text1"/>
        </w:rPr>
        <w:t>Technical issues</w:t>
      </w:r>
      <w:bookmarkEnd w:id="42"/>
    </w:p>
    <w:p w14:paraId="36D614FA" w14:textId="77777777" w:rsidR="00EE1DA1" w:rsidRDefault="00EE1DA1" w:rsidP="00151081">
      <w:pPr>
        <w:spacing w:line="360" w:lineRule="auto"/>
      </w:pPr>
    </w:p>
    <w:p w14:paraId="4DEF86B9" w14:textId="77777777" w:rsidR="00EE1DA1" w:rsidRDefault="00EE1DA1" w:rsidP="00151081">
      <w:pPr>
        <w:spacing w:line="360" w:lineRule="auto"/>
      </w:pPr>
      <w:r>
        <w:t>With regard to technical issues, the Committee:</w:t>
      </w:r>
    </w:p>
    <w:p w14:paraId="7910411E" w14:textId="77777777" w:rsidR="00EE1DA1" w:rsidRDefault="00EE1DA1" w:rsidP="00151081">
      <w:pPr>
        <w:spacing w:line="360" w:lineRule="auto"/>
      </w:pPr>
    </w:p>
    <w:p w14:paraId="7F9F1AE6" w14:textId="77777777" w:rsidR="00EE1DA1" w:rsidRDefault="00EE1DA1" w:rsidP="00151081">
      <w:pPr>
        <w:pStyle w:val="ListParagraph"/>
        <w:numPr>
          <w:ilvl w:val="0"/>
          <w:numId w:val="20"/>
        </w:numPr>
        <w:spacing w:line="360" w:lineRule="auto"/>
      </w:pPr>
      <w:r>
        <w:t>Noted the erratic tabling in respect of the Annual Report of the Municipal Infrastructure Agent, which has happened on more than one occasion. This constrained proper and effective exercise of the Committee’s oversight responsibility over the entity.</w:t>
      </w:r>
    </w:p>
    <w:p w14:paraId="15D7E544" w14:textId="77777777" w:rsidR="00EE1DA1" w:rsidRDefault="00EE1DA1" w:rsidP="00151081">
      <w:pPr>
        <w:pStyle w:val="ListParagraph"/>
        <w:spacing w:line="360" w:lineRule="auto"/>
        <w:ind w:left="784"/>
      </w:pPr>
    </w:p>
    <w:p w14:paraId="168310FC" w14:textId="77777777" w:rsidR="00EE1DA1" w:rsidRDefault="00EE1DA1" w:rsidP="00151081">
      <w:pPr>
        <w:pStyle w:val="ListParagraph"/>
        <w:numPr>
          <w:ilvl w:val="0"/>
          <w:numId w:val="20"/>
        </w:numPr>
        <w:spacing w:line="360" w:lineRule="auto"/>
      </w:pPr>
      <w:r>
        <w:t>Noted that some of the performance targets that have previously been on the Department of Cooperative Governance’s annual performance agenda simply disappeared during the period under review. These include the Local Government Laws Amendment Bill and the Interventions Monitoring and Support Bill.</w:t>
      </w:r>
    </w:p>
    <w:p w14:paraId="3D2F5EA0" w14:textId="77777777" w:rsidR="00EE1DA1" w:rsidRDefault="00EE1DA1" w:rsidP="00151081">
      <w:pPr>
        <w:spacing w:line="360" w:lineRule="auto"/>
      </w:pPr>
    </w:p>
    <w:p w14:paraId="5D4DFA1D" w14:textId="77777777" w:rsidR="00EE1DA1" w:rsidRPr="00EE1DA1" w:rsidRDefault="00EE1DA1" w:rsidP="00151081">
      <w:pPr>
        <w:pStyle w:val="Heading2"/>
        <w:numPr>
          <w:ilvl w:val="1"/>
          <w:numId w:val="1"/>
        </w:numPr>
        <w:spacing w:line="360" w:lineRule="auto"/>
        <w:rPr>
          <w:color w:val="000000" w:themeColor="text1"/>
        </w:rPr>
      </w:pPr>
      <w:bookmarkStart w:id="43" w:name="_Toc495067595"/>
      <w:r w:rsidRPr="00EE1DA1">
        <w:rPr>
          <w:color w:val="000000" w:themeColor="text1"/>
        </w:rPr>
        <w:t>Governance and operational issues</w:t>
      </w:r>
      <w:bookmarkEnd w:id="43"/>
    </w:p>
    <w:p w14:paraId="13810A26" w14:textId="77777777" w:rsidR="00EE1DA1" w:rsidRDefault="00EE1DA1" w:rsidP="00151081">
      <w:pPr>
        <w:spacing w:line="360" w:lineRule="auto"/>
      </w:pPr>
    </w:p>
    <w:p w14:paraId="586EFE96" w14:textId="77777777" w:rsidR="00EE1DA1" w:rsidRDefault="00EE1DA1" w:rsidP="00151081">
      <w:pPr>
        <w:spacing w:line="360" w:lineRule="auto"/>
      </w:pPr>
      <w:r>
        <w:t>In respect of governance and operational issues, the Committee:</w:t>
      </w:r>
    </w:p>
    <w:p w14:paraId="3529B5D5" w14:textId="77777777" w:rsidR="00EE1DA1" w:rsidRDefault="00EE1DA1" w:rsidP="00151081">
      <w:pPr>
        <w:spacing w:line="360" w:lineRule="auto"/>
      </w:pPr>
    </w:p>
    <w:p w14:paraId="1C317117" w14:textId="77777777" w:rsidR="00EE1DA1" w:rsidRPr="007469E1" w:rsidRDefault="00EE1DA1" w:rsidP="00151081">
      <w:pPr>
        <w:pStyle w:val="ListParagraph"/>
        <w:numPr>
          <w:ilvl w:val="0"/>
          <w:numId w:val="15"/>
        </w:numPr>
        <w:spacing w:line="360" w:lineRule="auto"/>
      </w:pPr>
      <w:r>
        <w:rPr>
          <w:rFonts w:cs="Arial"/>
        </w:rPr>
        <w:t>Noted t</w:t>
      </w:r>
      <w:r w:rsidRPr="00F2332D">
        <w:rPr>
          <w:rFonts w:cs="Arial"/>
        </w:rPr>
        <w:t>he</w:t>
      </w:r>
      <w:r>
        <w:rPr>
          <w:rFonts w:cs="Arial"/>
        </w:rPr>
        <w:t xml:space="preserve"> problems relating to the management and</w:t>
      </w:r>
      <w:r w:rsidRPr="00F2332D">
        <w:rPr>
          <w:rFonts w:cs="Arial"/>
        </w:rPr>
        <w:t xml:space="preserve"> administration of the Community Work Programme</w:t>
      </w:r>
      <w:r>
        <w:rPr>
          <w:rFonts w:cs="Arial"/>
        </w:rPr>
        <w:t xml:space="preserve"> and the Municipal Infrastructure Support Agent were a repeat of the same issues encountered in the previous financial years. </w:t>
      </w:r>
    </w:p>
    <w:p w14:paraId="2FCC487D" w14:textId="77777777" w:rsidR="00EE1DA1" w:rsidRPr="007469E1" w:rsidRDefault="00EE1DA1" w:rsidP="00151081">
      <w:pPr>
        <w:pStyle w:val="ListParagraph"/>
        <w:spacing w:line="360" w:lineRule="auto"/>
        <w:ind w:left="784"/>
      </w:pPr>
    </w:p>
    <w:p w14:paraId="4B05A1AD" w14:textId="77777777" w:rsidR="00EE1DA1" w:rsidRDefault="00EE1DA1" w:rsidP="00151081">
      <w:pPr>
        <w:pStyle w:val="ListParagraph"/>
        <w:numPr>
          <w:ilvl w:val="0"/>
          <w:numId w:val="15"/>
        </w:numPr>
        <w:spacing w:line="360" w:lineRule="auto"/>
      </w:pPr>
      <w:r>
        <w:lastRenderedPageBreak/>
        <w:t xml:space="preserve">This indicated a need for the Committee to do more (including following the recommendations of the Office of the Auditor-General) to exercise oversight over the Cooperative Governance and Traditional Affairs portfolio, particularly the Department of Cooperative Governance and MISA. </w:t>
      </w:r>
    </w:p>
    <w:p w14:paraId="32184184" w14:textId="77777777" w:rsidR="00EE1DA1" w:rsidRDefault="00EE1DA1" w:rsidP="00151081">
      <w:pPr>
        <w:spacing w:line="360" w:lineRule="auto"/>
      </w:pPr>
    </w:p>
    <w:p w14:paraId="67962C5C" w14:textId="77777777" w:rsidR="00EE1DA1" w:rsidRDefault="00EE1DA1" w:rsidP="00151081">
      <w:pPr>
        <w:pStyle w:val="ListParagraph"/>
        <w:numPr>
          <w:ilvl w:val="0"/>
          <w:numId w:val="5"/>
        </w:numPr>
        <w:spacing w:line="360" w:lineRule="auto"/>
      </w:pPr>
      <w:r>
        <w:t>In the future, the Committee would prefer to see the recommendations of the Office of the Auditor-General binding and legally enforceable, much like the recommendations of the Public Protector.</w:t>
      </w:r>
    </w:p>
    <w:p w14:paraId="0730A33C" w14:textId="77777777" w:rsidR="00EE1DA1" w:rsidRDefault="00EE1DA1" w:rsidP="00151081">
      <w:pPr>
        <w:pStyle w:val="ListParagraph"/>
        <w:spacing w:line="360" w:lineRule="auto"/>
      </w:pPr>
    </w:p>
    <w:p w14:paraId="6FF2F828" w14:textId="77777777" w:rsidR="00EE1DA1" w:rsidRPr="00EE1DA1" w:rsidRDefault="00EE1DA1" w:rsidP="00151081">
      <w:pPr>
        <w:pStyle w:val="Heading2"/>
        <w:numPr>
          <w:ilvl w:val="1"/>
          <w:numId w:val="1"/>
        </w:numPr>
        <w:spacing w:line="360" w:lineRule="auto"/>
        <w:rPr>
          <w:color w:val="000000" w:themeColor="text1"/>
        </w:rPr>
      </w:pPr>
      <w:bookmarkStart w:id="44" w:name="_Toc495067596"/>
      <w:r w:rsidRPr="00EE1DA1">
        <w:rPr>
          <w:color w:val="000000" w:themeColor="text1"/>
        </w:rPr>
        <w:t>Service delivery challenges</w:t>
      </w:r>
      <w:bookmarkEnd w:id="44"/>
      <w:r w:rsidRPr="00EE1DA1">
        <w:rPr>
          <w:color w:val="000000" w:themeColor="text1"/>
        </w:rPr>
        <w:t xml:space="preserve"> </w:t>
      </w:r>
    </w:p>
    <w:p w14:paraId="5726FBAF" w14:textId="77777777" w:rsidR="00151081" w:rsidRDefault="00151081" w:rsidP="00151081">
      <w:pPr>
        <w:tabs>
          <w:tab w:val="left" w:pos="956"/>
        </w:tabs>
        <w:spacing w:line="360" w:lineRule="auto"/>
      </w:pPr>
    </w:p>
    <w:p w14:paraId="0D924ACF" w14:textId="77777777" w:rsidR="00EE1DA1" w:rsidRDefault="002E02DA" w:rsidP="00151081">
      <w:pPr>
        <w:tabs>
          <w:tab w:val="left" w:pos="956"/>
        </w:tabs>
        <w:spacing w:line="360" w:lineRule="auto"/>
      </w:pPr>
      <w:r>
        <w:t>Concerning service delivery challenges, the Committee:</w:t>
      </w:r>
    </w:p>
    <w:p w14:paraId="404C9FB2" w14:textId="77777777" w:rsidR="002E02DA" w:rsidRDefault="002E02DA" w:rsidP="00151081">
      <w:pPr>
        <w:tabs>
          <w:tab w:val="left" w:pos="956"/>
        </w:tabs>
        <w:spacing w:line="360" w:lineRule="auto"/>
      </w:pPr>
    </w:p>
    <w:p w14:paraId="569747DB" w14:textId="77777777" w:rsidR="00EE1DA1" w:rsidRDefault="002E02DA" w:rsidP="00151081">
      <w:pPr>
        <w:pStyle w:val="ListParagraph"/>
        <w:numPr>
          <w:ilvl w:val="0"/>
          <w:numId w:val="5"/>
        </w:numPr>
        <w:tabs>
          <w:tab w:val="left" w:pos="956"/>
        </w:tabs>
        <w:spacing w:line="360" w:lineRule="auto"/>
      </w:pPr>
      <w:r>
        <w:t>N</w:t>
      </w:r>
      <w:r w:rsidR="00EE1DA1">
        <w:t xml:space="preserve">oted the ineffectiveness of some provincial disaster management centres owing to cumbersome and bureaucratic disaster reaction procedures that often lead to slow disaster response. </w:t>
      </w:r>
    </w:p>
    <w:p w14:paraId="04AC6E62" w14:textId="77777777" w:rsidR="002E02DA" w:rsidRDefault="002E02DA" w:rsidP="00151081">
      <w:pPr>
        <w:pStyle w:val="ListParagraph"/>
        <w:tabs>
          <w:tab w:val="left" w:pos="956"/>
        </w:tabs>
        <w:spacing w:line="360" w:lineRule="auto"/>
      </w:pPr>
    </w:p>
    <w:p w14:paraId="66136690" w14:textId="77777777" w:rsidR="002E02DA" w:rsidRPr="00151081" w:rsidRDefault="002E02DA" w:rsidP="00151081">
      <w:pPr>
        <w:pStyle w:val="ListParagraph"/>
        <w:numPr>
          <w:ilvl w:val="0"/>
          <w:numId w:val="5"/>
        </w:numPr>
        <w:tabs>
          <w:tab w:val="left" w:pos="956"/>
        </w:tabs>
        <w:spacing w:line="360" w:lineRule="auto"/>
      </w:pPr>
      <w:r w:rsidRPr="00151081">
        <w:t xml:space="preserve">Was concerned about the negative impact of some amalgamations on the financial viability of the merged municipalities, including instances where previously healthy municipalities become financially unsustainable due to amalgamation with distressed or dysfunctional municipalities. </w:t>
      </w:r>
    </w:p>
    <w:p w14:paraId="11528EA9" w14:textId="77777777" w:rsidR="002E02DA" w:rsidRPr="00151081" w:rsidRDefault="002E02DA" w:rsidP="00151081">
      <w:pPr>
        <w:pStyle w:val="ListParagraph"/>
        <w:spacing w:line="360" w:lineRule="auto"/>
      </w:pPr>
    </w:p>
    <w:p w14:paraId="2737B5E6" w14:textId="77777777" w:rsidR="002E02DA" w:rsidRPr="00151081" w:rsidRDefault="002E02DA" w:rsidP="00151081">
      <w:pPr>
        <w:pStyle w:val="ListParagraph"/>
        <w:numPr>
          <w:ilvl w:val="0"/>
          <w:numId w:val="5"/>
        </w:numPr>
        <w:tabs>
          <w:tab w:val="left" w:pos="956"/>
        </w:tabs>
        <w:spacing w:line="360" w:lineRule="auto"/>
      </w:pPr>
      <w:r w:rsidRPr="00151081">
        <w:t>Observed that the responsibility for the policy priority of completing the eradication of buck sanitation systems in formal residential areas during the 2016 MTEF seems to rest with municipalities, and that should be transferred to the Department of Cooperative Governance and Traditional Affairs</w:t>
      </w:r>
    </w:p>
    <w:p w14:paraId="1F49FD7E" w14:textId="77777777" w:rsidR="00EE1DA1" w:rsidRPr="00EE1DA1" w:rsidRDefault="00EE1DA1" w:rsidP="00151081">
      <w:pPr>
        <w:spacing w:line="360" w:lineRule="auto"/>
      </w:pPr>
    </w:p>
    <w:p w14:paraId="748E8271" w14:textId="77777777" w:rsidR="00EE1DA1" w:rsidRPr="00EE1DA1" w:rsidRDefault="00EE1DA1" w:rsidP="00151081">
      <w:pPr>
        <w:pStyle w:val="Heading2"/>
        <w:numPr>
          <w:ilvl w:val="1"/>
          <w:numId w:val="1"/>
        </w:numPr>
        <w:spacing w:line="360" w:lineRule="auto"/>
        <w:rPr>
          <w:color w:val="000000" w:themeColor="text1"/>
        </w:rPr>
      </w:pPr>
      <w:bookmarkStart w:id="45" w:name="_Toc495067597"/>
      <w:r w:rsidRPr="00EE1DA1">
        <w:rPr>
          <w:color w:val="000000" w:themeColor="text1"/>
        </w:rPr>
        <w:t>Financial performance</w:t>
      </w:r>
      <w:bookmarkEnd w:id="45"/>
    </w:p>
    <w:p w14:paraId="1A2F27AF" w14:textId="77777777" w:rsidR="00EE1DA1" w:rsidRDefault="00EE1DA1" w:rsidP="00151081">
      <w:pPr>
        <w:spacing w:line="360" w:lineRule="auto"/>
        <w:rPr>
          <w:rFonts w:cs="Arial"/>
        </w:rPr>
      </w:pPr>
    </w:p>
    <w:p w14:paraId="1E121727" w14:textId="77777777" w:rsidR="00EE1DA1" w:rsidRDefault="00EE1DA1" w:rsidP="00151081">
      <w:pPr>
        <w:spacing w:line="360" w:lineRule="auto"/>
        <w:rPr>
          <w:rFonts w:cs="Arial"/>
        </w:rPr>
      </w:pPr>
      <w:r>
        <w:rPr>
          <w:rFonts w:cs="Arial"/>
        </w:rPr>
        <w:t>With regard to financial performance</w:t>
      </w:r>
      <w:r w:rsidR="00151081">
        <w:rPr>
          <w:rFonts w:cs="Arial"/>
        </w:rPr>
        <w:t>,</w:t>
      </w:r>
      <w:r>
        <w:rPr>
          <w:rFonts w:cs="Arial"/>
        </w:rPr>
        <w:t xml:space="preserve"> the Committee:</w:t>
      </w:r>
    </w:p>
    <w:p w14:paraId="370EFDF3" w14:textId="77777777" w:rsidR="00EE1DA1" w:rsidRDefault="00EE1DA1" w:rsidP="00151081">
      <w:pPr>
        <w:spacing w:line="360" w:lineRule="auto"/>
        <w:rPr>
          <w:rFonts w:cs="Arial"/>
        </w:rPr>
      </w:pPr>
    </w:p>
    <w:p w14:paraId="55311164" w14:textId="77777777" w:rsidR="00EE1DA1" w:rsidRDefault="00EE1DA1" w:rsidP="00151081">
      <w:pPr>
        <w:pStyle w:val="ListParagraph"/>
        <w:numPr>
          <w:ilvl w:val="0"/>
          <w:numId w:val="5"/>
        </w:numPr>
        <w:spacing w:line="360" w:lineRule="auto"/>
        <w:rPr>
          <w:rFonts w:cs="Arial"/>
        </w:rPr>
      </w:pPr>
      <w:r>
        <w:rPr>
          <w:rFonts w:cs="Arial"/>
        </w:rPr>
        <w:t>N</w:t>
      </w:r>
      <w:r w:rsidRPr="002B42EB">
        <w:rPr>
          <w:rFonts w:cs="Arial"/>
        </w:rPr>
        <w:t>oted and welcomed the overall improvement in the audit outcomes of the COGTA portfolio, particularly the maiden clean audits of the CRL Rights Commission, the Department of Traditional Affairs and the fifth consecutive clean audit of the South African Local Government Association.</w:t>
      </w:r>
    </w:p>
    <w:p w14:paraId="5675196B" w14:textId="77777777" w:rsidR="00EE1DA1" w:rsidRDefault="00EE1DA1" w:rsidP="00151081">
      <w:pPr>
        <w:pStyle w:val="ListParagraph"/>
        <w:spacing w:line="360" w:lineRule="auto"/>
        <w:rPr>
          <w:rFonts w:cs="Arial"/>
        </w:rPr>
      </w:pPr>
    </w:p>
    <w:p w14:paraId="655D13E2" w14:textId="77777777" w:rsidR="00EE1DA1" w:rsidRDefault="00EE1DA1" w:rsidP="00151081">
      <w:pPr>
        <w:pStyle w:val="ListParagraph"/>
        <w:numPr>
          <w:ilvl w:val="0"/>
          <w:numId w:val="5"/>
        </w:numPr>
        <w:spacing w:line="360" w:lineRule="auto"/>
        <w:rPr>
          <w:rFonts w:cs="Arial"/>
        </w:rPr>
      </w:pPr>
      <w:r>
        <w:rPr>
          <w:rFonts w:cs="Arial"/>
        </w:rPr>
        <w:t>Was concerned that t</w:t>
      </w:r>
      <w:r w:rsidRPr="00A26CC4">
        <w:rPr>
          <w:rFonts w:cs="Arial"/>
        </w:rPr>
        <w:t xml:space="preserve">he </w:t>
      </w:r>
      <w:r>
        <w:rPr>
          <w:rFonts w:cs="Arial"/>
        </w:rPr>
        <w:t xml:space="preserve">audit outcome of the Department of Cooperative Governance </w:t>
      </w:r>
      <w:r w:rsidRPr="00A26CC4">
        <w:rPr>
          <w:rFonts w:cs="Arial"/>
        </w:rPr>
        <w:t>regressed from unqualified to qualified.</w:t>
      </w:r>
      <w:r w:rsidRPr="00F2332D">
        <w:rPr>
          <w:rFonts w:cs="Arial"/>
        </w:rPr>
        <w:t xml:space="preserve"> </w:t>
      </w:r>
    </w:p>
    <w:p w14:paraId="3ED0A22A" w14:textId="77777777" w:rsidR="002E02DA" w:rsidRPr="002E02DA" w:rsidRDefault="002E02DA" w:rsidP="00151081">
      <w:pPr>
        <w:spacing w:line="360" w:lineRule="auto"/>
        <w:rPr>
          <w:rFonts w:cs="Arial"/>
        </w:rPr>
      </w:pPr>
    </w:p>
    <w:p w14:paraId="64E9EFA9" w14:textId="77777777" w:rsidR="00EE1DA1" w:rsidRDefault="00EE1DA1" w:rsidP="00151081">
      <w:pPr>
        <w:pStyle w:val="ListParagraph"/>
        <w:numPr>
          <w:ilvl w:val="0"/>
          <w:numId w:val="5"/>
        </w:numPr>
        <w:spacing w:line="360" w:lineRule="auto"/>
        <w:rPr>
          <w:rFonts w:cs="Arial"/>
        </w:rPr>
      </w:pPr>
      <w:r>
        <w:rPr>
          <w:rFonts w:cs="Arial"/>
        </w:rPr>
        <w:t xml:space="preserve">Noted and condemned the irregular expenditure of R329.8 million resulting from the Department of Cooperative Governance’s ineffective management and administration of the Community Work Programme.  </w:t>
      </w:r>
    </w:p>
    <w:p w14:paraId="7D9C0E64" w14:textId="77777777" w:rsidR="002E02DA" w:rsidRPr="002E02DA" w:rsidRDefault="002E02DA" w:rsidP="00151081">
      <w:pPr>
        <w:pStyle w:val="ListParagraph"/>
        <w:spacing w:line="360" w:lineRule="auto"/>
        <w:rPr>
          <w:rFonts w:cs="Arial"/>
        </w:rPr>
      </w:pPr>
    </w:p>
    <w:p w14:paraId="66E11706" w14:textId="77777777" w:rsidR="002E02DA" w:rsidRDefault="002E02DA" w:rsidP="00151081">
      <w:pPr>
        <w:pStyle w:val="ListParagraph"/>
        <w:numPr>
          <w:ilvl w:val="0"/>
          <w:numId w:val="5"/>
        </w:numPr>
        <w:spacing w:line="360" w:lineRule="auto"/>
        <w:rPr>
          <w:rFonts w:cs="Arial"/>
        </w:rPr>
      </w:pPr>
      <w:r w:rsidRPr="00151081">
        <w:rPr>
          <w:rFonts w:cs="Arial"/>
        </w:rPr>
        <w:t>Noted and was concerned that under-expenditure has increased to</w:t>
      </w:r>
      <w:r w:rsidR="00151081" w:rsidRPr="00151081">
        <w:rPr>
          <w:rFonts w:cs="Arial"/>
        </w:rPr>
        <w:t xml:space="preserve"> </w:t>
      </w:r>
      <w:r w:rsidRPr="00151081">
        <w:rPr>
          <w:rFonts w:cs="Arial"/>
        </w:rPr>
        <w:t>R3.18billion in 2016/17 owing to slower than expected expenditure on the Municipal Systems Improvement Grant, as well as the off-setting/withholding of Local Government Equitable Share funds from some municipalities that contravened legislative requirements.</w:t>
      </w:r>
      <w:r w:rsidR="00151081">
        <w:rPr>
          <w:rFonts w:cs="Arial"/>
        </w:rPr>
        <w:t xml:space="preserve"> </w:t>
      </w:r>
    </w:p>
    <w:p w14:paraId="643D3564" w14:textId="77777777" w:rsidR="00151081" w:rsidRPr="00151081" w:rsidRDefault="00151081" w:rsidP="00151081">
      <w:pPr>
        <w:pStyle w:val="ListParagraph"/>
        <w:spacing w:line="360" w:lineRule="auto"/>
        <w:rPr>
          <w:rFonts w:cs="Arial"/>
        </w:rPr>
      </w:pPr>
    </w:p>
    <w:p w14:paraId="1B3632F8" w14:textId="77777777" w:rsidR="00151081" w:rsidRPr="00151081" w:rsidRDefault="00151081" w:rsidP="00151081">
      <w:pPr>
        <w:spacing w:line="360" w:lineRule="auto"/>
        <w:rPr>
          <w:rFonts w:cs="Arial"/>
        </w:rPr>
      </w:pPr>
    </w:p>
    <w:p w14:paraId="094E0E51" w14:textId="77777777" w:rsidR="00EE1DA1" w:rsidRPr="00EE1DA1" w:rsidRDefault="00EE1DA1" w:rsidP="00151081">
      <w:pPr>
        <w:pStyle w:val="Heading1"/>
        <w:numPr>
          <w:ilvl w:val="0"/>
          <w:numId w:val="1"/>
        </w:numPr>
        <w:spacing w:line="360" w:lineRule="auto"/>
        <w:rPr>
          <w:color w:val="000000" w:themeColor="text1"/>
        </w:rPr>
      </w:pPr>
      <w:bookmarkStart w:id="46" w:name="_Toc495067598"/>
      <w:r w:rsidRPr="00EE1DA1">
        <w:rPr>
          <w:color w:val="000000" w:themeColor="text1"/>
        </w:rPr>
        <w:t>TAble of committee’s reporting requests</w:t>
      </w:r>
      <w:bookmarkEnd w:id="46"/>
    </w:p>
    <w:p w14:paraId="1287F213" w14:textId="77777777" w:rsidR="00EE1DA1" w:rsidRDefault="00EE1DA1" w:rsidP="00151081">
      <w:pPr>
        <w:spacing w:line="360" w:lineRule="auto"/>
      </w:pPr>
    </w:p>
    <w:tbl>
      <w:tblPr>
        <w:tblStyle w:val="TableGrid"/>
        <w:tblW w:w="5000" w:type="pct"/>
        <w:tblLook w:val="04A0" w:firstRow="1" w:lastRow="0" w:firstColumn="1" w:lastColumn="0" w:noHBand="0" w:noVBand="1"/>
      </w:tblPr>
      <w:tblGrid>
        <w:gridCol w:w="3562"/>
        <w:gridCol w:w="3299"/>
        <w:gridCol w:w="2381"/>
      </w:tblGrid>
      <w:tr w:rsidR="00EE1DA1" w14:paraId="7357B4BF" w14:textId="77777777" w:rsidTr="00133C3A">
        <w:tc>
          <w:tcPr>
            <w:tcW w:w="1927" w:type="pct"/>
          </w:tcPr>
          <w:p w14:paraId="045E82AC" w14:textId="77777777" w:rsidR="00EE1DA1" w:rsidRPr="00A05B1E" w:rsidRDefault="00EE1DA1" w:rsidP="00151081">
            <w:pPr>
              <w:spacing w:line="360" w:lineRule="auto"/>
              <w:rPr>
                <w:b/>
              </w:rPr>
            </w:pPr>
            <w:r>
              <w:rPr>
                <w:b/>
              </w:rPr>
              <w:t>Reporting matter</w:t>
            </w:r>
          </w:p>
        </w:tc>
        <w:tc>
          <w:tcPr>
            <w:tcW w:w="1785" w:type="pct"/>
          </w:tcPr>
          <w:p w14:paraId="38C7A3B4" w14:textId="77777777" w:rsidR="00EE1DA1" w:rsidRPr="00A05B1E" w:rsidRDefault="00EE1DA1" w:rsidP="00151081">
            <w:pPr>
              <w:spacing w:line="360" w:lineRule="auto"/>
              <w:rPr>
                <w:b/>
              </w:rPr>
            </w:pPr>
            <w:r>
              <w:rPr>
                <w:b/>
              </w:rPr>
              <w:t>Action required</w:t>
            </w:r>
          </w:p>
        </w:tc>
        <w:tc>
          <w:tcPr>
            <w:tcW w:w="1288" w:type="pct"/>
          </w:tcPr>
          <w:p w14:paraId="5DDFF21A" w14:textId="77777777" w:rsidR="00EE1DA1" w:rsidRPr="00A05B1E" w:rsidRDefault="00EE1DA1" w:rsidP="00151081">
            <w:pPr>
              <w:spacing w:line="360" w:lineRule="auto"/>
              <w:rPr>
                <w:b/>
              </w:rPr>
            </w:pPr>
            <w:r>
              <w:rPr>
                <w:b/>
              </w:rPr>
              <w:t>Timeframe</w:t>
            </w:r>
          </w:p>
        </w:tc>
      </w:tr>
      <w:tr w:rsidR="00EE1DA1" w14:paraId="1A0903A5" w14:textId="77777777" w:rsidTr="00133C3A">
        <w:tc>
          <w:tcPr>
            <w:tcW w:w="1927" w:type="pct"/>
          </w:tcPr>
          <w:p w14:paraId="06BDF369" w14:textId="77777777" w:rsidR="00EE1DA1" w:rsidRDefault="00EE1DA1" w:rsidP="00151081">
            <w:pPr>
              <w:spacing w:line="360" w:lineRule="auto"/>
            </w:pPr>
            <w:r>
              <w:t>List of projects that MISA is dealing with currently, as well as the amounts allocated to these projects</w:t>
            </w:r>
          </w:p>
        </w:tc>
        <w:tc>
          <w:tcPr>
            <w:tcW w:w="1785" w:type="pct"/>
          </w:tcPr>
          <w:p w14:paraId="402FA589" w14:textId="77777777" w:rsidR="00EE1DA1" w:rsidRDefault="00EE1DA1" w:rsidP="00151081">
            <w:pPr>
              <w:spacing w:line="360" w:lineRule="auto"/>
            </w:pPr>
            <w:r>
              <w:t xml:space="preserve">MISA to supply the Committee with the required list of projects </w:t>
            </w:r>
          </w:p>
        </w:tc>
        <w:tc>
          <w:tcPr>
            <w:tcW w:w="1288" w:type="pct"/>
          </w:tcPr>
          <w:p w14:paraId="7EEE60EB" w14:textId="77777777" w:rsidR="00EE1DA1" w:rsidRDefault="00EE1DA1" w:rsidP="00151081">
            <w:pPr>
              <w:spacing w:line="360" w:lineRule="auto"/>
            </w:pPr>
            <w:r>
              <w:t>November 2017</w:t>
            </w:r>
          </w:p>
        </w:tc>
      </w:tr>
      <w:tr w:rsidR="002E02DA" w14:paraId="2E493AC3" w14:textId="77777777" w:rsidTr="00151081">
        <w:tc>
          <w:tcPr>
            <w:tcW w:w="1927" w:type="pct"/>
            <w:shd w:val="clear" w:color="auto" w:fill="auto"/>
          </w:tcPr>
          <w:p w14:paraId="66DD968C" w14:textId="77777777" w:rsidR="002E02DA" w:rsidRPr="00151081" w:rsidRDefault="002E02DA" w:rsidP="00151081">
            <w:pPr>
              <w:spacing w:line="360" w:lineRule="auto"/>
            </w:pPr>
            <w:r w:rsidRPr="00151081">
              <w:t xml:space="preserve">Quarterly reports on the financial performance of municipalities </w:t>
            </w:r>
          </w:p>
        </w:tc>
        <w:tc>
          <w:tcPr>
            <w:tcW w:w="1785" w:type="pct"/>
            <w:shd w:val="clear" w:color="auto" w:fill="auto"/>
          </w:tcPr>
          <w:p w14:paraId="5DE56F3F" w14:textId="77777777" w:rsidR="002E02DA" w:rsidRPr="00151081" w:rsidRDefault="002E02DA" w:rsidP="00151081">
            <w:pPr>
              <w:spacing w:line="360" w:lineRule="auto"/>
            </w:pPr>
            <w:r w:rsidRPr="00151081">
              <w:t xml:space="preserve">National Treasury to supply the Committee with quarterly reports (Section 71 Reports) on the financial performance of municipalities </w:t>
            </w:r>
          </w:p>
        </w:tc>
        <w:tc>
          <w:tcPr>
            <w:tcW w:w="1288" w:type="pct"/>
            <w:shd w:val="clear" w:color="auto" w:fill="auto"/>
          </w:tcPr>
          <w:p w14:paraId="45E99D6D" w14:textId="77777777" w:rsidR="002E02DA" w:rsidRPr="00151081" w:rsidRDefault="002E02DA" w:rsidP="00151081">
            <w:pPr>
              <w:spacing w:line="360" w:lineRule="auto"/>
            </w:pPr>
            <w:r w:rsidRPr="00151081">
              <w:t xml:space="preserve">Quarterly </w:t>
            </w:r>
          </w:p>
        </w:tc>
      </w:tr>
    </w:tbl>
    <w:p w14:paraId="4A600E5A" w14:textId="77777777" w:rsidR="00EE1DA1" w:rsidRPr="009E0C94" w:rsidRDefault="00EE1DA1" w:rsidP="00151081">
      <w:pPr>
        <w:spacing w:line="360" w:lineRule="auto"/>
      </w:pPr>
    </w:p>
    <w:p w14:paraId="62135F6C" w14:textId="77777777" w:rsidR="00EE1DA1" w:rsidRDefault="00EE1DA1" w:rsidP="00151081">
      <w:pPr>
        <w:pStyle w:val="Heading1"/>
        <w:numPr>
          <w:ilvl w:val="0"/>
          <w:numId w:val="1"/>
        </w:numPr>
        <w:spacing w:line="360" w:lineRule="auto"/>
      </w:pPr>
      <w:bookmarkStart w:id="47" w:name="_Toc495067599"/>
      <w:r w:rsidRPr="00EE1DA1">
        <w:rPr>
          <w:color w:val="000000" w:themeColor="text1"/>
        </w:rPr>
        <w:t>Recommendations</w:t>
      </w:r>
      <w:bookmarkEnd w:id="47"/>
      <w:r w:rsidRPr="00552BA8">
        <w:t xml:space="preserve"> </w:t>
      </w:r>
    </w:p>
    <w:p w14:paraId="1C408C13" w14:textId="77777777" w:rsidR="00EE1DA1" w:rsidRDefault="00EE1DA1" w:rsidP="00151081">
      <w:pPr>
        <w:spacing w:line="360" w:lineRule="auto"/>
      </w:pPr>
    </w:p>
    <w:p w14:paraId="734A8692" w14:textId="77777777" w:rsidR="00EE1DA1" w:rsidRDefault="00EE1DA1" w:rsidP="00151081">
      <w:pPr>
        <w:pStyle w:val="ListParagraph"/>
        <w:numPr>
          <w:ilvl w:val="1"/>
          <w:numId w:val="22"/>
        </w:numPr>
        <w:spacing w:line="360" w:lineRule="auto"/>
      </w:pPr>
      <w:r>
        <w:t>MISA must table its Annual Report on time, in accordance with legislation.</w:t>
      </w:r>
    </w:p>
    <w:p w14:paraId="0D198ECC" w14:textId="77777777" w:rsidR="00EE1DA1" w:rsidRPr="00963FA3" w:rsidRDefault="00EE1DA1" w:rsidP="00151081">
      <w:pPr>
        <w:pStyle w:val="ListParagraph"/>
        <w:numPr>
          <w:ilvl w:val="1"/>
          <w:numId w:val="22"/>
        </w:numPr>
        <w:spacing w:line="360" w:lineRule="auto"/>
      </w:pPr>
      <w:r w:rsidRPr="0028633C">
        <w:rPr>
          <w:rFonts w:cs="Arial"/>
        </w:rPr>
        <w:t>The Department and its entities must heed and act on the Committee’s recommendations of the previous financial year, particularly in respect of:</w:t>
      </w:r>
    </w:p>
    <w:p w14:paraId="2887D00C" w14:textId="77777777" w:rsidR="00EE1DA1" w:rsidRPr="00963FA3" w:rsidRDefault="00EE1DA1" w:rsidP="00151081">
      <w:pPr>
        <w:pStyle w:val="ListParagraph"/>
        <w:spacing w:line="360" w:lineRule="auto"/>
      </w:pPr>
    </w:p>
    <w:p w14:paraId="7D452F14" w14:textId="77777777" w:rsidR="00EE1DA1" w:rsidRPr="0028633C" w:rsidRDefault="00EE1DA1" w:rsidP="00151081">
      <w:pPr>
        <w:pStyle w:val="ListParagraph"/>
        <w:numPr>
          <w:ilvl w:val="0"/>
          <w:numId w:val="23"/>
        </w:numPr>
        <w:spacing w:line="360" w:lineRule="auto"/>
        <w:rPr>
          <w:rFonts w:cs="Arial"/>
        </w:rPr>
      </w:pPr>
      <w:r w:rsidRPr="0028633C">
        <w:rPr>
          <w:rFonts w:cs="Arial"/>
        </w:rPr>
        <w:t>Reducing irregular expenditure and ensuring that there is no unauthorised, fruitless and wasteful expenditure incurred.</w:t>
      </w:r>
    </w:p>
    <w:p w14:paraId="622C007C" w14:textId="77777777" w:rsidR="00EE1DA1" w:rsidRPr="00963FA3" w:rsidRDefault="00EE1DA1" w:rsidP="00151081">
      <w:pPr>
        <w:pStyle w:val="ListParagraph"/>
        <w:numPr>
          <w:ilvl w:val="0"/>
          <w:numId w:val="23"/>
        </w:numPr>
        <w:spacing w:line="360" w:lineRule="auto"/>
      </w:pPr>
      <w:r w:rsidRPr="0028633C">
        <w:rPr>
          <w:rFonts w:cs="Arial"/>
        </w:rPr>
        <w:t>Ensuring that all municipalities enforce competency standards for Managers and appoint persons with the requisite skills, expertise and qualifications, and that the Department takes corrective measures in instances where municipalities contravene the Systems Act and its regulations.</w:t>
      </w:r>
    </w:p>
    <w:p w14:paraId="4D1B7661" w14:textId="77777777" w:rsidR="00EE1DA1" w:rsidRPr="0028633C" w:rsidRDefault="00EE1DA1" w:rsidP="00151081">
      <w:pPr>
        <w:pStyle w:val="ListParagraph"/>
        <w:numPr>
          <w:ilvl w:val="0"/>
          <w:numId w:val="23"/>
        </w:numPr>
        <w:spacing w:line="360" w:lineRule="auto"/>
      </w:pPr>
      <w:r w:rsidRPr="0028633C">
        <w:rPr>
          <w:rFonts w:cs="Arial"/>
        </w:rPr>
        <w:t>Improving the management of contracts signed with implementing agents of CWP and maintaining an assets register that adheres to the minimum requirements for assets registers as prescribed by National Treasury.</w:t>
      </w:r>
    </w:p>
    <w:p w14:paraId="31993F35" w14:textId="77777777" w:rsidR="0028633C" w:rsidRPr="00151081" w:rsidRDefault="0028633C" w:rsidP="00151081">
      <w:pPr>
        <w:pStyle w:val="ListParagraph"/>
        <w:numPr>
          <w:ilvl w:val="1"/>
          <w:numId w:val="22"/>
        </w:numPr>
        <w:spacing w:line="360" w:lineRule="auto"/>
      </w:pPr>
      <w:r w:rsidRPr="00151081">
        <w:t>The Committee must ensure greater oversight over the spending of conditional grants including examination of quarterly performances reports.</w:t>
      </w:r>
    </w:p>
    <w:p w14:paraId="5F1A912B" w14:textId="77777777" w:rsidR="0028633C" w:rsidRPr="00151081" w:rsidRDefault="0028633C" w:rsidP="00151081">
      <w:pPr>
        <w:pStyle w:val="ListParagraph"/>
        <w:numPr>
          <w:ilvl w:val="1"/>
          <w:numId w:val="22"/>
        </w:numPr>
        <w:spacing w:line="360" w:lineRule="auto"/>
      </w:pPr>
      <w:r w:rsidRPr="00151081">
        <w:t>Where a municipality is in serious or persistent breach of its service delivery or financial performance obligations, the Committee must assist to ensure timely provincial executive intervention in terms of s139(5) of the Constitution.</w:t>
      </w:r>
    </w:p>
    <w:p w14:paraId="19401250" w14:textId="77777777" w:rsidR="0028633C" w:rsidRPr="00151081" w:rsidRDefault="0028633C" w:rsidP="00151081">
      <w:pPr>
        <w:pStyle w:val="ListParagraph"/>
        <w:numPr>
          <w:ilvl w:val="1"/>
          <w:numId w:val="22"/>
        </w:numPr>
        <w:spacing w:line="360" w:lineRule="auto"/>
      </w:pPr>
      <w:r w:rsidRPr="00151081">
        <w:t>The committee must engage the Minister of Cooperative Governance and Traditional</w:t>
      </w:r>
      <w:r w:rsidR="00151081">
        <w:t xml:space="preserve"> </w:t>
      </w:r>
      <w:r w:rsidRPr="00151081">
        <w:t>Affairs to make funds available to enable the CRL Right Commission to convene National Consultative Conferences in compliance with the CRL Rights Act of 2002.</w:t>
      </w:r>
    </w:p>
    <w:p w14:paraId="4A0B4BEC" w14:textId="77777777" w:rsidR="0028633C" w:rsidRPr="00151081" w:rsidRDefault="000C6463" w:rsidP="00151081">
      <w:pPr>
        <w:pStyle w:val="ListParagraph"/>
        <w:numPr>
          <w:ilvl w:val="1"/>
          <w:numId w:val="22"/>
        </w:numPr>
        <w:spacing w:line="360" w:lineRule="auto"/>
      </w:pPr>
      <w:r w:rsidRPr="00151081">
        <w:t>The Committee needs to explore the possibility of a mechanism to ensure that the Municipal Demarcation Board meaning fully considers the views of stakeholders on proposed amalgamations, especially National Treasury’s recommendations.</w:t>
      </w:r>
    </w:p>
    <w:p w14:paraId="2E6C73CD" w14:textId="77777777" w:rsidR="00EE1DA1" w:rsidRPr="00EE1DA1" w:rsidRDefault="00EE1DA1" w:rsidP="00151081">
      <w:pPr>
        <w:pStyle w:val="Heading1"/>
        <w:numPr>
          <w:ilvl w:val="0"/>
          <w:numId w:val="1"/>
        </w:numPr>
        <w:spacing w:line="360" w:lineRule="auto"/>
        <w:rPr>
          <w:color w:val="000000" w:themeColor="text1"/>
        </w:rPr>
      </w:pPr>
      <w:bookmarkStart w:id="48" w:name="_Toc495067600"/>
      <w:r w:rsidRPr="00EE1DA1">
        <w:rPr>
          <w:color w:val="000000" w:themeColor="text1"/>
        </w:rPr>
        <w:t>appreciation</w:t>
      </w:r>
      <w:bookmarkEnd w:id="48"/>
    </w:p>
    <w:p w14:paraId="11A35BDD" w14:textId="77777777" w:rsidR="00EE1DA1" w:rsidRPr="00893EE9" w:rsidRDefault="00EE1DA1" w:rsidP="00151081">
      <w:pPr>
        <w:spacing w:line="360" w:lineRule="auto"/>
        <w:rPr>
          <w:rFonts w:cs="Arial"/>
        </w:rPr>
      </w:pPr>
    </w:p>
    <w:p w14:paraId="4307DF56" w14:textId="77777777" w:rsidR="00EE1DA1" w:rsidRPr="0095482B" w:rsidRDefault="00EE1DA1" w:rsidP="00151081">
      <w:pPr>
        <w:spacing w:line="360" w:lineRule="auto"/>
        <w:rPr>
          <w:rFonts w:cs="Arial"/>
        </w:rPr>
      </w:pPr>
      <w:r w:rsidRPr="0095482B">
        <w:rPr>
          <w:rFonts w:cs="Arial"/>
        </w:rPr>
        <w:t>The Committee wishes to thank the Department of Cooperative Governance and Traditional Affairs,</w:t>
      </w:r>
      <w:r>
        <w:rPr>
          <w:rFonts w:cs="Arial"/>
        </w:rPr>
        <w:t xml:space="preserve"> CRL Rights Commission, Auditor-</w:t>
      </w:r>
      <w:r w:rsidRPr="0095482B">
        <w:rPr>
          <w:rFonts w:cs="Arial"/>
        </w:rPr>
        <w:t xml:space="preserve">General South Africa, SALGA, Municipal Demarcation Board, MISA and the Disaster Management Centre for their fruitful, cordial and constructive engagements. The contributions of Committee Members, as well as Committee support staff is highly appreciated. </w:t>
      </w:r>
    </w:p>
    <w:p w14:paraId="200FCCF9" w14:textId="77777777" w:rsidR="00EE1DA1" w:rsidRDefault="00EE1DA1" w:rsidP="00151081">
      <w:pPr>
        <w:spacing w:line="360" w:lineRule="auto"/>
        <w:rPr>
          <w:rFonts w:cs="Arial"/>
        </w:rPr>
      </w:pPr>
    </w:p>
    <w:p w14:paraId="1937210F" w14:textId="77777777" w:rsidR="00EE1DA1" w:rsidRPr="00AD0854" w:rsidRDefault="00EE1DA1" w:rsidP="00151081">
      <w:pPr>
        <w:spacing w:line="360" w:lineRule="auto"/>
        <w:rPr>
          <w:rFonts w:cs="Arial"/>
          <w:b/>
        </w:rPr>
      </w:pPr>
      <w:r>
        <w:rPr>
          <w:rFonts w:cs="Arial"/>
          <w:b/>
        </w:rPr>
        <w:t>R</w:t>
      </w:r>
      <w:r w:rsidR="00151081">
        <w:rPr>
          <w:rFonts w:cs="Arial"/>
          <w:b/>
        </w:rPr>
        <w:t xml:space="preserve">eport to be considered </w:t>
      </w:r>
    </w:p>
    <w:p w14:paraId="72FC038E" w14:textId="77777777" w:rsidR="00EE1DA1" w:rsidRPr="00893EE9" w:rsidRDefault="00EE1DA1" w:rsidP="00151081">
      <w:pPr>
        <w:spacing w:line="360" w:lineRule="auto"/>
        <w:rPr>
          <w:rFonts w:cs="Arial"/>
        </w:rPr>
      </w:pPr>
    </w:p>
    <w:p w14:paraId="492146E3" w14:textId="77777777" w:rsidR="00BC738F" w:rsidRDefault="005A14F9" w:rsidP="00151081">
      <w:pPr>
        <w:spacing w:line="360" w:lineRule="auto"/>
      </w:pPr>
    </w:p>
    <w:sectPr w:rsidR="00BC738F" w:rsidSect="009D219C">
      <w:footerReference w:type="default" r:id="rId10"/>
      <w:headerReference w:type="first" r:id="rId11"/>
      <w:footerReference w:type="first" r:id="rId12"/>
      <w:pgSz w:w="11906" w:h="16838"/>
      <w:pgMar w:top="199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37DD" w14:textId="77777777" w:rsidR="001B09BF" w:rsidRDefault="001B09BF" w:rsidP="00EE1DA1">
      <w:pPr>
        <w:spacing w:line="240" w:lineRule="auto"/>
      </w:pPr>
      <w:r>
        <w:separator/>
      </w:r>
    </w:p>
  </w:endnote>
  <w:endnote w:type="continuationSeparator" w:id="0">
    <w:p w14:paraId="663B5B55" w14:textId="77777777" w:rsidR="001B09BF" w:rsidRDefault="001B09BF" w:rsidP="00EE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03619"/>
      <w:docPartObj>
        <w:docPartGallery w:val="Page Numbers (Bottom of Page)"/>
        <w:docPartUnique/>
      </w:docPartObj>
    </w:sdtPr>
    <w:sdtEndPr>
      <w:rPr>
        <w:noProof/>
      </w:rPr>
    </w:sdtEndPr>
    <w:sdtContent>
      <w:p w14:paraId="3D2222C4" w14:textId="23E54894" w:rsidR="009D219C" w:rsidRDefault="009D219C">
        <w:pPr>
          <w:pStyle w:val="Footer"/>
          <w:jc w:val="right"/>
        </w:pPr>
        <w:r>
          <w:fldChar w:fldCharType="begin"/>
        </w:r>
        <w:r>
          <w:instrText xml:space="preserve"> PAGE   \* MERGEFORMAT </w:instrText>
        </w:r>
        <w:r>
          <w:fldChar w:fldCharType="separate"/>
        </w:r>
        <w:r w:rsidR="005A14F9">
          <w:rPr>
            <w:noProof/>
          </w:rPr>
          <w:t>1</w:t>
        </w:r>
        <w:r>
          <w:rPr>
            <w:noProof/>
          </w:rPr>
          <w:fldChar w:fldCharType="end"/>
        </w:r>
      </w:p>
    </w:sdtContent>
  </w:sdt>
  <w:p w14:paraId="619C7C7D" w14:textId="77777777" w:rsidR="009D219C" w:rsidRDefault="009D2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83611"/>
      <w:docPartObj>
        <w:docPartGallery w:val="Page Numbers (Bottom of Page)"/>
        <w:docPartUnique/>
      </w:docPartObj>
    </w:sdtPr>
    <w:sdtEndPr>
      <w:rPr>
        <w:noProof/>
      </w:rPr>
    </w:sdtEndPr>
    <w:sdtContent>
      <w:p w14:paraId="74148D9C" w14:textId="77777777" w:rsidR="009D219C" w:rsidRDefault="009D21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897F59" w14:textId="77777777" w:rsidR="009D219C" w:rsidRDefault="009D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C1A8" w14:textId="77777777" w:rsidR="001B09BF" w:rsidRDefault="001B09BF" w:rsidP="00EE1DA1">
      <w:pPr>
        <w:spacing w:line="240" w:lineRule="auto"/>
      </w:pPr>
      <w:r>
        <w:separator/>
      </w:r>
    </w:p>
  </w:footnote>
  <w:footnote w:type="continuationSeparator" w:id="0">
    <w:p w14:paraId="21C5D057" w14:textId="77777777" w:rsidR="001B09BF" w:rsidRDefault="001B09BF" w:rsidP="00EE1D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9E6C" w14:textId="77777777" w:rsidR="000E3BA1" w:rsidRDefault="00E27D2B">
    <w:pPr>
      <w:pStyle w:val="Header"/>
    </w:pPr>
    <w:r>
      <w:rPr>
        <w:noProof/>
        <w:lang w:eastAsia="en-ZA"/>
      </w:rPr>
      <w:drawing>
        <wp:anchor distT="0" distB="0" distL="114300" distR="114300" simplePos="0" relativeHeight="251659264" behindDoc="0" locked="0" layoutInCell="1" allowOverlap="1" wp14:anchorId="2A73BF17" wp14:editId="35768E27">
          <wp:simplePos x="0" y="0"/>
          <wp:positionH relativeFrom="margin">
            <wp:posOffset>-82388</wp:posOffset>
          </wp:positionH>
          <wp:positionV relativeFrom="page">
            <wp:posOffset>411480</wp:posOffset>
          </wp:positionV>
          <wp:extent cx="2543810" cy="824230"/>
          <wp:effectExtent l="0" t="0" r="889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1312" behindDoc="1" locked="0" layoutInCell="1" allowOverlap="1" wp14:anchorId="20383BDF" wp14:editId="285D9B5A">
          <wp:simplePos x="0" y="0"/>
          <wp:positionH relativeFrom="margin">
            <wp:posOffset>3557743</wp:posOffset>
          </wp:positionH>
          <wp:positionV relativeFrom="page">
            <wp:posOffset>560070</wp:posOffset>
          </wp:positionV>
          <wp:extent cx="2279650" cy="611505"/>
          <wp:effectExtent l="0" t="0" r="6350" b="0"/>
          <wp:wrapSquare wrapText="bothSides"/>
          <wp:docPr id="7" name="Picture 7"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36"/>
    <w:multiLevelType w:val="hybridMultilevel"/>
    <w:tmpl w:val="6E567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BA7D17"/>
    <w:multiLevelType w:val="multilevel"/>
    <w:tmpl w:val="448877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AD52B1"/>
    <w:multiLevelType w:val="hybridMultilevel"/>
    <w:tmpl w:val="C5981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AE3B67"/>
    <w:multiLevelType w:val="hybridMultilevel"/>
    <w:tmpl w:val="4308E4B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4">
    <w:nsid w:val="17710C46"/>
    <w:multiLevelType w:val="hybridMultilevel"/>
    <w:tmpl w:val="1D442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2C05CA"/>
    <w:multiLevelType w:val="hybridMultilevel"/>
    <w:tmpl w:val="A55AE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435260"/>
    <w:multiLevelType w:val="hybridMultilevel"/>
    <w:tmpl w:val="062C3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E204A7"/>
    <w:multiLevelType w:val="hybridMultilevel"/>
    <w:tmpl w:val="0E24C8F4"/>
    <w:lvl w:ilvl="0" w:tplc="8F46E3DC">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D96200F"/>
    <w:multiLevelType w:val="hybridMultilevel"/>
    <w:tmpl w:val="2648F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935FB6"/>
    <w:multiLevelType w:val="hybridMultilevel"/>
    <w:tmpl w:val="2402B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E83408"/>
    <w:multiLevelType w:val="hybridMultilevel"/>
    <w:tmpl w:val="A1BC2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6A73F68"/>
    <w:multiLevelType w:val="multilevel"/>
    <w:tmpl w:val="979E1D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576C5B"/>
    <w:multiLevelType w:val="hybridMultilevel"/>
    <w:tmpl w:val="6818F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97E7F83"/>
    <w:multiLevelType w:val="hybridMultilevel"/>
    <w:tmpl w:val="CA48B79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B92956"/>
    <w:multiLevelType w:val="hybridMultilevel"/>
    <w:tmpl w:val="F1F61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B2D79A6"/>
    <w:multiLevelType w:val="hybridMultilevel"/>
    <w:tmpl w:val="6F628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C3875FE"/>
    <w:multiLevelType w:val="multilevel"/>
    <w:tmpl w:val="2F60CBDE"/>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071"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DB78ED"/>
    <w:multiLevelType w:val="hybridMultilevel"/>
    <w:tmpl w:val="E4D20964"/>
    <w:lvl w:ilvl="0" w:tplc="CFA0CA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730051"/>
    <w:multiLevelType w:val="hybridMultilevel"/>
    <w:tmpl w:val="54A25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61F5453"/>
    <w:multiLevelType w:val="hybridMultilevel"/>
    <w:tmpl w:val="5A944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AF4B0C"/>
    <w:multiLevelType w:val="hybridMultilevel"/>
    <w:tmpl w:val="877ABF56"/>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2">
    <w:nsid w:val="7B303524"/>
    <w:multiLevelType w:val="hybridMultilevel"/>
    <w:tmpl w:val="BB622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7"/>
  </w:num>
  <w:num w:numId="5">
    <w:abstractNumId w:val="8"/>
  </w:num>
  <w:num w:numId="6">
    <w:abstractNumId w:val="0"/>
  </w:num>
  <w:num w:numId="7">
    <w:abstractNumId w:val="15"/>
  </w:num>
  <w:num w:numId="8">
    <w:abstractNumId w:val="19"/>
  </w:num>
  <w:num w:numId="9">
    <w:abstractNumId w:val="5"/>
  </w:num>
  <w:num w:numId="10">
    <w:abstractNumId w:val="14"/>
  </w:num>
  <w:num w:numId="11">
    <w:abstractNumId w:val="10"/>
  </w:num>
  <w:num w:numId="12">
    <w:abstractNumId w:val="6"/>
  </w:num>
  <w:num w:numId="13">
    <w:abstractNumId w:val="13"/>
  </w:num>
  <w:num w:numId="14">
    <w:abstractNumId w:val="16"/>
  </w:num>
  <w:num w:numId="15">
    <w:abstractNumId w:val="3"/>
  </w:num>
  <w:num w:numId="16">
    <w:abstractNumId w:val="22"/>
  </w:num>
  <w:num w:numId="17">
    <w:abstractNumId w:val="20"/>
  </w:num>
  <w:num w:numId="18">
    <w:abstractNumId w:val="2"/>
  </w:num>
  <w:num w:numId="19">
    <w:abstractNumId w:val="18"/>
  </w:num>
  <w:num w:numId="20">
    <w:abstractNumId w:val="21"/>
  </w:num>
  <w:num w:numId="21">
    <w:abstractNumId w:val="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A1"/>
    <w:rsid w:val="00071988"/>
    <w:rsid w:val="000C6463"/>
    <w:rsid w:val="000E3DF5"/>
    <w:rsid w:val="00151081"/>
    <w:rsid w:val="001838FD"/>
    <w:rsid w:val="001B09BF"/>
    <w:rsid w:val="00277106"/>
    <w:rsid w:val="0028633C"/>
    <w:rsid w:val="002E02DA"/>
    <w:rsid w:val="003C7BD0"/>
    <w:rsid w:val="00416EA7"/>
    <w:rsid w:val="005A14F9"/>
    <w:rsid w:val="006B5E28"/>
    <w:rsid w:val="007E0CEE"/>
    <w:rsid w:val="00814924"/>
    <w:rsid w:val="008D56E5"/>
    <w:rsid w:val="009D219C"/>
    <w:rsid w:val="00AD305A"/>
    <w:rsid w:val="00DD238C"/>
    <w:rsid w:val="00E27D2B"/>
    <w:rsid w:val="00EC171D"/>
    <w:rsid w:val="00EE1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A1"/>
    <w:pPr>
      <w:spacing w:after="0" w:line="280" w:lineRule="exact"/>
      <w:jc w:val="both"/>
    </w:pPr>
    <w:rPr>
      <w:rFonts w:ascii="Arial" w:hAnsi="Arial"/>
    </w:rPr>
  </w:style>
  <w:style w:type="paragraph" w:styleId="Heading1">
    <w:name w:val="heading 1"/>
    <w:basedOn w:val="Normal"/>
    <w:next w:val="Normal"/>
    <w:link w:val="Heading1Char"/>
    <w:uiPriority w:val="9"/>
    <w:qFormat/>
    <w:rsid w:val="00EE1DA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EE1DA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EE1DA1"/>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EE1D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1DA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1D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1DA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1D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D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A1"/>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EE1DA1"/>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EE1DA1"/>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EE1D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1D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1D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1D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1D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DA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E1DA1"/>
    <w:pPr>
      <w:tabs>
        <w:tab w:val="center" w:pos="4513"/>
        <w:tab w:val="right" w:pos="9026"/>
      </w:tabs>
      <w:spacing w:line="240" w:lineRule="auto"/>
    </w:pPr>
  </w:style>
  <w:style w:type="character" w:customStyle="1" w:styleId="HeaderChar">
    <w:name w:val="Header Char"/>
    <w:basedOn w:val="DefaultParagraphFont"/>
    <w:link w:val="Header"/>
    <w:uiPriority w:val="99"/>
    <w:rsid w:val="00EE1DA1"/>
    <w:rPr>
      <w:rFonts w:ascii="Arial" w:hAnsi="Arial"/>
    </w:rPr>
  </w:style>
  <w:style w:type="paragraph" w:styleId="Footer">
    <w:name w:val="footer"/>
    <w:basedOn w:val="Normal"/>
    <w:link w:val="FooterChar"/>
    <w:uiPriority w:val="99"/>
    <w:unhideWhenUsed/>
    <w:rsid w:val="009D219C"/>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9D219C"/>
    <w:rPr>
      <w:rFonts w:ascii="Arial" w:hAnsi="Arial"/>
      <w:lang w:val="en-GB"/>
    </w:rPr>
  </w:style>
  <w:style w:type="paragraph" w:customStyle="1" w:styleId="ResearchTitle">
    <w:name w:val="Research Title"/>
    <w:basedOn w:val="Normal"/>
    <w:link w:val="ResearchTitleChar"/>
    <w:rsid w:val="00EE1DA1"/>
    <w:rPr>
      <w:b/>
      <w:caps/>
      <w:color w:val="538135" w:themeColor="accent6" w:themeShade="BF"/>
      <w:sz w:val="24"/>
    </w:rPr>
  </w:style>
  <w:style w:type="paragraph" w:customStyle="1" w:styleId="ReseachMainHeading">
    <w:name w:val="Reseach Main Heading"/>
    <w:basedOn w:val="ResearchTitle"/>
    <w:link w:val="ReseachMainHeadingChar"/>
    <w:rsid w:val="00EE1DA1"/>
  </w:style>
  <w:style w:type="character" w:customStyle="1" w:styleId="ResearchTitleChar">
    <w:name w:val="Research Title Char"/>
    <w:basedOn w:val="DefaultParagraphFont"/>
    <w:link w:val="ResearchTitle"/>
    <w:rsid w:val="00EE1DA1"/>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EE1DA1"/>
    <w:rPr>
      <w:b w:val="0"/>
      <w:caps w:val="0"/>
    </w:rPr>
  </w:style>
  <w:style w:type="character" w:customStyle="1" w:styleId="ReseachMainHeadingChar">
    <w:name w:val="Reseach Main Heading Char"/>
    <w:basedOn w:val="ResearchTitleChar"/>
    <w:link w:val="ReseachMainHeading"/>
    <w:rsid w:val="00EE1DA1"/>
    <w:rPr>
      <w:rFonts w:ascii="Arial" w:hAnsi="Arial"/>
      <w:b/>
      <w:caps/>
      <w:color w:val="538135" w:themeColor="accent6" w:themeShade="BF"/>
      <w:sz w:val="24"/>
    </w:rPr>
  </w:style>
  <w:style w:type="character" w:customStyle="1" w:styleId="ResearchSubheadingChar">
    <w:name w:val="Research Sub heading Char"/>
    <w:basedOn w:val="ReseachMainHeadingChar"/>
    <w:link w:val="ResearchSubheading"/>
    <w:rsid w:val="00EE1DA1"/>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EE1DA1"/>
    <w:pPr>
      <w:outlineLvl w:val="9"/>
    </w:pPr>
    <w:rPr>
      <w:caps w:val="0"/>
      <w:color w:val="000000" w:themeColor="text1"/>
      <w:lang w:val="en-US"/>
    </w:rPr>
  </w:style>
  <w:style w:type="paragraph" w:styleId="TOC1">
    <w:name w:val="toc 1"/>
    <w:basedOn w:val="Normal"/>
    <w:next w:val="Normal"/>
    <w:autoRedefine/>
    <w:uiPriority w:val="39"/>
    <w:unhideWhenUsed/>
    <w:qFormat/>
    <w:rsid w:val="00AD305A"/>
    <w:pPr>
      <w:spacing w:after="100" w:line="360" w:lineRule="auto"/>
      <w:ind w:left="450" w:hanging="450"/>
    </w:pPr>
    <w:rPr>
      <w:b/>
      <w:caps/>
      <w:color w:val="000000" w:themeColor="text1"/>
      <w:sz w:val="24"/>
    </w:rPr>
  </w:style>
  <w:style w:type="character" w:styleId="Hyperlink">
    <w:name w:val="Hyperlink"/>
    <w:basedOn w:val="DefaultParagraphFont"/>
    <w:uiPriority w:val="99"/>
    <w:unhideWhenUsed/>
    <w:rsid w:val="00EE1DA1"/>
    <w:rPr>
      <w:color w:val="0563C1" w:themeColor="hyperlink"/>
      <w:u w:val="single"/>
    </w:rPr>
  </w:style>
  <w:style w:type="paragraph" w:styleId="ListParagraph">
    <w:name w:val="List Paragraph"/>
    <w:basedOn w:val="Normal"/>
    <w:link w:val="ListParagraphChar"/>
    <w:uiPriority w:val="34"/>
    <w:qFormat/>
    <w:rsid w:val="00EE1DA1"/>
    <w:pPr>
      <w:ind w:left="720"/>
      <w:contextualSpacing/>
    </w:pPr>
  </w:style>
  <w:style w:type="paragraph" w:styleId="TOC2">
    <w:name w:val="toc 2"/>
    <w:basedOn w:val="Normal"/>
    <w:next w:val="Normal"/>
    <w:autoRedefine/>
    <w:uiPriority w:val="39"/>
    <w:unhideWhenUsed/>
    <w:rsid w:val="00EE1DA1"/>
    <w:pPr>
      <w:spacing w:after="100"/>
      <w:ind w:left="220"/>
    </w:pPr>
  </w:style>
  <w:style w:type="paragraph" w:styleId="TOC3">
    <w:name w:val="toc 3"/>
    <w:basedOn w:val="Normal"/>
    <w:next w:val="Normal"/>
    <w:autoRedefine/>
    <w:uiPriority w:val="39"/>
    <w:unhideWhenUsed/>
    <w:rsid w:val="00EE1DA1"/>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EE1DA1"/>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EE1DA1"/>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EE1D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1DA1"/>
    <w:rPr>
      <w:rFonts w:ascii="Arial" w:eastAsiaTheme="minorEastAsia" w:hAnsi="Arial"/>
      <w:color w:val="5A5A5A" w:themeColor="text1" w:themeTint="A5"/>
      <w:spacing w:val="15"/>
    </w:rPr>
  </w:style>
  <w:style w:type="table" w:styleId="TableGrid">
    <w:name w:val="Table Grid"/>
    <w:basedOn w:val="TableNormal"/>
    <w:uiPriority w:val="39"/>
    <w:rsid w:val="00EE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E1DA1"/>
    <w:pPr>
      <w:numPr>
        <w:numId w:val="2"/>
      </w:numPr>
    </w:pPr>
  </w:style>
  <w:style w:type="paragraph" w:styleId="CommentText">
    <w:name w:val="annotation text"/>
    <w:basedOn w:val="Normal"/>
    <w:link w:val="CommentTextChar"/>
    <w:semiHidden/>
    <w:rsid w:val="00EE1DA1"/>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EE1DA1"/>
    <w:rPr>
      <w:rFonts w:ascii="Arial" w:eastAsia="Times New Roman" w:hAnsi="Arial" w:cs="Times New Roman"/>
      <w:color w:val="000000"/>
      <w:sz w:val="20"/>
      <w:szCs w:val="20"/>
      <w:lang w:val="en-GB" w:eastAsia="en-GB"/>
    </w:rPr>
  </w:style>
  <w:style w:type="paragraph" w:customStyle="1" w:styleId="Style2">
    <w:name w:val="Style2"/>
    <w:basedOn w:val="FootnoteText"/>
    <w:link w:val="Style2Char"/>
    <w:qFormat/>
    <w:rsid w:val="00EE1DA1"/>
  </w:style>
  <w:style w:type="character" w:customStyle="1" w:styleId="Style2Char">
    <w:name w:val="Style2 Char"/>
    <w:basedOn w:val="FootnoteTextChar"/>
    <w:link w:val="Style2"/>
    <w:rsid w:val="00EE1DA1"/>
    <w:rPr>
      <w:rFonts w:ascii="Arial" w:hAnsi="Arial"/>
      <w:sz w:val="18"/>
      <w:szCs w:val="20"/>
    </w:rPr>
  </w:style>
  <w:style w:type="paragraph" w:styleId="FootnoteText">
    <w:name w:val="footnote text"/>
    <w:basedOn w:val="Normal"/>
    <w:link w:val="FootnoteTextChar"/>
    <w:autoRedefine/>
    <w:uiPriority w:val="99"/>
    <w:semiHidden/>
    <w:unhideWhenUsed/>
    <w:rsid w:val="00EE1DA1"/>
    <w:pPr>
      <w:spacing w:line="240" w:lineRule="auto"/>
    </w:pPr>
    <w:rPr>
      <w:sz w:val="18"/>
      <w:szCs w:val="20"/>
    </w:rPr>
  </w:style>
  <w:style w:type="character" w:customStyle="1" w:styleId="FootnoteTextChar">
    <w:name w:val="Footnote Text Char"/>
    <w:basedOn w:val="DefaultParagraphFont"/>
    <w:link w:val="FootnoteText"/>
    <w:uiPriority w:val="99"/>
    <w:semiHidden/>
    <w:rsid w:val="00EE1DA1"/>
    <w:rPr>
      <w:rFonts w:ascii="Arial" w:hAnsi="Arial"/>
      <w:sz w:val="18"/>
      <w:szCs w:val="20"/>
    </w:rPr>
  </w:style>
  <w:style w:type="character" w:customStyle="1" w:styleId="ListParagraphChar">
    <w:name w:val="List Paragraph Char"/>
    <w:link w:val="ListParagraph"/>
    <w:uiPriority w:val="34"/>
    <w:rsid w:val="00EE1DA1"/>
    <w:rPr>
      <w:rFonts w:ascii="Arial" w:hAnsi="Arial"/>
    </w:rPr>
  </w:style>
  <w:style w:type="paragraph" w:styleId="BalloonText">
    <w:name w:val="Balloon Text"/>
    <w:basedOn w:val="Normal"/>
    <w:link w:val="BalloonTextChar"/>
    <w:uiPriority w:val="99"/>
    <w:semiHidden/>
    <w:unhideWhenUsed/>
    <w:rsid w:val="006B5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A1"/>
    <w:pPr>
      <w:spacing w:after="0" w:line="280" w:lineRule="exact"/>
      <w:jc w:val="both"/>
    </w:pPr>
    <w:rPr>
      <w:rFonts w:ascii="Arial" w:hAnsi="Arial"/>
    </w:rPr>
  </w:style>
  <w:style w:type="paragraph" w:styleId="Heading1">
    <w:name w:val="heading 1"/>
    <w:basedOn w:val="Normal"/>
    <w:next w:val="Normal"/>
    <w:link w:val="Heading1Char"/>
    <w:uiPriority w:val="9"/>
    <w:qFormat/>
    <w:rsid w:val="00EE1DA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EE1DA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EE1DA1"/>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EE1D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1DA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1D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1DA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1D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D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A1"/>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EE1DA1"/>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EE1DA1"/>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EE1D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1D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1D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1D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1D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DA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E1DA1"/>
    <w:pPr>
      <w:tabs>
        <w:tab w:val="center" w:pos="4513"/>
        <w:tab w:val="right" w:pos="9026"/>
      </w:tabs>
      <w:spacing w:line="240" w:lineRule="auto"/>
    </w:pPr>
  </w:style>
  <w:style w:type="character" w:customStyle="1" w:styleId="HeaderChar">
    <w:name w:val="Header Char"/>
    <w:basedOn w:val="DefaultParagraphFont"/>
    <w:link w:val="Header"/>
    <w:uiPriority w:val="99"/>
    <w:rsid w:val="00EE1DA1"/>
    <w:rPr>
      <w:rFonts w:ascii="Arial" w:hAnsi="Arial"/>
    </w:rPr>
  </w:style>
  <w:style w:type="paragraph" w:styleId="Footer">
    <w:name w:val="footer"/>
    <w:basedOn w:val="Normal"/>
    <w:link w:val="FooterChar"/>
    <w:uiPriority w:val="99"/>
    <w:unhideWhenUsed/>
    <w:rsid w:val="009D219C"/>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9D219C"/>
    <w:rPr>
      <w:rFonts w:ascii="Arial" w:hAnsi="Arial"/>
      <w:lang w:val="en-GB"/>
    </w:rPr>
  </w:style>
  <w:style w:type="paragraph" w:customStyle="1" w:styleId="ResearchTitle">
    <w:name w:val="Research Title"/>
    <w:basedOn w:val="Normal"/>
    <w:link w:val="ResearchTitleChar"/>
    <w:rsid w:val="00EE1DA1"/>
    <w:rPr>
      <w:b/>
      <w:caps/>
      <w:color w:val="538135" w:themeColor="accent6" w:themeShade="BF"/>
      <w:sz w:val="24"/>
    </w:rPr>
  </w:style>
  <w:style w:type="paragraph" w:customStyle="1" w:styleId="ReseachMainHeading">
    <w:name w:val="Reseach Main Heading"/>
    <w:basedOn w:val="ResearchTitle"/>
    <w:link w:val="ReseachMainHeadingChar"/>
    <w:rsid w:val="00EE1DA1"/>
  </w:style>
  <w:style w:type="character" w:customStyle="1" w:styleId="ResearchTitleChar">
    <w:name w:val="Research Title Char"/>
    <w:basedOn w:val="DefaultParagraphFont"/>
    <w:link w:val="ResearchTitle"/>
    <w:rsid w:val="00EE1DA1"/>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EE1DA1"/>
    <w:rPr>
      <w:b w:val="0"/>
      <w:caps w:val="0"/>
    </w:rPr>
  </w:style>
  <w:style w:type="character" w:customStyle="1" w:styleId="ReseachMainHeadingChar">
    <w:name w:val="Reseach Main Heading Char"/>
    <w:basedOn w:val="ResearchTitleChar"/>
    <w:link w:val="ReseachMainHeading"/>
    <w:rsid w:val="00EE1DA1"/>
    <w:rPr>
      <w:rFonts w:ascii="Arial" w:hAnsi="Arial"/>
      <w:b/>
      <w:caps/>
      <w:color w:val="538135" w:themeColor="accent6" w:themeShade="BF"/>
      <w:sz w:val="24"/>
    </w:rPr>
  </w:style>
  <w:style w:type="character" w:customStyle="1" w:styleId="ResearchSubheadingChar">
    <w:name w:val="Research Sub heading Char"/>
    <w:basedOn w:val="ReseachMainHeadingChar"/>
    <w:link w:val="ResearchSubheading"/>
    <w:rsid w:val="00EE1DA1"/>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EE1DA1"/>
    <w:pPr>
      <w:outlineLvl w:val="9"/>
    </w:pPr>
    <w:rPr>
      <w:caps w:val="0"/>
      <w:color w:val="000000" w:themeColor="text1"/>
      <w:lang w:val="en-US"/>
    </w:rPr>
  </w:style>
  <w:style w:type="paragraph" w:styleId="TOC1">
    <w:name w:val="toc 1"/>
    <w:basedOn w:val="Normal"/>
    <w:next w:val="Normal"/>
    <w:autoRedefine/>
    <w:uiPriority w:val="39"/>
    <w:unhideWhenUsed/>
    <w:qFormat/>
    <w:rsid w:val="00AD305A"/>
    <w:pPr>
      <w:spacing w:after="100" w:line="360" w:lineRule="auto"/>
      <w:ind w:left="450" w:hanging="450"/>
    </w:pPr>
    <w:rPr>
      <w:b/>
      <w:caps/>
      <w:color w:val="000000" w:themeColor="text1"/>
      <w:sz w:val="24"/>
    </w:rPr>
  </w:style>
  <w:style w:type="character" w:styleId="Hyperlink">
    <w:name w:val="Hyperlink"/>
    <w:basedOn w:val="DefaultParagraphFont"/>
    <w:uiPriority w:val="99"/>
    <w:unhideWhenUsed/>
    <w:rsid w:val="00EE1DA1"/>
    <w:rPr>
      <w:color w:val="0563C1" w:themeColor="hyperlink"/>
      <w:u w:val="single"/>
    </w:rPr>
  </w:style>
  <w:style w:type="paragraph" w:styleId="ListParagraph">
    <w:name w:val="List Paragraph"/>
    <w:basedOn w:val="Normal"/>
    <w:link w:val="ListParagraphChar"/>
    <w:uiPriority w:val="34"/>
    <w:qFormat/>
    <w:rsid w:val="00EE1DA1"/>
    <w:pPr>
      <w:ind w:left="720"/>
      <w:contextualSpacing/>
    </w:pPr>
  </w:style>
  <w:style w:type="paragraph" w:styleId="TOC2">
    <w:name w:val="toc 2"/>
    <w:basedOn w:val="Normal"/>
    <w:next w:val="Normal"/>
    <w:autoRedefine/>
    <w:uiPriority w:val="39"/>
    <w:unhideWhenUsed/>
    <w:rsid w:val="00EE1DA1"/>
    <w:pPr>
      <w:spacing w:after="100"/>
      <w:ind w:left="220"/>
    </w:pPr>
  </w:style>
  <w:style w:type="paragraph" w:styleId="TOC3">
    <w:name w:val="toc 3"/>
    <w:basedOn w:val="Normal"/>
    <w:next w:val="Normal"/>
    <w:autoRedefine/>
    <w:uiPriority w:val="39"/>
    <w:unhideWhenUsed/>
    <w:rsid w:val="00EE1DA1"/>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EE1DA1"/>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EE1DA1"/>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EE1D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1DA1"/>
    <w:rPr>
      <w:rFonts w:ascii="Arial" w:eastAsiaTheme="minorEastAsia" w:hAnsi="Arial"/>
      <w:color w:val="5A5A5A" w:themeColor="text1" w:themeTint="A5"/>
      <w:spacing w:val="15"/>
    </w:rPr>
  </w:style>
  <w:style w:type="table" w:styleId="TableGrid">
    <w:name w:val="Table Grid"/>
    <w:basedOn w:val="TableNormal"/>
    <w:uiPriority w:val="39"/>
    <w:rsid w:val="00EE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E1DA1"/>
    <w:pPr>
      <w:numPr>
        <w:numId w:val="2"/>
      </w:numPr>
    </w:pPr>
  </w:style>
  <w:style w:type="paragraph" w:styleId="CommentText">
    <w:name w:val="annotation text"/>
    <w:basedOn w:val="Normal"/>
    <w:link w:val="CommentTextChar"/>
    <w:semiHidden/>
    <w:rsid w:val="00EE1DA1"/>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EE1DA1"/>
    <w:rPr>
      <w:rFonts w:ascii="Arial" w:eastAsia="Times New Roman" w:hAnsi="Arial" w:cs="Times New Roman"/>
      <w:color w:val="000000"/>
      <w:sz w:val="20"/>
      <w:szCs w:val="20"/>
      <w:lang w:val="en-GB" w:eastAsia="en-GB"/>
    </w:rPr>
  </w:style>
  <w:style w:type="paragraph" w:customStyle="1" w:styleId="Style2">
    <w:name w:val="Style2"/>
    <w:basedOn w:val="FootnoteText"/>
    <w:link w:val="Style2Char"/>
    <w:qFormat/>
    <w:rsid w:val="00EE1DA1"/>
  </w:style>
  <w:style w:type="character" w:customStyle="1" w:styleId="Style2Char">
    <w:name w:val="Style2 Char"/>
    <w:basedOn w:val="FootnoteTextChar"/>
    <w:link w:val="Style2"/>
    <w:rsid w:val="00EE1DA1"/>
    <w:rPr>
      <w:rFonts w:ascii="Arial" w:hAnsi="Arial"/>
      <w:sz w:val="18"/>
      <w:szCs w:val="20"/>
    </w:rPr>
  </w:style>
  <w:style w:type="paragraph" w:styleId="FootnoteText">
    <w:name w:val="footnote text"/>
    <w:basedOn w:val="Normal"/>
    <w:link w:val="FootnoteTextChar"/>
    <w:autoRedefine/>
    <w:uiPriority w:val="99"/>
    <w:semiHidden/>
    <w:unhideWhenUsed/>
    <w:rsid w:val="00EE1DA1"/>
    <w:pPr>
      <w:spacing w:line="240" w:lineRule="auto"/>
    </w:pPr>
    <w:rPr>
      <w:sz w:val="18"/>
      <w:szCs w:val="20"/>
    </w:rPr>
  </w:style>
  <w:style w:type="character" w:customStyle="1" w:styleId="FootnoteTextChar">
    <w:name w:val="Footnote Text Char"/>
    <w:basedOn w:val="DefaultParagraphFont"/>
    <w:link w:val="FootnoteText"/>
    <w:uiPriority w:val="99"/>
    <w:semiHidden/>
    <w:rsid w:val="00EE1DA1"/>
    <w:rPr>
      <w:rFonts w:ascii="Arial" w:hAnsi="Arial"/>
      <w:sz w:val="18"/>
      <w:szCs w:val="20"/>
    </w:rPr>
  </w:style>
  <w:style w:type="character" w:customStyle="1" w:styleId="ListParagraphChar">
    <w:name w:val="List Paragraph Char"/>
    <w:link w:val="ListParagraph"/>
    <w:uiPriority w:val="34"/>
    <w:rsid w:val="00EE1DA1"/>
    <w:rPr>
      <w:rFonts w:ascii="Arial" w:hAnsi="Arial"/>
    </w:rPr>
  </w:style>
  <w:style w:type="paragraph" w:styleId="BalloonText">
    <w:name w:val="Balloon Text"/>
    <w:basedOn w:val="Normal"/>
    <w:link w:val="BalloonTextChar"/>
    <w:uiPriority w:val="99"/>
    <w:semiHidden/>
    <w:unhideWhenUsed/>
    <w:rsid w:val="006B5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DFDD-EE09-4E43-9C76-E24A853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4342</Words>
  <Characters>24752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Cassiem</dc:creator>
  <cp:lastModifiedBy>Asanda</cp:lastModifiedBy>
  <cp:revision>2</cp:revision>
  <cp:lastPrinted>2017-10-09T05:55:00Z</cp:lastPrinted>
  <dcterms:created xsi:type="dcterms:W3CDTF">2017-10-19T09:50:00Z</dcterms:created>
  <dcterms:modified xsi:type="dcterms:W3CDTF">2017-10-19T09:50:00Z</dcterms:modified>
</cp:coreProperties>
</file>