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BC" w:rsidRDefault="00285322" w:rsidP="00777AC2">
      <w:pPr>
        <w:spacing w:line="240" w:lineRule="auto"/>
        <w:jc w:val="center"/>
        <w:rPr>
          <w:rFonts w:ascii="Arial" w:hAnsi="Arial" w:cs="Arial"/>
          <w:b/>
          <w:sz w:val="24"/>
          <w:szCs w:val="24"/>
        </w:rPr>
      </w:pPr>
      <w:r w:rsidRPr="00285322">
        <w:rPr>
          <w:rFonts w:ascii="Arial" w:hAnsi="Arial" w:cs="Arial"/>
          <w:b/>
          <w:sz w:val="24"/>
          <w:szCs w:val="24"/>
        </w:rPr>
        <w:t>INTERNATIONAL ARBITRATION BILL, 2017[BILL10-2017]: AMENDMENTS AS PROPOSED BY COMMENTATORS</w:t>
      </w:r>
    </w:p>
    <w:p w:rsidR="00777AC2" w:rsidRDefault="00777AC2" w:rsidP="00777AC2">
      <w:pPr>
        <w:spacing w:line="240" w:lineRule="auto"/>
        <w:jc w:val="center"/>
        <w:rPr>
          <w:rFonts w:ascii="Arial" w:hAnsi="Arial" w:cs="Arial"/>
          <w:b/>
          <w:sz w:val="24"/>
          <w:szCs w:val="24"/>
        </w:rPr>
      </w:pPr>
      <w:r>
        <w:rPr>
          <w:rFonts w:ascii="Arial" w:hAnsi="Arial" w:cs="Arial"/>
          <w:b/>
          <w:sz w:val="24"/>
          <w:szCs w:val="24"/>
        </w:rPr>
        <w:t>Proposed insertions are underlined and proposed deletions are indicated by strike-thoughs</w:t>
      </w:r>
    </w:p>
    <w:p w:rsidR="00777AC2" w:rsidRPr="005702E8" w:rsidRDefault="008A6B7A" w:rsidP="00F232D9">
      <w:pPr>
        <w:spacing w:after="0" w:line="360" w:lineRule="auto"/>
        <w:jc w:val="center"/>
        <w:rPr>
          <w:rFonts w:ascii="Arial" w:eastAsia="Times New Roman" w:hAnsi="Arial" w:cs="Arial"/>
          <w:sz w:val="24"/>
          <w:szCs w:val="24"/>
        </w:rPr>
      </w:pPr>
      <w:r w:rsidRPr="00777AC2">
        <w:rPr>
          <w:rFonts w:ascii="Arial" w:hAnsi="Arial" w:cs="Arial"/>
          <w:b/>
          <w:sz w:val="24"/>
          <w:szCs w:val="24"/>
        </w:rPr>
        <w:t>Clause 5</w:t>
      </w:r>
      <w:r w:rsidR="00777AC2">
        <w:rPr>
          <w:rFonts w:ascii="Arial" w:hAnsi="Arial" w:cs="Arial"/>
          <w:b/>
          <w:sz w:val="24"/>
          <w:szCs w:val="24"/>
        </w:rPr>
        <w:t xml:space="preserve">:  </w:t>
      </w:r>
      <w:r w:rsidR="00777AC2" w:rsidRPr="005702E8">
        <w:rPr>
          <w:rFonts w:ascii="Arial" w:eastAsia="Times New Roman" w:hAnsi="Arial" w:cs="Arial"/>
          <w:b/>
          <w:bCs/>
          <w:sz w:val="24"/>
          <w:szCs w:val="24"/>
        </w:rPr>
        <w:t xml:space="preserve">Act binds public bodies </w:t>
      </w:r>
    </w:p>
    <w:p w:rsidR="00733E56" w:rsidRDefault="00777AC2" w:rsidP="00F232D9">
      <w:pPr>
        <w:spacing w:after="0" w:line="360" w:lineRule="auto"/>
        <w:rPr>
          <w:rFonts w:ascii="Arial" w:hAnsi="Arial" w:cs="Arial"/>
          <w:sz w:val="24"/>
          <w:szCs w:val="24"/>
        </w:rPr>
      </w:pPr>
      <w:r w:rsidRPr="005702E8">
        <w:rPr>
          <w:rFonts w:ascii="Arial" w:eastAsia="Times New Roman" w:hAnsi="Arial" w:cs="Arial"/>
          <w:b/>
          <w:bCs/>
          <w:sz w:val="24"/>
          <w:szCs w:val="24"/>
        </w:rPr>
        <w:tab/>
      </w:r>
      <w:r w:rsidRPr="00B27149">
        <w:rPr>
          <w:rFonts w:ascii="Arial" w:eastAsia="Times New Roman" w:hAnsi="Arial" w:cs="Arial"/>
          <w:b/>
          <w:bCs/>
          <w:sz w:val="24"/>
          <w:szCs w:val="24"/>
        </w:rPr>
        <w:t>5.</w:t>
      </w:r>
      <w:r w:rsidRPr="00B27149">
        <w:rPr>
          <w:rFonts w:ascii="Arial" w:eastAsia="Times New Roman" w:hAnsi="Arial" w:cs="Arial"/>
          <w:b/>
          <w:bCs/>
          <w:sz w:val="24"/>
          <w:szCs w:val="24"/>
        </w:rPr>
        <w:tab/>
      </w:r>
      <w:r w:rsidRPr="00B27149">
        <w:rPr>
          <w:rFonts w:ascii="Arial" w:eastAsia="Times New Roman" w:hAnsi="Arial" w:cs="Arial"/>
          <w:sz w:val="24"/>
          <w:szCs w:val="24"/>
        </w:rPr>
        <w:t xml:space="preserve">This Act, subject to the provisions of section </w:t>
      </w:r>
      <w:r w:rsidRPr="00D73FF0">
        <w:rPr>
          <w:rFonts w:ascii="Arial" w:eastAsia="Times New Roman" w:hAnsi="Arial" w:cs="Arial"/>
          <w:sz w:val="24"/>
          <w:szCs w:val="24"/>
        </w:rPr>
        <w:t>13</w:t>
      </w:r>
      <w:r>
        <w:rPr>
          <w:rFonts w:ascii="Arial" w:eastAsia="Times New Roman" w:hAnsi="Arial" w:cs="Arial"/>
          <w:sz w:val="24"/>
          <w:szCs w:val="24"/>
        </w:rPr>
        <w:t xml:space="preserve"> </w:t>
      </w:r>
      <w:r w:rsidRPr="00B27149">
        <w:rPr>
          <w:rFonts w:ascii="Arial" w:eastAsia="Times New Roman" w:hAnsi="Arial" w:cs="Arial"/>
          <w:sz w:val="24"/>
          <w:szCs w:val="24"/>
        </w:rPr>
        <w:t xml:space="preserve">of </w:t>
      </w:r>
      <w:r w:rsidRPr="00D73FF0">
        <w:rPr>
          <w:rFonts w:ascii="Arial" w:eastAsia="Times New Roman" w:hAnsi="Arial" w:cs="Arial"/>
          <w:sz w:val="24"/>
          <w:szCs w:val="24"/>
        </w:rPr>
        <w:t>the</w:t>
      </w:r>
      <w:r>
        <w:rPr>
          <w:rFonts w:ascii="Arial" w:eastAsia="Times New Roman" w:hAnsi="Arial" w:cs="Arial"/>
          <w:sz w:val="24"/>
          <w:szCs w:val="24"/>
        </w:rPr>
        <w:t xml:space="preserve"> </w:t>
      </w:r>
      <w:r w:rsidRPr="00B27149">
        <w:rPr>
          <w:rFonts w:ascii="Arial" w:eastAsia="Times New Roman" w:hAnsi="Arial" w:cs="Arial"/>
          <w:sz w:val="24"/>
          <w:szCs w:val="24"/>
        </w:rPr>
        <w:t>Protection of Investment Act, 2015</w:t>
      </w:r>
      <w:r>
        <w:rPr>
          <w:rFonts w:ascii="Arial" w:eastAsia="Times New Roman" w:hAnsi="Arial" w:cs="Arial"/>
          <w:sz w:val="24"/>
          <w:szCs w:val="24"/>
        </w:rPr>
        <w:t xml:space="preserve"> (Act No. 22 of</w:t>
      </w:r>
      <w:bookmarkStart w:id="0" w:name="_GoBack"/>
      <w:bookmarkEnd w:id="0"/>
      <w:r>
        <w:rPr>
          <w:rFonts w:ascii="Arial" w:eastAsia="Times New Roman" w:hAnsi="Arial" w:cs="Arial"/>
          <w:sz w:val="24"/>
          <w:szCs w:val="24"/>
        </w:rPr>
        <w:t xml:space="preserve"> 2015)</w:t>
      </w:r>
      <w:r w:rsidRPr="00B27149">
        <w:rPr>
          <w:rFonts w:ascii="Arial" w:eastAsia="Times New Roman" w:hAnsi="Arial" w:cs="Arial"/>
          <w:sz w:val="24"/>
          <w:szCs w:val="24"/>
        </w:rPr>
        <w:t>, binds public bodies and a</w:t>
      </w:r>
      <w:r w:rsidRPr="00B27149">
        <w:rPr>
          <w:rFonts w:ascii="Arial" w:eastAsia="Times New Roman" w:hAnsi="Arial" w:cs="Arial"/>
          <w:spacing w:val="-1"/>
          <w:sz w:val="24"/>
          <w:szCs w:val="24"/>
        </w:rPr>
        <w:t>p</w:t>
      </w:r>
      <w:r w:rsidRPr="00B27149">
        <w:rPr>
          <w:rFonts w:ascii="Arial" w:eastAsia="Times New Roman" w:hAnsi="Arial" w:cs="Arial"/>
          <w:sz w:val="24"/>
          <w:szCs w:val="24"/>
        </w:rPr>
        <w:t>plies to a</w:t>
      </w:r>
      <w:r w:rsidRPr="00B27149">
        <w:rPr>
          <w:rFonts w:ascii="Arial" w:eastAsia="Times New Roman" w:hAnsi="Arial" w:cs="Arial"/>
          <w:spacing w:val="-1"/>
          <w:sz w:val="24"/>
          <w:szCs w:val="24"/>
        </w:rPr>
        <w:t>n</w:t>
      </w:r>
      <w:r w:rsidRPr="00B27149">
        <w:rPr>
          <w:rFonts w:ascii="Arial" w:eastAsia="Times New Roman" w:hAnsi="Arial" w:cs="Arial"/>
          <w:sz w:val="24"/>
          <w:szCs w:val="24"/>
        </w:rPr>
        <w:t>y</w:t>
      </w:r>
      <w:r>
        <w:rPr>
          <w:rFonts w:ascii="Arial" w:eastAsia="Times New Roman" w:hAnsi="Arial" w:cs="Arial"/>
          <w:sz w:val="24"/>
          <w:szCs w:val="24"/>
        </w:rPr>
        <w:t xml:space="preserve"> </w:t>
      </w:r>
      <w:r w:rsidRPr="007228CC">
        <w:rPr>
          <w:rFonts w:ascii="Arial" w:eastAsia="Times New Roman" w:hAnsi="Arial" w:cs="Arial"/>
          <w:sz w:val="24"/>
          <w:szCs w:val="24"/>
          <w:u w:val="single"/>
        </w:rPr>
        <w:t>international commercial</w:t>
      </w:r>
      <w:r w:rsidRPr="00B27149">
        <w:rPr>
          <w:rFonts w:ascii="Arial" w:eastAsia="Times New Roman" w:hAnsi="Arial" w:cs="Arial"/>
          <w:sz w:val="24"/>
          <w:szCs w:val="24"/>
        </w:rPr>
        <w:t xml:space="preserve"> arbitrati</w:t>
      </w:r>
      <w:r w:rsidRPr="00B27149">
        <w:rPr>
          <w:rFonts w:ascii="Arial" w:eastAsia="Times New Roman" w:hAnsi="Arial" w:cs="Arial"/>
          <w:spacing w:val="-1"/>
          <w:sz w:val="24"/>
          <w:szCs w:val="24"/>
        </w:rPr>
        <w:t>o</w:t>
      </w:r>
      <w:r w:rsidRPr="00B27149">
        <w:rPr>
          <w:rFonts w:ascii="Arial" w:eastAsia="Times New Roman" w:hAnsi="Arial" w:cs="Arial"/>
          <w:sz w:val="24"/>
          <w:szCs w:val="24"/>
        </w:rPr>
        <w:t>n in ter</w:t>
      </w:r>
      <w:r w:rsidRPr="00B27149">
        <w:rPr>
          <w:rFonts w:ascii="Arial" w:eastAsia="Times New Roman" w:hAnsi="Arial" w:cs="Arial"/>
          <w:spacing w:val="-2"/>
          <w:sz w:val="24"/>
          <w:szCs w:val="24"/>
        </w:rPr>
        <w:t>m</w:t>
      </w:r>
      <w:r w:rsidRPr="00B27149">
        <w:rPr>
          <w:rFonts w:ascii="Arial" w:eastAsia="Times New Roman" w:hAnsi="Arial" w:cs="Arial"/>
          <w:sz w:val="24"/>
          <w:szCs w:val="24"/>
        </w:rPr>
        <w:t>s of an arbitration agree</w:t>
      </w:r>
      <w:r w:rsidRPr="00B27149">
        <w:rPr>
          <w:rFonts w:ascii="Arial" w:eastAsia="Times New Roman" w:hAnsi="Arial" w:cs="Arial"/>
          <w:spacing w:val="-2"/>
          <w:sz w:val="24"/>
          <w:szCs w:val="24"/>
        </w:rPr>
        <w:t>m</w:t>
      </w:r>
      <w:r w:rsidRPr="00B27149">
        <w:rPr>
          <w:rFonts w:ascii="Arial" w:eastAsia="Times New Roman" w:hAnsi="Arial" w:cs="Arial"/>
          <w:sz w:val="24"/>
          <w:szCs w:val="24"/>
        </w:rPr>
        <w:t>ent to which a public body is a part</w:t>
      </w:r>
      <w:r w:rsidRPr="00B27149">
        <w:rPr>
          <w:rFonts w:ascii="Arial" w:eastAsia="Times New Roman" w:hAnsi="Arial" w:cs="Arial"/>
          <w:spacing w:val="-1"/>
          <w:sz w:val="24"/>
          <w:szCs w:val="24"/>
        </w:rPr>
        <w:t>y</w:t>
      </w:r>
      <w:r>
        <w:rPr>
          <w:rFonts w:ascii="Arial" w:eastAsia="Times New Roman" w:hAnsi="Arial" w:cs="Arial"/>
          <w:spacing w:val="-1"/>
          <w:sz w:val="24"/>
          <w:szCs w:val="24"/>
        </w:rPr>
        <w:t>.</w:t>
      </w:r>
    </w:p>
    <w:p w:rsidR="00777AC2" w:rsidRDefault="00777AC2" w:rsidP="00F232D9">
      <w:pPr>
        <w:spacing w:after="0" w:line="360" w:lineRule="auto"/>
        <w:jc w:val="center"/>
        <w:rPr>
          <w:rFonts w:ascii="Arial" w:hAnsi="Arial" w:cs="Arial"/>
          <w:b/>
          <w:sz w:val="24"/>
          <w:szCs w:val="24"/>
        </w:rPr>
      </w:pPr>
    </w:p>
    <w:p w:rsidR="00777AC2" w:rsidRPr="000F0C82" w:rsidRDefault="00DC37C1" w:rsidP="00F232D9">
      <w:pPr>
        <w:spacing w:after="0" w:line="360" w:lineRule="auto"/>
        <w:jc w:val="center"/>
        <w:rPr>
          <w:rFonts w:ascii="Arial" w:eastAsia="Times New Roman" w:hAnsi="Arial" w:cs="Arial"/>
          <w:sz w:val="24"/>
          <w:szCs w:val="24"/>
        </w:rPr>
      </w:pPr>
      <w:r w:rsidRPr="00777AC2">
        <w:rPr>
          <w:rFonts w:ascii="Arial" w:hAnsi="Arial" w:cs="Arial"/>
          <w:b/>
          <w:sz w:val="24"/>
          <w:szCs w:val="24"/>
        </w:rPr>
        <w:t>Clause 9</w:t>
      </w:r>
      <w:r w:rsidR="00FB237A">
        <w:rPr>
          <w:rFonts w:ascii="Arial" w:hAnsi="Arial" w:cs="Arial"/>
          <w:b/>
          <w:sz w:val="24"/>
          <w:szCs w:val="24"/>
        </w:rPr>
        <w:t>(4)</w:t>
      </w:r>
      <w:r w:rsidR="00777AC2">
        <w:rPr>
          <w:rFonts w:ascii="Arial" w:hAnsi="Arial" w:cs="Arial"/>
          <w:b/>
          <w:sz w:val="24"/>
          <w:szCs w:val="24"/>
        </w:rPr>
        <w:t xml:space="preserve">:  </w:t>
      </w:r>
      <w:r w:rsidR="00777AC2" w:rsidRPr="000F0C82">
        <w:rPr>
          <w:rFonts w:ascii="Arial" w:eastAsia="Times New Roman" w:hAnsi="Arial" w:cs="Arial"/>
          <w:b/>
          <w:bCs/>
          <w:sz w:val="24"/>
          <w:szCs w:val="24"/>
        </w:rPr>
        <w:t>Immunity of arbitrators and arbitral institutions</w:t>
      </w:r>
    </w:p>
    <w:p w:rsidR="00777AC2" w:rsidRPr="005702E8" w:rsidRDefault="00777AC2" w:rsidP="00F232D9">
      <w:pPr>
        <w:widowControl w:val="0"/>
        <w:spacing w:after="0" w:line="360" w:lineRule="auto"/>
        <w:ind w:right="-45"/>
        <w:rPr>
          <w:rFonts w:ascii="Arial" w:eastAsia="Times New Roman" w:hAnsi="Arial" w:cs="Arial"/>
          <w:i/>
          <w:spacing w:val="-1"/>
          <w:sz w:val="24"/>
          <w:szCs w:val="24"/>
        </w:rPr>
      </w:pPr>
      <w:r w:rsidRPr="005702E8">
        <w:rPr>
          <w:rFonts w:ascii="Arial" w:eastAsia="Times New Roman" w:hAnsi="Arial" w:cs="Arial"/>
          <w:position w:val="-1"/>
          <w:sz w:val="24"/>
          <w:szCs w:val="24"/>
        </w:rPr>
        <w:tab/>
      </w:r>
      <w:r w:rsidRPr="005702E8">
        <w:rPr>
          <w:rFonts w:ascii="Arial" w:eastAsia="Times New Roman" w:hAnsi="Arial" w:cs="Arial"/>
          <w:position w:val="-1"/>
          <w:sz w:val="24"/>
          <w:szCs w:val="24"/>
        </w:rPr>
        <w:tab/>
        <w:t>(4)</w:t>
      </w:r>
      <w:r w:rsidRPr="005702E8">
        <w:rPr>
          <w:rFonts w:ascii="Arial" w:eastAsia="Times New Roman" w:hAnsi="Arial" w:cs="Arial"/>
          <w:position w:val="-1"/>
          <w:sz w:val="24"/>
          <w:szCs w:val="24"/>
        </w:rPr>
        <w:tab/>
        <w:t>The</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provisions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of</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this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section</w:t>
      </w:r>
      <w:r>
        <w:rPr>
          <w:rFonts w:ascii="Arial" w:eastAsia="Times New Roman" w:hAnsi="Arial" w:cs="Arial"/>
          <w:position w:val="-1"/>
          <w:sz w:val="24"/>
          <w:szCs w:val="24"/>
        </w:rPr>
        <w:t xml:space="preserve"> also</w:t>
      </w:r>
      <w:r w:rsidRPr="005702E8">
        <w:rPr>
          <w:rFonts w:ascii="Arial" w:eastAsia="Times New Roman" w:hAnsi="Arial" w:cs="Arial"/>
          <w:spacing w:val="24"/>
          <w:position w:val="-1"/>
          <w:sz w:val="24"/>
          <w:szCs w:val="24"/>
        </w:rPr>
        <w:t xml:space="preserve"> </w:t>
      </w:r>
      <w:r w:rsidRPr="005702E8">
        <w:rPr>
          <w:rFonts w:ascii="Arial" w:eastAsia="Times New Roman" w:hAnsi="Arial" w:cs="Arial"/>
          <w:position w:val="-1"/>
          <w:sz w:val="24"/>
          <w:szCs w:val="24"/>
        </w:rPr>
        <w:t>apply</w:t>
      </w:r>
      <w:r>
        <w:rPr>
          <w:rFonts w:ascii="Arial" w:eastAsia="Times New Roman" w:hAnsi="Arial" w:cs="Arial"/>
          <w:position w:val="-1"/>
          <w:sz w:val="24"/>
          <w:szCs w:val="24"/>
        </w:rPr>
        <w:t>,</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with</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the</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changes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required</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by</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 xml:space="preserve">the </w:t>
      </w:r>
      <w:r w:rsidRPr="005702E8">
        <w:rPr>
          <w:rFonts w:ascii="Arial" w:eastAsia="Times New Roman" w:hAnsi="Arial" w:cs="Arial"/>
          <w:sz w:val="24"/>
          <w:szCs w:val="24"/>
        </w:rPr>
        <w:t>context</w:t>
      </w:r>
      <w:r>
        <w:rPr>
          <w:rFonts w:ascii="Arial" w:eastAsia="Times New Roman" w:hAnsi="Arial" w:cs="Arial"/>
          <w:sz w:val="24"/>
          <w:szCs w:val="24"/>
        </w:rPr>
        <w: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p>
    <w:p w:rsidR="00777AC2" w:rsidRPr="005702E8" w:rsidRDefault="00777AC2" w:rsidP="00F232D9">
      <w:pPr>
        <w:widowControl w:val="0"/>
        <w:spacing w:after="0" w:line="360" w:lineRule="auto"/>
        <w:ind w:right="-45"/>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a</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B9449D">
        <w:rPr>
          <w:rFonts w:ascii="Arial" w:eastAsia="Times New Roman" w:hAnsi="Arial" w:cs="Arial"/>
          <w:sz w:val="24"/>
          <w:szCs w:val="24"/>
        </w:rPr>
        <w:t>the e</w:t>
      </w:r>
      <w:r w:rsidRPr="00B9449D">
        <w:rPr>
          <w:rFonts w:ascii="Arial" w:eastAsia="Times New Roman" w:hAnsi="Arial" w:cs="Arial"/>
          <w:spacing w:val="-2"/>
          <w:sz w:val="24"/>
          <w:szCs w:val="24"/>
        </w:rPr>
        <w:t>m</w:t>
      </w:r>
      <w:r w:rsidRPr="00B9449D">
        <w:rPr>
          <w:rFonts w:ascii="Arial" w:eastAsia="Times New Roman" w:hAnsi="Arial" w:cs="Arial"/>
          <w:sz w:val="24"/>
          <w:szCs w:val="24"/>
        </w:rPr>
        <w:t>ployees of an arbitrator</w:t>
      </w:r>
      <w:r w:rsidRPr="00B9449D">
        <w:rPr>
          <w:rFonts w:ascii="Arial" w:hAnsi="Arial" w:cs="Arial"/>
          <w:lang w:val="en-ZA"/>
        </w:rPr>
        <w:t xml:space="preserve"> </w:t>
      </w:r>
      <w:r w:rsidRPr="00B9449D">
        <w:rPr>
          <w:rFonts w:ascii="Arial" w:eastAsia="Times New Roman" w:hAnsi="Arial" w:cs="Arial"/>
          <w:sz w:val="24"/>
          <w:szCs w:val="24"/>
          <w:u w:val="single"/>
          <w:lang w:val="en-ZA"/>
        </w:rPr>
        <w:t>or persons appointed by the arbitral tribunal</w:t>
      </w:r>
      <w:r w:rsidRPr="00B9449D">
        <w:rPr>
          <w:rFonts w:ascii="Arial" w:eastAsia="Times New Roman" w:hAnsi="Arial" w:cs="Arial"/>
          <w:sz w:val="24"/>
          <w:szCs w:val="24"/>
        </w:rPr>
        <w:t>; or</w:t>
      </w:r>
    </w:p>
    <w:p w:rsidR="00777AC2" w:rsidRPr="005702E8" w:rsidRDefault="00777AC2" w:rsidP="00F232D9">
      <w:pPr>
        <w:widowControl w:val="0"/>
        <w:spacing w:after="0" w:line="360" w:lineRule="auto"/>
        <w:ind w:left="780" w:right="-45" w:hanging="78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b</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the</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officers</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and</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ployees</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other</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institution,</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authority</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person referred to in subsection</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(2).</w:t>
      </w:r>
    </w:p>
    <w:p w:rsidR="00777AC2" w:rsidRDefault="00777AC2" w:rsidP="00F232D9">
      <w:pPr>
        <w:spacing w:after="0" w:line="360" w:lineRule="auto"/>
        <w:jc w:val="center"/>
        <w:rPr>
          <w:rFonts w:ascii="Arial" w:hAnsi="Arial" w:cs="Arial"/>
          <w:sz w:val="24"/>
          <w:szCs w:val="24"/>
        </w:rPr>
      </w:pPr>
    </w:p>
    <w:p w:rsidR="00ED6DAA" w:rsidRPr="00777AC2" w:rsidRDefault="00ED6DAA" w:rsidP="00F232D9">
      <w:pPr>
        <w:spacing w:after="0" w:line="360" w:lineRule="auto"/>
        <w:jc w:val="center"/>
        <w:rPr>
          <w:rFonts w:ascii="Arial" w:hAnsi="Arial" w:cs="Arial"/>
          <w:b/>
          <w:sz w:val="24"/>
          <w:szCs w:val="24"/>
        </w:rPr>
      </w:pPr>
      <w:r w:rsidRPr="00777AC2">
        <w:rPr>
          <w:rFonts w:ascii="Arial" w:hAnsi="Arial" w:cs="Arial"/>
          <w:b/>
          <w:sz w:val="24"/>
          <w:szCs w:val="24"/>
        </w:rPr>
        <w:t>Schedule 4</w:t>
      </w:r>
      <w:r w:rsidR="00B407F8">
        <w:rPr>
          <w:rFonts w:ascii="Arial" w:hAnsi="Arial" w:cs="Arial"/>
          <w:b/>
          <w:sz w:val="24"/>
          <w:szCs w:val="24"/>
        </w:rPr>
        <w:t>:  Laws repealed or amended</w:t>
      </w:r>
    </w:p>
    <w:p w:rsidR="00ED6DAA" w:rsidRPr="00ED6DAA" w:rsidRDefault="00ED6DAA" w:rsidP="00F232D9">
      <w:pPr>
        <w:spacing w:after="0" w:line="360" w:lineRule="auto"/>
        <w:rPr>
          <w:rFonts w:ascii="Arial" w:hAnsi="Arial" w:cs="Arial"/>
          <w:sz w:val="24"/>
          <w:szCs w:val="24"/>
        </w:rPr>
      </w:pPr>
      <w:r w:rsidRPr="00ED6DAA">
        <w:rPr>
          <w:rFonts w:ascii="Arial" w:hAnsi="Arial" w:cs="Arial"/>
          <w:sz w:val="24"/>
          <w:szCs w:val="24"/>
        </w:rPr>
        <w:t>1.</w:t>
      </w:r>
      <w:r w:rsidRPr="00ED6DAA">
        <w:rPr>
          <w:rFonts w:ascii="Arial" w:hAnsi="Arial" w:cs="Arial"/>
          <w:sz w:val="24"/>
          <w:szCs w:val="24"/>
        </w:rPr>
        <w:tab/>
        <w:t>That the following consequential amendment be added to the list</w:t>
      </w:r>
      <w:r w:rsidR="00733E56">
        <w:rPr>
          <w:rFonts w:ascii="Arial" w:hAnsi="Arial" w:cs="Arial"/>
          <w:sz w:val="24"/>
          <w:szCs w:val="24"/>
        </w:rPr>
        <w:t xml:space="preserve"> in Schedule 4</w:t>
      </w:r>
      <w:r w:rsidR="00733E56" w:rsidRPr="00ED6DAA">
        <w:rPr>
          <w:rFonts w:ascii="Arial" w:hAnsi="Arial" w:cs="Arial"/>
          <w:sz w:val="24"/>
          <w:szCs w:val="24"/>
        </w:rPr>
        <w:t>:</w:t>
      </w:r>
    </w:p>
    <w:p w:rsidR="00ED6DAA" w:rsidRDefault="00ED6DAA" w:rsidP="00F232D9">
      <w:pPr>
        <w:spacing w:after="0" w:line="360" w:lineRule="auto"/>
        <w:rPr>
          <w:rFonts w:ascii="Arial" w:hAnsi="Arial" w:cs="Arial"/>
          <w:b/>
          <w:bCs/>
          <w:sz w:val="24"/>
          <w:szCs w:val="24"/>
          <w:lang w:val="en-US"/>
        </w:rPr>
      </w:pPr>
      <w:r>
        <w:rPr>
          <w:rFonts w:ascii="Arial" w:hAnsi="Arial" w:cs="Arial"/>
          <w:b/>
          <w:bCs/>
          <w:sz w:val="24"/>
          <w:szCs w:val="24"/>
          <w:lang w:val="en-US"/>
        </w:rPr>
        <w:tab/>
      </w:r>
    </w:p>
    <w:p w:rsidR="00ED6DAA" w:rsidRPr="00ED6DAA" w:rsidRDefault="00ED6DAA" w:rsidP="00F232D9">
      <w:pPr>
        <w:spacing w:after="0" w:line="360" w:lineRule="auto"/>
        <w:rPr>
          <w:rFonts w:ascii="Arial" w:hAnsi="Arial" w:cs="Arial"/>
          <w:b/>
          <w:bCs/>
          <w:sz w:val="24"/>
          <w:szCs w:val="24"/>
          <w:lang w:val="en-US"/>
        </w:rPr>
      </w:pPr>
      <w:r w:rsidRPr="00ED6DAA">
        <w:rPr>
          <w:rFonts w:ascii="Arial" w:hAnsi="Arial" w:cs="Arial"/>
          <w:b/>
          <w:bCs/>
          <w:sz w:val="24"/>
          <w:szCs w:val="24"/>
          <w:lang w:val="en-US"/>
        </w:rPr>
        <w:t>The substitution of section 3 of Act 1 of 1986</w:t>
      </w:r>
    </w:p>
    <w:p w:rsidR="00ED6DAA" w:rsidRPr="00ED6DAA" w:rsidRDefault="00ED6DAA" w:rsidP="00F232D9">
      <w:pPr>
        <w:spacing w:after="0" w:line="360" w:lineRule="auto"/>
        <w:rPr>
          <w:rFonts w:ascii="Arial" w:hAnsi="Arial" w:cs="Arial"/>
          <w:bCs/>
          <w:sz w:val="24"/>
          <w:szCs w:val="24"/>
          <w:lang w:val="en-US"/>
        </w:rPr>
      </w:pPr>
      <w:r w:rsidRPr="00ED6DAA">
        <w:rPr>
          <w:rFonts w:ascii="Arial" w:hAnsi="Arial" w:cs="Arial"/>
          <w:bCs/>
          <w:sz w:val="24"/>
          <w:szCs w:val="24"/>
          <w:lang w:val="en-US"/>
        </w:rPr>
        <w:t>The following section is hereby substituted for section 3 of the Carriage of Good</w:t>
      </w:r>
      <w:r w:rsidR="00B407F8">
        <w:rPr>
          <w:rFonts w:ascii="Arial" w:hAnsi="Arial" w:cs="Arial"/>
          <w:bCs/>
          <w:sz w:val="24"/>
          <w:szCs w:val="24"/>
          <w:lang w:val="en-US"/>
        </w:rPr>
        <w:t>s</w:t>
      </w:r>
      <w:r w:rsidRPr="00ED6DAA">
        <w:rPr>
          <w:rFonts w:ascii="Arial" w:hAnsi="Arial" w:cs="Arial"/>
          <w:bCs/>
          <w:sz w:val="24"/>
          <w:szCs w:val="24"/>
          <w:lang w:val="en-US"/>
        </w:rPr>
        <w:t xml:space="preserve"> by Sea</w:t>
      </w:r>
      <w:r w:rsidRPr="00ED6DAA">
        <w:rPr>
          <w:rFonts w:ascii="Arial" w:hAnsi="Arial" w:cs="Arial"/>
          <w:bCs/>
          <w:sz w:val="24"/>
          <w:szCs w:val="24"/>
          <w:u w:val="single"/>
          <w:lang w:val="en-US"/>
        </w:rPr>
        <w:t xml:space="preserve"> </w:t>
      </w:r>
      <w:r w:rsidRPr="00ED6DAA">
        <w:rPr>
          <w:rFonts w:ascii="Arial" w:hAnsi="Arial" w:cs="Arial"/>
          <w:bCs/>
          <w:sz w:val="24"/>
          <w:szCs w:val="24"/>
          <w:lang w:val="en-US"/>
        </w:rPr>
        <w:t>Act, 1986:</w:t>
      </w:r>
    </w:p>
    <w:p w:rsidR="00ED6DAA" w:rsidRPr="00ED6DAA" w:rsidRDefault="00ED6DAA" w:rsidP="00F232D9">
      <w:pPr>
        <w:spacing w:after="0" w:line="360" w:lineRule="auto"/>
        <w:rPr>
          <w:rFonts w:ascii="Arial" w:hAnsi="Arial" w:cs="Arial"/>
          <w:b/>
          <w:bCs/>
          <w:sz w:val="24"/>
          <w:szCs w:val="24"/>
          <w:lang w:val="en-US"/>
        </w:rPr>
      </w:pPr>
      <w:r w:rsidRPr="00ED6DAA">
        <w:rPr>
          <w:rFonts w:ascii="Arial" w:hAnsi="Arial" w:cs="Arial"/>
          <w:bCs/>
          <w:sz w:val="24"/>
          <w:szCs w:val="24"/>
          <w:lang w:val="en-US"/>
        </w:rPr>
        <w:t xml:space="preserve">  “</w:t>
      </w:r>
      <w:r w:rsidRPr="00ED6DAA">
        <w:rPr>
          <w:rFonts w:ascii="Arial" w:hAnsi="Arial" w:cs="Arial"/>
          <w:b/>
          <w:bCs/>
          <w:sz w:val="24"/>
          <w:szCs w:val="24"/>
          <w:lang w:val="en-US"/>
        </w:rPr>
        <w:t>Jurisdiction of courts</w:t>
      </w:r>
    </w:p>
    <w:p w:rsidR="00ED6DAA" w:rsidRPr="00ED6DAA" w:rsidRDefault="00ED6DAA" w:rsidP="00F232D9">
      <w:pPr>
        <w:spacing w:after="0" w:line="360" w:lineRule="auto"/>
        <w:rPr>
          <w:rFonts w:ascii="Arial" w:hAnsi="Arial" w:cs="Arial"/>
          <w:sz w:val="24"/>
          <w:szCs w:val="24"/>
          <w:lang w:val="en-US"/>
        </w:rPr>
      </w:pPr>
      <w:r w:rsidRPr="00ED6DAA">
        <w:rPr>
          <w:rFonts w:ascii="Arial" w:hAnsi="Arial" w:cs="Arial"/>
          <w:b/>
          <w:bCs/>
          <w:sz w:val="24"/>
          <w:szCs w:val="24"/>
          <w:lang w:val="en-US"/>
        </w:rPr>
        <w:tab/>
      </w:r>
      <w:r w:rsidRPr="00ED6DAA">
        <w:rPr>
          <w:rFonts w:ascii="Arial" w:hAnsi="Arial" w:cs="Arial"/>
          <w:bCs/>
          <w:sz w:val="24"/>
          <w:szCs w:val="24"/>
          <w:lang w:val="en-US"/>
        </w:rPr>
        <w:t>3.</w:t>
      </w:r>
      <w:r w:rsidRPr="00ED6DAA">
        <w:rPr>
          <w:rFonts w:ascii="Arial" w:hAnsi="Arial" w:cs="Arial"/>
          <w:bCs/>
          <w:sz w:val="24"/>
          <w:szCs w:val="24"/>
          <w:lang w:val="en-US"/>
        </w:rPr>
        <w:tab/>
      </w:r>
      <w:r w:rsidRPr="00ED6DAA">
        <w:rPr>
          <w:rFonts w:ascii="Arial" w:hAnsi="Arial" w:cs="Arial"/>
          <w:sz w:val="24"/>
          <w:szCs w:val="24"/>
          <w:lang w:val="en-US"/>
        </w:rPr>
        <w:t xml:space="preserve">(1)  Notwithstanding any purported ouster of jurisdiction, exclusive jurisdiction clause or agreement to refer any dispute to arbitration, and notwithstanding the provisions of the Arbitration Act, 1965 (Act No. 42 of 1965), </w:t>
      </w:r>
      <w:r w:rsidRPr="00ED6DAA">
        <w:rPr>
          <w:rFonts w:ascii="Arial" w:hAnsi="Arial" w:cs="Arial"/>
          <w:b/>
          <w:sz w:val="24"/>
          <w:szCs w:val="24"/>
          <w:lang w:val="en-US"/>
        </w:rPr>
        <w:t>[and]</w:t>
      </w:r>
      <w:r w:rsidRPr="00ED6DAA">
        <w:rPr>
          <w:rFonts w:ascii="Arial" w:hAnsi="Arial" w:cs="Arial"/>
          <w:sz w:val="24"/>
          <w:szCs w:val="24"/>
          <w:lang w:val="en-US"/>
        </w:rPr>
        <w:t xml:space="preserve"> of section 7 (1) (</w:t>
      </w:r>
      <w:r w:rsidRPr="00ED6DAA">
        <w:rPr>
          <w:rFonts w:ascii="Arial" w:hAnsi="Arial" w:cs="Arial"/>
          <w:i/>
          <w:iCs/>
          <w:sz w:val="24"/>
          <w:szCs w:val="24"/>
          <w:lang w:val="en-US"/>
        </w:rPr>
        <w:t>b</w:t>
      </w:r>
      <w:r w:rsidRPr="00ED6DAA">
        <w:rPr>
          <w:rFonts w:ascii="Arial" w:hAnsi="Arial" w:cs="Arial"/>
          <w:sz w:val="24"/>
          <w:szCs w:val="24"/>
          <w:lang w:val="en-US"/>
        </w:rPr>
        <w:t xml:space="preserve">) of the Admiralty Jurisdiction Regulation Act, 1983 (Act No. 105 of 1983) </w:t>
      </w:r>
      <w:r w:rsidRPr="00ED6DAA">
        <w:rPr>
          <w:rFonts w:ascii="Arial" w:hAnsi="Arial" w:cs="Arial"/>
          <w:sz w:val="24"/>
          <w:szCs w:val="24"/>
          <w:u w:val="single"/>
          <w:lang w:val="en-US"/>
        </w:rPr>
        <w:t>and the International Arbitration Act, 2017</w:t>
      </w:r>
      <w:r w:rsidRPr="00ED6DAA">
        <w:rPr>
          <w:rFonts w:ascii="Arial" w:hAnsi="Arial" w:cs="Arial"/>
          <w:sz w:val="24"/>
          <w:szCs w:val="24"/>
          <w:lang w:val="en-US"/>
        </w:rPr>
        <w:t xml:space="preserve">, any person carrying on business in the Republic and the consignee under, or holder of, any bill of lading, waybill or like document for the carriage of goods to a destination in the Republic or to any port in the Republic, whether </w:t>
      </w:r>
      <w:r w:rsidRPr="00ED6DAA">
        <w:rPr>
          <w:rFonts w:ascii="Arial" w:hAnsi="Arial" w:cs="Arial"/>
          <w:sz w:val="24"/>
          <w:szCs w:val="24"/>
          <w:lang w:val="en-US"/>
        </w:rPr>
        <w:lastRenderedPageBreak/>
        <w:t>for final discharge or for discharge or for discharge for further carriage, may bring any action relating to the carriage of the said goods or any such bill of lading, waybill or document in a competent court in the Republic.</w:t>
      </w:r>
    </w:p>
    <w:p w:rsidR="00ED6DAA" w:rsidRDefault="00ED6DAA" w:rsidP="00F232D9">
      <w:pPr>
        <w:spacing w:after="0" w:line="360" w:lineRule="auto"/>
        <w:rPr>
          <w:rFonts w:ascii="Arial" w:hAnsi="Arial" w:cs="Arial"/>
          <w:sz w:val="24"/>
          <w:szCs w:val="24"/>
          <w:lang w:val="en-US"/>
        </w:rPr>
      </w:pPr>
      <w:r w:rsidRPr="00ED6DAA">
        <w:rPr>
          <w:rFonts w:ascii="Arial" w:hAnsi="Arial" w:cs="Arial"/>
          <w:sz w:val="24"/>
          <w:szCs w:val="24"/>
          <w:lang w:val="en-US"/>
        </w:rPr>
        <w:tab/>
      </w:r>
      <w:r w:rsidRPr="00ED6DAA">
        <w:rPr>
          <w:rFonts w:ascii="Arial" w:hAnsi="Arial" w:cs="Arial"/>
          <w:sz w:val="24"/>
          <w:szCs w:val="24"/>
          <w:lang w:val="en-US"/>
        </w:rPr>
        <w:tab/>
        <w:t>(2)</w:t>
      </w:r>
      <w:r w:rsidRPr="00ED6DAA">
        <w:rPr>
          <w:rFonts w:ascii="Arial" w:hAnsi="Arial" w:cs="Arial"/>
          <w:sz w:val="24"/>
          <w:szCs w:val="24"/>
          <w:lang w:val="en-US"/>
        </w:rPr>
        <w:tab/>
        <w:t xml:space="preserve">The provisions of subsection (1) of this section shall not apply to arbitration proceedings to be held in the Republic which are subject to the provisions of the </w:t>
      </w:r>
      <w:r w:rsidRPr="00ED6DAA">
        <w:rPr>
          <w:rFonts w:ascii="Arial" w:hAnsi="Arial" w:cs="Arial"/>
          <w:b/>
          <w:sz w:val="24"/>
          <w:szCs w:val="24"/>
          <w:lang w:val="en-US"/>
        </w:rPr>
        <w:t>[Arbitration Act, 1965]</w:t>
      </w:r>
      <w:r w:rsidRPr="00ED6DAA">
        <w:rPr>
          <w:rFonts w:ascii="Arial" w:hAnsi="Arial" w:cs="Arial"/>
          <w:sz w:val="24"/>
          <w:szCs w:val="24"/>
          <w:lang w:val="en-US"/>
        </w:rPr>
        <w:t xml:space="preserve"> </w:t>
      </w:r>
      <w:r w:rsidRPr="00ED6DAA">
        <w:rPr>
          <w:rFonts w:ascii="Arial" w:hAnsi="Arial" w:cs="Arial"/>
          <w:sz w:val="24"/>
          <w:szCs w:val="24"/>
          <w:u w:val="single"/>
          <w:lang w:val="en-US"/>
        </w:rPr>
        <w:t>arbitration laws of the Republic</w:t>
      </w:r>
      <w:r w:rsidRPr="00ED6DAA">
        <w:rPr>
          <w:rFonts w:ascii="Arial" w:hAnsi="Arial" w:cs="Arial"/>
          <w:sz w:val="24"/>
          <w:szCs w:val="24"/>
          <w:lang w:val="en-US"/>
        </w:rPr>
        <w:t>.”.</w:t>
      </w:r>
    </w:p>
    <w:p w:rsidR="00733E56" w:rsidRDefault="00733E56" w:rsidP="00777AC2">
      <w:pPr>
        <w:spacing w:after="0" w:line="240" w:lineRule="auto"/>
        <w:jc w:val="center"/>
        <w:rPr>
          <w:rFonts w:ascii="Arial" w:hAnsi="Arial" w:cs="Arial"/>
          <w:b/>
          <w:sz w:val="24"/>
          <w:szCs w:val="24"/>
          <w:lang w:val="en-US"/>
        </w:rPr>
      </w:pPr>
    </w:p>
    <w:sectPr w:rsidR="00733E56" w:rsidSect="00BB7B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48" w:rsidRDefault="00E77D48" w:rsidP="00CB1E04">
      <w:pPr>
        <w:spacing w:after="0" w:line="240" w:lineRule="auto"/>
      </w:pPr>
      <w:r>
        <w:separator/>
      </w:r>
    </w:p>
  </w:endnote>
  <w:endnote w:type="continuationSeparator" w:id="0">
    <w:p w:rsidR="00E77D48" w:rsidRDefault="00E77D48" w:rsidP="00CB1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48" w:rsidRDefault="00E77D48" w:rsidP="00CB1E04">
      <w:pPr>
        <w:spacing w:after="0" w:line="240" w:lineRule="auto"/>
      </w:pPr>
      <w:r>
        <w:separator/>
      </w:r>
    </w:p>
  </w:footnote>
  <w:footnote w:type="continuationSeparator" w:id="0">
    <w:p w:rsidR="00E77D48" w:rsidRDefault="00E77D48" w:rsidP="00CB1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482714"/>
      <w:docPartObj>
        <w:docPartGallery w:val="Page Numbers (Top of Page)"/>
        <w:docPartUnique/>
      </w:docPartObj>
    </w:sdtPr>
    <w:sdtEndPr>
      <w:rPr>
        <w:noProof/>
      </w:rPr>
    </w:sdtEndPr>
    <w:sdtContent>
      <w:p w:rsidR="00CB1E04" w:rsidRDefault="00BB7B20">
        <w:pPr>
          <w:pStyle w:val="Header"/>
          <w:jc w:val="center"/>
        </w:pPr>
        <w:r>
          <w:fldChar w:fldCharType="begin"/>
        </w:r>
        <w:r w:rsidR="00CB1E04">
          <w:instrText xml:space="preserve"> PAGE   \* MERGEFORMAT </w:instrText>
        </w:r>
        <w:r>
          <w:fldChar w:fldCharType="separate"/>
        </w:r>
        <w:r w:rsidR="00B14B75">
          <w:rPr>
            <w:noProof/>
          </w:rPr>
          <w:t>2</w:t>
        </w:r>
        <w:r>
          <w:rPr>
            <w:noProof/>
          </w:rPr>
          <w:fldChar w:fldCharType="end"/>
        </w:r>
      </w:p>
    </w:sdtContent>
  </w:sdt>
  <w:p w:rsidR="00CB1E04" w:rsidRDefault="00CB1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5322"/>
    <w:rsid w:val="00010B7A"/>
    <w:rsid w:val="001823BC"/>
    <w:rsid w:val="00236B13"/>
    <w:rsid w:val="00285322"/>
    <w:rsid w:val="002B252C"/>
    <w:rsid w:val="003904D9"/>
    <w:rsid w:val="003938AC"/>
    <w:rsid w:val="005403C4"/>
    <w:rsid w:val="00733E56"/>
    <w:rsid w:val="00762906"/>
    <w:rsid w:val="00777AC2"/>
    <w:rsid w:val="0084672A"/>
    <w:rsid w:val="00897AB1"/>
    <w:rsid w:val="008A6B7A"/>
    <w:rsid w:val="009070CB"/>
    <w:rsid w:val="009826C9"/>
    <w:rsid w:val="00B14B75"/>
    <w:rsid w:val="00B34874"/>
    <w:rsid w:val="00B407F8"/>
    <w:rsid w:val="00B4491D"/>
    <w:rsid w:val="00B72FA7"/>
    <w:rsid w:val="00BB7B20"/>
    <w:rsid w:val="00C67755"/>
    <w:rsid w:val="00CB1E04"/>
    <w:rsid w:val="00CF7542"/>
    <w:rsid w:val="00DB65B2"/>
    <w:rsid w:val="00DC37C1"/>
    <w:rsid w:val="00DD6659"/>
    <w:rsid w:val="00E221DC"/>
    <w:rsid w:val="00E57414"/>
    <w:rsid w:val="00E77D48"/>
    <w:rsid w:val="00ED6DAA"/>
    <w:rsid w:val="00F232D9"/>
    <w:rsid w:val="00FB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72A"/>
    <w:rPr>
      <w:sz w:val="20"/>
      <w:szCs w:val="20"/>
      <w:lang w:val="en-GB"/>
    </w:rPr>
  </w:style>
  <w:style w:type="paragraph" w:styleId="Header">
    <w:name w:val="header"/>
    <w:basedOn w:val="Normal"/>
    <w:link w:val="HeaderChar"/>
    <w:uiPriority w:val="99"/>
    <w:unhideWhenUsed/>
    <w:rsid w:val="00CB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04"/>
    <w:rPr>
      <w:lang w:val="en-GB"/>
    </w:rPr>
  </w:style>
  <w:style w:type="paragraph" w:styleId="Footer">
    <w:name w:val="footer"/>
    <w:basedOn w:val="Normal"/>
    <w:link w:val="FooterChar"/>
    <w:uiPriority w:val="99"/>
    <w:unhideWhenUsed/>
    <w:rsid w:val="00CB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04"/>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Theresa</dc:creator>
  <cp:lastModifiedBy>PUMZA</cp:lastModifiedBy>
  <cp:revision>2</cp:revision>
  <dcterms:created xsi:type="dcterms:W3CDTF">2017-10-12T10:03:00Z</dcterms:created>
  <dcterms:modified xsi:type="dcterms:W3CDTF">2017-10-12T10:03:00Z</dcterms:modified>
</cp:coreProperties>
</file>