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F3" w:rsidRPr="005C12C2" w:rsidRDefault="008235F3" w:rsidP="005C12C2">
      <w:pPr>
        <w:spacing w:line="240" w:lineRule="auto"/>
        <w:jc w:val="center"/>
        <w:rPr>
          <w:rFonts w:ascii="Arial" w:hAnsi="Arial" w:cs="Arial"/>
          <w:b/>
          <w:lang w:val="en-ZA"/>
        </w:rPr>
      </w:pPr>
      <w:bookmarkStart w:id="0" w:name="_GoBack"/>
      <w:bookmarkEnd w:id="0"/>
      <w:r w:rsidRPr="005C12C2">
        <w:rPr>
          <w:rFonts w:ascii="Arial" w:hAnsi="Arial" w:cs="Arial"/>
          <w:b/>
          <w:lang w:val="en-ZA"/>
        </w:rPr>
        <w:t xml:space="preserve">SUMMARY OF WRITTEN SUBMISSIONS: BILL </w:t>
      </w:r>
    </w:p>
    <w:p w:rsidR="008235F3" w:rsidRPr="005C12C2" w:rsidRDefault="008235F3" w:rsidP="005C12C2">
      <w:pPr>
        <w:numPr>
          <w:ilvl w:val="0"/>
          <w:numId w:val="1"/>
        </w:numPr>
        <w:spacing w:line="240" w:lineRule="auto"/>
        <w:jc w:val="both"/>
        <w:rPr>
          <w:rFonts w:ascii="Arial" w:hAnsi="Arial" w:cs="Arial"/>
          <w:lang w:val="en-ZA"/>
        </w:rPr>
      </w:pPr>
      <w:r w:rsidRPr="005C12C2">
        <w:rPr>
          <w:rFonts w:ascii="Arial" w:hAnsi="Arial" w:cs="Arial"/>
          <w:lang w:val="en-ZA"/>
        </w:rPr>
        <w:t>Table 1 provides a clause by clause summary of the submissions.</w:t>
      </w:r>
    </w:p>
    <w:p w:rsidR="008235F3" w:rsidRPr="005C12C2" w:rsidRDefault="008235F3" w:rsidP="005C12C2">
      <w:pPr>
        <w:numPr>
          <w:ilvl w:val="0"/>
          <w:numId w:val="1"/>
        </w:numPr>
        <w:spacing w:line="240" w:lineRule="auto"/>
        <w:jc w:val="both"/>
        <w:rPr>
          <w:rFonts w:ascii="Arial" w:hAnsi="Arial" w:cs="Arial"/>
          <w:lang w:val="en-ZA"/>
        </w:rPr>
      </w:pPr>
      <w:r w:rsidRPr="005C12C2">
        <w:rPr>
          <w:rFonts w:ascii="Arial" w:hAnsi="Arial" w:cs="Arial"/>
          <w:lang w:val="en-ZA"/>
        </w:rPr>
        <w:t>Table 2 reflects general recommendations.</w:t>
      </w:r>
    </w:p>
    <w:p w:rsidR="008235F3" w:rsidRPr="005C12C2" w:rsidRDefault="008235F3" w:rsidP="005C12C2">
      <w:pPr>
        <w:spacing w:line="240" w:lineRule="auto"/>
        <w:jc w:val="center"/>
        <w:rPr>
          <w:rFonts w:ascii="Arial" w:hAnsi="Arial" w:cs="Arial"/>
          <w:b/>
          <w:lang w:val="en-GB"/>
        </w:rPr>
      </w:pPr>
      <w:r w:rsidRPr="005C12C2">
        <w:rPr>
          <w:rFonts w:ascii="Arial" w:hAnsi="Arial" w:cs="Arial"/>
          <w:b/>
          <w:lang w:val="en-GB"/>
        </w:rPr>
        <w:t>TABLE</w:t>
      </w:r>
      <w:r w:rsidR="007A0777">
        <w:rPr>
          <w:rFonts w:ascii="Arial" w:hAnsi="Arial" w:cs="Arial"/>
          <w:b/>
          <w:lang w:val="en-GB"/>
        </w:rPr>
        <w:t>:</w:t>
      </w:r>
      <w:r w:rsidRPr="005C12C2">
        <w:rPr>
          <w:rFonts w:ascii="Arial" w:hAnsi="Arial" w:cs="Arial"/>
          <w:b/>
          <w:lang w:val="en-GB"/>
        </w:rPr>
        <w:t xml:space="preserve"> 1</w:t>
      </w:r>
    </w:p>
    <w:p w:rsidR="008235F3" w:rsidRPr="005C12C2" w:rsidRDefault="008235F3" w:rsidP="005C12C2">
      <w:pPr>
        <w:spacing w:line="240" w:lineRule="auto"/>
        <w:jc w:val="center"/>
        <w:rPr>
          <w:rFonts w:ascii="Arial" w:hAnsi="Arial" w:cs="Arial"/>
          <w:b/>
          <w:lang w:val="en-GB"/>
        </w:rPr>
      </w:pPr>
      <w:r w:rsidRPr="005C12C2">
        <w:rPr>
          <w:rFonts w:ascii="Arial" w:hAnsi="Arial" w:cs="Arial"/>
          <w:b/>
          <w:lang w:val="en-GB"/>
        </w:rPr>
        <w:t>Submissions by clause</w:t>
      </w:r>
    </w:p>
    <w:tbl>
      <w:tblPr>
        <w:tblStyle w:val="TableGrid"/>
        <w:tblW w:w="0" w:type="auto"/>
        <w:tblCellMar>
          <w:left w:w="115" w:type="dxa"/>
          <w:right w:w="115" w:type="dxa"/>
        </w:tblCellMar>
        <w:tblLook w:val="04A0"/>
      </w:tblPr>
      <w:tblGrid>
        <w:gridCol w:w="1966"/>
        <w:gridCol w:w="1954"/>
        <w:gridCol w:w="4655"/>
        <w:gridCol w:w="4615"/>
      </w:tblGrid>
      <w:tr w:rsidR="008235F3" w:rsidRPr="005C12C2" w:rsidTr="00762568">
        <w:trPr>
          <w:tblHeader/>
        </w:trPr>
        <w:tc>
          <w:tcPr>
            <w:tcW w:w="0" w:type="auto"/>
          </w:tcPr>
          <w:p w:rsidR="008F5BAC" w:rsidRPr="005C12C2" w:rsidRDefault="008235F3" w:rsidP="005C12C2">
            <w:pPr>
              <w:jc w:val="center"/>
              <w:rPr>
                <w:rFonts w:ascii="Arial" w:hAnsi="Arial" w:cs="Arial"/>
                <w:b/>
              </w:rPr>
            </w:pPr>
            <w:r w:rsidRPr="005C12C2">
              <w:rPr>
                <w:rFonts w:ascii="Arial" w:hAnsi="Arial" w:cs="Arial"/>
                <w:b/>
              </w:rPr>
              <w:t>CLAUSE</w:t>
            </w:r>
            <w:r w:rsidR="00063074" w:rsidRPr="005C12C2">
              <w:rPr>
                <w:rFonts w:ascii="Arial" w:hAnsi="Arial" w:cs="Arial"/>
                <w:b/>
              </w:rPr>
              <w:t>/THEME</w:t>
            </w:r>
          </w:p>
        </w:tc>
        <w:tc>
          <w:tcPr>
            <w:tcW w:w="1954" w:type="dxa"/>
          </w:tcPr>
          <w:p w:rsidR="008235F3" w:rsidRPr="005C12C2" w:rsidRDefault="008235F3" w:rsidP="005C12C2">
            <w:pPr>
              <w:jc w:val="center"/>
              <w:rPr>
                <w:rFonts w:ascii="Arial" w:hAnsi="Arial" w:cs="Arial"/>
                <w:b/>
              </w:rPr>
            </w:pPr>
            <w:r w:rsidRPr="005C12C2">
              <w:rPr>
                <w:rFonts w:ascii="Arial" w:hAnsi="Arial" w:cs="Arial"/>
                <w:b/>
              </w:rPr>
              <w:t>NAME</w:t>
            </w:r>
          </w:p>
        </w:tc>
        <w:tc>
          <w:tcPr>
            <w:tcW w:w="4655" w:type="dxa"/>
          </w:tcPr>
          <w:p w:rsidR="008235F3" w:rsidRPr="005C12C2" w:rsidRDefault="008235F3" w:rsidP="005C12C2">
            <w:pPr>
              <w:jc w:val="center"/>
              <w:rPr>
                <w:rFonts w:ascii="Arial" w:hAnsi="Arial" w:cs="Arial"/>
                <w:b/>
              </w:rPr>
            </w:pPr>
            <w:r w:rsidRPr="005C12C2">
              <w:rPr>
                <w:rFonts w:ascii="Arial" w:hAnsi="Arial" w:cs="Arial"/>
                <w:b/>
              </w:rPr>
              <w:t>SUBMISSION / RECOMMENDATION</w:t>
            </w:r>
          </w:p>
        </w:tc>
        <w:tc>
          <w:tcPr>
            <w:tcW w:w="4615" w:type="dxa"/>
          </w:tcPr>
          <w:p w:rsidR="00D21AB8" w:rsidRDefault="008235F3" w:rsidP="005C12C2">
            <w:pPr>
              <w:jc w:val="center"/>
              <w:rPr>
                <w:rFonts w:ascii="Arial" w:hAnsi="Arial" w:cs="Arial"/>
                <w:b/>
              </w:rPr>
            </w:pPr>
            <w:r w:rsidRPr="005C12C2">
              <w:rPr>
                <w:rFonts w:ascii="Arial" w:hAnsi="Arial" w:cs="Arial"/>
                <w:b/>
              </w:rPr>
              <w:t>DOJCD RESPONSE</w:t>
            </w:r>
          </w:p>
          <w:p w:rsidR="00D21AB8" w:rsidRPr="005C12C2" w:rsidRDefault="00D21AB8" w:rsidP="005C12C2">
            <w:pPr>
              <w:jc w:val="center"/>
              <w:rPr>
                <w:rFonts w:ascii="Arial" w:hAnsi="Arial" w:cs="Arial"/>
                <w:b/>
              </w:rPr>
            </w:pPr>
          </w:p>
        </w:tc>
      </w:tr>
      <w:tr w:rsidR="003C729C" w:rsidRPr="005C12C2" w:rsidTr="00762568">
        <w:trPr>
          <w:trHeight w:val="570"/>
        </w:trPr>
        <w:tc>
          <w:tcPr>
            <w:tcW w:w="0" w:type="auto"/>
          </w:tcPr>
          <w:p w:rsidR="003C729C" w:rsidRPr="005C12C2" w:rsidRDefault="00121F94" w:rsidP="000361C4">
            <w:pPr>
              <w:rPr>
                <w:rFonts w:ascii="Arial" w:hAnsi="Arial" w:cs="Arial"/>
              </w:rPr>
            </w:pPr>
            <w:r>
              <w:rPr>
                <w:rFonts w:ascii="Arial" w:hAnsi="Arial" w:cs="Arial"/>
              </w:rPr>
              <w:t>1</w:t>
            </w:r>
            <w:r w:rsidR="000361C4">
              <w:rPr>
                <w:rFonts w:ascii="Arial" w:hAnsi="Arial" w:cs="Arial"/>
              </w:rPr>
              <w:t xml:space="preserve"> </w:t>
            </w:r>
            <w:r>
              <w:rPr>
                <w:rFonts w:ascii="Arial" w:hAnsi="Arial" w:cs="Arial"/>
              </w:rPr>
              <w:t>(Definitions)</w:t>
            </w:r>
          </w:p>
        </w:tc>
        <w:tc>
          <w:tcPr>
            <w:tcW w:w="1954" w:type="dxa"/>
          </w:tcPr>
          <w:p w:rsidR="003C729C" w:rsidRPr="005C12C2" w:rsidRDefault="00121F94" w:rsidP="000361C4">
            <w:pPr>
              <w:rPr>
                <w:rFonts w:ascii="Arial" w:hAnsi="Arial" w:cs="Arial"/>
              </w:rPr>
            </w:pPr>
            <w:r>
              <w:rPr>
                <w:rFonts w:ascii="Arial" w:hAnsi="Arial" w:cs="Arial"/>
              </w:rPr>
              <w:t xml:space="preserve">Victoria Mxenge </w:t>
            </w:r>
            <w:r w:rsidR="000361C4">
              <w:rPr>
                <w:rFonts w:ascii="Arial" w:hAnsi="Arial" w:cs="Arial"/>
              </w:rPr>
              <w:t>G</w:t>
            </w:r>
            <w:r>
              <w:rPr>
                <w:rFonts w:ascii="Arial" w:hAnsi="Arial" w:cs="Arial"/>
              </w:rPr>
              <w:t xml:space="preserve">roup of </w:t>
            </w:r>
            <w:r w:rsidR="000361C4">
              <w:rPr>
                <w:rFonts w:ascii="Arial" w:hAnsi="Arial" w:cs="Arial"/>
              </w:rPr>
              <w:t>A</w:t>
            </w:r>
            <w:r>
              <w:rPr>
                <w:rFonts w:ascii="Arial" w:hAnsi="Arial" w:cs="Arial"/>
              </w:rPr>
              <w:t>dvocates (VM Group)</w:t>
            </w:r>
          </w:p>
        </w:tc>
        <w:tc>
          <w:tcPr>
            <w:tcW w:w="4655" w:type="dxa"/>
          </w:tcPr>
          <w:p w:rsidR="00235E3C" w:rsidRDefault="00CC40BE" w:rsidP="000361C4">
            <w:pPr>
              <w:rPr>
                <w:rFonts w:ascii="Arial" w:hAnsi="Arial" w:cs="Arial"/>
              </w:rPr>
            </w:pPr>
            <w:r w:rsidRPr="007C42D6">
              <w:rPr>
                <w:rFonts w:ascii="Arial" w:hAnsi="Arial" w:cs="Arial"/>
              </w:rPr>
              <w:t>1</w:t>
            </w:r>
            <w:r>
              <w:rPr>
                <w:rFonts w:ascii="Arial" w:hAnsi="Arial" w:cs="Arial"/>
              </w:rPr>
              <w:t xml:space="preserve">.  </w:t>
            </w:r>
            <w:r w:rsidR="007A5765">
              <w:rPr>
                <w:rFonts w:ascii="Arial" w:hAnsi="Arial" w:cs="Arial"/>
              </w:rPr>
              <w:t xml:space="preserve">The definition of arbitration agreement does not specify whether South Africa intends to adopt the definition as set out in option 1 or 2 of Article 7 of the Model Law.  If the intention is to adopt </w:t>
            </w:r>
            <w:r>
              <w:rPr>
                <w:rFonts w:ascii="Arial" w:hAnsi="Arial" w:cs="Arial"/>
              </w:rPr>
              <w:t xml:space="preserve">the definition detailed in option 2, the additional aspects set out in option 1, such as the nature of the written agreement and whether electronic communication would be acceptable as a written agreement should be incorporated elsewhere in the Bill.  It is therefore proposed that the definition of </w:t>
            </w:r>
            <w:r w:rsidRPr="00CC40BE">
              <w:rPr>
                <w:rFonts w:ascii="Arial" w:hAnsi="Arial" w:cs="Arial"/>
              </w:rPr>
              <w:t>arbitration agreement</w:t>
            </w:r>
            <w:r>
              <w:rPr>
                <w:rFonts w:ascii="Arial" w:hAnsi="Arial" w:cs="Arial"/>
              </w:rPr>
              <w:t xml:space="preserve"> clearly state that the definition in </w:t>
            </w:r>
            <w:r w:rsidRPr="00CC40BE">
              <w:rPr>
                <w:rFonts w:ascii="Arial" w:hAnsi="Arial" w:cs="Arial"/>
              </w:rPr>
              <w:t>arbitrati</w:t>
            </w:r>
            <w:r>
              <w:rPr>
                <w:rFonts w:ascii="Arial" w:hAnsi="Arial" w:cs="Arial"/>
              </w:rPr>
              <w:t xml:space="preserve">on in option 1 of Article 7 is </w:t>
            </w:r>
            <w:r w:rsidR="00FA3339">
              <w:rPr>
                <w:rFonts w:ascii="Arial" w:hAnsi="Arial" w:cs="Arial"/>
              </w:rPr>
              <w:t>adopted</w:t>
            </w:r>
            <w:r>
              <w:rPr>
                <w:rFonts w:ascii="Arial" w:hAnsi="Arial" w:cs="Arial"/>
              </w:rPr>
              <w:t xml:space="preserve"> and the definition should be reproduced in the Bill.</w:t>
            </w:r>
          </w:p>
          <w:p w:rsidR="000361C4" w:rsidRDefault="000361C4" w:rsidP="000361C4">
            <w:pPr>
              <w:rPr>
                <w:rFonts w:ascii="Arial" w:hAnsi="Arial" w:cs="Arial"/>
              </w:rPr>
            </w:pPr>
          </w:p>
          <w:p w:rsidR="00235E3C" w:rsidRDefault="00CC40BE" w:rsidP="000361C4">
            <w:pPr>
              <w:rPr>
                <w:rFonts w:ascii="Arial" w:hAnsi="Arial" w:cs="Arial"/>
              </w:rPr>
            </w:pPr>
            <w:r w:rsidRPr="007C42D6">
              <w:rPr>
                <w:rFonts w:ascii="Arial" w:hAnsi="Arial" w:cs="Arial"/>
              </w:rPr>
              <w:t>2.</w:t>
            </w:r>
            <w:r>
              <w:rPr>
                <w:rFonts w:ascii="Arial" w:hAnsi="Arial" w:cs="Arial"/>
              </w:rPr>
              <w:t xml:space="preserve">  </w:t>
            </w:r>
            <w:r w:rsidR="00FA3339">
              <w:rPr>
                <w:rFonts w:ascii="Arial" w:hAnsi="Arial" w:cs="Arial"/>
              </w:rPr>
              <w:t xml:space="preserve">The word </w:t>
            </w:r>
            <w:r w:rsidR="004804E5">
              <w:rPr>
                <w:rFonts w:ascii="Arial" w:hAnsi="Arial" w:cs="Arial"/>
              </w:rPr>
              <w:t>“</w:t>
            </w:r>
            <w:r w:rsidR="00FA3339">
              <w:rPr>
                <w:rFonts w:ascii="Arial" w:hAnsi="Arial" w:cs="Arial"/>
              </w:rPr>
              <w:t>international</w:t>
            </w:r>
            <w:r w:rsidR="004804E5">
              <w:rPr>
                <w:rFonts w:ascii="Arial" w:hAnsi="Arial" w:cs="Arial"/>
              </w:rPr>
              <w:t>”</w:t>
            </w:r>
            <w:r w:rsidR="00FA3339">
              <w:rPr>
                <w:rFonts w:ascii="Arial" w:hAnsi="Arial" w:cs="Arial"/>
              </w:rPr>
              <w:t xml:space="preserve"> should be defined</w:t>
            </w:r>
            <w:r w:rsidR="004804E5">
              <w:rPr>
                <w:rFonts w:ascii="Arial" w:hAnsi="Arial" w:cs="Arial"/>
              </w:rPr>
              <w:t>.</w:t>
            </w:r>
            <w:r w:rsidR="00FA3339">
              <w:rPr>
                <w:rFonts w:ascii="Arial" w:hAnsi="Arial" w:cs="Arial"/>
              </w:rPr>
              <w:t xml:space="preserve"> </w:t>
            </w:r>
            <w:r w:rsidR="004804E5">
              <w:rPr>
                <w:rFonts w:ascii="Arial" w:hAnsi="Arial" w:cs="Arial"/>
              </w:rPr>
              <w:t>This</w:t>
            </w:r>
            <w:r w:rsidR="00FA3339">
              <w:rPr>
                <w:rFonts w:ascii="Arial" w:hAnsi="Arial" w:cs="Arial"/>
              </w:rPr>
              <w:t xml:space="preserve"> will </w:t>
            </w:r>
            <w:r w:rsidR="004804E5">
              <w:rPr>
                <w:rFonts w:ascii="Arial" w:hAnsi="Arial" w:cs="Arial"/>
              </w:rPr>
              <w:t xml:space="preserve">prevent </w:t>
            </w:r>
            <w:r w:rsidR="00FA3339">
              <w:rPr>
                <w:rFonts w:ascii="Arial" w:hAnsi="Arial" w:cs="Arial"/>
              </w:rPr>
              <w:t>any dispute on whether the guidance provided in Article 1(3) of the Model Law is deemed to be the understanding of “international” for the purposes of the Bill.</w:t>
            </w:r>
          </w:p>
          <w:p w:rsidR="00235E3C" w:rsidRDefault="00235E3C" w:rsidP="00121F94">
            <w:pPr>
              <w:jc w:val="both"/>
              <w:rPr>
                <w:rFonts w:ascii="Arial" w:hAnsi="Arial" w:cs="Arial"/>
              </w:rPr>
            </w:pPr>
          </w:p>
          <w:p w:rsidR="00235E3C" w:rsidRPr="005C12C2" w:rsidRDefault="00235E3C" w:rsidP="00121F94">
            <w:pPr>
              <w:jc w:val="both"/>
              <w:rPr>
                <w:rFonts w:ascii="Arial" w:hAnsi="Arial" w:cs="Arial"/>
              </w:rPr>
            </w:pPr>
          </w:p>
        </w:tc>
        <w:tc>
          <w:tcPr>
            <w:tcW w:w="4615" w:type="dxa"/>
          </w:tcPr>
          <w:p w:rsidR="0087542D" w:rsidRPr="000361C4" w:rsidRDefault="000361C4" w:rsidP="000361C4">
            <w:pPr>
              <w:rPr>
                <w:rFonts w:ascii="Arial" w:hAnsi="Arial" w:cs="Arial"/>
              </w:rPr>
            </w:pPr>
            <w:r w:rsidRPr="000361C4">
              <w:rPr>
                <w:rFonts w:ascii="Arial" w:hAnsi="Arial" w:cs="Arial"/>
              </w:rPr>
              <w:t xml:space="preserve">VM Group </w:t>
            </w:r>
            <w:r w:rsidR="0087542D" w:rsidRPr="000361C4">
              <w:rPr>
                <w:rFonts w:ascii="Arial" w:hAnsi="Arial" w:cs="Arial"/>
              </w:rPr>
              <w:t xml:space="preserve">indicated during </w:t>
            </w:r>
            <w:r>
              <w:rPr>
                <w:rFonts w:ascii="Arial" w:hAnsi="Arial" w:cs="Arial"/>
              </w:rPr>
              <w:t xml:space="preserve">the </w:t>
            </w:r>
            <w:r w:rsidR="0087542D" w:rsidRPr="000361C4">
              <w:rPr>
                <w:rFonts w:ascii="Arial" w:hAnsi="Arial" w:cs="Arial"/>
              </w:rPr>
              <w:t>public hearings on the Bill that the</w:t>
            </w:r>
            <w:r w:rsidRPr="000361C4">
              <w:rPr>
                <w:rFonts w:ascii="Arial" w:hAnsi="Arial" w:cs="Arial"/>
              </w:rPr>
              <w:t>ir concern has been addressed in the Bill introduced into Parliament because Opt</w:t>
            </w:r>
            <w:r>
              <w:rPr>
                <w:rFonts w:ascii="Arial" w:hAnsi="Arial" w:cs="Arial"/>
              </w:rPr>
              <w:t>ion 1 in Article 7 of the Model Law has been adopted in the Bill.</w:t>
            </w:r>
            <w:r w:rsidR="0087542D" w:rsidRPr="000361C4">
              <w:rPr>
                <w:rFonts w:ascii="Arial" w:hAnsi="Arial" w:cs="Arial"/>
              </w:rPr>
              <w:t xml:space="preserve"> </w:t>
            </w:r>
          </w:p>
          <w:p w:rsidR="0087542D" w:rsidRDefault="0087542D" w:rsidP="000361C4">
            <w:pPr>
              <w:rPr>
                <w:rFonts w:ascii="Arial" w:hAnsi="Arial" w:cs="Arial"/>
              </w:rPr>
            </w:pPr>
          </w:p>
          <w:p w:rsidR="0087542D" w:rsidRDefault="0087542D" w:rsidP="000361C4">
            <w:pPr>
              <w:rPr>
                <w:rFonts w:ascii="Arial" w:hAnsi="Arial" w:cs="Arial"/>
              </w:rPr>
            </w:pPr>
          </w:p>
          <w:p w:rsidR="00762568" w:rsidRDefault="00762568" w:rsidP="000361C4">
            <w:pPr>
              <w:rPr>
                <w:rFonts w:ascii="Arial" w:hAnsi="Arial" w:cs="Arial"/>
              </w:rPr>
            </w:pPr>
          </w:p>
          <w:p w:rsidR="00762568" w:rsidRDefault="00762568" w:rsidP="000361C4">
            <w:pPr>
              <w:rPr>
                <w:rFonts w:ascii="Arial" w:hAnsi="Arial" w:cs="Arial"/>
              </w:rPr>
            </w:pPr>
          </w:p>
          <w:p w:rsidR="00762568" w:rsidRDefault="00762568" w:rsidP="000361C4">
            <w:pPr>
              <w:rPr>
                <w:rFonts w:ascii="Arial" w:hAnsi="Arial" w:cs="Arial"/>
              </w:rPr>
            </w:pPr>
          </w:p>
          <w:p w:rsidR="00762568" w:rsidRDefault="00762568" w:rsidP="000361C4">
            <w:pPr>
              <w:rPr>
                <w:rFonts w:ascii="Arial" w:hAnsi="Arial" w:cs="Arial"/>
              </w:rPr>
            </w:pPr>
          </w:p>
          <w:p w:rsidR="00762568" w:rsidRDefault="00762568" w:rsidP="000361C4">
            <w:pPr>
              <w:rPr>
                <w:rFonts w:ascii="Arial" w:hAnsi="Arial" w:cs="Arial"/>
              </w:rPr>
            </w:pPr>
          </w:p>
          <w:p w:rsidR="00762568" w:rsidRDefault="00762568" w:rsidP="000361C4">
            <w:pPr>
              <w:rPr>
                <w:rFonts w:ascii="Arial" w:hAnsi="Arial" w:cs="Arial"/>
              </w:rPr>
            </w:pPr>
          </w:p>
          <w:p w:rsidR="00762568" w:rsidRDefault="00762568" w:rsidP="000361C4">
            <w:pPr>
              <w:rPr>
                <w:rFonts w:ascii="Arial" w:hAnsi="Arial" w:cs="Arial"/>
              </w:rPr>
            </w:pPr>
          </w:p>
          <w:p w:rsidR="00762568" w:rsidRDefault="00762568" w:rsidP="000361C4">
            <w:pPr>
              <w:rPr>
                <w:rFonts w:ascii="Arial" w:hAnsi="Arial" w:cs="Arial"/>
              </w:rPr>
            </w:pPr>
          </w:p>
          <w:p w:rsidR="00762568" w:rsidRDefault="00762568" w:rsidP="000361C4">
            <w:pPr>
              <w:rPr>
                <w:rFonts w:ascii="Arial" w:hAnsi="Arial" w:cs="Arial"/>
              </w:rPr>
            </w:pPr>
          </w:p>
          <w:p w:rsidR="003C729C" w:rsidRPr="0087542D" w:rsidRDefault="0087542D" w:rsidP="000361C4">
            <w:pPr>
              <w:rPr>
                <w:rFonts w:ascii="Arial" w:hAnsi="Arial" w:cs="Arial"/>
              </w:rPr>
            </w:pPr>
            <w:r>
              <w:rPr>
                <w:rFonts w:ascii="Arial" w:hAnsi="Arial" w:cs="Arial"/>
              </w:rPr>
              <w:t>2</w:t>
            </w:r>
            <w:r w:rsidRPr="0087542D">
              <w:rPr>
                <w:rFonts w:ascii="Arial" w:hAnsi="Arial" w:cs="Arial"/>
              </w:rPr>
              <w:t xml:space="preserve">.  </w:t>
            </w:r>
            <w:r w:rsidR="000361C4">
              <w:rPr>
                <w:rFonts w:ascii="Arial" w:hAnsi="Arial" w:cs="Arial"/>
              </w:rPr>
              <w:t xml:space="preserve">VM Group </w:t>
            </w:r>
            <w:r w:rsidRPr="0087542D">
              <w:rPr>
                <w:rFonts w:ascii="Arial" w:hAnsi="Arial" w:cs="Arial"/>
              </w:rPr>
              <w:t xml:space="preserve">indicated in a presentation during </w:t>
            </w:r>
            <w:r w:rsidR="000361C4">
              <w:rPr>
                <w:rFonts w:ascii="Arial" w:hAnsi="Arial" w:cs="Arial"/>
              </w:rPr>
              <w:t xml:space="preserve">the </w:t>
            </w:r>
            <w:r w:rsidRPr="0087542D">
              <w:rPr>
                <w:rFonts w:ascii="Arial" w:hAnsi="Arial" w:cs="Arial"/>
              </w:rPr>
              <w:t>public hearings on the Bill that the</w:t>
            </w:r>
            <w:r w:rsidR="000361C4">
              <w:rPr>
                <w:rFonts w:ascii="Arial" w:hAnsi="Arial" w:cs="Arial"/>
              </w:rPr>
              <w:t>ir comment in this regard is no</w:t>
            </w:r>
            <w:r w:rsidRPr="0087542D">
              <w:rPr>
                <w:rFonts w:ascii="Arial" w:hAnsi="Arial" w:cs="Arial"/>
              </w:rPr>
              <w:t xml:space="preserve"> longer </w:t>
            </w:r>
            <w:r w:rsidR="000361C4">
              <w:rPr>
                <w:rFonts w:ascii="Arial" w:hAnsi="Arial" w:cs="Arial"/>
              </w:rPr>
              <w:t>relevant</w:t>
            </w:r>
            <w:r w:rsidRPr="0087542D">
              <w:rPr>
                <w:rFonts w:ascii="Arial" w:hAnsi="Arial" w:cs="Arial"/>
              </w:rPr>
              <w:t>.</w:t>
            </w:r>
          </w:p>
        </w:tc>
      </w:tr>
      <w:tr w:rsidR="00673E8F" w:rsidRPr="005C12C2" w:rsidTr="00762568">
        <w:trPr>
          <w:trHeight w:val="1455"/>
        </w:trPr>
        <w:tc>
          <w:tcPr>
            <w:tcW w:w="0" w:type="auto"/>
          </w:tcPr>
          <w:p w:rsidR="00673E8F" w:rsidRDefault="00121F94" w:rsidP="00C40FC0">
            <w:pPr>
              <w:rPr>
                <w:rFonts w:ascii="Arial" w:hAnsi="Arial" w:cs="Arial"/>
              </w:rPr>
            </w:pPr>
            <w:r>
              <w:rPr>
                <w:rFonts w:ascii="Arial" w:hAnsi="Arial" w:cs="Arial"/>
              </w:rPr>
              <w:lastRenderedPageBreak/>
              <w:t>2</w:t>
            </w:r>
            <w:r w:rsidR="000361C4">
              <w:rPr>
                <w:rFonts w:ascii="Arial" w:hAnsi="Arial" w:cs="Arial"/>
              </w:rPr>
              <w:t xml:space="preserve">.  </w:t>
            </w:r>
            <w:r w:rsidR="004804E5">
              <w:rPr>
                <w:rFonts w:ascii="Arial" w:hAnsi="Arial" w:cs="Arial"/>
              </w:rPr>
              <w:t xml:space="preserve"> Interpretation</w:t>
            </w:r>
          </w:p>
        </w:tc>
        <w:tc>
          <w:tcPr>
            <w:tcW w:w="1954" w:type="dxa"/>
          </w:tcPr>
          <w:p w:rsidR="00673E8F" w:rsidRDefault="0095602A" w:rsidP="00C40FC0">
            <w:pPr>
              <w:rPr>
                <w:rFonts w:ascii="Arial" w:hAnsi="Arial" w:cs="Arial"/>
              </w:rPr>
            </w:pPr>
            <w:r w:rsidRPr="0095602A">
              <w:rPr>
                <w:rFonts w:ascii="Arial" w:hAnsi="Arial" w:cs="Arial"/>
              </w:rPr>
              <w:t>VM Group</w:t>
            </w:r>
          </w:p>
        </w:tc>
        <w:tc>
          <w:tcPr>
            <w:tcW w:w="4655" w:type="dxa"/>
          </w:tcPr>
          <w:p w:rsidR="00D75ED1" w:rsidRDefault="00D75ED1" w:rsidP="00C40FC0">
            <w:pPr>
              <w:rPr>
                <w:rFonts w:ascii="Arial" w:hAnsi="Arial" w:cs="Arial"/>
              </w:rPr>
            </w:pPr>
            <w:r>
              <w:rPr>
                <w:rFonts w:ascii="Arial" w:hAnsi="Arial" w:cs="Arial"/>
              </w:rPr>
              <w:t>Clause 2 provides that a word or expression in Chapter 2 of the Act (the chapter on international commercial arbitration) bears the same meaning as it has in the Model Law, unless inconsistent with the context and the Constitution.</w:t>
            </w:r>
          </w:p>
          <w:p w:rsidR="00D75ED1" w:rsidRDefault="00D75ED1" w:rsidP="00C40FC0">
            <w:pPr>
              <w:rPr>
                <w:rFonts w:ascii="Arial" w:hAnsi="Arial" w:cs="Arial"/>
              </w:rPr>
            </w:pPr>
          </w:p>
          <w:p w:rsidR="00771912" w:rsidRDefault="0095602A" w:rsidP="00C40FC0">
            <w:pPr>
              <w:rPr>
                <w:rFonts w:ascii="Arial" w:hAnsi="Arial" w:cs="Arial"/>
              </w:rPr>
            </w:pPr>
            <w:r>
              <w:rPr>
                <w:rFonts w:ascii="Arial" w:hAnsi="Arial" w:cs="Arial"/>
              </w:rPr>
              <w:t xml:space="preserve">It is not clear whether the words “the </w:t>
            </w:r>
            <w:r w:rsidRPr="007C42D6">
              <w:rPr>
                <w:rFonts w:ascii="Arial" w:hAnsi="Arial" w:cs="Arial"/>
              </w:rPr>
              <w:t>context</w:t>
            </w:r>
            <w:r>
              <w:rPr>
                <w:rFonts w:ascii="Arial" w:hAnsi="Arial" w:cs="Arial"/>
              </w:rPr>
              <w:t>” mean the context of the Bill</w:t>
            </w:r>
            <w:r w:rsidR="00C40FC0">
              <w:rPr>
                <w:rFonts w:ascii="Arial" w:hAnsi="Arial" w:cs="Arial"/>
              </w:rPr>
              <w:t>.  I</w:t>
            </w:r>
            <w:r>
              <w:rPr>
                <w:rFonts w:ascii="Arial" w:hAnsi="Arial" w:cs="Arial"/>
              </w:rPr>
              <w:t xml:space="preserve">f </w:t>
            </w:r>
            <w:r w:rsidR="00C40FC0">
              <w:rPr>
                <w:rFonts w:ascii="Arial" w:hAnsi="Arial" w:cs="Arial"/>
              </w:rPr>
              <w:t xml:space="preserve">this is </w:t>
            </w:r>
            <w:r>
              <w:rPr>
                <w:rFonts w:ascii="Arial" w:hAnsi="Arial" w:cs="Arial"/>
              </w:rPr>
              <w:t xml:space="preserve">so </w:t>
            </w:r>
            <w:r w:rsidR="00C40FC0">
              <w:rPr>
                <w:rFonts w:ascii="Arial" w:hAnsi="Arial" w:cs="Arial"/>
              </w:rPr>
              <w:t>it</w:t>
            </w:r>
            <w:r>
              <w:rPr>
                <w:rFonts w:ascii="Arial" w:hAnsi="Arial" w:cs="Arial"/>
              </w:rPr>
              <w:t xml:space="preserve"> should be stated clearly in order to remove any ambiguity.</w:t>
            </w:r>
          </w:p>
        </w:tc>
        <w:tc>
          <w:tcPr>
            <w:tcW w:w="4615" w:type="dxa"/>
          </w:tcPr>
          <w:p w:rsidR="00673E8F" w:rsidRPr="00150504" w:rsidRDefault="004D6402" w:rsidP="003F796C">
            <w:pPr>
              <w:rPr>
                <w:rFonts w:ascii="Arial" w:hAnsi="Arial" w:cs="Arial"/>
              </w:rPr>
            </w:pPr>
            <w:r w:rsidRPr="00150504">
              <w:rPr>
                <w:rFonts w:ascii="Arial" w:hAnsi="Arial" w:cs="Arial"/>
              </w:rPr>
              <w:t>This clause is relevant when interpreting Chapter 2 of the Bill</w:t>
            </w:r>
            <w:r w:rsidR="00C40FC0" w:rsidRPr="00150504">
              <w:rPr>
                <w:rFonts w:ascii="Arial" w:hAnsi="Arial" w:cs="Arial"/>
              </w:rPr>
              <w:t>, dealing with international arbitration</w:t>
            </w:r>
            <w:r w:rsidRPr="00150504">
              <w:rPr>
                <w:rFonts w:ascii="Arial" w:hAnsi="Arial" w:cs="Arial"/>
              </w:rPr>
              <w:t>.  Therefore the word “context” is used with reference to the</w:t>
            </w:r>
            <w:r w:rsidR="003F796C">
              <w:rPr>
                <w:rFonts w:ascii="Arial" w:hAnsi="Arial" w:cs="Arial"/>
              </w:rPr>
              <w:t xml:space="preserve"> context in which the word in question is used in Chapter 2 of the Bill.</w:t>
            </w:r>
            <w:r w:rsidRPr="00150504">
              <w:rPr>
                <w:rFonts w:ascii="Arial" w:hAnsi="Arial" w:cs="Arial"/>
              </w:rPr>
              <w:t xml:space="preserve"> </w:t>
            </w:r>
          </w:p>
        </w:tc>
      </w:tr>
      <w:tr w:rsidR="0098617C" w:rsidRPr="005C12C2" w:rsidTr="00762568">
        <w:trPr>
          <w:trHeight w:val="301"/>
        </w:trPr>
        <w:tc>
          <w:tcPr>
            <w:tcW w:w="0" w:type="auto"/>
          </w:tcPr>
          <w:p w:rsidR="0098617C" w:rsidRDefault="00121F94" w:rsidP="0017104B">
            <w:pPr>
              <w:rPr>
                <w:rFonts w:ascii="Arial" w:hAnsi="Arial" w:cs="Arial"/>
              </w:rPr>
            </w:pPr>
            <w:r>
              <w:rPr>
                <w:rFonts w:ascii="Arial" w:hAnsi="Arial" w:cs="Arial"/>
              </w:rPr>
              <w:t>4</w:t>
            </w:r>
            <w:r w:rsidR="004804E5">
              <w:rPr>
                <w:rFonts w:ascii="Arial" w:hAnsi="Arial" w:cs="Arial"/>
              </w:rPr>
              <w:t>: Exclusion of Arbitration Act 42 of 1965</w:t>
            </w:r>
          </w:p>
        </w:tc>
        <w:tc>
          <w:tcPr>
            <w:tcW w:w="1954" w:type="dxa"/>
          </w:tcPr>
          <w:p w:rsidR="0098617C" w:rsidRDefault="001C0A1F" w:rsidP="0017104B">
            <w:pPr>
              <w:rPr>
                <w:rFonts w:ascii="Arial" w:hAnsi="Arial" w:cs="Arial"/>
              </w:rPr>
            </w:pPr>
            <w:r>
              <w:rPr>
                <w:rFonts w:ascii="Arial" w:hAnsi="Arial" w:cs="Arial"/>
              </w:rPr>
              <w:t>Cliffe Dekker Hofmeyr(CDH)</w:t>
            </w:r>
          </w:p>
        </w:tc>
        <w:tc>
          <w:tcPr>
            <w:tcW w:w="4655" w:type="dxa"/>
          </w:tcPr>
          <w:p w:rsidR="0017104B" w:rsidRDefault="002202F7" w:rsidP="0017104B">
            <w:pPr>
              <w:rPr>
                <w:rFonts w:ascii="Arial" w:hAnsi="Arial" w:cs="Arial"/>
              </w:rPr>
            </w:pPr>
            <w:r>
              <w:rPr>
                <w:rFonts w:ascii="Arial" w:hAnsi="Arial" w:cs="Arial"/>
              </w:rPr>
              <w:t>Chapter 3 of the Bill is aimed at regulating the recognition and enforcement of foreign arbitral awards contemplated in the Convention on the R</w:t>
            </w:r>
            <w:r w:rsidRPr="002202F7">
              <w:rPr>
                <w:rFonts w:ascii="Arial" w:hAnsi="Arial" w:cs="Arial"/>
              </w:rPr>
              <w:t xml:space="preserve">ecognition and </w:t>
            </w:r>
            <w:r>
              <w:rPr>
                <w:rFonts w:ascii="Arial" w:hAnsi="Arial" w:cs="Arial"/>
              </w:rPr>
              <w:t>E</w:t>
            </w:r>
            <w:r w:rsidRPr="002202F7">
              <w:rPr>
                <w:rFonts w:ascii="Arial" w:hAnsi="Arial" w:cs="Arial"/>
              </w:rPr>
              <w:t xml:space="preserve">nforcement of </w:t>
            </w:r>
            <w:r>
              <w:rPr>
                <w:rFonts w:ascii="Arial" w:hAnsi="Arial" w:cs="Arial"/>
              </w:rPr>
              <w:t>F</w:t>
            </w:r>
            <w:r w:rsidRPr="002202F7">
              <w:rPr>
                <w:rFonts w:ascii="Arial" w:hAnsi="Arial" w:cs="Arial"/>
              </w:rPr>
              <w:t>oreign</w:t>
            </w:r>
            <w:r>
              <w:rPr>
                <w:rFonts w:ascii="Arial" w:hAnsi="Arial" w:cs="Arial"/>
              </w:rPr>
              <w:t xml:space="preserve"> Arbitral A</w:t>
            </w:r>
            <w:r w:rsidRPr="002202F7">
              <w:rPr>
                <w:rFonts w:ascii="Arial" w:hAnsi="Arial" w:cs="Arial"/>
              </w:rPr>
              <w:t>wards</w:t>
            </w:r>
            <w:r>
              <w:rPr>
                <w:rFonts w:ascii="Arial" w:hAnsi="Arial" w:cs="Arial"/>
              </w:rPr>
              <w:t xml:space="preserve"> of 1958. (the New York Convention). This Convention is not applicable to the </w:t>
            </w:r>
            <w:r w:rsidRPr="002202F7">
              <w:rPr>
                <w:rFonts w:ascii="Arial" w:hAnsi="Arial" w:cs="Arial"/>
              </w:rPr>
              <w:t xml:space="preserve">recognition and enforcement of </w:t>
            </w:r>
            <w:r>
              <w:rPr>
                <w:rFonts w:ascii="Arial" w:hAnsi="Arial" w:cs="Arial"/>
              </w:rPr>
              <w:t>arbitration agreements and arbitration awards rendered in South Africa, but such agreements are enforceable by South African courts under the Bill or under the Arbitration Act, 1965.  The</w:t>
            </w:r>
            <w:r w:rsidRPr="002202F7">
              <w:rPr>
                <w:rFonts w:ascii="Arial" w:hAnsi="Arial" w:cs="Arial"/>
              </w:rPr>
              <w:t xml:space="preserve"> New York Convention</w:t>
            </w:r>
            <w:r>
              <w:rPr>
                <w:rFonts w:ascii="Arial" w:hAnsi="Arial" w:cs="Arial"/>
              </w:rPr>
              <w:t xml:space="preserve"> and Chapter 3 should only be made applicable when an </w:t>
            </w:r>
            <w:r w:rsidRPr="002202F7">
              <w:rPr>
                <w:rFonts w:ascii="Arial" w:hAnsi="Arial" w:cs="Arial"/>
              </w:rPr>
              <w:t xml:space="preserve">arbitration agreement </w:t>
            </w:r>
            <w:r w:rsidR="0017104B">
              <w:rPr>
                <w:rFonts w:ascii="Arial" w:hAnsi="Arial" w:cs="Arial"/>
              </w:rPr>
              <w:t xml:space="preserve">concluded and executed outside of South Africa (a foreign arbitration agreement) </w:t>
            </w:r>
            <w:r>
              <w:rPr>
                <w:rFonts w:ascii="Arial" w:hAnsi="Arial" w:cs="Arial"/>
              </w:rPr>
              <w:t>or</w:t>
            </w:r>
            <w:r w:rsidR="0017104B">
              <w:rPr>
                <w:rFonts w:ascii="Arial" w:hAnsi="Arial" w:cs="Arial"/>
              </w:rPr>
              <w:t xml:space="preserve"> an</w:t>
            </w:r>
            <w:r w:rsidRPr="002202F7">
              <w:rPr>
                <w:rFonts w:ascii="Arial" w:hAnsi="Arial" w:cs="Arial"/>
              </w:rPr>
              <w:t xml:space="preserve"> arbitra</w:t>
            </w:r>
            <w:r>
              <w:rPr>
                <w:rFonts w:ascii="Arial" w:hAnsi="Arial" w:cs="Arial"/>
              </w:rPr>
              <w:t>l award</w:t>
            </w:r>
            <w:r w:rsidR="0017104B">
              <w:rPr>
                <w:rFonts w:ascii="Arial" w:hAnsi="Arial" w:cs="Arial"/>
              </w:rPr>
              <w:t xml:space="preserve"> (foreign or non-domestic)</w:t>
            </w:r>
            <w:r>
              <w:rPr>
                <w:rFonts w:ascii="Arial" w:hAnsi="Arial" w:cs="Arial"/>
              </w:rPr>
              <w:t xml:space="preserve"> not awarded in South Afric</w:t>
            </w:r>
            <w:r w:rsidR="00A159F0">
              <w:rPr>
                <w:rFonts w:ascii="Arial" w:hAnsi="Arial" w:cs="Arial"/>
              </w:rPr>
              <w:t>a is to be recognis</w:t>
            </w:r>
            <w:r>
              <w:rPr>
                <w:rFonts w:ascii="Arial" w:hAnsi="Arial" w:cs="Arial"/>
              </w:rPr>
              <w:t>ed and enforced in</w:t>
            </w:r>
            <w:r w:rsidRPr="002202F7">
              <w:rPr>
                <w:rFonts w:ascii="Arial" w:hAnsi="Arial" w:cs="Arial"/>
              </w:rPr>
              <w:t xml:space="preserve"> South Africa</w:t>
            </w:r>
            <w:r>
              <w:rPr>
                <w:rFonts w:ascii="Arial" w:hAnsi="Arial" w:cs="Arial"/>
              </w:rPr>
              <w:t>.</w:t>
            </w:r>
            <w:r w:rsidR="00D61226">
              <w:rPr>
                <w:rFonts w:ascii="Arial" w:hAnsi="Arial" w:cs="Arial"/>
              </w:rPr>
              <w:t xml:space="preserve">  </w:t>
            </w:r>
          </w:p>
          <w:p w:rsidR="0017104B" w:rsidRDefault="0017104B" w:rsidP="0017104B">
            <w:pPr>
              <w:rPr>
                <w:rFonts w:ascii="Arial" w:hAnsi="Arial" w:cs="Arial"/>
              </w:rPr>
            </w:pPr>
          </w:p>
          <w:p w:rsidR="0098617C" w:rsidRDefault="0017104B" w:rsidP="0017104B">
            <w:pPr>
              <w:rPr>
                <w:rFonts w:ascii="Arial" w:hAnsi="Arial" w:cs="Arial"/>
              </w:rPr>
            </w:pPr>
            <w:r>
              <w:rPr>
                <w:rFonts w:ascii="Arial" w:hAnsi="Arial" w:cs="Arial"/>
              </w:rPr>
              <w:t xml:space="preserve">The reference to South African awards for purposes of recognition and enforcement in </w:t>
            </w:r>
            <w:r>
              <w:rPr>
                <w:rFonts w:ascii="Arial" w:hAnsi="Arial" w:cs="Arial"/>
              </w:rPr>
              <w:lastRenderedPageBreak/>
              <w:t>South Africa in terms of Chapter 3 will create confusion and is not legally sound.</w:t>
            </w:r>
          </w:p>
        </w:tc>
        <w:tc>
          <w:tcPr>
            <w:tcW w:w="4615" w:type="dxa"/>
          </w:tcPr>
          <w:p w:rsidR="0017104B" w:rsidRPr="00150504" w:rsidRDefault="0017104B" w:rsidP="0017104B">
            <w:pPr>
              <w:rPr>
                <w:rFonts w:ascii="Arial" w:hAnsi="Arial" w:cs="Arial"/>
              </w:rPr>
            </w:pPr>
            <w:r w:rsidRPr="00150504">
              <w:rPr>
                <w:rFonts w:ascii="Arial" w:hAnsi="Arial" w:cs="Arial"/>
              </w:rPr>
              <w:lastRenderedPageBreak/>
              <w:t xml:space="preserve">Regarding clause 4(1):  </w:t>
            </w:r>
            <w:r w:rsidR="00C27A35" w:rsidRPr="00150504">
              <w:rPr>
                <w:rFonts w:ascii="Arial" w:hAnsi="Arial" w:cs="Arial"/>
              </w:rPr>
              <w:t xml:space="preserve">The intention is for South Africa to have separate systems for international </w:t>
            </w:r>
            <w:r w:rsidR="00A5134C" w:rsidRPr="00150504">
              <w:rPr>
                <w:rFonts w:ascii="Arial" w:hAnsi="Arial" w:cs="Arial"/>
              </w:rPr>
              <w:t xml:space="preserve">and domestic arbitration.  </w:t>
            </w:r>
            <w:r w:rsidRPr="00150504">
              <w:rPr>
                <w:rFonts w:ascii="Arial" w:hAnsi="Arial" w:cs="Arial"/>
              </w:rPr>
              <w:t xml:space="preserve">The </w:t>
            </w:r>
            <w:r w:rsidR="00A5134C" w:rsidRPr="00150504">
              <w:rPr>
                <w:rFonts w:ascii="Arial" w:hAnsi="Arial" w:cs="Arial"/>
              </w:rPr>
              <w:t>Model</w:t>
            </w:r>
            <w:r w:rsidR="00C27A35" w:rsidRPr="00150504">
              <w:rPr>
                <w:rFonts w:ascii="Arial" w:hAnsi="Arial" w:cs="Arial"/>
              </w:rPr>
              <w:t xml:space="preserve"> Law will not apply to domestic arbitration held in South</w:t>
            </w:r>
            <w:r w:rsidRPr="00150504">
              <w:rPr>
                <w:rFonts w:ascii="Arial" w:hAnsi="Arial" w:cs="Arial"/>
              </w:rPr>
              <w:t xml:space="preserve"> </w:t>
            </w:r>
            <w:r w:rsidR="00C27A35" w:rsidRPr="00150504">
              <w:rPr>
                <w:rFonts w:ascii="Arial" w:hAnsi="Arial" w:cs="Arial"/>
              </w:rPr>
              <w:t xml:space="preserve"> Africa.</w:t>
            </w:r>
            <w:r w:rsidRPr="00150504">
              <w:rPr>
                <w:rFonts w:ascii="Arial" w:hAnsi="Arial" w:cs="Arial"/>
              </w:rPr>
              <w:t xml:space="preserve"> Conversely, </w:t>
            </w:r>
            <w:r w:rsidR="00C27A35" w:rsidRPr="00150504">
              <w:rPr>
                <w:rFonts w:ascii="Arial" w:hAnsi="Arial" w:cs="Arial"/>
              </w:rPr>
              <w:t>the Arbitration Act</w:t>
            </w:r>
            <w:r w:rsidRPr="00150504">
              <w:rPr>
                <w:rFonts w:ascii="Arial" w:hAnsi="Arial" w:cs="Arial"/>
              </w:rPr>
              <w:t>, 1965, (particularly the powers of the court, which differ from those under the Model Law)</w:t>
            </w:r>
            <w:r w:rsidR="00C27A35" w:rsidRPr="00150504">
              <w:rPr>
                <w:rFonts w:ascii="Arial" w:hAnsi="Arial" w:cs="Arial"/>
              </w:rPr>
              <w:t xml:space="preserve"> will not apply to arbitration agreements and awards </w:t>
            </w:r>
            <w:r w:rsidRPr="00150504">
              <w:rPr>
                <w:rFonts w:ascii="Arial" w:hAnsi="Arial" w:cs="Arial"/>
              </w:rPr>
              <w:t xml:space="preserve">that are </w:t>
            </w:r>
            <w:r w:rsidR="00C27A35" w:rsidRPr="00150504">
              <w:rPr>
                <w:rFonts w:ascii="Arial" w:hAnsi="Arial" w:cs="Arial"/>
              </w:rPr>
              <w:t>covered by Chapter</w:t>
            </w:r>
            <w:r w:rsidRPr="00150504">
              <w:rPr>
                <w:rFonts w:ascii="Arial" w:hAnsi="Arial" w:cs="Arial"/>
              </w:rPr>
              <w:t>s</w:t>
            </w:r>
            <w:r w:rsidR="00C27A35" w:rsidRPr="00150504">
              <w:rPr>
                <w:rFonts w:ascii="Arial" w:hAnsi="Arial" w:cs="Arial"/>
              </w:rPr>
              <w:t xml:space="preserve"> 2 and 3 of the Bill.</w:t>
            </w:r>
            <w:r w:rsidR="00A5134C" w:rsidRPr="00150504">
              <w:rPr>
                <w:rFonts w:ascii="Arial" w:hAnsi="Arial" w:cs="Arial"/>
              </w:rPr>
              <w:t xml:space="preserve">  </w:t>
            </w:r>
          </w:p>
          <w:p w:rsidR="0017104B" w:rsidRPr="00150504" w:rsidRDefault="0017104B" w:rsidP="0017104B">
            <w:pPr>
              <w:rPr>
                <w:rFonts w:ascii="Arial" w:hAnsi="Arial" w:cs="Arial"/>
              </w:rPr>
            </w:pPr>
          </w:p>
          <w:p w:rsidR="0017104B" w:rsidRPr="00150504" w:rsidRDefault="0017104B" w:rsidP="0017104B">
            <w:pPr>
              <w:rPr>
                <w:rFonts w:ascii="Arial" w:hAnsi="Arial" w:cs="Arial"/>
              </w:rPr>
            </w:pPr>
          </w:p>
          <w:p w:rsidR="00DA6BAC" w:rsidRPr="00150504" w:rsidRDefault="0017104B" w:rsidP="0017104B">
            <w:pPr>
              <w:rPr>
                <w:rFonts w:ascii="Arial" w:hAnsi="Arial" w:cs="Arial"/>
              </w:rPr>
            </w:pPr>
            <w:r w:rsidRPr="00150504">
              <w:rPr>
                <w:rFonts w:ascii="Arial" w:hAnsi="Arial" w:cs="Arial"/>
              </w:rPr>
              <w:t xml:space="preserve">Regarding clause 4(2), Chapter 2, which implements the Model Law and which applies to </w:t>
            </w:r>
            <w:r w:rsidRPr="00150504">
              <w:rPr>
                <w:rFonts w:ascii="Arial" w:hAnsi="Arial" w:cs="Arial"/>
                <w:u w:val="single"/>
              </w:rPr>
              <w:t>international commercial</w:t>
            </w:r>
            <w:r w:rsidRPr="00150504">
              <w:rPr>
                <w:rFonts w:ascii="Arial" w:hAnsi="Arial" w:cs="Arial"/>
              </w:rPr>
              <w:t xml:space="preserve"> arbitration, is intended to be self-contained and therefore has its own definition of matters which are arbitrable in clause 7.   </w:t>
            </w:r>
            <w:r w:rsidR="00A5134C" w:rsidRPr="00150504">
              <w:rPr>
                <w:rFonts w:ascii="Arial" w:hAnsi="Arial" w:cs="Arial"/>
              </w:rPr>
              <w:t>The operation of the Arbitration Act is</w:t>
            </w:r>
            <w:r w:rsidR="00DA6BAC" w:rsidRPr="00150504">
              <w:rPr>
                <w:rFonts w:ascii="Arial" w:hAnsi="Arial" w:cs="Arial"/>
              </w:rPr>
              <w:t xml:space="preserve"> generally</w:t>
            </w:r>
            <w:r w:rsidR="00A5134C" w:rsidRPr="00150504">
              <w:rPr>
                <w:rFonts w:ascii="Arial" w:hAnsi="Arial" w:cs="Arial"/>
              </w:rPr>
              <w:t xml:space="preserve"> excluded</w:t>
            </w:r>
            <w:r w:rsidR="00DA6BAC" w:rsidRPr="00150504">
              <w:rPr>
                <w:rFonts w:ascii="Arial" w:hAnsi="Arial" w:cs="Arial"/>
              </w:rPr>
              <w:t xml:space="preserve"> by clause 4(1)</w:t>
            </w:r>
            <w:r w:rsidR="00A5134C" w:rsidRPr="00150504">
              <w:rPr>
                <w:rFonts w:ascii="Arial" w:hAnsi="Arial" w:cs="Arial"/>
              </w:rPr>
              <w:t xml:space="preserve"> from the Bill</w:t>
            </w:r>
            <w:r w:rsidR="00DA6BAC" w:rsidRPr="00150504">
              <w:rPr>
                <w:rFonts w:ascii="Arial" w:hAnsi="Arial" w:cs="Arial"/>
              </w:rPr>
              <w:t>, because the Arbitration Act is intended for domestic arbitration</w:t>
            </w:r>
            <w:r w:rsidR="00A5134C" w:rsidRPr="00150504">
              <w:rPr>
                <w:rFonts w:ascii="Arial" w:hAnsi="Arial" w:cs="Arial"/>
              </w:rPr>
              <w:t xml:space="preserve">.  </w:t>
            </w:r>
          </w:p>
          <w:p w:rsidR="0098617C" w:rsidRPr="00150504" w:rsidRDefault="00DA6BAC" w:rsidP="00DA6BAC">
            <w:pPr>
              <w:rPr>
                <w:rFonts w:ascii="Arial" w:hAnsi="Arial" w:cs="Arial"/>
              </w:rPr>
            </w:pPr>
            <w:r w:rsidRPr="00150504">
              <w:rPr>
                <w:rFonts w:ascii="Arial" w:hAnsi="Arial" w:cs="Arial"/>
                <w:lang w:val="en-ZA"/>
              </w:rPr>
              <w:t xml:space="preserve">Chapter 3 of the Bill deals with the </w:t>
            </w:r>
            <w:r w:rsidRPr="00150504">
              <w:rPr>
                <w:rFonts w:ascii="Arial" w:hAnsi="Arial" w:cs="Arial"/>
                <w:lang w:val="en-ZA"/>
              </w:rPr>
              <w:lastRenderedPageBreak/>
              <w:t xml:space="preserve">enforcement of arbitration agreements and the recognition and enforcement of foreign arbitral awards under the New York Convention on the Recognition and Enforcement of Foreign Arbitral Awards of 1958 (NYC). The Republic, when acceding to the NYC in 1976, did not make the commercial reservation referred to in Article I(3) of the NYC. Where a court in the Republic is approached under Chapter 3 of the Bill (i.e. the NYC) to enforce an arbitration agreement or a foreign award relating to a </w:t>
            </w:r>
            <w:r w:rsidRPr="00150504">
              <w:rPr>
                <w:rFonts w:ascii="Arial" w:hAnsi="Arial" w:cs="Arial"/>
                <w:u w:val="single"/>
                <w:lang w:val="en-ZA"/>
              </w:rPr>
              <w:t>non-commercial</w:t>
            </w:r>
            <w:r w:rsidRPr="00150504">
              <w:rPr>
                <w:rFonts w:ascii="Arial" w:hAnsi="Arial" w:cs="Arial"/>
                <w:lang w:val="en-ZA"/>
              </w:rPr>
              <w:t xml:space="preserve"> dispute, the court is entitled to refuse if the matter is not arbitrable. Section 2 of the Arbitration Act, which deals with matters which are not arbitrable, should therefore apply. Therefore, while the rest of the 1965 Act does not apply to the enforcement of arbitration agreements or foreign awards under the NYC, its definition of matters which are not arbitrable will continue to apply. The main implication is that matters relating to matrimonial causes will continue to be non-arbitrable, pending reform of domestic arbitration law.</w:t>
            </w:r>
          </w:p>
        </w:tc>
      </w:tr>
      <w:tr w:rsidR="007B5B06" w:rsidRPr="005C12C2" w:rsidTr="00762568">
        <w:trPr>
          <w:trHeight w:val="301"/>
        </w:trPr>
        <w:tc>
          <w:tcPr>
            <w:tcW w:w="0" w:type="auto"/>
          </w:tcPr>
          <w:p w:rsidR="007B5B06" w:rsidRDefault="007B5B06" w:rsidP="00DA6BAC">
            <w:pPr>
              <w:rPr>
                <w:rFonts w:ascii="Arial" w:hAnsi="Arial" w:cs="Arial"/>
              </w:rPr>
            </w:pPr>
            <w:r>
              <w:rPr>
                <w:rFonts w:ascii="Arial" w:hAnsi="Arial" w:cs="Arial"/>
              </w:rPr>
              <w:lastRenderedPageBreak/>
              <w:t>4</w:t>
            </w:r>
          </w:p>
        </w:tc>
        <w:tc>
          <w:tcPr>
            <w:tcW w:w="1954" w:type="dxa"/>
          </w:tcPr>
          <w:p w:rsidR="007B5B06" w:rsidRDefault="00A159F0" w:rsidP="00DA6BAC">
            <w:pPr>
              <w:rPr>
                <w:rFonts w:ascii="Arial" w:hAnsi="Arial" w:cs="Arial"/>
              </w:rPr>
            </w:pPr>
            <w:r w:rsidRPr="00A159F0">
              <w:rPr>
                <w:rFonts w:ascii="Arial" w:hAnsi="Arial" w:cs="Arial"/>
              </w:rPr>
              <w:t>VM Group</w:t>
            </w:r>
          </w:p>
        </w:tc>
        <w:tc>
          <w:tcPr>
            <w:tcW w:w="4655" w:type="dxa"/>
          </w:tcPr>
          <w:p w:rsidR="007B5B06" w:rsidRDefault="00A159F0" w:rsidP="00DA6BAC">
            <w:pPr>
              <w:rPr>
                <w:rFonts w:ascii="Arial" w:hAnsi="Arial" w:cs="Arial"/>
              </w:rPr>
            </w:pPr>
            <w:r>
              <w:rPr>
                <w:rFonts w:ascii="Arial" w:hAnsi="Arial" w:cs="Arial"/>
              </w:rPr>
              <w:t xml:space="preserve">Insert provisions </w:t>
            </w:r>
            <w:r w:rsidR="00DA6BAC">
              <w:rPr>
                <w:rFonts w:ascii="Arial" w:hAnsi="Arial" w:cs="Arial"/>
              </w:rPr>
              <w:t xml:space="preserve">in the Bill </w:t>
            </w:r>
            <w:r>
              <w:rPr>
                <w:rFonts w:ascii="Arial" w:hAnsi="Arial" w:cs="Arial"/>
              </w:rPr>
              <w:t>similar to those in section 2 of the Arbitration Act, 1965(Act 42 of 1965)</w:t>
            </w:r>
            <w:r w:rsidR="00DA6BAC">
              <w:rPr>
                <w:rFonts w:ascii="Arial" w:hAnsi="Arial" w:cs="Arial"/>
              </w:rPr>
              <w:t>, rather than including them by reference.</w:t>
            </w:r>
          </w:p>
        </w:tc>
        <w:tc>
          <w:tcPr>
            <w:tcW w:w="4615" w:type="dxa"/>
          </w:tcPr>
          <w:p w:rsidR="006B5F91" w:rsidRDefault="003C3E51" w:rsidP="00DA6BAC">
            <w:pPr>
              <w:rPr>
                <w:rFonts w:ascii="Arial" w:hAnsi="Arial" w:cs="Arial"/>
              </w:rPr>
            </w:pPr>
            <w:r>
              <w:rPr>
                <w:rFonts w:ascii="Arial" w:hAnsi="Arial" w:cs="Arial"/>
              </w:rPr>
              <w:t xml:space="preserve">Clause 4(1) of the Bill excludes the </w:t>
            </w:r>
            <w:r w:rsidRPr="003C3E51">
              <w:rPr>
                <w:rFonts w:ascii="Arial" w:hAnsi="Arial" w:cs="Arial"/>
              </w:rPr>
              <w:t>Arbitration Act, 1965(Act 42 of 1965)</w:t>
            </w:r>
            <w:r w:rsidR="006E4066">
              <w:rPr>
                <w:rFonts w:ascii="Arial" w:hAnsi="Arial" w:cs="Arial"/>
              </w:rPr>
              <w:t>.  Where a court is approached to recogni</w:t>
            </w:r>
            <w:r w:rsidR="00DA6BAC">
              <w:rPr>
                <w:rFonts w:ascii="Arial" w:hAnsi="Arial" w:cs="Arial"/>
              </w:rPr>
              <w:t>s</w:t>
            </w:r>
            <w:r w:rsidR="006E4066">
              <w:rPr>
                <w:rFonts w:ascii="Arial" w:hAnsi="Arial" w:cs="Arial"/>
              </w:rPr>
              <w:t>e and enforce an arbitration</w:t>
            </w:r>
            <w:r w:rsidR="003F796C">
              <w:rPr>
                <w:rFonts w:ascii="Arial" w:hAnsi="Arial" w:cs="Arial"/>
              </w:rPr>
              <w:t xml:space="preserve"> agreement</w:t>
            </w:r>
            <w:r w:rsidR="006E4066">
              <w:rPr>
                <w:rFonts w:ascii="Arial" w:hAnsi="Arial" w:cs="Arial"/>
              </w:rPr>
              <w:t xml:space="preserve"> o</w:t>
            </w:r>
            <w:r w:rsidR="00DA6BAC">
              <w:rPr>
                <w:rFonts w:ascii="Arial" w:hAnsi="Arial" w:cs="Arial"/>
              </w:rPr>
              <w:t>r</w:t>
            </w:r>
            <w:r w:rsidR="006E4066">
              <w:rPr>
                <w:rFonts w:ascii="Arial" w:hAnsi="Arial" w:cs="Arial"/>
              </w:rPr>
              <w:t xml:space="preserve"> foreign arbitral award </w:t>
            </w:r>
            <w:r w:rsidR="003F796C">
              <w:rPr>
                <w:rFonts w:ascii="Arial" w:hAnsi="Arial" w:cs="Arial"/>
              </w:rPr>
              <w:t xml:space="preserve">relating to </w:t>
            </w:r>
            <w:r w:rsidR="006E4066">
              <w:rPr>
                <w:rFonts w:ascii="Arial" w:hAnsi="Arial" w:cs="Arial"/>
              </w:rPr>
              <w:t xml:space="preserve">a non-commercial dispute, the court will refuse </w:t>
            </w:r>
            <w:r w:rsidR="003F796C">
              <w:rPr>
                <w:rFonts w:ascii="Arial" w:hAnsi="Arial" w:cs="Arial"/>
              </w:rPr>
              <w:t xml:space="preserve">if </w:t>
            </w:r>
            <w:r w:rsidR="006E4066">
              <w:rPr>
                <w:rFonts w:ascii="Arial" w:hAnsi="Arial" w:cs="Arial"/>
              </w:rPr>
              <w:t xml:space="preserve"> the matter is not arbitrable. Section 2 of the </w:t>
            </w:r>
            <w:r w:rsidR="006E4066" w:rsidRPr="006E4066">
              <w:rPr>
                <w:rFonts w:ascii="Arial" w:hAnsi="Arial" w:cs="Arial"/>
              </w:rPr>
              <w:t>Arbitration Act</w:t>
            </w:r>
            <w:r w:rsidR="006E4066">
              <w:rPr>
                <w:rFonts w:ascii="Arial" w:hAnsi="Arial" w:cs="Arial"/>
              </w:rPr>
              <w:t xml:space="preserve"> excludes from arbitration matters which are not arbitrable</w:t>
            </w:r>
            <w:r w:rsidR="00E37817">
              <w:rPr>
                <w:rFonts w:ascii="Arial" w:hAnsi="Arial" w:cs="Arial"/>
              </w:rPr>
              <w:t xml:space="preserve">.  </w:t>
            </w:r>
            <w:r w:rsidR="006B5F91">
              <w:rPr>
                <w:rFonts w:ascii="Arial" w:hAnsi="Arial" w:cs="Arial"/>
              </w:rPr>
              <w:t xml:space="preserve">Section 2 </w:t>
            </w:r>
            <w:r w:rsidR="006B5F91">
              <w:rPr>
                <w:rFonts w:ascii="Arial" w:hAnsi="Arial" w:cs="Arial"/>
              </w:rPr>
              <w:lastRenderedPageBreak/>
              <w:t>provides as follows:</w:t>
            </w:r>
          </w:p>
          <w:p w:rsidR="006B5F91" w:rsidRPr="006B5F91" w:rsidRDefault="006B5F91" w:rsidP="006B5F91">
            <w:pPr>
              <w:rPr>
                <w:rFonts w:ascii="Arial" w:hAnsi="Arial" w:cs="Arial"/>
              </w:rPr>
            </w:pPr>
            <w:r>
              <w:rPr>
                <w:rFonts w:ascii="Arial" w:hAnsi="Arial" w:cs="Arial"/>
              </w:rPr>
              <w:t>“</w:t>
            </w:r>
            <w:r w:rsidRPr="006B5F91">
              <w:rPr>
                <w:rFonts w:ascii="Arial" w:hAnsi="Arial" w:cs="Arial"/>
                <w:b/>
                <w:bCs/>
              </w:rPr>
              <w:t>2.   Matters not subject to arbitration.</w:t>
            </w:r>
            <w:r w:rsidRPr="006B5F91">
              <w:rPr>
                <w:rFonts w:ascii="Arial" w:hAnsi="Arial" w:cs="Arial"/>
              </w:rPr>
              <w:t>—A reference to arbitration shall not be permissible in respect of—</w:t>
            </w:r>
          </w:p>
          <w:p w:rsidR="006B5F91" w:rsidRPr="006B5F91" w:rsidRDefault="006B5F91" w:rsidP="006B5F91">
            <w:pPr>
              <w:rPr>
                <w:rFonts w:ascii="Arial" w:hAnsi="Arial" w:cs="Arial"/>
              </w:rPr>
            </w:pPr>
            <w:r w:rsidRPr="006B5F91">
              <w:rPr>
                <w:rFonts w:ascii="Arial" w:hAnsi="Arial" w:cs="Arial"/>
              </w:rPr>
              <w:t>(</w:t>
            </w:r>
            <w:r w:rsidRPr="006B5F91">
              <w:rPr>
                <w:rFonts w:ascii="Arial" w:hAnsi="Arial" w:cs="Arial"/>
                <w:i/>
                <w:iCs/>
              </w:rPr>
              <w:t>a</w:t>
            </w:r>
            <w:r w:rsidRPr="006B5F91">
              <w:rPr>
                <w:rFonts w:ascii="Arial" w:hAnsi="Arial" w:cs="Arial"/>
              </w:rPr>
              <w:t>)</w:t>
            </w:r>
            <w:r>
              <w:rPr>
                <w:rFonts w:ascii="Arial" w:hAnsi="Arial" w:cs="Arial"/>
              </w:rPr>
              <w:tab/>
            </w:r>
            <w:r w:rsidRPr="006B5F91">
              <w:rPr>
                <w:rFonts w:ascii="Arial" w:hAnsi="Arial" w:cs="Arial"/>
              </w:rPr>
              <w:t xml:space="preserve">any matrimonial </w:t>
            </w:r>
            <w:r>
              <w:rPr>
                <w:rFonts w:ascii="Arial" w:hAnsi="Arial" w:cs="Arial"/>
              </w:rPr>
              <w:tab/>
            </w:r>
            <w:r w:rsidRPr="006B5F91">
              <w:rPr>
                <w:rFonts w:ascii="Arial" w:hAnsi="Arial" w:cs="Arial"/>
              </w:rPr>
              <w:t xml:space="preserve">cause or any </w:t>
            </w:r>
            <w:r>
              <w:rPr>
                <w:rFonts w:ascii="Arial" w:hAnsi="Arial" w:cs="Arial"/>
              </w:rPr>
              <w:tab/>
            </w:r>
            <w:r w:rsidRPr="006B5F91">
              <w:rPr>
                <w:rFonts w:ascii="Arial" w:hAnsi="Arial" w:cs="Arial"/>
              </w:rPr>
              <w:t xml:space="preserve">matter </w:t>
            </w:r>
            <w:r>
              <w:rPr>
                <w:rFonts w:ascii="Arial" w:hAnsi="Arial" w:cs="Arial"/>
              </w:rPr>
              <w:tab/>
            </w:r>
            <w:r w:rsidRPr="006B5F91">
              <w:rPr>
                <w:rFonts w:ascii="Arial" w:hAnsi="Arial" w:cs="Arial"/>
              </w:rPr>
              <w:t xml:space="preserve">incidental to any such cause; </w:t>
            </w:r>
            <w:r w:rsidR="003F796C">
              <w:rPr>
                <w:rFonts w:ascii="Arial" w:hAnsi="Arial" w:cs="Arial"/>
              </w:rPr>
              <w:tab/>
            </w:r>
            <w:r w:rsidRPr="006B5F91">
              <w:rPr>
                <w:rFonts w:ascii="Arial" w:hAnsi="Arial" w:cs="Arial"/>
              </w:rPr>
              <w:t>or</w:t>
            </w:r>
          </w:p>
          <w:p w:rsidR="006B5F91" w:rsidRPr="006B5F91" w:rsidRDefault="006B5F91" w:rsidP="006B5F91">
            <w:pPr>
              <w:rPr>
                <w:rFonts w:ascii="Arial" w:hAnsi="Arial" w:cs="Arial"/>
              </w:rPr>
            </w:pPr>
            <w:r w:rsidRPr="006B5F91">
              <w:rPr>
                <w:rFonts w:ascii="Arial" w:hAnsi="Arial" w:cs="Arial"/>
              </w:rPr>
              <w:t>(</w:t>
            </w:r>
            <w:r w:rsidRPr="006B5F91">
              <w:rPr>
                <w:rFonts w:ascii="Arial" w:hAnsi="Arial" w:cs="Arial"/>
                <w:i/>
                <w:iCs/>
              </w:rPr>
              <w:t>b</w:t>
            </w:r>
            <w:r w:rsidRPr="006B5F91">
              <w:rPr>
                <w:rFonts w:ascii="Arial" w:hAnsi="Arial" w:cs="Arial"/>
              </w:rPr>
              <w:t>)</w:t>
            </w:r>
            <w:r>
              <w:rPr>
                <w:rFonts w:ascii="Arial" w:hAnsi="Arial" w:cs="Arial"/>
              </w:rPr>
              <w:tab/>
            </w:r>
            <w:r w:rsidRPr="006B5F91">
              <w:rPr>
                <w:rFonts w:ascii="Arial" w:hAnsi="Arial" w:cs="Arial"/>
              </w:rPr>
              <w:t xml:space="preserve">any matter </w:t>
            </w:r>
            <w:r>
              <w:rPr>
                <w:rFonts w:ascii="Arial" w:hAnsi="Arial" w:cs="Arial"/>
              </w:rPr>
              <w:tab/>
            </w:r>
            <w:r w:rsidRPr="006B5F91">
              <w:rPr>
                <w:rFonts w:ascii="Arial" w:hAnsi="Arial" w:cs="Arial"/>
              </w:rPr>
              <w:t xml:space="preserve">relating to </w:t>
            </w:r>
            <w:r>
              <w:rPr>
                <w:rFonts w:ascii="Arial" w:hAnsi="Arial" w:cs="Arial"/>
              </w:rPr>
              <w:tab/>
            </w:r>
            <w:r w:rsidRPr="006B5F91">
              <w:rPr>
                <w:rFonts w:ascii="Arial" w:hAnsi="Arial" w:cs="Arial"/>
              </w:rPr>
              <w:t>status.</w:t>
            </w:r>
          </w:p>
          <w:p w:rsidR="003F796C" w:rsidRDefault="003F796C" w:rsidP="008D2B22">
            <w:pPr>
              <w:rPr>
                <w:rFonts w:ascii="Arial" w:hAnsi="Arial" w:cs="Arial"/>
              </w:rPr>
            </w:pPr>
          </w:p>
          <w:p w:rsidR="007B5B06" w:rsidRPr="005C12C2" w:rsidRDefault="00E37817" w:rsidP="008D2B22">
            <w:pPr>
              <w:rPr>
                <w:rFonts w:ascii="Arial" w:hAnsi="Arial" w:cs="Arial"/>
              </w:rPr>
            </w:pPr>
            <w:r>
              <w:rPr>
                <w:rFonts w:ascii="Arial" w:hAnsi="Arial" w:cs="Arial"/>
              </w:rPr>
              <w:t>Clause 7 of the Bill contain</w:t>
            </w:r>
            <w:r w:rsidR="006B5F91">
              <w:rPr>
                <w:rFonts w:ascii="Arial" w:hAnsi="Arial" w:cs="Arial"/>
              </w:rPr>
              <w:t>s</w:t>
            </w:r>
            <w:r>
              <w:rPr>
                <w:rFonts w:ascii="Arial" w:hAnsi="Arial" w:cs="Arial"/>
              </w:rPr>
              <w:t xml:space="preserve"> matters that are arbitrable while</w:t>
            </w:r>
            <w:r w:rsidRPr="00E37817">
              <w:rPr>
                <w:rFonts w:ascii="Arial" w:hAnsi="Arial" w:cs="Arial"/>
              </w:rPr>
              <w:t xml:space="preserve"> </w:t>
            </w:r>
            <w:r>
              <w:rPr>
                <w:rFonts w:ascii="Arial" w:hAnsi="Arial" w:cs="Arial"/>
              </w:rPr>
              <w:t>s</w:t>
            </w:r>
            <w:r w:rsidRPr="00E37817">
              <w:rPr>
                <w:rFonts w:ascii="Arial" w:hAnsi="Arial" w:cs="Arial"/>
              </w:rPr>
              <w:t>ection 2 of the Arbitration Act</w:t>
            </w:r>
            <w:r>
              <w:rPr>
                <w:rFonts w:ascii="Arial" w:hAnsi="Arial" w:cs="Arial"/>
              </w:rPr>
              <w:t xml:space="preserve"> contains matters that are not </w:t>
            </w:r>
            <w:r w:rsidRPr="00E37817">
              <w:rPr>
                <w:rFonts w:ascii="Arial" w:hAnsi="Arial" w:cs="Arial"/>
              </w:rPr>
              <w:t>arbitrable</w:t>
            </w:r>
            <w:r>
              <w:rPr>
                <w:rFonts w:ascii="Arial" w:hAnsi="Arial" w:cs="Arial"/>
              </w:rPr>
              <w:t xml:space="preserve">, and clause 4(1) makes this section applicable under the Bill.  </w:t>
            </w:r>
            <w:r w:rsidRPr="008D2B22">
              <w:rPr>
                <w:rFonts w:ascii="Arial" w:hAnsi="Arial" w:cs="Arial"/>
              </w:rPr>
              <w:t>The submission is</w:t>
            </w:r>
            <w:r w:rsidR="007E09AE" w:rsidRPr="008D2B22">
              <w:rPr>
                <w:rFonts w:ascii="Arial" w:hAnsi="Arial" w:cs="Arial"/>
              </w:rPr>
              <w:t>`</w:t>
            </w:r>
            <w:r w:rsidRPr="008D2B22">
              <w:rPr>
                <w:rFonts w:ascii="Arial" w:hAnsi="Arial" w:cs="Arial"/>
              </w:rPr>
              <w:t xml:space="preserve"> not supported.</w:t>
            </w:r>
          </w:p>
        </w:tc>
      </w:tr>
      <w:tr w:rsidR="007B5B06" w:rsidRPr="005C12C2" w:rsidTr="00762568">
        <w:trPr>
          <w:trHeight w:val="301"/>
        </w:trPr>
        <w:tc>
          <w:tcPr>
            <w:tcW w:w="0" w:type="auto"/>
          </w:tcPr>
          <w:p w:rsidR="007B5B06" w:rsidRDefault="007B5B06" w:rsidP="006B5F91">
            <w:pPr>
              <w:rPr>
                <w:rFonts w:ascii="Arial" w:hAnsi="Arial" w:cs="Arial"/>
              </w:rPr>
            </w:pPr>
            <w:r>
              <w:rPr>
                <w:rFonts w:ascii="Arial" w:hAnsi="Arial" w:cs="Arial"/>
              </w:rPr>
              <w:lastRenderedPageBreak/>
              <w:t>5</w:t>
            </w:r>
            <w:r w:rsidR="004804E5">
              <w:rPr>
                <w:rFonts w:ascii="Arial" w:hAnsi="Arial" w:cs="Arial"/>
              </w:rPr>
              <w:t>:</w:t>
            </w:r>
            <w:r w:rsidR="006F4D50">
              <w:rPr>
                <w:rFonts w:ascii="Arial" w:hAnsi="Arial" w:cs="Arial"/>
              </w:rPr>
              <w:t xml:space="preserve">  </w:t>
            </w:r>
            <w:r w:rsidR="004804E5">
              <w:rPr>
                <w:rFonts w:ascii="Arial" w:hAnsi="Arial" w:cs="Arial"/>
              </w:rPr>
              <w:t>Act binds public bodies</w:t>
            </w:r>
          </w:p>
        </w:tc>
        <w:tc>
          <w:tcPr>
            <w:tcW w:w="1954" w:type="dxa"/>
          </w:tcPr>
          <w:p w:rsidR="001C0A1F" w:rsidRDefault="00B33F43" w:rsidP="006B5F91">
            <w:pPr>
              <w:rPr>
                <w:rFonts w:ascii="Arial" w:hAnsi="Arial" w:cs="Arial"/>
              </w:rPr>
            </w:pPr>
            <w:r>
              <w:rPr>
                <w:rFonts w:ascii="Arial" w:hAnsi="Arial" w:cs="Arial"/>
              </w:rPr>
              <w:t xml:space="preserve">1.  </w:t>
            </w:r>
            <w:r w:rsidR="001C0A1F">
              <w:rPr>
                <w:rFonts w:ascii="Arial" w:hAnsi="Arial" w:cs="Arial"/>
              </w:rPr>
              <w:t>CDH</w:t>
            </w:r>
          </w:p>
          <w:p w:rsidR="007B5B06" w:rsidRDefault="00B33F43" w:rsidP="006B5F91">
            <w:pPr>
              <w:rPr>
                <w:rFonts w:ascii="Arial" w:hAnsi="Arial" w:cs="Arial"/>
              </w:rPr>
            </w:pPr>
            <w:r>
              <w:rPr>
                <w:rFonts w:ascii="Arial" w:hAnsi="Arial" w:cs="Arial"/>
              </w:rPr>
              <w:t xml:space="preserve">2.  </w:t>
            </w:r>
            <w:r w:rsidR="00DC3D6F">
              <w:rPr>
                <w:rFonts w:ascii="Arial" w:hAnsi="Arial" w:cs="Arial"/>
              </w:rPr>
              <w:t>Chartered Institute of Arbitrators(CIArb)</w:t>
            </w:r>
          </w:p>
        </w:tc>
        <w:tc>
          <w:tcPr>
            <w:tcW w:w="4655" w:type="dxa"/>
          </w:tcPr>
          <w:p w:rsidR="007B5B06" w:rsidRDefault="00F77EE8" w:rsidP="006F4D50">
            <w:pPr>
              <w:rPr>
                <w:rFonts w:ascii="Arial" w:hAnsi="Arial" w:cs="Arial"/>
              </w:rPr>
            </w:pPr>
            <w:r>
              <w:rPr>
                <w:rFonts w:ascii="Arial" w:hAnsi="Arial" w:cs="Arial"/>
              </w:rPr>
              <w:t>Because the Bill is intended to regulate only international commercial arbitration, it is suggested that the words “</w:t>
            </w:r>
            <w:r w:rsidRPr="00F77EE8">
              <w:rPr>
                <w:rFonts w:ascii="Arial" w:hAnsi="Arial" w:cs="Arial"/>
              </w:rPr>
              <w:t>international commercial</w:t>
            </w:r>
            <w:r>
              <w:rPr>
                <w:rFonts w:ascii="Arial" w:hAnsi="Arial" w:cs="Arial"/>
              </w:rPr>
              <w:t xml:space="preserve">” be inserted in clause 5 as follows:  </w:t>
            </w:r>
            <w:r w:rsidRPr="00F77EE8">
              <w:rPr>
                <w:rFonts w:ascii="Arial" w:hAnsi="Arial" w:cs="Arial"/>
              </w:rPr>
              <w:t>This Act, subject</w:t>
            </w:r>
            <w:r>
              <w:rPr>
                <w:rFonts w:ascii="Arial" w:hAnsi="Arial" w:cs="Arial"/>
              </w:rPr>
              <w:t xml:space="preserve"> to the provisions of section 13</w:t>
            </w:r>
            <w:r w:rsidRPr="00F77EE8">
              <w:rPr>
                <w:rFonts w:ascii="Arial" w:hAnsi="Arial" w:cs="Arial"/>
              </w:rPr>
              <w:t xml:space="preserve"> of Promotion and Protection of Investment Act, 2015</w:t>
            </w:r>
            <w:r>
              <w:rPr>
                <w:rFonts w:ascii="Arial" w:hAnsi="Arial" w:cs="Arial"/>
              </w:rPr>
              <w:t xml:space="preserve"> (Act No. 22 of 2015)</w:t>
            </w:r>
            <w:r w:rsidRPr="00F77EE8">
              <w:rPr>
                <w:rFonts w:ascii="Arial" w:hAnsi="Arial" w:cs="Arial"/>
              </w:rPr>
              <w:t xml:space="preserve">, binds public bodies and applies to any </w:t>
            </w:r>
            <w:r w:rsidRPr="00F77EE8">
              <w:rPr>
                <w:rFonts w:ascii="Arial" w:hAnsi="Arial" w:cs="Arial"/>
                <w:u w:val="single"/>
              </w:rPr>
              <w:t>international commercial</w:t>
            </w:r>
            <w:r w:rsidRPr="00F77EE8">
              <w:rPr>
                <w:rFonts w:ascii="Arial" w:hAnsi="Arial" w:cs="Arial"/>
              </w:rPr>
              <w:t xml:space="preserve"> arbitration in terms of an arbitration agreement to which a public body is a party.</w:t>
            </w:r>
            <w:r>
              <w:rPr>
                <w:rFonts w:ascii="Arial" w:hAnsi="Arial" w:cs="Arial"/>
              </w:rPr>
              <w:t xml:space="preserve">  This </w:t>
            </w:r>
            <w:r w:rsidR="004903F2">
              <w:rPr>
                <w:rFonts w:ascii="Arial" w:hAnsi="Arial" w:cs="Arial"/>
              </w:rPr>
              <w:t>will</w:t>
            </w:r>
            <w:r>
              <w:rPr>
                <w:rFonts w:ascii="Arial" w:hAnsi="Arial" w:cs="Arial"/>
              </w:rPr>
              <w:t xml:space="preserve"> eliminate </w:t>
            </w:r>
            <w:r w:rsidR="004903F2">
              <w:rPr>
                <w:rFonts w:ascii="Arial" w:hAnsi="Arial" w:cs="Arial"/>
              </w:rPr>
              <w:t>any interpretation problems.</w:t>
            </w:r>
          </w:p>
        </w:tc>
        <w:tc>
          <w:tcPr>
            <w:tcW w:w="4615" w:type="dxa"/>
          </w:tcPr>
          <w:p w:rsidR="007B5B06" w:rsidRPr="005C12C2" w:rsidRDefault="007275DB" w:rsidP="006B5F91">
            <w:pPr>
              <w:rPr>
                <w:rFonts w:ascii="Arial" w:hAnsi="Arial" w:cs="Arial"/>
              </w:rPr>
            </w:pPr>
            <w:r>
              <w:rPr>
                <w:rFonts w:ascii="Arial" w:hAnsi="Arial" w:cs="Arial"/>
              </w:rPr>
              <w:t>The Department has no objection</w:t>
            </w:r>
            <w:r w:rsidR="006B5F91">
              <w:rPr>
                <w:rFonts w:ascii="Arial" w:hAnsi="Arial" w:cs="Arial"/>
              </w:rPr>
              <w:t xml:space="preserve"> to the proposal.</w:t>
            </w:r>
          </w:p>
        </w:tc>
      </w:tr>
      <w:tr w:rsidR="001C0A1F" w:rsidRPr="005C12C2" w:rsidTr="00762568">
        <w:trPr>
          <w:trHeight w:val="917"/>
        </w:trPr>
        <w:tc>
          <w:tcPr>
            <w:tcW w:w="0" w:type="auto"/>
          </w:tcPr>
          <w:p w:rsidR="001C0A1F" w:rsidRDefault="001C0A1F" w:rsidP="006B5F91">
            <w:pPr>
              <w:rPr>
                <w:rFonts w:ascii="Arial" w:hAnsi="Arial" w:cs="Arial"/>
              </w:rPr>
            </w:pPr>
            <w:r>
              <w:rPr>
                <w:rFonts w:ascii="Arial" w:hAnsi="Arial" w:cs="Arial"/>
              </w:rPr>
              <w:t>7</w:t>
            </w:r>
            <w:r w:rsidR="004804E5">
              <w:rPr>
                <w:rFonts w:ascii="Arial" w:hAnsi="Arial" w:cs="Arial"/>
              </w:rPr>
              <w:t xml:space="preserve">: </w:t>
            </w:r>
            <w:r w:rsidR="006F4D50">
              <w:rPr>
                <w:rFonts w:ascii="Arial" w:hAnsi="Arial" w:cs="Arial"/>
              </w:rPr>
              <w:t xml:space="preserve">  </w:t>
            </w:r>
            <w:r w:rsidR="004804E5">
              <w:rPr>
                <w:rFonts w:ascii="Arial" w:hAnsi="Arial" w:cs="Arial"/>
              </w:rPr>
              <w:t xml:space="preserve">Matters subject to </w:t>
            </w:r>
            <w:r w:rsidR="004804E5" w:rsidRPr="004804E5">
              <w:rPr>
                <w:rFonts w:ascii="Arial" w:hAnsi="Arial" w:cs="Arial"/>
              </w:rPr>
              <w:t>international commercial arbitration</w:t>
            </w:r>
          </w:p>
        </w:tc>
        <w:tc>
          <w:tcPr>
            <w:tcW w:w="1954" w:type="dxa"/>
          </w:tcPr>
          <w:p w:rsidR="001C0A1F" w:rsidRDefault="001C0A1F" w:rsidP="006B5F91">
            <w:pPr>
              <w:rPr>
                <w:rFonts w:ascii="Arial" w:hAnsi="Arial" w:cs="Arial"/>
              </w:rPr>
            </w:pPr>
            <w:r>
              <w:rPr>
                <w:rFonts w:ascii="Arial" w:hAnsi="Arial" w:cs="Arial"/>
              </w:rPr>
              <w:t>CDH</w:t>
            </w: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p w:rsidR="00F25433" w:rsidRDefault="00F25433" w:rsidP="006B5F91">
            <w:pPr>
              <w:rPr>
                <w:rFonts w:ascii="Arial" w:hAnsi="Arial" w:cs="Arial"/>
              </w:rPr>
            </w:pPr>
          </w:p>
        </w:tc>
        <w:tc>
          <w:tcPr>
            <w:tcW w:w="4655" w:type="dxa"/>
          </w:tcPr>
          <w:p w:rsidR="00734A10" w:rsidRDefault="00064F37" w:rsidP="00734A10">
            <w:pPr>
              <w:rPr>
                <w:rFonts w:ascii="Arial" w:hAnsi="Arial" w:cs="Arial"/>
              </w:rPr>
            </w:pPr>
            <w:r>
              <w:rPr>
                <w:rFonts w:ascii="Arial" w:hAnsi="Arial" w:cs="Arial"/>
              </w:rPr>
              <w:lastRenderedPageBreak/>
              <w:t>There is a concern that t</w:t>
            </w:r>
            <w:r w:rsidR="00FA3339">
              <w:rPr>
                <w:rFonts w:ascii="Arial" w:hAnsi="Arial" w:cs="Arial"/>
              </w:rPr>
              <w:t xml:space="preserve">his clause may result in </w:t>
            </w:r>
            <w:r w:rsidR="00FA3339" w:rsidRPr="00FA3339">
              <w:rPr>
                <w:rFonts w:ascii="Arial" w:hAnsi="Arial" w:cs="Arial"/>
              </w:rPr>
              <w:t>international commercial</w:t>
            </w:r>
            <w:r w:rsidR="00FA3339">
              <w:rPr>
                <w:rFonts w:ascii="Arial" w:hAnsi="Arial" w:cs="Arial"/>
              </w:rPr>
              <w:t xml:space="preserve"> disputes</w:t>
            </w:r>
            <w:r>
              <w:rPr>
                <w:rFonts w:ascii="Arial" w:hAnsi="Arial" w:cs="Arial"/>
              </w:rPr>
              <w:t xml:space="preserve">, </w:t>
            </w:r>
            <w:r w:rsidR="00FA3339">
              <w:rPr>
                <w:rFonts w:ascii="Arial" w:hAnsi="Arial" w:cs="Arial"/>
              </w:rPr>
              <w:t xml:space="preserve">which are </w:t>
            </w:r>
            <w:r>
              <w:rPr>
                <w:rFonts w:ascii="Arial" w:hAnsi="Arial" w:cs="Arial"/>
              </w:rPr>
              <w:t xml:space="preserve">otherwise </w:t>
            </w:r>
            <w:r w:rsidR="00FA3339">
              <w:rPr>
                <w:rFonts w:ascii="Arial" w:hAnsi="Arial" w:cs="Arial"/>
              </w:rPr>
              <w:t>arbitrable in accordance with the laws of another State</w:t>
            </w:r>
            <w:r>
              <w:rPr>
                <w:rFonts w:ascii="Arial" w:hAnsi="Arial" w:cs="Arial"/>
              </w:rPr>
              <w:t>,</w:t>
            </w:r>
            <w:r w:rsidR="00FA3339">
              <w:rPr>
                <w:rFonts w:ascii="Arial" w:hAnsi="Arial" w:cs="Arial"/>
              </w:rPr>
              <w:t xml:space="preserve"> based on the choice of law provisions contained in such contract</w:t>
            </w:r>
            <w:r w:rsidR="00FE2C38">
              <w:rPr>
                <w:rFonts w:ascii="Arial" w:hAnsi="Arial" w:cs="Arial"/>
              </w:rPr>
              <w:t xml:space="preserve">, </w:t>
            </w:r>
            <w:r w:rsidR="006A01B2">
              <w:rPr>
                <w:rFonts w:ascii="Arial" w:hAnsi="Arial" w:cs="Arial"/>
              </w:rPr>
              <w:t>be</w:t>
            </w:r>
            <w:r w:rsidR="00F51976">
              <w:rPr>
                <w:rFonts w:ascii="Arial" w:hAnsi="Arial" w:cs="Arial"/>
              </w:rPr>
              <w:t>ing</w:t>
            </w:r>
            <w:r w:rsidR="006A01B2">
              <w:rPr>
                <w:rFonts w:ascii="Arial" w:hAnsi="Arial" w:cs="Arial"/>
              </w:rPr>
              <w:t xml:space="preserve"> precluded from arbitration in South Africa for being contrary to South </w:t>
            </w:r>
            <w:r w:rsidR="006A01B2">
              <w:rPr>
                <w:rFonts w:ascii="Arial" w:hAnsi="Arial" w:cs="Arial"/>
              </w:rPr>
              <w:lastRenderedPageBreak/>
              <w:t xml:space="preserve">African law or </w:t>
            </w:r>
            <w:r w:rsidR="006A01B2" w:rsidRPr="00793031">
              <w:rPr>
                <w:rFonts w:ascii="Arial" w:hAnsi="Arial" w:cs="Arial"/>
              </w:rPr>
              <w:t>public policy</w:t>
            </w:r>
            <w:r w:rsidR="006A01B2" w:rsidRPr="00FE2C38">
              <w:rPr>
                <w:rFonts w:ascii="Arial" w:hAnsi="Arial" w:cs="Arial"/>
              </w:rPr>
              <w:t xml:space="preserve">.  When South Africa is merely the seat of arbitration from a </w:t>
            </w:r>
            <w:r w:rsidR="00734A10">
              <w:rPr>
                <w:rFonts w:ascii="Arial" w:hAnsi="Arial" w:cs="Arial"/>
              </w:rPr>
              <w:t xml:space="preserve">procedural perspective, an arbitration of a </w:t>
            </w:r>
            <w:r w:rsidR="006A01B2" w:rsidRPr="00FE2C38">
              <w:rPr>
                <w:rFonts w:ascii="Arial" w:hAnsi="Arial" w:cs="Arial"/>
              </w:rPr>
              <w:t>d</w:t>
            </w:r>
            <w:r w:rsidR="006A01B2">
              <w:rPr>
                <w:rFonts w:ascii="Arial" w:hAnsi="Arial" w:cs="Arial"/>
              </w:rPr>
              <w:t xml:space="preserve">ispute based on the substantive law of another State should not be barred from </w:t>
            </w:r>
            <w:r w:rsidR="006A01B2" w:rsidRPr="006A01B2">
              <w:rPr>
                <w:rFonts w:ascii="Arial" w:hAnsi="Arial" w:cs="Arial"/>
              </w:rPr>
              <w:t>arbitration in South Africa</w:t>
            </w:r>
            <w:r w:rsidR="006A01B2">
              <w:rPr>
                <w:rFonts w:ascii="Arial" w:hAnsi="Arial" w:cs="Arial"/>
              </w:rPr>
              <w:t xml:space="preserve">. </w:t>
            </w:r>
          </w:p>
          <w:p w:rsidR="00734A10" w:rsidRDefault="00734A10" w:rsidP="00734A10">
            <w:pPr>
              <w:rPr>
                <w:rFonts w:ascii="Arial" w:hAnsi="Arial" w:cs="Arial"/>
              </w:rPr>
            </w:pPr>
          </w:p>
          <w:p w:rsidR="001C0A1F" w:rsidRDefault="00F51976" w:rsidP="00F51976">
            <w:pPr>
              <w:rPr>
                <w:rFonts w:ascii="Arial" w:hAnsi="Arial" w:cs="Arial"/>
              </w:rPr>
            </w:pPr>
            <w:r>
              <w:rPr>
                <w:rFonts w:ascii="Arial" w:hAnsi="Arial" w:cs="Arial"/>
              </w:rPr>
              <w:t xml:space="preserve">CDH argues that if the intention of the Bill, as set out in clause 3(a) is “to facilitate the use of arbitration as a method of resolving international commercial disputes” in South Africa, the </w:t>
            </w:r>
            <w:r w:rsidR="006A01B2">
              <w:rPr>
                <w:rFonts w:ascii="Arial" w:hAnsi="Arial" w:cs="Arial"/>
              </w:rPr>
              <w:t xml:space="preserve">“arbitrability” clause </w:t>
            </w:r>
            <w:r>
              <w:rPr>
                <w:rFonts w:ascii="Arial" w:hAnsi="Arial" w:cs="Arial"/>
              </w:rPr>
              <w:t xml:space="preserve">7 </w:t>
            </w:r>
            <w:r w:rsidR="006A01B2">
              <w:rPr>
                <w:rFonts w:ascii="Arial" w:hAnsi="Arial" w:cs="Arial"/>
              </w:rPr>
              <w:t xml:space="preserve">for </w:t>
            </w:r>
            <w:r w:rsidR="006A01B2" w:rsidRPr="006A01B2">
              <w:rPr>
                <w:rFonts w:ascii="Arial" w:hAnsi="Arial" w:cs="Arial"/>
              </w:rPr>
              <w:t>international commercial disputes</w:t>
            </w:r>
            <w:r w:rsidR="006A01B2">
              <w:rPr>
                <w:rFonts w:ascii="Arial" w:hAnsi="Arial" w:cs="Arial"/>
              </w:rPr>
              <w:t xml:space="preserve"> should be made less restrictive to ensure </w:t>
            </w:r>
            <w:r>
              <w:rPr>
                <w:rFonts w:ascii="Arial" w:hAnsi="Arial" w:cs="Arial"/>
              </w:rPr>
              <w:t xml:space="preserve">that </w:t>
            </w:r>
            <w:r w:rsidR="006A01B2">
              <w:rPr>
                <w:rFonts w:ascii="Arial" w:hAnsi="Arial" w:cs="Arial"/>
              </w:rPr>
              <w:t xml:space="preserve">arbitration based on the </w:t>
            </w:r>
            <w:r w:rsidR="006A01B2" w:rsidRPr="006A01B2">
              <w:rPr>
                <w:rFonts w:ascii="Arial" w:hAnsi="Arial" w:cs="Arial"/>
              </w:rPr>
              <w:t>substantive law of another State</w:t>
            </w:r>
            <w:r w:rsidR="006A01B2">
              <w:rPr>
                <w:rFonts w:ascii="Arial" w:hAnsi="Arial" w:cs="Arial"/>
              </w:rPr>
              <w:t xml:space="preserve"> should not be barred in South Africa. See for </w:t>
            </w:r>
            <w:r>
              <w:rPr>
                <w:rFonts w:ascii="Arial" w:hAnsi="Arial" w:cs="Arial"/>
              </w:rPr>
              <w:t>instance the approach adopted in Singapore and Mauritius.</w:t>
            </w:r>
          </w:p>
          <w:p w:rsidR="00CE4884" w:rsidRDefault="00CE4884" w:rsidP="00F51976">
            <w:pPr>
              <w:rPr>
                <w:rFonts w:ascii="Arial" w:hAnsi="Arial" w:cs="Arial"/>
              </w:rPr>
            </w:pPr>
          </w:p>
          <w:tbl>
            <w:tblPr>
              <w:tblW w:w="0" w:type="auto"/>
              <w:tblBorders>
                <w:top w:val="nil"/>
                <w:left w:val="nil"/>
                <w:bottom w:val="nil"/>
                <w:right w:val="nil"/>
              </w:tblBorders>
              <w:tblLook w:val="0000"/>
            </w:tblPr>
            <w:tblGrid>
              <w:gridCol w:w="4425"/>
            </w:tblGrid>
            <w:tr w:rsidR="00CE4884" w:rsidRPr="00CE4884">
              <w:trPr>
                <w:trHeight w:val="2508"/>
              </w:trPr>
              <w:tc>
                <w:tcPr>
                  <w:tcW w:w="0" w:type="auto"/>
                </w:tcPr>
                <w:p w:rsidR="00CE4884" w:rsidRPr="00CE4884" w:rsidRDefault="00CE4884" w:rsidP="00CE4884">
                  <w:pPr>
                    <w:spacing w:after="0" w:line="240" w:lineRule="auto"/>
                    <w:rPr>
                      <w:rFonts w:ascii="Arial" w:hAnsi="Arial" w:cs="Arial"/>
                    </w:rPr>
                  </w:pPr>
                  <w:r>
                    <w:rPr>
                      <w:rFonts w:ascii="Arial" w:hAnsi="Arial" w:cs="Arial"/>
                    </w:rPr>
                    <w:t>The following ex</w:t>
                  </w:r>
                  <w:r w:rsidRPr="00CE4884">
                    <w:rPr>
                      <w:rFonts w:ascii="Arial" w:hAnsi="Arial" w:cs="Arial"/>
                    </w:rPr>
                    <w:t xml:space="preserve">ample </w:t>
                  </w:r>
                  <w:r>
                    <w:rPr>
                      <w:rFonts w:ascii="Arial" w:hAnsi="Arial" w:cs="Arial"/>
                    </w:rPr>
                    <w:t>is given by CDH, w</w:t>
                  </w:r>
                  <w:r w:rsidRPr="00CE4884">
                    <w:rPr>
                      <w:rFonts w:ascii="Arial" w:hAnsi="Arial" w:cs="Arial"/>
                    </w:rPr>
                    <w:t>here a dispute involves competition and antitrust claims with the governing law of the contract being, say New York Law. In South Africa competition law matters may in principle not be arbitrable, but in New York law and US Federal Law such dispute would be arbitrable. The US Supreme court has held that "</w:t>
                  </w:r>
                  <w:r w:rsidRPr="00CE4884">
                    <w:rPr>
                      <w:rFonts w:ascii="Arial" w:hAnsi="Arial" w:cs="Arial"/>
                      <w:i/>
                      <w:iCs/>
                    </w:rPr>
                    <w:t>federal antitrust claims were arbitrable, provided that they arose from an international transaction.</w:t>
                  </w:r>
                  <w:r w:rsidRPr="00CE4884">
                    <w:rPr>
                      <w:rFonts w:ascii="Arial" w:hAnsi="Arial" w:cs="Arial"/>
                    </w:rPr>
                    <w:t xml:space="preserve">" In that event, where the substantive law regulating the dispute (i.e. example of New York Law) by contract permits such </w:t>
                  </w:r>
                  <w:r w:rsidRPr="00CE4884">
                    <w:rPr>
                      <w:rFonts w:ascii="Arial" w:hAnsi="Arial" w:cs="Arial"/>
                    </w:rPr>
                    <w:lastRenderedPageBreak/>
                    <w:t xml:space="preserve">arbitrations, the clause may result in the matter not being arbitrable in South Africa, despite South Africa only being the "procedural seat" for such arbitration. </w:t>
                  </w:r>
                </w:p>
              </w:tc>
            </w:tr>
          </w:tbl>
          <w:p w:rsidR="00CE4884" w:rsidRDefault="00CE4884" w:rsidP="00F51976">
            <w:pPr>
              <w:rPr>
                <w:rFonts w:ascii="Arial" w:hAnsi="Arial" w:cs="Arial"/>
              </w:rPr>
            </w:pPr>
          </w:p>
        </w:tc>
        <w:tc>
          <w:tcPr>
            <w:tcW w:w="4615" w:type="dxa"/>
          </w:tcPr>
          <w:p w:rsidR="001C0A1F" w:rsidRPr="005C12C2" w:rsidRDefault="00F51976" w:rsidP="00CE4884">
            <w:pPr>
              <w:rPr>
                <w:rFonts w:ascii="Arial" w:hAnsi="Arial" w:cs="Arial"/>
              </w:rPr>
            </w:pPr>
            <w:r w:rsidRPr="00F51976">
              <w:rPr>
                <w:rFonts w:ascii="Arial" w:hAnsi="Arial" w:cs="Arial"/>
                <w:lang w:val="en-ZA"/>
              </w:rPr>
              <w:lastRenderedPageBreak/>
              <w:t>The relevance of South African substantive law will depend on the particular circumstances. If the subject matter of the dispute has no connection with South Africa, apart from the parties’ choice of South Africa as the seat, and the parties</w:t>
            </w:r>
            <w:r w:rsidR="00CE4884">
              <w:rPr>
                <w:rFonts w:ascii="Arial" w:hAnsi="Arial" w:cs="Arial"/>
                <w:lang w:val="en-ZA"/>
              </w:rPr>
              <w:t>, for instance</w:t>
            </w:r>
            <w:r w:rsidRPr="00F51976">
              <w:rPr>
                <w:rFonts w:ascii="Arial" w:hAnsi="Arial" w:cs="Arial"/>
                <w:lang w:val="en-ZA"/>
              </w:rPr>
              <w:t xml:space="preserve"> choose US Federal law and the law of the </w:t>
            </w:r>
            <w:r w:rsidRPr="00F51976">
              <w:rPr>
                <w:rFonts w:ascii="Arial" w:hAnsi="Arial" w:cs="Arial"/>
                <w:lang w:val="en-ZA"/>
              </w:rPr>
              <w:lastRenderedPageBreak/>
              <w:t>state of New York to govern their contract, South African competition law, for example, can have no possible relevance to the dispute. On the other hand, if the dispute does have a real connection with South Africa, the parties cannot contract out of SA competition law by choosing a foreign system of law to govern their contract. The proposed test in section 7 was chosen after a careful review of the tests used in foreign jurisdictions. Like its Singapore counterpart, the International Arbitration Act 23 of 1994 (as amended) section 11(1), clause 7(1)(b) of the IAB prohibits arbitration under an arbitration agreement which is contrary to public policy.  The fact that the dispute, for example, raises aspects of US anti-trust law (competition law) would not by itself make it contrary to public policy to arbitrate the dispute in South Africa. However, were the arbitral tribunal to be asked to award treble damages under US anti-trust law against one of the parties to the arbitration, that part of the award could well be set aside in South Africa or at least not be enforced, by reasons of public policy.</w:t>
            </w:r>
            <w:r w:rsidRPr="00F51976">
              <w:rPr>
                <w:rFonts w:ascii="Arial" w:hAnsi="Arial" w:cs="Arial"/>
                <w:vertAlign w:val="superscript"/>
                <w:lang w:val="en-ZA"/>
              </w:rPr>
              <w:footnoteReference w:id="1"/>
            </w:r>
            <w:r w:rsidRPr="00F51976">
              <w:rPr>
                <w:rFonts w:ascii="Arial" w:hAnsi="Arial" w:cs="Arial"/>
                <w:lang w:val="en-ZA"/>
              </w:rPr>
              <w:t xml:space="preserve"> </w:t>
            </w:r>
          </w:p>
        </w:tc>
      </w:tr>
      <w:tr w:rsidR="000D61C5" w:rsidRPr="005C12C2" w:rsidTr="00762568">
        <w:trPr>
          <w:trHeight w:val="1099"/>
        </w:trPr>
        <w:tc>
          <w:tcPr>
            <w:tcW w:w="0" w:type="auto"/>
          </w:tcPr>
          <w:p w:rsidR="000D61C5" w:rsidRDefault="000D61C5" w:rsidP="00A54277">
            <w:pPr>
              <w:rPr>
                <w:rFonts w:ascii="Arial" w:hAnsi="Arial" w:cs="Arial"/>
              </w:rPr>
            </w:pPr>
            <w:r>
              <w:rPr>
                <w:rFonts w:ascii="Arial" w:hAnsi="Arial" w:cs="Arial"/>
              </w:rPr>
              <w:lastRenderedPageBreak/>
              <w:t>7(1)(a)</w:t>
            </w:r>
          </w:p>
          <w:p w:rsidR="000D61C5" w:rsidRDefault="000D61C5" w:rsidP="00A54277">
            <w:pPr>
              <w:rPr>
                <w:rFonts w:ascii="Arial" w:hAnsi="Arial" w:cs="Arial"/>
              </w:rPr>
            </w:pPr>
          </w:p>
          <w:p w:rsidR="00A159F0" w:rsidRDefault="00A159F0" w:rsidP="00A54277">
            <w:pPr>
              <w:rPr>
                <w:rFonts w:ascii="Arial" w:hAnsi="Arial" w:cs="Arial"/>
              </w:rPr>
            </w:pPr>
          </w:p>
          <w:p w:rsidR="00A159F0" w:rsidRDefault="00A159F0" w:rsidP="00A54277">
            <w:pPr>
              <w:rPr>
                <w:rFonts w:ascii="Arial" w:hAnsi="Arial" w:cs="Arial"/>
              </w:rPr>
            </w:pPr>
          </w:p>
          <w:p w:rsidR="000D61C5" w:rsidRDefault="000D61C5" w:rsidP="00A54277">
            <w:pPr>
              <w:rPr>
                <w:rFonts w:ascii="Arial" w:hAnsi="Arial" w:cs="Arial"/>
              </w:rPr>
            </w:pPr>
          </w:p>
        </w:tc>
        <w:tc>
          <w:tcPr>
            <w:tcW w:w="1954" w:type="dxa"/>
          </w:tcPr>
          <w:p w:rsidR="000D61C5" w:rsidRDefault="009A08B4" w:rsidP="00A54277">
            <w:pPr>
              <w:rPr>
                <w:rFonts w:ascii="Arial" w:hAnsi="Arial" w:cs="Arial"/>
              </w:rPr>
            </w:pPr>
            <w:r w:rsidRPr="009A08B4">
              <w:rPr>
                <w:rFonts w:ascii="Arial" w:hAnsi="Arial" w:cs="Arial"/>
              </w:rPr>
              <w:t>VM Group</w:t>
            </w:r>
          </w:p>
        </w:tc>
        <w:tc>
          <w:tcPr>
            <w:tcW w:w="4655" w:type="dxa"/>
          </w:tcPr>
          <w:p w:rsidR="00A159F0" w:rsidRDefault="00A54277" w:rsidP="00A54277">
            <w:pPr>
              <w:rPr>
                <w:rFonts w:ascii="Arial" w:hAnsi="Arial" w:cs="Arial"/>
              </w:rPr>
            </w:pPr>
            <w:r>
              <w:rPr>
                <w:rFonts w:ascii="Arial" w:hAnsi="Arial" w:cs="Arial"/>
              </w:rPr>
              <w:t>VM Group raises t</w:t>
            </w:r>
            <w:r w:rsidR="008E173C">
              <w:rPr>
                <w:rFonts w:ascii="Arial" w:hAnsi="Arial" w:cs="Arial"/>
              </w:rPr>
              <w:t>he question whether</w:t>
            </w:r>
            <w:r w:rsidR="00A159F0">
              <w:rPr>
                <w:rFonts w:ascii="Arial" w:hAnsi="Arial" w:cs="Arial"/>
              </w:rPr>
              <w:t xml:space="preserve"> clause 7(1)</w:t>
            </w:r>
            <w:r>
              <w:rPr>
                <w:rFonts w:ascii="Arial" w:hAnsi="Arial" w:cs="Arial"/>
              </w:rPr>
              <w:t>(a) is intended</w:t>
            </w:r>
            <w:r w:rsidR="00A159F0">
              <w:rPr>
                <w:rFonts w:ascii="Arial" w:hAnsi="Arial" w:cs="Arial"/>
              </w:rPr>
              <w:t xml:space="preserve"> to refer to a dispute that is excluded by a specific law from being subject to arbitration, or th</w:t>
            </w:r>
            <w:r>
              <w:rPr>
                <w:rFonts w:ascii="Arial" w:hAnsi="Arial" w:cs="Arial"/>
              </w:rPr>
              <w:t>at the subject matter/dispute is</w:t>
            </w:r>
            <w:r w:rsidR="00A159F0">
              <w:rPr>
                <w:rFonts w:ascii="Arial" w:hAnsi="Arial" w:cs="Arial"/>
              </w:rPr>
              <w:t xml:space="preserve"> inherently not capable of resolution by arbitration</w:t>
            </w:r>
            <w:r>
              <w:rPr>
                <w:rFonts w:ascii="Arial" w:hAnsi="Arial" w:cs="Arial"/>
              </w:rPr>
              <w:t>.</w:t>
            </w:r>
          </w:p>
          <w:p w:rsidR="00A159F0" w:rsidRDefault="00A159F0" w:rsidP="00A54277">
            <w:pPr>
              <w:rPr>
                <w:rFonts w:ascii="Arial" w:hAnsi="Arial" w:cs="Arial"/>
              </w:rPr>
            </w:pPr>
          </w:p>
          <w:p w:rsidR="00850849" w:rsidRDefault="00850849" w:rsidP="00A54277">
            <w:pPr>
              <w:rPr>
                <w:rFonts w:ascii="Arial" w:hAnsi="Arial" w:cs="Arial"/>
              </w:rPr>
            </w:pPr>
          </w:p>
        </w:tc>
        <w:tc>
          <w:tcPr>
            <w:tcW w:w="4615" w:type="dxa"/>
          </w:tcPr>
          <w:p w:rsidR="001E41D0" w:rsidRPr="001E41D0" w:rsidRDefault="001E41D0" w:rsidP="00A54277">
            <w:pPr>
              <w:rPr>
                <w:rFonts w:ascii="Arial" w:hAnsi="Arial" w:cs="Arial"/>
              </w:rPr>
            </w:pPr>
            <w:r>
              <w:rPr>
                <w:rFonts w:ascii="Arial" w:hAnsi="Arial" w:cs="Arial"/>
              </w:rPr>
              <w:t xml:space="preserve">The clause provides that </w:t>
            </w:r>
            <w:r w:rsidRPr="001E41D0">
              <w:rPr>
                <w:rFonts w:ascii="Arial" w:hAnsi="Arial" w:cs="Arial"/>
              </w:rPr>
              <w:t xml:space="preserve">any international commercial dispute which the parties have agreed to submit to arbitration under an arbitration agreement and which relates to a matter which the parties are entitled to dispose of by agreement may be determined by arbitration, </w:t>
            </w:r>
            <w:r w:rsidRPr="00793031">
              <w:rPr>
                <w:rFonts w:ascii="Arial" w:hAnsi="Arial" w:cs="Arial"/>
                <w:u w:val="single"/>
              </w:rPr>
              <w:t>unless</w:t>
            </w:r>
            <w:r w:rsidRPr="001E41D0">
              <w:rPr>
                <w:rFonts w:ascii="Arial" w:hAnsi="Arial" w:cs="Arial"/>
              </w:rPr>
              <w:t>—</w:t>
            </w:r>
          </w:p>
          <w:p w:rsidR="00762568" w:rsidRDefault="001E41D0" w:rsidP="00762568">
            <w:pPr>
              <w:rPr>
                <w:rFonts w:ascii="Arial" w:hAnsi="Arial" w:cs="Arial"/>
              </w:rPr>
            </w:pPr>
            <w:r w:rsidRPr="001E41D0">
              <w:rPr>
                <w:rFonts w:ascii="Arial" w:hAnsi="Arial" w:cs="Arial"/>
                <w:i/>
              </w:rPr>
              <w:t>(a)</w:t>
            </w:r>
            <w:r w:rsidRPr="001E41D0">
              <w:rPr>
                <w:rFonts w:ascii="Arial" w:hAnsi="Arial" w:cs="Arial"/>
              </w:rPr>
              <w:tab/>
              <w:t xml:space="preserve">such a dispute is not capable </w:t>
            </w:r>
            <w:r w:rsidR="00A54277">
              <w:rPr>
                <w:rFonts w:ascii="Arial" w:hAnsi="Arial" w:cs="Arial"/>
              </w:rPr>
              <w:tab/>
            </w:r>
            <w:r w:rsidRPr="001E41D0">
              <w:rPr>
                <w:rFonts w:ascii="Arial" w:hAnsi="Arial" w:cs="Arial"/>
              </w:rPr>
              <w:t xml:space="preserve">of determination by arbitration </w:t>
            </w:r>
            <w:r w:rsidR="00A54277">
              <w:rPr>
                <w:rFonts w:ascii="Arial" w:hAnsi="Arial" w:cs="Arial"/>
              </w:rPr>
              <w:tab/>
            </w:r>
            <w:r w:rsidRPr="001E41D0">
              <w:rPr>
                <w:rFonts w:ascii="Arial" w:hAnsi="Arial" w:cs="Arial"/>
              </w:rPr>
              <w:t xml:space="preserve">under any law </w:t>
            </w:r>
            <w:r w:rsidR="00A54277">
              <w:rPr>
                <w:rFonts w:ascii="Arial" w:hAnsi="Arial" w:cs="Arial"/>
              </w:rPr>
              <w:tab/>
            </w:r>
            <w:r w:rsidRPr="001E41D0">
              <w:rPr>
                <w:rFonts w:ascii="Arial" w:hAnsi="Arial" w:cs="Arial"/>
              </w:rPr>
              <w:t>of  the Republic</w:t>
            </w:r>
            <w:r>
              <w:rPr>
                <w:rFonts w:ascii="Arial" w:hAnsi="Arial" w:cs="Arial"/>
              </w:rPr>
              <w:t xml:space="preserve">.  </w:t>
            </w:r>
          </w:p>
          <w:p w:rsidR="000D61C5" w:rsidRPr="005C12C2" w:rsidRDefault="001E41D0" w:rsidP="003F796C">
            <w:pPr>
              <w:rPr>
                <w:rFonts w:ascii="Arial" w:hAnsi="Arial" w:cs="Arial"/>
              </w:rPr>
            </w:pPr>
            <w:r>
              <w:rPr>
                <w:rFonts w:ascii="Arial" w:hAnsi="Arial" w:cs="Arial"/>
              </w:rPr>
              <w:t xml:space="preserve">This refers to </w:t>
            </w:r>
            <w:r w:rsidR="003F796C">
              <w:rPr>
                <w:rFonts w:ascii="Arial" w:hAnsi="Arial" w:cs="Arial"/>
              </w:rPr>
              <w:t xml:space="preserve">the situation </w:t>
            </w:r>
            <w:r>
              <w:rPr>
                <w:rFonts w:ascii="Arial" w:hAnsi="Arial" w:cs="Arial"/>
              </w:rPr>
              <w:t xml:space="preserve">where arbitration is excluded by a specific law.  </w:t>
            </w:r>
            <w:r w:rsidR="003F796C">
              <w:rPr>
                <w:rFonts w:ascii="Arial" w:hAnsi="Arial" w:cs="Arial"/>
              </w:rPr>
              <w:t xml:space="preserve">Restrictions on arbitrability of matters under the common law, for example regarding criminal liability,  cannot be settled by agreement and an arbitration  agreement purporting to deal with criminal liability is in any event contrary to public policy.  Matters inherently not capable of arbitration are therefore covered by the other provisions of clause 7. </w:t>
            </w:r>
          </w:p>
        </w:tc>
      </w:tr>
      <w:tr w:rsidR="00A159F0" w:rsidRPr="005C12C2" w:rsidTr="00762568">
        <w:trPr>
          <w:trHeight w:val="2175"/>
        </w:trPr>
        <w:tc>
          <w:tcPr>
            <w:tcW w:w="0" w:type="auto"/>
          </w:tcPr>
          <w:p w:rsidR="00A159F0" w:rsidRPr="000D61C5" w:rsidRDefault="00A159F0" w:rsidP="004E4E77">
            <w:pPr>
              <w:rPr>
                <w:rFonts w:ascii="Arial" w:hAnsi="Arial" w:cs="Arial"/>
              </w:rPr>
            </w:pPr>
            <w:r>
              <w:rPr>
                <w:rFonts w:ascii="Arial" w:hAnsi="Arial" w:cs="Arial"/>
              </w:rPr>
              <w:lastRenderedPageBreak/>
              <w:t>7(1)(b</w:t>
            </w:r>
            <w:r w:rsidRPr="000D61C5">
              <w:rPr>
                <w:rFonts w:ascii="Arial" w:hAnsi="Arial" w:cs="Arial"/>
              </w:rPr>
              <w:t>)</w:t>
            </w:r>
          </w:p>
          <w:p w:rsidR="00A159F0" w:rsidRDefault="00A159F0" w:rsidP="004E4E77">
            <w:pPr>
              <w:rPr>
                <w:rFonts w:ascii="Arial" w:hAnsi="Arial" w:cs="Arial"/>
              </w:rPr>
            </w:pPr>
          </w:p>
        </w:tc>
        <w:tc>
          <w:tcPr>
            <w:tcW w:w="1954" w:type="dxa"/>
          </w:tcPr>
          <w:p w:rsidR="00A159F0" w:rsidRPr="009A08B4" w:rsidRDefault="00A159F0" w:rsidP="004E4E77">
            <w:pPr>
              <w:rPr>
                <w:rFonts w:ascii="Arial" w:hAnsi="Arial" w:cs="Arial"/>
              </w:rPr>
            </w:pPr>
            <w:r w:rsidRPr="00A159F0">
              <w:rPr>
                <w:rFonts w:ascii="Arial" w:hAnsi="Arial" w:cs="Arial"/>
              </w:rPr>
              <w:t>VM Group</w:t>
            </w:r>
          </w:p>
        </w:tc>
        <w:tc>
          <w:tcPr>
            <w:tcW w:w="4655" w:type="dxa"/>
          </w:tcPr>
          <w:p w:rsidR="00A159F0" w:rsidRPr="004E4E77" w:rsidRDefault="004E4E77" w:rsidP="004E4E77">
            <w:pPr>
              <w:rPr>
                <w:rFonts w:ascii="Arial" w:hAnsi="Arial" w:cs="Arial"/>
              </w:rPr>
            </w:pPr>
            <w:r>
              <w:rPr>
                <w:rFonts w:ascii="Arial" w:hAnsi="Arial" w:cs="Arial"/>
              </w:rPr>
              <w:t>1.  V</w:t>
            </w:r>
            <w:r w:rsidR="004321F8" w:rsidRPr="004E4E77">
              <w:rPr>
                <w:rFonts w:ascii="Arial" w:hAnsi="Arial" w:cs="Arial"/>
              </w:rPr>
              <w:t xml:space="preserve">M Group suggests that </w:t>
            </w:r>
            <w:r w:rsidR="00A159F0" w:rsidRPr="004E4E77">
              <w:rPr>
                <w:rFonts w:ascii="Arial" w:hAnsi="Arial" w:cs="Arial"/>
              </w:rPr>
              <w:t>“public policy of the Republic” in clause 7(1)(b)</w:t>
            </w:r>
            <w:r w:rsidR="004321F8" w:rsidRPr="004E4E77">
              <w:rPr>
                <w:rFonts w:ascii="Arial" w:hAnsi="Arial" w:cs="Arial"/>
              </w:rPr>
              <w:t xml:space="preserve"> should be defined</w:t>
            </w:r>
            <w:r w:rsidR="00A159F0" w:rsidRPr="004E4E77">
              <w:rPr>
                <w:rFonts w:ascii="Arial" w:hAnsi="Arial" w:cs="Arial"/>
              </w:rPr>
              <w:t>.</w:t>
            </w:r>
          </w:p>
          <w:p w:rsidR="004E4E77" w:rsidRDefault="004E4E77" w:rsidP="004E4E77">
            <w:pPr>
              <w:rPr>
                <w:rFonts w:ascii="Arial" w:hAnsi="Arial" w:cs="Arial"/>
              </w:rPr>
            </w:pPr>
          </w:p>
          <w:p w:rsidR="004E4E77" w:rsidRDefault="004E4E77" w:rsidP="004E4E77">
            <w:pPr>
              <w:rPr>
                <w:rFonts w:ascii="Arial" w:hAnsi="Arial" w:cs="Arial"/>
              </w:rPr>
            </w:pPr>
          </w:p>
          <w:p w:rsidR="004E4E77" w:rsidRDefault="004E4E77" w:rsidP="004E4E77">
            <w:pPr>
              <w:rPr>
                <w:rFonts w:ascii="Arial" w:hAnsi="Arial" w:cs="Arial"/>
              </w:rPr>
            </w:pPr>
          </w:p>
          <w:p w:rsidR="004E4E77" w:rsidRDefault="004E4E77" w:rsidP="004E4E77">
            <w:pPr>
              <w:rPr>
                <w:rFonts w:ascii="Arial" w:hAnsi="Arial" w:cs="Arial"/>
              </w:rPr>
            </w:pPr>
          </w:p>
          <w:p w:rsidR="004E4E77" w:rsidRDefault="004E4E77" w:rsidP="004E4E77">
            <w:pPr>
              <w:rPr>
                <w:rFonts w:ascii="Arial" w:hAnsi="Arial" w:cs="Arial"/>
              </w:rPr>
            </w:pPr>
          </w:p>
          <w:p w:rsidR="004E4E77" w:rsidRDefault="004E4E77" w:rsidP="004E4E77">
            <w:pPr>
              <w:rPr>
                <w:rFonts w:ascii="Arial" w:hAnsi="Arial" w:cs="Arial"/>
              </w:rPr>
            </w:pPr>
          </w:p>
          <w:p w:rsidR="004E4E77" w:rsidRDefault="004E4E77" w:rsidP="004E4E77">
            <w:pPr>
              <w:rPr>
                <w:rFonts w:ascii="Arial" w:hAnsi="Arial" w:cs="Arial"/>
              </w:rPr>
            </w:pPr>
          </w:p>
          <w:p w:rsidR="004E4E77" w:rsidRDefault="004E4E77" w:rsidP="004E4E77">
            <w:pPr>
              <w:rPr>
                <w:rFonts w:ascii="Arial" w:hAnsi="Arial" w:cs="Arial"/>
              </w:rPr>
            </w:pPr>
          </w:p>
          <w:p w:rsidR="004E4E77" w:rsidRPr="004E4E77" w:rsidRDefault="004E4E77" w:rsidP="004E4E77">
            <w:pPr>
              <w:rPr>
                <w:rFonts w:ascii="Arial" w:hAnsi="Arial" w:cs="Arial"/>
              </w:rPr>
            </w:pPr>
          </w:p>
          <w:p w:rsidR="00800D91" w:rsidRDefault="00800D91" w:rsidP="004E4E77">
            <w:pPr>
              <w:rPr>
                <w:rFonts w:ascii="Arial" w:hAnsi="Arial" w:cs="Arial"/>
              </w:rPr>
            </w:pPr>
          </w:p>
          <w:p w:rsidR="00762568" w:rsidRDefault="00762568" w:rsidP="004E4E77">
            <w:pPr>
              <w:rPr>
                <w:rFonts w:ascii="Arial" w:hAnsi="Arial" w:cs="Arial"/>
              </w:rPr>
            </w:pPr>
          </w:p>
          <w:p w:rsidR="00762568" w:rsidRDefault="00762568" w:rsidP="004E4E77">
            <w:pPr>
              <w:rPr>
                <w:rFonts w:ascii="Arial" w:hAnsi="Arial" w:cs="Arial"/>
              </w:rPr>
            </w:pPr>
          </w:p>
          <w:p w:rsidR="00762568" w:rsidRDefault="00762568" w:rsidP="004E4E77">
            <w:pPr>
              <w:rPr>
                <w:rFonts w:ascii="Arial" w:hAnsi="Arial" w:cs="Arial"/>
              </w:rPr>
            </w:pPr>
          </w:p>
          <w:p w:rsidR="00762568" w:rsidRDefault="00762568" w:rsidP="004E4E77">
            <w:pPr>
              <w:rPr>
                <w:rFonts w:ascii="Arial" w:hAnsi="Arial" w:cs="Arial"/>
              </w:rPr>
            </w:pPr>
          </w:p>
          <w:p w:rsidR="00762568" w:rsidRDefault="00762568" w:rsidP="004E4E77">
            <w:pPr>
              <w:rPr>
                <w:rFonts w:ascii="Arial" w:hAnsi="Arial" w:cs="Arial"/>
              </w:rPr>
            </w:pPr>
          </w:p>
          <w:p w:rsidR="00762568" w:rsidRDefault="00762568" w:rsidP="004E4E77">
            <w:pPr>
              <w:rPr>
                <w:rFonts w:ascii="Arial" w:hAnsi="Arial" w:cs="Arial"/>
              </w:rPr>
            </w:pPr>
          </w:p>
          <w:p w:rsidR="00762568" w:rsidRDefault="00762568"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A4039A" w:rsidRDefault="00A4039A" w:rsidP="004E4E77">
            <w:pPr>
              <w:rPr>
                <w:rFonts w:ascii="Arial" w:hAnsi="Arial" w:cs="Arial"/>
              </w:rPr>
            </w:pPr>
          </w:p>
          <w:p w:rsidR="002B394B" w:rsidRDefault="002B394B" w:rsidP="004E4E77">
            <w:pPr>
              <w:rPr>
                <w:rFonts w:ascii="Arial" w:hAnsi="Arial" w:cs="Arial"/>
              </w:rPr>
            </w:pPr>
          </w:p>
          <w:p w:rsidR="00762568" w:rsidRDefault="00762568" w:rsidP="004E4E77">
            <w:pPr>
              <w:rPr>
                <w:rFonts w:ascii="Arial" w:hAnsi="Arial" w:cs="Arial"/>
              </w:rPr>
            </w:pPr>
          </w:p>
          <w:p w:rsidR="005703BE" w:rsidRDefault="00A159F0" w:rsidP="004E4E77">
            <w:pPr>
              <w:rPr>
                <w:rFonts w:ascii="Arial" w:hAnsi="Arial" w:cs="Arial"/>
                <w:highlight w:val="yellow"/>
              </w:rPr>
            </w:pPr>
            <w:r w:rsidRPr="007C42D6">
              <w:rPr>
                <w:rFonts w:ascii="Arial" w:hAnsi="Arial" w:cs="Arial"/>
              </w:rPr>
              <w:t>2.</w:t>
            </w:r>
            <w:r>
              <w:rPr>
                <w:rFonts w:ascii="Arial" w:hAnsi="Arial" w:cs="Arial"/>
              </w:rPr>
              <w:t xml:space="preserve">  It appears </w:t>
            </w:r>
            <w:r w:rsidR="00F60A69">
              <w:rPr>
                <w:rFonts w:ascii="Arial" w:hAnsi="Arial" w:cs="Arial"/>
              </w:rPr>
              <w:t xml:space="preserve">as if </w:t>
            </w:r>
            <w:r>
              <w:rPr>
                <w:rFonts w:ascii="Arial" w:hAnsi="Arial" w:cs="Arial"/>
              </w:rPr>
              <w:t>the clause seeks to exclude certain transactions from the ambit of international commercial dispute.  The intended exclusions must be outlined on an open-list basis.  Guidance can be found in Article 1 of the Model Law.</w:t>
            </w: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5703BE" w:rsidRDefault="005703BE" w:rsidP="004E4E77">
            <w:pPr>
              <w:rPr>
                <w:rFonts w:ascii="Arial" w:hAnsi="Arial" w:cs="Arial"/>
                <w:highlight w:val="yellow"/>
              </w:rPr>
            </w:pPr>
          </w:p>
          <w:p w:rsidR="00A4039A" w:rsidRDefault="00A4039A" w:rsidP="004E4E77">
            <w:pPr>
              <w:rPr>
                <w:rFonts w:ascii="Arial" w:hAnsi="Arial" w:cs="Arial"/>
              </w:rPr>
            </w:pPr>
          </w:p>
          <w:p w:rsidR="00A159F0" w:rsidRDefault="00A159F0" w:rsidP="004E4E77">
            <w:pPr>
              <w:rPr>
                <w:rFonts w:ascii="Arial" w:hAnsi="Arial" w:cs="Arial"/>
              </w:rPr>
            </w:pPr>
          </w:p>
        </w:tc>
        <w:tc>
          <w:tcPr>
            <w:tcW w:w="4615" w:type="dxa"/>
          </w:tcPr>
          <w:p w:rsidR="00A159F0" w:rsidRDefault="00AB5EE0" w:rsidP="004E4E77">
            <w:pPr>
              <w:rPr>
                <w:rFonts w:ascii="Arial" w:hAnsi="Arial" w:cs="Arial"/>
              </w:rPr>
            </w:pPr>
            <w:r>
              <w:rPr>
                <w:rFonts w:ascii="Arial" w:hAnsi="Arial" w:cs="Arial"/>
              </w:rPr>
              <w:lastRenderedPageBreak/>
              <w:t>1.</w:t>
            </w:r>
            <w:r w:rsidR="00762568">
              <w:rPr>
                <w:rFonts w:ascii="Arial" w:hAnsi="Arial" w:cs="Arial"/>
              </w:rPr>
              <w:t>1</w:t>
            </w:r>
            <w:r>
              <w:rPr>
                <w:rFonts w:ascii="Arial" w:hAnsi="Arial" w:cs="Arial"/>
              </w:rPr>
              <w:t xml:space="preserve">  </w:t>
            </w:r>
            <w:r w:rsidR="00150504">
              <w:rPr>
                <w:rFonts w:ascii="Arial" w:hAnsi="Arial" w:cs="Arial"/>
              </w:rPr>
              <w:t xml:space="preserve">It would be very difficult to </w:t>
            </w:r>
            <w:r w:rsidR="00964E2D">
              <w:rPr>
                <w:rFonts w:ascii="Arial" w:hAnsi="Arial" w:cs="Arial"/>
              </w:rPr>
              <w:t xml:space="preserve">define </w:t>
            </w:r>
            <w:r w:rsidR="00150504">
              <w:rPr>
                <w:rFonts w:ascii="Arial" w:hAnsi="Arial" w:cs="Arial"/>
              </w:rPr>
              <w:t>“</w:t>
            </w:r>
            <w:r w:rsidR="00964E2D">
              <w:rPr>
                <w:rFonts w:ascii="Arial" w:hAnsi="Arial" w:cs="Arial"/>
              </w:rPr>
              <w:t>public policy</w:t>
            </w:r>
            <w:r w:rsidR="00150504">
              <w:rPr>
                <w:rFonts w:ascii="Arial" w:hAnsi="Arial" w:cs="Arial"/>
              </w:rPr>
              <w:t>”</w:t>
            </w:r>
            <w:r>
              <w:rPr>
                <w:rFonts w:ascii="Arial" w:hAnsi="Arial" w:cs="Arial"/>
              </w:rPr>
              <w:t>.</w:t>
            </w:r>
            <w:r w:rsidR="00E63F08">
              <w:rPr>
                <w:rFonts w:ascii="Arial" w:hAnsi="Arial" w:cs="Arial"/>
              </w:rPr>
              <w:t xml:space="preserve">   </w:t>
            </w:r>
            <w:r w:rsidR="00A4023F">
              <w:rPr>
                <w:rFonts w:ascii="Arial" w:hAnsi="Arial" w:cs="Arial"/>
              </w:rPr>
              <w:t xml:space="preserve">The question </w:t>
            </w:r>
            <w:r w:rsidR="00E63F08" w:rsidRPr="00E63F08">
              <w:rPr>
                <w:rFonts w:ascii="Arial" w:hAnsi="Arial" w:cs="Arial"/>
              </w:rPr>
              <w:t>whether or</w:t>
            </w:r>
            <w:r w:rsidR="00E63F08">
              <w:rPr>
                <w:rFonts w:ascii="Arial" w:hAnsi="Arial" w:cs="Arial"/>
              </w:rPr>
              <w:t xml:space="preserve"> not </w:t>
            </w:r>
            <w:r w:rsidR="00D42BD6">
              <w:rPr>
                <w:rFonts w:ascii="Arial" w:hAnsi="Arial" w:cs="Arial"/>
              </w:rPr>
              <w:t>an</w:t>
            </w:r>
            <w:r w:rsidR="00E63F08">
              <w:rPr>
                <w:rFonts w:ascii="Arial" w:hAnsi="Arial" w:cs="Arial"/>
              </w:rPr>
              <w:t xml:space="preserve"> </w:t>
            </w:r>
            <w:r w:rsidR="00A4023F">
              <w:rPr>
                <w:rFonts w:ascii="Arial" w:hAnsi="Arial" w:cs="Arial"/>
              </w:rPr>
              <w:t xml:space="preserve">arbitration agreement </w:t>
            </w:r>
            <w:r w:rsidR="00E63F08">
              <w:rPr>
                <w:rFonts w:ascii="Arial" w:hAnsi="Arial" w:cs="Arial"/>
              </w:rPr>
              <w:t xml:space="preserve">is contrary to public policy </w:t>
            </w:r>
            <w:r w:rsidR="00150504">
              <w:rPr>
                <w:rFonts w:ascii="Arial" w:hAnsi="Arial" w:cs="Arial"/>
              </w:rPr>
              <w:t>is</w:t>
            </w:r>
            <w:r w:rsidR="00D42BD6">
              <w:rPr>
                <w:rFonts w:ascii="Arial" w:hAnsi="Arial" w:cs="Arial"/>
              </w:rPr>
              <w:t xml:space="preserve"> best left to the courts to decide against the Constitution and the circumstances of every case.</w:t>
            </w:r>
          </w:p>
          <w:p w:rsidR="00762568" w:rsidRDefault="00762568" w:rsidP="004E4E77">
            <w:pPr>
              <w:rPr>
                <w:rFonts w:ascii="Arial" w:hAnsi="Arial" w:cs="Arial"/>
              </w:rPr>
            </w:pPr>
          </w:p>
          <w:p w:rsidR="00762568" w:rsidRDefault="00762568" w:rsidP="004E4E77">
            <w:pPr>
              <w:rPr>
                <w:rFonts w:ascii="Arial" w:hAnsi="Arial" w:cs="Arial"/>
              </w:rPr>
            </w:pPr>
            <w:r>
              <w:rPr>
                <w:rFonts w:ascii="Arial" w:hAnsi="Arial" w:cs="Arial"/>
              </w:rPr>
              <w:t>1.2  Further submissions on the issue of “public policy” from Adv LG Nkosi-Thomas, SC, on behalf China-Africa Joint Arbitration Centre (CAJAC) and the Arbitration Foundation of Southern Africa (AFSA) provide additional useful insights.  They argue that it is not necessary to define “public policy”.  They refer in this regard to the following excerpt from the judgment of Chief Justice Ngcobo in the matter of Barkhuizen v Napier in the Constitutional Court:</w:t>
            </w:r>
          </w:p>
          <w:p w:rsidR="00762568" w:rsidRDefault="00762568" w:rsidP="004E4E77">
            <w:pPr>
              <w:rPr>
                <w:rFonts w:ascii="Arial" w:hAnsi="Arial" w:cs="Arial"/>
              </w:rPr>
            </w:pPr>
            <w:r>
              <w:rPr>
                <w:rFonts w:ascii="Arial" w:hAnsi="Arial" w:cs="Arial"/>
              </w:rPr>
              <w:t xml:space="preserve">“What is public policy is …. must now be determined by reference to the values that underlie our constitutional democracy as given expression by the provisions of the Bill of Rights.  Thus a term in a contract that is inimical to the values enshrined in our Constitution is contrary to public policy and is, therefore, unenforceable.”.   </w:t>
            </w:r>
          </w:p>
          <w:p w:rsidR="002B394B" w:rsidRDefault="002B394B" w:rsidP="004E4E77">
            <w:pPr>
              <w:rPr>
                <w:rFonts w:ascii="Arial" w:hAnsi="Arial" w:cs="Arial"/>
              </w:rPr>
            </w:pPr>
          </w:p>
          <w:p w:rsidR="00A4039A" w:rsidRDefault="00A4039A" w:rsidP="004E4E77">
            <w:pPr>
              <w:rPr>
                <w:rFonts w:ascii="Arial" w:hAnsi="Arial" w:cs="Arial"/>
              </w:rPr>
            </w:pPr>
            <w:r>
              <w:rPr>
                <w:rFonts w:ascii="Arial" w:hAnsi="Arial" w:cs="Arial"/>
              </w:rPr>
              <w:t xml:space="preserve">Adv Nkosi-Thomas goes on to say that “this construction of public policy serves to ensure that the moral code of South African people, as it exists from time to time, is given effect to in the recognition and enforcement of arbitration agreements and foreign arbitral </w:t>
            </w:r>
            <w:r>
              <w:rPr>
                <w:rFonts w:ascii="Arial" w:hAnsi="Arial" w:cs="Arial"/>
              </w:rPr>
              <w:lastRenderedPageBreak/>
              <w:t>awards.  Given the clear constitutional jurisprudence in place as regards the meaning to be ascribed to the words ‘public policy in the Republic’, very little purpose will be served, in our respectful submission, by the inclusion of a definition of the words ‘public policy of the Republic’, as they occur in various parts of the Bill.”.</w:t>
            </w:r>
          </w:p>
          <w:p w:rsidR="00AB5EE0" w:rsidRDefault="00AB5EE0" w:rsidP="004E4E77">
            <w:pPr>
              <w:rPr>
                <w:rFonts w:ascii="Arial" w:hAnsi="Arial" w:cs="Arial"/>
              </w:rPr>
            </w:pPr>
          </w:p>
          <w:p w:rsidR="000954B2" w:rsidRDefault="00AB5EE0" w:rsidP="004E4E77">
            <w:pPr>
              <w:rPr>
                <w:rFonts w:ascii="Arial" w:hAnsi="Arial" w:cs="Arial"/>
              </w:rPr>
            </w:pPr>
            <w:r>
              <w:rPr>
                <w:rFonts w:ascii="Arial" w:hAnsi="Arial" w:cs="Arial"/>
              </w:rPr>
              <w:t xml:space="preserve">2.  </w:t>
            </w:r>
            <w:r w:rsidR="002B394B">
              <w:rPr>
                <w:rFonts w:ascii="Arial" w:hAnsi="Arial" w:cs="Arial"/>
              </w:rPr>
              <w:t xml:space="preserve">Article 1 of the Model Law does not deal with arbitrability (see article 1(5)), but in article 1(1) it does restrict the application of the Model Law to international commercial Arbitration.  (This does not necessarily mean that non-commercial disputes are not arbitrable, but merely that they are not subject to the Model Law).  </w:t>
            </w:r>
            <w:r w:rsidR="00995915">
              <w:rPr>
                <w:rFonts w:ascii="Arial" w:hAnsi="Arial" w:cs="Arial"/>
              </w:rPr>
              <w:t>The Model Law does not define “commercial”.   UNCITRAL provided guidance by way of a footnote regarding relationships of a commercial nature.</w:t>
            </w:r>
            <w:r w:rsidR="00F60A69">
              <w:rPr>
                <w:rFonts w:ascii="Arial" w:hAnsi="Arial" w:cs="Arial"/>
              </w:rPr>
              <w:t xml:space="preserve">  This footnote of UNCTIRAL, which is not included in the Bill,</w:t>
            </w:r>
            <w:r w:rsidR="008B017B">
              <w:rPr>
                <w:rFonts w:ascii="Arial" w:hAnsi="Arial" w:cs="Arial"/>
              </w:rPr>
              <w:t xml:space="preserve"> indicates that </w:t>
            </w:r>
            <w:r w:rsidR="000954B2">
              <w:rPr>
                <w:rFonts w:ascii="Arial" w:hAnsi="Arial" w:cs="Arial"/>
              </w:rPr>
              <w:t>the term “</w:t>
            </w:r>
            <w:r w:rsidR="008B017B">
              <w:rPr>
                <w:rFonts w:ascii="Arial" w:hAnsi="Arial" w:cs="Arial"/>
              </w:rPr>
              <w:t>commercial</w:t>
            </w:r>
            <w:r w:rsidR="000954B2">
              <w:rPr>
                <w:rFonts w:ascii="Arial" w:hAnsi="Arial" w:cs="Arial"/>
              </w:rPr>
              <w:t>”</w:t>
            </w:r>
            <w:r w:rsidR="008B017B">
              <w:rPr>
                <w:rFonts w:ascii="Arial" w:hAnsi="Arial" w:cs="Arial"/>
              </w:rPr>
              <w:t xml:space="preserve"> should be widely interpreted.  However, State-to-State</w:t>
            </w:r>
            <w:r w:rsidR="009C146B">
              <w:rPr>
                <w:rFonts w:ascii="Arial" w:hAnsi="Arial" w:cs="Arial"/>
              </w:rPr>
              <w:t xml:space="preserve"> disputes of a non-commercial nature are excluded.  </w:t>
            </w:r>
            <w:r w:rsidR="000954B2">
              <w:rPr>
                <w:rFonts w:ascii="Arial" w:hAnsi="Arial" w:cs="Arial"/>
              </w:rPr>
              <w:t>Sufficient guidance on the term “commercial” is available by referring to the material to which an arbitral tribunal or a court may refer in interpreting Chapter 2 of the Bill and Model Law, namely the relevant reports of UNCITRAL and its secretariat.  See clause 8 of the Bill which deals with the interpretation of the Model Law.</w:t>
            </w:r>
          </w:p>
          <w:p w:rsidR="002B394B" w:rsidRDefault="002B394B" w:rsidP="004A2BBE">
            <w:pPr>
              <w:rPr>
                <w:rFonts w:ascii="Arial" w:hAnsi="Arial" w:cs="Arial"/>
              </w:rPr>
            </w:pPr>
          </w:p>
          <w:p w:rsidR="00AB5EE0" w:rsidRPr="005C12C2" w:rsidRDefault="009C146B" w:rsidP="004A2BBE">
            <w:pPr>
              <w:rPr>
                <w:rFonts w:ascii="Arial" w:hAnsi="Arial" w:cs="Arial"/>
              </w:rPr>
            </w:pPr>
            <w:r w:rsidRPr="009C146B">
              <w:rPr>
                <w:rFonts w:ascii="Arial" w:hAnsi="Arial" w:cs="Arial"/>
              </w:rPr>
              <w:lastRenderedPageBreak/>
              <w:t xml:space="preserve">Clause 7 is intended to </w:t>
            </w:r>
            <w:r w:rsidR="000954B2">
              <w:rPr>
                <w:rFonts w:ascii="Arial" w:hAnsi="Arial" w:cs="Arial"/>
              </w:rPr>
              <w:t>identify</w:t>
            </w:r>
            <w:r w:rsidRPr="009C146B">
              <w:rPr>
                <w:rFonts w:ascii="Arial" w:hAnsi="Arial" w:cs="Arial"/>
              </w:rPr>
              <w:t xml:space="preserve"> disputes that are not arbitrable</w:t>
            </w:r>
            <w:r w:rsidR="000954B2">
              <w:rPr>
                <w:rFonts w:ascii="Arial" w:hAnsi="Arial" w:cs="Arial"/>
              </w:rPr>
              <w:t>.</w:t>
            </w:r>
            <w:r>
              <w:rPr>
                <w:rFonts w:ascii="Arial" w:hAnsi="Arial" w:cs="Arial"/>
              </w:rPr>
              <w:t xml:space="preserve"> </w:t>
            </w:r>
            <w:r w:rsidR="000954B2">
              <w:rPr>
                <w:rFonts w:ascii="Arial" w:hAnsi="Arial" w:cs="Arial"/>
              </w:rPr>
              <w:t xml:space="preserve">  Clause 7 is not intended to identify transactions falling outside the terms “international” and “commercial”.  I</w:t>
            </w:r>
            <w:r w:rsidR="00564C88">
              <w:rPr>
                <w:rFonts w:ascii="Arial" w:hAnsi="Arial" w:cs="Arial"/>
              </w:rPr>
              <w:t xml:space="preserve">n </w:t>
            </w:r>
            <w:r w:rsidR="00564C88" w:rsidRPr="007C42D6">
              <w:rPr>
                <w:rFonts w:ascii="Arial" w:hAnsi="Arial" w:cs="Arial"/>
                <w:b/>
              </w:rPr>
              <w:t>Lufuno Mphaphuli &amp; Associates Pty Ltd vs Andrews</w:t>
            </w:r>
            <w:r w:rsidR="00564C88">
              <w:rPr>
                <w:rFonts w:ascii="Arial" w:hAnsi="Arial" w:cs="Arial"/>
              </w:rPr>
              <w:t xml:space="preserve"> 2009(4)529 CC, the Constitutional Court did not foresee any difficulty in determining </w:t>
            </w:r>
            <w:r w:rsidR="004C44F9">
              <w:rPr>
                <w:rFonts w:ascii="Arial" w:hAnsi="Arial" w:cs="Arial"/>
              </w:rPr>
              <w:t>when an arbitration agreement was contrary to public policy in the light of the Constitution on a case by case basis.  An arbitration agreement dealing with a non-commercial dispute, even if the parties are</w:t>
            </w:r>
            <w:r w:rsidR="005703BE">
              <w:rPr>
                <w:rFonts w:ascii="Arial" w:hAnsi="Arial" w:cs="Arial"/>
              </w:rPr>
              <w:t xml:space="preserve"> from</w:t>
            </w:r>
            <w:r w:rsidR="004C44F9">
              <w:rPr>
                <w:rFonts w:ascii="Arial" w:hAnsi="Arial" w:cs="Arial"/>
              </w:rPr>
              <w:t xml:space="preserve"> different countries will be subject to the Arbitration Act, 1965</w:t>
            </w:r>
            <w:r w:rsidR="005703BE">
              <w:rPr>
                <w:rFonts w:ascii="Arial" w:hAnsi="Arial" w:cs="Arial"/>
              </w:rPr>
              <w:t>, and will be subject to the restrictions on arbitra</w:t>
            </w:r>
            <w:r w:rsidR="00F60A69">
              <w:rPr>
                <w:rFonts w:ascii="Arial" w:hAnsi="Arial" w:cs="Arial"/>
              </w:rPr>
              <w:t>b</w:t>
            </w:r>
            <w:r w:rsidR="005703BE">
              <w:rPr>
                <w:rFonts w:ascii="Arial" w:hAnsi="Arial" w:cs="Arial"/>
              </w:rPr>
              <w:t>il</w:t>
            </w:r>
            <w:r w:rsidR="00F60A69">
              <w:rPr>
                <w:rFonts w:ascii="Arial" w:hAnsi="Arial" w:cs="Arial"/>
              </w:rPr>
              <w:t>it</w:t>
            </w:r>
            <w:r w:rsidR="005703BE">
              <w:rPr>
                <w:rFonts w:ascii="Arial" w:hAnsi="Arial" w:cs="Arial"/>
              </w:rPr>
              <w:t>y in section 2 of th</w:t>
            </w:r>
            <w:r w:rsidR="00F60A69">
              <w:rPr>
                <w:rFonts w:ascii="Arial" w:hAnsi="Arial" w:cs="Arial"/>
              </w:rPr>
              <w:t>at</w:t>
            </w:r>
            <w:r w:rsidR="005703BE">
              <w:rPr>
                <w:rFonts w:ascii="Arial" w:hAnsi="Arial" w:cs="Arial"/>
              </w:rPr>
              <w:t xml:space="preserve"> Act.</w:t>
            </w:r>
          </w:p>
        </w:tc>
      </w:tr>
      <w:tr w:rsidR="001C0BDE" w:rsidRPr="005C12C2" w:rsidTr="00762568">
        <w:trPr>
          <w:trHeight w:val="2175"/>
        </w:trPr>
        <w:tc>
          <w:tcPr>
            <w:tcW w:w="0" w:type="auto"/>
          </w:tcPr>
          <w:p w:rsidR="001C0BDE" w:rsidRDefault="001C0BDE" w:rsidP="006750A4">
            <w:pPr>
              <w:rPr>
                <w:rFonts w:ascii="Arial" w:hAnsi="Arial" w:cs="Arial"/>
              </w:rPr>
            </w:pPr>
            <w:r>
              <w:rPr>
                <w:rFonts w:ascii="Arial" w:hAnsi="Arial" w:cs="Arial"/>
              </w:rPr>
              <w:lastRenderedPageBreak/>
              <w:t>7(2)</w:t>
            </w:r>
          </w:p>
        </w:tc>
        <w:tc>
          <w:tcPr>
            <w:tcW w:w="1954" w:type="dxa"/>
          </w:tcPr>
          <w:p w:rsidR="001C0BDE" w:rsidRPr="00A159F0" w:rsidRDefault="001C0BDE" w:rsidP="006750A4">
            <w:pPr>
              <w:rPr>
                <w:rFonts w:ascii="Arial" w:hAnsi="Arial" w:cs="Arial"/>
              </w:rPr>
            </w:pPr>
            <w:r>
              <w:rPr>
                <w:rFonts w:ascii="Arial" w:hAnsi="Arial" w:cs="Arial"/>
              </w:rPr>
              <w:t>The Maritime Law Association of Southern Africa</w:t>
            </w:r>
            <w:r w:rsidR="006750A4">
              <w:rPr>
                <w:rFonts w:ascii="Arial" w:hAnsi="Arial" w:cs="Arial"/>
              </w:rPr>
              <w:t xml:space="preserve"> (MLA)</w:t>
            </w:r>
          </w:p>
        </w:tc>
        <w:tc>
          <w:tcPr>
            <w:tcW w:w="4655" w:type="dxa"/>
          </w:tcPr>
          <w:p w:rsidR="004A2BBE" w:rsidRDefault="004A2BBE" w:rsidP="006750A4">
            <w:pPr>
              <w:rPr>
                <w:rFonts w:ascii="Arial" w:hAnsi="Arial" w:cs="Arial"/>
              </w:rPr>
            </w:pPr>
            <w:r>
              <w:rPr>
                <w:rFonts w:ascii="Arial" w:hAnsi="Arial" w:cs="Arial"/>
              </w:rPr>
              <w:t>Bills of lading are evidence of a contract of carriage between, initially, the carrier and the shipper and subsequently the carrier and the consignee or holder. Most ocean carriage is carried out by shipping lines that are foreign to South Africa.  As a result most bills of lading provide for disputes under the bills of lading to be referred to a foreign court or arbitration tribunal.  Most disputes are referred to London for arbitration.</w:t>
            </w:r>
            <w:r w:rsidR="00CB0775">
              <w:rPr>
                <w:rFonts w:ascii="Arial" w:hAnsi="Arial" w:cs="Arial"/>
              </w:rPr>
              <w:t xml:space="preserve">  The effect of this is that South African cargo interests  and their insurers would, in the normal course, be compelled, in the event of a claim under a bill of lading, to pursue that claim against a foreign ship owner in a foreign court.  For a South African cargo owner and insurer this can be prohibitively expensive to the point of depriving them from pursuing an </w:t>
            </w:r>
            <w:r w:rsidR="00CB0775">
              <w:rPr>
                <w:rFonts w:ascii="Arial" w:hAnsi="Arial" w:cs="Arial"/>
              </w:rPr>
              <w:lastRenderedPageBreak/>
              <w:t>otherwise valid claim under a bill of lading.  This situation is worsened by the fact that the South African consignee or</w:t>
            </w:r>
            <w:r>
              <w:rPr>
                <w:rFonts w:ascii="Arial" w:hAnsi="Arial" w:cs="Arial"/>
              </w:rPr>
              <w:t xml:space="preserve"> </w:t>
            </w:r>
            <w:r w:rsidR="00CB0775">
              <w:rPr>
                <w:rFonts w:ascii="Arial" w:hAnsi="Arial" w:cs="Arial"/>
              </w:rPr>
              <w:t>holder of a bill of lading</w:t>
            </w:r>
            <w:r w:rsidR="00E44BE3">
              <w:rPr>
                <w:rFonts w:ascii="Arial" w:hAnsi="Arial" w:cs="Arial"/>
              </w:rPr>
              <w:t xml:space="preserve"> for cargo discharged in South Africa is not responsible for negotiating the terms of the bill of lading contract and has no choice where disputes are heard because the bill of lading contract is concluded by the shipper of the cargo in a foreign country with the foreign shipping line.  The South African importer has the choice of law and jurisdiction forced on him or her.  </w:t>
            </w:r>
          </w:p>
          <w:p w:rsidR="00E44BE3" w:rsidRDefault="00E44BE3" w:rsidP="006750A4">
            <w:pPr>
              <w:rPr>
                <w:rFonts w:ascii="Arial" w:hAnsi="Arial" w:cs="Arial"/>
              </w:rPr>
            </w:pPr>
          </w:p>
          <w:p w:rsidR="00E44BE3" w:rsidRDefault="00E44BE3" w:rsidP="006750A4">
            <w:pPr>
              <w:rPr>
                <w:rFonts w:ascii="Arial" w:hAnsi="Arial" w:cs="Arial"/>
              </w:rPr>
            </w:pPr>
            <w:r>
              <w:rPr>
                <w:rFonts w:ascii="Arial" w:hAnsi="Arial" w:cs="Arial"/>
              </w:rPr>
              <w:t>In order to address this situation and recognizing the injustice to South African interests section 3 was included in the Carriage of Good</w:t>
            </w:r>
            <w:r w:rsidR="00CC59BF">
              <w:rPr>
                <w:rFonts w:ascii="Arial" w:hAnsi="Arial" w:cs="Arial"/>
              </w:rPr>
              <w:t>s</w:t>
            </w:r>
            <w:r>
              <w:rPr>
                <w:rFonts w:ascii="Arial" w:hAnsi="Arial" w:cs="Arial"/>
              </w:rPr>
              <w:t xml:space="preserve"> by Sea Act, 1986 </w:t>
            </w:r>
            <w:r w:rsidR="00E66D36">
              <w:rPr>
                <w:rFonts w:ascii="Arial" w:hAnsi="Arial" w:cs="Arial"/>
              </w:rPr>
              <w:t xml:space="preserve">(COGSA) </w:t>
            </w:r>
            <w:r>
              <w:rPr>
                <w:rFonts w:ascii="Arial" w:hAnsi="Arial" w:cs="Arial"/>
              </w:rPr>
              <w:t>which reads as follows:</w:t>
            </w:r>
          </w:p>
          <w:p w:rsidR="006750A4" w:rsidRDefault="006750A4" w:rsidP="006750A4">
            <w:pPr>
              <w:rPr>
                <w:rFonts w:ascii="Arial" w:hAnsi="Arial" w:cs="Arial"/>
                <w:sz w:val="20"/>
                <w:szCs w:val="20"/>
              </w:rPr>
            </w:pPr>
          </w:p>
          <w:p w:rsidR="00E44BE3" w:rsidRDefault="00E44BE3" w:rsidP="006750A4">
            <w:pPr>
              <w:rPr>
                <w:rFonts w:ascii="Arial" w:hAnsi="Arial" w:cs="Arial"/>
                <w:b/>
                <w:bCs/>
                <w:sz w:val="20"/>
                <w:szCs w:val="20"/>
              </w:rPr>
            </w:pPr>
            <w:r w:rsidRPr="00E44BE3">
              <w:rPr>
                <w:rFonts w:ascii="Arial" w:hAnsi="Arial" w:cs="Arial"/>
                <w:sz w:val="20"/>
                <w:szCs w:val="20"/>
              </w:rPr>
              <w:t>“</w:t>
            </w:r>
            <w:r w:rsidRPr="00E44BE3">
              <w:rPr>
                <w:rFonts w:ascii="Arial" w:hAnsi="Arial" w:cs="Arial"/>
                <w:b/>
                <w:bCs/>
                <w:sz w:val="20"/>
                <w:szCs w:val="20"/>
              </w:rPr>
              <w:t>Jurisdiction of courts</w:t>
            </w:r>
          </w:p>
          <w:p w:rsidR="006750A4" w:rsidRPr="00E44BE3" w:rsidRDefault="006750A4" w:rsidP="006750A4">
            <w:pPr>
              <w:rPr>
                <w:rFonts w:ascii="Arial" w:hAnsi="Arial" w:cs="Arial"/>
                <w:b/>
                <w:bCs/>
                <w:sz w:val="20"/>
                <w:szCs w:val="20"/>
              </w:rPr>
            </w:pPr>
          </w:p>
          <w:p w:rsidR="00E44BE3" w:rsidRPr="00E44BE3" w:rsidRDefault="00E44BE3" w:rsidP="006750A4">
            <w:pPr>
              <w:rPr>
                <w:rFonts w:ascii="Arial" w:hAnsi="Arial" w:cs="Arial"/>
                <w:sz w:val="20"/>
                <w:szCs w:val="20"/>
              </w:rPr>
            </w:pPr>
            <w:r w:rsidRPr="00E44BE3">
              <w:rPr>
                <w:rFonts w:ascii="Arial" w:hAnsi="Arial" w:cs="Arial"/>
                <w:b/>
                <w:bCs/>
                <w:sz w:val="20"/>
                <w:szCs w:val="20"/>
              </w:rPr>
              <w:tab/>
              <w:t>3.</w:t>
            </w:r>
            <w:r w:rsidRPr="00E44BE3">
              <w:rPr>
                <w:rFonts w:ascii="Arial" w:hAnsi="Arial" w:cs="Arial"/>
                <w:b/>
                <w:bCs/>
                <w:sz w:val="20"/>
                <w:szCs w:val="20"/>
              </w:rPr>
              <w:tab/>
            </w:r>
            <w:r w:rsidRPr="00E44BE3">
              <w:rPr>
                <w:rFonts w:ascii="Arial" w:hAnsi="Arial" w:cs="Arial"/>
                <w:sz w:val="20"/>
                <w:szCs w:val="20"/>
              </w:rPr>
              <w:t>(1)  Notwithstanding any purported ouster of jurisdiction, exclusive jurisdiction clause or agreement to refer any dispute to arbitration, and notwithstanding the provisions of the Arbitration Act, 1965 (</w:t>
            </w:r>
            <w:hyperlink r:id="rId8" w:anchor="g0" w:history="1">
              <w:r w:rsidRPr="00E44BE3">
                <w:rPr>
                  <w:rStyle w:val="Hyperlink"/>
                  <w:rFonts w:ascii="Arial" w:hAnsi="Arial" w:cs="Arial"/>
                  <w:color w:val="auto"/>
                  <w:sz w:val="20"/>
                  <w:szCs w:val="20"/>
                  <w:u w:val="none"/>
                </w:rPr>
                <w:t>Act No. 42 of 1965</w:t>
              </w:r>
            </w:hyperlink>
            <w:r w:rsidRPr="00E44BE3">
              <w:rPr>
                <w:rFonts w:ascii="Arial" w:hAnsi="Arial" w:cs="Arial"/>
                <w:sz w:val="20"/>
                <w:szCs w:val="20"/>
              </w:rPr>
              <w:t xml:space="preserve">), and of </w:t>
            </w:r>
            <w:hyperlink r:id="rId9" w:anchor="g3" w:history="1">
              <w:r w:rsidRPr="00E44BE3">
                <w:rPr>
                  <w:rStyle w:val="Hyperlink"/>
                  <w:rFonts w:ascii="Arial" w:hAnsi="Arial" w:cs="Arial"/>
                  <w:color w:val="auto"/>
                  <w:sz w:val="20"/>
                  <w:szCs w:val="20"/>
                  <w:u w:val="none"/>
                </w:rPr>
                <w:t>section 7 (1) (</w:t>
              </w:r>
              <w:r w:rsidRPr="00E44BE3">
                <w:rPr>
                  <w:rStyle w:val="Hyperlink"/>
                  <w:rFonts w:ascii="Arial" w:hAnsi="Arial" w:cs="Arial"/>
                  <w:i/>
                  <w:iCs/>
                  <w:color w:val="auto"/>
                  <w:sz w:val="20"/>
                  <w:szCs w:val="20"/>
                  <w:u w:val="none"/>
                </w:rPr>
                <w:t>b</w:t>
              </w:r>
              <w:r w:rsidRPr="00E44BE3">
                <w:rPr>
                  <w:rStyle w:val="Hyperlink"/>
                  <w:rFonts w:ascii="Arial" w:hAnsi="Arial" w:cs="Arial"/>
                  <w:color w:val="auto"/>
                  <w:sz w:val="20"/>
                  <w:szCs w:val="20"/>
                  <w:u w:val="none"/>
                </w:rPr>
                <w:t>)</w:t>
              </w:r>
            </w:hyperlink>
            <w:r w:rsidRPr="00E44BE3">
              <w:rPr>
                <w:rFonts w:ascii="Arial" w:hAnsi="Arial" w:cs="Arial"/>
                <w:sz w:val="20"/>
                <w:szCs w:val="20"/>
              </w:rPr>
              <w:t xml:space="preserve"> of the Admiralty Jurisdiction Regulation Act, 1983 (</w:t>
            </w:r>
            <w:hyperlink r:id="rId10" w:anchor="g0" w:history="1">
              <w:r w:rsidRPr="00E44BE3">
                <w:rPr>
                  <w:rStyle w:val="Hyperlink"/>
                  <w:rFonts w:ascii="Arial" w:hAnsi="Arial" w:cs="Arial"/>
                  <w:color w:val="auto"/>
                  <w:sz w:val="20"/>
                  <w:szCs w:val="20"/>
                  <w:u w:val="none"/>
                </w:rPr>
                <w:t>Act No. 105 of 1983</w:t>
              </w:r>
            </w:hyperlink>
            <w:r w:rsidRPr="00E44BE3">
              <w:rPr>
                <w:rFonts w:ascii="Arial" w:hAnsi="Arial" w:cs="Arial"/>
                <w:sz w:val="20"/>
                <w:szCs w:val="20"/>
              </w:rPr>
              <w:t xml:space="preserve">), any person carrying on business in the Republic and the consignee under, or holder of, any bill of lading, waybill or like document for the carriage of goods to a destination in the Republic or to any port in the Republic, whether for final discharge or for discharge or for discharge for further carriage, may bring any action relating to the carriage of the said goods or any such bill of </w:t>
            </w:r>
            <w:r w:rsidRPr="00E44BE3">
              <w:rPr>
                <w:rFonts w:ascii="Arial" w:hAnsi="Arial" w:cs="Arial"/>
                <w:sz w:val="20"/>
                <w:szCs w:val="20"/>
              </w:rPr>
              <w:lastRenderedPageBreak/>
              <w:t>lading, waybill or document in a competent court in the Republic.</w:t>
            </w:r>
          </w:p>
          <w:p w:rsidR="00E44BE3" w:rsidRPr="00E44BE3" w:rsidRDefault="00E44BE3" w:rsidP="006750A4">
            <w:pPr>
              <w:rPr>
                <w:rFonts w:ascii="Arial" w:hAnsi="Arial" w:cs="Arial"/>
                <w:sz w:val="20"/>
                <w:szCs w:val="20"/>
              </w:rPr>
            </w:pPr>
            <w:r w:rsidRPr="00E44BE3">
              <w:rPr>
                <w:rFonts w:ascii="Arial" w:hAnsi="Arial" w:cs="Arial"/>
                <w:sz w:val="20"/>
                <w:szCs w:val="20"/>
              </w:rPr>
              <w:tab/>
            </w:r>
            <w:r w:rsidR="000A7983">
              <w:rPr>
                <w:rFonts w:ascii="Arial" w:hAnsi="Arial" w:cs="Arial"/>
                <w:sz w:val="20"/>
                <w:szCs w:val="20"/>
              </w:rPr>
              <w:tab/>
            </w:r>
            <w:r w:rsidRPr="00E44BE3">
              <w:rPr>
                <w:rFonts w:ascii="Arial" w:hAnsi="Arial" w:cs="Arial"/>
                <w:sz w:val="20"/>
                <w:szCs w:val="20"/>
              </w:rPr>
              <w:t>(2)</w:t>
            </w:r>
            <w:r w:rsidRPr="00E44BE3">
              <w:rPr>
                <w:rFonts w:ascii="Arial" w:hAnsi="Arial" w:cs="Arial"/>
                <w:sz w:val="20"/>
                <w:szCs w:val="20"/>
              </w:rPr>
              <w:tab/>
              <w:t xml:space="preserve">The provisions of </w:t>
            </w:r>
            <w:hyperlink r:id="rId11" w:anchor="g1" w:history="1">
              <w:r w:rsidRPr="00E44BE3">
                <w:rPr>
                  <w:rStyle w:val="Hyperlink"/>
                  <w:rFonts w:ascii="Arial" w:hAnsi="Arial" w:cs="Arial"/>
                  <w:color w:val="auto"/>
                  <w:sz w:val="20"/>
                  <w:szCs w:val="20"/>
                  <w:u w:val="none"/>
                </w:rPr>
                <w:t>subsection (1)</w:t>
              </w:r>
            </w:hyperlink>
            <w:r w:rsidRPr="00E44BE3">
              <w:rPr>
                <w:rFonts w:ascii="Arial" w:hAnsi="Arial" w:cs="Arial"/>
                <w:sz w:val="20"/>
                <w:szCs w:val="20"/>
              </w:rPr>
              <w:t xml:space="preserve"> of this section shall not apply to arbitration proceedings to be held in the Republic which are subject to the provisions of the Arbitration Act, 1965.”.</w:t>
            </w:r>
          </w:p>
          <w:p w:rsidR="006750A4" w:rsidRDefault="006750A4" w:rsidP="006750A4">
            <w:pPr>
              <w:rPr>
                <w:rFonts w:ascii="Arial" w:hAnsi="Arial" w:cs="Arial"/>
              </w:rPr>
            </w:pPr>
          </w:p>
          <w:p w:rsidR="00E44BE3" w:rsidRPr="00E44BE3" w:rsidRDefault="006750A4" w:rsidP="006750A4">
            <w:pPr>
              <w:rPr>
                <w:rFonts w:ascii="Arial" w:hAnsi="Arial" w:cs="Arial"/>
              </w:rPr>
            </w:pPr>
            <w:r>
              <w:rPr>
                <w:rFonts w:ascii="Arial" w:hAnsi="Arial" w:cs="Arial"/>
              </w:rPr>
              <w:t>This provision ensures that South African businesses or parties who have cargo discharged in South Africa can turn to the South African courts to resolve any disputes under bills of lading.  This is apparently in line with practice in many countries where domestic courts are given jurisdiction to hear domestic disputes by domestic plaintiffs.</w:t>
            </w:r>
          </w:p>
          <w:p w:rsidR="00E44BE3" w:rsidRDefault="00E44BE3" w:rsidP="006750A4">
            <w:pPr>
              <w:rPr>
                <w:rFonts w:ascii="Arial" w:hAnsi="Arial" w:cs="Arial"/>
              </w:rPr>
            </w:pPr>
          </w:p>
          <w:p w:rsidR="006750A4" w:rsidRDefault="0087491F" w:rsidP="006750A4">
            <w:pPr>
              <w:rPr>
                <w:rFonts w:ascii="Arial" w:hAnsi="Arial" w:cs="Arial"/>
              </w:rPr>
            </w:pPr>
            <w:r>
              <w:rPr>
                <w:rFonts w:ascii="Arial" w:hAnsi="Arial" w:cs="Arial"/>
              </w:rPr>
              <w:t>According to the MLA</w:t>
            </w:r>
            <w:r w:rsidR="00E66D36">
              <w:rPr>
                <w:rFonts w:ascii="Arial" w:hAnsi="Arial" w:cs="Arial"/>
              </w:rPr>
              <w:t>, clause 7(2)</w:t>
            </w:r>
            <w:r w:rsidR="006C40BE">
              <w:rPr>
                <w:rFonts w:ascii="Arial" w:hAnsi="Arial" w:cs="Arial"/>
              </w:rPr>
              <w:t xml:space="preserve"> of the Bill</w:t>
            </w:r>
            <w:r w:rsidR="00E66D36">
              <w:rPr>
                <w:rFonts w:ascii="Arial" w:hAnsi="Arial" w:cs="Arial"/>
              </w:rPr>
              <w:t xml:space="preserve">, as </w:t>
            </w:r>
            <w:r w:rsidR="006C40BE">
              <w:rPr>
                <w:rFonts w:ascii="Arial" w:hAnsi="Arial" w:cs="Arial"/>
              </w:rPr>
              <w:t xml:space="preserve">it is </w:t>
            </w:r>
            <w:r w:rsidR="00E66D36">
              <w:rPr>
                <w:rFonts w:ascii="Arial" w:hAnsi="Arial" w:cs="Arial"/>
              </w:rPr>
              <w:t>currently worded, removes the protection afforded by section 3 of COGSA</w:t>
            </w:r>
            <w:r w:rsidR="006C40BE">
              <w:rPr>
                <w:rFonts w:ascii="Arial" w:hAnsi="Arial" w:cs="Arial"/>
              </w:rPr>
              <w:t xml:space="preserve"> and effectively deprives South African claimants and their insurers of their right to access to courts, in conflict with section 34 of the Constitution.  In other words, it overrides the protection provided by the said section 3. </w:t>
            </w:r>
          </w:p>
          <w:p w:rsidR="004A2BBE" w:rsidRDefault="004A2BBE" w:rsidP="006750A4">
            <w:pPr>
              <w:rPr>
                <w:rFonts w:ascii="Arial" w:hAnsi="Arial" w:cs="Arial"/>
              </w:rPr>
            </w:pPr>
          </w:p>
          <w:p w:rsidR="006C40BE" w:rsidRDefault="00F30A9B" w:rsidP="006750A4">
            <w:pPr>
              <w:rPr>
                <w:rFonts w:ascii="Arial" w:hAnsi="Arial" w:cs="Arial"/>
              </w:rPr>
            </w:pPr>
            <w:r>
              <w:rPr>
                <w:rFonts w:ascii="Arial" w:hAnsi="Arial" w:cs="Arial"/>
              </w:rPr>
              <w:t xml:space="preserve">The Bill also creates an anomaly that a South African cargo owners can proceed in a </w:t>
            </w:r>
            <w:r w:rsidR="006C40BE">
              <w:rPr>
                <w:rFonts w:ascii="Arial" w:hAnsi="Arial" w:cs="Arial"/>
              </w:rPr>
              <w:t>S</w:t>
            </w:r>
            <w:r>
              <w:rPr>
                <w:rFonts w:ascii="Arial" w:hAnsi="Arial" w:cs="Arial"/>
              </w:rPr>
              <w:t>outh African court where a bill of lading refers disputes to a foreign court but cannot do so if the bill of lading</w:t>
            </w:r>
            <w:r w:rsidR="004A2569">
              <w:rPr>
                <w:rFonts w:ascii="Arial" w:hAnsi="Arial" w:cs="Arial"/>
              </w:rPr>
              <w:t xml:space="preserve"> refers a dispute to a foreign arbitral tribunal.  </w:t>
            </w:r>
          </w:p>
          <w:p w:rsidR="006C40BE" w:rsidRDefault="006C40BE" w:rsidP="006750A4">
            <w:pPr>
              <w:rPr>
                <w:rFonts w:ascii="Arial" w:hAnsi="Arial" w:cs="Arial"/>
              </w:rPr>
            </w:pPr>
          </w:p>
          <w:p w:rsidR="006C40BE" w:rsidRDefault="006C40BE" w:rsidP="006750A4">
            <w:pPr>
              <w:rPr>
                <w:rFonts w:ascii="Arial" w:hAnsi="Arial" w:cs="Arial"/>
              </w:rPr>
            </w:pPr>
            <w:r>
              <w:rPr>
                <w:rFonts w:ascii="Arial" w:hAnsi="Arial" w:cs="Arial"/>
              </w:rPr>
              <w:t xml:space="preserve">The MLA therefore proposes that clause 7(2) be amended by the addition of the underlined </w:t>
            </w:r>
            <w:r>
              <w:rPr>
                <w:rFonts w:ascii="Arial" w:hAnsi="Arial" w:cs="Arial"/>
              </w:rPr>
              <w:lastRenderedPageBreak/>
              <w:t>wording below:</w:t>
            </w:r>
          </w:p>
          <w:p w:rsidR="004A2569" w:rsidRDefault="006C40BE" w:rsidP="004B4C7B">
            <w:pPr>
              <w:rPr>
                <w:rFonts w:ascii="Arial" w:hAnsi="Arial" w:cs="Arial"/>
              </w:rPr>
            </w:pPr>
            <w:r>
              <w:rPr>
                <w:rFonts w:ascii="Arial" w:hAnsi="Arial" w:cs="Arial"/>
              </w:rPr>
              <w:t xml:space="preserve">“Arbitration may not be excluded solely on the ground that an enactment confers jurisdiction on a court or other tribunal to determine a matter falling within the terms of an arbitration agreement:  </w:t>
            </w:r>
            <w:r w:rsidRPr="004B4C7B">
              <w:rPr>
                <w:rFonts w:ascii="Arial" w:hAnsi="Arial" w:cs="Arial"/>
                <w:u w:val="single"/>
              </w:rPr>
              <w:t xml:space="preserve">Provided </w:t>
            </w:r>
            <w:r w:rsidR="004B4C7B" w:rsidRPr="004B4C7B">
              <w:rPr>
                <w:rFonts w:ascii="Arial" w:hAnsi="Arial" w:cs="Arial"/>
                <w:u w:val="single"/>
              </w:rPr>
              <w:t xml:space="preserve">this </w:t>
            </w:r>
            <w:r w:rsidR="004A2569" w:rsidRPr="004B4C7B">
              <w:rPr>
                <w:rFonts w:ascii="Arial" w:hAnsi="Arial" w:cs="Arial"/>
                <w:u w:val="single"/>
              </w:rPr>
              <w:t>does not apply to disputes falling within the provisions of section 3 of the Carriage of Goods by the Sea Act</w:t>
            </w:r>
            <w:r w:rsidR="004B4C7B" w:rsidRPr="004B4C7B">
              <w:rPr>
                <w:rFonts w:ascii="Arial" w:hAnsi="Arial" w:cs="Arial"/>
                <w:u w:val="single"/>
              </w:rPr>
              <w:t>, 1986 (Act</w:t>
            </w:r>
            <w:r w:rsidR="004A2569" w:rsidRPr="004B4C7B">
              <w:rPr>
                <w:rFonts w:ascii="Arial" w:hAnsi="Arial" w:cs="Arial"/>
                <w:u w:val="single"/>
              </w:rPr>
              <w:t xml:space="preserve"> No. 1 of 1986</w:t>
            </w:r>
            <w:r w:rsidR="004B4C7B" w:rsidRPr="004B4C7B">
              <w:rPr>
                <w:rFonts w:ascii="Arial" w:hAnsi="Arial" w:cs="Arial"/>
                <w:u w:val="single"/>
              </w:rPr>
              <w:t>.</w:t>
            </w:r>
            <w:r w:rsidR="004A2569">
              <w:rPr>
                <w:rFonts w:ascii="Arial" w:hAnsi="Arial" w:cs="Arial"/>
              </w:rPr>
              <w:t>”.</w:t>
            </w:r>
          </w:p>
          <w:p w:rsidR="004B4C7B" w:rsidRDefault="004B4C7B" w:rsidP="004B4C7B">
            <w:pPr>
              <w:rPr>
                <w:rFonts w:ascii="Arial" w:hAnsi="Arial" w:cs="Arial"/>
              </w:rPr>
            </w:pPr>
          </w:p>
          <w:p w:rsidR="001C0BDE" w:rsidRDefault="004B4C7B" w:rsidP="004B4C7B">
            <w:pPr>
              <w:rPr>
                <w:rFonts w:ascii="Arial" w:hAnsi="Arial" w:cs="Arial"/>
              </w:rPr>
            </w:pPr>
            <w:r>
              <w:rPr>
                <w:rFonts w:ascii="Arial" w:hAnsi="Arial" w:cs="Arial"/>
              </w:rPr>
              <w:t>The MLA submits that such an amendment would ensure that local claimants are not put to the cost and expense of proceeding with domestic claims by way of arbitration against foreign ship owners in f</w:t>
            </w:r>
            <w:r w:rsidR="009237B9">
              <w:rPr>
                <w:rFonts w:ascii="Arial" w:hAnsi="Arial" w:cs="Arial"/>
              </w:rPr>
              <w:t>oreign arbitration tribunals.</w:t>
            </w:r>
          </w:p>
        </w:tc>
        <w:tc>
          <w:tcPr>
            <w:tcW w:w="4615" w:type="dxa"/>
          </w:tcPr>
          <w:p w:rsidR="00527415" w:rsidRDefault="009237B9" w:rsidP="006750A4">
            <w:pPr>
              <w:rPr>
                <w:rFonts w:ascii="Arial" w:hAnsi="Arial" w:cs="Arial"/>
              </w:rPr>
            </w:pPr>
            <w:r>
              <w:rPr>
                <w:rFonts w:ascii="Arial" w:hAnsi="Arial" w:cs="Arial"/>
              </w:rPr>
              <w:lastRenderedPageBreak/>
              <w:t xml:space="preserve">Presenters at the public hearings were invited, should they so wish, to make supplementary submissions.  It was also suggested that the MLA should engage with representatives of CAJAC and AFSA on the issue raised by the MLA.  </w:t>
            </w:r>
          </w:p>
          <w:p w:rsidR="00527415" w:rsidRDefault="00527415" w:rsidP="006750A4">
            <w:pPr>
              <w:rPr>
                <w:rFonts w:ascii="Arial" w:hAnsi="Arial" w:cs="Arial"/>
              </w:rPr>
            </w:pPr>
          </w:p>
          <w:p w:rsidR="001C0BDE" w:rsidRDefault="009237B9" w:rsidP="006750A4">
            <w:pPr>
              <w:rPr>
                <w:rFonts w:ascii="Arial" w:hAnsi="Arial" w:cs="Arial"/>
              </w:rPr>
            </w:pPr>
            <w:r>
              <w:rPr>
                <w:rFonts w:ascii="Arial" w:hAnsi="Arial" w:cs="Arial"/>
              </w:rPr>
              <w:t xml:space="preserve">Adv Nkosi-Thomas, on behalf of AFSA and CAJAC, made further submissions on the aspects raised by the MLA with which the Department agrees.  The further submissions are to the effect that clause 7(2) is not in conflict with </w:t>
            </w:r>
            <w:r w:rsidR="00527415">
              <w:rPr>
                <w:rFonts w:ascii="Arial" w:hAnsi="Arial" w:cs="Arial"/>
              </w:rPr>
              <w:t xml:space="preserve">the </w:t>
            </w:r>
            <w:r>
              <w:rPr>
                <w:rFonts w:ascii="Arial" w:hAnsi="Arial" w:cs="Arial"/>
              </w:rPr>
              <w:t xml:space="preserve">right to access to courts enshrined in section 34 of the Constitution.  In </w:t>
            </w:r>
            <w:r w:rsidR="00527415">
              <w:rPr>
                <w:rFonts w:ascii="Arial" w:hAnsi="Arial" w:cs="Arial"/>
              </w:rPr>
              <w:t xml:space="preserve">Lufuno Mphaphuli Associates v Andrews the Constitutional Court in 2009 held “that section 34 of the Constitution is not implicated in private </w:t>
            </w:r>
            <w:r w:rsidR="00527415">
              <w:rPr>
                <w:rFonts w:ascii="Arial" w:hAnsi="Arial" w:cs="Arial"/>
              </w:rPr>
              <w:lastRenderedPageBreak/>
              <w:t xml:space="preserve">arbitration, in that the parties to the arbitration agreement have chosen not to exercise their rights under section 34.”. </w:t>
            </w:r>
          </w:p>
          <w:p w:rsidR="00527415" w:rsidRDefault="00527415" w:rsidP="006750A4">
            <w:pPr>
              <w:rPr>
                <w:rFonts w:ascii="Arial" w:hAnsi="Arial" w:cs="Arial"/>
              </w:rPr>
            </w:pPr>
          </w:p>
          <w:p w:rsidR="00527415" w:rsidRDefault="00527415" w:rsidP="006750A4">
            <w:pPr>
              <w:rPr>
                <w:rFonts w:ascii="Arial" w:hAnsi="Arial" w:cs="Arial"/>
              </w:rPr>
            </w:pPr>
            <w:r>
              <w:rPr>
                <w:rFonts w:ascii="Arial" w:hAnsi="Arial" w:cs="Arial"/>
              </w:rPr>
              <w:t xml:space="preserve">The following alternative </w:t>
            </w:r>
            <w:r w:rsidR="000A7983">
              <w:rPr>
                <w:rFonts w:ascii="Arial" w:hAnsi="Arial" w:cs="Arial"/>
              </w:rPr>
              <w:t>proposal</w:t>
            </w:r>
            <w:r>
              <w:rPr>
                <w:rFonts w:ascii="Arial" w:hAnsi="Arial" w:cs="Arial"/>
              </w:rPr>
              <w:t xml:space="preserve"> is suggested</w:t>
            </w:r>
            <w:r w:rsidR="005C387B">
              <w:rPr>
                <w:rFonts w:ascii="Arial" w:hAnsi="Arial" w:cs="Arial"/>
              </w:rPr>
              <w:t xml:space="preserve">, </w:t>
            </w:r>
            <w:r w:rsidR="000A7983">
              <w:rPr>
                <w:rFonts w:ascii="Arial" w:hAnsi="Arial" w:cs="Arial"/>
              </w:rPr>
              <w:t xml:space="preserve">namely </w:t>
            </w:r>
            <w:r w:rsidR="005C387B">
              <w:rPr>
                <w:rFonts w:ascii="Arial" w:hAnsi="Arial" w:cs="Arial"/>
              </w:rPr>
              <w:t>a consequential amendment to section 3 of the COGSA</w:t>
            </w:r>
            <w:r>
              <w:rPr>
                <w:rFonts w:ascii="Arial" w:hAnsi="Arial" w:cs="Arial"/>
              </w:rPr>
              <w:t>:</w:t>
            </w:r>
          </w:p>
          <w:p w:rsidR="005C387B" w:rsidRDefault="005C387B" w:rsidP="005C387B">
            <w:pPr>
              <w:rPr>
                <w:rFonts w:ascii="Arial" w:hAnsi="Arial" w:cs="Arial"/>
                <w:b/>
                <w:bCs/>
              </w:rPr>
            </w:pPr>
          </w:p>
          <w:p w:rsidR="000A7983" w:rsidRDefault="005C387B" w:rsidP="005C387B">
            <w:pPr>
              <w:rPr>
                <w:rFonts w:ascii="Arial" w:hAnsi="Arial" w:cs="Arial"/>
                <w:b/>
                <w:bCs/>
                <w:sz w:val="20"/>
                <w:szCs w:val="20"/>
              </w:rPr>
            </w:pPr>
            <w:r w:rsidRPr="000A7983">
              <w:rPr>
                <w:rFonts w:ascii="Arial" w:hAnsi="Arial" w:cs="Arial"/>
                <w:b/>
                <w:bCs/>
                <w:sz w:val="20"/>
                <w:szCs w:val="20"/>
              </w:rPr>
              <w:t>“Jurisdiction of courts</w:t>
            </w:r>
          </w:p>
          <w:p w:rsidR="000A7983" w:rsidRDefault="000A7983" w:rsidP="005C387B">
            <w:pPr>
              <w:rPr>
                <w:rFonts w:ascii="Arial" w:hAnsi="Arial" w:cs="Arial"/>
                <w:b/>
                <w:bCs/>
                <w:sz w:val="20"/>
                <w:szCs w:val="20"/>
              </w:rPr>
            </w:pPr>
          </w:p>
          <w:p w:rsidR="005C387B" w:rsidRPr="000A7983" w:rsidRDefault="000A7983" w:rsidP="005C387B">
            <w:pPr>
              <w:rPr>
                <w:rFonts w:ascii="Arial" w:hAnsi="Arial" w:cs="Arial"/>
                <w:sz w:val="20"/>
                <w:szCs w:val="20"/>
              </w:rPr>
            </w:pPr>
            <w:r>
              <w:rPr>
                <w:rFonts w:ascii="Arial" w:hAnsi="Arial" w:cs="Arial"/>
                <w:b/>
                <w:bCs/>
                <w:sz w:val="20"/>
                <w:szCs w:val="20"/>
              </w:rPr>
              <w:tab/>
              <w:t>3.</w:t>
            </w:r>
            <w:r>
              <w:rPr>
                <w:rFonts w:ascii="Arial" w:hAnsi="Arial" w:cs="Arial"/>
                <w:b/>
                <w:bCs/>
                <w:sz w:val="20"/>
                <w:szCs w:val="20"/>
              </w:rPr>
              <w:tab/>
            </w:r>
            <w:r w:rsidR="005C387B" w:rsidRPr="000A7983">
              <w:rPr>
                <w:rFonts w:ascii="Arial" w:hAnsi="Arial" w:cs="Arial"/>
                <w:sz w:val="20"/>
                <w:szCs w:val="20"/>
              </w:rPr>
              <w:t>(1)  Notwithstanding any purported ouster of jurisdiction, exclusive jurisdiction clause or agreement to refer any dispute to arbitration, and notwithstanding the provisions of the Arbitration Act, 1965 (</w:t>
            </w:r>
            <w:hyperlink r:id="rId12" w:anchor="g0" w:history="1">
              <w:r w:rsidR="005C387B" w:rsidRPr="000A7983">
                <w:rPr>
                  <w:rStyle w:val="Hyperlink"/>
                  <w:rFonts w:ascii="Arial" w:hAnsi="Arial" w:cs="Arial"/>
                  <w:color w:val="auto"/>
                  <w:sz w:val="20"/>
                  <w:szCs w:val="20"/>
                  <w:u w:val="none"/>
                </w:rPr>
                <w:t>Act No. 42 of 1965</w:t>
              </w:r>
            </w:hyperlink>
            <w:r w:rsidR="005C387B" w:rsidRPr="000A7983">
              <w:rPr>
                <w:rFonts w:ascii="Arial" w:hAnsi="Arial" w:cs="Arial"/>
                <w:sz w:val="20"/>
                <w:szCs w:val="20"/>
              </w:rPr>
              <w:t xml:space="preserve">), </w:t>
            </w:r>
            <w:r w:rsidR="005C387B" w:rsidRPr="000A7983">
              <w:rPr>
                <w:rFonts w:ascii="Arial" w:hAnsi="Arial" w:cs="Arial"/>
                <w:strike/>
                <w:sz w:val="20"/>
                <w:szCs w:val="20"/>
              </w:rPr>
              <w:t>and</w:t>
            </w:r>
            <w:r w:rsidR="005C387B" w:rsidRPr="000A7983">
              <w:rPr>
                <w:rFonts w:ascii="Arial" w:hAnsi="Arial" w:cs="Arial"/>
                <w:sz w:val="20"/>
                <w:szCs w:val="20"/>
              </w:rPr>
              <w:t xml:space="preserve"> of </w:t>
            </w:r>
            <w:hyperlink r:id="rId13" w:anchor="g3" w:history="1">
              <w:r w:rsidR="005C387B" w:rsidRPr="000A7983">
                <w:rPr>
                  <w:rStyle w:val="Hyperlink"/>
                  <w:rFonts w:ascii="Arial" w:hAnsi="Arial" w:cs="Arial"/>
                  <w:color w:val="auto"/>
                  <w:sz w:val="20"/>
                  <w:szCs w:val="20"/>
                  <w:u w:val="none"/>
                </w:rPr>
                <w:t>section 7 (1) (</w:t>
              </w:r>
              <w:r w:rsidR="005C387B" w:rsidRPr="000A7983">
                <w:rPr>
                  <w:rStyle w:val="Hyperlink"/>
                  <w:rFonts w:ascii="Arial" w:hAnsi="Arial" w:cs="Arial"/>
                  <w:i/>
                  <w:iCs/>
                  <w:color w:val="auto"/>
                  <w:sz w:val="20"/>
                  <w:szCs w:val="20"/>
                  <w:u w:val="none"/>
                </w:rPr>
                <w:t>b</w:t>
              </w:r>
              <w:r w:rsidR="005C387B" w:rsidRPr="000A7983">
                <w:rPr>
                  <w:rStyle w:val="Hyperlink"/>
                  <w:rFonts w:ascii="Arial" w:hAnsi="Arial" w:cs="Arial"/>
                  <w:color w:val="auto"/>
                  <w:sz w:val="20"/>
                  <w:szCs w:val="20"/>
                  <w:u w:val="none"/>
                </w:rPr>
                <w:t>)</w:t>
              </w:r>
            </w:hyperlink>
            <w:r w:rsidR="005C387B" w:rsidRPr="000A7983">
              <w:rPr>
                <w:rFonts w:ascii="Arial" w:hAnsi="Arial" w:cs="Arial"/>
                <w:sz w:val="20"/>
                <w:szCs w:val="20"/>
              </w:rPr>
              <w:t xml:space="preserve"> of the Admiralty Jurisdiction Regulation Act, 1983 (</w:t>
            </w:r>
            <w:hyperlink r:id="rId14" w:anchor="g0" w:history="1">
              <w:r w:rsidR="005C387B" w:rsidRPr="000A7983">
                <w:rPr>
                  <w:rStyle w:val="Hyperlink"/>
                  <w:rFonts w:ascii="Arial" w:hAnsi="Arial" w:cs="Arial"/>
                  <w:color w:val="auto"/>
                  <w:sz w:val="20"/>
                  <w:szCs w:val="20"/>
                  <w:u w:val="none"/>
                </w:rPr>
                <w:t>Act No. 105 of 1983</w:t>
              </w:r>
            </w:hyperlink>
            <w:r w:rsidR="005C387B" w:rsidRPr="000A7983">
              <w:rPr>
                <w:rFonts w:ascii="Arial" w:hAnsi="Arial" w:cs="Arial"/>
                <w:sz w:val="20"/>
                <w:szCs w:val="20"/>
              </w:rPr>
              <w:t>)</w:t>
            </w:r>
            <w:r>
              <w:rPr>
                <w:rFonts w:ascii="Arial" w:hAnsi="Arial" w:cs="Arial"/>
                <w:sz w:val="20"/>
                <w:szCs w:val="20"/>
              </w:rPr>
              <w:t xml:space="preserve"> </w:t>
            </w:r>
            <w:r w:rsidRPr="000A7983">
              <w:rPr>
                <w:rFonts w:ascii="Arial" w:hAnsi="Arial" w:cs="Arial"/>
                <w:sz w:val="20"/>
                <w:szCs w:val="20"/>
                <w:u w:val="single"/>
              </w:rPr>
              <w:t>and the International Arbitration Act, 2017</w:t>
            </w:r>
            <w:r w:rsidR="005C387B" w:rsidRPr="000A7983">
              <w:rPr>
                <w:rFonts w:ascii="Arial" w:hAnsi="Arial" w:cs="Arial"/>
                <w:sz w:val="20"/>
                <w:szCs w:val="20"/>
              </w:rPr>
              <w:t>, any person carrying on business in the Republic and the consignee under, or holder of, any bill of lading, waybill or like document for the carriage of goods to a destination in the Republic or to any port in the Republic, whether for final discharge or for discharge or for discharge for further carriage, may bring any action relating to the carriage of the said goods or any such bill of lading, waybill or document in a competent court in the Republic.</w:t>
            </w:r>
          </w:p>
          <w:p w:rsidR="005C387B" w:rsidRPr="000A7983" w:rsidRDefault="000A7983" w:rsidP="005C387B">
            <w:pPr>
              <w:rPr>
                <w:rFonts w:ascii="Arial" w:hAnsi="Arial" w:cs="Arial"/>
                <w:sz w:val="20"/>
                <w:szCs w:val="20"/>
              </w:rPr>
            </w:pPr>
            <w:r>
              <w:rPr>
                <w:rFonts w:ascii="Arial" w:hAnsi="Arial" w:cs="Arial"/>
                <w:sz w:val="20"/>
                <w:szCs w:val="20"/>
              </w:rPr>
              <w:tab/>
            </w:r>
            <w:r>
              <w:rPr>
                <w:rFonts w:ascii="Arial" w:hAnsi="Arial" w:cs="Arial"/>
                <w:sz w:val="20"/>
                <w:szCs w:val="20"/>
              </w:rPr>
              <w:tab/>
            </w:r>
            <w:r w:rsidR="005C387B" w:rsidRPr="000A7983">
              <w:rPr>
                <w:rFonts w:ascii="Arial" w:hAnsi="Arial" w:cs="Arial"/>
                <w:sz w:val="20"/>
                <w:szCs w:val="20"/>
              </w:rPr>
              <w:t>(2)</w:t>
            </w:r>
            <w:r>
              <w:rPr>
                <w:rFonts w:ascii="Arial" w:hAnsi="Arial" w:cs="Arial"/>
                <w:sz w:val="20"/>
                <w:szCs w:val="20"/>
              </w:rPr>
              <w:tab/>
            </w:r>
            <w:r w:rsidR="005C387B" w:rsidRPr="000A7983">
              <w:rPr>
                <w:rFonts w:ascii="Arial" w:hAnsi="Arial" w:cs="Arial"/>
                <w:sz w:val="20"/>
                <w:szCs w:val="20"/>
              </w:rPr>
              <w:t xml:space="preserve">The provisions of </w:t>
            </w:r>
            <w:hyperlink r:id="rId15" w:anchor="g1" w:history="1">
              <w:r w:rsidR="005C387B" w:rsidRPr="000A7983">
                <w:rPr>
                  <w:rStyle w:val="Hyperlink"/>
                  <w:rFonts w:ascii="Arial" w:hAnsi="Arial" w:cs="Arial"/>
                  <w:color w:val="auto"/>
                  <w:sz w:val="20"/>
                  <w:szCs w:val="20"/>
                  <w:u w:val="none"/>
                </w:rPr>
                <w:t>subsection (1)</w:t>
              </w:r>
            </w:hyperlink>
            <w:r w:rsidR="005C387B" w:rsidRPr="000A7983">
              <w:rPr>
                <w:rFonts w:ascii="Arial" w:hAnsi="Arial" w:cs="Arial"/>
                <w:sz w:val="20"/>
                <w:szCs w:val="20"/>
              </w:rPr>
              <w:t xml:space="preserve"> of this section shall not apply to arbitration proceedings to be held in the Republic which are subject to the provisions of the </w:t>
            </w:r>
            <w:r w:rsidR="005C387B" w:rsidRPr="000A7983">
              <w:rPr>
                <w:rFonts w:ascii="Arial" w:hAnsi="Arial" w:cs="Arial"/>
                <w:strike/>
                <w:sz w:val="20"/>
                <w:szCs w:val="20"/>
              </w:rPr>
              <w:t>Arbitration Act, 1965</w:t>
            </w:r>
            <w:r>
              <w:rPr>
                <w:rFonts w:ascii="Arial" w:hAnsi="Arial" w:cs="Arial"/>
                <w:sz w:val="20"/>
                <w:szCs w:val="20"/>
              </w:rPr>
              <w:t xml:space="preserve"> </w:t>
            </w:r>
            <w:r w:rsidRPr="000A7983">
              <w:rPr>
                <w:rFonts w:ascii="Arial" w:hAnsi="Arial" w:cs="Arial"/>
                <w:sz w:val="20"/>
                <w:szCs w:val="20"/>
                <w:u w:val="single"/>
              </w:rPr>
              <w:t>arbitration laws of the Republic</w:t>
            </w:r>
            <w:r w:rsidR="005C387B" w:rsidRPr="000A7983">
              <w:rPr>
                <w:rFonts w:ascii="Arial" w:hAnsi="Arial" w:cs="Arial"/>
                <w:sz w:val="20"/>
                <w:szCs w:val="20"/>
              </w:rPr>
              <w:t>.</w:t>
            </w:r>
            <w:r>
              <w:rPr>
                <w:rFonts w:ascii="Arial" w:hAnsi="Arial" w:cs="Arial"/>
                <w:sz w:val="20"/>
                <w:szCs w:val="20"/>
              </w:rPr>
              <w:t>”.</w:t>
            </w:r>
          </w:p>
          <w:p w:rsidR="00527415" w:rsidRDefault="00527415" w:rsidP="006750A4">
            <w:pPr>
              <w:rPr>
                <w:rFonts w:ascii="Arial" w:hAnsi="Arial" w:cs="Arial"/>
              </w:rPr>
            </w:pPr>
          </w:p>
          <w:p w:rsidR="00527415" w:rsidRDefault="00527415" w:rsidP="006750A4">
            <w:pPr>
              <w:rPr>
                <w:rFonts w:ascii="Arial" w:hAnsi="Arial" w:cs="Arial"/>
              </w:rPr>
            </w:pPr>
            <w:r>
              <w:rPr>
                <w:rFonts w:ascii="Arial" w:hAnsi="Arial" w:cs="Arial"/>
              </w:rPr>
              <w:t>This proposed amendment of section 3 of COGSA</w:t>
            </w:r>
            <w:r w:rsidR="00502E4E">
              <w:rPr>
                <w:rFonts w:ascii="Arial" w:hAnsi="Arial" w:cs="Arial"/>
              </w:rPr>
              <w:t xml:space="preserve"> is intended to ensure that local </w:t>
            </w:r>
            <w:r w:rsidR="00502E4E">
              <w:rPr>
                <w:rFonts w:ascii="Arial" w:hAnsi="Arial" w:cs="Arial"/>
              </w:rPr>
              <w:lastRenderedPageBreak/>
              <w:t>claimants are not put to the expense and inconvenience of proceeding with domestic claims by way of arbitration against foreign ship owners in foreign arbitration tribunals.</w:t>
            </w:r>
          </w:p>
          <w:p w:rsidR="00B21E68" w:rsidRDefault="00B21E68" w:rsidP="006750A4">
            <w:pPr>
              <w:rPr>
                <w:rFonts w:ascii="Arial" w:hAnsi="Arial" w:cs="Arial"/>
              </w:rPr>
            </w:pPr>
          </w:p>
          <w:p w:rsidR="00B21E68" w:rsidRDefault="00B21E68" w:rsidP="006750A4">
            <w:pPr>
              <w:rPr>
                <w:rFonts w:ascii="Arial" w:hAnsi="Arial" w:cs="Arial"/>
              </w:rPr>
            </w:pPr>
            <w:r>
              <w:rPr>
                <w:rFonts w:ascii="Arial" w:hAnsi="Arial" w:cs="Arial"/>
              </w:rPr>
              <w:t>Because COGSA is administered by the Department of Transport, the proposed amendment was submitted to it for an input.  The DOT</w:t>
            </w:r>
            <w:r w:rsidRPr="00B21E68">
              <w:rPr>
                <w:rFonts w:ascii="Arial" w:hAnsi="Arial" w:cs="Arial"/>
              </w:rPr>
              <w:t xml:space="preserve"> shares the view of the MLA that the amendment will ensure that local claimants are not put to the expense and inconvenience of proceeding with domestic claims by way of arbitration against foreign ship owners in foreign arbitration tribunals. This proposal is fully in line with the one of the key strategic objectives of the South African Comprehensive Maritime Transport Policy approved by Cabinet that of promoting South Africa as an International Maritime Transport Centre in Africa.</w:t>
            </w:r>
          </w:p>
          <w:p w:rsidR="009237B9" w:rsidRPr="005C12C2" w:rsidRDefault="009237B9" w:rsidP="006750A4">
            <w:pPr>
              <w:rPr>
                <w:rFonts w:ascii="Arial" w:hAnsi="Arial" w:cs="Arial"/>
              </w:rPr>
            </w:pPr>
          </w:p>
        </w:tc>
      </w:tr>
      <w:tr w:rsidR="007C615B" w:rsidRPr="005C12C2" w:rsidTr="00762568">
        <w:trPr>
          <w:trHeight w:val="1088"/>
        </w:trPr>
        <w:tc>
          <w:tcPr>
            <w:tcW w:w="0" w:type="auto"/>
          </w:tcPr>
          <w:p w:rsidR="007C615B" w:rsidRDefault="007C615B" w:rsidP="00566CCC">
            <w:pPr>
              <w:rPr>
                <w:rFonts w:ascii="Arial" w:hAnsi="Arial" w:cs="Arial"/>
              </w:rPr>
            </w:pPr>
            <w:r>
              <w:rPr>
                <w:rFonts w:ascii="Arial" w:hAnsi="Arial" w:cs="Arial"/>
              </w:rPr>
              <w:lastRenderedPageBreak/>
              <w:t>8</w:t>
            </w:r>
            <w:r w:rsidR="004804E5">
              <w:rPr>
                <w:rFonts w:ascii="Arial" w:hAnsi="Arial" w:cs="Arial"/>
              </w:rPr>
              <w:t>: Interpretation of the Model Law</w:t>
            </w:r>
          </w:p>
        </w:tc>
        <w:tc>
          <w:tcPr>
            <w:tcW w:w="1954" w:type="dxa"/>
          </w:tcPr>
          <w:p w:rsidR="007C615B" w:rsidRDefault="007C615B" w:rsidP="00566CCC">
            <w:pPr>
              <w:rPr>
                <w:rFonts w:ascii="Arial" w:hAnsi="Arial" w:cs="Arial"/>
              </w:rPr>
            </w:pPr>
            <w:r w:rsidRPr="007C615B">
              <w:rPr>
                <w:rFonts w:ascii="Arial" w:hAnsi="Arial" w:cs="Arial"/>
              </w:rPr>
              <w:t>Professor Jan Neels</w:t>
            </w:r>
          </w:p>
        </w:tc>
        <w:tc>
          <w:tcPr>
            <w:tcW w:w="4655" w:type="dxa"/>
          </w:tcPr>
          <w:p w:rsidR="00A930E5" w:rsidRDefault="00A930E5" w:rsidP="00566CCC">
            <w:pPr>
              <w:rPr>
                <w:rFonts w:ascii="Arial" w:hAnsi="Arial" w:cs="Arial"/>
              </w:rPr>
            </w:pPr>
            <w:r>
              <w:rPr>
                <w:rFonts w:ascii="Arial" w:hAnsi="Arial" w:cs="Arial"/>
              </w:rPr>
              <w:t>Prof Neels indicates that t</w:t>
            </w:r>
            <w:r w:rsidR="00A054FE">
              <w:rPr>
                <w:rFonts w:ascii="Arial" w:hAnsi="Arial" w:cs="Arial"/>
              </w:rPr>
              <w:t>he Model Law</w:t>
            </w:r>
            <w:r>
              <w:rPr>
                <w:rFonts w:ascii="Arial" w:hAnsi="Arial" w:cs="Arial"/>
              </w:rPr>
              <w:t>, in Article 28(1),</w:t>
            </w:r>
            <w:r w:rsidR="00A054FE">
              <w:rPr>
                <w:rFonts w:ascii="Arial" w:hAnsi="Arial" w:cs="Arial"/>
              </w:rPr>
              <w:t xml:space="preserve"> makes provision for </w:t>
            </w:r>
            <w:r>
              <w:rPr>
                <w:rFonts w:ascii="Arial" w:hAnsi="Arial" w:cs="Arial"/>
              </w:rPr>
              <w:t>a</w:t>
            </w:r>
            <w:r w:rsidR="00A054FE">
              <w:rPr>
                <w:rFonts w:ascii="Arial" w:hAnsi="Arial" w:cs="Arial"/>
              </w:rPr>
              <w:t xml:space="preserve"> dispute to be decided in accordance with the rules of law as chosen by the parties</w:t>
            </w:r>
            <w:r>
              <w:rPr>
                <w:rFonts w:ascii="Arial" w:hAnsi="Arial" w:cs="Arial"/>
              </w:rPr>
              <w:t xml:space="preserve">.  However, </w:t>
            </w:r>
            <w:r w:rsidR="00A054FE">
              <w:rPr>
                <w:rFonts w:ascii="Arial" w:hAnsi="Arial" w:cs="Arial"/>
              </w:rPr>
              <w:t>no detailed rules on choice of law are provided</w:t>
            </w:r>
            <w:r>
              <w:rPr>
                <w:rFonts w:ascii="Arial" w:hAnsi="Arial" w:cs="Arial"/>
              </w:rPr>
              <w:t>, for instance on partial choice of law, modification of a choice of law, tacit choice of law and the formal validity of a choice of law clause</w:t>
            </w:r>
            <w:r w:rsidR="00A054FE">
              <w:rPr>
                <w:rFonts w:ascii="Arial" w:hAnsi="Arial" w:cs="Arial"/>
              </w:rPr>
              <w:t>.</w:t>
            </w:r>
            <w:r>
              <w:rPr>
                <w:rFonts w:ascii="Arial" w:hAnsi="Arial" w:cs="Arial"/>
              </w:rPr>
              <w:t xml:space="preserve">  He is of the view that an arbitral tribunal or court in South Africa may be greatly assisted with guidance from an international instrument such as the “Hague </w:t>
            </w:r>
            <w:r w:rsidR="00A054FE">
              <w:rPr>
                <w:rFonts w:ascii="Arial" w:hAnsi="Arial" w:cs="Arial"/>
              </w:rPr>
              <w:t xml:space="preserve">  </w:t>
            </w:r>
            <w:r w:rsidR="00226971" w:rsidRPr="00226971">
              <w:rPr>
                <w:rFonts w:ascii="Arial" w:hAnsi="Arial" w:cs="Arial"/>
              </w:rPr>
              <w:t>Principles on Choice of Law in International Commercial Contracts”</w:t>
            </w:r>
            <w:r>
              <w:rPr>
                <w:rFonts w:ascii="Arial" w:hAnsi="Arial" w:cs="Arial"/>
              </w:rPr>
              <w:t>.  These Principles</w:t>
            </w:r>
            <w:r w:rsidR="00226971">
              <w:rPr>
                <w:rFonts w:ascii="Arial" w:hAnsi="Arial" w:cs="Arial"/>
              </w:rPr>
              <w:t xml:space="preserve"> </w:t>
            </w:r>
            <w:r w:rsidR="00226971" w:rsidRPr="00226971">
              <w:rPr>
                <w:rFonts w:ascii="Arial" w:hAnsi="Arial" w:cs="Arial"/>
              </w:rPr>
              <w:t xml:space="preserve">were adopted by 80 countries including South Africa.  The </w:t>
            </w:r>
            <w:r>
              <w:rPr>
                <w:rFonts w:ascii="Arial" w:hAnsi="Arial" w:cs="Arial"/>
              </w:rPr>
              <w:t>P</w:t>
            </w:r>
            <w:r w:rsidR="00226971" w:rsidRPr="00226971">
              <w:rPr>
                <w:rFonts w:ascii="Arial" w:hAnsi="Arial" w:cs="Arial"/>
              </w:rPr>
              <w:t xml:space="preserve">rinciples </w:t>
            </w:r>
            <w:r>
              <w:rPr>
                <w:rFonts w:ascii="Arial" w:hAnsi="Arial" w:cs="Arial"/>
              </w:rPr>
              <w:t>could</w:t>
            </w:r>
            <w:r w:rsidR="00226971" w:rsidRPr="00226971">
              <w:rPr>
                <w:rFonts w:ascii="Arial" w:hAnsi="Arial" w:cs="Arial"/>
              </w:rPr>
              <w:t xml:space="preserve"> be used to interpret, supplement and develop rules of </w:t>
            </w:r>
            <w:r w:rsidR="00226971" w:rsidRPr="00226971">
              <w:rPr>
                <w:rFonts w:ascii="Arial" w:hAnsi="Arial" w:cs="Arial"/>
              </w:rPr>
              <w:lastRenderedPageBreak/>
              <w:t>private international law by arbitral tribunals and court</w:t>
            </w:r>
            <w:r w:rsidR="00226971">
              <w:rPr>
                <w:rFonts w:ascii="Arial" w:hAnsi="Arial" w:cs="Arial"/>
              </w:rPr>
              <w:t xml:space="preserve">s. </w:t>
            </w:r>
            <w:r>
              <w:rPr>
                <w:rFonts w:ascii="Arial" w:hAnsi="Arial" w:cs="Arial"/>
              </w:rPr>
              <w:t xml:space="preserve">He therefore </w:t>
            </w:r>
            <w:r w:rsidR="00A054FE">
              <w:rPr>
                <w:rFonts w:ascii="Arial" w:hAnsi="Arial" w:cs="Arial"/>
              </w:rPr>
              <w:t>suggest</w:t>
            </w:r>
            <w:r>
              <w:rPr>
                <w:rFonts w:ascii="Arial" w:hAnsi="Arial" w:cs="Arial"/>
              </w:rPr>
              <w:t>s</w:t>
            </w:r>
            <w:r w:rsidR="00A054FE">
              <w:rPr>
                <w:rFonts w:ascii="Arial" w:hAnsi="Arial" w:cs="Arial"/>
              </w:rPr>
              <w:t xml:space="preserve"> that </w:t>
            </w:r>
            <w:r>
              <w:rPr>
                <w:rFonts w:ascii="Arial" w:hAnsi="Arial" w:cs="Arial"/>
              </w:rPr>
              <w:t>a</w:t>
            </w:r>
            <w:r w:rsidR="00A054FE">
              <w:rPr>
                <w:rFonts w:ascii="Arial" w:hAnsi="Arial" w:cs="Arial"/>
              </w:rPr>
              <w:t xml:space="preserve"> paragraph be </w:t>
            </w:r>
            <w:r>
              <w:rPr>
                <w:rFonts w:ascii="Arial" w:hAnsi="Arial" w:cs="Arial"/>
              </w:rPr>
              <w:t>added</w:t>
            </w:r>
            <w:r w:rsidR="00A054FE">
              <w:rPr>
                <w:rFonts w:ascii="Arial" w:hAnsi="Arial" w:cs="Arial"/>
              </w:rPr>
              <w:t xml:space="preserve"> </w:t>
            </w:r>
            <w:r>
              <w:rPr>
                <w:rFonts w:ascii="Arial" w:hAnsi="Arial" w:cs="Arial"/>
              </w:rPr>
              <w:t>to</w:t>
            </w:r>
            <w:r w:rsidR="007C615B">
              <w:rPr>
                <w:rFonts w:ascii="Arial" w:hAnsi="Arial" w:cs="Arial"/>
              </w:rPr>
              <w:t xml:space="preserve"> clause 8</w:t>
            </w:r>
            <w:r>
              <w:rPr>
                <w:rFonts w:ascii="Arial" w:hAnsi="Arial" w:cs="Arial"/>
              </w:rPr>
              <w:t>, as indicated below with underlining</w:t>
            </w:r>
            <w:r w:rsidR="007C615B">
              <w:rPr>
                <w:rFonts w:ascii="Arial" w:hAnsi="Arial" w:cs="Arial"/>
              </w:rPr>
              <w:t xml:space="preserve">: </w:t>
            </w:r>
          </w:p>
          <w:p w:rsidR="006B4642" w:rsidRDefault="006B4642" w:rsidP="00566CCC">
            <w:pPr>
              <w:rPr>
                <w:rFonts w:ascii="Arial" w:hAnsi="Arial" w:cs="Arial"/>
              </w:rPr>
            </w:pPr>
          </w:p>
          <w:p w:rsidR="00A930E5" w:rsidRPr="006B4642" w:rsidRDefault="00A930E5" w:rsidP="00566CCC">
            <w:pPr>
              <w:rPr>
                <w:rFonts w:ascii="Arial" w:hAnsi="Arial" w:cs="Arial"/>
                <w:b/>
                <w:sz w:val="20"/>
                <w:szCs w:val="20"/>
              </w:rPr>
            </w:pPr>
            <w:r w:rsidRPr="006B4642">
              <w:rPr>
                <w:rFonts w:ascii="Arial" w:hAnsi="Arial" w:cs="Arial"/>
                <w:sz w:val="20"/>
                <w:szCs w:val="20"/>
              </w:rPr>
              <w:t>“</w:t>
            </w:r>
            <w:r w:rsidRPr="006B4642">
              <w:rPr>
                <w:rFonts w:ascii="Arial" w:hAnsi="Arial" w:cs="Arial"/>
                <w:b/>
                <w:sz w:val="20"/>
                <w:szCs w:val="20"/>
              </w:rPr>
              <w:t>Interpretation of Model Law</w:t>
            </w:r>
          </w:p>
          <w:p w:rsidR="00A930E5" w:rsidRPr="006B4642" w:rsidRDefault="00A930E5" w:rsidP="00566CCC">
            <w:pPr>
              <w:rPr>
                <w:rFonts w:ascii="Arial" w:hAnsi="Arial" w:cs="Arial"/>
                <w:sz w:val="20"/>
                <w:szCs w:val="20"/>
              </w:rPr>
            </w:pPr>
          </w:p>
          <w:p w:rsidR="009804E0" w:rsidRDefault="00A930E5" w:rsidP="00566CCC">
            <w:pPr>
              <w:rPr>
                <w:rFonts w:ascii="Arial" w:hAnsi="Arial" w:cs="Arial"/>
              </w:rPr>
            </w:pPr>
            <w:r w:rsidRPr="006B4642">
              <w:rPr>
                <w:rFonts w:ascii="Arial" w:hAnsi="Arial" w:cs="Arial"/>
                <w:sz w:val="20"/>
                <w:szCs w:val="20"/>
              </w:rPr>
              <w:tab/>
            </w:r>
            <w:r w:rsidRPr="006B4642">
              <w:rPr>
                <w:rFonts w:ascii="Arial" w:hAnsi="Arial" w:cs="Arial"/>
                <w:b/>
                <w:sz w:val="20"/>
                <w:szCs w:val="20"/>
              </w:rPr>
              <w:t>8.</w:t>
            </w:r>
            <w:r w:rsidRPr="006B4642">
              <w:rPr>
                <w:rFonts w:ascii="Arial" w:hAnsi="Arial" w:cs="Arial"/>
                <w:sz w:val="20"/>
                <w:szCs w:val="20"/>
              </w:rPr>
              <w:tab/>
              <w:t>The material to which an arbitral tribunal or a court may refer in interpreting</w:t>
            </w:r>
            <w:r w:rsidR="006B4642" w:rsidRPr="006B4642">
              <w:rPr>
                <w:rFonts w:ascii="Arial" w:hAnsi="Arial" w:cs="Arial"/>
                <w:sz w:val="20"/>
                <w:szCs w:val="20"/>
              </w:rPr>
              <w:t xml:space="preserve"> this Chapter and the Model Law includes relevant reports of UNCITRAL and its secretariat.  </w:t>
            </w:r>
            <w:r w:rsidR="006B4642" w:rsidRPr="006B4642">
              <w:rPr>
                <w:rFonts w:ascii="Arial" w:hAnsi="Arial" w:cs="Arial"/>
                <w:sz w:val="20"/>
                <w:szCs w:val="20"/>
                <w:u w:val="single"/>
              </w:rPr>
              <w:t>In the interpretation of Article 28(1) and (4) of the Model Law, arbitral tribunal or court may be guided by the Hague Principles on Choice of Law in International Commercial Contracts.</w:t>
            </w:r>
            <w:r w:rsidR="006B4642" w:rsidRPr="006B4642">
              <w:rPr>
                <w:rFonts w:ascii="Arial" w:hAnsi="Arial" w:cs="Arial"/>
                <w:sz w:val="20"/>
                <w:szCs w:val="20"/>
              </w:rPr>
              <w:t>”.</w:t>
            </w:r>
          </w:p>
        </w:tc>
        <w:tc>
          <w:tcPr>
            <w:tcW w:w="4615" w:type="dxa"/>
          </w:tcPr>
          <w:p w:rsidR="006B4642" w:rsidRPr="006B4642" w:rsidRDefault="006B4642" w:rsidP="00566CCC">
            <w:pPr>
              <w:rPr>
                <w:rFonts w:ascii="Arial" w:hAnsi="Arial" w:cs="Arial"/>
                <w:lang w:val="en-ZA"/>
              </w:rPr>
            </w:pPr>
            <w:r w:rsidRPr="006B4642">
              <w:rPr>
                <w:rFonts w:ascii="Arial" w:hAnsi="Arial" w:cs="Arial"/>
                <w:lang w:val="en-ZA"/>
              </w:rPr>
              <w:lastRenderedPageBreak/>
              <w:t xml:space="preserve">Although </w:t>
            </w:r>
            <w:r w:rsidR="00CD3D75">
              <w:rPr>
                <w:rFonts w:ascii="Arial" w:hAnsi="Arial" w:cs="Arial"/>
                <w:lang w:val="en-ZA"/>
              </w:rPr>
              <w:t xml:space="preserve">this was </w:t>
            </w:r>
            <w:r w:rsidRPr="006B4642">
              <w:rPr>
                <w:rFonts w:ascii="Arial" w:hAnsi="Arial" w:cs="Arial"/>
                <w:lang w:val="en-ZA"/>
              </w:rPr>
              <w:t xml:space="preserve">raised in the context of clause 8 of the Bill, </w:t>
            </w:r>
            <w:r>
              <w:rPr>
                <w:rFonts w:ascii="Arial" w:hAnsi="Arial" w:cs="Arial"/>
                <w:lang w:val="en-ZA"/>
              </w:rPr>
              <w:t xml:space="preserve">which deals with the interpretation of the Model Law in its entirety, </w:t>
            </w:r>
            <w:r w:rsidRPr="006B4642">
              <w:rPr>
                <w:rFonts w:ascii="Arial" w:hAnsi="Arial" w:cs="Arial"/>
                <w:lang w:val="en-ZA"/>
              </w:rPr>
              <w:t xml:space="preserve">the submission </w:t>
            </w:r>
            <w:r>
              <w:rPr>
                <w:rFonts w:ascii="Arial" w:hAnsi="Arial" w:cs="Arial"/>
                <w:lang w:val="en-ZA"/>
              </w:rPr>
              <w:t xml:space="preserve">seems to </w:t>
            </w:r>
            <w:r w:rsidRPr="006B4642">
              <w:rPr>
                <w:rFonts w:ascii="Arial" w:hAnsi="Arial" w:cs="Arial"/>
                <w:lang w:val="en-ZA"/>
              </w:rPr>
              <w:t>relate to</w:t>
            </w:r>
            <w:r w:rsidR="00CD3D75">
              <w:rPr>
                <w:rFonts w:ascii="Arial" w:hAnsi="Arial" w:cs="Arial"/>
                <w:lang w:val="en-ZA"/>
              </w:rPr>
              <w:t>,</w:t>
            </w:r>
            <w:r w:rsidRPr="006B4642">
              <w:rPr>
                <w:rFonts w:ascii="Arial" w:hAnsi="Arial" w:cs="Arial"/>
                <w:lang w:val="en-ZA"/>
              </w:rPr>
              <w:t xml:space="preserve"> </w:t>
            </w:r>
            <w:r>
              <w:rPr>
                <w:rFonts w:ascii="Arial" w:hAnsi="Arial" w:cs="Arial"/>
                <w:lang w:val="en-ZA"/>
              </w:rPr>
              <w:t>or focus more on, A</w:t>
            </w:r>
            <w:r w:rsidRPr="006B4642">
              <w:rPr>
                <w:rFonts w:ascii="Arial" w:hAnsi="Arial" w:cs="Arial"/>
                <w:lang w:val="en-ZA"/>
              </w:rPr>
              <w:t xml:space="preserve">rticle 28 of the Model Law, which deals with the rules applicable to the substance of the dispute. The submission suggests that the tribunal may be guided by the “Hague Principles on Choice of Law in International Commercial Contracts” of 2015 when applying “Article 28(1) and (4) of the Model Law”. </w:t>
            </w:r>
            <w:r>
              <w:rPr>
                <w:rFonts w:ascii="Arial" w:hAnsi="Arial" w:cs="Arial"/>
                <w:lang w:val="en-ZA"/>
              </w:rPr>
              <w:t xml:space="preserve"> </w:t>
            </w:r>
            <w:r w:rsidRPr="006B4642">
              <w:rPr>
                <w:rFonts w:ascii="Arial" w:hAnsi="Arial" w:cs="Arial"/>
                <w:lang w:val="en-ZA"/>
              </w:rPr>
              <w:t xml:space="preserve">Article 28(1) requires the tribunal to decide the dispute “in accordance with such rules of law as are chosen by the parties”. Where the parties choose the law of a particular state, in the absence of a contrary indication, this must be construed </w:t>
            </w:r>
            <w:r w:rsidRPr="006B4642">
              <w:rPr>
                <w:rFonts w:ascii="Arial" w:hAnsi="Arial" w:cs="Arial"/>
                <w:lang w:val="en-ZA"/>
              </w:rPr>
              <w:lastRenderedPageBreak/>
              <w:t xml:space="preserve">as a direct reference to the substantive law of that state. This provision gives effect to party autonomy. There </w:t>
            </w:r>
            <w:r w:rsidR="00707904">
              <w:rPr>
                <w:rFonts w:ascii="Arial" w:hAnsi="Arial" w:cs="Arial"/>
                <w:lang w:val="en-ZA"/>
              </w:rPr>
              <w:t xml:space="preserve">seems to be </w:t>
            </w:r>
            <w:r w:rsidRPr="006B4642">
              <w:rPr>
                <w:rFonts w:ascii="Arial" w:hAnsi="Arial" w:cs="Arial"/>
                <w:lang w:val="en-ZA"/>
              </w:rPr>
              <w:t>no justification for applying conflict of laws rules or the Hague principles in the context of article 28(1).</w:t>
            </w:r>
          </w:p>
          <w:p w:rsidR="006B4642" w:rsidRPr="006B4642" w:rsidRDefault="006B4642" w:rsidP="00566CCC">
            <w:pPr>
              <w:rPr>
                <w:rFonts w:ascii="Arial" w:hAnsi="Arial" w:cs="Arial"/>
                <w:lang w:val="en-ZA"/>
              </w:rPr>
            </w:pPr>
            <w:r w:rsidRPr="006B4642">
              <w:rPr>
                <w:rFonts w:ascii="Arial" w:hAnsi="Arial" w:cs="Arial"/>
                <w:lang w:val="en-ZA"/>
              </w:rPr>
              <w:t>Article 28(2) states: “Failing any designation by the parties, the arbitral tribunal shall apply the law determined by the conflict of laws rules which it considers applicable.”</w:t>
            </w:r>
          </w:p>
          <w:p w:rsidR="006B4642" w:rsidRPr="006B4642" w:rsidRDefault="006B4642" w:rsidP="00566CCC">
            <w:pPr>
              <w:rPr>
                <w:rFonts w:ascii="Arial" w:hAnsi="Arial" w:cs="Arial"/>
                <w:lang w:val="en-ZA"/>
              </w:rPr>
            </w:pPr>
            <w:r w:rsidRPr="006B4642">
              <w:rPr>
                <w:rFonts w:ascii="Arial" w:hAnsi="Arial" w:cs="Arial"/>
                <w:lang w:val="en-ZA"/>
              </w:rPr>
              <w:t>The drafters of the Model Law deliberately restricted the tribunal’s discretion</w:t>
            </w:r>
            <w:r w:rsidR="00707904">
              <w:rPr>
                <w:rFonts w:ascii="Arial" w:hAnsi="Arial" w:cs="Arial"/>
                <w:lang w:val="en-ZA"/>
              </w:rPr>
              <w:t>,</w:t>
            </w:r>
            <w:r w:rsidRPr="006B4642">
              <w:rPr>
                <w:rFonts w:ascii="Arial" w:hAnsi="Arial" w:cs="Arial"/>
                <w:lang w:val="en-ZA"/>
              </w:rPr>
              <w:t xml:space="preserve"> in the first instance</w:t>
            </w:r>
            <w:r w:rsidR="00707904">
              <w:rPr>
                <w:rFonts w:ascii="Arial" w:hAnsi="Arial" w:cs="Arial"/>
                <w:lang w:val="en-ZA"/>
              </w:rPr>
              <w:t>, to</w:t>
            </w:r>
            <w:r w:rsidRPr="006B4642">
              <w:rPr>
                <w:rFonts w:ascii="Arial" w:hAnsi="Arial" w:cs="Arial"/>
                <w:lang w:val="en-ZA"/>
              </w:rPr>
              <w:t xml:space="preserve"> determining “the applicable conflict of laws rules” as well as to ultimately designating a single system of law. Part of the justification was to encourage arbitrators to give reasons for their decision</w:t>
            </w:r>
            <w:r w:rsidR="00707904">
              <w:rPr>
                <w:rFonts w:ascii="Arial" w:hAnsi="Arial" w:cs="Arial"/>
                <w:lang w:val="en-ZA"/>
              </w:rPr>
              <w:t>.</w:t>
            </w:r>
            <w:r w:rsidRPr="006B4642">
              <w:rPr>
                <w:rFonts w:ascii="Arial" w:hAnsi="Arial" w:cs="Arial"/>
                <w:lang w:val="en-ZA"/>
              </w:rPr>
              <w:t xml:space="preserve"> In practice, </w:t>
            </w:r>
            <w:r w:rsidR="00707904">
              <w:rPr>
                <w:rFonts w:ascii="Arial" w:hAnsi="Arial" w:cs="Arial"/>
                <w:lang w:val="en-ZA"/>
              </w:rPr>
              <w:t>A</w:t>
            </w:r>
            <w:r w:rsidRPr="006B4642">
              <w:rPr>
                <w:rFonts w:ascii="Arial" w:hAnsi="Arial" w:cs="Arial"/>
                <w:lang w:val="en-ZA"/>
              </w:rPr>
              <w:t xml:space="preserve">rticle 28(2) will only apply in a relatively small proportion of cases, namely where the parties have not chosen the applicable law under </w:t>
            </w:r>
            <w:r w:rsidR="00707904">
              <w:rPr>
                <w:rFonts w:ascii="Arial" w:hAnsi="Arial" w:cs="Arial"/>
                <w:lang w:val="en-ZA"/>
              </w:rPr>
              <w:t>A</w:t>
            </w:r>
            <w:r w:rsidRPr="006B4642">
              <w:rPr>
                <w:rFonts w:ascii="Arial" w:hAnsi="Arial" w:cs="Arial"/>
                <w:lang w:val="en-ZA"/>
              </w:rPr>
              <w:t xml:space="preserve">rticle 28(1) </w:t>
            </w:r>
            <w:r w:rsidRPr="006B4642">
              <w:rPr>
                <w:rFonts w:ascii="Arial" w:hAnsi="Arial" w:cs="Arial"/>
                <w:u w:val="single"/>
                <w:lang w:val="en-ZA"/>
              </w:rPr>
              <w:t>and</w:t>
            </w:r>
            <w:r w:rsidRPr="006B4642">
              <w:rPr>
                <w:rFonts w:ascii="Arial" w:hAnsi="Arial" w:cs="Arial"/>
                <w:lang w:val="en-ZA"/>
              </w:rPr>
              <w:t xml:space="preserve"> where the parties have not designated a set of arbitral rules to govern their arbitration. Such rules will typically empower the tribunal to choose the applicable law in the absence of a choice by the parties, and will usually do so in words which differ in effect from those of article 28(2).  In that event, in accordance with party autonomy, the provision in the parties’ chosen rules should normally supersede the statutory formula in article 28(2).  </w:t>
            </w:r>
          </w:p>
          <w:p w:rsidR="003342E6" w:rsidRPr="005C12C2" w:rsidRDefault="006B4642" w:rsidP="00566CCC">
            <w:pPr>
              <w:rPr>
                <w:rFonts w:ascii="Arial" w:hAnsi="Arial" w:cs="Arial"/>
              </w:rPr>
            </w:pPr>
            <w:r w:rsidRPr="006B4642">
              <w:rPr>
                <w:rFonts w:ascii="Arial" w:hAnsi="Arial" w:cs="Arial"/>
                <w:lang w:val="en-ZA"/>
              </w:rPr>
              <w:t xml:space="preserve">It </w:t>
            </w:r>
            <w:r w:rsidR="00707904">
              <w:rPr>
                <w:rFonts w:ascii="Arial" w:hAnsi="Arial" w:cs="Arial"/>
                <w:lang w:val="en-ZA"/>
              </w:rPr>
              <w:t>should</w:t>
            </w:r>
            <w:r w:rsidRPr="006B4642">
              <w:rPr>
                <w:rFonts w:ascii="Arial" w:hAnsi="Arial" w:cs="Arial"/>
                <w:lang w:val="en-ZA"/>
              </w:rPr>
              <w:t xml:space="preserve"> also be noted that the wording of article 28(4) is mandatory</w:t>
            </w:r>
            <w:r w:rsidR="00707904">
              <w:rPr>
                <w:rFonts w:ascii="Arial" w:hAnsi="Arial" w:cs="Arial"/>
                <w:lang w:val="en-ZA"/>
              </w:rPr>
              <w:t>.  I</w:t>
            </w:r>
            <w:r w:rsidRPr="006B4642">
              <w:rPr>
                <w:rFonts w:ascii="Arial" w:hAnsi="Arial" w:cs="Arial"/>
                <w:lang w:val="en-ZA"/>
              </w:rPr>
              <w:t xml:space="preserve">rrespective of whether the applicable substantive law has </w:t>
            </w:r>
            <w:r w:rsidRPr="006B4642">
              <w:rPr>
                <w:rFonts w:ascii="Arial" w:hAnsi="Arial" w:cs="Arial"/>
                <w:lang w:val="en-ZA"/>
              </w:rPr>
              <w:lastRenderedPageBreak/>
              <w:t xml:space="preserve">been chosen by the parties or the tribunal, the tribunal must “in all cases” decide in accordance with the terms of the contract and taking into account applicable trade usages. </w:t>
            </w:r>
          </w:p>
        </w:tc>
      </w:tr>
      <w:tr w:rsidR="000D61C5" w:rsidRPr="005C12C2" w:rsidTr="00762568">
        <w:trPr>
          <w:trHeight w:val="301"/>
        </w:trPr>
        <w:tc>
          <w:tcPr>
            <w:tcW w:w="0" w:type="auto"/>
          </w:tcPr>
          <w:p w:rsidR="000D61C5" w:rsidRDefault="000D61C5" w:rsidP="00566CCC">
            <w:pPr>
              <w:rPr>
                <w:rFonts w:ascii="Arial" w:hAnsi="Arial" w:cs="Arial"/>
              </w:rPr>
            </w:pPr>
            <w:r>
              <w:rPr>
                <w:rFonts w:ascii="Arial" w:hAnsi="Arial" w:cs="Arial"/>
              </w:rPr>
              <w:lastRenderedPageBreak/>
              <w:t>9(4)</w:t>
            </w:r>
            <w:r w:rsidR="004804E5">
              <w:rPr>
                <w:rFonts w:ascii="Arial" w:hAnsi="Arial" w:cs="Arial"/>
              </w:rPr>
              <w:t>: Immunity of arbitrators and arbitral institutions</w:t>
            </w:r>
          </w:p>
        </w:tc>
        <w:tc>
          <w:tcPr>
            <w:tcW w:w="1954" w:type="dxa"/>
          </w:tcPr>
          <w:p w:rsidR="000D61C5" w:rsidRDefault="000D61C5" w:rsidP="00566CCC">
            <w:pPr>
              <w:rPr>
                <w:rFonts w:ascii="Arial" w:hAnsi="Arial" w:cs="Arial"/>
              </w:rPr>
            </w:pPr>
            <w:r>
              <w:rPr>
                <w:rFonts w:ascii="Arial" w:hAnsi="Arial" w:cs="Arial"/>
              </w:rPr>
              <w:t>Permanent Court of Arbitration</w:t>
            </w:r>
          </w:p>
        </w:tc>
        <w:tc>
          <w:tcPr>
            <w:tcW w:w="4655" w:type="dxa"/>
          </w:tcPr>
          <w:p w:rsidR="000D61C5" w:rsidRDefault="0095602A" w:rsidP="00566CCC">
            <w:pPr>
              <w:rPr>
                <w:rFonts w:ascii="Arial" w:hAnsi="Arial" w:cs="Arial"/>
              </w:rPr>
            </w:pPr>
            <w:r>
              <w:rPr>
                <w:rFonts w:ascii="Arial" w:hAnsi="Arial" w:cs="Arial"/>
              </w:rPr>
              <w:t xml:space="preserve">An individual </w:t>
            </w:r>
            <w:r w:rsidR="009804E0">
              <w:rPr>
                <w:rFonts w:ascii="Arial" w:hAnsi="Arial" w:cs="Arial"/>
              </w:rPr>
              <w:t xml:space="preserve">serving as secretary to a tribunal may not be </w:t>
            </w:r>
            <w:r>
              <w:rPr>
                <w:rFonts w:ascii="Arial" w:hAnsi="Arial" w:cs="Arial"/>
              </w:rPr>
              <w:t xml:space="preserve">employed by the </w:t>
            </w:r>
            <w:r w:rsidR="009804E0">
              <w:rPr>
                <w:rFonts w:ascii="Arial" w:hAnsi="Arial" w:cs="Arial"/>
              </w:rPr>
              <w:t>arbitrator or by the administering institution.  Therefore immunity should be extended to include assistants of an arbitrator.</w:t>
            </w:r>
          </w:p>
          <w:p w:rsidR="009804E0" w:rsidRDefault="009804E0" w:rsidP="00566CCC">
            <w:pPr>
              <w:rPr>
                <w:rFonts w:ascii="Arial" w:hAnsi="Arial" w:cs="Arial"/>
              </w:rPr>
            </w:pPr>
          </w:p>
        </w:tc>
        <w:tc>
          <w:tcPr>
            <w:tcW w:w="4615" w:type="dxa"/>
          </w:tcPr>
          <w:p w:rsidR="00D7539E" w:rsidRPr="00D7539E" w:rsidRDefault="00C446A6" w:rsidP="00566CCC">
            <w:pPr>
              <w:rPr>
                <w:rFonts w:ascii="Arial" w:hAnsi="Arial" w:cs="Arial"/>
                <w:lang w:val="en-ZA"/>
              </w:rPr>
            </w:pPr>
            <w:r>
              <w:rPr>
                <w:rFonts w:ascii="Arial" w:hAnsi="Arial" w:cs="Arial"/>
                <w:lang w:val="en-ZA"/>
              </w:rPr>
              <w:t>I</w:t>
            </w:r>
            <w:r w:rsidR="00D7539E" w:rsidRPr="00D7539E">
              <w:rPr>
                <w:rFonts w:ascii="Arial" w:hAnsi="Arial" w:cs="Arial"/>
                <w:lang w:val="en-ZA"/>
              </w:rPr>
              <w:t>t was envisaged that an arbitrator could employ a secretary or personal assistant. Since then, the practice has arisen, particularly in the case of a arbitral tribunal of three arbitrators dealing with disputes involving very substantial amounts, for the tribunal to appoint a secretary to the tribunal, who will provide administrative assistance to the tribunal.  Where such assistant is appointed for a tribunal of three arbitrators, the appointment would usually be made by the arbitral tribunal rather than by an individual arbitrator. (In all probability this person will not necessarily be an employee of the arbitral tribunal and will not be employed by the relevant arbitral institution.) Hence both the ICC Rules (2017) article 41 and the Singapore International Arbitration Centre Arbitration (SIAC) Rules (2016) extend immunity to “any person appointed by the arbitral tribunal”. It is suggested that clause 9(4)(a) should be amended to read:</w:t>
            </w:r>
          </w:p>
          <w:p w:rsidR="00D7539E" w:rsidRPr="00D7539E" w:rsidRDefault="00D7539E" w:rsidP="00566CCC">
            <w:pPr>
              <w:rPr>
                <w:rFonts w:ascii="Arial" w:hAnsi="Arial" w:cs="Arial"/>
                <w:lang w:val="en-ZA"/>
              </w:rPr>
            </w:pPr>
            <w:r w:rsidRPr="00D7539E">
              <w:rPr>
                <w:rFonts w:ascii="Arial" w:hAnsi="Arial" w:cs="Arial"/>
                <w:lang w:val="en-ZA"/>
              </w:rPr>
              <w:t xml:space="preserve">“(a) the employees of an arbitrator </w:t>
            </w:r>
            <w:r w:rsidRPr="00D7539E">
              <w:rPr>
                <w:rFonts w:ascii="Arial" w:hAnsi="Arial" w:cs="Arial"/>
                <w:u w:val="single"/>
                <w:lang w:val="en-ZA"/>
              </w:rPr>
              <w:t>or persons appointed by the arbitral tribunal</w:t>
            </w:r>
            <w:r w:rsidRPr="00D7539E">
              <w:rPr>
                <w:rFonts w:ascii="Arial" w:hAnsi="Arial" w:cs="Arial"/>
                <w:lang w:val="en-ZA"/>
              </w:rPr>
              <w:t xml:space="preserve">; or” … . </w:t>
            </w:r>
          </w:p>
          <w:p w:rsidR="000D61C5" w:rsidRPr="005C12C2" w:rsidRDefault="00D7539E" w:rsidP="00566CCC">
            <w:pPr>
              <w:rPr>
                <w:rFonts w:ascii="Arial" w:hAnsi="Arial" w:cs="Arial"/>
              </w:rPr>
            </w:pPr>
            <w:r w:rsidRPr="00D7539E">
              <w:rPr>
                <w:rFonts w:ascii="Arial" w:hAnsi="Arial" w:cs="Arial"/>
                <w:lang w:val="en-ZA"/>
              </w:rPr>
              <w:t xml:space="preserve">This wording will also extend immunity to an expert appointed by the arbitral tribunal under the Model Law (see Schedule 1 article 29). </w:t>
            </w:r>
          </w:p>
        </w:tc>
      </w:tr>
      <w:tr w:rsidR="000D61C5" w:rsidRPr="005C12C2" w:rsidTr="00762568">
        <w:trPr>
          <w:trHeight w:val="301"/>
        </w:trPr>
        <w:tc>
          <w:tcPr>
            <w:tcW w:w="0" w:type="auto"/>
          </w:tcPr>
          <w:p w:rsidR="000D61C5" w:rsidRDefault="000D61C5" w:rsidP="00566CCC">
            <w:pPr>
              <w:rPr>
                <w:rFonts w:ascii="Arial" w:hAnsi="Arial" w:cs="Arial"/>
              </w:rPr>
            </w:pPr>
            <w:r>
              <w:rPr>
                <w:rFonts w:ascii="Arial" w:hAnsi="Arial" w:cs="Arial"/>
              </w:rPr>
              <w:lastRenderedPageBreak/>
              <w:t>10</w:t>
            </w:r>
            <w:r w:rsidR="00CA57F3">
              <w:rPr>
                <w:rFonts w:ascii="Arial" w:hAnsi="Arial" w:cs="Arial"/>
              </w:rPr>
              <w:t xml:space="preserve">(2): </w:t>
            </w:r>
            <w:r w:rsidR="00882B16">
              <w:rPr>
                <w:rFonts w:ascii="Arial" w:hAnsi="Arial" w:cs="Arial"/>
              </w:rPr>
              <w:t>Consolidation</w:t>
            </w:r>
            <w:r w:rsidR="00CA57F3">
              <w:rPr>
                <w:rFonts w:ascii="Arial" w:hAnsi="Arial" w:cs="Arial"/>
              </w:rPr>
              <w:t xml:space="preserve"> of proceedings </w:t>
            </w:r>
            <w:r w:rsidR="00882B16">
              <w:rPr>
                <w:rFonts w:ascii="Arial" w:hAnsi="Arial" w:cs="Arial"/>
              </w:rPr>
              <w:t>and concurrent hearings</w:t>
            </w:r>
          </w:p>
        </w:tc>
        <w:tc>
          <w:tcPr>
            <w:tcW w:w="1954" w:type="dxa"/>
          </w:tcPr>
          <w:p w:rsidR="000D61C5" w:rsidRDefault="00E279F7" w:rsidP="00566CCC">
            <w:pPr>
              <w:rPr>
                <w:rFonts w:ascii="Arial" w:hAnsi="Arial" w:cs="Arial"/>
              </w:rPr>
            </w:pPr>
            <w:r w:rsidRPr="00E279F7">
              <w:rPr>
                <w:rFonts w:ascii="Arial" w:hAnsi="Arial" w:cs="Arial"/>
              </w:rPr>
              <w:t>VM Group</w:t>
            </w:r>
          </w:p>
        </w:tc>
        <w:tc>
          <w:tcPr>
            <w:tcW w:w="4655" w:type="dxa"/>
          </w:tcPr>
          <w:p w:rsidR="009124B0" w:rsidRDefault="009124B0" w:rsidP="00566CCC">
            <w:pPr>
              <w:rPr>
                <w:rFonts w:ascii="Arial" w:hAnsi="Arial" w:cs="Arial"/>
              </w:rPr>
            </w:pPr>
            <w:r>
              <w:rPr>
                <w:rFonts w:ascii="Arial" w:hAnsi="Arial" w:cs="Arial"/>
              </w:rPr>
              <w:t>Clause 10(1) provides that the parties to an arbitration agreement may agree that arbitral proceedings be consolidated with other arbitral proceedings or that concurrent hearings be held on such terms as may be agreed.  Clause 10(2) provides that an arbitral tribunal may not order consolidation of arbitral proceedings or concurrent hearings unless the parties agree thereto.</w:t>
            </w:r>
          </w:p>
          <w:p w:rsidR="009124B0" w:rsidRDefault="009124B0" w:rsidP="00566CCC">
            <w:pPr>
              <w:rPr>
                <w:rFonts w:ascii="Arial" w:hAnsi="Arial" w:cs="Arial"/>
              </w:rPr>
            </w:pPr>
          </w:p>
          <w:p w:rsidR="009124B0" w:rsidRDefault="009124B0" w:rsidP="00566CCC">
            <w:pPr>
              <w:rPr>
                <w:rFonts w:ascii="Arial" w:hAnsi="Arial" w:cs="Arial"/>
              </w:rPr>
            </w:pPr>
            <w:r>
              <w:rPr>
                <w:rFonts w:ascii="Arial" w:hAnsi="Arial" w:cs="Arial"/>
              </w:rPr>
              <w:t>VM Group proposed that clause 10(2) be replaced to read as follows:</w:t>
            </w:r>
          </w:p>
          <w:p w:rsidR="009124B0" w:rsidRDefault="009124B0" w:rsidP="00566CCC">
            <w:pPr>
              <w:rPr>
                <w:rFonts w:ascii="Arial" w:hAnsi="Arial" w:cs="Arial"/>
              </w:rPr>
            </w:pPr>
          </w:p>
          <w:p w:rsidR="00882B16" w:rsidRPr="0038036A" w:rsidRDefault="009124B0" w:rsidP="00566CCC">
            <w:pPr>
              <w:rPr>
                <w:rFonts w:ascii="Arial" w:hAnsi="Arial" w:cs="Arial"/>
                <w:sz w:val="20"/>
                <w:szCs w:val="20"/>
              </w:rPr>
            </w:pPr>
            <w:r>
              <w:rPr>
                <w:rFonts w:ascii="Arial" w:hAnsi="Arial" w:cs="Arial"/>
              </w:rPr>
              <w:t xml:space="preserve"> </w:t>
            </w:r>
            <w:r w:rsidR="0038036A" w:rsidRPr="0038036A">
              <w:rPr>
                <w:rFonts w:ascii="Arial" w:hAnsi="Arial" w:cs="Arial"/>
                <w:sz w:val="20"/>
                <w:szCs w:val="20"/>
              </w:rPr>
              <w:t>“</w:t>
            </w:r>
            <w:r w:rsidR="00882B16" w:rsidRPr="0038036A">
              <w:rPr>
                <w:rFonts w:ascii="Arial" w:hAnsi="Arial" w:cs="Arial"/>
                <w:b/>
                <w:sz w:val="20"/>
                <w:szCs w:val="20"/>
              </w:rPr>
              <w:t>10.</w:t>
            </w:r>
            <w:r w:rsidR="00882B16" w:rsidRPr="0038036A">
              <w:rPr>
                <w:rFonts w:ascii="Arial" w:hAnsi="Arial" w:cs="Arial"/>
                <w:sz w:val="20"/>
                <w:szCs w:val="20"/>
              </w:rPr>
              <w:t xml:space="preserve">  </w:t>
            </w:r>
            <w:r w:rsidRPr="0038036A">
              <w:rPr>
                <w:rFonts w:ascii="Arial" w:hAnsi="Arial" w:cs="Arial"/>
                <w:sz w:val="20"/>
                <w:szCs w:val="20"/>
              </w:rPr>
              <w:tab/>
            </w:r>
            <w:r w:rsidR="00882B16" w:rsidRPr="0038036A">
              <w:rPr>
                <w:rFonts w:ascii="Arial" w:hAnsi="Arial" w:cs="Arial"/>
                <w:sz w:val="20"/>
                <w:szCs w:val="20"/>
              </w:rPr>
              <w:t>(2)</w:t>
            </w:r>
            <w:r w:rsidRPr="0038036A">
              <w:rPr>
                <w:rFonts w:ascii="Arial" w:hAnsi="Arial" w:cs="Arial"/>
                <w:sz w:val="20"/>
                <w:szCs w:val="20"/>
              </w:rPr>
              <w:tab/>
            </w:r>
            <w:r w:rsidR="00882B16" w:rsidRPr="0038036A">
              <w:rPr>
                <w:rFonts w:ascii="Arial" w:hAnsi="Arial" w:cs="Arial"/>
                <w:sz w:val="20"/>
                <w:szCs w:val="20"/>
              </w:rPr>
              <w:t>(a)</w:t>
            </w:r>
            <w:r w:rsidRPr="0038036A">
              <w:rPr>
                <w:rFonts w:ascii="Arial" w:hAnsi="Arial" w:cs="Arial"/>
                <w:sz w:val="20"/>
                <w:szCs w:val="20"/>
              </w:rPr>
              <w:tab/>
              <w:t>T</w:t>
            </w:r>
            <w:r w:rsidR="00882B16" w:rsidRPr="0038036A">
              <w:rPr>
                <w:rFonts w:ascii="Arial" w:hAnsi="Arial" w:cs="Arial"/>
                <w:sz w:val="20"/>
                <w:szCs w:val="20"/>
              </w:rPr>
              <w:t>he arbitral tribunal may, on application by one or more of the parties to an arbitration or arbitrations, order that more than one arbitrations proceedings be consolidated or that concurrent hearings be conducted.</w:t>
            </w:r>
          </w:p>
          <w:p w:rsidR="00882B16" w:rsidRPr="0038036A" w:rsidRDefault="00882B16" w:rsidP="00566CCC">
            <w:pPr>
              <w:rPr>
                <w:rFonts w:ascii="Arial" w:hAnsi="Arial" w:cs="Arial"/>
                <w:sz w:val="20"/>
                <w:szCs w:val="20"/>
              </w:rPr>
            </w:pPr>
            <w:r w:rsidRPr="0038036A">
              <w:rPr>
                <w:rFonts w:ascii="Arial" w:hAnsi="Arial" w:cs="Arial"/>
                <w:sz w:val="20"/>
                <w:szCs w:val="20"/>
              </w:rPr>
              <w:t xml:space="preserve">              </w:t>
            </w:r>
            <w:r w:rsidR="009124B0" w:rsidRPr="0038036A">
              <w:rPr>
                <w:rFonts w:ascii="Arial" w:hAnsi="Arial" w:cs="Arial"/>
                <w:sz w:val="20"/>
                <w:szCs w:val="20"/>
              </w:rPr>
              <w:tab/>
            </w:r>
            <w:r w:rsidRPr="0038036A">
              <w:rPr>
                <w:rFonts w:ascii="Arial" w:hAnsi="Arial" w:cs="Arial"/>
                <w:sz w:val="20"/>
                <w:szCs w:val="20"/>
              </w:rPr>
              <w:t xml:space="preserve">(b)  </w:t>
            </w:r>
            <w:r w:rsidR="009A08B4" w:rsidRPr="0038036A">
              <w:rPr>
                <w:rFonts w:ascii="Arial" w:hAnsi="Arial" w:cs="Arial"/>
                <w:sz w:val="20"/>
                <w:szCs w:val="20"/>
              </w:rPr>
              <w:t>Factors that may be taken into account by the tribunal upon application in terms of paragraph(a) of subsection (2) will be the following:</w:t>
            </w:r>
          </w:p>
          <w:p w:rsidR="009A08B4" w:rsidRPr="0038036A" w:rsidRDefault="009A08B4" w:rsidP="00566CCC">
            <w:pPr>
              <w:rPr>
                <w:rFonts w:ascii="Arial" w:hAnsi="Arial" w:cs="Arial"/>
                <w:sz w:val="20"/>
                <w:szCs w:val="20"/>
              </w:rPr>
            </w:pPr>
            <w:r w:rsidRPr="0038036A">
              <w:rPr>
                <w:rFonts w:ascii="Arial" w:hAnsi="Arial" w:cs="Arial"/>
                <w:sz w:val="20"/>
                <w:szCs w:val="20"/>
              </w:rPr>
              <w:t>(i)</w:t>
            </w:r>
            <w:r w:rsidR="009124B0" w:rsidRPr="0038036A">
              <w:rPr>
                <w:rFonts w:ascii="Arial" w:hAnsi="Arial" w:cs="Arial"/>
                <w:sz w:val="20"/>
                <w:szCs w:val="20"/>
              </w:rPr>
              <w:tab/>
            </w:r>
            <w:r w:rsidRPr="0038036A">
              <w:rPr>
                <w:rFonts w:ascii="Arial" w:hAnsi="Arial" w:cs="Arial"/>
                <w:sz w:val="20"/>
                <w:szCs w:val="20"/>
              </w:rPr>
              <w:t xml:space="preserve">substantially the same question of </w:t>
            </w:r>
            <w:r w:rsidR="009124B0" w:rsidRPr="0038036A">
              <w:rPr>
                <w:rFonts w:ascii="Arial" w:hAnsi="Arial" w:cs="Arial"/>
                <w:sz w:val="20"/>
                <w:szCs w:val="20"/>
              </w:rPr>
              <w:tab/>
            </w:r>
            <w:r w:rsidRPr="0038036A">
              <w:rPr>
                <w:rFonts w:ascii="Arial" w:hAnsi="Arial" w:cs="Arial"/>
                <w:sz w:val="20"/>
                <w:szCs w:val="20"/>
              </w:rPr>
              <w:t xml:space="preserve">law or fact would arise in such </w:t>
            </w:r>
            <w:r w:rsidR="009124B0" w:rsidRPr="0038036A">
              <w:rPr>
                <w:rFonts w:ascii="Arial" w:hAnsi="Arial" w:cs="Arial"/>
                <w:sz w:val="20"/>
                <w:szCs w:val="20"/>
              </w:rPr>
              <w:tab/>
            </w:r>
            <w:r w:rsidRPr="0038036A">
              <w:rPr>
                <w:rFonts w:ascii="Arial" w:hAnsi="Arial" w:cs="Arial"/>
                <w:sz w:val="20"/>
                <w:szCs w:val="20"/>
              </w:rPr>
              <w:t>arbitrations;</w:t>
            </w:r>
          </w:p>
          <w:p w:rsidR="009A08B4" w:rsidRPr="0038036A" w:rsidRDefault="009A08B4" w:rsidP="00566CCC">
            <w:pPr>
              <w:rPr>
                <w:rFonts w:ascii="Arial" w:hAnsi="Arial" w:cs="Arial"/>
                <w:sz w:val="20"/>
                <w:szCs w:val="20"/>
              </w:rPr>
            </w:pPr>
            <w:r w:rsidRPr="0038036A">
              <w:rPr>
                <w:rFonts w:ascii="Arial" w:hAnsi="Arial" w:cs="Arial"/>
                <w:sz w:val="20"/>
                <w:szCs w:val="20"/>
              </w:rPr>
              <w:t xml:space="preserve">(ii)  </w:t>
            </w:r>
            <w:r w:rsidR="00E14A1E" w:rsidRPr="0038036A">
              <w:rPr>
                <w:rFonts w:ascii="Arial" w:hAnsi="Arial" w:cs="Arial"/>
                <w:sz w:val="20"/>
                <w:szCs w:val="20"/>
              </w:rPr>
              <w:tab/>
            </w:r>
            <w:r w:rsidRPr="0038036A">
              <w:rPr>
                <w:rFonts w:ascii="Arial" w:hAnsi="Arial" w:cs="Arial"/>
                <w:sz w:val="20"/>
                <w:szCs w:val="20"/>
              </w:rPr>
              <w:t xml:space="preserve">consent by the parties to </w:t>
            </w:r>
            <w:r w:rsidR="00E14A1E" w:rsidRPr="0038036A">
              <w:rPr>
                <w:rFonts w:ascii="Arial" w:hAnsi="Arial" w:cs="Arial"/>
                <w:sz w:val="20"/>
                <w:szCs w:val="20"/>
              </w:rPr>
              <w:tab/>
            </w:r>
            <w:r w:rsidRPr="0038036A">
              <w:rPr>
                <w:rFonts w:ascii="Arial" w:hAnsi="Arial" w:cs="Arial"/>
                <w:sz w:val="20"/>
                <w:szCs w:val="20"/>
              </w:rPr>
              <w:t xml:space="preserve">consolidation of proceedings or that </w:t>
            </w:r>
            <w:r w:rsidR="00E14A1E" w:rsidRPr="0038036A">
              <w:rPr>
                <w:rFonts w:ascii="Arial" w:hAnsi="Arial" w:cs="Arial"/>
                <w:sz w:val="20"/>
                <w:szCs w:val="20"/>
              </w:rPr>
              <w:tab/>
            </w:r>
            <w:r w:rsidRPr="0038036A">
              <w:rPr>
                <w:rFonts w:ascii="Arial" w:hAnsi="Arial" w:cs="Arial"/>
                <w:sz w:val="20"/>
                <w:szCs w:val="20"/>
              </w:rPr>
              <w:t xml:space="preserve">concurrent hearings be conducted; </w:t>
            </w:r>
            <w:r w:rsidR="00E14A1E" w:rsidRPr="0038036A">
              <w:rPr>
                <w:rFonts w:ascii="Arial" w:hAnsi="Arial" w:cs="Arial"/>
                <w:sz w:val="20"/>
                <w:szCs w:val="20"/>
              </w:rPr>
              <w:tab/>
            </w:r>
            <w:r w:rsidRPr="0038036A">
              <w:rPr>
                <w:rFonts w:ascii="Arial" w:hAnsi="Arial" w:cs="Arial"/>
                <w:sz w:val="20"/>
                <w:szCs w:val="20"/>
              </w:rPr>
              <w:t>and</w:t>
            </w:r>
          </w:p>
          <w:p w:rsidR="009A08B4" w:rsidRDefault="009A08B4" w:rsidP="00566CCC">
            <w:pPr>
              <w:rPr>
                <w:rFonts w:ascii="Arial" w:hAnsi="Arial" w:cs="Arial"/>
              </w:rPr>
            </w:pPr>
            <w:r w:rsidRPr="0038036A">
              <w:rPr>
                <w:rFonts w:ascii="Arial" w:hAnsi="Arial" w:cs="Arial"/>
                <w:sz w:val="20"/>
                <w:szCs w:val="20"/>
              </w:rPr>
              <w:t xml:space="preserve">(iii) </w:t>
            </w:r>
            <w:r w:rsidR="00E14A1E" w:rsidRPr="0038036A">
              <w:rPr>
                <w:rFonts w:ascii="Arial" w:hAnsi="Arial" w:cs="Arial"/>
                <w:sz w:val="20"/>
                <w:szCs w:val="20"/>
              </w:rPr>
              <w:tab/>
            </w:r>
            <w:r w:rsidRPr="0038036A">
              <w:rPr>
                <w:rFonts w:ascii="Arial" w:hAnsi="Arial" w:cs="Arial"/>
                <w:sz w:val="20"/>
                <w:szCs w:val="20"/>
              </w:rPr>
              <w:t xml:space="preserve"> prejudice to one or more of the </w:t>
            </w:r>
            <w:r w:rsidR="00E14A1E" w:rsidRPr="0038036A">
              <w:rPr>
                <w:rFonts w:ascii="Arial" w:hAnsi="Arial" w:cs="Arial"/>
                <w:sz w:val="20"/>
                <w:szCs w:val="20"/>
              </w:rPr>
              <w:tab/>
            </w:r>
            <w:r w:rsidRPr="0038036A">
              <w:rPr>
                <w:rFonts w:ascii="Arial" w:hAnsi="Arial" w:cs="Arial"/>
                <w:sz w:val="20"/>
                <w:szCs w:val="20"/>
              </w:rPr>
              <w:t>parties.</w:t>
            </w:r>
            <w:r w:rsidR="0038036A">
              <w:rPr>
                <w:rFonts w:ascii="Arial" w:hAnsi="Arial" w:cs="Arial"/>
                <w:sz w:val="20"/>
                <w:szCs w:val="20"/>
              </w:rPr>
              <w:t>”.</w:t>
            </w:r>
          </w:p>
        </w:tc>
        <w:tc>
          <w:tcPr>
            <w:tcW w:w="4615" w:type="dxa"/>
          </w:tcPr>
          <w:p w:rsidR="000D61C5" w:rsidRDefault="00101D0B" w:rsidP="00566CCC">
            <w:pPr>
              <w:rPr>
                <w:rFonts w:ascii="Arial" w:hAnsi="Arial" w:cs="Arial"/>
              </w:rPr>
            </w:pPr>
            <w:r>
              <w:rPr>
                <w:rFonts w:ascii="Arial" w:hAnsi="Arial" w:cs="Arial"/>
              </w:rPr>
              <w:t xml:space="preserve">Clause 10(1) </w:t>
            </w:r>
            <w:r w:rsidR="000F1836">
              <w:rPr>
                <w:rFonts w:ascii="Arial" w:hAnsi="Arial" w:cs="Arial"/>
              </w:rPr>
              <w:t xml:space="preserve">supports the principle of party autonomy in that it indicates that consolidation of other artbitral proceedings or concurrent hearings are only possible if the parties so agree.  Clause 10(2) confirms that the tribunal only has the power to order consolidation or joint hearings with the agreement of the parties.  In this case specified arbitration rules conferring powers on the arbitral tribunal regarding consolidation, joinder and joint hearings will be used.  </w:t>
            </w:r>
            <w:r w:rsidR="00A253C3">
              <w:rPr>
                <w:rFonts w:ascii="Arial" w:hAnsi="Arial" w:cs="Arial"/>
              </w:rPr>
              <w:t>The pro</w:t>
            </w:r>
            <w:r w:rsidR="00E14A1E">
              <w:rPr>
                <w:rFonts w:ascii="Arial" w:hAnsi="Arial" w:cs="Arial"/>
              </w:rPr>
              <w:t>posal  is not supported because-</w:t>
            </w:r>
          </w:p>
          <w:p w:rsidR="00D11DD4" w:rsidRDefault="00D11DD4" w:rsidP="00566CCC">
            <w:pPr>
              <w:rPr>
                <w:rFonts w:ascii="Arial" w:hAnsi="Arial" w:cs="Arial"/>
              </w:rPr>
            </w:pPr>
            <w:r>
              <w:rPr>
                <w:rFonts w:ascii="Arial" w:hAnsi="Arial" w:cs="Arial"/>
              </w:rPr>
              <w:t>(i)</w:t>
            </w:r>
            <w:r w:rsidR="00E14A1E">
              <w:rPr>
                <w:rFonts w:ascii="Arial" w:hAnsi="Arial" w:cs="Arial"/>
              </w:rPr>
              <w:tab/>
            </w:r>
            <w:r>
              <w:rPr>
                <w:rFonts w:ascii="Arial" w:hAnsi="Arial" w:cs="Arial"/>
              </w:rPr>
              <w:t xml:space="preserve"> </w:t>
            </w:r>
            <w:r w:rsidR="00E14A1E">
              <w:rPr>
                <w:rFonts w:ascii="Arial" w:hAnsi="Arial" w:cs="Arial"/>
              </w:rPr>
              <w:t>i</w:t>
            </w:r>
            <w:r w:rsidR="00A253C3">
              <w:rPr>
                <w:rFonts w:ascii="Arial" w:hAnsi="Arial" w:cs="Arial"/>
              </w:rPr>
              <w:t xml:space="preserve">t violates the principle of party </w:t>
            </w:r>
            <w:r w:rsidR="00E14A1E">
              <w:rPr>
                <w:rFonts w:ascii="Arial" w:hAnsi="Arial" w:cs="Arial"/>
              </w:rPr>
              <w:tab/>
            </w:r>
            <w:r w:rsidR="00A253C3">
              <w:rPr>
                <w:rFonts w:ascii="Arial" w:hAnsi="Arial" w:cs="Arial"/>
              </w:rPr>
              <w:t xml:space="preserve">autonomy; </w:t>
            </w:r>
          </w:p>
          <w:p w:rsidR="00A253C3" w:rsidRDefault="00D11DD4" w:rsidP="00566CCC">
            <w:pPr>
              <w:rPr>
                <w:rFonts w:ascii="Arial" w:hAnsi="Arial" w:cs="Arial"/>
              </w:rPr>
            </w:pPr>
            <w:r>
              <w:rPr>
                <w:rFonts w:ascii="Arial" w:hAnsi="Arial" w:cs="Arial"/>
              </w:rPr>
              <w:t>(ii)</w:t>
            </w:r>
            <w:r w:rsidR="00E14A1E">
              <w:rPr>
                <w:rFonts w:ascii="Arial" w:hAnsi="Arial" w:cs="Arial"/>
              </w:rPr>
              <w:tab/>
              <w:t xml:space="preserve">it </w:t>
            </w:r>
            <w:r w:rsidR="00A253C3" w:rsidRPr="00A253C3">
              <w:rPr>
                <w:rFonts w:ascii="Arial" w:hAnsi="Arial" w:cs="Arial"/>
              </w:rPr>
              <w:t xml:space="preserve">makes no provision for the </w:t>
            </w:r>
            <w:r w:rsidR="00E14A1E">
              <w:rPr>
                <w:rFonts w:ascii="Arial" w:hAnsi="Arial" w:cs="Arial"/>
              </w:rPr>
              <w:tab/>
            </w:r>
            <w:r w:rsidR="00A253C3" w:rsidRPr="00A253C3">
              <w:rPr>
                <w:rFonts w:ascii="Arial" w:hAnsi="Arial" w:cs="Arial"/>
              </w:rPr>
              <w:t>reconstitution of the arbitral trib</w:t>
            </w:r>
            <w:r>
              <w:rPr>
                <w:rFonts w:ascii="Arial" w:hAnsi="Arial" w:cs="Arial"/>
              </w:rPr>
              <w:t>u</w:t>
            </w:r>
            <w:r w:rsidR="00A253C3">
              <w:rPr>
                <w:rFonts w:ascii="Arial" w:hAnsi="Arial" w:cs="Arial"/>
              </w:rPr>
              <w:t>nal;</w:t>
            </w:r>
          </w:p>
          <w:p w:rsidR="00D11DD4" w:rsidRDefault="00D11DD4" w:rsidP="00566CCC">
            <w:pPr>
              <w:rPr>
                <w:rFonts w:ascii="Arial" w:hAnsi="Arial" w:cs="Arial"/>
              </w:rPr>
            </w:pPr>
            <w:r>
              <w:rPr>
                <w:rFonts w:ascii="Arial" w:hAnsi="Arial" w:cs="Arial"/>
              </w:rPr>
              <w:t>(iii)</w:t>
            </w:r>
            <w:r w:rsidR="00E14A1E">
              <w:rPr>
                <w:rFonts w:ascii="Arial" w:hAnsi="Arial" w:cs="Arial"/>
              </w:rPr>
              <w:tab/>
              <w:t>t</w:t>
            </w:r>
            <w:r w:rsidR="00A253C3">
              <w:rPr>
                <w:rFonts w:ascii="Arial" w:hAnsi="Arial" w:cs="Arial"/>
              </w:rPr>
              <w:t xml:space="preserve">here could be difficulties in enforcing </w:t>
            </w:r>
            <w:r w:rsidR="00E14A1E">
              <w:rPr>
                <w:rFonts w:ascii="Arial" w:hAnsi="Arial" w:cs="Arial"/>
              </w:rPr>
              <w:tab/>
            </w:r>
            <w:r w:rsidR="00A253C3">
              <w:rPr>
                <w:rFonts w:ascii="Arial" w:hAnsi="Arial" w:cs="Arial"/>
              </w:rPr>
              <w:t xml:space="preserve">the award resulting from  </w:t>
            </w:r>
            <w:r w:rsidR="00E14A1E">
              <w:rPr>
                <w:rFonts w:ascii="Arial" w:hAnsi="Arial" w:cs="Arial"/>
              </w:rPr>
              <w:tab/>
            </w:r>
            <w:r w:rsidR="00A253C3" w:rsidRPr="00A253C3">
              <w:rPr>
                <w:rFonts w:ascii="Arial" w:hAnsi="Arial" w:cs="Arial"/>
              </w:rPr>
              <w:t>consolidated arbitration</w:t>
            </w:r>
            <w:r>
              <w:rPr>
                <w:rFonts w:ascii="Arial" w:hAnsi="Arial" w:cs="Arial"/>
              </w:rPr>
              <w:t xml:space="preserve">; </w:t>
            </w:r>
          </w:p>
          <w:p w:rsidR="00A253C3" w:rsidRDefault="00D11DD4" w:rsidP="00566CCC">
            <w:pPr>
              <w:rPr>
                <w:rFonts w:ascii="Arial" w:hAnsi="Arial" w:cs="Arial"/>
              </w:rPr>
            </w:pPr>
            <w:r>
              <w:rPr>
                <w:rFonts w:ascii="Arial" w:hAnsi="Arial" w:cs="Arial"/>
              </w:rPr>
              <w:t>(</w:t>
            </w:r>
            <w:r w:rsidR="00E14A1E">
              <w:rPr>
                <w:rFonts w:ascii="Arial" w:hAnsi="Arial" w:cs="Arial"/>
              </w:rPr>
              <w:t>i</w:t>
            </w:r>
            <w:r>
              <w:rPr>
                <w:rFonts w:ascii="Arial" w:hAnsi="Arial" w:cs="Arial"/>
              </w:rPr>
              <w:t>v)</w:t>
            </w:r>
            <w:r w:rsidR="00E14A1E">
              <w:rPr>
                <w:rFonts w:ascii="Arial" w:hAnsi="Arial" w:cs="Arial"/>
              </w:rPr>
              <w:tab/>
            </w:r>
            <w:r>
              <w:rPr>
                <w:rFonts w:ascii="Arial" w:hAnsi="Arial" w:cs="Arial"/>
              </w:rPr>
              <w:t xml:space="preserve">it can be argued that the composition </w:t>
            </w:r>
            <w:r w:rsidR="00E14A1E">
              <w:rPr>
                <w:rFonts w:ascii="Arial" w:hAnsi="Arial" w:cs="Arial"/>
              </w:rPr>
              <w:tab/>
            </w:r>
            <w:r>
              <w:rPr>
                <w:rFonts w:ascii="Arial" w:hAnsi="Arial" w:cs="Arial"/>
              </w:rPr>
              <w:t xml:space="preserve">of the tribunal was not in accordance </w:t>
            </w:r>
            <w:r w:rsidR="00E14A1E">
              <w:rPr>
                <w:rFonts w:ascii="Arial" w:hAnsi="Arial" w:cs="Arial"/>
              </w:rPr>
              <w:tab/>
            </w:r>
            <w:r>
              <w:rPr>
                <w:rFonts w:ascii="Arial" w:hAnsi="Arial" w:cs="Arial"/>
              </w:rPr>
              <w:t>with the agreement of the parties.</w:t>
            </w:r>
          </w:p>
          <w:p w:rsidR="00E14A1E" w:rsidRDefault="00D11DD4" w:rsidP="00E14A1E">
            <w:pPr>
              <w:rPr>
                <w:rFonts w:ascii="Arial" w:hAnsi="Arial" w:cs="Arial"/>
              </w:rPr>
            </w:pPr>
            <w:r>
              <w:rPr>
                <w:rFonts w:ascii="Arial" w:hAnsi="Arial" w:cs="Arial"/>
              </w:rPr>
              <w:t>(v</w:t>
            </w:r>
            <w:r w:rsidR="00E14A1E">
              <w:rPr>
                <w:rFonts w:ascii="Arial" w:hAnsi="Arial" w:cs="Arial"/>
              </w:rPr>
              <w:t xml:space="preserve">) </w:t>
            </w:r>
            <w:r w:rsidR="00E14A1E">
              <w:rPr>
                <w:rFonts w:ascii="Arial" w:hAnsi="Arial" w:cs="Arial"/>
              </w:rPr>
              <w:tab/>
              <w:t>t</w:t>
            </w:r>
            <w:r>
              <w:rPr>
                <w:rFonts w:ascii="Arial" w:hAnsi="Arial" w:cs="Arial"/>
              </w:rPr>
              <w:t xml:space="preserve">he proposal does not make provision </w:t>
            </w:r>
            <w:r w:rsidR="00E14A1E">
              <w:rPr>
                <w:rFonts w:ascii="Arial" w:hAnsi="Arial" w:cs="Arial"/>
              </w:rPr>
              <w:tab/>
            </w:r>
            <w:r>
              <w:rPr>
                <w:rFonts w:ascii="Arial" w:hAnsi="Arial" w:cs="Arial"/>
              </w:rPr>
              <w:t xml:space="preserve">for consent of the parties. </w:t>
            </w:r>
          </w:p>
          <w:p w:rsidR="00D11DD4" w:rsidRPr="005C12C2" w:rsidRDefault="00D11DD4" w:rsidP="00E14A1E">
            <w:pPr>
              <w:rPr>
                <w:rFonts w:ascii="Arial" w:hAnsi="Arial" w:cs="Arial"/>
              </w:rPr>
            </w:pPr>
            <w:r>
              <w:rPr>
                <w:rFonts w:ascii="Arial" w:hAnsi="Arial" w:cs="Arial"/>
              </w:rPr>
              <w:t>I</w:t>
            </w:r>
            <w:r w:rsidR="00566CCC">
              <w:rPr>
                <w:rFonts w:ascii="Arial" w:hAnsi="Arial" w:cs="Arial"/>
              </w:rPr>
              <w:t>t</w:t>
            </w:r>
            <w:r>
              <w:rPr>
                <w:rFonts w:ascii="Arial" w:hAnsi="Arial" w:cs="Arial"/>
              </w:rPr>
              <w:t xml:space="preserve"> is best for this ma</w:t>
            </w:r>
            <w:r w:rsidR="00E14A1E">
              <w:rPr>
                <w:rFonts w:ascii="Arial" w:hAnsi="Arial" w:cs="Arial"/>
              </w:rPr>
              <w:t>tter to be left to the parties themselves.</w:t>
            </w:r>
          </w:p>
        </w:tc>
      </w:tr>
      <w:tr w:rsidR="007B5B06" w:rsidRPr="005C12C2" w:rsidTr="00762568">
        <w:trPr>
          <w:trHeight w:val="301"/>
        </w:trPr>
        <w:tc>
          <w:tcPr>
            <w:tcW w:w="0" w:type="auto"/>
          </w:tcPr>
          <w:p w:rsidR="007B5B06" w:rsidRDefault="007B5B06" w:rsidP="009124B0">
            <w:pPr>
              <w:rPr>
                <w:rFonts w:ascii="Arial" w:hAnsi="Arial" w:cs="Arial"/>
              </w:rPr>
            </w:pPr>
            <w:r>
              <w:rPr>
                <w:rFonts w:ascii="Arial" w:hAnsi="Arial" w:cs="Arial"/>
              </w:rPr>
              <w:t>11</w:t>
            </w:r>
            <w:r w:rsidR="004804E5">
              <w:rPr>
                <w:rFonts w:ascii="Arial" w:hAnsi="Arial" w:cs="Arial"/>
              </w:rPr>
              <w:t xml:space="preserve">: Confidentiality of </w:t>
            </w:r>
            <w:r w:rsidR="004804E5" w:rsidRPr="004804E5">
              <w:rPr>
                <w:rFonts w:ascii="Arial" w:hAnsi="Arial" w:cs="Arial"/>
              </w:rPr>
              <w:t>arbitral</w:t>
            </w:r>
            <w:r w:rsidR="004804E5">
              <w:rPr>
                <w:rFonts w:ascii="Arial" w:hAnsi="Arial" w:cs="Arial"/>
              </w:rPr>
              <w:t xml:space="preserve"> proceedings</w:t>
            </w:r>
          </w:p>
        </w:tc>
        <w:tc>
          <w:tcPr>
            <w:tcW w:w="1954" w:type="dxa"/>
          </w:tcPr>
          <w:p w:rsidR="007B5B06" w:rsidRDefault="001C0A1F" w:rsidP="009124B0">
            <w:pPr>
              <w:rPr>
                <w:rFonts w:ascii="Arial" w:hAnsi="Arial" w:cs="Arial"/>
              </w:rPr>
            </w:pPr>
            <w:r>
              <w:rPr>
                <w:rFonts w:ascii="Arial" w:hAnsi="Arial" w:cs="Arial"/>
              </w:rPr>
              <w:t>CDH</w:t>
            </w:r>
          </w:p>
        </w:tc>
        <w:tc>
          <w:tcPr>
            <w:tcW w:w="4655" w:type="dxa"/>
          </w:tcPr>
          <w:p w:rsidR="00196128" w:rsidRDefault="00196128" w:rsidP="009124B0">
            <w:pPr>
              <w:rPr>
                <w:rFonts w:ascii="Arial" w:hAnsi="Arial" w:cs="Arial"/>
              </w:rPr>
            </w:pPr>
            <w:r>
              <w:rPr>
                <w:rFonts w:ascii="Arial" w:hAnsi="Arial" w:cs="Arial"/>
              </w:rPr>
              <w:t xml:space="preserve">Clause 11(1) provides that arbitration proceedings to which a public body is a party are held in public unless, for </w:t>
            </w:r>
            <w:r w:rsidRPr="00196128">
              <w:rPr>
                <w:rFonts w:ascii="Arial" w:hAnsi="Arial" w:cs="Arial"/>
                <w:b/>
              </w:rPr>
              <w:t>compelling reasons</w:t>
            </w:r>
            <w:r>
              <w:rPr>
                <w:rFonts w:ascii="Arial" w:hAnsi="Arial" w:cs="Arial"/>
              </w:rPr>
              <w:t>, the arbitral tribunal directs otherwise.</w:t>
            </w:r>
          </w:p>
          <w:p w:rsidR="00196128" w:rsidRDefault="00196128" w:rsidP="009124B0">
            <w:pPr>
              <w:rPr>
                <w:rFonts w:ascii="Arial" w:hAnsi="Arial" w:cs="Arial"/>
              </w:rPr>
            </w:pPr>
          </w:p>
          <w:p w:rsidR="00196128" w:rsidRDefault="00196128" w:rsidP="00196128">
            <w:pPr>
              <w:rPr>
                <w:rFonts w:ascii="Arial" w:hAnsi="Arial" w:cs="Arial"/>
              </w:rPr>
            </w:pPr>
            <w:r>
              <w:rPr>
                <w:rFonts w:ascii="Arial" w:hAnsi="Arial" w:cs="Arial"/>
              </w:rPr>
              <w:lastRenderedPageBreak/>
              <w:t>CDH submits that, w</w:t>
            </w:r>
            <w:r w:rsidR="00C40E2A">
              <w:rPr>
                <w:rFonts w:ascii="Arial" w:hAnsi="Arial" w:cs="Arial"/>
              </w:rPr>
              <w:t xml:space="preserve">hile the need </w:t>
            </w:r>
            <w:r w:rsidR="00C75DD6">
              <w:rPr>
                <w:rFonts w:ascii="Arial" w:hAnsi="Arial" w:cs="Arial"/>
              </w:rPr>
              <w:t xml:space="preserve">to hold arbitral proceedings to which a public body is a party in public is understood, the down-side of this provision is that parties to international commercial contracts </w:t>
            </w:r>
            <w:r>
              <w:rPr>
                <w:rFonts w:ascii="Arial" w:hAnsi="Arial" w:cs="Arial"/>
              </w:rPr>
              <w:t xml:space="preserve">may tend to rather </w:t>
            </w:r>
            <w:r w:rsidR="00C75DD6">
              <w:rPr>
                <w:rFonts w:ascii="Arial" w:hAnsi="Arial" w:cs="Arial"/>
              </w:rPr>
              <w:t xml:space="preserve"> choose other jurisdiction</w:t>
            </w:r>
            <w:r>
              <w:rPr>
                <w:rFonts w:ascii="Arial" w:hAnsi="Arial" w:cs="Arial"/>
              </w:rPr>
              <w:t>s</w:t>
            </w:r>
            <w:r w:rsidR="00C75DD6">
              <w:rPr>
                <w:rFonts w:ascii="Arial" w:hAnsi="Arial" w:cs="Arial"/>
              </w:rPr>
              <w:t xml:space="preserve"> as the seat of arbitration rather than South Africa.  </w:t>
            </w:r>
            <w:r>
              <w:rPr>
                <w:rFonts w:ascii="Arial" w:hAnsi="Arial" w:cs="Arial"/>
              </w:rPr>
              <w:t xml:space="preserve">They state that the proposed legal requirement that, as a default, all arbitration proceedings involving public bodies must be held in public may be a catalyst for multi-national private corporations contracting with </w:t>
            </w:r>
            <w:r w:rsidR="00FA30BC">
              <w:rPr>
                <w:rFonts w:ascii="Arial" w:hAnsi="Arial" w:cs="Arial"/>
              </w:rPr>
              <w:t>public bodies to insist that South Africa not be the seat for any arbitration so as to avoid sensitive commercial information being ventilated in the public.  This could defeat the purpose of South Africa developing a platform for the resolution of international commercial disputes in South Africa.</w:t>
            </w:r>
          </w:p>
          <w:p w:rsidR="00196128" w:rsidRDefault="00196128" w:rsidP="00196128">
            <w:pPr>
              <w:rPr>
                <w:rFonts w:ascii="Arial" w:hAnsi="Arial" w:cs="Arial"/>
              </w:rPr>
            </w:pPr>
          </w:p>
          <w:p w:rsidR="007B5B06" w:rsidRDefault="00C75DD6" w:rsidP="00FA30BC">
            <w:pPr>
              <w:rPr>
                <w:rFonts w:ascii="Arial" w:hAnsi="Arial" w:cs="Arial"/>
              </w:rPr>
            </w:pPr>
            <w:r>
              <w:rPr>
                <w:rFonts w:ascii="Arial" w:hAnsi="Arial" w:cs="Arial"/>
              </w:rPr>
              <w:t xml:space="preserve">Therefore, it is proposed that </w:t>
            </w:r>
            <w:r w:rsidRPr="00FA30BC">
              <w:rPr>
                <w:rFonts w:ascii="Arial" w:hAnsi="Arial" w:cs="Arial"/>
                <w:b/>
              </w:rPr>
              <w:t>compelling reasons</w:t>
            </w:r>
            <w:r>
              <w:rPr>
                <w:rFonts w:ascii="Arial" w:hAnsi="Arial" w:cs="Arial"/>
              </w:rPr>
              <w:t xml:space="preserve"> be clarified </w:t>
            </w:r>
            <w:r w:rsidR="00FA30BC">
              <w:rPr>
                <w:rFonts w:ascii="Arial" w:hAnsi="Arial" w:cs="Arial"/>
              </w:rPr>
              <w:t>because it would seem to be</w:t>
            </w:r>
            <w:r>
              <w:rPr>
                <w:rFonts w:ascii="Arial" w:hAnsi="Arial" w:cs="Arial"/>
              </w:rPr>
              <w:t xml:space="preserve"> left to the discretion of the arbitral tribunal.  Alternatively, it is proposed that the clause be adapted to provide for arbitration to be held in public only where there is a material public interest in the outcome of the commercial dispute.</w:t>
            </w:r>
          </w:p>
        </w:tc>
        <w:tc>
          <w:tcPr>
            <w:tcW w:w="4615" w:type="dxa"/>
          </w:tcPr>
          <w:p w:rsidR="007B5B06" w:rsidRDefault="00EE05A7" w:rsidP="00FA30BC">
            <w:pPr>
              <w:rPr>
                <w:rFonts w:ascii="Arial" w:hAnsi="Arial" w:cs="Arial"/>
              </w:rPr>
            </w:pPr>
            <w:r>
              <w:rPr>
                <w:rFonts w:ascii="Arial" w:hAnsi="Arial" w:cs="Arial"/>
              </w:rPr>
              <w:lastRenderedPageBreak/>
              <w:t>Defining “compelling reasons” in the legislation could lead to rigidity and unintended consequences.  Whether there are compelling</w:t>
            </w:r>
            <w:r w:rsidRPr="00EE05A7">
              <w:rPr>
                <w:rFonts w:ascii="Arial" w:hAnsi="Arial" w:cs="Arial"/>
              </w:rPr>
              <w:t xml:space="preserve"> reasons</w:t>
            </w:r>
            <w:r>
              <w:rPr>
                <w:rFonts w:ascii="Arial" w:hAnsi="Arial" w:cs="Arial"/>
              </w:rPr>
              <w:t xml:space="preserve"> in a matter should be left to the court and arbitral tribunals to apply to the facts of the particular case.  </w:t>
            </w:r>
          </w:p>
          <w:p w:rsidR="00FA30BC" w:rsidRDefault="00FA30BC" w:rsidP="00FA30BC">
            <w:pPr>
              <w:rPr>
                <w:rFonts w:ascii="Arial" w:hAnsi="Arial" w:cs="Arial"/>
              </w:rPr>
            </w:pPr>
          </w:p>
          <w:p w:rsidR="00FA30BC" w:rsidRDefault="00FA30BC" w:rsidP="00FA30BC">
            <w:pPr>
              <w:rPr>
                <w:rFonts w:ascii="Arial" w:hAnsi="Arial" w:cs="Arial"/>
                <w:lang w:val="en-ZA"/>
              </w:rPr>
            </w:pPr>
            <w:r w:rsidRPr="00FA30BC">
              <w:rPr>
                <w:rFonts w:ascii="Arial" w:hAnsi="Arial" w:cs="Arial"/>
                <w:lang w:val="en-ZA"/>
              </w:rPr>
              <w:t xml:space="preserve">While understanding the need to hold arbitral proceedings to which a public </w:t>
            </w:r>
            <w:r>
              <w:rPr>
                <w:rFonts w:ascii="Arial" w:hAnsi="Arial" w:cs="Arial"/>
                <w:lang w:val="en-ZA"/>
              </w:rPr>
              <w:t>body is a party in public, CDH is</w:t>
            </w:r>
            <w:r w:rsidRPr="00FA30BC">
              <w:rPr>
                <w:rFonts w:ascii="Arial" w:hAnsi="Arial" w:cs="Arial"/>
                <w:lang w:val="en-ZA"/>
              </w:rPr>
              <w:t xml:space="preserve"> concerned that foreign parties contracting with public bodies may be discouraged by the requirement to conduct the arbitral proceedings in public, with the result that they will tend to avoid South Africa as the seat. However, international arbitration rules by no means impose a uniform obligation of confidentiality. The 2017 ICC Arbitration Rules, article 22.3, leave this issue to be determined by the tribunal after discussion with the parties, precisely because the ICC Rules are regularly used in arbitrations involving public bodies. It is therefore certainly not a forgone conclusion that arbitral proceedings at another seat will be confidential.   </w:t>
            </w:r>
          </w:p>
          <w:p w:rsidR="00FA30BC" w:rsidRPr="00FA30BC" w:rsidRDefault="00FA30BC" w:rsidP="00FA30BC">
            <w:pPr>
              <w:rPr>
                <w:rFonts w:ascii="Arial" w:hAnsi="Arial" w:cs="Arial"/>
                <w:lang w:val="en-ZA"/>
              </w:rPr>
            </w:pPr>
          </w:p>
          <w:p w:rsidR="00FA30BC" w:rsidRPr="005C12C2" w:rsidRDefault="00FA30BC" w:rsidP="00FA30BC">
            <w:pPr>
              <w:rPr>
                <w:rFonts w:ascii="Arial" w:hAnsi="Arial" w:cs="Arial"/>
              </w:rPr>
            </w:pPr>
            <w:r w:rsidRPr="00FA30BC">
              <w:rPr>
                <w:rFonts w:ascii="Arial" w:hAnsi="Arial" w:cs="Arial"/>
                <w:lang w:val="en-ZA"/>
              </w:rPr>
              <w:t xml:space="preserve">Where possible, legislation should deal with the principles and leave the courts and arbitrators to work out the detailed application on the particular facts of the case. Arbitration between a public body and an ordinary commercial entity, is still a private arbitration, as explained in the </w:t>
            </w:r>
            <w:r w:rsidRPr="00FA30BC">
              <w:rPr>
                <w:rFonts w:ascii="Arial" w:hAnsi="Arial" w:cs="Arial"/>
                <w:i/>
                <w:lang w:val="en-ZA"/>
              </w:rPr>
              <w:t>Lufuno Maphaphuli</w:t>
            </w:r>
            <w:r w:rsidRPr="00FA30BC">
              <w:rPr>
                <w:rFonts w:ascii="Arial" w:hAnsi="Arial" w:cs="Arial"/>
                <w:lang w:val="en-ZA"/>
              </w:rPr>
              <w:t xml:space="preserve"> case, 2009 4 SA 529 (CC) para 198. The Constitutional Court in </w:t>
            </w:r>
            <w:r w:rsidRPr="00FA30BC">
              <w:rPr>
                <w:rFonts w:ascii="Arial" w:hAnsi="Arial" w:cs="Arial"/>
                <w:i/>
                <w:lang w:val="en-ZA"/>
              </w:rPr>
              <w:t>De Lange v Methodist Church</w:t>
            </w:r>
            <w:r w:rsidRPr="00FA30BC">
              <w:rPr>
                <w:rFonts w:ascii="Arial" w:hAnsi="Arial" w:cs="Arial"/>
                <w:lang w:val="en-ZA"/>
              </w:rPr>
              <w:t xml:space="preserve"> 2016 2 SA 1 (CC) paras 36 and 37 had no difficulty in defining “good cause” through a Constitutional prism for purposes of section 3(2) of the Arbitration Act. It has never been </w:t>
            </w:r>
            <w:r w:rsidRPr="00FA30BC">
              <w:rPr>
                <w:rFonts w:ascii="Arial" w:hAnsi="Arial" w:cs="Arial"/>
                <w:lang w:val="en-ZA"/>
              </w:rPr>
              <w:lastRenderedPageBreak/>
              <w:t xml:space="preserve">suggested that the phrase “good cause shown” gives the court an unfettered discretion, or requires a statutory definition. This surely also applies to the requirement of compelling reasons. Moseneke DCJ in </w:t>
            </w:r>
            <w:r w:rsidRPr="00FA30BC">
              <w:rPr>
                <w:rFonts w:ascii="Arial" w:hAnsi="Arial" w:cs="Arial"/>
                <w:i/>
                <w:lang w:val="en-ZA"/>
              </w:rPr>
              <w:t>De Lange</w:t>
            </w:r>
            <w:r w:rsidRPr="00FA30BC">
              <w:rPr>
                <w:rFonts w:ascii="Arial" w:hAnsi="Arial" w:cs="Arial"/>
                <w:lang w:val="en-ZA"/>
              </w:rPr>
              <w:t xml:space="preserve"> para 37 moreover equates “good cause shown” with “a truly compelling reason”. In practice, the arbitral tribunal ought to discuss confidentiality and compelling reasons with the parties at an early stage of the proceedings. As both the cases referred to stress, courts should be slow to interfere with decisions taken by the arbitral tribunal, in order to avoid undermining the goals of private arbitration.</w:t>
            </w:r>
          </w:p>
        </w:tc>
      </w:tr>
      <w:tr w:rsidR="000D61C5" w:rsidRPr="005C12C2" w:rsidTr="00762568">
        <w:trPr>
          <w:trHeight w:val="301"/>
        </w:trPr>
        <w:tc>
          <w:tcPr>
            <w:tcW w:w="0" w:type="auto"/>
          </w:tcPr>
          <w:p w:rsidR="000D61C5" w:rsidRDefault="000D61C5" w:rsidP="009124B0">
            <w:pPr>
              <w:rPr>
                <w:rFonts w:ascii="Arial" w:hAnsi="Arial" w:cs="Arial"/>
              </w:rPr>
            </w:pPr>
            <w:r>
              <w:rPr>
                <w:rFonts w:ascii="Arial" w:hAnsi="Arial" w:cs="Arial"/>
              </w:rPr>
              <w:lastRenderedPageBreak/>
              <w:t>15</w:t>
            </w:r>
            <w:r w:rsidR="004804E5">
              <w:rPr>
                <w:rFonts w:ascii="Arial" w:hAnsi="Arial" w:cs="Arial"/>
              </w:rPr>
              <w:t>: Determination of juridical seat of arbitration</w:t>
            </w:r>
          </w:p>
        </w:tc>
        <w:tc>
          <w:tcPr>
            <w:tcW w:w="1954" w:type="dxa"/>
          </w:tcPr>
          <w:p w:rsidR="000D61C5" w:rsidRDefault="00506027" w:rsidP="009124B0">
            <w:pPr>
              <w:rPr>
                <w:rFonts w:ascii="Arial" w:hAnsi="Arial" w:cs="Arial"/>
              </w:rPr>
            </w:pPr>
            <w:r>
              <w:rPr>
                <w:rFonts w:ascii="Arial" w:hAnsi="Arial" w:cs="Arial"/>
              </w:rPr>
              <w:t>VM Group</w:t>
            </w:r>
          </w:p>
        </w:tc>
        <w:tc>
          <w:tcPr>
            <w:tcW w:w="4655" w:type="dxa"/>
          </w:tcPr>
          <w:p w:rsidR="00FA30BC" w:rsidRDefault="00FA30BC" w:rsidP="009124B0">
            <w:pPr>
              <w:rPr>
                <w:rFonts w:ascii="Arial" w:hAnsi="Arial" w:cs="Arial"/>
              </w:rPr>
            </w:pPr>
            <w:r>
              <w:rPr>
                <w:rFonts w:ascii="Arial" w:hAnsi="Arial" w:cs="Arial"/>
              </w:rPr>
              <w:t>Clause 15 deals with the determination of the juridical seat of arbitration and provides that “an award</w:t>
            </w:r>
            <w:r w:rsidR="00EB1915">
              <w:rPr>
                <w:rFonts w:ascii="Arial" w:hAnsi="Arial" w:cs="Arial"/>
              </w:rPr>
              <w:t xml:space="preserve"> is deemed to be made at the juridical seat of arbitration determined in accordance with the provisions of articles 20(1) and 31(3) of the Model Law”.</w:t>
            </w:r>
            <w:r>
              <w:rPr>
                <w:rFonts w:ascii="Arial" w:hAnsi="Arial" w:cs="Arial"/>
              </w:rPr>
              <w:t xml:space="preserve"> </w:t>
            </w:r>
          </w:p>
          <w:p w:rsidR="00FA30BC" w:rsidRDefault="00FA30BC" w:rsidP="009124B0">
            <w:pPr>
              <w:rPr>
                <w:rFonts w:ascii="Arial" w:hAnsi="Arial" w:cs="Arial"/>
              </w:rPr>
            </w:pPr>
          </w:p>
          <w:p w:rsidR="00DF704C" w:rsidRPr="007C42D6" w:rsidRDefault="00E279F7" w:rsidP="009124B0">
            <w:pPr>
              <w:rPr>
                <w:rFonts w:ascii="Arial" w:hAnsi="Arial" w:cs="Arial"/>
              </w:rPr>
            </w:pPr>
            <w:r w:rsidRPr="007C42D6">
              <w:rPr>
                <w:rFonts w:ascii="Arial" w:hAnsi="Arial" w:cs="Arial"/>
              </w:rPr>
              <w:t xml:space="preserve">1.  </w:t>
            </w:r>
            <w:r w:rsidR="0038036A">
              <w:rPr>
                <w:rFonts w:ascii="Arial" w:hAnsi="Arial" w:cs="Arial"/>
              </w:rPr>
              <w:t>VM Group proposes an a</w:t>
            </w:r>
            <w:r w:rsidR="00DF704C" w:rsidRPr="007C42D6">
              <w:rPr>
                <w:rFonts w:ascii="Arial" w:hAnsi="Arial" w:cs="Arial"/>
              </w:rPr>
              <w:t>mend</w:t>
            </w:r>
            <w:r w:rsidR="0038036A">
              <w:rPr>
                <w:rFonts w:ascii="Arial" w:hAnsi="Arial" w:cs="Arial"/>
              </w:rPr>
              <w:t xml:space="preserve">ment to </w:t>
            </w:r>
            <w:r w:rsidR="00DF704C" w:rsidRPr="007C42D6">
              <w:rPr>
                <w:rFonts w:ascii="Arial" w:hAnsi="Arial" w:cs="Arial"/>
              </w:rPr>
              <w:t xml:space="preserve"> clause 15 as follows:</w:t>
            </w:r>
          </w:p>
          <w:p w:rsidR="0038036A" w:rsidRDefault="0038036A" w:rsidP="009124B0">
            <w:pPr>
              <w:rPr>
                <w:rFonts w:ascii="Arial" w:hAnsi="Arial" w:cs="Arial"/>
                <w:b/>
              </w:rPr>
            </w:pPr>
          </w:p>
          <w:p w:rsidR="0038036A" w:rsidRPr="0038036A" w:rsidRDefault="0038036A" w:rsidP="009124B0">
            <w:pPr>
              <w:rPr>
                <w:rFonts w:ascii="Arial" w:hAnsi="Arial" w:cs="Arial"/>
                <w:b/>
                <w:sz w:val="20"/>
                <w:szCs w:val="20"/>
              </w:rPr>
            </w:pPr>
            <w:r w:rsidRPr="0038036A">
              <w:rPr>
                <w:rFonts w:ascii="Arial" w:hAnsi="Arial" w:cs="Arial"/>
                <w:b/>
                <w:sz w:val="20"/>
                <w:szCs w:val="20"/>
              </w:rPr>
              <w:t>“Determination of juridical seat of arbitration</w:t>
            </w:r>
          </w:p>
          <w:p w:rsidR="0038036A" w:rsidRPr="0038036A" w:rsidRDefault="0038036A" w:rsidP="009124B0">
            <w:pPr>
              <w:rPr>
                <w:rFonts w:ascii="Arial" w:hAnsi="Arial" w:cs="Arial"/>
                <w:b/>
                <w:sz w:val="20"/>
                <w:szCs w:val="20"/>
              </w:rPr>
            </w:pPr>
          </w:p>
          <w:p w:rsidR="00E279F7" w:rsidRPr="0038036A" w:rsidRDefault="0038036A" w:rsidP="009124B0">
            <w:pPr>
              <w:rPr>
                <w:rFonts w:ascii="Arial" w:hAnsi="Arial" w:cs="Arial"/>
                <w:sz w:val="20"/>
                <w:szCs w:val="20"/>
              </w:rPr>
            </w:pPr>
            <w:r w:rsidRPr="0038036A">
              <w:rPr>
                <w:rFonts w:ascii="Arial" w:hAnsi="Arial" w:cs="Arial"/>
                <w:sz w:val="20"/>
                <w:szCs w:val="20"/>
              </w:rPr>
              <w:tab/>
            </w:r>
            <w:r w:rsidRPr="0038036A">
              <w:rPr>
                <w:rFonts w:ascii="Arial" w:hAnsi="Arial" w:cs="Arial"/>
                <w:b/>
                <w:sz w:val="20"/>
                <w:szCs w:val="20"/>
              </w:rPr>
              <w:t>15.</w:t>
            </w:r>
            <w:r w:rsidRPr="0038036A">
              <w:rPr>
                <w:rFonts w:ascii="Arial" w:hAnsi="Arial" w:cs="Arial"/>
                <w:sz w:val="20"/>
                <w:szCs w:val="20"/>
              </w:rPr>
              <w:tab/>
            </w:r>
            <w:r w:rsidR="004804E5" w:rsidRPr="0038036A">
              <w:rPr>
                <w:rFonts w:ascii="Arial" w:hAnsi="Arial" w:cs="Arial"/>
                <w:sz w:val="20"/>
                <w:szCs w:val="20"/>
              </w:rPr>
              <w:t>(</w:t>
            </w:r>
            <w:r w:rsidR="00E279F7" w:rsidRPr="0038036A">
              <w:rPr>
                <w:rFonts w:ascii="Arial" w:hAnsi="Arial" w:cs="Arial"/>
                <w:sz w:val="20"/>
                <w:szCs w:val="20"/>
              </w:rPr>
              <w:t>a)</w:t>
            </w:r>
            <w:r w:rsidRPr="0038036A">
              <w:rPr>
                <w:rFonts w:ascii="Arial" w:hAnsi="Arial" w:cs="Arial"/>
                <w:sz w:val="20"/>
                <w:szCs w:val="20"/>
              </w:rPr>
              <w:tab/>
            </w:r>
            <w:r w:rsidR="00E279F7" w:rsidRPr="0038036A">
              <w:rPr>
                <w:rFonts w:ascii="Arial" w:hAnsi="Arial" w:cs="Arial"/>
                <w:sz w:val="20"/>
                <w:szCs w:val="20"/>
              </w:rPr>
              <w:t>Subject to Articles 20(2) and 31(3) of the Model Law, the juridical seat of the arbitration shall be in South Africa; or</w:t>
            </w:r>
          </w:p>
          <w:p w:rsidR="00E279F7" w:rsidRPr="0038036A" w:rsidRDefault="0038036A" w:rsidP="009124B0">
            <w:pPr>
              <w:rPr>
                <w:rFonts w:ascii="Arial" w:hAnsi="Arial" w:cs="Arial"/>
                <w:sz w:val="20"/>
                <w:szCs w:val="20"/>
              </w:rPr>
            </w:pPr>
            <w:r>
              <w:rPr>
                <w:rFonts w:ascii="Arial" w:hAnsi="Arial" w:cs="Arial"/>
                <w:sz w:val="20"/>
                <w:szCs w:val="20"/>
              </w:rPr>
              <w:tab/>
            </w:r>
            <w:r>
              <w:rPr>
                <w:rFonts w:ascii="Arial" w:hAnsi="Arial" w:cs="Arial"/>
                <w:sz w:val="20"/>
                <w:szCs w:val="20"/>
              </w:rPr>
              <w:tab/>
            </w:r>
            <w:r w:rsidR="00E279F7" w:rsidRPr="0038036A">
              <w:rPr>
                <w:rFonts w:ascii="Arial" w:hAnsi="Arial" w:cs="Arial"/>
                <w:sz w:val="20"/>
                <w:szCs w:val="20"/>
              </w:rPr>
              <w:t>(b)</w:t>
            </w:r>
            <w:r>
              <w:rPr>
                <w:rFonts w:ascii="Arial" w:hAnsi="Arial" w:cs="Arial"/>
                <w:sz w:val="20"/>
                <w:szCs w:val="20"/>
              </w:rPr>
              <w:tab/>
            </w:r>
            <w:r w:rsidR="00E279F7" w:rsidRPr="0038036A">
              <w:rPr>
                <w:rFonts w:ascii="Arial" w:hAnsi="Arial" w:cs="Arial"/>
                <w:sz w:val="20"/>
                <w:szCs w:val="20"/>
              </w:rPr>
              <w:t>Upon application by any of the parties the juridical seat of arbitration shall be determined by the arbitral tribunal having regard to the circumstances of the case.</w:t>
            </w:r>
            <w:r>
              <w:rPr>
                <w:rFonts w:ascii="Arial" w:hAnsi="Arial" w:cs="Arial"/>
                <w:sz w:val="20"/>
                <w:szCs w:val="20"/>
              </w:rPr>
              <w:t>”.</w:t>
            </w:r>
          </w:p>
          <w:p w:rsidR="00E279F7" w:rsidRDefault="00E279F7" w:rsidP="009124B0">
            <w:pPr>
              <w:rPr>
                <w:rFonts w:ascii="Arial" w:hAnsi="Arial" w:cs="Arial"/>
              </w:rPr>
            </w:pPr>
          </w:p>
          <w:p w:rsidR="00AE1A47" w:rsidRDefault="00AE1A47" w:rsidP="009124B0">
            <w:pPr>
              <w:rPr>
                <w:rFonts w:ascii="Arial" w:hAnsi="Arial" w:cs="Arial"/>
              </w:rPr>
            </w:pPr>
          </w:p>
          <w:p w:rsidR="00AE1A47" w:rsidRDefault="00AE1A47" w:rsidP="009124B0">
            <w:pPr>
              <w:rPr>
                <w:rFonts w:ascii="Arial" w:hAnsi="Arial" w:cs="Arial"/>
              </w:rPr>
            </w:pPr>
          </w:p>
          <w:p w:rsidR="00AE1A47" w:rsidRDefault="00AE1A47" w:rsidP="009124B0">
            <w:pPr>
              <w:rPr>
                <w:rFonts w:ascii="Arial" w:hAnsi="Arial" w:cs="Arial"/>
              </w:rPr>
            </w:pPr>
          </w:p>
          <w:p w:rsidR="00AE1A47" w:rsidRDefault="00AE1A47" w:rsidP="009124B0">
            <w:pPr>
              <w:rPr>
                <w:rFonts w:ascii="Arial" w:hAnsi="Arial" w:cs="Arial"/>
              </w:rPr>
            </w:pPr>
          </w:p>
          <w:p w:rsidR="00AE1A47" w:rsidRPr="007C42D6" w:rsidRDefault="00AE1A47" w:rsidP="009124B0">
            <w:pPr>
              <w:rPr>
                <w:rFonts w:ascii="Arial" w:hAnsi="Arial" w:cs="Arial"/>
              </w:rPr>
            </w:pPr>
          </w:p>
          <w:p w:rsidR="00CD3D75" w:rsidRDefault="00E279F7" w:rsidP="009124B0">
            <w:pPr>
              <w:rPr>
                <w:rFonts w:ascii="Arial" w:hAnsi="Arial" w:cs="Arial"/>
              </w:rPr>
            </w:pPr>
            <w:r w:rsidRPr="007C42D6">
              <w:rPr>
                <w:rFonts w:ascii="Arial" w:hAnsi="Arial" w:cs="Arial"/>
              </w:rPr>
              <w:t xml:space="preserve">2.  </w:t>
            </w:r>
            <w:r w:rsidR="0038036A">
              <w:rPr>
                <w:rFonts w:ascii="Arial" w:hAnsi="Arial" w:cs="Arial"/>
              </w:rPr>
              <w:t>VM Group suggests the insertion of a new clause 15A in the Bill</w:t>
            </w:r>
            <w:r w:rsidR="00CD3D75">
              <w:rPr>
                <w:rFonts w:ascii="Arial" w:hAnsi="Arial" w:cs="Arial"/>
              </w:rPr>
              <w:t>, to read as follows:</w:t>
            </w:r>
          </w:p>
          <w:p w:rsidR="00CD3D75" w:rsidRDefault="00CD3D75" w:rsidP="009124B0">
            <w:pPr>
              <w:rPr>
                <w:rFonts w:ascii="Arial" w:hAnsi="Arial" w:cs="Arial"/>
              </w:rPr>
            </w:pPr>
          </w:p>
          <w:p w:rsidR="00CD3D75" w:rsidRPr="00CD3D75" w:rsidRDefault="00CD3D75" w:rsidP="009124B0">
            <w:pPr>
              <w:rPr>
                <w:rFonts w:ascii="Arial" w:hAnsi="Arial" w:cs="Arial"/>
                <w:sz w:val="20"/>
                <w:szCs w:val="20"/>
              </w:rPr>
            </w:pPr>
            <w:r w:rsidRPr="00CD3D75">
              <w:rPr>
                <w:rFonts w:ascii="Arial" w:hAnsi="Arial" w:cs="Arial"/>
                <w:sz w:val="20"/>
                <w:szCs w:val="20"/>
              </w:rPr>
              <w:t>“Subject to Article 11 of the Model Law –</w:t>
            </w:r>
          </w:p>
          <w:p w:rsidR="00CD3D75" w:rsidRPr="00CD3D75" w:rsidRDefault="00CD3D75" w:rsidP="009124B0">
            <w:pPr>
              <w:rPr>
                <w:rFonts w:ascii="Arial" w:hAnsi="Arial" w:cs="Arial"/>
                <w:sz w:val="20"/>
                <w:szCs w:val="20"/>
              </w:rPr>
            </w:pPr>
            <w:r w:rsidRPr="00CD3D75">
              <w:rPr>
                <w:rFonts w:ascii="Arial" w:hAnsi="Arial" w:cs="Arial"/>
                <w:sz w:val="20"/>
                <w:szCs w:val="20"/>
              </w:rPr>
              <w:t>(a)</w:t>
            </w:r>
            <w:r w:rsidRPr="00CD3D75">
              <w:rPr>
                <w:rFonts w:ascii="Arial" w:hAnsi="Arial" w:cs="Arial"/>
                <w:sz w:val="20"/>
                <w:szCs w:val="20"/>
              </w:rPr>
              <w:tab/>
              <w:t xml:space="preserve">where only one arbitrator is appointed </w:t>
            </w:r>
            <w:r w:rsidRPr="00CD3D75">
              <w:rPr>
                <w:rFonts w:ascii="Arial" w:hAnsi="Arial" w:cs="Arial"/>
                <w:sz w:val="20"/>
                <w:szCs w:val="20"/>
              </w:rPr>
              <w:tab/>
              <w:t xml:space="preserve">it shall be a South African arbitrator;  </w:t>
            </w:r>
            <w:r w:rsidRPr="00CD3D75">
              <w:rPr>
                <w:rFonts w:ascii="Arial" w:hAnsi="Arial" w:cs="Arial"/>
                <w:sz w:val="20"/>
                <w:szCs w:val="20"/>
              </w:rPr>
              <w:tab/>
              <w:t>and</w:t>
            </w:r>
          </w:p>
          <w:p w:rsidR="00CD3D75" w:rsidRPr="00CD3D75" w:rsidRDefault="00CD3D75" w:rsidP="009124B0">
            <w:pPr>
              <w:rPr>
                <w:rFonts w:ascii="Arial" w:hAnsi="Arial" w:cs="Arial"/>
                <w:sz w:val="20"/>
                <w:szCs w:val="20"/>
              </w:rPr>
            </w:pPr>
            <w:r w:rsidRPr="00CD3D75">
              <w:rPr>
                <w:rFonts w:ascii="Arial" w:hAnsi="Arial" w:cs="Arial"/>
                <w:sz w:val="20"/>
                <w:szCs w:val="20"/>
              </w:rPr>
              <w:t>(b)</w:t>
            </w:r>
            <w:r w:rsidRPr="00CD3D75">
              <w:rPr>
                <w:rFonts w:ascii="Arial" w:hAnsi="Arial" w:cs="Arial"/>
                <w:sz w:val="20"/>
                <w:szCs w:val="20"/>
              </w:rPr>
              <w:tab/>
              <w:t xml:space="preserve">where more than one arbitrator is </w:t>
            </w:r>
            <w:r w:rsidRPr="00CD3D75">
              <w:rPr>
                <w:rFonts w:ascii="Arial" w:hAnsi="Arial" w:cs="Arial"/>
                <w:sz w:val="20"/>
                <w:szCs w:val="20"/>
              </w:rPr>
              <w:tab/>
              <w:t xml:space="preserve">appointed one of them shall be a </w:t>
            </w:r>
            <w:r w:rsidRPr="00CD3D75">
              <w:rPr>
                <w:rFonts w:ascii="Arial" w:hAnsi="Arial" w:cs="Arial"/>
                <w:sz w:val="20"/>
                <w:szCs w:val="20"/>
              </w:rPr>
              <w:tab/>
              <w:t xml:space="preserve">South African.”. </w:t>
            </w:r>
          </w:p>
          <w:p w:rsidR="00DF704C" w:rsidRPr="007C42D6" w:rsidRDefault="00CD3D75" w:rsidP="00CD3D75">
            <w:pPr>
              <w:rPr>
                <w:rFonts w:ascii="Arial" w:hAnsi="Arial" w:cs="Arial"/>
              </w:rPr>
            </w:pPr>
            <w:r>
              <w:rPr>
                <w:rFonts w:ascii="Arial" w:hAnsi="Arial" w:cs="Arial"/>
              </w:rPr>
              <w:t xml:space="preserve">The motivation for this is to </w:t>
            </w:r>
            <w:r w:rsidR="00636A30" w:rsidRPr="007C42D6">
              <w:rPr>
                <w:rFonts w:ascii="Arial" w:hAnsi="Arial" w:cs="Arial"/>
              </w:rPr>
              <w:t>ensure that parties do not sidestep South Africans in favour of overseas counterparts</w:t>
            </w:r>
            <w:r>
              <w:rPr>
                <w:rFonts w:ascii="Arial" w:hAnsi="Arial" w:cs="Arial"/>
              </w:rPr>
              <w:t>.</w:t>
            </w:r>
          </w:p>
        </w:tc>
        <w:tc>
          <w:tcPr>
            <w:tcW w:w="4615" w:type="dxa"/>
          </w:tcPr>
          <w:p w:rsidR="0038036A" w:rsidRDefault="0038036A" w:rsidP="009124B0">
            <w:pPr>
              <w:rPr>
                <w:rFonts w:ascii="Arial" w:hAnsi="Arial" w:cs="Arial"/>
                <w:highlight w:val="yellow"/>
              </w:rPr>
            </w:pPr>
          </w:p>
          <w:p w:rsidR="0038036A" w:rsidRDefault="0038036A" w:rsidP="009124B0">
            <w:pPr>
              <w:rPr>
                <w:rFonts w:ascii="Arial" w:hAnsi="Arial" w:cs="Arial"/>
                <w:highlight w:val="yellow"/>
              </w:rPr>
            </w:pPr>
          </w:p>
          <w:p w:rsidR="0038036A" w:rsidRDefault="0038036A" w:rsidP="009124B0">
            <w:pPr>
              <w:rPr>
                <w:rFonts w:ascii="Arial" w:hAnsi="Arial" w:cs="Arial"/>
                <w:highlight w:val="yellow"/>
              </w:rPr>
            </w:pPr>
          </w:p>
          <w:p w:rsidR="0038036A" w:rsidRDefault="0038036A" w:rsidP="009124B0">
            <w:pPr>
              <w:rPr>
                <w:rFonts w:ascii="Arial" w:hAnsi="Arial" w:cs="Arial"/>
                <w:highlight w:val="yellow"/>
              </w:rPr>
            </w:pPr>
          </w:p>
          <w:p w:rsidR="0038036A" w:rsidRDefault="0038036A" w:rsidP="009124B0">
            <w:pPr>
              <w:rPr>
                <w:rFonts w:ascii="Arial" w:hAnsi="Arial" w:cs="Arial"/>
                <w:highlight w:val="yellow"/>
              </w:rPr>
            </w:pPr>
          </w:p>
          <w:p w:rsidR="0038036A" w:rsidRDefault="0038036A" w:rsidP="009124B0">
            <w:pPr>
              <w:rPr>
                <w:rFonts w:ascii="Arial" w:hAnsi="Arial" w:cs="Arial"/>
                <w:highlight w:val="yellow"/>
              </w:rPr>
            </w:pPr>
          </w:p>
          <w:p w:rsidR="0038036A" w:rsidRDefault="0038036A" w:rsidP="009124B0">
            <w:pPr>
              <w:rPr>
                <w:rFonts w:ascii="Arial" w:hAnsi="Arial" w:cs="Arial"/>
                <w:highlight w:val="yellow"/>
              </w:rPr>
            </w:pPr>
          </w:p>
          <w:p w:rsidR="000D61C5" w:rsidRDefault="00583BDF" w:rsidP="009124B0">
            <w:pPr>
              <w:rPr>
                <w:rFonts w:ascii="Arial" w:hAnsi="Arial" w:cs="Arial"/>
              </w:rPr>
            </w:pPr>
            <w:r w:rsidRPr="00AE1A47">
              <w:rPr>
                <w:rFonts w:ascii="Arial" w:hAnsi="Arial" w:cs="Arial"/>
              </w:rPr>
              <w:t xml:space="preserve">1.  </w:t>
            </w:r>
            <w:r w:rsidR="00AE1A47" w:rsidRPr="00AE1A47">
              <w:rPr>
                <w:rFonts w:ascii="Arial" w:hAnsi="Arial" w:cs="Arial"/>
                <w:lang w:val="en-ZA"/>
              </w:rPr>
              <w:t xml:space="preserve">Chapter 3 of the </w:t>
            </w:r>
            <w:r w:rsidR="00AE1A47">
              <w:rPr>
                <w:rFonts w:ascii="Arial" w:hAnsi="Arial" w:cs="Arial"/>
                <w:lang w:val="en-ZA"/>
              </w:rPr>
              <w:t xml:space="preserve">Bill </w:t>
            </w:r>
            <w:r w:rsidR="00AE1A47" w:rsidRPr="00AE1A47">
              <w:rPr>
                <w:rFonts w:ascii="Arial" w:hAnsi="Arial" w:cs="Arial"/>
                <w:lang w:val="en-ZA"/>
              </w:rPr>
              <w:t xml:space="preserve">applies to the enforcement of foreign awards, as defined in clause 14. A foreign award is defined as one made in the territory of a State other than South Africa. The question then arises as to where an award may said to be made. Clause 15 ensures consistency with the Model Law.  The award is deemed to be made at its seat and </w:t>
            </w:r>
            <w:r w:rsidR="002B394B">
              <w:rPr>
                <w:rFonts w:ascii="Arial" w:hAnsi="Arial" w:cs="Arial"/>
                <w:lang w:val="en-ZA"/>
              </w:rPr>
              <w:t xml:space="preserve">should </w:t>
            </w:r>
            <w:r w:rsidR="00AE1A47" w:rsidRPr="00AE1A47">
              <w:rPr>
                <w:rFonts w:ascii="Arial" w:hAnsi="Arial" w:cs="Arial"/>
                <w:lang w:val="en-ZA"/>
              </w:rPr>
              <w:t xml:space="preserve">be stated to have been made there, irrespective of where it is actually signed. This excludes the possibility of a court holding the award to </w:t>
            </w:r>
            <w:r w:rsidR="00AE1A47" w:rsidRPr="00AE1A47">
              <w:rPr>
                <w:rFonts w:ascii="Arial" w:hAnsi="Arial" w:cs="Arial"/>
                <w:lang w:val="en-ZA"/>
              </w:rPr>
              <w:lastRenderedPageBreak/>
              <w:t>have been made where it was signed, when the award is signed at a place outside the seat. It is submitted that clause 15 should be left unchanged.</w:t>
            </w:r>
          </w:p>
          <w:p w:rsidR="0038036A" w:rsidRDefault="0038036A" w:rsidP="009124B0">
            <w:pPr>
              <w:rPr>
                <w:rFonts w:ascii="Arial" w:hAnsi="Arial" w:cs="Arial"/>
              </w:rPr>
            </w:pPr>
          </w:p>
          <w:p w:rsidR="0087542D" w:rsidRDefault="0087542D" w:rsidP="00AE1A47">
            <w:pPr>
              <w:rPr>
                <w:rFonts w:ascii="Arial" w:hAnsi="Arial" w:cs="Arial"/>
              </w:rPr>
            </w:pPr>
            <w:r>
              <w:rPr>
                <w:rFonts w:ascii="Arial" w:hAnsi="Arial" w:cs="Arial"/>
              </w:rPr>
              <w:t>2</w:t>
            </w:r>
            <w:r w:rsidRPr="0087542D">
              <w:rPr>
                <w:rFonts w:ascii="Arial" w:hAnsi="Arial" w:cs="Arial"/>
              </w:rPr>
              <w:t xml:space="preserve">.  </w:t>
            </w:r>
            <w:r w:rsidR="00CD3D75">
              <w:rPr>
                <w:rFonts w:ascii="Arial" w:hAnsi="Arial" w:cs="Arial"/>
              </w:rPr>
              <w:t xml:space="preserve">During its presentation VM Group </w:t>
            </w:r>
            <w:r w:rsidRPr="0087542D">
              <w:rPr>
                <w:rFonts w:ascii="Arial" w:hAnsi="Arial" w:cs="Arial"/>
              </w:rPr>
              <w:t xml:space="preserve"> indicated that </w:t>
            </w:r>
            <w:r w:rsidR="00CD3D75">
              <w:rPr>
                <w:rFonts w:ascii="Arial" w:hAnsi="Arial" w:cs="Arial"/>
              </w:rPr>
              <w:t xml:space="preserve">it </w:t>
            </w:r>
            <w:r w:rsidR="00AE1A47">
              <w:rPr>
                <w:rFonts w:ascii="Arial" w:hAnsi="Arial" w:cs="Arial"/>
              </w:rPr>
              <w:t>was not insisting that this proposal be legislated</w:t>
            </w:r>
            <w:r w:rsidRPr="0087542D">
              <w:rPr>
                <w:rFonts w:ascii="Arial" w:hAnsi="Arial" w:cs="Arial"/>
              </w:rPr>
              <w:t>.</w:t>
            </w:r>
            <w:r w:rsidR="00AE1A47">
              <w:rPr>
                <w:rFonts w:ascii="Arial" w:hAnsi="Arial" w:cs="Arial"/>
              </w:rPr>
              <w:t xml:space="preserve">  The principle of party autonomy must be borne in mind.  </w:t>
            </w:r>
          </w:p>
          <w:p w:rsidR="00AE1A47" w:rsidRPr="005C12C2" w:rsidRDefault="00AE1A47" w:rsidP="00AE1A47">
            <w:pPr>
              <w:rPr>
                <w:rFonts w:ascii="Arial" w:hAnsi="Arial" w:cs="Arial"/>
              </w:rPr>
            </w:pPr>
          </w:p>
        </w:tc>
      </w:tr>
      <w:tr w:rsidR="000D61C5" w:rsidRPr="005C12C2" w:rsidTr="00762568">
        <w:trPr>
          <w:trHeight w:val="301"/>
        </w:trPr>
        <w:tc>
          <w:tcPr>
            <w:tcW w:w="0" w:type="auto"/>
          </w:tcPr>
          <w:p w:rsidR="000D61C5" w:rsidRDefault="000D61C5" w:rsidP="009124B0">
            <w:pPr>
              <w:rPr>
                <w:rFonts w:ascii="Arial" w:hAnsi="Arial" w:cs="Arial"/>
              </w:rPr>
            </w:pPr>
            <w:r>
              <w:rPr>
                <w:rFonts w:ascii="Arial" w:hAnsi="Arial" w:cs="Arial"/>
              </w:rPr>
              <w:lastRenderedPageBreak/>
              <w:t>16</w:t>
            </w:r>
            <w:r w:rsidR="00636A30">
              <w:rPr>
                <w:rFonts w:ascii="Arial" w:hAnsi="Arial" w:cs="Arial"/>
              </w:rPr>
              <w:t>(1)</w:t>
            </w:r>
            <w:r w:rsidR="004804E5">
              <w:rPr>
                <w:rFonts w:ascii="Arial" w:hAnsi="Arial" w:cs="Arial"/>
              </w:rPr>
              <w:t xml:space="preserve">: Recognition and enforcement of </w:t>
            </w:r>
            <w:r w:rsidR="00740F24">
              <w:rPr>
                <w:rFonts w:ascii="Arial" w:hAnsi="Arial" w:cs="Arial"/>
              </w:rPr>
              <w:t xml:space="preserve">arbitration agreements and foreign </w:t>
            </w:r>
            <w:r w:rsidR="00740F24" w:rsidRPr="00740F24">
              <w:rPr>
                <w:rFonts w:ascii="Arial" w:hAnsi="Arial" w:cs="Arial"/>
              </w:rPr>
              <w:t>arbitral</w:t>
            </w:r>
            <w:r w:rsidR="00740F24">
              <w:rPr>
                <w:rFonts w:ascii="Arial" w:hAnsi="Arial" w:cs="Arial"/>
              </w:rPr>
              <w:t xml:space="preserve"> awards</w:t>
            </w:r>
          </w:p>
        </w:tc>
        <w:tc>
          <w:tcPr>
            <w:tcW w:w="1954" w:type="dxa"/>
          </w:tcPr>
          <w:p w:rsidR="000D61C5" w:rsidRDefault="00636A30" w:rsidP="009124B0">
            <w:pPr>
              <w:rPr>
                <w:rFonts w:ascii="Arial" w:hAnsi="Arial" w:cs="Arial"/>
              </w:rPr>
            </w:pPr>
            <w:r w:rsidRPr="00636A30">
              <w:rPr>
                <w:rFonts w:ascii="Arial" w:hAnsi="Arial" w:cs="Arial"/>
              </w:rPr>
              <w:t>VM Group</w:t>
            </w:r>
          </w:p>
        </w:tc>
        <w:tc>
          <w:tcPr>
            <w:tcW w:w="4655" w:type="dxa"/>
          </w:tcPr>
          <w:p w:rsidR="00CD3D75" w:rsidRDefault="00AE1A47" w:rsidP="009124B0">
            <w:pPr>
              <w:rPr>
                <w:rFonts w:ascii="Arial" w:hAnsi="Arial" w:cs="Arial"/>
              </w:rPr>
            </w:pPr>
            <w:r>
              <w:rPr>
                <w:rFonts w:ascii="Arial" w:hAnsi="Arial" w:cs="Arial"/>
              </w:rPr>
              <w:t xml:space="preserve">Clause 16(1) provides that an arbitration agreement and a foreign arbitral award </w:t>
            </w:r>
            <w:r w:rsidRPr="00AE1A47">
              <w:rPr>
                <w:rFonts w:ascii="Arial" w:hAnsi="Arial" w:cs="Arial"/>
                <w:b/>
              </w:rPr>
              <w:t>must</w:t>
            </w:r>
            <w:r>
              <w:rPr>
                <w:rFonts w:ascii="Arial" w:hAnsi="Arial" w:cs="Arial"/>
              </w:rPr>
              <w:t xml:space="preserve"> be recognised and enforced in the Republic as required by the Convention. </w:t>
            </w:r>
          </w:p>
          <w:p w:rsidR="00CD3D75" w:rsidRDefault="00CD3D75" w:rsidP="009124B0">
            <w:pPr>
              <w:rPr>
                <w:rFonts w:ascii="Arial" w:hAnsi="Arial" w:cs="Arial"/>
              </w:rPr>
            </w:pPr>
          </w:p>
          <w:p w:rsidR="000D61C5" w:rsidRDefault="00AE1A47" w:rsidP="00AE1A47">
            <w:pPr>
              <w:rPr>
                <w:rFonts w:ascii="Arial" w:hAnsi="Arial" w:cs="Arial"/>
              </w:rPr>
            </w:pPr>
            <w:r>
              <w:rPr>
                <w:rFonts w:ascii="Arial" w:hAnsi="Arial" w:cs="Arial"/>
              </w:rPr>
              <w:t xml:space="preserve">VM Group suggests that the word </w:t>
            </w:r>
            <w:r w:rsidR="00DF704C" w:rsidRPr="00AE1A47">
              <w:rPr>
                <w:rFonts w:ascii="Arial" w:hAnsi="Arial" w:cs="Arial"/>
                <w:b/>
              </w:rPr>
              <w:t>“shall”</w:t>
            </w:r>
            <w:r w:rsidR="00DF704C">
              <w:rPr>
                <w:rFonts w:ascii="Arial" w:hAnsi="Arial" w:cs="Arial"/>
              </w:rPr>
              <w:t xml:space="preserve"> </w:t>
            </w:r>
            <w:r>
              <w:rPr>
                <w:rFonts w:ascii="Arial" w:hAnsi="Arial" w:cs="Arial"/>
              </w:rPr>
              <w:t xml:space="preserve">should be used rather than </w:t>
            </w:r>
            <w:r w:rsidR="00DF704C" w:rsidRPr="00AE1A47">
              <w:rPr>
                <w:rFonts w:ascii="Arial" w:hAnsi="Arial" w:cs="Arial"/>
                <w:b/>
              </w:rPr>
              <w:t>“</w:t>
            </w:r>
            <w:r w:rsidR="00636A30" w:rsidRPr="00AE1A47">
              <w:rPr>
                <w:rFonts w:ascii="Arial" w:hAnsi="Arial" w:cs="Arial"/>
                <w:b/>
              </w:rPr>
              <w:t>must</w:t>
            </w:r>
            <w:r w:rsidR="00DF704C" w:rsidRPr="00AE1A47">
              <w:rPr>
                <w:rFonts w:ascii="Arial" w:hAnsi="Arial" w:cs="Arial"/>
                <w:b/>
              </w:rPr>
              <w:t>”</w:t>
            </w:r>
            <w:r w:rsidR="00DF704C">
              <w:rPr>
                <w:rFonts w:ascii="Arial" w:hAnsi="Arial" w:cs="Arial"/>
              </w:rPr>
              <w:t>.</w:t>
            </w:r>
          </w:p>
        </w:tc>
        <w:tc>
          <w:tcPr>
            <w:tcW w:w="4615" w:type="dxa"/>
          </w:tcPr>
          <w:p w:rsidR="000D61C5" w:rsidRDefault="005B2379" w:rsidP="00DE3A46">
            <w:pPr>
              <w:rPr>
                <w:rFonts w:ascii="Arial" w:hAnsi="Arial" w:cs="Arial"/>
              </w:rPr>
            </w:pPr>
            <w:r>
              <w:rPr>
                <w:rFonts w:ascii="Arial" w:hAnsi="Arial" w:cs="Arial"/>
              </w:rPr>
              <w:t xml:space="preserve">The words “shall” and “must” have </w:t>
            </w:r>
            <w:r w:rsidR="00DE3A46">
              <w:rPr>
                <w:rFonts w:ascii="Arial" w:hAnsi="Arial" w:cs="Arial"/>
              </w:rPr>
              <w:t>the same</w:t>
            </w:r>
            <w:r>
              <w:rPr>
                <w:rFonts w:ascii="Arial" w:hAnsi="Arial" w:cs="Arial"/>
              </w:rPr>
              <w:t xml:space="preserve"> meaning and indicate something that is mandatory</w:t>
            </w:r>
            <w:r w:rsidR="00DE3A46">
              <w:rPr>
                <w:rFonts w:ascii="Arial" w:hAnsi="Arial" w:cs="Arial"/>
              </w:rPr>
              <w:t>.</w:t>
            </w:r>
            <w:r>
              <w:rPr>
                <w:rFonts w:ascii="Arial" w:hAnsi="Arial" w:cs="Arial"/>
              </w:rPr>
              <w:t xml:space="preserve"> In the interests of plain language, the use of </w:t>
            </w:r>
            <w:r w:rsidRPr="0083770B">
              <w:rPr>
                <w:rFonts w:ascii="Arial" w:hAnsi="Arial" w:cs="Arial"/>
                <w:b/>
              </w:rPr>
              <w:t>“shall”</w:t>
            </w:r>
            <w:r>
              <w:rPr>
                <w:rFonts w:ascii="Arial" w:hAnsi="Arial" w:cs="Arial"/>
              </w:rPr>
              <w:t xml:space="preserve"> in legal documents is being discarded in favour of the word </w:t>
            </w:r>
            <w:r w:rsidRPr="0083770B">
              <w:rPr>
                <w:rFonts w:ascii="Arial" w:hAnsi="Arial" w:cs="Arial"/>
                <w:b/>
              </w:rPr>
              <w:t>“must”</w:t>
            </w:r>
            <w:r>
              <w:rPr>
                <w:rFonts w:ascii="Arial" w:hAnsi="Arial" w:cs="Arial"/>
              </w:rPr>
              <w:t xml:space="preserve">.  </w:t>
            </w:r>
          </w:p>
        </w:tc>
      </w:tr>
      <w:tr w:rsidR="007C615B" w:rsidRPr="005C12C2" w:rsidTr="00762568">
        <w:trPr>
          <w:trHeight w:val="301"/>
        </w:trPr>
        <w:tc>
          <w:tcPr>
            <w:tcW w:w="0" w:type="auto"/>
          </w:tcPr>
          <w:p w:rsidR="007C615B" w:rsidRDefault="007C615B" w:rsidP="009124B0">
            <w:pPr>
              <w:rPr>
                <w:rFonts w:ascii="Arial" w:hAnsi="Arial" w:cs="Arial"/>
              </w:rPr>
            </w:pPr>
            <w:r>
              <w:rPr>
                <w:rFonts w:ascii="Arial" w:hAnsi="Arial" w:cs="Arial"/>
              </w:rPr>
              <w:t xml:space="preserve">Short title </w:t>
            </w:r>
          </w:p>
        </w:tc>
        <w:tc>
          <w:tcPr>
            <w:tcW w:w="1954" w:type="dxa"/>
          </w:tcPr>
          <w:p w:rsidR="007C615B" w:rsidRDefault="007C615B" w:rsidP="009124B0">
            <w:pPr>
              <w:rPr>
                <w:rFonts w:ascii="Arial" w:hAnsi="Arial" w:cs="Arial"/>
              </w:rPr>
            </w:pPr>
            <w:r>
              <w:rPr>
                <w:rFonts w:ascii="Arial" w:hAnsi="Arial" w:cs="Arial"/>
              </w:rPr>
              <w:t>Professor Jan Neels</w:t>
            </w:r>
          </w:p>
        </w:tc>
        <w:tc>
          <w:tcPr>
            <w:tcW w:w="4655" w:type="dxa"/>
          </w:tcPr>
          <w:p w:rsidR="007C615B" w:rsidRDefault="007C615B" w:rsidP="009124B0">
            <w:pPr>
              <w:rPr>
                <w:rFonts w:ascii="Arial" w:hAnsi="Arial" w:cs="Arial"/>
              </w:rPr>
            </w:pPr>
            <w:r>
              <w:rPr>
                <w:rFonts w:ascii="Arial" w:hAnsi="Arial" w:cs="Arial"/>
              </w:rPr>
              <w:t>In order for the title of the Bill to reflect the title of the Model Law, adapt it to I</w:t>
            </w:r>
            <w:r w:rsidRPr="007C615B">
              <w:rPr>
                <w:rFonts w:ascii="Arial" w:hAnsi="Arial" w:cs="Arial"/>
              </w:rPr>
              <w:t xml:space="preserve">nternational </w:t>
            </w:r>
            <w:r>
              <w:rPr>
                <w:rFonts w:ascii="Arial" w:hAnsi="Arial" w:cs="Arial"/>
              </w:rPr>
              <w:t>Commercial A</w:t>
            </w:r>
            <w:r w:rsidRPr="007C615B">
              <w:rPr>
                <w:rFonts w:ascii="Arial" w:hAnsi="Arial" w:cs="Arial"/>
              </w:rPr>
              <w:t>rbitration</w:t>
            </w:r>
            <w:r>
              <w:rPr>
                <w:rFonts w:ascii="Arial" w:hAnsi="Arial" w:cs="Arial"/>
              </w:rPr>
              <w:t xml:space="preserve"> Bill</w:t>
            </w:r>
          </w:p>
        </w:tc>
        <w:tc>
          <w:tcPr>
            <w:tcW w:w="4615" w:type="dxa"/>
          </w:tcPr>
          <w:p w:rsidR="007C615B" w:rsidRDefault="0083770B" w:rsidP="0083770B">
            <w:pPr>
              <w:rPr>
                <w:rFonts w:ascii="Arial" w:hAnsi="Arial" w:cs="Arial"/>
              </w:rPr>
            </w:pPr>
            <w:r>
              <w:rPr>
                <w:rFonts w:ascii="Arial" w:hAnsi="Arial" w:cs="Arial"/>
                <w:lang w:val="en-ZA"/>
              </w:rPr>
              <w:t>T</w:t>
            </w:r>
            <w:r w:rsidRPr="0083770B">
              <w:rPr>
                <w:rFonts w:ascii="Arial" w:hAnsi="Arial" w:cs="Arial"/>
                <w:lang w:val="en-ZA"/>
              </w:rPr>
              <w:t xml:space="preserve">he long title </w:t>
            </w:r>
            <w:r>
              <w:rPr>
                <w:rFonts w:ascii="Arial" w:hAnsi="Arial" w:cs="Arial"/>
                <w:lang w:val="en-ZA"/>
              </w:rPr>
              <w:t>of</w:t>
            </w:r>
            <w:r w:rsidRPr="0083770B">
              <w:rPr>
                <w:rFonts w:ascii="Arial" w:hAnsi="Arial" w:cs="Arial"/>
                <w:lang w:val="en-ZA"/>
              </w:rPr>
              <w:t xml:space="preserve"> the Bill and the objects of the Bill</w:t>
            </w:r>
            <w:r>
              <w:rPr>
                <w:rFonts w:ascii="Arial" w:hAnsi="Arial" w:cs="Arial"/>
                <w:lang w:val="en-ZA"/>
              </w:rPr>
              <w:t>,as</w:t>
            </w:r>
            <w:r w:rsidRPr="0083770B">
              <w:rPr>
                <w:rFonts w:ascii="Arial" w:hAnsi="Arial" w:cs="Arial"/>
                <w:lang w:val="en-ZA"/>
              </w:rPr>
              <w:t xml:space="preserve"> set out in clause 3, </w:t>
            </w:r>
            <w:r>
              <w:rPr>
                <w:rFonts w:ascii="Arial" w:hAnsi="Arial" w:cs="Arial"/>
                <w:lang w:val="en-ZA"/>
              </w:rPr>
              <w:t xml:space="preserve">indicate that </w:t>
            </w:r>
            <w:r w:rsidRPr="0083770B">
              <w:rPr>
                <w:rFonts w:ascii="Arial" w:hAnsi="Arial" w:cs="Arial"/>
                <w:lang w:val="en-ZA"/>
              </w:rPr>
              <w:t xml:space="preserve">the adoption of the Model Law for use in international commercial disputes is only one of the objects of the Bill. This is achieved in Chapter 2, with the title “International Commercial Arbitration”. </w:t>
            </w:r>
            <w:r>
              <w:rPr>
                <w:rFonts w:ascii="Arial" w:hAnsi="Arial" w:cs="Arial"/>
                <w:lang w:val="en-ZA"/>
              </w:rPr>
              <w:t xml:space="preserve"> </w:t>
            </w:r>
            <w:r w:rsidRPr="0083770B">
              <w:rPr>
                <w:rFonts w:ascii="Arial" w:hAnsi="Arial" w:cs="Arial"/>
                <w:lang w:val="en-ZA"/>
              </w:rPr>
              <w:t xml:space="preserve">An equally important object is to give proper effect in South African law to the Republic’s obligations under the New York Convention, which is achieved in </w:t>
            </w:r>
            <w:r>
              <w:rPr>
                <w:rFonts w:ascii="Arial" w:hAnsi="Arial" w:cs="Arial"/>
                <w:lang w:val="en-ZA"/>
              </w:rPr>
              <w:t>C</w:t>
            </w:r>
            <w:r w:rsidRPr="0083770B">
              <w:rPr>
                <w:rFonts w:ascii="Arial" w:hAnsi="Arial" w:cs="Arial"/>
                <w:lang w:val="en-ZA"/>
              </w:rPr>
              <w:t xml:space="preserve">hapter 3 of the Bill. </w:t>
            </w:r>
            <w:r w:rsidRPr="0083770B">
              <w:rPr>
                <w:rFonts w:ascii="Arial" w:hAnsi="Arial" w:cs="Arial"/>
                <w:lang w:val="en-ZA"/>
              </w:rPr>
              <w:lastRenderedPageBreak/>
              <w:t xml:space="preserve">When South Africa acceded to the Convention in 1976, the Republic did </w:t>
            </w:r>
            <w:r w:rsidRPr="0083770B">
              <w:rPr>
                <w:rFonts w:ascii="Arial" w:hAnsi="Arial" w:cs="Arial"/>
                <w:u w:val="single"/>
                <w:lang w:val="en-ZA"/>
              </w:rPr>
              <w:t>not</w:t>
            </w:r>
            <w:r w:rsidRPr="0083770B">
              <w:rPr>
                <w:rFonts w:ascii="Arial" w:hAnsi="Arial" w:cs="Arial"/>
                <w:lang w:val="en-ZA"/>
              </w:rPr>
              <w:t xml:space="preserve"> make the commercial reservation.  Had it done so, </w:t>
            </w:r>
            <w:r>
              <w:rPr>
                <w:rFonts w:ascii="Arial" w:hAnsi="Arial" w:cs="Arial"/>
                <w:lang w:val="en-ZA"/>
              </w:rPr>
              <w:t>C</w:t>
            </w:r>
            <w:r w:rsidRPr="0083770B">
              <w:rPr>
                <w:rFonts w:ascii="Arial" w:hAnsi="Arial" w:cs="Arial"/>
                <w:lang w:val="en-ZA"/>
              </w:rPr>
              <w:t xml:space="preserve">hapter 3 would have been restricted to international commercial arbitration, and the submission regarding the change of title would have merited support. However, </w:t>
            </w:r>
            <w:r>
              <w:rPr>
                <w:rFonts w:ascii="Arial" w:hAnsi="Arial" w:cs="Arial"/>
                <w:lang w:val="en-ZA"/>
              </w:rPr>
              <w:t>C</w:t>
            </w:r>
            <w:r w:rsidRPr="0083770B">
              <w:rPr>
                <w:rFonts w:ascii="Arial" w:hAnsi="Arial" w:cs="Arial"/>
                <w:lang w:val="en-ZA"/>
              </w:rPr>
              <w:t xml:space="preserve">hapter </w:t>
            </w:r>
            <w:r>
              <w:rPr>
                <w:rFonts w:ascii="Arial" w:hAnsi="Arial" w:cs="Arial"/>
                <w:lang w:val="en-ZA"/>
              </w:rPr>
              <w:t>3</w:t>
            </w:r>
            <w:r w:rsidRPr="0083770B">
              <w:rPr>
                <w:rFonts w:ascii="Arial" w:hAnsi="Arial" w:cs="Arial"/>
                <w:lang w:val="en-ZA"/>
              </w:rPr>
              <w:t xml:space="preserve"> applies to international arbitration, whether commercial or not. The existing short title therefore </w:t>
            </w:r>
            <w:r>
              <w:rPr>
                <w:rFonts w:ascii="Arial" w:hAnsi="Arial" w:cs="Arial"/>
                <w:lang w:val="en-ZA"/>
              </w:rPr>
              <w:t>correctly</w:t>
            </w:r>
            <w:r w:rsidRPr="0083770B">
              <w:rPr>
                <w:rFonts w:ascii="Arial" w:hAnsi="Arial" w:cs="Arial"/>
                <w:lang w:val="en-ZA"/>
              </w:rPr>
              <w:t xml:space="preserve"> reflects the objects of the Bill.  </w:t>
            </w:r>
          </w:p>
        </w:tc>
      </w:tr>
      <w:tr w:rsidR="007B5B06" w:rsidRPr="00B00B12" w:rsidTr="00762568">
        <w:trPr>
          <w:trHeight w:val="301"/>
        </w:trPr>
        <w:tc>
          <w:tcPr>
            <w:tcW w:w="0" w:type="auto"/>
          </w:tcPr>
          <w:p w:rsidR="007B5B06" w:rsidRDefault="00AB25E5" w:rsidP="009124B0">
            <w:pPr>
              <w:rPr>
                <w:rFonts w:ascii="Arial" w:hAnsi="Arial" w:cs="Arial"/>
              </w:rPr>
            </w:pPr>
            <w:r>
              <w:rPr>
                <w:rFonts w:ascii="Arial" w:hAnsi="Arial" w:cs="Arial"/>
              </w:rPr>
              <w:lastRenderedPageBreak/>
              <w:t xml:space="preserve">  </w:t>
            </w:r>
            <w:r w:rsidR="007B5B06">
              <w:rPr>
                <w:rFonts w:ascii="Arial" w:hAnsi="Arial" w:cs="Arial"/>
              </w:rPr>
              <w:t>Regulations</w:t>
            </w:r>
          </w:p>
        </w:tc>
        <w:tc>
          <w:tcPr>
            <w:tcW w:w="1954" w:type="dxa"/>
          </w:tcPr>
          <w:p w:rsidR="007B5B06" w:rsidRDefault="001C0A1F" w:rsidP="009124B0">
            <w:pPr>
              <w:rPr>
                <w:rFonts w:ascii="Arial" w:hAnsi="Arial" w:cs="Arial"/>
              </w:rPr>
            </w:pPr>
            <w:r>
              <w:rPr>
                <w:rFonts w:ascii="Arial" w:hAnsi="Arial" w:cs="Arial"/>
              </w:rPr>
              <w:t>CDH</w:t>
            </w:r>
          </w:p>
        </w:tc>
        <w:tc>
          <w:tcPr>
            <w:tcW w:w="4655" w:type="dxa"/>
          </w:tcPr>
          <w:p w:rsidR="007B5B06" w:rsidRDefault="00B00B12" w:rsidP="009124B0">
            <w:pPr>
              <w:rPr>
                <w:rFonts w:ascii="Arial" w:hAnsi="Arial" w:cs="Arial"/>
              </w:rPr>
            </w:pPr>
            <w:r>
              <w:rPr>
                <w:rFonts w:ascii="Arial" w:hAnsi="Arial" w:cs="Arial"/>
              </w:rPr>
              <w:t xml:space="preserve">The </w:t>
            </w:r>
            <w:r w:rsidR="001C0A1F">
              <w:rPr>
                <w:rFonts w:ascii="Arial" w:hAnsi="Arial" w:cs="Arial"/>
              </w:rPr>
              <w:t xml:space="preserve">Bill should </w:t>
            </w:r>
            <w:r>
              <w:rPr>
                <w:rFonts w:ascii="Arial" w:hAnsi="Arial" w:cs="Arial"/>
              </w:rPr>
              <w:t xml:space="preserve">empower </w:t>
            </w:r>
            <w:r w:rsidR="001C0A1F">
              <w:rPr>
                <w:rFonts w:ascii="Arial" w:hAnsi="Arial" w:cs="Arial"/>
              </w:rPr>
              <w:t>the Minister to make regulations regarding-</w:t>
            </w:r>
          </w:p>
          <w:p w:rsidR="00C37C08" w:rsidRDefault="00C37C08" w:rsidP="009124B0">
            <w:pPr>
              <w:rPr>
                <w:rFonts w:ascii="Arial" w:hAnsi="Arial" w:cs="Arial"/>
              </w:rPr>
            </w:pPr>
            <w:r>
              <w:rPr>
                <w:rFonts w:ascii="Arial" w:hAnsi="Arial" w:cs="Arial"/>
              </w:rPr>
              <w:t>(</w:t>
            </w:r>
            <w:r w:rsidRPr="00414822">
              <w:rPr>
                <w:rFonts w:ascii="Arial" w:hAnsi="Arial" w:cs="Arial"/>
                <w:i/>
              </w:rPr>
              <w:t>a</w:t>
            </w:r>
            <w:r>
              <w:rPr>
                <w:rFonts w:ascii="Arial" w:hAnsi="Arial" w:cs="Arial"/>
              </w:rPr>
              <w:t>)</w:t>
            </w:r>
            <w:r w:rsidR="00B00B12">
              <w:rPr>
                <w:rFonts w:ascii="Arial" w:hAnsi="Arial" w:cs="Arial"/>
              </w:rPr>
              <w:tab/>
            </w:r>
            <w:r>
              <w:rPr>
                <w:rFonts w:ascii="Arial" w:hAnsi="Arial" w:cs="Arial"/>
              </w:rPr>
              <w:t xml:space="preserve">The development of international </w:t>
            </w:r>
            <w:r w:rsidR="00B00B12">
              <w:rPr>
                <w:rFonts w:ascii="Arial" w:hAnsi="Arial" w:cs="Arial"/>
              </w:rPr>
              <w:tab/>
            </w:r>
            <w:r>
              <w:rPr>
                <w:rFonts w:ascii="Arial" w:hAnsi="Arial" w:cs="Arial"/>
              </w:rPr>
              <w:t>arbitration institutions in South Africa;</w:t>
            </w:r>
          </w:p>
          <w:p w:rsidR="00C37C08" w:rsidRPr="00C37C08" w:rsidRDefault="001C0A1F" w:rsidP="009124B0">
            <w:pPr>
              <w:rPr>
                <w:rFonts w:ascii="Arial" w:hAnsi="Arial" w:cs="Arial"/>
              </w:rPr>
            </w:pPr>
            <w:r>
              <w:rPr>
                <w:rFonts w:ascii="Arial" w:hAnsi="Arial" w:cs="Arial"/>
              </w:rPr>
              <w:t>(</w:t>
            </w:r>
            <w:r w:rsidR="00C37C08" w:rsidRPr="00414822">
              <w:rPr>
                <w:rFonts w:ascii="Arial" w:hAnsi="Arial" w:cs="Arial"/>
                <w:i/>
              </w:rPr>
              <w:t>b</w:t>
            </w:r>
            <w:r>
              <w:rPr>
                <w:rFonts w:ascii="Arial" w:hAnsi="Arial" w:cs="Arial"/>
              </w:rPr>
              <w:t>)</w:t>
            </w:r>
            <w:r w:rsidR="00B00B12">
              <w:rPr>
                <w:rFonts w:ascii="Arial" w:hAnsi="Arial" w:cs="Arial"/>
              </w:rPr>
              <w:tab/>
            </w:r>
            <w:r w:rsidR="00C37C08" w:rsidRPr="00C37C08">
              <w:rPr>
                <w:rFonts w:ascii="Arial" w:hAnsi="Arial" w:cs="Arial"/>
              </w:rPr>
              <w:t xml:space="preserve">Training and development </w:t>
            </w:r>
            <w:r w:rsidR="00B00B12">
              <w:rPr>
                <w:rFonts w:ascii="Arial" w:hAnsi="Arial" w:cs="Arial"/>
              </w:rPr>
              <w:tab/>
            </w:r>
            <w:r w:rsidR="00C37C08" w:rsidRPr="00C37C08">
              <w:rPr>
                <w:rFonts w:ascii="Arial" w:hAnsi="Arial" w:cs="Arial"/>
              </w:rPr>
              <w:t xml:space="preserve">requirements relevant to international </w:t>
            </w:r>
            <w:r w:rsidR="00B00B12">
              <w:rPr>
                <w:rFonts w:ascii="Arial" w:hAnsi="Arial" w:cs="Arial"/>
              </w:rPr>
              <w:tab/>
            </w:r>
            <w:r w:rsidR="00C37C08" w:rsidRPr="00C37C08">
              <w:rPr>
                <w:rFonts w:ascii="Arial" w:hAnsi="Arial" w:cs="Arial"/>
              </w:rPr>
              <w:t>arbitration for the judiciary;</w:t>
            </w:r>
          </w:p>
          <w:p w:rsidR="00E679B8" w:rsidRDefault="00E679B8" w:rsidP="009124B0">
            <w:pPr>
              <w:rPr>
                <w:rFonts w:ascii="Arial" w:hAnsi="Arial" w:cs="Arial"/>
              </w:rPr>
            </w:pPr>
          </w:p>
          <w:p w:rsidR="00E679B8" w:rsidRDefault="00E679B8" w:rsidP="009124B0">
            <w:pPr>
              <w:rPr>
                <w:rFonts w:ascii="Arial" w:hAnsi="Arial" w:cs="Arial"/>
              </w:rPr>
            </w:pPr>
          </w:p>
          <w:p w:rsidR="00E679B8" w:rsidRDefault="00E679B8" w:rsidP="009124B0">
            <w:pPr>
              <w:rPr>
                <w:rFonts w:ascii="Arial" w:hAnsi="Arial" w:cs="Arial"/>
              </w:rPr>
            </w:pPr>
          </w:p>
          <w:p w:rsidR="00E679B8" w:rsidRDefault="00E679B8" w:rsidP="009124B0">
            <w:pPr>
              <w:rPr>
                <w:rFonts w:ascii="Arial" w:hAnsi="Arial" w:cs="Arial"/>
              </w:rPr>
            </w:pPr>
          </w:p>
          <w:p w:rsidR="00E679B8" w:rsidRDefault="00E679B8" w:rsidP="009124B0">
            <w:pPr>
              <w:rPr>
                <w:rFonts w:ascii="Arial" w:hAnsi="Arial" w:cs="Arial"/>
              </w:rPr>
            </w:pPr>
          </w:p>
          <w:p w:rsidR="00E679B8" w:rsidRDefault="00E679B8" w:rsidP="009124B0">
            <w:pPr>
              <w:rPr>
                <w:rFonts w:ascii="Arial" w:hAnsi="Arial" w:cs="Arial"/>
              </w:rPr>
            </w:pPr>
          </w:p>
          <w:p w:rsidR="00E679B8" w:rsidRDefault="00E679B8" w:rsidP="009124B0">
            <w:pPr>
              <w:rPr>
                <w:rFonts w:ascii="Arial" w:hAnsi="Arial" w:cs="Arial"/>
              </w:rPr>
            </w:pPr>
          </w:p>
          <w:p w:rsidR="00E679B8" w:rsidRDefault="00E679B8" w:rsidP="009124B0">
            <w:pPr>
              <w:rPr>
                <w:rFonts w:ascii="Arial" w:hAnsi="Arial" w:cs="Arial"/>
              </w:rPr>
            </w:pPr>
          </w:p>
          <w:p w:rsidR="00E679B8" w:rsidRDefault="00E679B8" w:rsidP="009124B0">
            <w:pPr>
              <w:rPr>
                <w:rFonts w:ascii="Arial" w:hAnsi="Arial" w:cs="Arial"/>
              </w:rPr>
            </w:pPr>
          </w:p>
          <w:p w:rsidR="00C37C08" w:rsidRPr="00C37C08" w:rsidRDefault="00C37C08" w:rsidP="009124B0">
            <w:pPr>
              <w:rPr>
                <w:rFonts w:ascii="Arial" w:hAnsi="Arial" w:cs="Arial"/>
              </w:rPr>
            </w:pPr>
            <w:r>
              <w:rPr>
                <w:rFonts w:ascii="Arial" w:hAnsi="Arial" w:cs="Arial"/>
              </w:rPr>
              <w:t>(</w:t>
            </w:r>
            <w:r w:rsidRPr="00414822">
              <w:rPr>
                <w:rFonts w:ascii="Arial" w:hAnsi="Arial" w:cs="Arial"/>
                <w:i/>
              </w:rPr>
              <w:t>c</w:t>
            </w:r>
            <w:r>
              <w:rPr>
                <w:rFonts w:ascii="Arial" w:hAnsi="Arial" w:cs="Arial"/>
              </w:rPr>
              <w:t>)</w:t>
            </w:r>
            <w:r w:rsidR="00B00B12">
              <w:rPr>
                <w:rFonts w:ascii="Arial" w:hAnsi="Arial" w:cs="Arial"/>
              </w:rPr>
              <w:tab/>
            </w:r>
            <w:r w:rsidRPr="00C37C08">
              <w:rPr>
                <w:rFonts w:ascii="Arial" w:hAnsi="Arial" w:cs="Arial"/>
              </w:rPr>
              <w:t xml:space="preserve">In consultation with the Chief Justice </w:t>
            </w:r>
            <w:r w:rsidR="00B00B12">
              <w:rPr>
                <w:rFonts w:ascii="Arial" w:hAnsi="Arial" w:cs="Arial"/>
              </w:rPr>
              <w:tab/>
            </w:r>
            <w:r w:rsidRPr="00C37C08">
              <w:rPr>
                <w:rFonts w:ascii="Arial" w:hAnsi="Arial" w:cs="Arial"/>
              </w:rPr>
              <w:t xml:space="preserve">of South Africa or such panel </w:t>
            </w:r>
            <w:r w:rsidR="00B00B12">
              <w:rPr>
                <w:rFonts w:ascii="Arial" w:hAnsi="Arial" w:cs="Arial"/>
              </w:rPr>
              <w:tab/>
            </w:r>
            <w:r w:rsidRPr="00C37C08">
              <w:rPr>
                <w:rFonts w:ascii="Arial" w:hAnsi="Arial" w:cs="Arial"/>
              </w:rPr>
              <w:t xml:space="preserve">nominated by the Chief Justice of </w:t>
            </w:r>
            <w:r w:rsidR="00B00B12">
              <w:rPr>
                <w:rFonts w:ascii="Arial" w:hAnsi="Arial" w:cs="Arial"/>
              </w:rPr>
              <w:tab/>
            </w:r>
            <w:r w:rsidRPr="00C37C08">
              <w:rPr>
                <w:rFonts w:ascii="Arial" w:hAnsi="Arial" w:cs="Arial"/>
              </w:rPr>
              <w:t xml:space="preserve">South Africa, develop court rules </w:t>
            </w:r>
            <w:r w:rsidR="00B00B12">
              <w:rPr>
                <w:rFonts w:ascii="Arial" w:hAnsi="Arial" w:cs="Arial"/>
              </w:rPr>
              <w:tab/>
            </w:r>
            <w:r w:rsidRPr="00C37C08">
              <w:rPr>
                <w:rFonts w:ascii="Arial" w:hAnsi="Arial" w:cs="Arial"/>
              </w:rPr>
              <w:t xml:space="preserve">which ensures that the objectives of </w:t>
            </w:r>
            <w:r w:rsidR="00B00B12">
              <w:rPr>
                <w:rFonts w:ascii="Arial" w:hAnsi="Arial" w:cs="Arial"/>
              </w:rPr>
              <w:tab/>
            </w:r>
            <w:r w:rsidRPr="00C37C08">
              <w:rPr>
                <w:rFonts w:ascii="Arial" w:hAnsi="Arial" w:cs="Arial"/>
              </w:rPr>
              <w:t xml:space="preserve">the Model Law are achieved in order </w:t>
            </w:r>
            <w:r w:rsidR="00B00B12">
              <w:rPr>
                <w:rFonts w:ascii="Arial" w:hAnsi="Arial" w:cs="Arial"/>
              </w:rPr>
              <w:tab/>
            </w:r>
            <w:r w:rsidRPr="00C37C08">
              <w:rPr>
                <w:rFonts w:ascii="Arial" w:hAnsi="Arial" w:cs="Arial"/>
              </w:rPr>
              <w:t xml:space="preserve">to encourage the further development </w:t>
            </w:r>
            <w:r w:rsidR="00B00B12">
              <w:rPr>
                <w:rFonts w:ascii="Arial" w:hAnsi="Arial" w:cs="Arial"/>
              </w:rPr>
              <w:lastRenderedPageBreak/>
              <w:tab/>
            </w:r>
            <w:r w:rsidRPr="00C37C08">
              <w:rPr>
                <w:rFonts w:ascii="Arial" w:hAnsi="Arial" w:cs="Arial"/>
              </w:rPr>
              <w:t xml:space="preserve">of international arbitration in South </w:t>
            </w:r>
            <w:r w:rsidR="00B00B12">
              <w:rPr>
                <w:rFonts w:ascii="Arial" w:hAnsi="Arial" w:cs="Arial"/>
              </w:rPr>
              <w:tab/>
            </w:r>
            <w:r w:rsidRPr="00C37C08">
              <w:rPr>
                <w:rFonts w:ascii="Arial" w:hAnsi="Arial" w:cs="Arial"/>
              </w:rPr>
              <w:t>Africa;</w:t>
            </w:r>
          </w:p>
          <w:p w:rsidR="00CC0AB6" w:rsidRDefault="00CC0AB6" w:rsidP="009124B0">
            <w:pPr>
              <w:rPr>
                <w:rFonts w:ascii="Arial" w:hAnsi="Arial" w:cs="Arial"/>
              </w:rPr>
            </w:pPr>
          </w:p>
          <w:p w:rsidR="00CC0AB6" w:rsidRDefault="00CC0AB6" w:rsidP="009124B0">
            <w:pPr>
              <w:rPr>
                <w:rFonts w:ascii="Arial" w:hAnsi="Arial" w:cs="Arial"/>
              </w:rPr>
            </w:pPr>
          </w:p>
          <w:p w:rsidR="00CC0AB6" w:rsidRDefault="00CC0AB6" w:rsidP="009124B0">
            <w:pPr>
              <w:rPr>
                <w:rFonts w:ascii="Arial" w:hAnsi="Arial" w:cs="Arial"/>
              </w:rPr>
            </w:pPr>
          </w:p>
          <w:p w:rsidR="00CC0AB6" w:rsidRDefault="00CC0AB6" w:rsidP="009124B0">
            <w:pPr>
              <w:rPr>
                <w:rFonts w:ascii="Arial" w:hAnsi="Arial" w:cs="Arial"/>
              </w:rPr>
            </w:pPr>
          </w:p>
          <w:p w:rsidR="00CC0AB6" w:rsidRDefault="00CC0AB6" w:rsidP="009124B0">
            <w:pPr>
              <w:rPr>
                <w:rFonts w:ascii="Arial" w:hAnsi="Arial" w:cs="Arial"/>
              </w:rPr>
            </w:pPr>
          </w:p>
          <w:p w:rsidR="00CC0AB6" w:rsidRDefault="00CC0AB6" w:rsidP="009124B0">
            <w:pPr>
              <w:rPr>
                <w:rFonts w:ascii="Arial" w:hAnsi="Arial" w:cs="Arial"/>
              </w:rPr>
            </w:pPr>
          </w:p>
          <w:p w:rsidR="00CC0AB6" w:rsidRDefault="00CC0AB6" w:rsidP="009124B0">
            <w:pPr>
              <w:rPr>
                <w:rFonts w:ascii="Arial" w:hAnsi="Arial" w:cs="Arial"/>
              </w:rPr>
            </w:pPr>
          </w:p>
          <w:p w:rsidR="00CC0AB6" w:rsidRDefault="00CC0AB6" w:rsidP="009124B0">
            <w:pPr>
              <w:rPr>
                <w:rFonts w:ascii="Arial" w:hAnsi="Arial" w:cs="Arial"/>
              </w:rPr>
            </w:pPr>
          </w:p>
          <w:p w:rsidR="00CC0AB6" w:rsidRDefault="00CC0AB6" w:rsidP="009124B0">
            <w:pPr>
              <w:rPr>
                <w:rFonts w:ascii="Arial" w:hAnsi="Arial" w:cs="Arial"/>
              </w:rPr>
            </w:pPr>
          </w:p>
          <w:p w:rsidR="00C37C08" w:rsidRPr="00C37C08" w:rsidRDefault="00C37C08" w:rsidP="009124B0">
            <w:pPr>
              <w:rPr>
                <w:rFonts w:ascii="Arial" w:hAnsi="Arial" w:cs="Arial"/>
              </w:rPr>
            </w:pPr>
            <w:r>
              <w:rPr>
                <w:rFonts w:ascii="Arial" w:hAnsi="Arial" w:cs="Arial"/>
              </w:rPr>
              <w:t>(</w:t>
            </w:r>
            <w:r w:rsidRPr="00414822">
              <w:rPr>
                <w:rFonts w:ascii="Arial" w:hAnsi="Arial" w:cs="Arial"/>
                <w:i/>
              </w:rPr>
              <w:t>d</w:t>
            </w:r>
            <w:r>
              <w:rPr>
                <w:rFonts w:ascii="Arial" w:hAnsi="Arial" w:cs="Arial"/>
              </w:rPr>
              <w:t xml:space="preserve">)  </w:t>
            </w:r>
            <w:r w:rsidR="00B00B12">
              <w:rPr>
                <w:rFonts w:ascii="Arial" w:hAnsi="Arial" w:cs="Arial"/>
              </w:rPr>
              <w:tab/>
            </w:r>
            <w:r w:rsidRPr="00C37C08">
              <w:rPr>
                <w:rFonts w:ascii="Arial" w:hAnsi="Arial" w:cs="Arial"/>
              </w:rPr>
              <w:t xml:space="preserve">In consultation with the Chief Justice </w:t>
            </w:r>
            <w:r w:rsidR="00B00B12">
              <w:rPr>
                <w:rFonts w:ascii="Arial" w:hAnsi="Arial" w:cs="Arial"/>
              </w:rPr>
              <w:tab/>
            </w:r>
            <w:r w:rsidRPr="00C37C08">
              <w:rPr>
                <w:rFonts w:ascii="Arial" w:hAnsi="Arial" w:cs="Arial"/>
              </w:rPr>
              <w:t xml:space="preserve">of South Africa or such panel </w:t>
            </w:r>
            <w:r w:rsidR="00B00B12">
              <w:rPr>
                <w:rFonts w:ascii="Arial" w:hAnsi="Arial" w:cs="Arial"/>
              </w:rPr>
              <w:tab/>
            </w:r>
            <w:r w:rsidRPr="00C37C08">
              <w:rPr>
                <w:rFonts w:ascii="Arial" w:hAnsi="Arial" w:cs="Arial"/>
              </w:rPr>
              <w:t xml:space="preserve">nominated by the Chief Justice of </w:t>
            </w:r>
            <w:r w:rsidR="00B00B12">
              <w:rPr>
                <w:rFonts w:ascii="Arial" w:hAnsi="Arial" w:cs="Arial"/>
              </w:rPr>
              <w:tab/>
            </w:r>
            <w:r w:rsidRPr="00C37C08">
              <w:rPr>
                <w:rFonts w:ascii="Arial" w:hAnsi="Arial" w:cs="Arial"/>
              </w:rPr>
              <w:t xml:space="preserve">South Africa, designate one of the </w:t>
            </w:r>
            <w:r w:rsidR="00B00B12">
              <w:rPr>
                <w:rFonts w:ascii="Arial" w:hAnsi="Arial" w:cs="Arial"/>
              </w:rPr>
              <w:tab/>
            </w:r>
            <w:r w:rsidRPr="00C37C08">
              <w:rPr>
                <w:rFonts w:ascii="Arial" w:hAnsi="Arial" w:cs="Arial"/>
              </w:rPr>
              <w:t xml:space="preserve">High Courts of the South Africa with </w:t>
            </w:r>
            <w:r w:rsidR="00B00B12">
              <w:rPr>
                <w:rFonts w:ascii="Arial" w:hAnsi="Arial" w:cs="Arial"/>
              </w:rPr>
              <w:tab/>
            </w:r>
            <w:r w:rsidRPr="00C37C08">
              <w:rPr>
                <w:rFonts w:ascii="Arial" w:hAnsi="Arial" w:cs="Arial"/>
              </w:rPr>
              <w:t xml:space="preserve">exclusive jurisdiction to deal with all </w:t>
            </w:r>
            <w:r w:rsidR="00B00B12">
              <w:rPr>
                <w:rFonts w:ascii="Arial" w:hAnsi="Arial" w:cs="Arial"/>
              </w:rPr>
              <w:tab/>
            </w:r>
            <w:r w:rsidRPr="00C37C08">
              <w:rPr>
                <w:rFonts w:ascii="Arial" w:hAnsi="Arial" w:cs="Arial"/>
              </w:rPr>
              <w:t>international arbitration matters;</w:t>
            </w:r>
          </w:p>
          <w:p w:rsidR="00CC0AB6" w:rsidRDefault="00CC0AB6" w:rsidP="00B00B12">
            <w:pPr>
              <w:rPr>
                <w:rFonts w:ascii="Arial" w:hAnsi="Arial" w:cs="Arial"/>
              </w:rPr>
            </w:pPr>
          </w:p>
          <w:p w:rsidR="00CC0AB6" w:rsidRDefault="00CC0AB6" w:rsidP="00B00B12">
            <w:pPr>
              <w:rPr>
                <w:rFonts w:ascii="Arial" w:hAnsi="Arial" w:cs="Arial"/>
              </w:rPr>
            </w:pPr>
          </w:p>
          <w:p w:rsidR="00CC0AB6" w:rsidRDefault="00CC0AB6" w:rsidP="00B00B12">
            <w:pPr>
              <w:rPr>
                <w:rFonts w:ascii="Arial" w:hAnsi="Arial" w:cs="Arial"/>
              </w:rPr>
            </w:pPr>
          </w:p>
          <w:p w:rsidR="001C0A1F" w:rsidRDefault="00414822" w:rsidP="00B00B12">
            <w:pPr>
              <w:rPr>
                <w:rFonts w:ascii="Arial" w:hAnsi="Arial" w:cs="Arial"/>
              </w:rPr>
            </w:pPr>
            <w:r>
              <w:rPr>
                <w:rFonts w:ascii="Arial" w:hAnsi="Arial" w:cs="Arial"/>
              </w:rPr>
              <w:t>(</w:t>
            </w:r>
            <w:r w:rsidRPr="00414822">
              <w:rPr>
                <w:rFonts w:ascii="Arial" w:hAnsi="Arial" w:cs="Arial"/>
                <w:i/>
              </w:rPr>
              <w:t>e</w:t>
            </w:r>
            <w:r>
              <w:rPr>
                <w:rFonts w:ascii="Arial" w:hAnsi="Arial" w:cs="Arial"/>
              </w:rPr>
              <w:t>)</w:t>
            </w:r>
            <w:r w:rsidR="00B00B12">
              <w:rPr>
                <w:rFonts w:ascii="Arial" w:hAnsi="Arial" w:cs="Arial"/>
              </w:rPr>
              <w:tab/>
            </w:r>
            <w:r w:rsidR="00C37C08" w:rsidRPr="00C37C08">
              <w:rPr>
                <w:rFonts w:ascii="Arial" w:hAnsi="Arial" w:cs="Arial"/>
              </w:rPr>
              <w:t xml:space="preserve">Matters incidental to the promotion of </w:t>
            </w:r>
            <w:r w:rsidR="00B00B12">
              <w:rPr>
                <w:rFonts w:ascii="Arial" w:hAnsi="Arial" w:cs="Arial"/>
              </w:rPr>
              <w:tab/>
            </w:r>
            <w:r w:rsidR="00C37C08" w:rsidRPr="00C37C08">
              <w:rPr>
                <w:rFonts w:ascii="Arial" w:hAnsi="Arial" w:cs="Arial"/>
              </w:rPr>
              <w:t xml:space="preserve">the use of South Africa as a </w:t>
            </w:r>
            <w:r w:rsidR="00B00B12">
              <w:rPr>
                <w:rFonts w:ascii="Arial" w:hAnsi="Arial" w:cs="Arial"/>
              </w:rPr>
              <w:tab/>
            </w:r>
            <w:r w:rsidR="00C37C08" w:rsidRPr="00C37C08">
              <w:rPr>
                <w:rFonts w:ascii="Arial" w:hAnsi="Arial" w:cs="Arial"/>
              </w:rPr>
              <w:t xml:space="preserve">jurisdiction of choice in the field of </w:t>
            </w:r>
            <w:r w:rsidR="00B00B12">
              <w:rPr>
                <w:rFonts w:ascii="Arial" w:hAnsi="Arial" w:cs="Arial"/>
              </w:rPr>
              <w:tab/>
            </w:r>
            <w:r w:rsidR="00C37C08" w:rsidRPr="00C37C08">
              <w:rPr>
                <w:rFonts w:ascii="Arial" w:hAnsi="Arial" w:cs="Arial"/>
              </w:rPr>
              <w:t xml:space="preserve">international arbitration. </w:t>
            </w:r>
            <w:r w:rsidR="001C0A1F">
              <w:rPr>
                <w:rFonts w:ascii="Arial" w:hAnsi="Arial" w:cs="Arial"/>
              </w:rPr>
              <w:t xml:space="preserve"> </w:t>
            </w:r>
          </w:p>
        </w:tc>
        <w:tc>
          <w:tcPr>
            <w:tcW w:w="4615" w:type="dxa"/>
          </w:tcPr>
          <w:p w:rsidR="007B5B06" w:rsidRDefault="002B394B" w:rsidP="00E679B8">
            <w:pPr>
              <w:rPr>
                <w:rFonts w:ascii="Arial" w:hAnsi="Arial" w:cs="Arial"/>
              </w:rPr>
            </w:pPr>
            <w:r>
              <w:rPr>
                <w:rFonts w:ascii="Arial" w:hAnsi="Arial" w:cs="Arial"/>
                <w:lang w:val="en-ZA"/>
              </w:rPr>
              <w:lastRenderedPageBreak/>
              <w:t xml:space="preserve">Regarding the proposals in paragraphs (a) and (b) in the previous column, </w:t>
            </w:r>
            <w:r w:rsidR="00E679B8">
              <w:rPr>
                <w:rFonts w:ascii="Arial" w:hAnsi="Arial" w:cs="Arial"/>
                <w:lang w:val="en-ZA"/>
              </w:rPr>
              <w:t xml:space="preserve">for the Minister </w:t>
            </w:r>
            <w:r>
              <w:rPr>
                <w:rFonts w:ascii="Arial" w:hAnsi="Arial" w:cs="Arial"/>
                <w:lang w:val="en-ZA"/>
              </w:rPr>
              <w:t>to make certain regulations, it is important to note that t</w:t>
            </w:r>
            <w:r w:rsidR="00B00B12" w:rsidRPr="00D22C77">
              <w:rPr>
                <w:rFonts w:ascii="Arial" w:hAnsi="Arial" w:cs="Arial"/>
                <w:lang w:val="en-ZA"/>
              </w:rPr>
              <w:t xml:space="preserve">he purpose of the Bill is to regulate international arbitration. Private arbitration is a non-state process. The State </w:t>
            </w:r>
            <w:r>
              <w:rPr>
                <w:rFonts w:ascii="Arial" w:hAnsi="Arial" w:cs="Arial"/>
                <w:lang w:val="en-ZA"/>
              </w:rPr>
              <w:t xml:space="preserve">should </w:t>
            </w:r>
            <w:r w:rsidR="00B00B12" w:rsidRPr="00D22C77">
              <w:rPr>
                <w:rFonts w:ascii="Arial" w:hAnsi="Arial" w:cs="Arial"/>
                <w:lang w:val="en-ZA"/>
              </w:rPr>
              <w:t xml:space="preserve">therefore </w:t>
            </w:r>
            <w:r>
              <w:rPr>
                <w:rFonts w:ascii="Arial" w:hAnsi="Arial" w:cs="Arial"/>
                <w:lang w:val="en-ZA"/>
              </w:rPr>
              <w:t>not</w:t>
            </w:r>
            <w:r w:rsidR="00B00B12" w:rsidRPr="00D22C77">
              <w:rPr>
                <w:rFonts w:ascii="Arial" w:hAnsi="Arial" w:cs="Arial"/>
                <w:lang w:val="en-ZA"/>
              </w:rPr>
              <w:t xml:space="preserve"> develop institutions to conduct private arbitrations. The question of judicial training, a highly sensitive subject, </w:t>
            </w:r>
            <w:r w:rsidR="00E679B8">
              <w:rPr>
                <w:rFonts w:ascii="Arial" w:hAnsi="Arial" w:cs="Arial"/>
                <w:lang w:val="en-ZA"/>
              </w:rPr>
              <w:t xml:space="preserve">should not </w:t>
            </w:r>
            <w:r w:rsidR="00B00B12" w:rsidRPr="00D22C77">
              <w:rPr>
                <w:rFonts w:ascii="Arial" w:hAnsi="Arial" w:cs="Arial"/>
                <w:lang w:val="en-ZA"/>
              </w:rPr>
              <w:t>be regulated through regulations made under arbitration legislation.</w:t>
            </w:r>
            <w:r w:rsidR="00D22C77">
              <w:rPr>
                <w:rFonts w:ascii="Arial" w:hAnsi="Arial" w:cs="Arial"/>
                <w:lang w:val="en-ZA"/>
              </w:rPr>
              <w:t xml:space="preserve">  It is therefore inappropriate to deal with this in the Bill.</w:t>
            </w:r>
            <w:r w:rsidR="00B3311B" w:rsidRPr="00B00B12">
              <w:rPr>
                <w:rFonts w:ascii="Arial" w:hAnsi="Arial" w:cs="Arial"/>
              </w:rPr>
              <w:t xml:space="preserve">  </w:t>
            </w:r>
            <w:r w:rsidR="00E679B8">
              <w:rPr>
                <w:rFonts w:ascii="Arial" w:hAnsi="Arial" w:cs="Arial"/>
              </w:rPr>
              <w:t>This would, furthermore, require in-depth consultation with the judiciary.</w:t>
            </w:r>
          </w:p>
          <w:p w:rsidR="00E679B8" w:rsidRDefault="00E679B8" w:rsidP="00E679B8">
            <w:pPr>
              <w:rPr>
                <w:rFonts w:ascii="Arial" w:hAnsi="Arial" w:cs="Arial"/>
              </w:rPr>
            </w:pPr>
          </w:p>
          <w:p w:rsidR="00E679B8" w:rsidRDefault="00E679B8" w:rsidP="00E679B8">
            <w:pPr>
              <w:rPr>
                <w:rFonts w:ascii="Arial" w:hAnsi="Arial" w:cs="Arial"/>
              </w:rPr>
            </w:pPr>
          </w:p>
          <w:p w:rsidR="00E679B8" w:rsidRPr="00E679B8" w:rsidRDefault="00E679B8" w:rsidP="00E679B8">
            <w:pPr>
              <w:rPr>
                <w:rFonts w:ascii="Arial" w:hAnsi="Arial" w:cs="Arial"/>
                <w:bCs/>
                <w:lang w:val="en-ZA"/>
              </w:rPr>
            </w:pPr>
            <w:r>
              <w:rPr>
                <w:rFonts w:ascii="Arial" w:hAnsi="Arial" w:cs="Arial"/>
                <w:lang w:val="en-ZA"/>
              </w:rPr>
              <w:t xml:space="preserve">Regarding the proposal in paragraph (c) in the previous column, for the Chief Justice to make certain rules, </w:t>
            </w:r>
            <w:r w:rsidR="00CC0AB6">
              <w:rPr>
                <w:rFonts w:ascii="Arial" w:hAnsi="Arial" w:cs="Arial"/>
                <w:lang w:val="en-ZA"/>
              </w:rPr>
              <w:t>it should be pointed out that s</w:t>
            </w:r>
            <w:r>
              <w:rPr>
                <w:rFonts w:ascii="Arial" w:hAnsi="Arial" w:cs="Arial"/>
                <w:bCs/>
                <w:lang w:val="en-ZA"/>
              </w:rPr>
              <w:t>ection 6 of the Rules Board for Courts of Law</w:t>
            </w:r>
            <w:r w:rsidRPr="00E679B8">
              <w:rPr>
                <w:rFonts w:ascii="Arial" w:hAnsi="Arial" w:cs="Arial"/>
                <w:bCs/>
                <w:lang w:val="en-ZA"/>
              </w:rPr>
              <w:t xml:space="preserve"> Act vests the power to make or amend rules for the High Court in the Rules Board. (This is confirmed by section 30 of </w:t>
            </w:r>
            <w:r w:rsidRPr="00E679B8">
              <w:rPr>
                <w:rFonts w:ascii="Arial" w:hAnsi="Arial" w:cs="Arial"/>
                <w:bCs/>
                <w:lang w:val="en-ZA"/>
              </w:rPr>
              <w:lastRenderedPageBreak/>
              <w:t xml:space="preserve">the Superior Courts Act). Section 6(2)(a) of the Rules Board for Courts of Law Act </w:t>
            </w:r>
            <w:r w:rsidRPr="00E679B8">
              <w:rPr>
                <w:rFonts w:ascii="Arial" w:hAnsi="Arial" w:cs="Arial"/>
                <w:lang w:val="en-ZA"/>
              </w:rPr>
              <w:t xml:space="preserve">provides that “different rules may be made in respect of the Supreme Court of Appeal, High Court of South Africa and the Lower Courts and </w:t>
            </w:r>
            <w:r w:rsidRPr="00E679B8">
              <w:rPr>
                <w:rFonts w:ascii="Arial" w:hAnsi="Arial" w:cs="Arial"/>
                <w:u w:val="single"/>
                <w:lang w:val="en-ZA"/>
              </w:rPr>
              <w:t>in respect of different kinds of proceedings</w:t>
            </w:r>
            <w:r w:rsidRPr="00E679B8">
              <w:rPr>
                <w:rFonts w:ascii="Arial" w:hAnsi="Arial" w:cs="Arial"/>
                <w:lang w:val="en-ZA"/>
              </w:rPr>
              <w:t>.</w:t>
            </w:r>
            <w:r w:rsidRPr="00E679B8">
              <w:rPr>
                <w:rFonts w:ascii="Arial" w:hAnsi="Arial" w:cs="Arial"/>
                <w:bCs/>
                <w:lang w:val="en-ZA"/>
              </w:rPr>
              <w:t>” The power to make special rules for proceedings in the High Court relating to arbitration appears to exist already.</w:t>
            </w:r>
          </w:p>
          <w:p w:rsidR="00E679B8" w:rsidRDefault="00E679B8" w:rsidP="00E679B8">
            <w:pPr>
              <w:rPr>
                <w:rFonts w:ascii="Arial" w:hAnsi="Arial" w:cs="Arial"/>
                <w:lang w:val="en-ZA"/>
              </w:rPr>
            </w:pPr>
            <w:r>
              <w:rPr>
                <w:rFonts w:ascii="Arial" w:hAnsi="Arial" w:cs="Arial"/>
                <w:lang w:val="en-ZA"/>
              </w:rPr>
              <w:t xml:space="preserve"> </w:t>
            </w:r>
          </w:p>
          <w:p w:rsidR="00CC0AB6" w:rsidRPr="00CC0AB6" w:rsidRDefault="00CC0AB6" w:rsidP="00CC0AB6">
            <w:pPr>
              <w:rPr>
                <w:rFonts w:ascii="Arial" w:hAnsi="Arial" w:cs="Arial"/>
                <w:bCs/>
                <w:lang w:val="en-ZA"/>
              </w:rPr>
            </w:pPr>
            <w:r w:rsidRPr="00CC0AB6">
              <w:rPr>
                <w:rFonts w:ascii="Arial" w:hAnsi="Arial" w:cs="Arial"/>
                <w:bCs/>
                <w:lang w:val="en-ZA"/>
              </w:rPr>
              <w:t xml:space="preserve">Regarding the proposal in paragraph (d) of the previous column, for Chief Justice  or panel to designate one of the Divisions of the High Court with exclusive jurisdiction to deal with all international arbitration matters, the is not supported as it is in conflict with Schedule 1 of the Bill, article 6, where the division of the High Court with jurisdiction in a particular matter is clearly identified. </w:t>
            </w:r>
          </w:p>
          <w:p w:rsidR="00CC0AB6" w:rsidRPr="00B00B12" w:rsidRDefault="00CC0AB6" w:rsidP="00E679B8">
            <w:pPr>
              <w:rPr>
                <w:rFonts w:ascii="Arial" w:hAnsi="Arial" w:cs="Arial"/>
              </w:rPr>
            </w:pPr>
          </w:p>
        </w:tc>
      </w:tr>
    </w:tbl>
    <w:p w:rsidR="001C0F84" w:rsidRPr="005C12C2" w:rsidRDefault="001C0F84" w:rsidP="005C12C2">
      <w:pPr>
        <w:spacing w:line="240" w:lineRule="auto"/>
        <w:rPr>
          <w:rFonts w:ascii="Arial" w:hAnsi="Arial" w:cs="Arial"/>
        </w:rPr>
      </w:pPr>
    </w:p>
    <w:p w:rsidR="0083770B" w:rsidRDefault="0083770B">
      <w:pPr>
        <w:rPr>
          <w:rFonts w:ascii="Arial" w:hAnsi="Arial" w:cs="Arial"/>
          <w:b/>
          <w:lang w:val="en-GB"/>
        </w:rPr>
      </w:pPr>
      <w:r>
        <w:rPr>
          <w:rFonts w:ascii="Arial" w:hAnsi="Arial" w:cs="Arial"/>
          <w:b/>
          <w:lang w:val="en-GB"/>
        </w:rPr>
        <w:br w:type="page"/>
      </w:r>
    </w:p>
    <w:p w:rsidR="000F72EB" w:rsidRPr="000F72EB" w:rsidRDefault="000F72EB" w:rsidP="000F72EB">
      <w:pPr>
        <w:spacing w:line="240" w:lineRule="auto"/>
        <w:jc w:val="center"/>
        <w:rPr>
          <w:rFonts w:ascii="Arial" w:hAnsi="Arial" w:cs="Arial"/>
          <w:b/>
          <w:lang w:val="en-GB"/>
        </w:rPr>
      </w:pPr>
      <w:r w:rsidRPr="000F72EB">
        <w:rPr>
          <w:rFonts w:ascii="Arial" w:hAnsi="Arial" w:cs="Arial"/>
          <w:b/>
          <w:lang w:val="en-GB"/>
        </w:rPr>
        <w:lastRenderedPageBreak/>
        <w:t>TABLE</w:t>
      </w:r>
      <w:r w:rsidR="007A0777">
        <w:rPr>
          <w:rFonts w:ascii="Arial" w:hAnsi="Arial" w:cs="Arial"/>
          <w:b/>
          <w:lang w:val="en-GB"/>
        </w:rPr>
        <w:t>:</w:t>
      </w:r>
      <w:r w:rsidRPr="000F72EB">
        <w:rPr>
          <w:rFonts w:ascii="Arial" w:hAnsi="Arial" w:cs="Arial"/>
          <w:b/>
          <w:lang w:val="en-GB"/>
        </w:rPr>
        <w:t xml:space="preserve"> </w:t>
      </w:r>
      <w:r>
        <w:rPr>
          <w:rFonts w:ascii="Arial" w:hAnsi="Arial" w:cs="Arial"/>
          <w:b/>
          <w:lang w:val="en-GB"/>
        </w:rPr>
        <w:t>2</w:t>
      </w:r>
    </w:p>
    <w:p w:rsidR="000F72EB" w:rsidRPr="000F72EB" w:rsidRDefault="006F4D50" w:rsidP="00B00B12">
      <w:pPr>
        <w:spacing w:line="240" w:lineRule="auto"/>
        <w:jc w:val="center"/>
        <w:rPr>
          <w:rFonts w:ascii="Arial" w:hAnsi="Arial" w:cs="Arial"/>
          <w:b/>
          <w:lang w:val="en-GB"/>
        </w:rPr>
      </w:pPr>
      <w:r>
        <w:rPr>
          <w:rFonts w:ascii="Arial" w:hAnsi="Arial" w:cs="Arial"/>
          <w:b/>
          <w:lang w:val="en-GB"/>
        </w:rPr>
        <w:t>General comments</w:t>
      </w:r>
    </w:p>
    <w:tbl>
      <w:tblPr>
        <w:tblStyle w:val="TableGrid"/>
        <w:tblW w:w="0" w:type="auto"/>
        <w:tblCellMar>
          <w:left w:w="115" w:type="dxa"/>
          <w:right w:w="115" w:type="dxa"/>
        </w:tblCellMar>
        <w:tblLook w:val="04A0"/>
      </w:tblPr>
      <w:tblGrid>
        <w:gridCol w:w="1966"/>
        <w:gridCol w:w="1331"/>
        <w:gridCol w:w="6178"/>
        <w:gridCol w:w="3715"/>
      </w:tblGrid>
      <w:tr w:rsidR="007A0777" w:rsidRPr="000F72EB" w:rsidTr="00740F24">
        <w:trPr>
          <w:trHeight w:val="692"/>
          <w:tblHeader/>
        </w:trPr>
        <w:tc>
          <w:tcPr>
            <w:tcW w:w="0" w:type="auto"/>
          </w:tcPr>
          <w:p w:rsidR="000F72EB" w:rsidRPr="000F72EB" w:rsidRDefault="000F72EB" w:rsidP="000F72EB">
            <w:pPr>
              <w:spacing w:after="200"/>
              <w:rPr>
                <w:rFonts w:ascii="Arial" w:hAnsi="Arial" w:cs="Arial"/>
                <w:b/>
              </w:rPr>
            </w:pPr>
            <w:r w:rsidRPr="000F72EB">
              <w:rPr>
                <w:rFonts w:ascii="Arial" w:hAnsi="Arial" w:cs="Arial"/>
                <w:b/>
              </w:rPr>
              <w:t>CLAUSE/THEME</w:t>
            </w:r>
          </w:p>
        </w:tc>
        <w:tc>
          <w:tcPr>
            <w:tcW w:w="0" w:type="auto"/>
          </w:tcPr>
          <w:p w:rsidR="000F72EB" w:rsidRPr="000F72EB" w:rsidRDefault="000F72EB" w:rsidP="000F72EB">
            <w:pPr>
              <w:spacing w:after="200"/>
              <w:rPr>
                <w:rFonts w:ascii="Arial" w:hAnsi="Arial" w:cs="Arial"/>
                <w:b/>
              </w:rPr>
            </w:pPr>
            <w:r w:rsidRPr="000F72EB">
              <w:rPr>
                <w:rFonts w:ascii="Arial" w:hAnsi="Arial" w:cs="Arial"/>
                <w:b/>
              </w:rPr>
              <w:t>NAME</w:t>
            </w:r>
          </w:p>
        </w:tc>
        <w:tc>
          <w:tcPr>
            <w:tcW w:w="6178" w:type="dxa"/>
          </w:tcPr>
          <w:p w:rsidR="000F72EB" w:rsidRPr="000F72EB" w:rsidRDefault="000F72EB" w:rsidP="000F72EB">
            <w:pPr>
              <w:spacing w:after="200"/>
              <w:rPr>
                <w:rFonts w:ascii="Arial" w:hAnsi="Arial" w:cs="Arial"/>
                <w:b/>
              </w:rPr>
            </w:pPr>
            <w:r w:rsidRPr="000F72EB">
              <w:rPr>
                <w:rFonts w:ascii="Arial" w:hAnsi="Arial" w:cs="Arial"/>
                <w:b/>
              </w:rPr>
              <w:t>SUBMISSION / RECOMMENDATION</w:t>
            </w:r>
          </w:p>
        </w:tc>
        <w:tc>
          <w:tcPr>
            <w:tcW w:w="3715" w:type="dxa"/>
          </w:tcPr>
          <w:p w:rsidR="000F72EB" w:rsidRPr="000F72EB" w:rsidRDefault="000F72EB" w:rsidP="000F72EB">
            <w:pPr>
              <w:spacing w:after="200"/>
              <w:rPr>
                <w:rFonts w:ascii="Arial" w:hAnsi="Arial" w:cs="Arial"/>
                <w:b/>
              </w:rPr>
            </w:pPr>
            <w:r w:rsidRPr="000F72EB">
              <w:rPr>
                <w:rFonts w:ascii="Arial" w:hAnsi="Arial" w:cs="Arial"/>
                <w:b/>
              </w:rPr>
              <w:t>DOJCD RESPONSE</w:t>
            </w:r>
          </w:p>
          <w:p w:rsidR="000F72EB" w:rsidRPr="000F72EB" w:rsidRDefault="000F72EB" w:rsidP="000F72EB">
            <w:pPr>
              <w:spacing w:after="200"/>
              <w:rPr>
                <w:rFonts w:ascii="Arial" w:hAnsi="Arial" w:cs="Arial"/>
                <w:b/>
              </w:rPr>
            </w:pPr>
          </w:p>
        </w:tc>
      </w:tr>
      <w:tr w:rsidR="007A0777" w:rsidRPr="000F72EB" w:rsidTr="00740F24">
        <w:trPr>
          <w:trHeight w:val="570"/>
        </w:trPr>
        <w:tc>
          <w:tcPr>
            <w:tcW w:w="0" w:type="auto"/>
          </w:tcPr>
          <w:p w:rsidR="000F72EB" w:rsidRPr="000F72EB" w:rsidRDefault="000F72EB" w:rsidP="009124B0">
            <w:pPr>
              <w:rPr>
                <w:rFonts w:ascii="Arial" w:hAnsi="Arial" w:cs="Arial"/>
              </w:rPr>
            </w:pPr>
          </w:p>
        </w:tc>
        <w:tc>
          <w:tcPr>
            <w:tcW w:w="0" w:type="auto"/>
          </w:tcPr>
          <w:p w:rsidR="000F72EB" w:rsidRDefault="00740F24" w:rsidP="009124B0">
            <w:pPr>
              <w:spacing w:after="200"/>
              <w:rPr>
                <w:rFonts w:ascii="Arial" w:hAnsi="Arial" w:cs="Arial"/>
              </w:rPr>
            </w:pPr>
            <w:r>
              <w:rPr>
                <w:rFonts w:ascii="Arial" w:hAnsi="Arial" w:cs="Arial"/>
              </w:rPr>
              <w:t xml:space="preserve">1.  </w:t>
            </w:r>
            <w:r w:rsidR="007A0777">
              <w:rPr>
                <w:rFonts w:ascii="Arial" w:hAnsi="Arial" w:cs="Arial"/>
              </w:rPr>
              <w:t>The Arbitration Foundation of Southern Africa (AFSA)</w:t>
            </w:r>
          </w:p>
          <w:p w:rsidR="00AB488F" w:rsidRPr="000F72EB" w:rsidRDefault="00740F24" w:rsidP="009124B0">
            <w:pPr>
              <w:spacing w:after="200"/>
              <w:rPr>
                <w:rFonts w:ascii="Arial" w:hAnsi="Arial" w:cs="Arial"/>
              </w:rPr>
            </w:pPr>
            <w:r>
              <w:rPr>
                <w:rFonts w:ascii="Arial" w:hAnsi="Arial" w:cs="Arial"/>
              </w:rPr>
              <w:t xml:space="preserve">2.  </w:t>
            </w:r>
            <w:r w:rsidR="00AB488F">
              <w:rPr>
                <w:rFonts w:ascii="Arial" w:hAnsi="Arial" w:cs="Arial"/>
              </w:rPr>
              <w:t>SASOL</w:t>
            </w:r>
          </w:p>
        </w:tc>
        <w:tc>
          <w:tcPr>
            <w:tcW w:w="6178" w:type="dxa"/>
          </w:tcPr>
          <w:p w:rsidR="000F72EB" w:rsidRDefault="007A0777" w:rsidP="009124B0">
            <w:pPr>
              <w:rPr>
                <w:rFonts w:ascii="Arial" w:hAnsi="Arial" w:cs="Arial"/>
              </w:rPr>
            </w:pPr>
            <w:r>
              <w:rPr>
                <w:rFonts w:ascii="Arial" w:hAnsi="Arial" w:cs="Arial"/>
              </w:rPr>
              <w:t>1.  Bill matches international best standards.</w:t>
            </w:r>
          </w:p>
          <w:p w:rsidR="00E650A0" w:rsidRDefault="00E650A0" w:rsidP="009124B0">
            <w:pPr>
              <w:rPr>
                <w:rFonts w:ascii="Arial" w:hAnsi="Arial" w:cs="Arial"/>
              </w:rPr>
            </w:pPr>
          </w:p>
          <w:p w:rsidR="007A0777" w:rsidRDefault="007A0777" w:rsidP="009124B0">
            <w:pPr>
              <w:rPr>
                <w:rFonts w:ascii="Arial" w:hAnsi="Arial" w:cs="Arial"/>
              </w:rPr>
            </w:pPr>
            <w:r>
              <w:rPr>
                <w:rFonts w:ascii="Arial" w:hAnsi="Arial" w:cs="Arial"/>
              </w:rPr>
              <w:t xml:space="preserve">2.  </w:t>
            </w:r>
            <w:r w:rsidR="00B00B12">
              <w:rPr>
                <w:rFonts w:ascii="Arial" w:hAnsi="Arial" w:cs="Arial"/>
              </w:rPr>
              <w:t>The e</w:t>
            </w:r>
            <w:r>
              <w:rPr>
                <w:rFonts w:ascii="Arial" w:hAnsi="Arial" w:cs="Arial"/>
              </w:rPr>
              <w:t>nactment of Bill will</w:t>
            </w:r>
            <w:r w:rsidR="00B00B12">
              <w:rPr>
                <w:rFonts w:ascii="Arial" w:hAnsi="Arial" w:cs="Arial"/>
              </w:rPr>
              <w:t xml:space="preserve"> </w:t>
            </w:r>
            <w:r w:rsidR="00725800">
              <w:rPr>
                <w:rFonts w:ascii="Arial" w:hAnsi="Arial" w:cs="Arial"/>
              </w:rPr>
              <w:t>-</w:t>
            </w:r>
          </w:p>
          <w:p w:rsidR="007A0777" w:rsidRDefault="007A0777" w:rsidP="009124B0">
            <w:pPr>
              <w:rPr>
                <w:rFonts w:ascii="Arial" w:hAnsi="Arial" w:cs="Arial"/>
              </w:rPr>
            </w:pPr>
            <w:r>
              <w:rPr>
                <w:rFonts w:ascii="Arial" w:hAnsi="Arial" w:cs="Arial"/>
              </w:rPr>
              <w:t>(a)</w:t>
            </w:r>
            <w:r w:rsidR="00B00B12">
              <w:rPr>
                <w:rFonts w:ascii="Arial" w:hAnsi="Arial" w:cs="Arial"/>
              </w:rPr>
              <w:tab/>
            </w:r>
            <w:r>
              <w:rPr>
                <w:rFonts w:ascii="Arial" w:hAnsi="Arial" w:cs="Arial"/>
              </w:rPr>
              <w:t xml:space="preserve">make South Africa an attractive destination for the </w:t>
            </w:r>
            <w:r w:rsidR="00B00B12">
              <w:rPr>
                <w:rFonts w:ascii="Arial" w:hAnsi="Arial" w:cs="Arial"/>
              </w:rPr>
              <w:tab/>
            </w:r>
            <w:r>
              <w:rPr>
                <w:rFonts w:ascii="Arial" w:hAnsi="Arial" w:cs="Arial"/>
              </w:rPr>
              <w:t>resolution of cross-border disputes;</w:t>
            </w:r>
          </w:p>
          <w:p w:rsidR="007A0777" w:rsidRPr="000F72EB" w:rsidRDefault="007A0777" w:rsidP="00B00B12">
            <w:pPr>
              <w:rPr>
                <w:rFonts w:ascii="Arial" w:hAnsi="Arial" w:cs="Arial"/>
              </w:rPr>
            </w:pPr>
            <w:r>
              <w:rPr>
                <w:rFonts w:ascii="Arial" w:hAnsi="Arial" w:cs="Arial"/>
              </w:rPr>
              <w:t>(b)</w:t>
            </w:r>
            <w:r w:rsidR="00B00B12">
              <w:rPr>
                <w:rFonts w:ascii="Arial" w:hAnsi="Arial" w:cs="Arial"/>
              </w:rPr>
              <w:tab/>
            </w:r>
            <w:r>
              <w:rPr>
                <w:rFonts w:ascii="Arial" w:hAnsi="Arial" w:cs="Arial"/>
              </w:rPr>
              <w:t xml:space="preserve">have a significant impact in enhancing trade and </w:t>
            </w:r>
            <w:r w:rsidR="00B00B12">
              <w:rPr>
                <w:rFonts w:ascii="Arial" w:hAnsi="Arial" w:cs="Arial"/>
              </w:rPr>
              <w:tab/>
            </w:r>
            <w:r>
              <w:rPr>
                <w:rFonts w:ascii="Arial" w:hAnsi="Arial" w:cs="Arial"/>
              </w:rPr>
              <w:t xml:space="preserve">investment in </w:t>
            </w:r>
            <w:r w:rsidRPr="007A0777">
              <w:rPr>
                <w:rFonts w:ascii="Arial" w:hAnsi="Arial" w:cs="Arial"/>
              </w:rPr>
              <w:t>South Africa</w:t>
            </w:r>
            <w:r w:rsidR="00B00B12">
              <w:rPr>
                <w:rFonts w:ascii="Arial" w:hAnsi="Arial" w:cs="Arial"/>
              </w:rPr>
              <w:t>.</w:t>
            </w:r>
          </w:p>
        </w:tc>
        <w:tc>
          <w:tcPr>
            <w:tcW w:w="3715" w:type="dxa"/>
          </w:tcPr>
          <w:p w:rsidR="00E650A0" w:rsidRDefault="00E650A0" w:rsidP="009124B0">
            <w:pPr>
              <w:spacing w:after="200"/>
              <w:rPr>
                <w:rFonts w:ascii="Arial" w:hAnsi="Arial" w:cs="Arial"/>
              </w:rPr>
            </w:pPr>
            <w:r w:rsidRPr="00E650A0">
              <w:rPr>
                <w:rFonts w:ascii="Arial" w:hAnsi="Arial" w:cs="Arial"/>
              </w:rPr>
              <w:t xml:space="preserve">Noted </w:t>
            </w:r>
          </w:p>
          <w:p w:rsidR="00E650A0" w:rsidRPr="000F72EB" w:rsidRDefault="00E650A0" w:rsidP="009124B0">
            <w:pPr>
              <w:spacing w:after="200"/>
              <w:rPr>
                <w:rFonts w:ascii="Arial" w:hAnsi="Arial" w:cs="Arial"/>
              </w:rPr>
            </w:pPr>
            <w:r w:rsidRPr="00E650A0">
              <w:rPr>
                <w:rFonts w:ascii="Arial" w:hAnsi="Arial" w:cs="Arial"/>
              </w:rPr>
              <w:t>Noted</w:t>
            </w:r>
          </w:p>
        </w:tc>
      </w:tr>
      <w:tr w:rsidR="000D61C5" w:rsidRPr="000F72EB" w:rsidTr="00740F24">
        <w:trPr>
          <w:trHeight w:val="530"/>
        </w:trPr>
        <w:tc>
          <w:tcPr>
            <w:tcW w:w="0" w:type="auto"/>
          </w:tcPr>
          <w:p w:rsidR="000F72EB" w:rsidRPr="000F72EB" w:rsidRDefault="000F72EB" w:rsidP="009124B0">
            <w:pPr>
              <w:spacing w:after="200"/>
              <w:rPr>
                <w:rFonts w:ascii="Arial" w:hAnsi="Arial" w:cs="Arial"/>
              </w:rPr>
            </w:pPr>
          </w:p>
          <w:p w:rsidR="000F72EB" w:rsidRPr="000F72EB" w:rsidRDefault="000F72EB" w:rsidP="009124B0">
            <w:pPr>
              <w:spacing w:after="200"/>
              <w:rPr>
                <w:rFonts w:ascii="Arial" w:hAnsi="Arial" w:cs="Arial"/>
              </w:rPr>
            </w:pPr>
          </w:p>
        </w:tc>
        <w:tc>
          <w:tcPr>
            <w:tcW w:w="0" w:type="auto"/>
          </w:tcPr>
          <w:p w:rsidR="000F72EB" w:rsidRPr="000F72EB" w:rsidRDefault="007A0777" w:rsidP="009124B0">
            <w:pPr>
              <w:spacing w:after="200"/>
              <w:rPr>
                <w:rFonts w:ascii="Arial" w:hAnsi="Arial" w:cs="Arial"/>
              </w:rPr>
            </w:pPr>
            <w:r>
              <w:rPr>
                <w:rFonts w:ascii="Arial" w:hAnsi="Arial" w:cs="Arial"/>
              </w:rPr>
              <w:t>China Africa Joint Arbitration Centre (CAJAC)</w:t>
            </w:r>
          </w:p>
        </w:tc>
        <w:tc>
          <w:tcPr>
            <w:tcW w:w="6178" w:type="dxa"/>
          </w:tcPr>
          <w:p w:rsidR="000F72EB" w:rsidRPr="000F72EB" w:rsidRDefault="00AB488F" w:rsidP="009124B0">
            <w:pPr>
              <w:rPr>
                <w:rFonts w:ascii="Arial" w:hAnsi="Arial" w:cs="Arial"/>
              </w:rPr>
            </w:pPr>
            <w:r>
              <w:rPr>
                <w:rFonts w:ascii="Arial" w:hAnsi="Arial" w:cs="Arial"/>
              </w:rPr>
              <w:t xml:space="preserve">There is a pressing need for international arbitration legislation in order to bring South Africa into line with other Model Law jurisdictions, thereby enhancing </w:t>
            </w:r>
            <w:r w:rsidRPr="00AB488F">
              <w:rPr>
                <w:rFonts w:ascii="Arial" w:hAnsi="Arial" w:cs="Arial"/>
              </w:rPr>
              <w:t>South Africa</w:t>
            </w:r>
            <w:r>
              <w:rPr>
                <w:rFonts w:ascii="Arial" w:hAnsi="Arial" w:cs="Arial"/>
              </w:rPr>
              <w:t xml:space="preserve"> as an </w:t>
            </w:r>
            <w:r w:rsidRPr="00AB488F">
              <w:rPr>
                <w:rFonts w:ascii="Arial" w:hAnsi="Arial" w:cs="Arial"/>
              </w:rPr>
              <w:t>international arbitration</w:t>
            </w:r>
            <w:r>
              <w:rPr>
                <w:rFonts w:ascii="Arial" w:hAnsi="Arial" w:cs="Arial"/>
              </w:rPr>
              <w:t xml:space="preserve"> destination.  </w:t>
            </w:r>
            <w:r w:rsidR="009A6BCF">
              <w:rPr>
                <w:rFonts w:ascii="Arial" w:hAnsi="Arial" w:cs="Arial"/>
              </w:rPr>
              <w:t xml:space="preserve">The </w:t>
            </w:r>
            <w:r>
              <w:rPr>
                <w:rFonts w:ascii="Arial" w:hAnsi="Arial" w:cs="Arial"/>
              </w:rPr>
              <w:t>Bill is supported.</w:t>
            </w:r>
          </w:p>
        </w:tc>
        <w:tc>
          <w:tcPr>
            <w:tcW w:w="3715" w:type="dxa"/>
          </w:tcPr>
          <w:p w:rsidR="000F72EB" w:rsidRPr="000F72EB" w:rsidRDefault="00E650A0" w:rsidP="009124B0">
            <w:pPr>
              <w:spacing w:after="200"/>
              <w:rPr>
                <w:rFonts w:ascii="Arial" w:hAnsi="Arial" w:cs="Arial"/>
              </w:rPr>
            </w:pPr>
            <w:r w:rsidRPr="00E650A0">
              <w:rPr>
                <w:rFonts w:ascii="Arial" w:hAnsi="Arial" w:cs="Arial"/>
              </w:rPr>
              <w:t>Noted</w:t>
            </w:r>
          </w:p>
        </w:tc>
      </w:tr>
      <w:tr w:rsidR="007A0777" w:rsidRPr="000F72EB" w:rsidTr="00740F24">
        <w:trPr>
          <w:trHeight w:val="301"/>
        </w:trPr>
        <w:tc>
          <w:tcPr>
            <w:tcW w:w="0" w:type="auto"/>
          </w:tcPr>
          <w:p w:rsidR="000F72EB" w:rsidRPr="000F72EB" w:rsidRDefault="000F72EB" w:rsidP="009124B0">
            <w:pPr>
              <w:spacing w:after="200"/>
              <w:rPr>
                <w:rFonts w:ascii="Arial" w:hAnsi="Arial" w:cs="Arial"/>
              </w:rPr>
            </w:pPr>
          </w:p>
        </w:tc>
        <w:tc>
          <w:tcPr>
            <w:tcW w:w="0" w:type="auto"/>
          </w:tcPr>
          <w:p w:rsidR="000F72EB" w:rsidRPr="000F72EB" w:rsidRDefault="000D61C5" w:rsidP="009124B0">
            <w:pPr>
              <w:spacing w:after="200"/>
              <w:rPr>
                <w:rFonts w:ascii="Arial" w:hAnsi="Arial" w:cs="Arial"/>
              </w:rPr>
            </w:pPr>
            <w:r>
              <w:rPr>
                <w:rFonts w:ascii="Arial" w:hAnsi="Arial" w:cs="Arial"/>
              </w:rPr>
              <w:t>SASOL</w:t>
            </w:r>
          </w:p>
        </w:tc>
        <w:tc>
          <w:tcPr>
            <w:tcW w:w="6178" w:type="dxa"/>
          </w:tcPr>
          <w:p w:rsidR="000F72EB" w:rsidRPr="000F72EB" w:rsidRDefault="000D61C5" w:rsidP="009124B0">
            <w:pPr>
              <w:spacing w:after="200"/>
              <w:rPr>
                <w:rFonts w:ascii="Arial" w:hAnsi="Arial" w:cs="Arial"/>
              </w:rPr>
            </w:pPr>
            <w:r w:rsidRPr="000D61C5">
              <w:rPr>
                <w:rFonts w:ascii="Arial" w:hAnsi="Arial" w:cs="Arial"/>
              </w:rPr>
              <w:t>Bill will promote South Africa as a venue of choice during contract negotiations.</w:t>
            </w:r>
          </w:p>
        </w:tc>
        <w:tc>
          <w:tcPr>
            <w:tcW w:w="3715" w:type="dxa"/>
          </w:tcPr>
          <w:p w:rsidR="000F72EB" w:rsidRPr="000F72EB" w:rsidRDefault="00E650A0" w:rsidP="009124B0">
            <w:pPr>
              <w:spacing w:after="200"/>
              <w:rPr>
                <w:rFonts w:ascii="Arial" w:hAnsi="Arial" w:cs="Arial"/>
              </w:rPr>
            </w:pPr>
            <w:r w:rsidRPr="00E650A0">
              <w:rPr>
                <w:rFonts w:ascii="Arial" w:hAnsi="Arial" w:cs="Arial"/>
              </w:rPr>
              <w:t>Noted</w:t>
            </w:r>
          </w:p>
        </w:tc>
      </w:tr>
      <w:tr w:rsidR="00725800" w:rsidRPr="000F72EB" w:rsidTr="00740F24">
        <w:trPr>
          <w:trHeight w:val="301"/>
        </w:trPr>
        <w:tc>
          <w:tcPr>
            <w:tcW w:w="0" w:type="auto"/>
          </w:tcPr>
          <w:p w:rsidR="00725800" w:rsidRPr="000F72EB" w:rsidRDefault="00725800" w:rsidP="009124B0">
            <w:pPr>
              <w:rPr>
                <w:rFonts w:ascii="Arial" w:hAnsi="Arial" w:cs="Arial"/>
              </w:rPr>
            </w:pPr>
          </w:p>
        </w:tc>
        <w:tc>
          <w:tcPr>
            <w:tcW w:w="0" w:type="auto"/>
          </w:tcPr>
          <w:p w:rsidR="00725800" w:rsidRDefault="00725800" w:rsidP="009124B0">
            <w:pPr>
              <w:rPr>
                <w:rFonts w:ascii="Arial" w:hAnsi="Arial" w:cs="Arial"/>
              </w:rPr>
            </w:pPr>
            <w:r>
              <w:rPr>
                <w:rFonts w:ascii="Arial" w:hAnsi="Arial" w:cs="Arial"/>
              </w:rPr>
              <w:t>CIArb</w:t>
            </w:r>
          </w:p>
        </w:tc>
        <w:tc>
          <w:tcPr>
            <w:tcW w:w="6178" w:type="dxa"/>
          </w:tcPr>
          <w:p w:rsidR="00725800" w:rsidRPr="000D61C5" w:rsidRDefault="001E1AA2" w:rsidP="009124B0">
            <w:pPr>
              <w:rPr>
                <w:rFonts w:ascii="Arial" w:hAnsi="Arial" w:cs="Arial"/>
              </w:rPr>
            </w:pPr>
            <w:r>
              <w:rPr>
                <w:rFonts w:ascii="Arial" w:hAnsi="Arial" w:cs="Arial"/>
              </w:rPr>
              <w:t>Bill is supported</w:t>
            </w:r>
          </w:p>
        </w:tc>
        <w:tc>
          <w:tcPr>
            <w:tcW w:w="3715" w:type="dxa"/>
          </w:tcPr>
          <w:p w:rsidR="00725800" w:rsidRPr="000F72EB" w:rsidRDefault="00E650A0" w:rsidP="009124B0">
            <w:pPr>
              <w:rPr>
                <w:rFonts w:ascii="Arial" w:hAnsi="Arial" w:cs="Arial"/>
              </w:rPr>
            </w:pPr>
            <w:r w:rsidRPr="00E650A0">
              <w:rPr>
                <w:rFonts w:ascii="Arial" w:hAnsi="Arial" w:cs="Arial"/>
              </w:rPr>
              <w:t>Noted</w:t>
            </w:r>
          </w:p>
        </w:tc>
      </w:tr>
    </w:tbl>
    <w:p w:rsidR="000F72EB" w:rsidRPr="000F72EB" w:rsidRDefault="000F72EB" w:rsidP="000F72EB">
      <w:pPr>
        <w:spacing w:line="240" w:lineRule="auto"/>
        <w:rPr>
          <w:rFonts w:ascii="Arial" w:hAnsi="Arial" w:cs="Arial"/>
        </w:rPr>
      </w:pPr>
    </w:p>
    <w:p w:rsidR="00FE4072" w:rsidRPr="005C12C2" w:rsidRDefault="00FE4072" w:rsidP="005A5584">
      <w:pPr>
        <w:spacing w:line="240" w:lineRule="auto"/>
        <w:rPr>
          <w:rFonts w:ascii="Arial" w:hAnsi="Arial" w:cs="Arial"/>
        </w:rPr>
      </w:pPr>
    </w:p>
    <w:sectPr w:rsidR="00FE4072" w:rsidRPr="005C12C2" w:rsidSect="008235F3">
      <w:head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1F" w:rsidRDefault="0011591F" w:rsidP="008F5BAC">
      <w:pPr>
        <w:spacing w:after="0" w:line="240" w:lineRule="auto"/>
      </w:pPr>
      <w:r>
        <w:separator/>
      </w:r>
    </w:p>
  </w:endnote>
  <w:endnote w:type="continuationSeparator" w:id="0">
    <w:p w:rsidR="0011591F" w:rsidRDefault="0011591F" w:rsidP="008F5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1F" w:rsidRDefault="0011591F" w:rsidP="008F5BAC">
      <w:pPr>
        <w:spacing w:after="0" w:line="240" w:lineRule="auto"/>
      </w:pPr>
      <w:r>
        <w:separator/>
      </w:r>
    </w:p>
  </w:footnote>
  <w:footnote w:type="continuationSeparator" w:id="0">
    <w:p w:rsidR="0011591F" w:rsidRDefault="0011591F" w:rsidP="008F5BAC">
      <w:pPr>
        <w:spacing w:after="0" w:line="240" w:lineRule="auto"/>
      </w:pPr>
      <w:r>
        <w:continuationSeparator/>
      </w:r>
    </w:p>
  </w:footnote>
  <w:footnote w:id="1">
    <w:p w:rsidR="00F51976" w:rsidRPr="005B7B39" w:rsidRDefault="00F51976" w:rsidP="00F51976">
      <w:pPr>
        <w:pStyle w:val="FootnoteText"/>
        <w:jc w:val="both"/>
        <w:rPr>
          <w:sz w:val="18"/>
          <w:szCs w:val="18"/>
        </w:rPr>
      </w:pPr>
      <w:r w:rsidRPr="005B7B39">
        <w:rPr>
          <w:rStyle w:val="FootnoteReference"/>
          <w:sz w:val="18"/>
          <w:szCs w:val="18"/>
        </w:rPr>
        <w:footnoteRef/>
      </w:r>
      <w:r w:rsidRPr="005B7B39">
        <w:rPr>
          <w:sz w:val="18"/>
          <w:szCs w:val="18"/>
        </w:rPr>
        <w:t xml:space="preserve"> </w:t>
      </w:r>
      <w:r w:rsidRPr="005B7B39">
        <w:rPr>
          <w:i/>
          <w:sz w:val="18"/>
          <w:szCs w:val="18"/>
        </w:rPr>
        <w:t>Jones v Krok</w:t>
      </w:r>
      <w:r w:rsidRPr="005B7B39">
        <w:rPr>
          <w:sz w:val="18"/>
          <w:szCs w:val="18"/>
        </w:rPr>
        <w:t xml:space="preserve"> (1996 (1) SA 504 (T) 515H-516E.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244078"/>
      <w:docPartObj>
        <w:docPartGallery w:val="Page Numbers (Top of Page)"/>
        <w:docPartUnique/>
      </w:docPartObj>
    </w:sdtPr>
    <w:sdtEndPr>
      <w:rPr>
        <w:noProof/>
      </w:rPr>
    </w:sdtEndPr>
    <w:sdtContent>
      <w:p w:rsidR="00A625F6" w:rsidRDefault="002E4C01">
        <w:pPr>
          <w:pStyle w:val="Header"/>
          <w:jc w:val="right"/>
        </w:pPr>
        <w:r>
          <w:fldChar w:fldCharType="begin"/>
        </w:r>
        <w:r w:rsidR="00A625F6">
          <w:instrText xml:space="preserve"> PAGE   \* MERGEFORMAT </w:instrText>
        </w:r>
        <w:r>
          <w:fldChar w:fldCharType="separate"/>
        </w:r>
        <w:r w:rsidR="00F27B1A">
          <w:rPr>
            <w:noProof/>
          </w:rPr>
          <w:t>1</w:t>
        </w:r>
        <w:r>
          <w:rPr>
            <w:noProof/>
          </w:rPr>
          <w:fldChar w:fldCharType="end"/>
        </w:r>
      </w:p>
    </w:sdtContent>
  </w:sdt>
  <w:p w:rsidR="00A625F6" w:rsidRDefault="00A62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92B56"/>
    <w:multiLevelType w:val="hybridMultilevel"/>
    <w:tmpl w:val="7B003F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F265A"/>
    <w:multiLevelType w:val="hybridMultilevel"/>
    <w:tmpl w:val="24F89A5E"/>
    <w:lvl w:ilvl="0" w:tplc="658C4D1A">
      <w:start w:val="1"/>
      <w:numFmt w:val="decimal"/>
      <w:lvlText w:val="%1."/>
      <w:lvlJc w:val="left"/>
      <w:pPr>
        <w:ind w:left="720" w:hanging="360"/>
      </w:pPr>
      <w:rPr>
        <w:rFonts w:hint="default"/>
        <w:b w:val="0"/>
        <w:i w:val="0"/>
      </w:rPr>
    </w:lvl>
    <w:lvl w:ilvl="1" w:tplc="8F1EFAE4">
      <w:start w:val="1"/>
      <w:numFmt w:val="lowerLetter"/>
      <w:lvlText w:val="(%2)"/>
      <w:lvlJc w:val="left"/>
      <w:pPr>
        <w:ind w:left="1440" w:hanging="360"/>
      </w:pPr>
      <w:rPr>
        <w:rFonts w:hint="default"/>
        <w:i/>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8C509B6"/>
    <w:multiLevelType w:val="hybridMultilevel"/>
    <w:tmpl w:val="4816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1379D"/>
    <w:multiLevelType w:val="hybridMultilevel"/>
    <w:tmpl w:val="941A0E36"/>
    <w:lvl w:ilvl="0" w:tplc="F84AC20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35F3"/>
    <w:rsid w:val="000036BA"/>
    <w:rsid w:val="00014105"/>
    <w:rsid w:val="00030633"/>
    <w:rsid w:val="00030A48"/>
    <w:rsid w:val="00030B8C"/>
    <w:rsid w:val="00031FD7"/>
    <w:rsid w:val="0003589E"/>
    <w:rsid w:val="000361C4"/>
    <w:rsid w:val="0004264E"/>
    <w:rsid w:val="000560AA"/>
    <w:rsid w:val="00063074"/>
    <w:rsid w:val="00064558"/>
    <w:rsid w:val="00064F37"/>
    <w:rsid w:val="00065F01"/>
    <w:rsid w:val="00067978"/>
    <w:rsid w:val="00070917"/>
    <w:rsid w:val="00077159"/>
    <w:rsid w:val="000932C0"/>
    <w:rsid w:val="00093390"/>
    <w:rsid w:val="000954B2"/>
    <w:rsid w:val="000A04B0"/>
    <w:rsid w:val="000A2F18"/>
    <w:rsid w:val="000A78BE"/>
    <w:rsid w:val="000A7983"/>
    <w:rsid w:val="000B11AF"/>
    <w:rsid w:val="000C6F2D"/>
    <w:rsid w:val="000D48ED"/>
    <w:rsid w:val="000D61C5"/>
    <w:rsid w:val="000D737C"/>
    <w:rsid w:val="000E2196"/>
    <w:rsid w:val="000E25D8"/>
    <w:rsid w:val="000E534A"/>
    <w:rsid w:val="000E7E1D"/>
    <w:rsid w:val="000F02ED"/>
    <w:rsid w:val="000F1047"/>
    <w:rsid w:val="000F1836"/>
    <w:rsid w:val="000F5AA1"/>
    <w:rsid w:val="000F5F1E"/>
    <w:rsid w:val="000F72EB"/>
    <w:rsid w:val="00101D0B"/>
    <w:rsid w:val="0011591F"/>
    <w:rsid w:val="001202C7"/>
    <w:rsid w:val="001205C9"/>
    <w:rsid w:val="00121F94"/>
    <w:rsid w:val="0012626B"/>
    <w:rsid w:val="00133239"/>
    <w:rsid w:val="0014451B"/>
    <w:rsid w:val="00150504"/>
    <w:rsid w:val="00153C6B"/>
    <w:rsid w:val="001675BB"/>
    <w:rsid w:val="0017104B"/>
    <w:rsid w:val="00174889"/>
    <w:rsid w:val="001818C3"/>
    <w:rsid w:val="00183CDC"/>
    <w:rsid w:val="0018458A"/>
    <w:rsid w:val="001849D9"/>
    <w:rsid w:val="001953A2"/>
    <w:rsid w:val="00196128"/>
    <w:rsid w:val="001B08F1"/>
    <w:rsid w:val="001C0A1F"/>
    <w:rsid w:val="001C0BDE"/>
    <w:rsid w:val="001C0F84"/>
    <w:rsid w:val="001C1C11"/>
    <w:rsid w:val="001D55C5"/>
    <w:rsid w:val="001E1AA2"/>
    <w:rsid w:val="001E41D0"/>
    <w:rsid w:val="001F47DB"/>
    <w:rsid w:val="001F4C9E"/>
    <w:rsid w:val="002008BB"/>
    <w:rsid w:val="00201BF1"/>
    <w:rsid w:val="00214B66"/>
    <w:rsid w:val="002202F7"/>
    <w:rsid w:val="002210D3"/>
    <w:rsid w:val="0022231A"/>
    <w:rsid w:val="00223853"/>
    <w:rsid w:val="00225FE9"/>
    <w:rsid w:val="00226060"/>
    <w:rsid w:val="0022666A"/>
    <w:rsid w:val="00226971"/>
    <w:rsid w:val="00227C05"/>
    <w:rsid w:val="00233FCB"/>
    <w:rsid w:val="00235180"/>
    <w:rsid w:val="00235E3C"/>
    <w:rsid w:val="00242B7B"/>
    <w:rsid w:val="00250029"/>
    <w:rsid w:val="00253710"/>
    <w:rsid w:val="002537DF"/>
    <w:rsid w:val="00257D79"/>
    <w:rsid w:val="00263C95"/>
    <w:rsid w:val="002647FE"/>
    <w:rsid w:val="0027247D"/>
    <w:rsid w:val="002731E5"/>
    <w:rsid w:val="00275512"/>
    <w:rsid w:val="00280F86"/>
    <w:rsid w:val="00285742"/>
    <w:rsid w:val="00294734"/>
    <w:rsid w:val="002A55C6"/>
    <w:rsid w:val="002B1BC4"/>
    <w:rsid w:val="002B394B"/>
    <w:rsid w:val="002B70DA"/>
    <w:rsid w:val="002C18DD"/>
    <w:rsid w:val="002C1D02"/>
    <w:rsid w:val="002D262A"/>
    <w:rsid w:val="002D61CE"/>
    <w:rsid w:val="002E23C2"/>
    <w:rsid w:val="002E4C01"/>
    <w:rsid w:val="002E6C6F"/>
    <w:rsid w:val="002F69A5"/>
    <w:rsid w:val="002F712E"/>
    <w:rsid w:val="003040DC"/>
    <w:rsid w:val="003043C0"/>
    <w:rsid w:val="003048B1"/>
    <w:rsid w:val="00306F82"/>
    <w:rsid w:val="00322019"/>
    <w:rsid w:val="003255E6"/>
    <w:rsid w:val="003256D1"/>
    <w:rsid w:val="003342E6"/>
    <w:rsid w:val="00340805"/>
    <w:rsid w:val="00341197"/>
    <w:rsid w:val="00341882"/>
    <w:rsid w:val="00341F4D"/>
    <w:rsid w:val="0034315F"/>
    <w:rsid w:val="003526EB"/>
    <w:rsid w:val="00361331"/>
    <w:rsid w:val="003636FF"/>
    <w:rsid w:val="00363C8E"/>
    <w:rsid w:val="00363D2D"/>
    <w:rsid w:val="003671E7"/>
    <w:rsid w:val="0037495A"/>
    <w:rsid w:val="00374A68"/>
    <w:rsid w:val="00376356"/>
    <w:rsid w:val="0038036A"/>
    <w:rsid w:val="00381F08"/>
    <w:rsid w:val="00382A0F"/>
    <w:rsid w:val="003905F8"/>
    <w:rsid w:val="003A456C"/>
    <w:rsid w:val="003A661C"/>
    <w:rsid w:val="003B7466"/>
    <w:rsid w:val="003C058F"/>
    <w:rsid w:val="003C1DEE"/>
    <w:rsid w:val="003C3D14"/>
    <w:rsid w:val="003C3E51"/>
    <w:rsid w:val="003C6B0E"/>
    <w:rsid w:val="003C6C85"/>
    <w:rsid w:val="003C729C"/>
    <w:rsid w:val="003D3EEA"/>
    <w:rsid w:val="003E1CD3"/>
    <w:rsid w:val="003E3AA4"/>
    <w:rsid w:val="003F6654"/>
    <w:rsid w:val="003F796C"/>
    <w:rsid w:val="00407022"/>
    <w:rsid w:val="00410572"/>
    <w:rsid w:val="00414822"/>
    <w:rsid w:val="00414961"/>
    <w:rsid w:val="00415E18"/>
    <w:rsid w:val="004210C8"/>
    <w:rsid w:val="00423283"/>
    <w:rsid w:val="00424895"/>
    <w:rsid w:val="0042601E"/>
    <w:rsid w:val="00430449"/>
    <w:rsid w:val="004321F8"/>
    <w:rsid w:val="00434C95"/>
    <w:rsid w:val="00437DE4"/>
    <w:rsid w:val="0044219D"/>
    <w:rsid w:val="004424CD"/>
    <w:rsid w:val="00443A13"/>
    <w:rsid w:val="004445CE"/>
    <w:rsid w:val="004455CD"/>
    <w:rsid w:val="004456C0"/>
    <w:rsid w:val="00452069"/>
    <w:rsid w:val="00452F6D"/>
    <w:rsid w:val="004536CC"/>
    <w:rsid w:val="00460700"/>
    <w:rsid w:val="00461A31"/>
    <w:rsid w:val="00462CCC"/>
    <w:rsid w:val="00463CC7"/>
    <w:rsid w:val="00467946"/>
    <w:rsid w:val="004707F0"/>
    <w:rsid w:val="00473511"/>
    <w:rsid w:val="004804E5"/>
    <w:rsid w:val="0048681D"/>
    <w:rsid w:val="0048699E"/>
    <w:rsid w:val="004903F2"/>
    <w:rsid w:val="0049552D"/>
    <w:rsid w:val="004A0F72"/>
    <w:rsid w:val="004A2569"/>
    <w:rsid w:val="004A2BBE"/>
    <w:rsid w:val="004A3481"/>
    <w:rsid w:val="004A76B4"/>
    <w:rsid w:val="004B0A3C"/>
    <w:rsid w:val="004B2BB2"/>
    <w:rsid w:val="004B4C7B"/>
    <w:rsid w:val="004C44F9"/>
    <w:rsid w:val="004C658F"/>
    <w:rsid w:val="004D5298"/>
    <w:rsid w:val="004D53CE"/>
    <w:rsid w:val="004D5D9D"/>
    <w:rsid w:val="004D6402"/>
    <w:rsid w:val="004E4E77"/>
    <w:rsid w:val="004F5FC3"/>
    <w:rsid w:val="00502E4E"/>
    <w:rsid w:val="00506027"/>
    <w:rsid w:val="00513444"/>
    <w:rsid w:val="00513B85"/>
    <w:rsid w:val="00514304"/>
    <w:rsid w:val="005160A4"/>
    <w:rsid w:val="005261B6"/>
    <w:rsid w:val="00527415"/>
    <w:rsid w:val="005339B7"/>
    <w:rsid w:val="0053583A"/>
    <w:rsid w:val="0054001B"/>
    <w:rsid w:val="00542026"/>
    <w:rsid w:val="0054264D"/>
    <w:rsid w:val="00543F41"/>
    <w:rsid w:val="0055060C"/>
    <w:rsid w:val="00554CF3"/>
    <w:rsid w:val="00557254"/>
    <w:rsid w:val="005613CC"/>
    <w:rsid w:val="00563E8F"/>
    <w:rsid w:val="00564746"/>
    <w:rsid w:val="00564C88"/>
    <w:rsid w:val="00566CCC"/>
    <w:rsid w:val="005703BE"/>
    <w:rsid w:val="00574571"/>
    <w:rsid w:val="00581E39"/>
    <w:rsid w:val="00582FDF"/>
    <w:rsid w:val="00583537"/>
    <w:rsid w:val="00583BDF"/>
    <w:rsid w:val="005A5584"/>
    <w:rsid w:val="005B2379"/>
    <w:rsid w:val="005B5730"/>
    <w:rsid w:val="005C12C2"/>
    <w:rsid w:val="005C387B"/>
    <w:rsid w:val="005C58A1"/>
    <w:rsid w:val="005C67F5"/>
    <w:rsid w:val="005D2142"/>
    <w:rsid w:val="005E1331"/>
    <w:rsid w:val="005E5465"/>
    <w:rsid w:val="005E57F6"/>
    <w:rsid w:val="005E6FA8"/>
    <w:rsid w:val="005E7AD8"/>
    <w:rsid w:val="005F4C03"/>
    <w:rsid w:val="00612FB7"/>
    <w:rsid w:val="006147C0"/>
    <w:rsid w:val="00615B04"/>
    <w:rsid w:val="006340A3"/>
    <w:rsid w:val="00636A30"/>
    <w:rsid w:val="00646CB6"/>
    <w:rsid w:val="00651727"/>
    <w:rsid w:val="00652540"/>
    <w:rsid w:val="0065359A"/>
    <w:rsid w:val="0066179C"/>
    <w:rsid w:val="00663B9B"/>
    <w:rsid w:val="00664E29"/>
    <w:rsid w:val="00664F53"/>
    <w:rsid w:val="00673E8F"/>
    <w:rsid w:val="006750A4"/>
    <w:rsid w:val="00683B38"/>
    <w:rsid w:val="0068559C"/>
    <w:rsid w:val="006974D5"/>
    <w:rsid w:val="006A01B2"/>
    <w:rsid w:val="006A2E0D"/>
    <w:rsid w:val="006A6A83"/>
    <w:rsid w:val="006B0761"/>
    <w:rsid w:val="006B0E9B"/>
    <w:rsid w:val="006B0FC7"/>
    <w:rsid w:val="006B4642"/>
    <w:rsid w:val="006B5F91"/>
    <w:rsid w:val="006B7649"/>
    <w:rsid w:val="006C40BE"/>
    <w:rsid w:val="006E4066"/>
    <w:rsid w:val="006E545E"/>
    <w:rsid w:val="006E5E6C"/>
    <w:rsid w:val="006E6723"/>
    <w:rsid w:val="006F0C28"/>
    <w:rsid w:val="006F23CA"/>
    <w:rsid w:val="006F3E46"/>
    <w:rsid w:val="006F4D50"/>
    <w:rsid w:val="006F61E3"/>
    <w:rsid w:val="00706C33"/>
    <w:rsid w:val="00707904"/>
    <w:rsid w:val="007113A2"/>
    <w:rsid w:val="0072004C"/>
    <w:rsid w:val="00724BC1"/>
    <w:rsid w:val="00725800"/>
    <w:rsid w:val="00725851"/>
    <w:rsid w:val="007275DB"/>
    <w:rsid w:val="00733AEC"/>
    <w:rsid w:val="00734A10"/>
    <w:rsid w:val="007364F7"/>
    <w:rsid w:val="00740F24"/>
    <w:rsid w:val="0074276C"/>
    <w:rsid w:val="007561E3"/>
    <w:rsid w:val="00762568"/>
    <w:rsid w:val="007640AF"/>
    <w:rsid w:val="00771912"/>
    <w:rsid w:val="007750A6"/>
    <w:rsid w:val="007905DC"/>
    <w:rsid w:val="00793031"/>
    <w:rsid w:val="007A0777"/>
    <w:rsid w:val="007A452B"/>
    <w:rsid w:val="007A5765"/>
    <w:rsid w:val="007A643E"/>
    <w:rsid w:val="007A7EA1"/>
    <w:rsid w:val="007B2B41"/>
    <w:rsid w:val="007B560F"/>
    <w:rsid w:val="007B5B06"/>
    <w:rsid w:val="007C2015"/>
    <w:rsid w:val="007C42D6"/>
    <w:rsid w:val="007C5100"/>
    <w:rsid w:val="007C615B"/>
    <w:rsid w:val="007C7CAC"/>
    <w:rsid w:val="007E09AE"/>
    <w:rsid w:val="007E0EE6"/>
    <w:rsid w:val="007E67DB"/>
    <w:rsid w:val="007F0D41"/>
    <w:rsid w:val="007F60E0"/>
    <w:rsid w:val="00800D91"/>
    <w:rsid w:val="0081401B"/>
    <w:rsid w:val="008235F3"/>
    <w:rsid w:val="00832DE3"/>
    <w:rsid w:val="0083770B"/>
    <w:rsid w:val="008458FA"/>
    <w:rsid w:val="00850849"/>
    <w:rsid w:val="00862298"/>
    <w:rsid w:val="0087491F"/>
    <w:rsid w:val="0087542D"/>
    <w:rsid w:val="0088006D"/>
    <w:rsid w:val="00882B16"/>
    <w:rsid w:val="00885604"/>
    <w:rsid w:val="0088564D"/>
    <w:rsid w:val="008967AA"/>
    <w:rsid w:val="008A2143"/>
    <w:rsid w:val="008B017B"/>
    <w:rsid w:val="008B764F"/>
    <w:rsid w:val="008B7B72"/>
    <w:rsid w:val="008C7E94"/>
    <w:rsid w:val="008D2B22"/>
    <w:rsid w:val="008E158D"/>
    <w:rsid w:val="008E173C"/>
    <w:rsid w:val="008E52EC"/>
    <w:rsid w:val="008E673F"/>
    <w:rsid w:val="008E767E"/>
    <w:rsid w:val="008F283D"/>
    <w:rsid w:val="008F5BAC"/>
    <w:rsid w:val="00904AC5"/>
    <w:rsid w:val="009056C4"/>
    <w:rsid w:val="00911037"/>
    <w:rsid w:val="00912109"/>
    <w:rsid w:val="009124B0"/>
    <w:rsid w:val="009237B9"/>
    <w:rsid w:val="00924FC7"/>
    <w:rsid w:val="0093434C"/>
    <w:rsid w:val="00936E18"/>
    <w:rsid w:val="00940AF4"/>
    <w:rsid w:val="00940BE6"/>
    <w:rsid w:val="0094100C"/>
    <w:rsid w:val="00942B48"/>
    <w:rsid w:val="00943AA4"/>
    <w:rsid w:val="00954C98"/>
    <w:rsid w:val="0095602A"/>
    <w:rsid w:val="00961389"/>
    <w:rsid w:val="00962B58"/>
    <w:rsid w:val="00963E2E"/>
    <w:rsid w:val="00964E2D"/>
    <w:rsid w:val="009654ED"/>
    <w:rsid w:val="00967FB1"/>
    <w:rsid w:val="009712E2"/>
    <w:rsid w:val="009729C9"/>
    <w:rsid w:val="0097445B"/>
    <w:rsid w:val="009804E0"/>
    <w:rsid w:val="0098617C"/>
    <w:rsid w:val="00994E7A"/>
    <w:rsid w:val="00995915"/>
    <w:rsid w:val="009A08B4"/>
    <w:rsid w:val="009A4965"/>
    <w:rsid w:val="009A4B7A"/>
    <w:rsid w:val="009A6BCF"/>
    <w:rsid w:val="009B4BE8"/>
    <w:rsid w:val="009B68A8"/>
    <w:rsid w:val="009C146B"/>
    <w:rsid w:val="009C4CC7"/>
    <w:rsid w:val="009C5EF7"/>
    <w:rsid w:val="009C6863"/>
    <w:rsid w:val="009E0EFE"/>
    <w:rsid w:val="009E1F49"/>
    <w:rsid w:val="009E5BAF"/>
    <w:rsid w:val="009E64E7"/>
    <w:rsid w:val="009F1296"/>
    <w:rsid w:val="009F4CBD"/>
    <w:rsid w:val="009F5E28"/>
    <w:rsid w:val="00A04B71"/>
    <w:rsid w:val="00A054FE"/>
    <w:rsid w:val="00A060AC"/>
    <w:rsid w:val="00A07D64"/>
    <w:rsid w:val="00A11DB0"/>
    <w:rsid w:val="00A13D75"/>
    <w:rsid w:val="00A159F0"/>
    <w:rsid w:val="00A253C3"/>
    <w:rsid w:val="00A32D4B"/>
    <w:rsid w:val="00A34FDC"/>
    <w:rsid w:val="00A362C9"/>
    <w:rsid w:val="00A4023F"/>
    <w:rsid w:val="00A4039A"/>
    <w:rsid w:val="00A45425"/>
    <w:rsid w:val="00A507B4"/>
    <w:rsid w:val="00A5134C"/>
    <w:rsid w:val="00A54277"/>
    <w:rsid w:val="00A55199"/>
    <w:rsid w:val="00A5641C"/>
    <w:rsid w:val="00A60FBB"/>
    <w:rsid w:val="00A625F6"/>
    <w:rsid w:val="00A656C9"/>
    <w:rsid w:val="00A74C4F"/>
    <w:rsid w:val="00A87DE2"/>
    <w:rsid w:val="00A90261"/>
    <w:rsid w:val="00A90B35"/>
    <w:rsid w:val="00A91340"/>
    <w:rsid w:val="00A91946"/>
    <w:rsid w:val="00A930E5"/>
    <w:rsid w:val="00A96AF2"/>
    <w:rsid w:val="00A97752"/>
    <w:rsid w:val="00A977E2"/>
    <w:rsid w:val="00AA0DD3"/>
    <w:rsid w:val="00AA18F7"/>
    <w:rsid w:val="00AA27F7"/>
    <w:rsid w:val="00AA4593"/>
    <w:rsid w:val="00AB23D8"/>
    <w:rsid w:val="00AB25E5"/>
    <w:rsid w:val="00AB2847"/>
    <w:rsid w:val="00AB40A7"/>
    <w:rsid w:val="00AB488F"/>
    <w:rsid w:val="00AB5EE0"/>
    <w:rsid w:val="00AC215A"/>
    <w:rsid w:val="00AC26F1"/>
    <w:rsid w:val="00AC3F37"/>
    <w:rsid w:val="00AC4E16"/>
    <w:rsid w:val="00AC5E49"/>
    <w:rsid w:val="00AE1A47"/>
    <w:rsid w:val="00AE284C"/>
    <w:rsid w:val="00AE3A1A"/>
    <w:rsid w:val="00B00B12"/>
    <w:rsid w:val="00B0398E"/>
    <w:rsid w:val="00B03B79"/>
    <w:rsid w:val="00B053A9"/>
    <w:rsid w:val="00B110CC"/>
    <w:rsid w:val="00B21E68"/>
    <w:rsid w:val="00B23BB5"/>
    <w:rsid w:val="00B26954"/>
    <w:rsid w:val="00B2741C"/>
    <w:rsid w:val="00B3311B"/>
    <w:rsid w:val="00B33F43"/>
    <w:rsid w:val="00B34879"/>
    <w:rsid w:val="00B35F06"/>
    <w:rsid w:val="00B4000F"/>
    <w:rsid w:val="00B50B39"/>
    <w:rsid w:val="00B52528"/>
    <w:rsid w:val="00B65699"/>
    <w:rsid w:val="00B65918"/>
    <w:rsid w:val="00B71BE4"/>
    <w:rsid w:val="00B72DFF"/>
    <w:rsid w:val="00B74E99"/>
    <w:rsid w:val="00B760DB"/>
    <w:rsid w:val="00B80B2E"/>
    <w:rsid w:val="00B8376F"/>
    <w:rsid w:val="00B86362"/>
    <w:rsid w:val="00BA4CDB"/>
    <w:rsid w:val="00BB001A"/>
    <w:rsid w:val="00BB1291"/>
    <w:rsid w:val="00BC7B19"/>
    <w:rsid w:val="00BD7D1E"/>
    <w:rsid w:val="00BE4401"/>
    <w:rsid w:val="00C02CF5"/>
    <w:rsid w:val="00C11C3A"/>
    <w:rsid w:val="00C20AE8"/>
    <w:rsid w:val="00C215BB"/>
    <w:rsid w:val="00C25EE6"/>
    <w:rsid w:val="00C27A35"/>
    <w:rsid w:val="00C27D91"/>
    <w:rsid w:val="00C32533"/>
    <w:rsid w:val="00C33FA9"/>
    <w:rsid w:val="00C37C08"/>
    <w:rsid w:val="00C40E2A"/>
    <w:rsid w:val="00C40FC0"/>
    <w:rsid w:val="00C446A6"/>
    <w:rsid w:val="00C45ACB"/>
    <w:rsid w:val="00C527AE"/>
    <w:rsid w:val="00C5791D"/>
    <w:rsid w:val="00C57A9B"/>
    <w:rsid w:val="00C61019"/>
    <w:rsid w:val="00C64884"/>
    <w:rsid w:val="00C701A1"/>
    <w:rsid w:val="00C75DD6"/>
    <w:rsid w:val="00C7731F"/>
    <w:rsid w:val="00C82D83"/>
    <w:rsid w:val="00C85052"/>
    <w:rsid w:val="00C92FD0"/>
    <w:rsid w:val="00C95D1B"/>
    <w:rsid w:val="00CA17E5"/>
    <w:rsid w:val="00CA3C03"/>
    <w:rsid w:val="00CA50AE"/>
    <w:rsid w:val="00CA57F3"/>
    <w:rsid w:val="00CB0391"/>
    <w:rsid w:val="00CB0775"/>
    <w:rsid w:val="00CB2F94"/>
    <w:rsid w:val="00CC0AB6"/>
    <w:rsid w:val="00CC40BE"/>
    <w:rsid w:val="00CC59BF"/>
    <w:rsid w:val="00CD2104"/>
    <w:rsid w:val="00CD3D75"/>
    <w:rsid w:val="00CD4FFE"/>
    <w:rsid w:val="00CD7ABF"/>
    <w:rsid w:val="00CE42BE"/>
    <w:rsid w:val="00CE4884"/>
    <w:rsid w:val="00CE569B"/>
    <w:rsid w:val="00CF3763"/>
    <w:rsid w:val="00CF6016"/>
    <w:rsid w:val="00D012EF"/>
    <w:rsid w:val="00D06B25"/>
    <w:rsid w:val="00D07C68"/>
    <w:rsid w:val="00D11DD4"/>
    <w:rsid w:val="00D21AB8"/>
    <w:rsid w:val="00D22C77"/>
    <w:rsid w:val="00D36424"/>
    <w:rsid w:val="00D403FD"/>
    <w:rsid w:val="00D42A18"/>
    <w:rsid w:val="00D42BD6"/>
    <w:rsid w:val="00D47589"/>
    <w:rsid w:val="00D522D9"/>
    <w:rsid w:val="00D579A2"/>
    <w:rsid w:val="00D60885"/>
    <w:rsid w:val="00D61226"/>
    <w:rsid w:val="00D63718"/>
    <w:rsid w:val="00D64133"/>
    <w:rsid w:val="00D656C5"/>
    <w:rsid w:val="00D67D57"/>
    <w:rsid w:val="00D7539E"/>
    <w:rsid w:val="00D75ED1"/>
    <w:rsid w:val="00D7789D"/>
    <w:rsid w:val="00D83430"/>
    <w:rsid w:val="00D86820"/>
    <w:rsid w:val="00D86919"/>
    <w:rsid w:val="00DA6BAC"/>
    <w:rsid w:val="00DB35E3"/>
    <w:rsid w:val="00DC3D6F"/>
    <w:rsid w:val="00DC49FC"/>
    <w:rsid w:val="00DC5456"/>
    <w:rsid w:val="00DC7451"/>
    <w:rsid w:val="00DD1841"/>
    <w:rsid w:val="00DD2F25"/>
    <w:rsid w:val="00DD360E"/>
    <w:rsid w:val="00DD3766"/>
    <w:rsid w:val="00DE1065"/>
    <w:rsid w:val="00DE3A46"/>
    <w:rsid w:val="00DE633E"/>
    <w:rsid w:val="00DE7C21"/>
    <w:rsid w:val="00DF704C"/>
    <w:rsid w:val="00E00A13"/>
    <w:rsid w:val="00E05F9F"/>
    <w:rsid w:val="00E063B6"/>
    <w:rsid w:val="00E06F4A"/>
    <w:rsid w:val="00E14A1E"/>
    <w:rsid w:val="00E17EF5"/>
    <w:rsid w:val="00E20BF6"/>
    <w:rsid w:val="00E279F7"/>
    <w:rsid w:val="00E338F8"/>
    <w:rsid w:val="00E37817"/>
    <w:rsid w:val="00E41763"/>
    <w:rsid w:val="00E42BD2"/>
    <w:rsid w:val="00E44BE3"/>
    <w:rsid w:val="00E46C48"/>
    <w:rsid w:val="00E51446"/>
    <w:rsid w:val="00E615F6"/>
    <w:rsid w:val="00E6343D"/>
    <w:rsid w:val="00E63F08"/>
    <w:rsid w:val="00E650A0"/>
    <w:rsid w:val="00E66D36"/>
    <w:rsid w:val="00E679B8"/>
    <w:rsid w:val="00E67C16"/>
    <w:rsid w:val="00E7465B"/>
    <w:rsid w:val="00E76009"/>
    <w:rsid w:val="00E77B2B"/>
    <w:rsid w:val="00E81333"/>
    <w:rsid w:val="00E96290"/>
    <w:rsid w:val="00EA0FCB"/>
    <w:rsid w:val="00EA32B7"/>
    <w:rsid w:val="00EA32E5"/>
    <w:rsid w:val="00EA6623"/>
    <w:rsid w:val="00EB11B4"/>
    <w:rsid w:val="00EB1915"/>
    <w:rsid w:val="00EB2E84"/>
    <w:rsid w:val="00EB6F06"/>
    <w:rsid w:val="00EC0068"/>
    <w:rsid w:val="00EC035B"/>
    <w:rsid w:val="00EC417C"/>
    <w:rsid w:val="00EC643E"/>
    <w:rsid w:val="00ED23C6"/>
    <w:rsid w:val="00ED5C19"/>
    <w:rsid w:val="00EE05A7"/>
    <w:rsid w:val="00EE23C6"/>
    <w:rsid w:val="00EF13A5"/>
    <w:rsid w:val="00EF47BE"/>
    <w:rsid w:val="00EF76DE"/>
    <w:rsid w:val="00F075D9"/>
    <w:rsid w:val="00F10534"/>
    <w:rsid w:val="00F142FD"/>
    <w:rsid w:val="00F14CCC"/>
    <w:rsid w:val="00F16A11"/>
    <w:rsid w:val="00F16ABB"/>
    <w:rsid w:val="00F227C4"/>
    <w:rsid w:val="00F25433"/>
    <w:rsid w:val="00F269EA"/>
    <w:rsid w:val="00F27B1A"/>
    <w:rsid w:val="00F30A9B"/>
    <w:rsid w:val="00F347FB"/>
    <w:rsid w:val="00F35AA2"/>
    <w:rsid w:val="00F41777"/>
    <w:rsid w:val="00F455C9"/>
    <w:rsid w:val="00F51976"/>
    <w:rsid w:val="00F60A69"/>
    <w:rsid w:val="00F70A7F"/>
    <w:rsid w:val="00F77EE8"/>
    <w:rsid w:val="00F80E3A"/>
    <w:rsid w:val="00F85D78"/>
    <w:rsid w:val="00F95C10"/>
    <w:rsid w:val="00F97B39"/>
    <w:rsid w:val="00FA30BC"/>
    <w:rsid w:val="00FA3339"/>
    <w:rsid w:val="00FA3A93"/>
    <w:rsid w:val="00FC2612"/>
    <w:rsid w:val="00FE2C38"/>
    <w:rsid w:val="00FE4072"/>
    <w:rsid w:val="00FE5508"/>
    <w:rsid w:val="00FE6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AC"/>
  </w:style>
  <w:style w:type="paragraph" w:styleId="Footer">
    <w:name w:val="footer"/>
    <w:basedOn w:val="Normal"/>
    <w:link w:val="FooterChar"/>
    <w:uiPriority w:val="99"/>
    <w:unhideWhenUsed/>
    <w:rsid w:val="008F5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BAC"/>
  </w:style>
  <w:style w:type="paragraph" w:customStyle="1" w:styleId="Default">
    <w:name w:val="Default"/>
    <w:rsid w:val="005339B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72"/>
    <w:rPr>
      <w:rFonts w:ascii="Tahoma" w:hAnsi="Tahoma" w:cs="Tahoma"/>
      <w:sz w:val="16"/>
      <w:szCs w:val="16"/>
    </w:rPr>
  </w:style>
  <w:style w:type="paragraph" w:styleId="ListParagraph">
    <w:name w:val="List Paragraph"/>
    <w:basedOn w:val="Normal"/>
    <w:uiPriority w:val="34"/>
    <w:qFormat/>
    <w:rsid w:val="000361C4"/>
    <w:pPr>
      <w:ind w:left="720"/>
      <w:contextualSpacing/>
    </w:pPr>
  </w:style>
  <w:style w:type="paragraph" w:styleId="FootnoteText">
    <w:name w:val="footnote text"/>
    <w:basedOn w:val="Normal"/>
    <w:link w:val="FootnoteTextChar"/>
    <w:uiPriority w:val="99"/>
    <w:semiHidden/>
    <w:unhideWhenUsed/>
    <w:rsid w:val="00F51976"/>
    <w:pPr>
      <w:spacing w:after="0" w:line="240" w:lineRule="auto"/>
    </w:pPr>
    <w:rPr>
      <w:rFonts w:ascii="Arial" w:hAnsi="Arial" w:cs="Arial"/>
      <w:sz w:val="20"/>
      <w:szCs w:val="20"/>
      <w:lang w:val="en-ZA"/>
    </w:rPr>
  </w:style>
  <w:style w:type="character" w:customStyle="1" w:styleId="FootnoteTextChar">
    <w:name w:val="Footnote Text Char"/>
    <w:basedOn w:val="DefaultParagraphFont"/>
    <w:link w:val="FootnoteText"/>
    <w:uiPriority w:val="99"/>
    <w:semiHidden/>
    <w:rsid w:val="00F51976"/>
    <w:rPr>
      <w:rFonts w:ascii="Arial" w:hAnsi="Arial" w:cs="Arial"/>
      <w:sz w:val="20"/>
      <w:szCs w:val="20"/>
      <w:lang w:val="en-ZA"/>
    </w:rPr>
  </w:style>
  <w:style w:type="character" w:styleId="FootnoteReference">
    <w:name w:val="footnote reference"/>
    <w:basedOn w:val="DefaultParagraphFont"/>
    <w:uiPriority w:val="99"/>
    <w:semiHidden/>
    <w:unhideWhenUsed/>
    <w:rsid w:val="00F51976"/>
    <w:rPr>
      <w:vertAlign w:val="superscript"/>
    </w:rPr>
  </w:style>
  <w:style w:type="character" w:styleId="Hyperlink">
    <w:name w:val="Hyperlink"/>
    <w:basedOn w:val="DefaultParagraphFont"/>
    <w:uiPriority w:val="99"/>
    <w:unhideWhenUsed/>
    <w:rsid w:val="00E44BE3"/>
    <w:rPr>
      <w:color w:val="0000FF" w:themeColor="hyperlink"/>
      <w:u w:val="single"/>
    </w:rPr>
  </w:style>
  <w:style w:type="character" w:styleId="CommentReference">
    <w:name w:val="annotation reference"/>
    <w:basedOn w:val="DefaultParagraphFont"/>
    <w:uiPriority w:val="99"/>
    <w:semiHidden/>
    <w:unhideWhenUsed/>
    <w:rsid w:val="008D2B22"/>
    <w:rPr>
      <w:sz w:val="16"/>
      <w:szCs w:val="16"/>
    </w:rPr>
  </w:style>
  <w:style w:type="paragraph" w:styleId="CommentText">
    <w:name w:val="annotation text"/>
    <w:basedOn w:val="Normal"/>
    <w:link w:val="CommentTextChar"/>
    <w:uiPriority w:val="99"/>
    <w:semiHidden/>
    <w:unhideWhenUsed/>
    <w:rsid w:val="008D2B22"/>
    <w:pPr>
      <w:spacing w:line="240" w:lineRule="auto"/>
    </w:pPr>
    <w:rPr>
      <w:sz w:val="20"/>
      <w:szCs w:val="20"/>
    </w:rPr>
  </w:style>
  <w:style w:type="character" w:customStyle="1" w:styleId="CommentTextChar">
    <w:name w:val="Comment Text Char"/>
    <w:basedOn w:val="DefaultParagraphFont"/>
    <w:link w:val="CommentText"/>
    <w:uiPriority w:val="99"/>
    <w:semiHidden/>
    <w:rsid w:val="008D2B22"/>
    <w:rPr>
      <w:sz w:val="20"/>
      <w:szCs w:val="20"/>
    </w:rPr>
  </w:style>
  <w:style w:type="paragraph" w:styleId="CommentSubject">
    <w:name w:val="annotation subject"/>
    <w:basedOn w:val="CommentText"/>
    <w:next w:val="CommentText"/>
    <w:link w:val="CommentSubjectChar"/>
    <w:uiPriority w:val="99"/>
    <w:semiHidden/>
    <w:unhideWhenUsed/>
    <w:rsid w:val="008D2B22"/>
    <w:rPr>
      <w:b/>
      <w:bCs/>
    </w:rPr>
  </w:style>
  <w:style w:type="character" w:customStyle="1" w:styleId="CommentSubjectChar">
    <w:name w:val="Comment Subject Char"/>
    <w:basedOn w:val="CommentTextChar"/>
    <w:link w:val="CommentSubject"/>
    <w:uiPriority w:val="99"/>
    <w:semiHidden/>
    <w:rsid w:val="008D2B22"/>
    <w:rPr>
      <w:b/>
      <w:bCs/>
      <w:sz w:val="20"/>
      <w:szCs w:val="20"/>
    </w:rPr>
  </w:style>
</w:styles>
</file>

<file path=word/webSettings.xml><?xml version="1.0" encoding="utf-8"?>
<w:webSettings xmlns:r="http://schemas.openxmlformats.org/officeDocument/2006/relationships" xmlns:w="http://schemas.openxmlformats.org/wordprocessingml/2006/main">
  <w:divs>
    <w:div w:id="157699440">
      <w:bodyDiv w:val="1"/>
      <w:marLeft w:val="0"/>
      <w:marRight w:val="0"/>
      <w:marTop w:val="0"/>
      <w:marBottom w:val="0"/>
      <w:divBdr>
        <w:top w:val="none" w:sz="0" w:space="0" w:color="auto"/>
        <w:left w:val="none" w:sz="0" w:space="0" w:color="auto"/>
        <w:bottom w:val="none" w:sz="0" w:space="0" w:color="auto"/>
        <w:right w:val="none" w:sz="0" w:space="0" w:color="auto"/>
      </w:divBdr>
    </w:div>
    <w:div w:id="158614804">
      <w:bodyDiv w:val="1"/>
      <w:marLeft w:val="0"/>
      <w:marRight w:val="0"/>
      <w:marTop w:val="0"/>
      <w:marBottom w:val="0"/>
      <w:divBdr>
        <w:top w:val="none" w:sz="0" w:space="0" w:color="auto"/>
        <w:left w:val="none" w:sz="0" w:space="0" w:color="auto"/>
        <w:bottom w:val="none" w:sz="0" w:space="0" w:color="auto"/>
        <w:right w:val="none" w:sz="0" w:space="0" w:color="auto"/>
      </w:divBdr>
    </w:div>
    <w:div w:id="396440102">
      <w:bodyDiv w:val="1"/>
      <w:marLeft w:val="0"/>
      <w:marRight w:val="0"/>
      <w:marTop w:val="0"/>
      <w:marBottom w:val="0"/>
      <w:divBdr>
        <w:top w:val="none" w:sz="0" w:space="0" w:color="auto"/>
        <w:left w:val="none" w:sz="0" w:space="0" w:color="auto"/>
        <w:bottom w:val="none" w:sz="0" w:space="0" w:color="auto"/>
        <w:right w:val="none" w:sz="0" w:space="0" w:color="auto"/>
      </w:divBdr>
    </w:div>
    <w:div w:id="631256057">
      <w:bodyDiv w:val="1"/>
      <w:marLeft w:val="0"/>
      <w:marRight w:val="0"/>
      <w:marTop w:val="0"/>
      <w:marBottom w:val="0"/>
      <w:divBdr>
        <w:top w:val="none" w:sz="0" w:space="0" w:color="auto"/>
        <w:left w:val="none" w:sz="0" w:space="0" w:color="auto"/>
        <w:bottom w:val="none" w:sz="0" w:space="0" w:color="auto"/>
        <w:right w:val="none" w:sz="0" w:space="0" w:color="auto"/>
      </w:divBdr>
    </w:div>
    <w:div w:id="637077533">
      <w:bodyDiv w:val="1"/>
      <w:marLeft w:val="0"/>
      <w:marRight w:val="0"/>
      <w:marTop w:val="0"/>
      <w:marBottom w:val="0"/>
      <w:divBdr>
        <w:top w:val="none" w:sz="0" w:space="0" w:color="auto"/>
        <w:left w:val="none" w:sz="0" w:space="0" w:color="auto"/>
        <w:bottom w:val="none" w:sz="0" w:space="0" w:color="auto"/>
        <w:right w:val="none" w:sz="0" w:space="0" w:color="auto"/>
      </w:divBdr>
    </w:div>
    <w:div w:id="653535285">
      <w:bodyDiv w:val="1"/>
      <w:marLeft w:val="0"/>
      <w:marRight w:val="0"/>
      <w:marTop w:val="0"/>
      <w:marBottom w:val="0"/>
      <w:divBdr>
        <w:top w:val="none" w:sz="0" w:space="0" w:color="auto"/>
        <w:left w:val="none" w:sz="0" w:space="0" w:color="auto"/>
        <w:bottom w:val="none" w:sz="0" w:space="0" w:color="auto"/>
        <w:right w:val="none" w:sz="0" w:space="0" w:color="auto"/>
      </w:divBdr>
    </w:div>
    <w:div w:id="723062735">
      <w:bodyDiv w:val="1"/>
      <w:marLeft w:val="0"/>
      <w:marRight w:val="0"/>
      <w:marTop w:val="0"/>
      <w:marBottom w:val="0"/>
      <w:divBdr>
        <w:top w:val="none" w:sz="0" w:space="0" w:color="auto"/>
        <w:left w:val="none" w:sz="0" w:space="0" w:color="auto"/>
        <w:bottom w:val="none" w:sz="0" w:space="0" w:color="auto"/>
        <w:right w:val="none" w:sz="0" w:space="0" w:color="auto"/>
      </w:divBdr>
    </w:div>
    <w:div w:id="725225376">
      <w:bodyDiv w:val="1"/>
      <w:marLeft w:val="0"/>
      <w:marRight w:val="0"/>
      <w:marTop w:val="0"/>
      <w:marBottom w:val="0"/>
      <w:divBdr>
        <w:top w:val="none" w:sz="0" w:space="0" w:color="auto"/>
        <w:left w:val="none" w:sz="0" w:space="0" w:color="auto"/>
        <w:bottom w:val="none" w:sz="0" w:space="0" w:color="auto"/>
        <w:right w:val="none" w:sz="0" w:space="0" w:color="auto"/>
      </w:divBdr>
    </w:div>
    <w:div w:id="789712060">
      <w:bodyDiv w:val="1"/>
      <w:marLeft w:val="0"/>
      <w:marRight w:val="0"/>
      <w:marTop w:val="0"/>
      <w:marBottom w:val="0"/>
      <w:divBdr>
        <w:top w:val="none" w:sz="0" w:space="0" w:color="auto"/>
        <w:left w:val="none" w:sz="0" w:space="0" w:color="auto"/>
        <w:bottom w:val="none" w:sz="0" w:space="0" w:color="auto"/>
        <w:right w:val="none" w:sz="0" w:space="0" w:color="auto"/>
      </w:divBdr>
    </w:div>
    <w:div w:id="879243045">
      <w:bodyDiv w:val="1"/>
      <w:marLeft w:val="0"/>
      <w:marRight w:val="0"/>
      <w:marTop w:val="0"/>
      <w:marBottom w:val="0"/>
      <w:divBdr>
        <w:top w:val="none" w:sz="0" w:space="0" w:color="auto"/>
        <w:left w:val="none" w:sz="0" w:space="0" w:color="auto"/>
        <w:bottom w:val="none" w:sz="0" w:space="0" w:color="auto"/>
        <w:right w:val="none" w:sz="0" w:space="0" w:color="auto"/>
      </w:divBdr>
    </w:div>
    <w:div w:id="1067264102">
      <w:bodyDiv w:val="1"/>
      <w:marLeft w:val="0"/>
      <w:marRight w:val="0"/>
      <w:marTop w:val="0"/>
      <w:marBottom w:val="0"/>
      <w:divBdr>
        <w:top w:val="none" w:sz="0" w:space="0" w:color="auto"/>
        <w:left w:val="none" w:sz="0" w:space="0" w:color="auto"/>
        <w:bottom w:val="none" w:sz="0" w:space="0" w:color="auto"/>
        <w:right w:val="none" w:sz="0" w:space="0" w:color="auto"/>
      </w:divBdr>
    </w:div>
    <w:div w:id="1140996549">
      <w:bodyDiv w:val="1"/>
      <w:marLeft w:val="0"/>
      <w:marRight w:val="0"/>
      <w:marTop w:val="0"/>
      <w:marBottom w:val="0"/>
      <w:divBdr>
        <w:top w:val="none" w:sz="0" w:space="0" w:color="auto"/>
        <w:left w:val="none" w:sz="0" w:space="0" w:color="auto"/>
        <w:bottom w:val="none" w:sz="0" w:space="0" w:color="auto"/>
        <w:right w:val="none" w:sz="0" w:space="0" w:color="auto"/>
      </w:divBdr>
    </w:div>
    <w:div w:id="1184709695">
      <w:bodyDiv w:val="1"/>
      <w:marLeft w:val="0"/>
      <w:marRight w:val="0"/>
      <w:marTop w:val="0"/>
      <w:marBottom w:val="0"/>
      <w:divBdr>
        <w:top w:val="none" w:sz="0" w:space="0" w:color="auto"/>
        <w:left w:val="none" w:sz="0" w:space="0" w:color="auto"/>
        <w:bottom w:val="none" w:sz="0" w:space="0" w:color="auto"/>
        <w:right w:val="none" w:sz="0" w:space="0" w:color="auto"/>
      </w:divBdr>
    </w:div>
    <w:div w:id="1329676793">
      <w:bodyDiv w:val="1"/>
      <w:marLeft w:val="0"/>
      <w:marRight w:val="0"/>
      <w:marTop w:val="0"/>
      <w:marBottom w:val="0"/>
      <w:divBdr>
        <w:top w:val="none" w:sz="0" w:space="0" w:color="auto"/>
        <w:left w:val="none" w:sz="0" w:space="0" w:color="auto"/>
        <w:bottom w:val="none" w:sz="0" w:space="0" w:color="auto"/>
        <w:right w:val="none" w:sz="0" w:space="0" w:color="auto"/>
      </w:divBdr>
    </w:div>
    <w:div w:id="1344085663">
      <w:bodyDiv w:val="1"/>
      <w:marLeft w:val="0"/>
      <w:marRight w:val="0"/>
      <w:marTop w:val="0"/>
      <w:marBottom w:val="0"/>
      <w:divBdr>
        <w:top w:val="none" w:sz="0" w:space="0" w:color="auto"/>
        <w:left w:val="none" w:sz="0" w:space="0" w:color="auto"/>
        <w:bottom w:val="none" w:sz="0" w:space="0" w:color="auto"/>
        <w:right w:val="none" w:sz="0" w:space="0" w:color="auto"/>
      </w:divBdr>
    </w:div>
    <w:div w:id="1470396691">
      <w:bodyDiv w:val="1"/>
      <w:marLeft w:val="0"/>
      <w:marRight w:val="0"/>
      <w:marTop w:val="0"/>
      <w:marBottom w:val="0"/>
      <w:divBdr>
        <w:top w:val="none" w:sz="0" w:space="0" w:color="auto"/>
        <w:left w:val="none" w:sz="0" w:space="0" w:color="auto"/>
        <w:bottom w:val="none" w:sz="0" w:space="0" w:color="auto"/>
        <w:right w:val="none" w:sz="0" w:space="0" w:color="auto"/>
      </w:divBdr>
    </w:div>
    <w:div w:id="1502546449">
      <w:bodyDiv w:val="1"/>
      <w:marLeft w:val="0"/>
      <w:marRight w:val="0"/>
      <w:marTop w:val="0"/>
      <w:marBottom w:val="0"/>
      <w:divBdr>
        <w:top w:val="none" w:sz="0" w:space="0" w:color="auto"/>
        <w:left w:val="none" w:sz="0" w:space="0" w:color="auto"/>
        <w:bottom w:val="none" w:sz="0" w:space="0" w:color="auto"/>
        <w:right w:val="none" w:sz="0" w:space="0" w:color="auto"/>
      </w:divBdr>
    </w:div>
    <w:div w:id="1502815506">
      <w:bodyDiv w:val="1"/>
      <w:marLeft w:val="0"/>
      <w:marRight w:val="0"/>
      <w:marTop w:val="0"/>
      <w:marBottom w:val="0"/>
      <w:divBdr>
        <w:top w:val="none" w:sz="0" w:space="0" w:color="auto"/>
        <w:left w:val="none" w:sz="0" w:space="0" w:color="auto"/>
        <w:bottom w:val="none" w:sz="0" w:space="0" w:color="auto"/>
        <w:right w:val="none" w:sz="0" w:space="0" w:color="auto"/>
      </w:divBdr>
    </w:div>
    <w:div w:id="1864778261">
      <w:bodyDiv w:val="1"/>
      <w:marLeft w:val="0"/>
      <w:marRight w:val="0"/>
      <w:marTop w:val="0"/>
      <w:marBottom w:val="0"/>
      <w:divBdr>
        <w:top w:val="none" w:sz="0" w:space="0" w:color="auto"/>
        <w:left w:val="none" w:sz="0" w:space="0" w:color="auto"/>
        <w:bottom w:val="none" w:sz="0" w:space="0" w:color="auto"/>
        <w:right w:val="none" w:sz="0" w:space="0" w:color="auto"/>
      </w:divBdr>
    </w:div>
    <w:div w:id="1923754394">
      <w:bodyDiv w:val="1"/>
      <w:marLeft w:val="0"/>
      <w:marRight w:val="0"/>
      <w:marTop w:val="0"/>
      <w:marBottom w:val="0"/>
      <w:divBdr>
        <w:top w:val="none" w:sz="0" w:space="0" w:color="auto"/>
        <w:left w:val="none" w:sz="0" w:space="0" w:color="auto"/>
        <w:bottom w:val="none" w:sz="0" w:space="0" w:color="auto"/>
        <w:right w:val="none" w:sz="0" w:space="0" w:color="auto"/>
      </w:divBdr>
    </w:div>
    <w:div w:id="2022006041">
      <w:bodyDiv w:val="1"/>
      <w:marLeft w:val="0"/>
      <w:marRight w:val="0"/>
      <w:marTop w:val="0"/>
      <w:marBottom w:val="0"/>
      <w:divBdr>
        <w:top w:val="none" w:sz="0" w:space="0" w:color="auto"/>
        <w:left w:val="none" w:sz="0" w:space="0" w:color="auto"/>
        <w:bottom w:val="none" w:sz="0" w:space="0" w:color="auto"/>
        <w:right w:val="none" w:sz="0" w:space="0" w:color="auto"/>
      </w:divBdr>
    </w:div>
    <w:div w:id="2046060906">
      <w:bodyDiv w:val="1"/>
      <w:marLeft w:val="0"/>
      <w:marRight w:val="0"/>
      <w:marTop w:val="0"/>
      <w:marBottom w:val="0"/>
      <w:divBdr>
        <w:top w:val="none" w:sz="0" w:space="0" w:color="auto"/>
        <w:left w:val="none" w:sz="0" w:space="0" w:color="auto"/>
        <w:bottom w:val="none" w:sz="0" w:space="0" w:color="auto"/>
        <w:right w:val="none" w:sz="0" w:space="0" w:color="auto"/>
      </w:divBdr>
    </w:div>
    <w:div w:id="20857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jcdnoc-ln1/nxt/gateway.dll/jilc/kilc/c0pg/t8pg/u8pg" TargetMode="External"/><Relationship Id="rId13" Type="http://schemas.openxmlformats.org/officeDocument/2006/relationships/hyperlink" Target="http://dojcdnoc-ln1/nxt/gateway.dll/jilc/kilc/c0pg/g3pg/h3pg/92y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jcdnoc-ln1/nxt/gateway.dll/jilc/kilc/c0pg/t8pg/u8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jcdnoc-ln1/nxt/gateway.dll/jilc/kilc/egqg/ihqg/jhqg/sf6g?f=templates$fn=document-frame.htm$3.0$q=$x=$nc=6610" TargetMode="External"/><Relationship Id="rId5" Type="http://schemas.openxmlformats.org/officeDocument/2006/relationships/webSettings" Target="webSettings.xml"/><Relationship Id="rId15" Type="http://schemas.openxmlformats.org/officeDocument/2006/relationships/hyperlink" Target="http://dojcdnoc-ln1/nxt/gateway.dll/jilc/kilc/egqg/ihqg/jhqg/sf6g?f=templates$fn=document-frame.htm$3.0$q=$x=$nc=9036" TargetMode="External"/><Relationship Id="rId10" Type="http://schemas.openxmlformats.org/officeDocument/2006/relationships/hyperlink" Target="http://dojcdnoc-ln1/nxt/gateway.dll/jilc/kilc/c0pg/g3pg/h3pg" TargetMode="External"/><Relationship Id="rId4" Type="http://schemas.openxmlformats.org/officeDocument/2006/relationships/settings" Target="settings.xml"/><Relationship Id="rId9" Type="http://schemas.openxmlformats.org/officeDocument/2006/relationships/hyperlink" Target="http://dojcdnoc-ln1/nxt/gateway.dll/jilc/kilc/c0pg/g3pg/h3pg/92yg" TargetMode="External"/><Relationship Id="rId14" Type="http://schemas.openxmlformats.org/officeDocument/2006/relationships/hyperlink" Target="http://dojcdnoc-ln1/nxt/gateway.dll/jilc/kilc/c0pg/g3pg/h3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74A1-4C79-4D7C-8D9F-F17D56EC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6120</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PUMZA</cp:lastModifiedBy>
  <cp:revision>2</cp:revision>
  <cp:lastPrinted>2017-09-26T11:29:00Z</cp:lastPrinted>
  <dcterms:created xsi:type="dcterms:W3CDTF">2017-10-12T10:03:00Z</dcterms:created>
  <dcterms:modified xsi:type="dcterms:W3CDTF">2017-10-12T10:03:00Z</dcterms:modified>
</cp:coreProperties>
</file>