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4F" w:rsidRDefault="00F4014F" w:rsidP="00A45ADC">
      <w:pPr>
        <w:jc w:val="both"/>
        <w:rPr>
          <w:b/>
          <w:sz w:val="36"/>
          <w:u w:val="single"/>
        </w:rPr>
      </w:pPr>
    </w:p>
    <w:p w:rsidR="005F7EDF" w:rsidRPr="008C0A83" w:rsidRDefault="005F7EDF"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rPr>
      </w:pPr>
      <w:bookmarkStart w:id="0" w:name="_GoBack"/>
      <w:bookmarkEnd w:id="0"/>
      <w:r>
        <w:rPr>
          <w:rFonts w:ascii="Arial" w:hAnsi="Arial" w:cs="Arial"/>
          <w:noProof/>
          <w:lang w:eastAsia="en-ZA"/>
        </w:rPr>
        <w:drawing>
          <wp:inline distT="0" distB="0" distL="0" distR="0">
            <wp:extent cx="2385695" cy="986155"/>
            <wp:effectExtent l="0" t="0" r="0" b="4445"/>
            <wp:docPr id="2" name="Picture 2" descr="Description: Description: DoSD log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oSD logo 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5695" cy="986155"/>
                    </a:xfrm>
                    <a:prstGeom prst="rect">
                      <a:avLst/>
                    </a:prstGeom>
                    <a:noFill/>
                    <a:ln>
                      <a:noFill/>
                    </a:ln>
                  </pic:spPr>
                </pic:pic>
              </a:graphicData>
            </a:graphic>
          </wp:inline>
        </w:drawing>
      </w:r>
    </w:p>
    <w:p w:rsidR="005F7EDF"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rPr>
      </w:pPr>
    </w:p>
    <w:p w:rsidR="005F7EDF"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rPr>
      </w:pPr>
    </w:p>
    <w:p w:rsidR="00BC0BF3" w:rsidRPr="008C0A83" w:rsidRDefault="00BC0BF3"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rPr>
      </w:pPr>
    </w:p>
    <w:p w:rsidR="005F7EDF" w:rsidRPr="008C0A83" w:rsidRDefault="005F7EDF"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rPr>
      </w:pPr>
    </w:p>
    <w:p w:rsidR="005F7EDF" w:rsidRDefault="005F7EDF"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sz w:val="28"/>
          <w:szCs w:val="28"/>
        </w:rPr>
      </w:pPr>
      <w:r>
        <w:rPr>
          <w:rFonts w:ascii="Arial" w:hAnsi="Arial" w:cs="Arial"/>
          <w:b/>
          <w:sz w:val="28"/>
          <w:szCs w:val="28"/>
        </w:rPr>
        <w:t>DEPARTMENT OF SOCIAL DEVELOPMENT</w:t>
      </w:r>
    </w:p>
    <w:p w:rsidR="005F7EDF" w:rsidRDefault="005F7EDF"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sz w:val="28"/>
          <w:szCs w:val="28"/>
        </w:rPr>
      </w:pPr>
    </w:p>
    <w:p w:rsidR="003A4E73" w:rsidRDefault="003A4E73"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sz w:val="28"/>
          <w:szCs w:val="28"/>
        </w:rPr>
      </w:pPr>
    </w:p>
    <w:p w:rsidR="003A4E73" w:rsidRDefault="003A4E73"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sz w:val="28"/>
          <w:szCs w:val="28"/>
        </w:rPr>
      </w:pPr>
    </w:p>
    <w:p w:rsidR="005F7EDF" w:rsidRPr="007E3D79" w:rsidRDefault="00BF781D" w:rsidP="00C80E35">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sz w:val="32"/>
          <w:szCs w:val="28"/>
        </w:rPr>
      </w:pPr>
      <w:r w:rsidRPr="007E3D79">
        <w:rPr>
          <w:rFonts w:ascii="Arial" w:hAnsi="Arial" w:cs="Arial"/>
          <w:b/>
          <w:sz w:val="32"/>
          <w:szCs w:val="28"/>
        </w:rPr>
        <w:t>Progress on recommendation made by the Portfolio Committee o</w:t>
      </w:r>
      <w:r w:rsidR="00FE6DCB">
        <w:rPr>
          <w:rFonts w:ascii="Arial" w:hAnsi="Arial" w:cs="Arial"/>
          <w:b/>
          <w:sz w:val="32"/>
          <w:szCs w:val="28"/>
        </w:rPr>
        <w:t>n Social Development in the 2015/16</w:t>
      </w:r>
      <w:r w:rsidRPr="007E3D79">
        <w:rPr>
          <w:rFonts w:ascii="Arial" w:hAnsi="Arial" w:cs="Arial"/>
          <w:b/>
          <w:sz w:val="32"/>
          <w:szCs w:val="28"/>
        </w:rPr>
        <w:t xml:space="preserve"> Budgetary Review and Recommendation Report </w:t>
      </w:r>
    </w:p>
    <w:p w:rsidR="005F7EDF" w:rsidRDefault="005F7EDF"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rPr>
      </w:pPr>
    </w:p>
    <w:p w:rsidR="003A4E73" w:rsidRDefault="003A4E73"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rPr>
      </w:pPr>
    </w:p>
    <w:p w:rsidR="003A4E73" w:rsidRPr="008C0A83" w:rsidRDefault="003A4E73"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rPr>
      </w:pPr>
    </w:p>
    <w:p w:rsidR="005F7EDF" w:rsidRPr="007E3D79" w:rsidRDefault="00FE6DCB"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sz w:val="32"/>
        </w:rPr>
      </w:pPr>
      <w:r>
        <w:rPr>
          <w:rFonts w:ascii="Arial" w:hAnsi="Arial" w:cs="Arial"/>
          <w:b/>
          <w:sz w:val="32"/>
        </w:rPr>
        <w:t>SEPTEMBER 2017</w:t>
      </w:r>
    </w:p>
    <w:p w:rsidR="005F7EDF" w:rsidRDefault="005F7EDF" w:rsidP="00FC1E32">
      <w:pPr>
        <w:pBdr>
          <w:top w:val="double" w:sz="4" w:space="1" w:color="auto"/>
          <w:left w:val="double" w:sz="4" w:space="4" w:color="auto"/>
          <w:bottom w:val="double" w:sz="4" w:space="1" w:color="auto"/>
          <w:right w:val="double" w:sz="4" w:space="4" w:color="auto"/>
        </w:pBdr>
        <w:spacing w:line="240" w:lineRule="auto"/>
        <w:jc w:val="center"/>
        <w:rPr>
          <w:rFonts w:ascii="Arial" w:hAnsi="Arial" w:cs="Arial"/>
          <w:b/>
        </w:rPr>
      </w:pPr>
    </w:p>
    <w:p w:rsidR="00BC0BF3" w:rsidRDefault="00BC0BF3"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p w:rsidR="0034286C" w:rsidRDefault="0034286C"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p w:rsidR="005F7EDF"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p w:rsidR="005F7EDF"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p w:rsidR="005F7EDF"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p w:rsidR="005F7EDF" w:rsidRPr="008C0A83"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p w:rsidR="005F7EDF" w:rsidRPr="008C0A83" w:rsidRDefault="005F7EDF" w:rsidP="00A45ADC">
      <w:pPr>
        <w:pBdr>
          <w:top w:val="double" w:sz="4" w:space="1" w:color="auto"/>
          <w:left w:val="double" w:sz="4" w:space="4" w:color="auto"/>
          <w:bottom w:val="double" w:sz="4" w:space="1" w:color="auto"/>
          <w:right w:val="double" w:sz="4" w:space="4" w:color="auto"/>
        </w:pBdr>
        <w:spacing w:line="240" w:lineRule="auto"/>
        <w:jc w:val="both"/>
        <w:rPr>
          <w:rFonts w:ascii="Arial" w:hAnsi="Arial" w:cs="Arial"/>
          <w:b/>
        </w:rPr>
      </w:pPr>
    </w:p>
    <w:sdt>
      <w:sdtPr>
        <w:rPr>
          <w:rFonts w:asciiTheme="minorHAnsi" w:eastAsiaTheme="minorHAnsi" w:hAnsiTheme="minorHAnsi" w:cstheme="minorBidi"/>
          <w:color w:val="auto"/>
          <w:sz w:val="22"/>
          <w:szCs w:val="22"/>
          <w:lang w:val="en-ZA"/>
        </w:rPr>
        <w:id w:val="-170728623"/>
        <w:docPartObj>
          <w:docPartGallery w:val="Table of Contents"/>
          <w:docPartUnique/>
        </w:docPartObj>
      </w:sdtPr>
      <w:sdtEndPr>
        <w:rPr>
          <w:b/>
          <w:bCs/>
          <w:noProof/>
        </w:rPr>
      </w:sdtEndPr>
      <w:sdtContent>
        <w:p w:rsidR="0007070C" w:rsidRDefault="0007070C">
          <w:pPr>
            <w:pStyle w:val="TOCHeading"/>
          </w:pPr>
          <w:r>
            <w:t>Contents</w:t>
          </w:r>
        </w:p>
        <w:p w:rsidR="00E86EEC" w:rsidRDefault="006706DC">
          <w:pPr>
            <w:pStyle w:val="TOC1"/>
            <w:tabs>
              <w:tab w:val="right" w:leader="dot" w:pos="9016"/>
            </w:tabs>
            <w:rPr>
              <w:rFonts w:eastAsiaTheme="minorEastAsia"/>
              <w:noProof/>
              <w:lang w:eastAsia="en-ZA"/>
            </w:rPr>
          </w:pPr>
          <w:r w:rsidRPr="006706DC">
            <w:fldChar w:fldCharType="begin"/>
          </w:r>
          <w:r w:rsidR="0007070C">
            <w:instrText xml:space="preserve"> TOC \o "1-3" \h \z \u </w:instrText>
          </w:r>
          <w:r w:rsidRPr="006706DC">
            <w:fldChar w:fldCharType="separate"/>
          </w:r>
          <w:hyperlink w:anchor="_Toc494725468" w:history="1">
            <w:r w:rsidR="00E86EEC" w:rsidRPr="00C14041">
              <w:rPr>
                <w:rStyle w:val="Hyperlink"/>
                <w:rFonts w:ascii="Arial" w:eastAsiaTheme="majorEastAsia" w:hAnsi="Arial" w:cs="Arial"/>
                <w:noProof/>
                <w:lang w:eastAsia="en-ZA"/>
              </w:rPr>
              <w:t>Introduction</w:t>
            </w:r>
            <w:r w:rsidR="00E86EEC">
              <w:rPr>
                <w:noProof/>
                <w:webHidden/>
              </w:rPr>
              <w:tab/>
            </w:r>
            <w:r>
              <w:rPr>
                <w:noProof/>
                <w:webHidden/>
              </w:rPr>
              <w:fldChar w:fldCharType="begin"/>
            </w:r>
            <w:r w:rsidR="00E86EEC">
              <w:rPr>
                <w:noProof/>
                <w:webHidden/>
              </w:rPr>
              <w:instrText xml:space="preserve"> PAGEREF _Toc494725468 \h </w:instrText>
            </w:r>
            <w:r>
              <w:rPr>
                <w:noProof/>
                <w:webHidden/>
              </w:rPr>
            </w:r>
            <w:r>
              <w:rPr>
                <w:noProof/>
                <w:webHidden/>
              </w:rPr>
              <w:fldChar w:fldCharType="separate"/>
            </w:r>
            <w:r w:rsidR="00E86EEC">
              <w:rPr>
                <w:noProof/>
                <w:webHidden/>
              </w:rPr>
              <w:t>2</w:t>
            </w:r>
            <w:r>
              <w:rPr>
                <w:noProof/>
                <w:webHidden/>
              </w:rPr>
              <w:fldChar w:fldCharType="end"/>
            </w:r>
          </w:hyperlink>
        </w:p>
        <w:p w:rsidR="00E86EEC" w:rsidRDefault="006706DC">
          <w:pPr>
            <w:pStyle w:val="TOC1"/>
            <w:tabs>
              <w:tab w:val="left" w:pos="440"/>
              <w:tab w:val="right" w:leader="dot" w:pos="9016"/>
            </w:tabs>
            <w:rPr>
              <w:rFonts w:eastAsiaTheme="minorEastAsia"/>
              <w:noProof/>
              <w:lang w:eastAsia="en-ZA"/>
            </w:rPr>
          </w:pPr>
          <w:hyperlink w:anchor="_Toc494725469" w:history="1">
            <w:r w:rsidR="00E86EEC" w:rsidRPr="00C14041">
              <w:rPr>
                <w:rStyle w:val="Hyperlink"/>
                <w:rFonts w:ascii="Arial" w:eastAsiaTheme="majorEastAsia" w:hAnsi="Arial" w:cs="Arial"/>
                <w:noProof/>
                <w:lang w:eastAsia="en-ZA"/>
              </w:rPr>
              <w:t>1.</w:t>
            </w:r>
            <w:r w:rsidR="00E86EEC">
              <w:rPr>
                <w:rFonts w:eastAsiaTheme="minorEastAsia"/>
                <w:noProof/>
                <w:lang w:eastAsia="en-ZA"/>
              </w:rPr>
              <w:tab/>
            </w:r>
            <w:r w:rsidR="00E86EEC" w:rsidRPr="00C14041">
              <w:rPr>
                <w:rStyle w:val="Hyperlink"/>
                <w:rFonts w:ascii="Arial" w:eastAsiaTheme="majorEastAsia" w:hAnsi="Arial" w:cs="Arial"/>
                <w:noProof/>
                <w:lang w:eastAsia="en-ZA"/>
              </w:rPr>
              <w:t>Department of Social Development (DSD)</w:t>
            </w:r>
            <w:r w:rsidR="00E86EEC">
              <w:rPr>
                <w:noProof/>
                <w:webHidden/>
              </w:rPr>
              <w:tab/>
            </w:r>
            <w:r>
              <w:rPr>
                <w:noProof/>
                <w:webHidden/>
              </w:rPr>
              <w:fldChar w:fldCharType="begin"/>
            </w:r>
            <w:r w:rsidR="00E86EEC">
              <w:rPr>
                <w:noProof/>
                <w:webHidden/>
              </w:rPr>
              <w:instrText xml:space="preserve"> PAGEREF _Toc494725469 \h </w:instrText>
            </w:r>
            <w:r>
              <w:rPr>
                <w:noProof/>
                <w:webHidden/>
              </w:rPr>
            </w:r>
            <w:r>
              <w:rPr>
                <w:noProof/>
                <w:webHidden/>
              </w:rPr>
              <w:fldChar w:fldCharType="separate"/>
            </w:r>
            <w:r w:rsidR="00E86EEC">
              <w:rPr>
                <w:noProof/>
                <w:webHidden/>
              </w:rPr>
              <w:t>2</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0" w:history="1">
            <w:r w:rsidR="00E86EEC" w:rsidRPr="00C14041">
              <w:rPr>
                <w:rStyle w:val="Hyperlink"/>
                <w:rFonts w:ascii="Arial" w:eastAsiaTheme="majorEastAsia" w:hAnsi="Arial" w:cs="Arial"/>
                <w:noProof/>
                <w:lang w:eastAsia="en-ZA"/>
              </w:rPr>
              <w:t>1.1.</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1:</w:t>
            </w:r>
            <w:r w:rsidR="00E86EEC">
              <w:rPr>
                <w:noProof/>
                <w:webHidden/>
              </w:rPr>
              <w:tab/>
            </w:r>
            <w:r>
              <w:rPr>
                <w:noProof/>
                <w:webHidden/>
              </w:rPr>
              <w:fldChar w:fldCharType="begin"/>
            </w:r>
            <w:r w:rsidR="00E86EEC">
              <w:rPr>
                <w:noProof/>
                <w:webHidden/>
              </w:rPr>
              <w:instrText xml:space="preserve"> PAGEREF _Toc494725470 \h </w:instrText>
            </w:r>
            <w:r>
              <w:rPr>
                <w:noProof/>
                <w:webHidden/>
              </w:rPr>
            </w:r>
            <w:r>
              <w:rPr>
                <w:noProof/>
                <w:webHidden/>
              </w:rPr>
              <w:fldChar w:fldCharType="separate"/>
            </w:r>
            <w:r w:rsidR="00E86EEC">
              <w:rPr>
                <w:noProof/>
                <w:webHidden/>
              </w:rPr>
              <w:t>2</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1" w:history="1">
            <w:r w:rsidR="00E86EEC" w:rsidRPr="00C14041">
              <w:rPr>
                <w:rStyle w:val="Hyperlink"/>
                <w:rFonts w:ascii="Arial" w:eastAsiaTheme="majorEastAsia" w:hAnsi="Arial" w:cs="Arial"/>
                <w:noProof/>
                <w:lang w:eastAsia="en-ZA"/>
              </w:rPr>
              <w:t>1.2.</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_Toc494725471 \h </w:instrText>
            </w:r>
            <w:r>
              <w:rPr>
                <w:noProof/>
                <w:webHidden/>
              </w:rPr>
            </w:r>
            <w:r>
              <w:rPr>
                <w:noProof/>
                <w:webHidden/>
              </w:rPr>
              <w:fldChar w:fldCharType="separate"/>
            </w:r>
            <w:r w:rsidR="00E86EEC">
              <w:rPr>
                <w:noProof/>
                <w:webHidden/>
              </w:rPr>
              <w:t>2</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2" w:history="1">
            <w:r w:rsidR="00E86EEC" w:rsidRPr="00C14041">
              <w:rPr>
                <w:rStyle w:val="Hyperlink"/>
                <w:rFonts w:ascii="Arial" w:eastAsiaTheme="majorEastAsia" w:hAnsi="Arial" w:cs="Arial"/>
                <w:noProof/>
                <w:lang w:eastAsia="en-ZA"/>
              </w:rPr>
              <w:t>1.3.</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2:</w:t>
            </w:r>
            <w:r w:rsidR="00E86EEC">
              <w:rPr>
                <w:noProof/>
                <w:webHidden/>
              </w:rPr>
              <w:tab/>
            </w:r>
            <w:r>
              <w:rPr>
                <w:noProof/>
                <w:webHidden/>
              </w:rPr>
              <w:fldChar w:fldCharType="begin"/>
            </w:r>
            <w:r w:rsidR="00E86EEC">
              <w:rPr>
                <w:noProof/>
                <w:webHidden/>
              </w:rPr>
              <w:instrText xml:space="preserve"> PAGEREF _Toc494725472 \h </w:instrText>
            </w:r>
            <w:r>
              <w:rPr>
                <w:noProof/>
                <w:webHidden/>
              </w:rPr>
            </w:r>
            <w:r>
              <w:rPr>
                <w:noProof/>
                <w:webHidden/>
              </w:rPr>
              <w:fldChar w:fldCharType="separate"/>
            </w:r>
            <w:r w:rsidR="00E86EEC">
              <w:rPr>
                <w:noProof/>
                <w:webHidden/>
              </w:rPr>
              <w:t>3</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3" w:history="1">
            <w:r w:rsidR="00E86EEC" w:rsidRPr="00C14041">
              <w:rPr>
                <w:rStyle w:val="Hyperlink"/>
                <w:rFonts w:ascii="Arial" w:eastAsiaTheme="majorEastAsia" w:hAnsi="Arial" w:cs="Arial"/>
                <w:noProof/>
                <w:lang w:eastAsia="en-ZA"/>
              </w:rPr>
              <w:t>1.4.</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_Toc494725473 \h </w:instrText>
            </w:r>
            <w:r>
              <w:rPr>
                <w:noProof/>
                <w:webHidden/>
              </w:rPr>
            </w:r>
            <w:r>
              <w:rPr>
                <w:noProof/>
                <w:webHidden/>
              </w:rPr>
              <w:fldChar w:fldCharType="separate"/>
            </w:r>
            <w:r w:rsidR="00E86EEC">
              <w:rPr>
                <w:noProof/>
                <w:webHidden/>
              </w:rPr>
              <w:t>3</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4" w:history="1">
            <w:r w:rsidR="00E86EEC" w:rsidRPr="00C14041">
              <w:rPr>
                <w:rStyle w:val="Hyperlink"/>
                <w:rFonts w:ascii="Arial" w:eastAsiaTheme="majorEastAsia" w:hAnsi="Arial" w:cs="Arial"/>
                <w:noProof/>
                <w:lang w:eastAsia="en-ZA"/>
              </w:rPr>
              <w:t>1.5.</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3</w:t>
            </w:r>
            <w:r w:rsidR="00E86EEC">
              <w:rPr>
                <w:noProof/>
                <w:webHidden/>
              </w:rPr>
              <w:tab/>
            </w:r>
            <w:r>
              <w:rPr>
                <w:noProof/>
                <w:webHidden/>
              </w:rPr>
              <w:fldChar w:fldCharType="begin"/>
            </w:r>
            <w:r w:rsidR="00E86EEC">
              <w:rPr>
                <w:noProof/>
                <w:webHidden/>
              </w:rPr>
              <w:instrText xml:space="preserve"> PAGEREF _Toc494725474 \h </w:instrText>
            </w:r>
            <w:r>
              <w:rPr>
                <w:noProof/>
                <w:webHidden/>
              </w:rPr>
            </w:r>
            <w:r>
              <w:rPr>
                <w:noProof/>
                <w:webHidden/>
              </w:rPr>
              <w:fldChar w:fldCharType="separate"/>
            </w:r>
            <w:r w:rsidR="00E86EEC">
              <w:rPr>
                <w:noProof/>
                <w:webHidden/>
              </w:rPr>
              <w:t>3</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5" w:history="1">
            <w:r w:rsidR="00E86EEC" w:rsidRPr="00C14041">
              <w:rPr>
                <w:rStyle w:val="Hyperlink"/>
                <w:rFonts w:ascii="Arial" w:eastAsiaTheme="majorEastAsia" w:hAnsi="Arial" w:cs="Arial"/>
                <w:noProof/>
                <w:lang w:eastAsia="en-ZA"/>
              </w:rPr>
              <w:t>1.6.</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_Toc494725475 \h </w:instrText>
            </w:r>
            <w:r>
              <w:rPr>
                <w:noProof/>
                <w:webHidden/>
              </w:rPr>
            </w:r>
            <w:r>
              <w:rPr>
                <w:noProof/>
                <w:webHidden/>
              </w:rPr>
              <w:fldChar w:fldCharType="separate"/>
            </w:r>
            <w:r w:rsidR="00E86EEC">
              <w:rPr>
                <w:noProof/>
                <w:webHidden/>
              </w:rPr>
              <w:t>3</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6" w:history="1">
            <w:r w:rsidR="00E86EEC" w:rsidRPr="00C14041">
              <w:rPr>
                <w:rStyle w:val="Hyperlink"/>
                <w:rFonts w:ascii="Arial" w:eastAsiaTheme="majorEastAsia" w:hAnsi="Arial" w:cs="Arial"/>
                <w:noProof/>
                <w:lang w:eastAsia="en-ZA"/>
              </w:rPr>
              <w:t>1.7.</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4</w:t>
            </w:r>
            <w:r w:rsidR="00E86EEC">
              <w:rPr>
                <w:noProof/>
                <w:webHidden/>
              </w:rPr>
              <w:tab/>
            </w:r>
            <w:r>
              <w:rPr>
                <w:noProof/>
                <w:webHidden/>
              </w:rPr>
              <w:fldChar w:fldCharType="begin"/>
            </w:r>
            <w:r w:rsidR="00E86EEC">
              <w:rPr>
                <w:noProof/>
                <w:webHidden/>
              </w:rPr>
              <w:instrText xml:space="preserve"> PAGEREF _Toc494725476 \h </w:instrText>
            </w:r>
            <w:r>
              <w:rPr>
                <w:noProof/>
                <w:webHidden/>
              </w:rPr>
            </w:r>
            <w:r>
              <w:rPr>
                <w:noProof/>
                <w:webHidden/>
              </w:rPr>
              <w:fldChar w:fldCharType="separate"/>
            </w:r>
            <w:r w:rsidR="00E86EEC">
              <w:rPr>
                <w:noProof/>
                <w:webHidden/>
              </w:rPr>
              <w:t>3</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7" w:history="1">
            <w:r w:rsidR="00E86EEC" w:rsidRPr="00C14041">
              <w:rPr>
                <w:rStyle w:val="Hyperlink"/>
                <w:rFonts w:ascii="Arial" w:eastAsiaTheme="majorEastAsia" w:hAnsi="Arial" w:cs="Arial"/>
                <w:noProof/>
                <w:lang w:eastAsia="en-ZA"/>
              </w:rPr>
              <w:t>1.8.</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_Toc494725477 \h </w:instrText>
            </w:r>
            <w:r>
              <w:rPr>
                <w:noProof/>
                <w:webHidden/>
              </w:rPr>
            </w:r>
            <w:r>
              <w:rPr>
                <w:noProof/>
                <w:webHidden/>
              </w:rPr>
              <w:fldChar w:fldCharType="separate"/>
            </w:r>
            <w:r w:rsidR="00E86EEC">
              <w:rPr>
                <w:noProof/>
                <w:webHidden/>
              </w:rPr>
              <w:t>4</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78" w:history="1">
            <w:r w:rsidR="00E86EEC" w:rsidRPr="00C14041">
              <w:rPr>
                <w:rStyle w:val="Hyperlink"/>
                <w:rFonts w:ascii="Arial" w:eastAsiaTheme="majorEastAsia" w:hAnsi="Arial" w:cs="Arial"/>
                <w:noProof/>
                <w:lang w:eastAsia="en-ZA"/>
              </w:rPr>
              <w:t>1.9.</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5</w:t>
            </w:r>
            <w:r w:rsidR="00E86EEC">
              <w:rPr>
                <w:noProof/>
                <w:webHidden/>
              </w:rPr>
              <w:tab/>
            </w:r>
            <w:r>
              <w:rPr>
                <w:noProof/>
                <w:webHidden/>
              </w:rPr>
              <w:fldChar w:fldCharType="begin"/>
            </w:r>
            <w:r w:rsidR="00E86EEC">
              <w:rPr>
                <w:noProof/>
                <w:webHidden/>
              </w:rPr>
              <w:instrText xml:space="preserve"> PAGEREF _Toc494725478 \h </w:instrText>
            </w:r>
            <w:r>
              <w:rPr>
                <w:noProof/>
                <w:webHidden/>
              </w:rPr>
            </w:r>
            <w:r>
              <w:rPr>
                <w:noProof/>
                <w:webHidden/>
              </w:rPr>
              <w:fldChar w:fldCharType="separate"/>
            </w:r>
            <w:r w:rsidR="00E86EEC">
              <w:rPr>
                <w:noProof/>
                <w:webHidden/>
              </w:rPr>
              <w:t>4</w:t>
            </w:r>
            <w:r>
              <w:rPr>
                <w:noProof/>
                <w:webHidden/>
              </w:rPr>
              <w:fldChar w:fldCharType="end"/>
            </w:r>
          </w:hyperlink>
        </w:p>
        <w:p w:rsidR="00E86EEC" w:rsidRDefault="006706DC">
          <w:pPr>
            <w:pStyle w:val="TOC1"/>
            <w:tabs>
              <w:tab w:val="left" w:pos="880"/>
              <w:tab w:val="right" w:leader="dot" w:pos="9016"/>
            </w:tabs>
            <w:rPr>
              <w:rFonts w:eastAsiaTheme="minorEastAsia"/>
              <w:noProof/>
              <w:lang w:eastAsia="en-ZA"/>
            </w:rPr>
          </w:pPr>
          <w:hyperlink w:anchor="_Toc494725479" w:history="1">
            <w:r w:rsidR="00E86EEC" w:rsidRPr="00C14041">
              <w:rPr>
                <w:rStyle w:val="Hyperlink"/>
                <w:rFonts w:ascii="Arial" w:eastAsiaTheme="majorEastAsia" w:hAnsi="Arial" w:cs="Arial"/>
                <w:noProof/>
                <w:lang w:eastAsia="en-ZA"/>
              </w:rPr>
              <w:t>1.10.</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_Toc494725479 \h </w:instrText>
            </w:r>
            <w:r>
              <w:rPr>
                <w:noProof/>
                <w:webHidden/>
              </w:rPr>
            </w:r>
            <w:r>
              <w:rPr>
                <w:noProof/>
                <w:webHidden/>
              </w:rPr>
              <w:fldChar w:fldCharType="separate"/>
            </w:r>
            <w:r w:rsidR="00E86EEC">
              <w:rPr>
                <w:noProof/>
                <w:webHidden/>
              </w:rPr>
              <w:t>4</w:t>
            </w:r>
            <w:r>
              <w:rPr>
                <w:noProof/>
                <w:webHidden/>
              </w:rPr>
              <w:fldChar w:fldCharType="end"/>
            </w:r>
          </w:hyperlink>
        </w:p>
        <w:p w:rsidR="00E86EEC" w:rsidRDefault="006706DC">
          <w:pPr>
            <w:pStyle w:val="TOC1"/>
            <w:tabs>
              <w:tab w:val="left" w:pos="440"/>
              <w:tab w:val="right" w:leader="dot" w:pos="9016"/>
            </w:tabs>
            <w:rPr>
              <w:rFonts w:eastAsiaTheme="minorEastAsia"/>
              <w:noProof/>
              <w:lang w:eastAsia="en-ZA"/>
            </w:rPr>
          </w:pPr>
          <w:hyperlink w:anchor="_Toc494725480" w:history="1">
            <w:r w:rsidR="00E86EEC" w:rsidRPr="00C14041">
              <w:rPr>
                <w:rStyle w:val="Hyperlink"/>
                <w:rFonts w:ascii="Arial" w:eastAsiaTheme="majorEastAsia" w:hAnsi="Arial" w:cs="Arial"/>
                <w:noProof/>
                <w:lang w:eastAsia="en-ZA"/>
              </w:rPr>
              <w:t>2.</w:t>
            </w:r>
            <w:r w:rsidR="00E86EEC">
              <w:rPr>
                <w:rFonts w:eastAsiaTheme="minorEastAsia"/>
                <w:noProof/>
                <w:lang w:eastAsia="en-ZA"/>
              </w:rPr>
              <w:tab/>
            </w:r>
            <w:r w:rsidR="00E86EEC" w:rsidRPr="00C14041">
              <w:rPr>
                <w:rStyle w:val="Hyperlink"/>
                <w:rFonts w:ascii="Arial" w:eastAsiaTheme="majorEastAsia" w:hAnsi="Arial" w:cs="Arial"/>
                <w:noProof/>
                <w:lang w:eastAsia="en-ZA"/>
              </w:rPr>
              <w:t>South African Social Security Agency (SASSA)</w:t>
            </w:r>
            <w:r w:rsidR="00E86EEC">
              <w:rPr>
                <w:noProof/>
                <w:webHidden/>
              </w:rPr>
              <w:tab/>
            </w:r>
            <w:r>
              <w:rPr>
                <w:noProof/>
                <w:webHidden/>
              </w:rPr>
              <w:fldChar w:fldCharType="begin"/>
            </w:r>
            <w:r w:rsidR="00E86EEC">
              <w:rPr>
                <w:noProof/>
                <w:webHidden/>
              </w:rPr>
              <w:instrText xml:space="preserve"> PAGEREF _Toc494725480 \h </w:instrText>
            </w:r>
            <w:r>
              <w:rPr>
                <w:noProof/>
                <w:webHidden/>
              </w:rPr>
            </w:r>
            <w:r>
              <w:rPr>
                <w:noProof/>
                <w:webHidden/>
              </w:rPr>
              <w:fldChar w:fldCharType="separate"/>
            </w:r>
            <w:r w:rsidR="00E86EEC">
              <w:rPr>
                <w:noProof/>
                <w:webHidden/>
              </w:rPr>
              <w:t>5</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1" w:history="1">
            <w:r w:rsidR="00E86EEC" w:rsidRPr="00C14041">
              <w:rPr>
                <w:rStyle w:val="Hyperlink"/>
                <w:rFonts w:ascii="Arial" w:eastAsiaTheme="majorEastAsia" w:hAnsi="Arial" w:cs="Arial"/>
                <w:noProof/>
                <w:lang w:eastAsia="en-ZA"/>
              </w:rPr>
              <w:t>2.1.</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6</w:t>
            </w:r>
            <w:r w:rsidR="00E86EEC">
              <w:rPr>
                <w:noProof/>
                <w:webHidden/>
              </w:rPr>
              <w:tab/>
            </w:r>
            <w:r>
              <w:rPr>
                <w:noProof/>
                <w:webHidden/>
              </w:rPr>
              <w:fldChar w:fldCharType="begin"/>
            </w:r>
            <w:r w:rsidR="00E86EEC">
              <w:rPr>
                <w:noProof/>
                <w:webHidden/>
              </w:rPr>
              <w:instrText xml:space="preserve"> PAGEREF _Toc494725481 \h </w:instrText>
            </w:r>
            <w:r>
              <w:rPr>
                <w:noProof/>
                <w:webHidden/>
              </w:rPr>
            </w:r>
            <w:r>
              <w:rPr>
                <w:noProof/>
                <w:webHidden/>
              </w:rPr>
              <w:fldChar w:fldCharType="separate"/>
            </w:r>
            <w:r w:rsidR="00E86EEC">
              <w:rPr>
                <w:noProof/>
                <w:webHidden/>
              </w:rPr>
              <w:t>5</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2" w:history="1">
            <w:r w:rsidR="00E86EEC" w:rsidRPr="00C14041">
              <w:rPr>
                <w:rStyle w:val="Hyperlink"/>
                <w:rFonts w:ascii="Arial" w:eastAsiaTheme="majorEastAsia" w:hAnsi="Arial" w:cs="Arial"/>
                <w:noProof/>
                <w:lang w:eastAsia="en-ZA"/>
              </w:rPr>
              <w:t>2.2.</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_Toc494725482 \h </w:instrText>
            </w:r>
            <w:r>
              <w:rPr>
                <w:noProof/>
                <w:webHidden/>
              </w:rPr>
            </w:r>
            <w:r>
              <w:rPr>
                <w:noProof/>
                <w:webHidden/>
              </w:rPr>
              <w:fldChar w:fldCharType="separate"/>
            </w:r>
            <w:r w:rsidR="00E86EEC">
              <w:rPr>
                <w:noProof/>
                <w:webHidden/>
              </w:rPr>
              <w:t>5</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3" w:history="1">
            <w:r w:rsidR="00E86EEC" w:rsidRPr="00C14041">
              <w:rPr>
                <w:rStyle w:val="Hyperlink"/>
                <w:rFonts w:ascii="Arial" w:eastAsiaTheme="majorEastAsia" w:hAnsi="Arial" w:cs="Arial"/>
                <w:noProof/>
                <w:lang w:eastAsia="en-ZA"/>
              </w:rPr>
              <w:t>2.3.</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7</w:t>
            </w:r>
            <w:r w:rsidR="00E86EEC">
              <w:rPr>
                <w:noProof/>
                <w:webHidden/>
              </w:rPr>
              <w:tab/>
            </w:r>
            <w:r>
              <w:rPr>
                <w:noProof/>
                <w:webHidden/>
              </w:rPr>
              <w:fldChar w:fldCharType="begin"/>
            </w:r>
            <w:r w:rsidR="00E86EEC">
              <w:rPr>
                <w:noProof/>
                <w:webHidden/>
              </w:rPr>
              <w:instrText xml:space="preserve"> PAGEREF _Toc494725483 \h </w:instrText>
            </w:r>
            <w:r>
              <w:rPr>
                <w:noProof/>
                <w:webHidden/>
              </w:rPr>
            </w:r>
            <w:r>
              <w:rPr>
                <w:noProof/>
                <w:webHidden/>
              </w:rPr>
              <w:fldChar w:fldCharType="separate"/>
            </w:r>
            <w:r w:rsidR="00E86EEC">
              <w:rPr>
                <w:noProof/>
                <w:webHidden/>
              </w:rPr>
              <w:t>6</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4" w:history="1">
            <w:r w:rsidR="00E86EEC" w:rsidRPr="00C14041">
              <w:rPr>
                <w:rStyle w:val="Hyperlink"/>
                <w:rFonts w:ascii="Arial" w:eastAsiaTheme="majorEastAsia" w:hAnsi="Arial" w:cs="Arial"/>
                <w:noProof/>
                <w:lang w:eastAsia="en-ZA"/>
              </w:rPr>
              <w:t>2.4.</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_Toc494725484 \h </w:instrText>
            </w:r>
            <w:r>
              <w:rPr>
                <w:noProof/>
                <w:webHidden/>
              </w:rPr>
            </w:r>
            <w:r>
              <w:rPr>
                <w:noProof/>
                <w:webHidden/>
              </w:rPr>
              <w:fldChar w:fldCharType="separate"/>
            </w:r>
            <w:r w:rsidR="00E86EEC">
              <w:rPr>
                <w:noProof/>
                <w:webHidden/>
              </w:rPr>
              <w:t>6</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5" w:history="1">
            <w:r w:rsidR="00E86EEC" w:rsidRPr="00C14041">
              <w:rPr>
                <w:rStyle w:val="Hyperlink"/>
                <w:rFonts w:ascii="Arial" w:eastAsiaTheme="majorEastAsia" w:hAnsi="Arial" w:cs="Arial"/>
                <w:noProof/>
                <w:lang w:eastAsia="en-ZA"/>
              </w:rPr>
              <w:t>2.5.</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8</w:t>
            </w:r>
            <w:r w:rsidR="00E86EEC">
              <w:rPr>
                <w:noProof/>
                <w:webHidden/>
              </w:rPr>
              <w:tab/>
            </w:r>
            <w:r>
              <w:rPr>
                <w:noProof/>
                <w:webHidden/>
              </w:rPr>
              <w:fldChar w:fldCharType="begin"/>
            </w:r>
            <w:r w:rsidR="00E86EEC">
              <w:rPr>
                <w:noProof/>
                <w:webHidden/>
              </w:rPr>
              <w:instrText xml:space="preserve"> PAGEREF _Toc494725485 \h </w:instrText>
            </w:r>
            <w:r>
              <w:rPr>
                <w:noProof/>
                <w:webHidden/>
              </w:rPr>
            </w:r>
            <w:r>
              <w:rPr>
                <w:noProof/>
                <w:webHidden/>
              </w:rPr>
              <w:fldChar w:fldCharType="separate"/>
            </w:r>
            <w:r w:rsidR="00E86EEC">
              <w:rPr>
                <w:noProof/>
                <w:webHidden/>
              </w:rPr>
              <w:t>6</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6" w:history="1">
            <w:r w:rsidR="00E86EEC" w:rsidRPr="00C14041">
              <w:rPr>
                <w:rStyle w:val="Hyperlink"/>
                <w:rFonts w:ascii="Arial" w:eastAsiaTheme="majorEastAsia" w:hAnsi="Arial" w:cs="Arial"/>
                <w:noProof/>
                <w:lang w:eastAsia="en-ZA"/>
              </w:rPr>
              <w:t>2.6.</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_Toc494725486 \h </w:instrText>
            </w:r>
            <w:r>
              <w:rPr>
                <w:noProof/>
                <w:webHidden/>
              </w:rPr>
            </w:r>
            <w:r>
              <w:rPr>
                <w:noProof/>
                <w:webHidden/>
              </w:rPr>
              <w:fldChar w:fldCharType="separate"/>
            </w:r>
            <w:r w:rsidR="00E86EEC">
              <w:rPr>
                <w:noProof/>
                <w:webHidden/>
              </w:rPr>
              <w:t>7</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7" w:history="1">
            <w:r w:rsidR="00E86EEC" w:rsidRPr="00C14041">
              <w:rPr>
                <w:rStyle w:val="Hyperlink"/>
                <w:rFonts w:ascii="Arial" w:eastAsiaTheme="majorEastAsia" w:hAnsi="Arial" w:cs="Arial"/>
                <w:noProof/>
                <w:lang w:eastAsia="en-ZA"/>
              </w:rPr>
              <w:t>2.7.</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9</w:t>
            </w:r>
            <w:r w:rsidR="00E86EEC">
              <w:rPr>
                <w:noProof/>
                <w:webHidden/>
              </w:rPr>
              <w:tab/>
            </w:r>
            <w:r>
              <w:rPr>
                <w:noProof/>
                <w:webHidden/>
              </w:rPr>
              <w:fldChar w:fldCharType="begin"/>
            </w:r>
            <w:r w:rsidR="00E86EEC">
              <w:rPr>
                <w:noProof/>
                <w:webHidden/>
              </w:rPr>
              <w:instrText xml:space="preserve"> PAGEREF _Toc494725487 \h </w:instrText>
            </w:r>
            <w:r>
              <w:rPr>
                <w:noProof/>
                <w:webHidden/>
              </w:rPr>
            </w:r>
            <w:r>
              <w:rPr>
                <w:noProof/>
                <w:webHidden/>
              </w:rPr>
              <w:fldChar w:fldCharType="separate"/>
            </w:r>
            <w:r w:rsidR="00E86EEC">
              <w:rPr>
                <w:noProof/>
                <w:webHidden/>
              </w:rPr>
              <w:t>7</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8" w:history="1">
            <w:r w:rsidR="00E86EEC" w:rsidRPr="00C14041">
              <w:rPr>
                <w:rStyle w:val="Hyperlink"/>
                <w:rFonts w:ascii="Arial" w:eastAsiaTheme="majorEastAsia" w:hAnsi="Arial" w:cs="Arial"/>
                <w:noProof/>
                <w:lang w:eastAsia="en-ZA"/>
              </w:rPr>
              <w:t>2.8.</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_Toc494725488 \h </w:instrText>
            </w:r>
            <w:r>
              <w:rPr>
                <w:noProof/>
                <w:webHidden/>
              </w:rPr>
            </w:r>
            <w:r>
              <w:rPr>
                <w:noProof/>
                <w:webHidden/>
              </w:rPr>
              <w:fldChar w:fldCharType="separate"/>
            </w:r>
            <w:r w:rsidR="00E86EEC">
              <w:rPr>
                <w:noProof/>
                <w:webHidden/>
              </w:rPr>
              <w:t>7</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89" w:history="1">
            <w:r w:rsidR="00E86EEC" w:rsidRPr="00C14041">
              <w:rPr>
                <w:rStyle w:val="Hyperlink"/>
                <w:rFonts w:ascii="Arial" w:eastAsiaTheme="majorEastAsia" w:hAnsi="Arial" w:cs="Arial"/>
                <w:noProof/>
                <w:lang w:eastAsia="en-ZA"/>
              </w:rPr>
              <w:t>2.9.</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10</w:t>
            </w:r>
            <w:r w:rsidR="00E86EEC">
              <w:rPr>
                <w:noProof/>
                <w:webHidden/>
              </w:rPr>
              <w:tab/>
            </w:r>
            <w:r>
              <w:rPr>
                <w:noProof/>
                <w:webHidden/>
              </w:rPr>
              <w:fldChar w:fldCharType="begin"/>
            </w:r>
            <w:r w:rsidR="00E86EEC">
              <w:rPr>
                <w:noProof/>
                <w:webHidden/>
              </w:rPr>
              <w:instrText xml:space="preserve"> PAGEREF _Toc494725489 \h </w:instrText>
            </w:r>
            <w:r>
              <w:rPr>
                <w:noProof/>
                <w:webHidden/>
              </w:rPr>
            </w:r>
            <w:r>
              <w:rPr>
                <w:noProof/>
                <w:webHidden/>
              </w:rPr>
              <w:fldChar w:fldCharType="separate"/>
            </w:r>
            <w:r w:rsidR="00E86EEC">
              <w:rPr>
                <w:noProof/>
                <w:webHidden/>
              </w:rPr>
              <w:t>7</w:t>
            </w:r>
            <w:r>
              <w:rPr>
                <w:noProof/>
                <w:webHidden/>
              </w:rPr>
              <w:fldChar w:fldCharType="end"/>
            </w:r>
          </w:hyperlink>
        </w:p>
        <w:p w:rsidR="00E86EEC" w:rsidRDefault="006706DC">
          <w:pPr>
            <w:pStyle w:val="TOC1"/>
            <w:tabs>
              <w:tab w:val="left" w:pos="880"/>
              <w:tab w:val="right" w:leader="dot" w:pos="9016"/>
            </w:tabs>
            <w:rPr>
              <w:rFonts w:eastAsiaTheme="minorEastAsia"/>
              <w:noProof/>
              <w:lang w:eastAsia="en-ZA"/>
            </w:rPr>
          </w:pPr>
          <w:hyperlink w:anchor="_Toc494725490" w:history="1">
            <w:r w:rsidR="00E86EEC" w:rsidRPr="00C14041">
              <w:rPr>
                <w:rStyle w:val="Hyperlink"/>
                <w:rFonts w:ascii="Arial" w:eastAsiaTheme="majorEastAsia" w:hAnsi="Arial" w:cs="Arial"/>
                <w:noProof/>
                <w:lang w:eastAsia="en-ZA"/>
              </w:rPr>
              <w:t>2.10.</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_Toc494725490 \h </w:instrText>
            </w:r>
            <w:r>
              <w:rPr>
                <w:noProof/>
                <w:webHidden/>
              </w:rPr>
            </w:r>
            <w:r>
              <w:rPr>
                <w:noProof/>
                <w:webHidden/>
              </w:rPr>
              <w:fldChar w:fldCharType="separate"/>
            </w:r>
            <w:r w:rsidR="00E86EEC">
              <w:rPr>
                <w:noProof/>
                <w:webHidden/>
              </w:rPr>
              <w:t>8</w:t>
            </w:r>
            <w:r>
              <w:rPr>
                <w:noProof/>
                <w:webHidden/>
              </w:rPr>
              <w:fldChar w:fldCharType="end"/>
            </w:r>
          </w:hyperlink>
        </w:p>
        <w:p w:rsidR="00E86EEC" w:rsidRDefault="006706DC">
          <w:pPr>
            <w:pStyle w:val="TOC1"/>
            <w:tabs>
              <w:tab w:val="left" w:pos="440"/>
              <w:tab w:val="right" w:leader="dot" w:pos="9016"/>
            </w:tabs>
            <w:rPr>
              <w:rFonts w:eastAsiaTheme="minorEastAsia"/>
              <w:noProof/>
              <w:lang w:eastAsia="en-ZA"/>
            </w:rPr>
          </w:pPr>
          <w:hyperlink w:anchor="_Toc494725491" w:history="1">
            <w:r w:rsidR="00E86EEC" w:rsidRPr="00C14041">
              <w:rPr>
                <w:rStyle w:val="Hyperlink"/>
                <w:rFonts w:ascii="Arial" w:eastAsiaTheme="majorEastAsia" w:hAnsi="Arial" w:cs="Arial"/>
                <w:noProof/>
                <w:lang w:eastAsia="en-ZA"/>
              </w:rPr>
              <w:t>3.</w:t>
            </w:r>
            <w:r w:rsidR="00E86EEC">
              <w:rPr>
                <w:rFonts w:eastAsiaTheme="minorEastAsia"/>
                <w:noProof/>
                <w:lang w:eastAsia="en-ZA"/>
              </w:rPr>
              <w:tab/>
            </w:r>
            <w:r w:rsidR="00E86EEC" w:rsidRPr="00C14041">
              <w:rPr>
                <w:rStyle w:val="Hyperlink"/>
                <w:rFonts w:ascii="Arial" w:eastAsiaTheme="majorEastAsia" w:hAnsi="Arial" w:cs="Arial"/>
                <w:noProof/>
                <w:lang w:eastAsia="en-ZA"/>
              </w:rPr>
              <w:t>National Development Agency (NDA)</w:t>
            </w:r>
            <w:r w:rsidR="00E86EEC">
              <w:rPr>
                <w:noProof/>
                <w:webHidden/>
              </w:rPr>
              <w:tab/>
            </w:r>
            <w:r>
              <w:rPr>
                <w:noProof/>
                <w:webHidden/>
              </w:rPr>
              <w:fldChar w:fldCharType="begin"/>
            </w:r>
            <w:r w:rsidR="00E86EEC">
              <w:rPr>
                <w:noProof/>
                <w:webHidden/>
              </w:rPr>
              <w:instrText xml:space="preserve"> PAGEREF _Toc494725491 \h </w:instrText>
            </w:r>
            <w:r>
              <w:rPr>
                <w:noProof/>
                <w:webHidden/>
              </w:rPr>
            </w:r>
            <w:r>
              <w:rPr>
                <w:noProof/>
                <w:webHidden/>
              </w:rPr>
              <w:fldChar w:fldCharType="separate"/>
            </w:r>
            <w:r w:rsidR="00E86EEC">
              <w:rPr>
                <w:noProof/>
                <w:webHidden/>
              </w:rPr>
              <w:t>8</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92" w:history="1">
            <w:r w:rsidR="00E86EEC" w:rsidRPr="00C14041">
              <w:rPr>
                <w:rStyle w:val="Hyperlink"/>
                <w:rFonts w:ascii="Arial" w:eastAsiaTheme="majorEastAsia" w:hAnsi="Arial" w:cs="Arial"/>
                <w:noProof/>
                <w:lang w:eastAsia="en-ZA"/>
              </w:rPr>
              <w:t>3.1.</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10</w:t>
            </w:r>
            <w:r w:rsidR="00E86EEC">
              <w:rPr>
                <w:noProof/>
                <w:webHidden/>
              </w:rPr>
              <w:tab/>
            </w:r>
            <w:r>
              <w:rPr>
                <w:noProof/>
                <w:webHidden/>
              </w:rPr>
              <w:fldChar w:fldCharType="begin"/>
            </w:r>
            <w:r w:rsidR="00E86EEC">
              <w:rPr>
                <w:noProof/>
                <w:webHidden/>
              </w:rPr>
              <w:instrText xml:space="preserve"> PAGEREF _Toc494725492 \h </w:instrText>
            </w:r>
            <w:r>
              <w:rPr>
                <w:noProof/>
                <w:webHidden/>
              </w:rPr>
            </w:r>
            <w:r>
              <w:rPr>
                <w:noProof/>
                <w:webHidden/>
              </w:rPr>
              <w:fldChar w:fldCharType="separate"/>
            </w:r>
            <w:r w:rsidR="00E86EEC">
              <w:rPr>
                <w:noProof/>
                <w:webHidden/>
              </w:rPr>
              <w:t>8</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93" w:history="1">
            <w:r w:rsidR="00E86EEC" w:rsidRPr="00C14041">
              <w:rPr>
                <w:rStyle w:val="Hyperlink"/>
                <w:rFonts w:ascii="Arial" w:eastAsiaTheme="majorEastAsia" w:hAnsi="Arial" w:cs="Arial"/>
                <w:noProof/>
                <w:lang w:eastAsia="en-ZA"/>
              </w:rPr>
              <w:t>3.2.</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_Toc494725493 \h </w:instrText>
            </w:r>
            <w:r>
              <w:rPr>
                <w:noProof/>
                <w:webHidden/>
              </w:rPr>
            </w:r>
            <w:r>
              <w:rPr>
                <w:noProof/>
                <w:webHidden/>
              </w:rPr>
              <w:fldChar w:fldCharType="separate"/>
            </w:r>
            <w:r w:rsidR="00E86EEC">
              <w:rPr>
                <w:noProof/>
                <w:webHidden/>
              </w:rPr>
              <w:t>8</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94" w:history="1">
            <w:r w:rsidR="00E86EEC" w:rsidRPr="00C14041">
              <w:rPr>
                <w:rStyle w:val="Hyperlink"/>
                <w:rFonts w:ascii="Arial" w:eastAsiaTheme="majorEastAsia" w:hAnsi="Arial" w:cs="Arial"/>
                <w:noProof/>
                <w:lang w:eastAsia="en-ZA"/>
              </w:rPr>
              <w:t>3.3.</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11</w:t>
            </w:r>
            <w:r w:rsidR="00E86EEC">
              <w:rPr>
                <w:noProof/>
                <w:webHidden/>
              </w:rPr>
              <w:tab/>
            </w:r>
            <w:r>
              <w:rPr>
                <w:noProof/>
                <w:webHidden/>
              </w:rPr>
              <w:fldChar w:fldCharType="begin"/>
            </w:r>
            <w:r w:rsidR="00E86EEC">
              <w:rPr>
                <w:noProof/>
                <w:webHidden/>
              </w:rPr>
              <w:instrText xml:space="preserve"> PAGEREF _Toc494725494 \h </w:instrText>
            </w:r>
            <w:r>
              <w:rPr>
                <w:noProof/>
                <w:webHidden/>
              </w:rPr>
            </w:r>
            <w:r>
              <w:rPr>
                <w:noProof/>
                <w:webHidden/>
              </w:rPr>
              <w:fldChar w:fldCharType="separate"/>
            </w:r>
            <w:r w:rsidR="00E86EEC">
              <w:rPr>
                <w:noProof/>
                <w:webHidden/>
              </w:rPr>
              <w:t>9</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95" w:history="1">
            <w:r w:rsidR="00E86EEC" w:rsidRPr="00C14041">
              <w:rPr>
                <w:rStyle w:val="Hyperlink"/>
                <w:rFonts w:ascii="Arial" w:eastAsiaTheme="majorEastAsia" w:hAnsi="Arial" w:cs="Arial"/>
                <w:noProof/>
                <w:lang w:eastAsia="en-ZA"/>
              </w:rPr>
              <w:t>3.4.</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_Toc494725495 \h </w:instrText>
            </w:r>
            <w:r>
              <w:rPr>
                <w:noProof/>
                <w:webHidden/>
              </w:rPr>
            </w:r>
            <w:r>
              <w:rPr>
                <w:noProof/>
                <w:webHidden/>
              </w:rPr>
              <w:fldChar w:fldCharType="separate"/>
            </w:r>
            <w:r w:rsidR="00E86EEC">
              <w:rPr>
                <w:noProof/>
                <w:webHidden/>
              </w:rPr>
              <w:t>9</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96" w:history="1">
            <w:r w:rsidR="00E86EEC" w:rsidRPr="00C14041">
              <w:rPr>
                <w:rStyle w:val="Hyperlink"/>
                <w:rFonts w:ascii="Arial" w:eastAsiaTheme="majorEastAsia" w:hAnsi="Arial" w:cs="Arial"/>
                <w:noProof/>
                <w:lang w:eastAsia="en-ZA"/>
              </w:rPr>
              <w:t>3.5.</w:t>
            </w:r>
            <w:r w:rsidR="00E86EEC">
              <w:rPr>
                <w:rFonts w:eastAsiaTheme="minorEastAsia"/>
                <w:noProof/>
                <w:lang w:eastAsia="en-ZA"/>
              </w:rPr>
              <w:tab/>
            </w:r>
            <w:r w:rsidR="00E86EEC" w:rsidRPr="00C14041">
              <w:rPr>
                <w:rStyle w:val="Hyperlink"/>
                <w:rFonts w:ascii="Arial" w:eastAsiaTheme="majorEastAsia" w:hAnsi="Arial" w:cs="Arial"/>
                <w:noProof/>
                <w:lang w:eastAsia="en-ZA"/>
              </w:rPr>
              <w:t>Recommendation 12</w:t>
            </w:r>
            <w:r w:rsidR="00E86EEC">
              <w:rPr>
                <w:noProof/>
                <w:webHidden/>
              </w:rPr>
              <w:tab/>
            </w:r>
            <w:r>
              <w:rPr>
                <w:noProof/>
                <w:webHidden/>
              </w:rPr>
              <w:fldChar w:fldCharType="begin"/>
            </w:r>
            <w:r w:rsidR="00E86EEC">
              <w:rPr>
                <w:noProof/>
                <w:webHidden/>
              </w:rPr>
              <w:instrText xml:space="preserve"> PAGEREF _Toc494725496 \h </w:instrText>
            </w:r>
            <w:r>
              <w:rPr>
                <w:noProof/>
                <w:webHidden/>
              </w:rPr>
            </w:r>
            <w:r>
              <w:rPr>
                <w:noProof/>
                <w:webHidden/>
              </w:rPr>
              <w:fldChar w:fldCharType="separate"/>
            </w:r>
            <w:r w:rsidR="00E86EEC">
              <w:rPr>
                <w:noProof/>
                <w:webHidden/>
              </w:rPr>
              <w:t>9</w:t>
            </w:r>
            <w:r>
              <w:rPr>
                <w:noProof/>
                <w:webHidden/>
              </w:rPr>
              <w:fldChar w:fldCharType="end"/>
            </w:r>
          </w:hyperlink>
        </w:p>
        <w:p w:rsidR="00E86EEC" w:rsidRDefault="006706DC">
          <w:pPr>
            <w:pStyle w:val="TOC1"/>
            <w:tabs>
              <w:tab w:val="left" w:pos="660"/>
              <w:tab w:val="right" w:leader="dot" w:pos="9016"/>
            </w:tabs>
            <w:rPr>
              <w:rFonts w:eastAsiaTheme="minorEastAsia"/>
              <w:noProof/>
              <w:lang w:eastAsia="en-ZA"/>
            </w:rPr>
          </w:pPr>
          <w:hyperlink w:anchor="_Toc494725497" w:history="1">
            <w:r w:rsidR="00E86EEC" w:rsidRPr="00C14041">
              <w:rPr>
                <w:rStyle w:val="Hyperlink"/>
                <w:rFonts w:ascii="Arial" w:eastAsiaTheme="majorEastAsia" w:hAnsi="Arial" w:cs="Arial"/>
                <w:noProof/>
                <w:lang w:eastAsia="en-ZA"/>
              </w:rPr>
              <w:t>3.6.</w:t>
            </w:r>
            <w:r w:rsidR="00E86EEC">
              <w:rPr>
                <w:rFonts w:eastAsiaTheme="minorEastAsia"/>
                <w:noProof/>
                <w:lang w:eastAsia="en-ZA"/>
              </w:rPr>
              <w:tab/>
            </w:r>
            <w:r w:rsidR="00E86EEC" w:rsidRPr="00C14041">
              <w:rPr>
                <w:rStyle w:val="Hyperlink"/>
                <w:rFonts w:ascii="Arial" w:eastAsiaTheme="majorEastAsia" w:hAnsi="Arial" w:cs="Arial"/>
                <w:noProof/>
                <w:lang w:eastAsia="en-ZA"/>
              </w:rPr>
              <w:t>Progress:</w:t>
            </w:r>
            <w:r w:rsidR="00E86EEC">
              <w:rPr>
                <w:noProof/>
                <w:webHidden/>
              </w:rPr>
              <w:tab/>
            </w:r>
            <w:r>
              <w:rPr>
                <w:noProof/>
                <w:webHidden/>
              </w:rPr>
              <w:fldChar w:fldCharType="begin"/>
            </w:r>
            <w:r w:rsidR="00E86EEC">
              <w:rPr>
                <w:noProof/>
                <w:webHidden/>
              </w:rPr>
              <w:instrText xml:space="preserve"> PAGEREF _Toc494725497 \h </w:instrText>
            </w:r>
            <w:r>
              <w:rPr>
                <w:noProof/>
                <w:webHidden/>
              </w:rPr>
            </w:r>
            <w:r>
              <w:rPr>
                <w:noProof/>
                <w:webHidden/>
              </w:rPr>
              <w:fldChar w:fldCharType="separate"/>
            </w:r>
            <w:r w:rsidR="00E86EEC">
              <w:rPr>
                <w:noProof/>
                <w:webHidden/>
              </w:rPr>
              <w:t>9</w:t>
            </w:r>
            <w:r>
              <w:rPr>
                <w:noProof/>
                <w:webHidden/>
              </w:rPr>
              <w:fldChar w:fldCharType="end"/>
            </w:r>
          </w:hyperlink>
        </w:p>
        <w:p w:rsidR="0007070C" w:rsidRDefault="006706DC">
          <w:r>
            <w:rPr>
              <w:b/>
              <w:bCs/>
              <w:noProof/>
            </w:rPr>
            <w:fldChar w:fldCharType="end"/>
          </w:r>
        </w:p>
      </w:sdtContent>
    </w:sdt>
    <w:p w:rsidR="0007070C" w:rsidRDefault="0007070C">
      <w:pPr>
        <w:rPr>
          <w:rFonts w:asciiTheme="majorHAnsi" w:eastAsiaTheme="majorEastAsia" w:hAnsiTheme="majorHAnsi" w:cstheme="majorBidi"/>
          <w:b/>
          <w:bCs/>
          <w:sz w:val="28"/>
          <w:szCs w:val="28"/>
          <w:lang w:eastAsia="en-ZA"/>
        </w:rPr>
      </w:pPr>
      <w:r>
        <w:rPr>
          <w:rFonts w:asciiTheme="majorHAnsi" w:eastAsiaTheme="majorEastAsia" w:hAnsiTheme="majorHAnsi" w:cstheme="majorBidi"/>
          <w:sz w:val="28"/>
          <w:szCs w:val="28"/>
          <w:lang w:eastAsia="en-ZA"/>
        </w:rPr>
        <w:br w:type="page"/>
      </w:r>
    </w:p>
    <w:p w:rsidR="00B35C48" w:rsidRPr="00E86EEC" w:rsidRDefault="0010508E" w:rsidP="00A16166">
      <w:pPr>
        <w:pStyle w:val="Heading1"/>
        <w:keepLines/>
        <w:spacing w:before="100" w:beforeAutospacing="1" w:after="0" w:line="360" w:lineRule="auto"/>
        <w:rPr>
          <w:rFonts w:ascii="Arial" w:eastAsiaTheme="majorEastAsia" w:hAnsi="Arial" w:cs="Arial"/>
          <w:kern w:val="0"/>
          <w:sz w:val="28"/>
          <w:szCs w:val="28"/>
          <w:lang w:val="en-ZA" w:eastAsia="en-ZA"/>
        </w:rPr>
      </w:pPr>
      <w:bookmarkStart w:id="1" w:name="_Toc494725468"/>
      <w:r w:rsidRPr="00E86EEC">
        <w:rPr>
          <w:rFonts w:ascii="Arial" w:eastAsiaTheme="majorEastAsia" w:hAnsi="Arial" w:cs="Arial"/>
          <w:kern w:val="0"/>
          <w:sz w:val="28"/>
          <w:szCs w:val="28"/>
          <w:lang w:val="en-ZA" w:eastAsia="en-ZA"/>
        </w:rPr>
        <w:lastRenderedPageBreak/>
        <w:t>Introduction</w:t>
      </w:r>
      <w:bookmarkEnd w:id="1"/>
      <w:r w:rsidRPr="00E86EEC">
        <w:rPr>
          <w:rFonts w:ascii="Arial" w:eastAsiaTheme="majorEastAsia" w:hAnsi="Arial" w:cs="Arial"/>
          <w:kern w:val="0"/>
          <w:sz w:val="28"/>
          <w:szCs w:val="28"/>
          <w:lang w:val="en-ZA" w:eastAsia="en-ZA"/>
        </w:rPr>
        <w:t xml:space="preserve"> </w:t>
      </w:r>
    </w:p>
    <w:p w:rsidR="0010508E" w:rsidRPr="00E86EEC" w:rsidRDefault="0010508E" w:rsidP="00A16166">
      <w:pPr>
        <w:spacing w:line="360" w:lineRule="auto"/>
        <w:jc w:val="both"/>
        <w:rPr>
          <w:rFonts w:ascii="Arial" w:hAnsi="Arial" w:cs="Arial"/>
        </w:rPr>
      </w:pPr>
      <w:r w:rsidRPr="00E86EEC">
        <w:rPr>
          <w:rFonts w:ascii="Arial" w:hAnsi="Arial" w:cs="Arial"/>
        </w:rPr>
        <w:t xml:space="preserve">Progress on the Budgetary Review and Recommendation Report (BRRR) of the Portfolio Committee on Social Development, on the performance of the Department of Social Development and its entities for the 2015/16 financial year, dated 26 October 2016. </w:t>
      </w:r>
    </w:p>
    <w:p w:rsidR="005179FC" w:rsidRPr="00E86EEC" w:rsidRDefault="00DB68F6" w:rsidP="0074225A">
      <w:pPr>
        <w:pStyle w:val="Heading1"/>
        <w:keepLines/>
        <w:numPr>
          <w:ilvl w:val="0"/>
          <w:numId w:val="10"/>
        </w:numPr>
        <w:spacing w:before="480" w:after="0" w:line="360" w:lineRule="auto"/>
        <w:rPr>
          <w:rFonts w:ascii="Arial" w:eastAsiaTheme="majorEastAsia" w:hAnsi="Arial" w:cs="Arial"/>
          <w:kern w:val="0"/>
          <w:sz w:val="28"/>
          <w:szCs w:val="28"/>
          <w:lang w:val="en-ZA" w:eastAsia="en-ZA"/>
        </w:rPr>
      </w:pPr>
      <w:bookmarkStart w:id="2" w:name="_Toc494725469"/>
      <w:r w:rsidRPr="00E86EEC">
        <w:rPr>
          <w:rFonts w:ascii="Arial" w:eastAsiaTheme="majorEastAsia" w:hAnsi="Arial" w:cs="Arial"/>
          <w:kern w:val="0"/>
          <w:sz w:val="28"/>
          <w:szCs w:val="28"/>
          <w:lang w:val="en-ZA" w:eastAsia="en-ZA"/>
        </w:rPr>
        <w:t>Department of Social Development</w:t>
      </w:r>
      <w:r w:rsidR="004B7543" w:rsidRPr="00E86EEC">
        <w:rPr>
          <w:rFonts w:ascii="Arial" w:eastAsiaTheme="majorEastAsia" w:hAnsi="Arial" w:cs="Arial"/>
          <w:kern w:val="0"/>
          <w:sz w:val="28"/>
          <w:szCs w:val="28"/>
          <w:lang w:val="en-ZA" w:eastAsia="en-ZA"/>
        </w:rPr>
        <w:t xml:space="preserve"> </w:t>
      </w:r>
      <w:r w:rsidRPr="00E86EEC">
        <w:rPr>
          <w:rFonts w:ascii="Arial" w:eastAsiaTheme="majorEastAsia" w:hAnsi="Arial" w:cs="Arial"/>
          <w:kern w:val="0"/>
          <w:sz w:val="28"/>
          <w:szCs w:val="28"/>
          <w:lang w:val="en-ZA" w:eastAsia="en-ZA"/>
        </w:rPr>
        <w:t>(DSD)</w:t>
      </w:r>
      <w:bookmarkEnd w:id="2"/>
    </w:p>
    <w:p w:rsidR="0007070C" w:rsidRPr="00E86EEC" w:rsidRDefault="0007070C" w:rsidP="0007070C">
      <w:pPr>
        <w:pStyle w:val="Heading1"/>
        <w:keepLines/>
        <w:numPr>
          <w:ilvl w:val="1"/>
          <w:numId w:val="10"/>
        </w:numPr>
        <w:spacing w:before="480" w:after="0" w:line="360" w:lineRule="auto"/>
        <w:rPr>
          <w:rFonts w:ascii="Arial" w:eastAsiaTheme="majorEastAsia" w:hAnsi="Arial" w:cs="Arial"/>
          <w:kern w:val="0"/>
          <w:sz w:val="24"/>
          <w:szCs w:val="28"/>
          <w:lang w:val="en-ZA" w:eastAsia="en-ZA"/>
        </w:rPr>
      </w:pPr>
      <w:bookmarkStart w:id="3" w:name="_Toc494725470"/>
      <w:r w:rsidRPr="00E86EEC">
        <w:rPr>
          <w:rFonts w:ascii="Arial" w:eastAsiaTheme="majorEastAsia" w:hAnsi="Arial" w:cs="Arial"/>
          <w:kern w:val="0"/>
          <w:sz w:val="24"/>
          <w:szCs w:val="28"/>
          <w:lang w:val="en-ZA" w:eastAsia="en-ZA"/>
        </w:rPr>
        <w:t>Recommendation 1:</w:t>
      </w:r>
      <w:bookmarkEnd w:id="3"/>
      <w:r w:rsidRPr="00E86EEC">
        <w:rPr>
          <w:rFonts w:ascii="Arial" w:eastAsiaTheme="majorEastAsia" w:hAnsi="Arial" w:cs="Arial"/>
          <w:kern w:val="0"/>
          <w:sz w:val="24"/>
          <w:szCs w:val="28"/>
          <w:lang w:val="en-ZA" w:eastAsia="en-ZA"/>
        </w:rPr>
        <w:t xml:space="preserve"> </w:t>
      </w:r>
    </w:p>
    <w:p w:rsidR="0007070C" w:rsidRPr="00E86EEC" w:rsidRDefault="00FE6DCB" w:rsidP="0007070C">
      <w:pPr>
        <w:spacing w:after="0" w:line="360" w:lineRule="auto"/>
        <w:jc w:val="both"/>
        <w:rPr>
          <w:rFonts w:ascii="Arial" w:hAnsi="Arial" w:cs="Arial"/>
        </w:rPr>
      </w:pPr>
      <w:r w:rsidRPr="00E86EEC">
        <w:rPr>
          <w:rFonts w:ascii="Arial" w:hAnsi="Arial" w:cs="Arial"/>
        </w:rPr>
        <w:t>The Minister must ensure that the Department acts on its undertaking to the Committee that it will correct the manner in which it has been implementing virements between its programmes as from 2017/2018 financial year. There should be strict monitoring and evaluation processes in the implementation of virements. The Department should inform the Committee on regular basis on its intentions to shifts funds between programmes.</w:t>
      </w:r>
    </w:p>
    <w:p w:rsidR="00FE6DCB" w:rsidRPr="00E86EEC" w:rsidRDefault="0007070C"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4" w:name="_Toc494725471"/>
      <w:r w:rsidRPr="00E86EEC">
        <w:rPr>
          <w:rFonts w:ascii="Arial" w:eastAsiaTheme="majorEastAsia" w:hAnsi="Arial" w:cs="Arial"/>
          <w:kern w:val="0"/>
          <w:sz w:val="24"/>
          <w:szCs w:val="28"/>
          <w:lang w:val="en-ZA" w:eastAsia="en-ZA"/>
        </w:rPr>
        <w:t>Progress:</w:t>
      </w:r>
      <w:bookmarkEnd w:id="4"/>
      <w:r w:rsidRPr="00E86EEC">
        <w:rPr>
          <w:rFonts w:ascii="Arial" w:eastAsiaTheme="majorEastAsia" w:hAnsi="Arial" w:cs="Arial"/>
          <w:kern w:val="0"/>
          <w:sz w:val="24"/>
          <w:szCs w:val="28"/>
          <w:lang w:val="en-ZA" w:eastAsia="en-ZA"/>
        </w:rPr>
        <w:t xml:space="preserve"> </w:t>
      </w:r>
      <w:r w:rsidR="00FE6DCB" w:rsidRPr="00E86EEC">
        <w:rPr>
          <w:rFonts w:ascii="Arial" w:eastAsiaTheme="majorEastAsia" w:hAnsi="Arial" w:cs="Arial"/>
          <w:kern w:val="0"/>
          <w:sz w:val="24"/>
          <w:szCs w:val="28"/>
          <w:lang w:val="en-ZA" w:eastAsia="en-ZA"/>
        </w:rPr>
        <w:t xml:space="preserve"> </w:t>
      </w:r>
    </w:p>
    <w:p w:rsidR="009A4CEC" w:rsidRPr="00CD236A" w:rsidRDefault="009A4CEC" w:rsidP="00CD236A">
      <w:pPr>
        <w:spacing w:line="360" w:lineRule="auto"/>
        <w:jc w:val="both"/>
        <w:rPr>
          <w:rFonts w:ascii="Arial" w:eastAsia="Calibri" w:hAnsi="Arial" w:cs="Arial"/>
        </w:rPr>
      </w:pPr>
      <w:r w:rsidRPr="00CD236A">
        <w:rPr>
          <w:rFonts w:ascii="Arial" w:eastAsia="Calibri" w:hAnsi="Arial" w:cs="Arial"/>
        </w:rPr>
        <w:t xml:space="preserve">Programme 1: Administration </w:t>
      </w:r>
      <w:r w:rsidR="0029044E" w:rsidRPr="00CD236A">
        <w:rPr>
          <w:rFonts w:ascii="Arial" w:eastAsia="Calibri" w:hAnsi="Arial" w:cs="Arial"/>
        </w:rPr>
        <w:t>has</w:t>
      </w:r>
      <w:r w:rsidRPr="00CD236A">
        <w:rPr>
          <w:rFonts w:ascii="Arial" w:eastAsia="Calibri" w:hAnsi="Arial" w:cs="Arial"/>
        </w:rPr>
        <w:t xml:space="preserve"> been underfunded in history due to the centralization of “Mandatory Services” for the Department: These Mandatory services benefitted the “Support and Core Business” of the Department;</w:t>
      </w:r>
    </w:p>
    <w:p w:rsidR="009A4CEC" w:rsidRPr="00CD236A" w:rsidRDefault="009A4CEC" w:rsidP="00CD236A">
      <w:pPr>
        <w:spacing w:line="360" w:lineRule="auto"/>
        <w:jc w:val="both"/>
        <w:rPr>
          <w:rFonts w:ascii="Arial" w:eastAsia="Calibri" w:hAnsi="Arial" w:cs="Arial"/>
        </w:rPr>
      </w:pPr>
      <w:r w:rsidRPr="00CD236A">
        <w:rPr>
          <w:rFonts w:ascii="Arial" w:eastAsia="Calibri" w:hAnsi="Arial" w:cs="Arial"/>
        </w:rPr>
        <w:t>The following “Mandatory Services” are been financed in Programme 1 Administration:</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Audit Fees for A</w:t>
      </w:r>
      <w:r w:rsidR="00A16166" w:rsidRPr="00E86EEC">
        <w:rPr>
          <w:rFonts w:ascii="Arial" w:hAnsi="Arial" w:cs="Arial"/>
          <w:lang w:val="en-US"/>
        </w:rPr>
        <w:t xml:space="preserve">uditor </w:t>
      </w:r>
      <w:r w:rsidRPr="00E86EEC">
        <w:rPr>
          <w:rFonts w:ascii="Arial" w:hAnsi="Arial" w:cs="Arial"/>
          <w:lang w:val="en-US"/>
        </w:rPr>
        <w:t>G</w:t>
      </w:r>
      <w:r w:rsidR="00A16166" w:rsidRPr="00E86EEC">
        <w:rPr>
          <w:rFonts w:ascii="Arial" w:hAnsi="Arial" w:cs="Arial"/>
          <w:lang w:val="en-US"/>
        </w:rPr>
        <w:t>eneral SA</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 xml:space="preserve">Communication charges </w:t>
      </w:r>
      <w:r w:rsidR="0010508E" w:rsidRPr="00E86EEC">
        <w:rPr>
          <w:rFonts w:ascii="Arial" w:hAnsi="Arial" w:cs="Arial"/>
          <w:lang w:val="en-US"/>
        </w:rPr>
        <w:t>e.g.</w:t>
      </w:r>
      <w:r w:rsidRPr="00E86EEC">
        <w:rPr>
          <w:rFonts w:ascii="Arial" w:hAnsi="Arial" w:cs="Arial"/>
          <w:lang w:val="en-US"/>
        </w:rPr>
        <w:t xml:space="preserve"> Telkom, postage, 3G data lines;</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G Fleet services</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Computer services and ICT Infrastructure;</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Security and Cleaning Services</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 xml:space="preserve">Property leases </w:t>
      </w:r>
      <w:r w:rsidR="00ED4AE7" w:rsidRPr="00E86EEC">
        <w:rPr>
          <w:rFonts w:ascii="Arial" w:hAnsi="Arial" w:cs="Arial"/>
          <w:lang w:val="en-US"/>
        </w:rPr>
        <w:t>e.g.</w:t>
      </w:r>
      <w:r w:rsidRPr="00E86EEC">
        <w:rPr>
          <w:rFonts w:ascii="Arial" w:hAnsi="Arial" w:cs="Arial"/>
          <w:lang w:val="en-US"/>
        </w:rPr>
        <w:t xml:space="preserve"> Office accommodation and Municipal accounts;</w:t>
      </w:r>
    </w:p>
    <w:p w:rsidR="009A4CEC" w:rsidRPr="00E86EEC" w:rsidRDefault="009A4CEC" w:rsidP="0007070C">
      <w:pPr>
        <w:numPr>
          <w:ilvl w:val="2"/>
          <w:numId w:val="9"/>
        </w:numPr>
        <w:spacing w:after="0" w:line="360" w:lineRule="auto"/>
        <w:ind w:left="1026"/>
        <w:jc w:val="both"/>
        <w:rPr>
          <w:rFonts w:ascii="Arial" w:hAnsi="Arial" w:cs="Arial"/>
          <w:lang w:val="en-US"/>
        </w:rPr>
      </w:pPr>
      <w:r w:rsidRPr="00E86EEC">
        <w:rPr>
          <w:rFonts w:ascii="Arial" w:hAnsi="Arial" w:cs="Arial"/>
          <w:lang w:val="en-US"/>
        </w:rPr>
        <w:t xml:space="preserve">Financial leases </w:t>
      </w:r>
      <w:r w:rsidR="00ED4AE7" w:rsidRPr="00E86EEC">
        <w:rPr>
          <w:rFonts w:ascii="Arial" w:hAnsi="Arial" w:cs="Arial"/>
          <w:lang w:val="en-US"/>
        </w:rPr>
        <w:t>e.g.</w:t>
      </w:r>
      <w:r w:rsidRPr="00E86EEC">
        <w:rPr>
          <w:rFonts w:ascii="Arial" w:hAnsi="Arial" w:cs="Arial"/>
          <w:lang w:val="en-US"/>
        </w:rPr>
        <w:t xml:space="preserve"> centralized printing solutions;</w:t>
      </w:r>
    </w:p>
    <w:p w:rsidR="009A4CEC" w:rsidRPr="00CD236A" w:rsidRDefault="009A4CEC" w:rsidP="00CD236A">
      <w:pPr>
        <w:spacing w:line="360" w:lineRule="auto"/>
        <w:jc w:val="both"/>
        <w:rPr>
          <w:rFonts w:ascii="Arial" w:eastAsia="Calibri" w:hAnsi="Arial" w:cs="Arial"/>
        </w:rPr>
      </w:pPr>
      <w:r w:rsidRPr="00CD236A">
        <w:rPr>
          <w:rFonts w:ascii="Arial" w:eastAsia="Calibri" w:hAnsi="Arial" w:cs="Arial"/>
        </w:rPr>
        <w:t xml:space="preserve">During the 2017/18 AENE (Adjusted Estimates of National Expenditure), the Department has submitted virements from core business to fund the expected shortfall in Programme 1 Administration in terms of the 2017/18 financial year. </w:t>
      </w:r>
    </w:p>
    <w:p w:rsidR="009A4CEC" w:rsidRPr="00CD236A" w:rsidRDefault="009A4CEC" w:rsidP="00CD236A">
      <w:pPr>
        <w:spacing w:line="360" w:lineRule="auto"/>
        <w:jc w:val="both"/>
        <w:rPr>
          <w:rFonts w:ascii="Arial" w:eastAsia="Calibri" w:hAnsi="Arial" w:cs="Arial"/>
        </w:rPr>
      </w:pPr>
      <w:r w:rsidRPr="00CD236A">
        <w:rPr>
          <w:rFonts w:ascii="Arial" w:eastAsia="Calibri" w:hAnsi="Arial" w:cs="Arial"/>
        </w:rPr>
        <w:t>The Department has now ensured that this virement has been carried-through over the 2018 MTEF period and that sufficient funding has been allocated for future mandatory services for the Department from 1 April 2018</w:t>
      </w:r>
    </w:p>
    <w:p w:rsidR="002D77CE" w:rsidRPr="00E86EEC" w:rsidRDefault="002D77CE" w:rsidP="002D77CE">
      <w:pPr>
        <w:spacing w:after="0" w:line="360" w:lineRule="auto"/>
        <w:jc w:val="both"/>
        <w:rPr>
          <w:rFonts w:ascii="Arial" w:eastAsia="Calibri" w:hAnsi="Arial" w:cs="Arial"/>
          <w:lang w:val="en-US"/>
        </w:rPr>
      </w:pPr>
    </w:p>
    <w:p w:rsidR="001F3099" w:rsidRPr="00E86EEC" w:rsidRDefault="001F3099"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5" w:name="_Toc494725472"/>
      <w:r w:rsidRPr="00E86EEC">
        <w:rPr>
          <w:rFonts w:ascii="Arial" w:eastAsiaTheme="majorEastAsia" w:hAnsi="Arial" w:cs="Arial"/>
          <w:kern w:val="0"/>
          <w:sz w:val="24"/>
          <w:szCs w:val="28"/>
          <w:lang w:val="en-ZA" w:eastAsia="en-ZA"/>
        </w:rPr>
        <w:lastRenderedPageBreak/>
        <w:t>Recommendation 2:</w:t>
      </w:r>
      <w:bookmarkEnd w:id="5"/>
      <w:r w:rsidRPr="00E86EEC">
        <w:rPr>
          <w:rFonts w:ascii="Arial" w:eastAsiaTheme="majorEastAsia" w:hAnsi="Arial" w:cs="Arial"/>
          <w:kern w:val="0"/>
          <w:sz w:val="24"/>
          <w:szCs w:val="28"/>
          <w:lang w:val="en-ZA" w:eastAsia="en-ZA"/>
        </w:rPr>
        <w:t xml:space="preserve"> </w:t>
      </w:r>
    </w:p>
    <w:p w:rsidR="00FE6DCB" w:rsidRPr="00E86EEC" w:rsidRDefault="00FE6DCB" w:rsidP="001F3099">
      <w:pPr>
        <w:spacing w:after="0" w:line="360" w:lineRule="auto"/>
        <w:jc w:val="both"/>
        <w:rPr>
          <w:rFonts w:ascii="Arial" w:hAnsi="Arial" w:cs="Arial"/>
        </w:rPr>
      </w:pPr>
      <w:r w:rsidRPr="00E86EEC">
        <w:rPr>
          <w:rFonts w:ascii="Arial" w:hAnsi="Arial" w:cs="Arial"/>
        </w:rPr>
        <w:t>The Minister must ensure that the Department and the entities must report on the report on the progress made in implementing BRRR recommendations when they present their quarterly reports to the Committee. The report should be a separate report (as addendum).</w:t>
      </w:r>
      <w:r w:rsidR="00990083" w:rsidRPr="00E86EEC">
        <w:rPr>
          <w:rFonts w:ascii="Arial" w:hAnsi="Arial" w:cs="Arial"/>
        </w:rPr>
        <w:t xml:space="preserve"> </w:t>
      </w:r>
    </w:p>
    <w:p w:rsidR="001F3099" w:rsidRPr="00E86EEC" w:rsidRDefault="001F3099"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6" w:name="_Toc494725473"/>
      <w:r w:rsidRPr="00E86EEC">
        <w:rPr>
          <w:rFonts w:ascii="Arial" w:eastAsiaTheme="majorEastAsia" w:hAnsi="Arial" w:cs="Arial"/>
          <w:kern w:val="0"/>
          <w:sz w:val="24"/>
          <w:szCs w:val="28"/>
          <w:lang w:val="en-ZA" w:eastAsia="en-ZA"/>
        </w:rPr>
        <w:t>Progress:</w:t>
      </w:r>
      <w:bookmarkEnd w:id="6"/>
      <w:r w:rsidRPr="00E86EEC">
        <w:rPr>
          <w:rFonts w:ascii="Arial" w:eastAsiaTheme="majorEastAsia" w:hAnsi="Arial" w:cs="Arial"/>
          <w:kern w:val="0"/>
          <w:sz w:val="24"/>
          <w:szCs w:val="28"/>
          <w:lang w:val="en-ZA" w:eastAsia="en-ZA"/>
        </w:rPr>
        <w:t xml:space="preserve"> </w:t>
      </w:r>
    </w:p>
    <w:p w:rsidR="00EB30CA" w:rsidRDefault="003C7263" w:rsidP="00CD236A">
      <w:pPr>
        <w:spacing w:after="0" w:line="360" w:lineRule="auto"/>
        <w:jc w:val="both"/>
        <w:rPr>
          <w:rFonts w:ascii="Arial" w:eastAsia="Calibri" w:hAnsi="Arial" w:cs="Arial"/>
        </w:rPr>
      </w:pPr>
      <w:r w:rsidRPr="00CD236A">
        <w:rPr>
          <w:rFonts w:ascii="Arial" w:eastAsia="Calibri" w:hAnsi="Arial" w:cs="Arial"/>
        </w:rPr>
        <w:t>The D</w:t>
      </w:r>
      <w:r w:rsidR="00EB30CA">
        <w:rPr>
          <w:rFonts w:ascii="Arial" w:eastAsia="Calibri" w:hAnsi="Arial" w:cs="Arial"/>
        </w:rPr>
        <w:t xml:space="preserve">SD has always responded to all invitations by the Portfolio Committee according to the stipulated agenda items. However, the Department commit itself to present progress on BRRR recommendation in its presentations of the   quarterly reports.  </w:t>
      </w:r>
    </w:p>
    <w:p w:rsidR="00EB30CA" w:rsidRDefault="00EB30CA" w:rsidP="00CD236A">
      <w:pPr>
        <w:spacing w:after="0" w:line="360" w:lineRule="auto"/>
        <w:jc w:val="both"/>
        <w:rPr>
          <w:rFonts w:ascii="Arial" w:eastAsia="Calibri" w:hAnsi="Arial" w:cs="Arial"/>
        </w:rPr>
      </w:pPr>
    </w:p>
    <w:p w:rsidR="00085A07" w:rsidRPr="00E86EEC" w:rsidRDefault="00085A07"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7" w:name="_Toc494725474"/>
      <w:r w:rsidRPr="00E86EEC">
        <w:rPr>
          <w:rFonts w:ascii="Arial" w:eastAsiaTheme="majorEastAsia" w:hAnsi="Arial" w:cs="Arial"/>
          <w:kern w:val="0"/>
          <w:sz w:val="24"/>
          <w:szCs w:val="28"/>
          <w:lang w:val="en-ZA" w:eastAsia="en-ZA"/>
        </w:rPr>
        <w:t>Recommendation 3</w:t>
      </w:r>
      <w:bookmarkEnd w:id="7"/>
    </w:p>
    <w:p w:rsidR="00FE6DCB" w:rsidRPr="00E86EEC" w:rsidRDefault="00FE6DCB" w:rsidP="00085A07">
      <w:pPr>
        <w:spacing w:after="0" w:line="360" w:lineRule="auto"/>
        <w:jc w:val="both"/>
        <w:rPr>
          <w:rFonts w:ascii="Arial" w:hAnsi="Arial" w:cs="Arial"/>
        </w:rPr>
      </w:pPr>
      <w:r w:rsidRPr="00E86EEC">
        <w:rPr>
          <w:rFonts w:ascii="Arial" w:hAnsi="Arial" w:cs="Arial"/>
        </w:rPr>
        <w:t>The Minister must ensure that between 2016/2017 and 2017/2018 financial years the recommendations made by the erstwhile Committee and the AG regarding the Four Dormant Funds are implemented so that their existence no longer become an audit query.</w:t>
      </w:r>
      <w:r w:rsidR="004A6A11" w:rsidRPr="00E86EEC">
        <w:rPr>
          <w:rFonts w:ascii="Arial" w:hAnsi="Arial" w:cs="Arial"/>
        </w:rPr>
        <w:t xml:space="preserve"> </w:t>
      </w:r>
    </w:p>
    <w:p w:rsidR="00085A07" w:rsidRPr="00E86EEC" w:rsidRDefault="00085A07"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8" w:name="_Toc494725475"/>
      <w:r w:rsidRPr="00E86EEC">
        <w:rPr>
          <w:rFonts w:ascii="Arial" w:eastAsiaTheme="majorEastAsia" w:hAnsi="Arial" w:cs="Arial"/>
          <w:kern w:val="0"/>
          <w:sz w:val="24"/>
          <w:szCs w:val="28"/>
          <w:lang w:val="en-ZA" w:eastAsia="en-ZA"/>
        </w:rPr>
        <w:t>Progress:</w:t>
      </w:r>
      <w:bookmarkEnd w:id="8"/>
      <w:r w:rsidRPr="00E86EEC">
        <w:rPr>
          <w:rFonts w:ascii="Arial" w:eastAsiaTheme="majorEastAsia" w:hAnsi="Arial" w:cs="Arial"/>
          <w:kern w:val="0"/>
          <w:sz w:val="24"/>
          <w:szCs w:val="28"/>
          <w:lang w:val="en-ZA" w:eastAsia="en-ZA"/>
        </w:rPr>
        <w:t xml:space="preserve"> </w:t>
      </w:r>
    </w:p>
    <w:p w:rsidR="003E7DB2" w:rsidRPr="00CD236A" w:rsidRDefault="003E7DB2" w:rsidP="00CD236A">
      <w:pPr>
        <w:spacing w:line="360" w:lineRule="auto"/>
        <w:jc w:val="both"/>
        <w:rPr>
          <w:rFonts w:ascii="Arial" w:eastAsia="Calibri" w:hAnsi="Arial" w:cs="Arial"/>
        </w:rPr>
      </w:pPr>
      <w:r w:rsidRPr="00CD236A">
        <w:rPr>
          <w:rFonts w:ascii="Arial" w:eastAsia="Calibri" w:hAnsi="Arial" w:cs="Arial"/>
        </w:rPr>
        <w:t xml:space="preserve">The Fund Raising Amendment Bill was presented to Cabinet, and Cabinet granted permission for the Bill to be publicized in the Government Gazette for public comments. Minister granted permission publicize the Fund Raising Amendment Bill  </w:t>
      </w:r>
    </w:p>
    <w:p w:rsidR="003E7DB2" w:rsidRPr="00CD236A" w:rsidRDefault="003E7DB2" w:rsidP="00CD236A">
      <w:pPr>
        <w:spacing w:line="360" w:lineRule="auto"/>
        <w:jc w:val="both"/>
        <w:rPr>
          <w:rFonts w:ascii="Arial" w:eastAsia="Calibri" w:hAnsi="Arial" w:cs="Arial"/>
        </w:rPr>
      </w:pPr>
      <w:r w:rsidRPr="00CD236A">
        <w:rPr>
          <w:rFonts w:ascii="Arial" w:eastAsia="Calibri" w:hAnsi="Arial" w:cs="Arial"/>
        </w:rPr>
        <w:t xml:space="preserve">Following the approval by the Minister to publicize the Fund Raising Amendment Bill the Bill was gazetted for public comments for the period of 30 days.  It was envisaged that the Bill will be tabled to parliament during 2017/18 financial year, to finalize the closing of funds. However it should be noted that SANDF has requested to further deliberate on the proposed amendment with their principal to finalize their inputs.  </w:t>
      </w:r>
    </w:p>
    <w:p w:rsidR="00085A07" w:rsidRPr="00E86EEC" w:rsidRDefault="00085A07"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9" w:name="_Toc494725476"/>
      <w:r w:rsidRPr="00E86EEC">
        <w:rPr>
          <w:rFonts w:ascii="Arial" w:eastAsiaTheme="majorEastAsia" w:hAnsi="Arial" w:cs="Arial"/>
          <w:kern w:val="0"/>
          <w:sz w:val="24"/>
          <w:szCs w:val="28"/>
          <w:lang w:val="en-ZA" w:eastAsia="en-ZA"/>
        </w:rPr>
        <w:t>Recommendation 4</w:t>
      </w:r>
      <w:bookmarkEnd w:id="9"/>
    </w:p>
    <w:p w:rsidR="00FE6DCB" w:rsidRPr="00E86EEC" w:rsidRDefault="00FE6DCB" w:rsidP="00085A07">
      <w:pPr>
        <w:spacing w:after="0" w:line="360" w:lineRule="auto"/>
        <w:jc w:val="both"/>
        <w:rPr>
          <w:rFonts w:ascii="Arial" w:hAnsi="Arial" w:cs="Arial"/>
        </w:rPr>
      </w:pPr>
      <w:r w:rsidRPr="00E86EEC">
        <w:rPr>
          <w:rFonts w:ascii="Arial" w:hAnsi="Arial" w:cs="Arial"/>
        </w:rPr>
        <w:t>The Minister must ensure that the Department correct the formulation of targets so that they follow the SMART principle. Similarly, the Minister must ensure that the Department aligns its non-financial performance (achievement of targets) with actual budget expenditure. The Department should improve on its achievement of targets. The targets set by the Department and its entities should be based on realistic baselines.</w:t>
      </w:r>
      <w:r w:rsidR="004A6A11" w:rsidRPr="00E86EEC">
        <w:rPr>
          <w:rFonts w:ascii="Arial" w:hAnsi="Arial" w:cs="Arial"/>
        </w:rPr>
        <w:t xml:space="preserve"> </w:t>
      </w:r>
    </w:p>
    <w:p w:rsidR="00085A07" w:rsidRPr="00E86EEC" w:rsidRDefault="00085A07"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10" w:name="_Toc494725477"/>
      <w:r w:rsidRPr="00E86EEC">
        <w:rPr>
          <w:rFonts w:ascii="Arial" w:eastAsiaTheme="majorEastAsia" w:hAnsi="Arial" w:cs="Arial"/>
          <w:kern w:val="0"/>
          <w:sz w:val="24"/>
          <w:szCs w:val="28"/>
          <w:lang w:val="en-ZA" w:eastAsia="en-ZA"/>
        </w:rPr>
        <w:t>Progress:</w:t>
      </w:r>
      <w:bookmarkEnd w:id="10"/>
      <w:r w:rsidRPr="00E86EEC">
        <w:rPr>
          <w:rFonts w:ascii="Arial" w:eastAsiaTheme="majorEastAsia" w:hAnsi="Arial" w:cs="Arial"/>
          <w:kern w:val="0"/>
          <w:sz w:val="24"/>
          <w:szCs w:val="28"/>
          <w:lang w:val="en-ZA" w:eastAsia="en-ZA"/>
        </w:rPr>
        <w:t xml:space="preserve"> </w:t>
      </w:r>
    </w:p>
    <w:p w:rsidR="00AB7E6C" w:rsidRPr="00CD236A" w:rsidRDefault="00AB7E6C" w:rsidP="00CD236A">
      <w:pPr>
        <w:spacing w:line="360" w:lineRule="auto"/>
        <w:jc w:val="both"/>
        <w:rPr>
          <w:rFonts w:ascii="Arial" w:eastAsia="Calibri" w:hAnsi="Arial" w:cs="Arial"/>
        </w:rPr>
      </w:pPr>
      <w:r w:rsidRPr="00CD236A">
        <w:rPr>
          <w:rFonts w:ascii="Arial" w:eastAsia="Calibri" w:hAnsi="Arial" w:cs="Arial"/>
        </w:rPr>
        <w:t xml:space="preserve">The Department has institutionalized the Planning and Performance Reviews which are held quarterly to ensure that planning is informed by prior performance and that indicators and targets are well defined. </w:t>
      </w:r>
      <w:r w:rsidR="00241254" w:rsidRPr="00CD236A">
        <w:rPr>
          <w:rFonts w:ascii="Arial" w:eastAsia="Calibri" w:hAnsi="Arial" w:cs="Arial"/>
        </w:rPr>
        <w:t xml:space="preserve">DSD has since improved and continue to ensure that APP targets </w:t>
      </w:r>
      <w:r w:rsidR="00241254" w:rsidRPr="00CD236A">
        <w:rPr>
          <w:rFonts w:ascii="Arial" w:eastAsia="Calibri" w:hAnsi="Arial" w:cs="Arial"/>
        </w:rPr>
        <w:lastRenderedPageBreak/>
        <w:t xml:space="preserve">follow the SMART principles and there technical compliance on planning framework in terms of ensuring strategic alignment from the strategic objectives to the targets. </w:t>
      </w:r>
      <w:r w:rsidRPr="00CD236A">
        <w:rPr>
          <w:rFonts w:ascii="Arial" w:eastAsia="Calibri" w:hAnsi="Arial" w:cs="Arial"/>
        </w:rPr>
        <w:t xml:space="preserve">There is now Technical Indicator Descriptions for all performance indicators in the APP of the Department to ensure that all indicators are clearly defined. In its planning, the Department is also informed by the Medium Term Strategic Framework (MTSF). </w:t>
      </w:r>
    </w:p>
    <w:p w:rsidR="00AB7E6C" w:rsidRPr="00CD236A" w:rsidRDefault="00AB7E6C" w:rsidP="00CD236A">
      <w:pPr>
        <w:spacing w:line="360" w:lineRule="auto"/>
        <w:jc w:val="both"/>
        <w:rPr>
          <w:rFonts w:ascii="Arial" w:eastAsia="Calibri" w:hAnsi="Arial" w:cs="Arial"/>
        </w:rPr>
      </w:pPr>
      <w:r w:rsidRPr="00CD236A">
        <w:rPr>
          <w:rFonts w:ascii="Arial" w:eastAsia="Calibri" w:hAnsi="Arial" w:cs="Arial"/>
        </w:rPr>
        <w:t>As a result, there has been a significant improvement in achievement of planned targets in the period 2016/17 when compared to 2015/16. In 2015/16, a total of 69% of the planned targets were achieved. This performance improved by 12% in 2016/17 financial year, where 81% of the planned targets were achieved.</w:t>
      </w:r>
    </w:p>
    <w:p w:rsidR="00085A07" w:rsidRPr="00E86EEC" w:rsidRDefault="00085A07"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11" w:name="_Toc494725478"/>
      <w:r w:rsidRPr="00E86EEC">
        <w:rPr>
          <w:rFonts w:ascii="Arial" w:eastAsiaTheme="majorEastAsia" w:hAnsi="Arial" w:cs="Arial"/>
          <w:kern w:val="0"/>
          <w:sz w:val="24"/>
          <w:szCs w:val="28"/>
          <w:lang w:val="en-ZA" w:eastAsia="en-ZA"/>
        </w:rPr>
        <w:t>Recommendation 5</w:t>
      </w:r>
      <w:bookmarkEnd w:id="11"/>
    </w:p>
    <w:p w:rsidR="001117D5" w:rsidRPr="00E86EEC" w:rsidRDefault="00FE6DCB" w:rsidP="00085A07">
      <w:pPr>
        <w:spacing w:after="0" w:line="360" w:lineRule="auto"/>
        <w:jc w:val="both"/>
        <w:rPr>
          <w:rFonts w:ascii="Arial" w:hAnsi="Arial" w:cs="Arial"/>
        </w:rPr>
      </w:pPr>
      <w:r w:rsidRPr="00E86EEC">
        <w:rPr>
          <w:rFonts w:ascii="Arial" w:hAnsi="Arial" w:cs="Arial"/>
        </w:rPr>
        <w:t>The Minister must ensure that transfers to the provincial departments for the absorption of social worker is utilised accordingly so as to ensure that the backlog is eliminated. The national department should improve its monitoring and evaluation and reporting by the provincial departments on this matter.</w:t>
      </w:r>
      <w:r w:rsidR="004A6A11" w:rsidRPr="00E86EEC">
        <w:rPr>
          <w:rFonts w:ascii="Arial" w:hAnsi="Arial" w:cs="Arial"/>
        </w:rPr>
        <w:t xml:space="preserve"> </w:t>
      </w:r>
    </w:p>
    <w:p w:rsidR="00085A07" w:rsidRPr="00E86EEC" w:rsidRDefault="00085A07" w:rsidP="00241254">
      <w:pPr>
        <w:pStyle w:val="Heading1"/>
        <w:keepLines/>
        <w:numPr>
          <w:ilvl w:val="1"/>
          <w:numId w:val="10"/>
        </w:numPr>
        <w:spacing w:after="0" w:line="360" w:lineRule="auto"/>
        <w:ind w:left="1077"/>
        <w:rPr>
          <w:rFonts w:ascii="Arial" w:eastAsiaTheme="majorEastAsia" w:hAnsi="Arial" w:cs="Arial"/>
          <w:kern w:val="0"/>
          <w:sz w:val="24"/>
          <w:szCs w:val="28"/>
          <w:lang w:val="en-ZA" w:eastAsia="en-ZA"/>
        </w:rPr>
      </w:pPr>
      <w:bookmarkStart w:id="12" w:name="_Toc494725479"/>
      <w:r w:rsidRPr="00E86EEC">
        <w:rPr>
          <w:rFonts w:ascii="Arial" w:eastAsiaTheme="majorEastAsia" w:hAnsi="Arial" w:cs="Arial"/>
          <w:kern w:val="0"/>
          <w:sz w:val="24"/>
          <w:szCs w:val="28"/>
          <w:lang w:val="en-ZA" w:eastAsia="en-ZA"/>
        </w:rPr>
        <w:t>Progress:</w:t>
      </w:r>
      <w:bookmarkEnd w:id="12"/>
      <w:r w:rsidRPr="00E86EEC">
        <w:rPr>
          <w:rFonts w:ascii="Arial" w:eastAsiaTheme="majorEastAsia" w:hAnsi="Arial" w:cs="Arial"/>
          <w:kern w:val="0"/>
          <w:sz w:val="24"/>
          <w:szCs w:val="28"/>
          <w:lang w:val="en-ZA" w:eastAsia="en-ZA"/>
        </w:rPr>
        <w:t xml:space="preserve"> </w:t>
      </w:r>
    </w:p>
    <w:p w:rsidR="00A92C46" w:rsidRPr="00CD236A" w:rsidRDefault="00A92C46" w:rsidP="00CD236A">
      <w:pPr>
        <w:spacing w:line="360" w:lineRule="auto"/>
        <w:jc w:val="both"/>
        <w:rPr>
          <w:rFonts w:ascii="Arial" w:eastAsia="Calibri" w:hAnsi="Arial" w:cs="Arial"/>
        </w:rPr>
      </w:pPr>
      <w:r w:rsidRPr="00CD236A">
        <w:rPr>
          <w:rFonts w:ascii="Arial" w:eastAsia="Calibri" w:hAnsi="Arial" w:cs="Arial"/>
        </w:rPr>
        <w:t>During t</w:t>
      </w:r>
      <w:r w:rsidR="005179FC" w:rsidRPr="00CD236A">
        <w:rPr>
          <w:rFonts w:ascii="Arial" w:eastAsia="Calibri" w:hAnsi="Arial" w:cs="Arial"/>
        </w:rPr>
        <w:t xml:space="preserve">he first quarter 2017/18 eight </w:t>
      </w:r>
      <w:r w:rsidRPr="00CD236A">
        <w:rPr>
          <w:rFonts w:ascii="Arial" w:eastAsia="Calibri" w:hAnsi="Arial" w:cs="Arial"/>
        </w:rPr>
        <w:t>EC (106), GP (9), KZN (157), LP (164), MP (46) NC (2), NW</w:t>
      </w:r>
      <w:r w:rsidR="00CD236A">
        <w:rPr>
          <w:rFonts w:ascii="Arial" w:eastAsia="Calibri" w:hAnsi="Arial" w:cs="Arial"/>
        </w:rPr>
        <w:t xml:space="preserve"> </w:t>
      </w:r>
      <w:r w:rsidRPr="00CD236A">
        <w:rPr>
          <w:rFonts w:ascii="Arial" w:eastAsia="Calibri" w:hAnsi="Arial" w:cs="Arial"/>
        </w:rPr>
        <w:t>(21), WC(35) provinces commenced with implementation of the conditional grant in li</w:t>
      </w:r>
      <w:r w:rsidR="00CD236A">
        <w:rPr>
          <w:rFonts w:ascii="Arial" w:eastAsia="Calibri" w:hAnsi="Arial" w:cs="Arial"/>
        </w:rPr>
        <w:t xml:space="preserve">ne with the approved Framework. </w:t>
      </w:r>
      <w:r w:rsidRPr="00CD236A">
        <w:rPr>
          <w:rFonts w:ascii="Arial" w:eastAsia="Calibri" w:hAnsi="Arial" w:cs="Arial"/>
        </w:rPr>
        <w:t>A comprehensive report outlining performance of the programme was developed for submission to the National Treasury</w:t>
      </w:r>
      <w:r w:rsidR="0056522B" w:rsidRPr="00CD236A">
        <w:rPr>
          <w:rFonts w:ascii="Arial" w:eastAsia="Calibri" w:hAnsi="Arial" w:cs="Arial"/>
        </w:rPr>
        <w:t xml:space="preserve"> (Attached as Annexure A)</w:t>
      </w:r>
      <w:r w:rsidRPr="00CD236A">
        <w:rPr>
          <w:rFonts w:ascii="Arial" w:eastAsia="Calibri" w:hAnsi="Arial" w:cs="Arial"/>
        </w:rPr>
        <w:t xml:space="preserve">. Funds allocated have been utilised for appointment of social work graduates as stated in the Conditional Grant Framework. Both KZN and EC will continue to fill the remaining posts, which were declined by graduates during the first quarter appointment process. The Free State commenced with implementation in August 2017 and 10 graduates have been appointed. All provinces have to submit reports end October 2017 for quarter 2 performance review. </w:t>
      </w:r>
    </w:p>
    <w:p w:rsidR="00C81E45" w:rsidRPr="00E86EEC" w:rsidRDefault="00DB68F6" w:rsidP="00BB5EC5">
      <w:pPr>
        <w:pStyle w:val="Heading1"/>
        <w:keepLines/>
        <w:numPr>
          <w:ilvl w:val="0"/>
          <w:numId w:val="10"/>
        </w:numPr>
        <w:spacing w:before="480" w:after="0" w:line="360" w:lineRule="auto"/>
        <w:rPr>
          <w:rFonts w:ascii="Arial" w:eastAsiaTheme="majorEastAsia" w:hAnsi="Arial" w:cs="Arial"/>
          <w:kern w:val="0"/>
          <w:sz w:val="28"/>
          <w:szCs w:val="28"/>
          <w:lang w:val="en-ZA" w:eastAsia="en-ZA"/>
        </w:rPr>
      </w:pPr>
      <w:bookmarkStart w:id="13" w:name="_Toc494725480"/>
      <w:r w:rsidRPr="00E86EEC">
        <w:rPr>
          <w:rFonts w:ascii="Arial" w:eastAsiaTheme="majorEastAsia" w:hAnsi="Arial" w:cs="Arial"/>
          <w:kern w:val="0"/>
          <w:sz w:val="28"/>
          <w:szCs w:val="28"/>
          <w:lang w:val="en-ZA" w:eastAsia="en-ZA"/>
        </w:rPr>
        <w:t>South African Social Security Agency (SASSA)</w:t>
      </w:r>
      <w:bookmarkEnd w:id="13"/>
      <w:r w:rsidR="001948F0" w:rsidRPr="00E86EEC">
        <w:rPr>
          <w:rFonts w:ascii="Arial" w:eastAsiaTheme="majorEastAsia" w:hAnsi="Arial" w:cs="Arial"/>
          <w:kern w:val="0"/>
          <w:sz w:val="28"/>
          <w:szCs w:val="28"/>
          <w:lang w:val="en-ZA" w:eastAsia="en-ZA"/>
        </w:rPr>
        <w:t xml:space="preserve"> </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14" w:name="_Toc494725481"/>
      <w:r w:rsidRPr="00E86EEC">
        <w:rPr>
          <w:rFonts w:ascii="Arial" w:eastAsiaTheme="majorEastAsia" w:hAnsi="Arial" w:cs="Arial"/>
          <w:kern w:val="0"/>
          <w:sz w:val="24"/>
          <w:szCs w:val="28"/>
          <w:lang w:val="en-ZA" w:eastAsia="en-ZA"/>
        </w:rPr>
        <w:t>Recommendation 6</w:t>
      </w:r>
      <w:bookmarkEnd w:id="14"/>
    </w:p>
    <w:p w:rsidR="00632753" w:rsidRPr="00E86EEC" w:rsidRDefault="00FE6DCB" w:rsidP="00085A07">
      <w:pPr>
        <w:spacing w:after="0" w:line="360" w:lineRule="auto"/>
        <w:jc w:val="both"/>
        <w:rPr>
          <w:rFonts w:ascii="Arial" w:hAnsi="Arial" w:cs="Arial"/>
        </w:rPr>
      </w:pPr>
      <w:r w:rsidRPr="00E86EEC">
        <w:rPr>
          <w:rFonts w:ascii="Arial" w:hAnsi="Arial" w:cs="Arial"/>
        </w:rPr>
        <w:t xml:space="preserve">The Minister must ensure that the accounting officers of SASSA and the NDA put in place effective and stringent measures to prevent irregular, wasteful and fruitless expenditure as from the 2016/ 2017 financial year onwards. These measures should include improved training of officials on their understanding and implementation of the Public Finance Management Act and National Treasury Regulations relating to procurement procedures. </w:t>
      </w:r>
      <w:r w:rsidRPr="00E86EEC">
        <w:rPr>
          <w:rFonts w:ascii="Arial" w:hAnsi="Arial" w:cs="Arial"/>
        </w:rPr>
        <w:lastRenderedPageBreak/>
        <w:t>There should also be stringent formal disciplinary processes to ensure that responsible officials are held accountable</w:t>
      </w:r>
      <w:r w:rsidR="00632753" w:rsidRPr="00E86EEC">
        <w:rPr>
          <w:rFonts w:ascii="Arial" w:hAnsi="Arial" w:cs="Arial"/>
        </w:rPr>
        <w:t>.</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15" w:name="_Toc494725482"/>
      <w:r w:rsidRPr="00E86EEC">
        <w:rPr>
          <w:rFonts w:ascii="Arial" w:eastAsiaTheme="majorEastAsia" w:hAnsi="Arial" w:cs="Arial"/>
          <w:kern w:val="0"/>
          <w:sz w:val="24"/>
          <w:szCs w:val="28"/>
          <w:lang w:val="en-ZA" w:eastAsia="en-ZA"/>
        </w:rPr>
        <w:t>Progress:</w:t>
      </w:r>
      <w:bookmarkEnd w:id="15"/>
      <w:r w:rsidRPr="00E86EEC">
        <w:rPr>
          <w:rFonts w:ascii="Arial" w:eastAsiaTheme="majorEastAsia" w:hAnsi="Arial" w:cs="Arial"/>
          <w:kern w:val="0"/>
          <w:sz w:val="24"/>
          <w:szCs w:val="28"/>
          <w:lang w:val="en-ZA" w:eastAsia="en-ZA"/>
        </w:rPr>
        <w:t xml:space="preserve"> </w:t>
      </w:r>
    </w:p>
    <w:p w:rsidR="00C85D19" w:rsidRPr="00E86EEC" w:rsidRDefault="00C85D19" w:rsidP="00196D9C">
      <w:pPr>
        <w:spacing w:after="0" w:line="360" w:lineRule="auto"/>
        <w:jc w:val="both"/>
        <w:rPr>
          <w:rFonts w:ascii="Arial" w:hAnsi="Arial" w:cs="Arial"/>
          <w:lang w:val="en-US"/>
        </w:rPr>
      </w:pPr>
      <w:r w:rsidRPr="00E86EEC">
        <w:rPr>
          <w:rFonts w:ascii="Arial" w:hAnsi="Arial" w:cs="Arial"/>
        </w:rPr>
        <w:t xml:space="preserve">SASSA has improved the quality of Annual Financial Statements (AFS) prepared and presented for audit </w:t>
      </w:r>
      <w:r w:rsidRPr="00E86EEC">
        <w:rPr>
          <w:rFonts w:ascii="Arial" w:hAnsi="Arial" w:cs="Arial"/>
          <w:b/>
        </w:rPr>
        <w:t xml:space="preserve">as there were no material misstatements identified and reported in 2016/17 </w:t>
      </w:r>
      <w:r w:rsidRPr="00E86EEC">
        <w:rPr>
          <w:rFonts w:ascii="Arial" w:hAnsi="Arial" w:cs="Arial"/>
        </w:rPr>
        <w:t>except for note 31: Irregular expenditure disclosed.</w:t>
      </w:r>
    </w:p>
    <w:p w:rsidR="00196D9C" w:rsidRDefault="00196D9C" w:rsidP="00C85D19">
      <w:pPr>
        <w:spacing w:after="0" w:line="360" w:lineRule="auto"/>
        <w:ind w:left="720"/>
        <w:jc w:val="both"/>
        <w:rPr>
          <w:rFonts w:ascii="Arial" w:hAnsi="Arial" w:cs="Arial"/>
          <w:b/>
        </w:rPr>
      </w:pPr>
    </w:p>
    <w:p w:rsidR="00C85D19" w:rsidRPr="00E86EEC" w:rsidRDefault="00C85D19" w:rsidP="00C85D19">
      <w:pPr>
        <w:spacing w:after="0" w:line="360" w:lineRule="auto"/>
        <w:ind w:left="720"/>
        <w:jc w:val="both"/>
        <w:rPr>
          <w:rFonts w:ascii="Arial" w:hAnsi="Arial" w:cs="Arial"/>
          <w:b/>
        </w:rPr>
      </w:pPr>
      <w:r w:rsidRPr="00E86EEC">
        <w:rPr>
          <w:rFonts w:ascii="Arial" w:hAnsi="Arial" w:cs="Arial"/>
          <w:b/>
        </w:rPr>
        <w:t xml:space="preserve">Progress in Irregular expenditure </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The Agency’s irregular expenditure was R1.1 billion carried from 2015/16.</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The irregular expenditure increased to R1.4 billion in 2016/17 as a result of the following key items:</w:t>
      </w:r>
    </w:p>
    <w:p w:rsidR="00C85D19" w:rsidRPr="00E86EEC" w:rsidRDefault="00C85D19" w:rsidP="00196D9C">
      <w:pPr>
        <w:numPr>
          <w:ilvl w:val="1"/>
          <w:numId w:val="19"/>
        </w:numPr>
        <w:spacing w:after="0" w:line="360" w:lineRule="auto"/>
        <w:jc w:val="both"/>
        <w:rPr>
          <w:rFonts w:ascii="Arial" w:hAnsi="Arial" w:cs="Arial"/>
          <w:sz w:val="24"/>
          <w:lang w:val="en-US"/>
        </w:rPr>
      </w:pPr>
      <w:r w:rsidRPr="00E86EEC">
        <w:rPr>
          <w:rFonts w:ascii="Arial" w:hAnsi="Arial" w:cs="Arial"/>
          <w:sz w:val="24"/>
        </w:rPr>
        <w:t>National Treasury could not finalise requests for condonations in respect of R316 million for CPS, R414 million for physical security, R75m for SAB &amp; T and R358 million for Trifecta lease payments being transaction carried forward from 2015/16;</w:t>
      </w:r>
    </w:p>
    <w:p w:rsidR="00C85D19" w:rsidRPr="00E86EEC" w:rsidRDefault="00C85D19" w:rsidP="00196D9C">
      <w:pPr>
        <w:numPr>
          <w:ilvl w:val="1"/>
          <w:numId w:val="19"/>
        </w:numPr>
        <w:spacing w:after="0" w:line="360" w:lineRule="auto"/>
        <w:jc w:val="both"/>
        <w:rPr>
          <w:rFonts w:ascii="Arial" w:hAnsi="Arial" w:cs="Arial"/>
          <w:sz w:val="24"/>
          <w:lang w:val="en-US"/>
        </w:rPr>
      </w:pPr>
      <w:r w:rsidRPr="00E86EEC">
        <w:rPr>
          <w:rFonts w:ascii="Arial" w:hAnsi="Arial" w:cs="Arial"/>
          <w:sz w:val="24"/>
        </w:rPr>
        <w:t>National Treasury reviewed Work-stream's contracts and expenditure which was then declared irregular;</w:t>
      </w:r>
    </w:p>
    <w:p w:rsidR="00C85D19" w:rsidRPr="00E86EEC" w:rsidRDefault="00C85D19" w:rsidP="00196D9C">
      <w:pPr>
        <w:numPr>
          <w:ilvl w:val="1"/>
          <w:numId w:val="19"/>
        </w:numPr>
        <w:spacing w:after="0" w:line="360" w:lineRule="auto"/>
        <w:jc w:val="both"/>
        <w:rPr>
          <w:rFonts w:ascii="Arial" w:hAnsi="Arial" w:cs="Arial"/>
          <w:sz w:val="24"/>
          <w:lang w:val="en-US"/>
        </w:rPr>
      </w:pPr>
      <w:r w:rsidRPr="00E86EEC">
        <w:rPr>
          <w:rFonts w:ascii="Arial" w:hAnsi="Arial" w:cs="Arial"/>
          <w:sz w:val="24"/>
        </w:rPr>
        <w:t>The Agency experienced non-compliance relating to local content (R60m) and CIDB (R24m) which resulted in additional irreg</w:t>
      </w:r>
      <w:r w:rsidR="002D77CE" w:rsidRPr="00E86EEC">
        <w:rPr>
          <w:rFonts w:ascii="Arial" w:hAnsi="Arial" w:cs="Arial"/>
          <w:sz w:val="24"/>
        </w:rPr>
        <w:t>ular expenditure being incurred.</w:t>
      </w:r>
    </w:p>
    <w:p w:rsidR="002D77CE" w:rsidRPr="00E86EEC" w:rsidRDefault="002D77CE" w:rsidP="002D77CE">
      <w:pPr>
        <w:spacing w:after="0" w:line="360" w:lineRule="auto"/>
        <w:ind w:left="1440"/>
        <w:jc w:val="both"/>
        <w:rPr>
          <w:rFonts w:ascii="Arial" w:hAnsi="Arial" w:cs="Arial"/>
          <w:sz w:val="24"/>
          <w:lang w:val="en-US"/>
        </w:rPr>
      </w:pPr>
    </w:p>
    <w:p w:rsidR="00C85D19" w:rsidRPr="00E86EEC" w:rsidRDefault="00C85D19" w:rsidP="00C85D19">
      <w:pPr>
        <w:spacing w:after="0" w:line="360" w:lineRule="auto"/>
        <w:ind w:left="360"/>
        <w:jc w:val="both"/>
        <w:rPr>
          <w:rFonts w:ascii="Arial" w:hAnsi="Arial" w:cs="Arial"/>
          <w:sz w:val="24"/>
        </w:rPr>
      </w:pPr>
      <w:r w:rsidRPr="00E86EEC">
        <w:rPr>
          <w:rFonts w:ascii="Arial" w:hAnsi="Arial" w:cs="Arial"/>
          <w:b/>
          <w:bCs/>
          <w:sz w:val="24"/>
        </w:rPr>
        <w:t>Measures taken by SASSA to prevent irregular expenditure</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The following stringent measures were introduced by SASSA towards prevention of irregular expenditure:</w:t>
      </w:r>
    </w:p>
    <w:p w:rsidR="00C85D19"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t xml:space="preserve">Training on local content and CIDB prescripts was arranged for SCM officials at Head Office and Regions and was conducted by IDT and CIDB on 5 and 6 September 2017 respectively.  A total of 37 officials attended CIDB training and 24 officials attended Local content; </w:t>
      </w:r>
    </w:p>
    <w:p w:rsidR="00C85D19"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t>Bid Adjudication Committee (BAC) members were trained on the 08</w:t>
      </w:r>
      <w:r w:rsidRPr="00E86EEC">
        <w:rPr>
          <w:rFonts w:ascii="Arial" w:hAnsi="Arial" w:cs="Arial"/>
          <w:vertAlign w:val="superscript"/>
        </w:rPr>
        <w:t>th</w:t>
      </w:r>
      <w:r w:rsidRPr="00E86EEC">
        <w:rPr>
          <w:rFonts w:ascii="Arial" w:hAnsi="Arial" w:cs="Arial"/>
        </w:rPr>
        <w:t xml:space="preserve"> June 2017 by National Treasury on their role and responsibilities. SASSA is in a process of extending the training to both Regional Bid Adjudication Committees and SCM officials.</w:t>
      </w:r>
    </w:p>
    <w:p w:rsidR="00C85D19"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lastRenderedPageBreak/>
        <w:t>SASSA has implemented pre-audit of bids before award as a validation of SCM compliance ensuring irregular expenditure is avoided;</w:t>
      </w:r>
    </w:p>
    <w:p w:rsidR="00C85D19"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t>Developed and implemented SCM compliance checklist for bids to be awarded;</w:t>
      </w:r>
    </w:p>
    <w:p w:rsidR="00C85D19"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t>Developed and currently implementing Dashboard and Audit Action Plan to respond to the 2016/17 Audit Factual Findings;</w:t>
      </w:r>
    </w:p>
    <w:p w:rsidR="00C85D19"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t>Established Financial Misconduct structures to deal with consequence management for non-compliance, monitoring at executive management level;</w:t>
      </w:r>
    </w:p>
    <w:p w:rsidR="00085A07" w:rsidRPr="00E86EEC" w:rsidRDefault="00C85D19" w:rsidP="00AF3B9E">
      <w:pPr>
        <w:numPr>
          <w:ilvl w:val="1"/>
          <w:numId w:val="17"/>
        </w:numPr>
        <w:spacing w:after="0" w:line="360" w:lineRule="auto"/>
        <w:jc w:val="both"/>
        <w:rPr>
          <w:rFonts w:ascii="Arial" w:hAnsi="Arial" w:cs="Arial"/>
          <w:lang w:val="en-US"/>
        </w:rPr>
      </w:pPr>
      <w:r w:rsidRPr="00E86EEC">
        <w:rPr>
          <w:rFonts w:ascii="Arial" w:hAnsi="Arial" w:cs="Arial"/>
        </w:rPr>
        <w:t>Executive managers in the Regions are tasked with the responsibility to ensure financial misconduct cases particularly long outstanding ones are finalised urgently.</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16" w:name="_Toc494725483"/>
      <w:r w:rsidRPr="00E86EEC">
        <w:rPr>
          <w:rFonts w:ascii="Arial" w:eastAsiaTheme="majorEastAsia" w:hAnsi="Arial" w:cs="Arial"/>
          <w:kern w:val="0"/>
          <w:sz w:val="24"/>
          <w:szCs w:val="28"/>
          <w:lang w:val="en-ZA" w:eastAsia="en-ZA"/>
        </w:rPr>
        <w:t>Recommendation 7</w:t>
      </w:r>
      <w:bookmarkEnd w:id="16"/>
    </w:p>
    <w:p w:rsidR="001117D5" w:rsidRPr="00E86EEC" w:rsidRDefault="001117D5" w:rsidP="00085A07">
      <w:pPr>
        <w:spacing w:after="0" w:line="360" w:lineRule="auto"/>
        <w:jc w:val="both"/>
        <w:rPr>
          <w:rFonts w:ascii="Arial" w:hAnsi="Arial" w:cs="Arial"/>
        </w:rPr>
      </w:pPr>
      <w:r w:rsidRPr="00E86EEC">
        <w:rPr>
          <w:rFonts w:ascii="Arial" w:hAnsi="Arial" w:cs="Arial"/>
        </w:rPr>
        <w:t>The Minister should ensure that the entity aligns the reporting of achievement of targets in the Annual Report with the planned targets in the Annual Performance Plan to avoid discrepancies.</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17" w:name="_Toc494725484"/>
      <w:r w:rsidRPr="00E86EEC">
        <w:rPr>
          <w:rFonts w:ascii="Arial" w:eastAsiaTheme="majorEastAsia" w:hAnsi="Arial" w:cs="Arial"/>
          <w:kern w:val="0"/>
          <w:sz w:val="24"/>
          <w:szCs w:val="28"/>
          <w:lang w:val="en-ZA" w:eastAsia="en-ZA"/>
        </w:rPr>
        <w:t>Progress:</w:t>
      </w:r>
      <w:bookmarkEnd w:id="17"/>
      <w:r w:rsidRPr="00E86EEC">
        <w:rPr>
          <w:rFonts w:ascii="Arial" w:eastAsiaTheme="majorEastAsia" w:hAnsi="Arial" w:cs="Arial"/>
          <w:kern w:val="0"/>
          <w:sz w:val="24"/>
          <w:szCs w:val="28"/>
          <w:lang w:val="en-ZA" w:eastAsia="en-ZA"/>
        </w:rPr>
        <w:t xml:space="preserve"> </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The 2016/17 SASSA annual report has been developed in line with the approved Annual Performance Plan.</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18" w:name="_Toc494725485"/>
      <w:r w:rsidRPr="00E86EEC">
        <w:rPr>
          <w:rFonts w:ascii="Arial" w:eastAsiaTheme="majorEastAsia" w:hAnsi="Arial" w:cs="Arial"/>
          <w:kern w:val="0"/>
          <w:sz w:val="24"/>
          <w:szCs w:val="28"/>
          <w:lang w:val="en-ZA" w:eastAsia="en-ZA"/>
        </w:rPr>
        <w:t>Recommendation 8</w:t>
      </w:r>
      <w:bookmarkEnd w:id="18"/>
    </w:p>
    <w:p w:rsidR="00C85D19" w:rsidRPr="00E86EEC" w:rsidRDefault="00C85D19" w:rsidP="00C85D19">
      <w:pPr>
        <w:pStyle w:val="ListParagraph"/>
        <w:spacing w:after="0" w:line="360" w:lineRule="auto"/>
        <w:jc w:val="both"/>
        <w:rPr>
          <w:rFonts w:ascii="Arial" w:hAnsi="Arial" w:cs="Arial"/>
        </w:rPr>
      </w:pPr>
    </w:p>
    <w:p w:rsidR="00FE6DCB" w:rsidRPr="00E86EEC" w:rsidRDefault="00FE6DCB" w:rsidP="00085A07">
      <w:pPr>
        <w:spacing w:after="0" w:line="360" w:lineRule="auto"/>
        <w:jc w:val="both"/>
        <w:rPr>
          <w:rFonts w:ascii="Arial" w:hAnsi="Arial" w:cs="Arial"/>
        </w:rPr>
      </w:pPr>
      <w:r w:rsidRPr="00E86EEC">
        <w:rPr>
          <w:rFonts w:ascii="Arial" w:hAnsi="Arial" w:cs="Arial"/>
        </w:rPr>
        <w:t>The Minister must ensure that SASSA conducts awareness campaigns or strengthen its communication strategy on how and where social grant beneficiaries can report illegal deductions from their social grants. The communication should also include awareness campaign on all the services rendered by SASSA.</w:t>
      </w:r>
    </w:p>
    <w:p w:rsidR="00085A07" w:rsidRPr="00E86EEC" w:rsidRDefault="00085A07" w:rsidP="00085A07">
      <w:pPr>
        <w:spacing w:after="0" w:line="360" w:lineRule="auto"/>
        <w:jc w:val="both"/>
        <w:rPr>
          <w:rFonts w:ascii="Arial" w:hAnsi="Arial" w:cs="Arial"/>
        </w:rPr>
      </w:pPr>
    </w:p>
    <w:p w:rsidR="00C85D19"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19" w:name="_Toc494725486"/>
      <w:r w:rsidRPr="00E86EEC">
        <w:rPr>
          <w:rFonts w:ascii="Arial" w:eastAsiaTheme="majorEastAsia" w:hAnsi="Arial" w:cs="Arial"/>
          <w:kern w:val="0"/>
          <w:sz w:val="24"/>
          <w:szCs w:val="28"/>
          <w:lang w:val="en-ZA" w:eastAsia="en-ZA"/>
        </w:rPr>
        <w:t>Progress:</w:t>
      </w:r>
      <w:bookmarkEnd w:id="19"/>
      <w:r w:rsidRPr="00E86EEC">
        <w:rPr>
          <w:rFonts w:ascii="Arial" w:eastAsiaTheme="majorEastAsia" w:hAnsi="Arial" w:cs="Arial"/>
          <w:kern w:val="0"/>
          <w:sz w:val="24"/>
          <w:szCs w:val="28"/>
          <w:lang w:val="en-ZA" w:eastAsia="en-ZA"/>
        </w:rPr>
        <w:t xml:space="preserve"> </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SASSA has implemented the dispute resolution mechanism and trained all staff at local office levels increasing awareness and knowledge to assist beneficiaries who report disputes at local office;</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The call centre staff have standard operating procedures on how to record and deal with disputes.  A total of 14 683 disputes were recorded for the financial year 216/17;</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lastRenderedPageBreak/>
        <w:t>General communication has been intensified at all ICROP and Project Mikondzo events, to inform beneficiaries on how &amp; where to report disputes, and reinforce the fact that SASSA does not offer loans or any financial products;</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Over the past year, various channels of communication (radio, newspapers, social media, etc) have been employed to constantly strengthen the message. A total of 828 public awareness sessions were conducted.</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0" w:name="_Toc494725487"/>
      <w:r w:rsidRPr="00E86EEC">
        <w:rPr>
          <w:rFonts w:ascii="Arial" w:eastAsiaTheme="majorEastAsia" w:hAnsi="Arial" w:cs="Arial"/>
          <w:kern w:val="0"/>
          <w:sz w:val="24"/>
          <w:szCs w:val="28"/>
          <w:lang w:val="en-ZA" w:eastAsia="en-ZA"/>
        </w:rPr>
        <w:t>Recommendation 9</w:t>
      </w:r>
      <w:bookmarkEnd w:id="20"/>
    </w:p>
    <w:p w:rsidR="004A6A11" w:rsidRPr="00E86EEC" w:rsidRDefault="004A6A11" w:rsidP="00085A07">
      <w:pPr>
        <w:spacing w:after="0" w:line="360" w:lineRule="auto"/>
        <w:jc w:val="both"/>
        <w:rPr>
          <w:rFonts w:ascii="Arial" w:hAnsi="Arial" w:cs="Arial"/>
        </w:rPr>
      </w:pPr>
      <w:r w:rsidRPr="00E86EEC">
        <w:rPr>
          <w:rFonts w:ascii="Arial" w:hAnsi="Arial" w:cs="Arial"/>
        </w:rPr>
        <w:t>The Minister must make sure that SASSA strengthens the implementation of the Fraud Prevention Strategy to eliminate fraudulent activities in the grant payment system.</w:t>
      </w:r>
    </w:p>
    <w:p w:rsidR="00C85D19"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1" w:name="_Toc494725488"/>
      <w:r w:rsidRPr="00E86EEC">
        <w:rPr>
          <w:rFonts w:ascii="Arial" w:eastAsiaTheme="majorEastAsia" w:hAnsi="Arial" w:cs="Arial"/>
          <w:kern w:val="0"/>
          <w:sz w:val="24"/>
          <w:szCs w:val="28"/>
          <w:lang w:val="en-ZA" w:eastAsia="en-ZA"/>
        </w:rPr>
        <w:t>Progress:</w:t>
      </w:r>
      <w:bookmarkEnd w:id="21"/>
      <w:r w:rsidRPr="00E86EEC">
        <w:rPr>
          <w:rFonts w:ascii="Arial" w:eastAsiaTheme="majorEastAsia" w:hAnsi="Arial" w:cs="Arial"/>
          <w:kern w:val="0"/>
          <w:sz w:val="24"/>
          <w:szCs w:val="28"/>
          <w:lang w:val="en-ZA" w:eastAsia="en-ZA"/>
        </w:rPr>
        <w:t xml:space="preserve"> </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The Minister initiated Project Sephooko, a project dedicated to investigations related to illegal loan sharks. It is a joint project between SASSA, law enforcement agencies and the National Credit Regulator.  In the 2016/17 financial year, there were 12 cases that were referred to the Law Enforcement Agencies in this regard;</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SASSA received a total of 405 fraud cases which were reported through the National Anti-Corruption Hotline (NACH), and managed to finalize 65% (262). The monetary value of the finalised cases amount to R73 million implicating 22 SASSA officials.  In addition, 933 backlog cases were finalized bringing the total number of cases concluded in the financial year to 1 195;</w:t>
      </w:r>
    </w:p>
    <w:p w:rsidR="00C85D19" w:rsidRPr="00196D9C" w:rsidRDefault="00C85D19" w:rsidP="00196D9C">
      <w:pPr>
        <w:spacing w:line="360" w:lineRule="auto"/>
        <w:jc w:val="both"/>
        <w:rPr>
          <w:rFonts w:ascii="Arial" w:eastAsia="Calibri" w:hAnsi="Arial" w:cs="Arial"/>
        </w:rPr>
      </w:pPr>
      <w:r w:rsidRPr="00196D9C">
        <w:rPr>
          <w:rFonts w:ascii="Arial" w:eastAsia="Calibri" w:hAnsi="Arial" w:cs="Arial"/>
        </w:rPr>
        <w:t>On the prevention side, SASSA conducted 72 fraud awareness sessions across the 9 regions reaching more than 2 900 employees.</w:t>
      </w:r>
    </w:p>
    <w:p w:rsidR="00085A07" w:rsidRPr="00E86EEC" w:rsidRDefault="00085A07"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2" w:name="_Toc494725489"/>
      <w:r w:rsidRPr="00E86EEC">
        <w:rPr>
          <w:rFonts w:ascii="Arial" w:eastAsiaTheme="majorEastAsia" w:hAnsi="Arial" w:cs="Arial"/>
          <w:kern w:val="0"/>
          <w:sz w:val="24"/>
          <w:szCs w:val="28"/>
          <w:lang w:val="en-ZA" w:eastAsia="en-ZA"/>
        </w:rPr>
        <w:t>Recommendation</w:t>
      </w:r>
      <w:r w:rsidR="00F86E01" w:rsidRPr="00E86EEC">
        <w:rPr>
          <w:rFonts w:ascii="Arial" w:eastAsiaTheme="majorEastAsia" w:hAnsi="Arial" w:cs="Arial"/>
          <w:kern w:val="0"/>
          <w:sz w:val="24"/>
          <w:szCs w:val="28"/>
          <w:lang w:val="en-ZA" w:eastAsia="en-ZA"/>
        </w:rPr>
        <w:t xml:space="preserve"> 10</w:t>
      </w:r>
      <w:bookmarkEnd w:id="22"/>
    </w:p>
    <w:p w:rsidR="00990083" w:rsidRPr="00E86EEC" w:rsidRDefault="00990083" w:rsidP="00085A07">
      <w:pPr>
        <w:spacing w:after="0" w:line="360" w:lineRule="auto"/>
        <w:jc w:val="both"/>
        <w:rPr>
          <w:rFonts w:ascii="Arial" w:hAnsi="Arial" w:cs="Arial"/>
        </w:rPr>
      </w:pPr>
      <w:r w:rsidRPr="00E86EEC">
        <w:rPr>
          <w:rFonts w:ascii="Arial" w:hAnsi="Arial" w:cs="Arial"/>
        </w:rPr>
        <w:t>The Minister must ensure that the Department and the entities must report on the report on the progress made in implementing BRRR recommendations when they present their quarterly reports to the Committee. The report should be a separate report (as addendum).</w:t>
      </w:r>
    </w:p>
    <w:p w:rsidR="00F86E01" w:rsidRPr="00E86EEC" w:rsidRDefault="00F86E01" w:rsidP="00085A07">
      <w:pPr>
        <w:spacing w:after="0" w:line="360" w:lineRule="auto"/>
        <w:jc w:val="both"/>
        <w:rPr>
          <w:rFonts w:ascii="Arial" w:hAnsi="Arial" w:cs="Arial"/>
        </w:rPr>
      </w:pPr>
    </w:p>
    <w:p w:rsidR="00F86E01" w:rsidRPr="00E86EEC" w:rsidRDefault="00F86E01"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3" w:name="_Toc494725490"/>
      <w:r w:rsidRPr="00E86EEC">
        <w:rPr>
          <w:rFonts w:ascii="Arial" w:eastAsiaTheme="majorEastAsia" w:hAnsi="Arial" w:cs="Arial"/>
          <w:kern w:val="0"/>
          <w:sz w:val="24"/>
          <w:szCs w:val="28"/>
          <w:lang w:val="en-ZA" w:eastAsia="en-ZA"/>
        </w:rPr>
        <w:t>Progress:</w:t>
      </w:r>
      <w:bookmarkEnd w:id="23"/>
      <w:r w:rsidRPr="00E86EEC">
        <w:rPr>
          <w:rFonts w:ascii="Arial" w:eastAsiaTheme="majorEastAsia" w:hAnsi="Arial" w:cs="Arial"/>
          <w:kern w:val="0"/>
          <w:sz w:val="24"/>
          <w:szCs w:val="28"/>
          <w:lang w:val="en-ZA" w:eastAsia="en-ZA"/>
        </w:rPr>
        <w:t xml:space="preserve"> </w:t>
      </w:r>
    </w:p>
    <w:p w:rsidR="00BB5EC5" w:rsidRPr="00196D9C" w:rsidRDefault="00C85D19" w:rsidP="00196D9C">
      <w:pPr>
        <w:spacing w:line="360" w:lineRule="auto"/>
        <w:jc w:val="both"/>
        <w:rPr>
          <w:rFonts w:ascii="Arial" w:eastAsia="Calibri" w:hAnsi="Arial" w:cs="Arial"/>
        </w:rPr>
      </w:pPr>
      <w:r w:rsidRPr="00196D9C">
        <w:rPr>
          <w:rFonts w:ascii="Arial" w:eastAsia="Calibri" w:hAnsi="Arial" w:cs="Arial"/>
        </w:rPr>
        <w:t>In the 2016/17 financial year, SASSA did not appear before the Portfolio Committee to present its quarterly reports, as such the progress was not presented.</w:t>
      </w:r>
    </w:p>
    <w:p w:rsidR="001117D5" w:rsidRPr="00E86EEC" w:rsidRDefault="001117D5" w:rsidP="00BB5EC5">
      <w:pPr>
        <w:pStyle w:val="Heading1"/>
        <w:keepLines/>
        <w:numPr>
          <w:ilvl w:val="0"/>
          <w:numId w:val="10"/>
        </w:numPr>
        <w:spacing w:before="480" w:after="0" w:line="360" w:lineRule="auto"/>
        <w:rPr>
          <w:rFonts w:ascii="Arial" w:eastAsiaTheme="majorEastAsia" w:hAnsi="Arial" w:cs="Arial"/>
          <w:kern w:val="0"/>
          <w:sz w:val="28"/>
          <w:szCs w:val="28"/>
          <w:lang w:val="en-ZA" w:eastAsia="en-ZA"/>
        </w:rPr>
      </w:pPr>
      <w:bookmarkStart w:id="24" w:name="_Toc494725491"/>
      <w:r w:rsidRPr="00E86EEC">
        <w:rPr>
          <w:rFonts w:ascii="Arial" w:eastAsiaTheme="majorEastAsia" w:hAnsi="Arial" w:cs="Arial"/>
          <w:kern w:val="0"/>
          <w:sz w:val="28"/>
          <w:szCs w:val="28"/>
          <w:lang w:val="en-ZA" w:eastAsia="en-ZA"/>
        </w:rPr>
        <w:lastRenderedPageBreak/>
        <w:t>National Development Agency (NDA)</w:t>
      </w:r>
      <w:bookmarkEnd w:id="24"/>
      <w:r w:rsidRPr="00E86EEC">
        <w:rPr>
          <w:rFonts w:ascii="Arial" w:eastAsiaTheme="majorEastAsia" w:hAnsi="Arial" w:cs="Arial"/>
          <w:kern w:val="0"/>
          <w:sz w:val="28"/>
          <w:szCs w:val="28"/>
          <w:lang w:val="en-ZA" w:eastAsia="en-ZA"/>
        </w:rPr>
        <w:t xml:space="preserve"> </w:t>
      </w:r>
    </w:p>
    <w:p w:rsidR="00F86E01" w:rsidRPr="00E86EEC" w:rsidRDefault="00F86E01"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5" w:name="_Toc494725492"/>
      <w:r w:rsidRPr="00E86EEC">
        <w:rPr>
          <w:rFonts w:ascii="Arial" w:eastAsiaTheme="majorEastAsia" w:hAnsi="Arial" w:cs="Arial"/>
          <w:kern w:val="0"/>
          <w:sz w:val="24"/>
          <w:szCs w:val="28"/>
          <w:lang w:val="en-ZA" w:eastAsia="en-ZA"/>
        </w:rPr>
        <w:t>Recommendation 10</w:t>
      </w:r>
      <w:bookmarkEnd w:id="25"/>
    </w:p>
    <w:p w:rsidR="00942FFD" w:rsidRPr="00E86EEC" w:rsidRDefault="002B5C34" w:rsidP="00F86E01">
      <w:pPr>
        <w:spacing w:after="0" w:line="360" w:lineRule="auto"/>
        <w:jc w:val="both"/>
        <w:rPr>
          <w:rFonts w:ascii="Arial" w:hAnsi="Arial" w:cs="Arial"/>
        </w:rPr>
      </w:pPr>
      <w:r w:rsidRPr="00E86EEC">
        <w:rPr>
          <w:rFonts w:ascii="Arial" w:hAnsi="Arial" w:cs="Arial"/>
        </w:rPr>
        <w:t xml:space="preserve">The Minister must ensure that the accounting officers of SASSA and the NDA put in place effective and stringent measures to prevent irregular, wasteful and fruitless expenditure as from the 2016/ 2017 financial year onwards. These measures should include improved training of officials on their understanding and implementation of the Public Finance Management Act and National Treasury Regulations relating to procurement procedures. There should also be stringent formal disciplinary processes to ensure that responsible officials are held accountable. </w:t>
      </w:r>
    </w:p>
    <w:p w:rsidR="00F86E01" w:rsidRPr="00E86EEC" w:rsidRDefault="00F86E01"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6" w:name="_Toc494725493"/>
      <w:r w:rsidRPr="00E86EEC">
        <w:rPr>
          <w:rFonts w:ascii="Arial" w:eastAsiaTheme="majorEastAsia" w:hAnsi="Arial" w:cs="Arial"/>
          <w:kern w:val="0"/>
          <w:sz w:val="24"/>
          <w:szCs w:val="28"/>
          <w:lang w:val="en-ZA" w:eastAsia="en-ZA"/>
        </w:rPr>
        <w:t>Progress:</w:t>
      </w:r>
      <w:bookmarkEnd w:id="26"/>
      <w:r w:rsidRPr="00E86EEC">
        <w:rPr>
          <w:rFonts w:ascii="Arial" w:eastAsiaTheme="majorEastAsia" w:hAnsi="Arial" w:cs="Arial"/>
          <w:kern w:val="0"/>
          <w:sz w:val="24"/>
          <w:szCs w:val="28"/>
          <w:lang w:val="en-ZA" w:eastAsia="en-ZA"/>
        </w:rPr>
        <w:t xml:space="preserve"> </w:t>
      </w:r>
    </w:p>
    <w:p w:rsidR="003E7DB2" w:rsidRPr="00E86EEC" w:rsidRDefault="003E7DB2" w:rsidP="00F86E01">
      <w:pPr>
        <w:pStyle w:val="ListParagraph"/>
        <w:numPr>
          <w:ilvl w:val="0"/>
          <w:numId w:val="39"/>
        </w:numPr>
        <w:spacing w:line="360" w:lineRule="auto"/>
        <w:jc w:val="both"/>
        <w:rPr>
          <w:rFonts w:ascii="Arial" w:eastAsia="Calibri" w:hAnsi="Arial" w:cs="Arial"/>
        </w:rPr>
      </w:pPr>
      <w:r w:rsidRPr="00E86EEC">
        <w:rPr>
          <w:rFonts w:ascii="Arial" w:eastAsia="Calibri" w:hAnsi="Arial" w:cs="Arial"/>
        </w:rPr>
        <w:t>The NDA implemented the following measures to prevent Irregular, Fruitless and wasteful expenditure:</w:t>
      </w:r>
    </w:p>
    <w:p w:rsidR="003E7DB2" w:rsidRPr="00196D9C" w:rsidRDefault="003E7DB2" w:rsidP="0074225A">
      <w:pPr>
        <w:numPr>
          <w:ilvl w:val="0"/>
          <w:numId w:val="7"/>
        </w:numPr>
        <w:spacing w:after="0" w:line="360" w:lineRule="auto"/>
        <w:ind w:left="2160"/>
        <w:contextualSpacing/>
        <w:jc w:val="both"/>
        <w:rPr>
          <w:rFonts w:ascii="Arial" w:hAnsi="Arial" w:cs="Arial"/>
        </w:rPr>
      </w:pPr>
      <w:r w:rsidRPr="00196D9C">
        <w:rPr>
          <w:rFonts w:ascii="Arial" w:hAnsi="Arial" w:cs="Arial"/>
        </w:rPr>
        <w:t xml:space="preserve">The Supply Chain Management policy and processes were revised and strengthened in the 2016/2017 financial year to address shortcomings identified during audit process  </w:t>
      </w:r>
    </w:p>
    <w:p w:rsidR="003E7DB2" w:rsidRPr="00196D9C" w:rsidRDefault="003E7DB2" w:rsidP="0074225A">
      <w:pPr>
        <w:numPr>
          <w:ilvl w:val="0"/>
          <w:numId w:val="7"/>
        </w:numPr>
        <w:spacing w:after="0" w:line="360" w:lineRule="auto"/>
        <w:ind w:left="2160"/>
        <w:contextualSpacing/>
        <w:jc w:val="both"/>
        <w:rPr>
          <w:rFonts w:ascii="Arial" w:hAnsi="Arial" w:cs="Arial"/>
        </w:rPr>
      </w:pPr>
      <w:r w:rsidRPr="00196D9C">
        <w:rPr>
          <w:rFonts w:ascii="Arial" w:hAnsi="Arial" w:cs="Arial"/>
        </w:rPr>
        <w:t>A financial misconduct committee that adjudicates reported instances of irregular expenditure and make recommendations to management was operationalised in 2016/2017</w:t>
      </w:r>
    </w:p>
    <w:p w:rsidR="003E7DB2" w:rsidRPr="00196D9C" w:rsidRDefault="003E7DB2" w:rsidP="0074225A">
      <w:pPr>
        <w:numPr>
          <w:ilvl w:val="0"/>
          <w:numId w:val="7"/>
        </w:numPr>
        <w:spacing w:after="0" w:line="360" w:lineRule="auto"/>
        <w:ind w:left="2160"/>
        <w:contextualSpacing/>
        <w:jc w:val="both"/>
        <w:rPr>
          <w:rFonts w:ascii="Arial" w:hAnsi="Arial" w:cs="Arial"/>
        </w:rPr>
      </w:pPr>
      <w:r w:rsidRPr="00196D9C">
        <w:rPr>
          <w:rFonts w:ascii="Arial" w:hAnsi="Arial" w:cs="Arial"/>
        </w:rPr>
        <w:t>Instances of Irregular, fruitless and wasteful expenditure for the 2015/16 financial year were investigated and some of the instances written warnings were issued to staff.</w:t>
      </w:r>
    </w:p>
    <w:p w:rsidR="003E7DB2" w:rsidRPr="00196D9C" w:rsidRDefault="003E7DB2" w:rsidP="0074225A">
      <w:pPr>
        <w:numPr>
          <w:ilvl w:val="0"/>
          <w:numId w:val="7"/>
        </w:numPr>
        <w:spacing w:after="0" w:line="360" w:lineRule="auto"/>
        <w:ind w:left="2160"/>
        <w:contextualSpacing/>
        <w:jc w:val="both"/>
        <w:rPr>
          <w:rFonts w:ascii="Arial" w:hAnsi="Arial" w:cs="Arial"/>
        </w:rPr>
      </w:pPr>
      <w:r w:rsidRPr="00196D9C">
        <w:rPr>
          <w:rFonts w:ascii="Arial" w:hAnsi="Arial" w:cs="Arial"/>
        </w:rPr>
        <w:t xml:space="preserve">The SCM officials attended regular ongoing training on SCM updates. There’s a forthcoming training to take place on the 25 -27 October based on updates on PFMA, PPPFA and National Treasury regulations and all SCM and Finance officials are attending the training. </w:t>
      </w:r>
    </w:p>
    <w:p w:rsidR="003E7DB2" w:rsidRPr="00E86EEC" w:rsidRDefault="003E7DB2" w:rsidP="003E7DB2">
      <w:pPr>
        <w:spacing w:after="0" w:line="360" w:lineRule="auto"/>
        <w:jc w:val="both"/>
        <w:rPr>
          <w:rFonts w:ascii="Arial" w:hAnsi="Arial" w:cs="Arial"/>
        </w:rPr>
      </w:pPr>
    </w:p>
    <w:p w:rsidR="00F86E01" w:rsidRPr="00E86EEC" w:rsidRDefault="00F86E01"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7" w:name="_Toc494725494"/>
      <w:r w:rsidRPr="00E86EEC">
        <w:rPr>
          <w:rFonts w:ascii="Arial" w:eastAsiaTheme="majorEastAsia" w:hAnsi="Arial" w:cs="Arial"/>
          <w:kern w:val="0"/>
          <w:sz w:val="24"/>
          <w:szCs w:val="28"/>
          <w:lang w:val="en-ZA" w:eastAsia="en-ZA"/>
        </w:rPr>
        <w:t>Recommendation 11</w:t>
      </w:r>
      <w:bookmarkEnd w:id="27"/>
    </w:p>
    <w:p w:rsidR="00942FFD" w:rsidRPr="00E86EEC" w:rsidRDefault="00942FFD" w:rsidP="00F86E01">
      <w:pPr>
        <w:spacing w:after="0" w:line="360" w:lineRule="auto"/>
        <w:jc w:val="both"/>
        <w:rPr>
          <w:rFonts w:ascii="Arial" w:hAnsi="Arial" w:cs="Arial"/>
        </w:rPr>
      </w:pPr>
      <w:r w:rsidRPr="00E86EEC">
        <w:rPr>
          <w:rFonts w:ascii="Arial" w:hAnsi="Arial" w:cs="Arial"/>
        </w:rPr>
        <w:t xml:space="preserve">The Minister must ensure that by the end of 2016/2017 financial year the National Development Agency has a fully functioning audit committee and a permanent Chief Financial Officer is appointed. </w:t>
      </w:r>
    </w:p>
    <w:p w:rsidR="00F86E01" w:rsidRPr="00E86EEC" w:rsidRDefault="00F86E01"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28" w:name="_Toc494725495"/>
      <w:r w:rsidRPr="00E86EEC">
        <w:rPr>
          <w:rFonts w:ascii="Arial" w:eastAsiaTheme="majorEastAsia" w:hAnsi="Arial" w:cs="Arial"/>
          <w:kern w:val="0"/>
          <w:sz w:val="24"/>
          <w:szCs w:val="28"/>
          <w:lang w:val="en-ZA" w:eastAsia="en-ZA"/>
        </w:rPr>
        <w:lastRenderedPageBreak/>
        <w:t>Progress:</w:t>
      </w:r>
      <w:bookmarkEnd w:id="28"/>
      <w:r w:rsidRPr="00E86EEC">
        <w:rPr>
          <w:rFonts w:ascii="Arial" w:eastAsiaTheme="majorEastAsia" w:hAnsi="Arial" w:cs="Arial"/>
          <w:kern w:val="0"/>
          <w:sz w:val="24"/>
          <w:szCs w:val="28"/>
          <w:lang w:val="en-ZA" w:eastAsia="en-ZA"/>
        </w:rPr>
        <w:t xml:space="preserve"> </w:t>
      </w:r>
    </w:p>
    <w:p w:rsidR="003E7DB2" w:rsidRPr="00196D9C" w:rsidRDefault="003E7DB2" w:rsidP="00196D9C">
      <w:pPr>
        <w:spacing w:line="360" w:lineRule="auto"/>
        <w:jc w:val="both"/>
        <w:rPr>
          <w:rFonts w:ascii="Arial" w:eastAsia="Calibri" w:hAnsi="Arial" w:cs="Arial"/>
        </w:rPr>
      </w:pPr>
      <w:r w:rsidRPr="00196D9C">
        <w:rPr>
          <w:rFonts w:ascii="Arial" w:eastAsia="Calibri" w:hAnsi="Arial" w:cs="Arial"/>
        </w:rPr>
        <w:t>The NDA has a fully functional Audit and Risk Committee which has, amongst others, evaluated and strengthened the effectiveness of the internal control systems and ensured the reliability and accuracy of financial information. The Audit committee was appointed in March 2016 and was operational for the entire financial year 2016/2017</w:t>
      </w:r>
      <w:r w:rsidR="00196D9C">
        <w:rPr>
          <w:rFonts w:ascii="Arial" w:eastAsia="Calibri" w:hAnsi="Arial" w:cs="Arial"/>
        </w:rPr>
        <w:t>.</w:t>
      </w:r>
    </w:p>
    <w:p w:rsidR="00F86E01" w:rsidRPr="00196D9C" w:rsidRDefault="003E7DB2" w:rsidP="00196D9C">
      <w:pPr>
        <w:spacing w:line="360" w:lineRule="auto"/>
        <w:jc w:val="both"/>
        <w:rPr>
          <w:rFonts w:ascii="Arial" w:eastAsia="Calibri" w:hAnsi="Arial" w:cs="Arial"/>
        </w:rPr>
      </w:pPr>
      <w:r w:rsidRPr="00196D9C">
        <w:rPr>
          <w:rFonts w:ascii="Arial" w:eastAsia="Calibri" w:hAnsi="Arial" w:cs="Arial"/>
        </w:rPr>
        <w:t xml:space="preserve">The Chief Financial Officer has been appointed and will resume duty in October 2017.   </w:t>
      </w:r>
    </w:p>
    <w:p w:rsidR="00F86E01" w:rsidRPr="00E86EEC" w:rsidRDefault="003E7DB2"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r w:rsidRPr="00E86EEC">
        <w:rPr>
          <w:rFonts w:ascii="Arial" w:hAnsi="Arial" w:cs="Arial"/>
        </w:rPr>
        <w:t xml:space="preserve"> </w:t>
      </w:r>
      <w:bookmarkStart w:id="29" w:name="_Toc494725496"/>
      <w:r w:rsidR="00F86E01" w:rsidRPr="00E86EEC">
        <w:rPr>
          <w:rFonts w:ascii="Arial" w:eastAsiaTheme="majorEastAsia" w:hAnsi="Arial" w:cs="Arial"/>
          <w:kern w:val="0"/>
          <w:sz w:val="24"/>
          <w:szCs w:val="28"/>
          <w:lang w:val="en-ZA" w:eastAsia="en-ZA"/>
        </w:rPr>
        <w:t>Recommendation 12</w:t>
      </w:r>
      <w:bookmarkEnd w:id="29"/>
    </w:p>
    <w:p w:rsidR="00FE6DCB" w:rsidRPr="00E86EEC" w:rsidRDefault="00FE6DCB" w:rsidP="00F86E01">
      <w:pPr>
        <w:spacing w:after="0" w:line="360" w:lineRule="auto"/>
        <w:jc w:val="both"/>
        <w:rPr>
          <w:rFonts w:ascii="Arial" w:hAnsi="Arial" w:cs="Arial"/>
        </w:rPr>
      </w:pPr>
      <w:r w:rsidRPr="00E86EEC">
        <w:rPr>
          <w:rFonts w:ascii="Arial" w:hAnsi="Arial" w:cs="Arial"/>
        </w:rPr>
        <w:t>The Minister must ensure that the NDA in its next annual performance report (2016/2017) aligns the targets reported on in the annual report with the targets recorded in the annual performance plan to avoid incorrect reporting</w:t>
      </w:r>
    </w:p>
    <w:p w:rsidR="00F86E01" w:rsidRPr="00E86EEC" w:rsidRDefault="00F86E01" w:rsidP="00AF3B9E">
      <w:pPr>
        <w:pStyle w:val="Heading1"/>
        <w:keepLines/>
        <w:numPr>
          <w:ilvl w:val="1"/>
          <w:numId w:val="10"/>
        </w:numPr>
        <w:spacing w:before="360" w:after="0" w:line="360" w:lineRule="auto"/>
        <w:ind w:left="1077"/>
        <w:rPr>
          <w:rFonts w:ascii="Arial" w:eastAsiaTheme="majorEastAsia" w:hAnsi="Arial" w:cs="Arial"/>
          <w:kern w:val="0"/>
          <w:sz w:val="24"/>
          <w:szCs w:val="28"/>
          <w:lang w:val="en-ZA" w:eastAsia="en-ZA"/>
        </w:rPr>
      </w:pPr>
      <w:bookmarkStart w:id="30" w:name="_Toc494725497"/>
      <w:r w:rsidRPr="00E86EEC">
        <w:rPr>
          <w:rFonts w:ascii="Arial" w:eastAsiaTheme="majorEastAsia" w:hAnsi="Arial" w:cs="Arial"/>
          <w:kern w:val="0"/>
          <w:sz w:val="24"/>
          <w:szCs w:val="28"/>
          <w:lang w:val="en-ZA" w:eastAsia="en-ZA"/>
        </w:rPr>
        <w:t>Progress:</w:t>
      </w:r>
      <w:bookmarkEnd w:id="30"/>
      <w:r w:rsidRPr="00E86EEC">
        <w:rPr>
          <w:rFonts w:ascii="Arial" w:eastAsiaTheme="majorEastAsia" w:hAnsi="Arial" w:cs="Arial"/>
          <w:kern w:val="0"/>
          <w:sz w:val="24"/>
          <w:szCs w:val="28"/>
          <w:lang w:val="en-ZA" w:eastAsia="en-ZA"/>
        </w:rPr>
        <w:t xml:space="preserve"> </w:t>
      </w:r>
    </w:p>
    <w:p w:rsidR="005179FC" w:rsidRPr="00E86EEC" w:rsidRDefault="005179FC" w:rsidP="005179FC">
      <w:pPr>
        <w:pStyle w:val="ListParagraph"/>
        <w:spacing w:after="0" w:line="360" w:lineRule="auto"/>
        <w:ind w:left="1080"/>
        <w:jc w:val="both"/>
        <w:rPr>
          <w:rFonts w:ascii="Arial" w:hAnsi="Arial" w:cs="Arial"/>
        </w:rPr>
      </w:pPr>
    </w:p>
    <w:p w:rsidR="003E7DB2" w:rsidRPr="00196D9C" w:rsidRDefault="003E7DB2" w:rsidP="00196D9C">
      <w:pPr>
        <w:spacing w:line="360" w:lineRule="auto"/>
        <w:jc w:val="both"/>
        <w:rPr>
          <w:rFonts w:ascii="Arial" w:eastAsia="Calibri" w:hAnsi="Arial" w:cs="Arial"/>
        </w:rPr>
      </w:pPr>
      <w:r w:rsidRPr="00196D9C">
        <w:rPr>
          <w:rFonts w:ascii="Arial" w:eastAsia="Calibri" w:hAnsi="Arial" w:cs="Arial"/>
        </w:rPr>
        <w:t>The 2015/16 annual report was not aligned due to changes that took place during that financial from the NDA review which resulted in some KPIs revised outside the timeframes and framework for managing performance information. The Annual Report for 2016/17 is fully aligned to the Annual Performance Plan (2016/17) as the Key Performance Indicators and Targets in both documents are the same. The NDA, on half year, review the APP and performance information reports to ensure that both the APP and Reported information are aligned.</w:t>
      </w:r>
    </w:p>
    <w:p w:rsidR="001117D5" w:rsidRPr="00E86EEC" w:rsidRDefault="001117D5" w:rsidP="005179FC">
      <w:pPr>
        <w:spacing w:after="0" w:line="280" w:lineRule="exact"/>
        <w:ind w:left="1440" w:hanging="306"/>
        <w:jc w:val="both"/>
        <w:rPr>
          <w:rFonts w:ascii="Arial" w:hAnsi="Arial" w:cs="Arial"/>
        </w:rPr>
      </w:pPr>
    </w:p>
    <w:p w:rsidR="005579F2" w:rsidRPr="00E86EEC" w:rsidRDefault="005579F2" w:rsidP="001117D5">
      <w:pPr>
        <w:jc w:val="both"/>
        <w:rPr>
          <w:rFonts w:ascii="Arial" w:hAnsi="Arial" w:cs="Arial"/>
        </w:rPr>
      </w:pPr>
    </w:p>
    <w:sectPr w:rsidR="005579F2" w:rsidRPr="00E86EEC" w:rsidSect="009E24B3">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F1" w:rsidRDefault="005C1EF1" w:rsidP="00F4014F">
      <w:pPr>
        <w:spacing w:after="0" w:line="240" w:lineRule="auto"/>
      </w:pPr>
      <w:r>
        <w:separator/>
      </w:r>
    </w:p>
  </w:endnote>
  <w:endnote w:type="continuationSeparator" w:id="0">
    <w:p w:rsidR="005C1EF1" w:rsidRDefault="005C1EF1" w:rsidP="00F40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08524"/>
      <w:docPartObj>
        <w:docPartGallery w:val="Page Numbers (Bottom of Page)"/>
        <w:docPartUnique/>
      </w:docPartObj>
    </w:sdtPr>
    <w:sdtContent>
      <w:p w:rsidR="00A45ADC" w:rsidRDefault="006706DC">
        <w:pPr>
          <w:pStyle w:val="Footer"/>
        </w:pPr>
        <w:r w:rsidRPr="006706DC">
          <w:rPr>
            <w:noProof/>
            <w:lang w:val="en-U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4098"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521F8" w:rsidRDefault="006706DC">
                    <w:pPr>
                      <w:jc w:val="center"/>
                    </w:pPr>
                    <w:r>
                      <w:fldChar w:fldCharType="begin"/>
                    </w:r>
                    <w:r w:rsidR="001521F8">
                      <w:instrText xml:space="preserve"> PAGE    \* MERGEFORMAT </w:instrText>
                    </w:r>
                    <w:r>
                      <w:fldChar w:fldCharType="separate"/>
                    </w:r>
                    <w:r w:rsidR="008C4B1E">
                      <w:rPr>
                        <w:noProof/>
                      </w:rPr>
                      <w:t>1</w:t>
                    </w:r>
                    <w:r>
                      <w:rPr>
                        <w:noProof/>
                      </w:rPr>
                      <w:fldChar w:fldCharType="end"/>
                    </w:r>
                  </w:p>
                </w:txbxContent>
              </v:textbox>
              <w10:wrap anchorx="margin" anchory="margin"/>
            </v:shape>
          </w:pict>
        </w:r>
        <w:r w:rsidRPr="006706DC">
          <w:rPr>
            <w:noProof/>
            <w:lang w:val="en-US"/>
          </w:rPr>
          <w:pict>
            <v:shapetype id="_x0000_t32" coordsize="21600,21600" o:spt="32" o:oned="t" path="m,l21600,21600e" filled="f">
              <v:path arrowok="t" fillok="f" o:connecttype="none"/>
              <o:lock v:ext="edit" shapetype="t"/>
            </v:shapetype>
            <v:shape id="AutoShape 21" o:spid="_x0000_s4097"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F1" w:rsidRDefault="005C1EF1" w:rsidP="00F4014F">
      <w:pPr>
        <w:spacing w:after="0" w:line="240" w:lineRule="auto"/>
      </w:pPr>
      <w:r>
        <w:separator/>
      </w:r>
    </w:p>
  </w:footnote>
  <w:footnote w:type="continuationSeparator" w:id="0">
    <w:p w:rsidR="005C1EF1" w:rsidRDefault="005C1EF1" w:rsidP="00F401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40E5"/>
    <w:multiLevelType w:val="hybridMultilevel"/>
    <w:tmpl w:val="CB2E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66CE9"/>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
    <w:nsid w:val="09C63500"/>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3">
    <w:nsid w:val="0A2A25E8"/>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4">
    <w:nsid w:val="0A8D6B63"/>
    <w:multiLevelType w:val="hybridMultilevel"/>
    <w:tmpl w:val="22BCD9A6"/>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B3E70D5"/>
    <w:multiLevelType w:val="hybridMultilevel"/>
    <w:tmpl w:val="DCEE1306"/>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CC80369"/>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7">
    <w:nsid w:val="10775A76"/>
    <w:multiLevelType w:val="hybridMultilevel"/>
    <w:tmpl w:val="564AB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E37817"/>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9">
    <w:nsid w:val="1C7157B0"/>
    <w:multiLevelType w:val="hybridMultilevel"/>
    <w:tmpl w:val="962A5500"/>
    <w:lvl w:ilvl="0" w:tplc="04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34368D5"/>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11">
    <w:nsid w:val="278272EF"/>
    <w:multiLevelType w:val="hybridMultilevel"/>
    <w:tmpl w:val="F208BD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BC6654"/>
    <w:multiLevelType w:val="hybridMultilevel"/>
    <w:tmpl w:val="CBA27E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AAC3AF5"/>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14">
    <w:nsid w:val="34F84C86"/>
    <w:multiLevelType w:val="hybridMultilevel"/>
    <w:tmpl w:val="DE24A4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D48DF"/>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16">
    <w:nsid w:val="371B49F5"/>
    <w:multiLevelType w:val="hybridMultilevel"/>
    <w:tmpl w:val="F208C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305AA"/>
    <w:multiLevelType w:val="hybridMultilevel"/>
    <w:tmpl w:val="E5B02288"/>
    <w:lvl w:ilvl="0" w:tplc="04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39150E84"/>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19">
    <w:nsid w:val="3B4E6B2B"/>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0">
    <w:nsid w:val="3C0C58FD"/>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1">
    <w:nsid w:val="3DE41F5C"/>
    <w:multiLevelType w:val="hybridMultilevel"/>
    <w:tmpl w:val="69F202F2"/>
    <w:lvl w:ilvl="0" w:tplc="775EC65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1145238" w:tentative="1">
      <w:start w:val="1"/>
      <w:numFmt w:val="bullet"/>
      <w:lvlText w:val="•"/>
      <w:lvlJc w:val="left"/>
      <w:pPr>
        <w:tabs>
          <w:tab w:val="num" w:pos="2880"/>
        </w:tabs>
        <w:ind w:left="2880" w:hanging="360"/>
      </w:pPr>
      <w:rPr>
        <w:rFonts w:ascii="Arial" w:hAnsi="Arial" w:hint="default"/>
      </w:rPr>
    </w:lvl>
    <w:lvl w:ilvl="4" w:tplc="8670FC72" w:tentative="1">
      <w:start w:val="1"/>
      <w:numFmt w:val="bullet"/>
      <w:lvlText w:val="•"/>
      <w:lvlJc w:val="left"/>
      <w:pPr>
        <w:tabs>
          <w:tab w:val="num" w:pos="3600"/>
        </w:tabs>
        <w:ind w:left="3600" w:hanging="360"/>
      </w:pPr>
      <w:rPr>
        <w:rFonts w:ascii="Arial" w:hAnsi="Arial" w:hint="default"/>
      </w:rPr>
    </w:lvl>
    <w:lvl w:ilvl="5" w:tplc="422CEBC6" w:tentative="1">
      <w:start w:val="1"/>
      <w:numFmt w:val="bullet"/>
      <w:lvlText w:val="•"/>
      <w:lvlJc w:val="left"/>
      <w:pPr>
        <w:tabs>
          <w:tab w:val="num" w:pos="4320"/>
        </w:tabs>
        <w:ind w:left="4320" w:hanging="360"/>
      </w:pPr>
      <w:rPr>
        <w:rFonts w:ascii="Arial" w:hAnsi="Arial" w:hint="default"/>
      </w:rPr>
    </w:lvl>
    <w:lvl w:ilvl="6" w:tplc="BF6AE8C8" w:tentative="1">
      <w:start w:val="1"/>
      <w:numFmt w:val="bullet"/>
      <w:lvlText w:val="•"/>
      <w:lvlJc w:val="left"/>
      <w:pPr>
        <w:tabs>
          <w:tab w:val="num" w:pos="5040"/>
        </w:tabs>
        <w:ind w:left="5040" w:hanging="360"/>
      </w:pPr>
      <w:rPr>
        <w:rFonts w:ascii="Arial" w:hAnsi="Arial" w:hint="default"/>
      </w:rPr>
    </w:lvl>
    <w:lvl w:ilvl="7" w:tplc="DECCF1AE" w:tentative="1">
      <w:start w:val="1"/>
      <w:numFmt w:val="bullet"/>
      <w:lvlText w:val="•"/>
      <w:lvlJc w:val="left"/>
      <w:pPr>
        <w:tabs>
          <w:tab w:val="num" w:pos="5760"/>
        </w:tabs>
        <w:ind w:left="5760" w:hanging="360"/>
      </w:pPr>
      <w:rPr>
        <w:rFonts w:ascii="Arial" w:hAnsi="Arial" w:hint="default"/>
      </w:rPr>
    </w:lvl>
    <w:lvl w:ilvl="8" w:tplc="58D4234A" w:tentative="1">
      <w:start w:val="1"/>
      <w:numFmt w:val="bullet"/>
      <w:lvlText w:val="•"/>
      <w:lvlJc w:val="left"/>
      <w:pPr>
        <w:tabs>
          <w:tab w:val="num" w:pos="6480"/>
        </w:tabs>
        <w:ind w:left="6480" w:hanging="360"/>
      </w:pPr>
      <w:rPr>
        <w:rFonts w:ascii="Arial" w:hAnsi="Arial" w:hint="default"/>
      </w:rPr>
    </w:lvl>
  </w:abstractNum>
  <w:abstractNum w:abstractNumId="22">
    <w:nsid w:val="47A12B09"/>
    <w:multiLevelType w:val="hybridMultilevel"/>
    <w:tmpl w:val="6F34B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EAE395E"/>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4">
    <w:nsid w:val="55E16404"/>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5">
    <w:nsid w:val="599E5028"/>
    <w:multiLevelType w:val="hybridMultilevel"/>
    <w:tmpl w:val="ADC285AA"/>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1350618"/>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7">
    <w:nsid w:val="63AD2CC3"/>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28">
    <w:nsid w:val="67351C99"/>
    <w:multiLevelType w:val="multilevel"/>
    <w:tmpl w:val="D7B6176A"/>
    <w:lvl w:ilvl="0">
      <w:start w:val="1"/>
      <w:numFmt w:val="bullet"/>
      <w:pStyle w:val="Bulletlevel1"/>
      <w:lvlText w:val=""/>
      <w:lvlJc w:val="left"/>
      <w:pPr>
        <w:tabs>
          <w:tab w:val="num" w:pos="720"/>
        </w:tabs>
        <w:ind w:left="720" w:hanging="363"/>
      </w:pPr>
      <w:rPr>
        <w:rFonts w:ascii="Wingdings 2" w:hAnsi="Wingdings 2" w:hint="default"/>
        <w:color w:val="CF0317"/>
        <w:sz w:val="20"/>
      </w:rPr>
    </w:lvl>
    <w:lvl w:ilvl="1">
      <w:start w:val="1"/>
      <w:numFmt w:val="bullet"/>
      <w:lvlText w:val="–"/>
      <w:lvlJc w:val="left"/>
      <w:pPr>
        <w:ind w:left="1440" w:hanging="363"/>
      </w:pPr>
      <w:rPr>
        <w:rFonts w:ascii="Times New Roman" w:hAnsi="Times New Roman" w:cs="Times New Roman" w:hint="default"/>
      </w:rPr>
    </w:lvl>
    <w:lvl w:ilvl="2">
      <w:start w:val="1"/>
      <w:numFmt w:val="bullet"/>
      <w:lvlText w:val="&gt;"/>
      <w:lvlJc w:val="left"/>
      <w:pPr>
        <w:ind w:left="2160" w:hanging="363"/>
      </w:pPr>
      <w:rPr>
        <w:rFonts w:ascii="Times New Roman" w:hAnsi="Times New Roman" w:cs="Times New Roman" w:hint="default"/>
      </w:rPr>
    </w:lvl>
    <w:lvl w:ilvl="3">
      <w:start w:val="1"/>
      <w:numFmt w:val="bullet"/>
      <w:lvlText w:val="–"/>
      <w:lvlJc w:val="left"/>
      <w:pPr>
        <w:ind w:left="2880" w:hanging="363"/>
      </w:pPr>
      <w:rPr>
        <w:rFonts w:ascii="Times New Roman" w:hAnsi="Times New Roman" w:cs="Times New Roman" w:hint="default"/>
      </w:rPr>
    </w:lvl>
    <w:lvl w:ilvl="4">
      <w:start w:val="1"/>
      <w:numFmt w:val="bullet"/>
      <w:lvlText w:val="–"/>
      <w:lvlJc w:val="left"/>
      <w:pPr>
        <w:ind w:left="3600" w:hanging="363"/>
      </w:pPr>
      <w:rPr>
        <w:rFonts w:ascii="Times New Roman" w:hAnsi="Times New Roman" w:cs="Times New Roman" w:hint="default"/>
      </w:rPr>
    </w:lvl>
    <w:lvl w:ilvl="5">
      <w:start w:val="1"/>
      <w:numFmt w:val="bullet"/>
      <w:lvlText w:val="–"/>
      <w:lvlJc w:val="left"/>
      <w:pPr>
        <w:ind w:left="4320" w:hanging="363"/>
      </w:pPr>
      <w:rPr>
        <w:rFonts w:ascii="Times New Roman" w:hAnsi="Times New Roman" w:cs="Times New Roman" w:hint="default"/>
      </w:rPr>
    </w:lvl>
    <w:lvl w:ilvl="6">
      <w:start w:val="1"/>
      <w:numFmt w:val="bullet"/>
      <w:lvlText w:val="–"/>
      <w:lvlJc w:val="left"/>
      <w:pPr>
        <w:ind w:left="5040" w:hanging="363"/>
      </w:pPr>
      <w:rPr>
        <w:rFonts w:ascii="Times New Roman" w:hAnsi="Times New Roman" w:cs="Times New Roman" w:hint="default"/>
      </w:rPr>
    </w:lvl>
    <w:lvl w:ilvl="7">
      <w:start w:val="1"/>
      <w:numFmt w:val="bullet"/>
      <w:lvlText w:val="–"/>
      <w:lvlJc w:val="left"/>
      <w:pPr>
        <w:ind w:left="5760" w:hanging="363"/>
      </w:pPr>
      <w:rPr>
        <w:rFonts w:ascii="Times New Roman" w:hAnsi="Times New Roman" w:cs="Times New Roman" w:hint="default"/>
      </w:rPr>
    </w:lvl>
    <w:lvl w:ilvl="8">
      <w:start w:val="1"/>
      <w:numFmt w:val="bullet"/>
      <w:lvlText w:val="–"/>
      <w:lvlJc w:val="left"/>
      <w:pPr>
        <w:ind w:left="6480" w:hanging="363"/>
      </w:pPr>
      <w:rPr>
        <w:rFonts w:ascii="Times New Roman" w:hAnsi="Times New Roman" w:cs="Times New Roman" w:hint="default"/>
      </w:rPr>
    </w:lvl>
  </w:abstractNum>
  <w:abstractNum w:abstractNumId="29">
    <w:nsid w:val="683638BB"/>
    <w:multiLevelType w:val="hybridMultilevel"/>
    <w:tmpl w:val="4C744E3A"/>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AFF1353"/>
    <w:multiLevelType w:val="hybridMultilevel"/>
    <w:tmpl w:val="F356E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2B62CA"/>
    <w:multiLevelType w:val="hybridMultilevel"/>
    <w:tmpl w:val="35E4C692"/>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3C7D75"/>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33">
    <w:nsid w:val="728828B8"/>
    <w:multiLevelType w:val="hybridMultilevel"/>
    <w:tmpl w:val="C82E2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750524"/>
    <w:multiLevelType w:val="hybridMultilevel"/>
    <w:tmpl w:val="BFA83246"/>
    <w:lvl w:ilvl="0" w:tplc="D7EC089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34D67E9E" w:tentative="1">
      <w:start w:val="1"/>
      <w:numFmt w:val="bullet"/>
      <w:lvlText w:val="•"/>
      <w:lvlJc w:val="left"/>
      <w:pPr>
        <w:tabs>
          <w:tab w:val="num" w:pos="2880"/>
        </w:tabs>
        <w:ind w:left="2880" w:hanging="360"/>
      </w:pPr>
      <w:rPr>
        <w:rFonts w:ascii="Arial" w:hAnsi="Arial" w:hint="default"/>
      </w:rPr>
    </w:lvl>
    <w:lvl w:ilvl="4" w:tplc="D7987A8E" w:tentative="1">
      <w:start w:val="1"/>
      <w:numFmt w:val="bullet"/>
      <w:lvlText w:val="•"/>
      <w:lvlJc w:val="left"/>
      <w:pPr>
        <w:tabs>
          <w:tab w:val="num" w:pos="3600"/>
        </w:tabs>
        <w:ind w:left="3600" w:hanging="360"/>
      </w:pPr>
      <w:rPr>
        <w:rFonts w:ascii="Arial" w:hAnsi="Arial" w:hint="default"/>
      </w:rPr>
    </w:lvl>
    <w:lvl w:ilvl="5" w:tplc="0B9260FC" w:tentative="1">
      <w:start w:val="1"/>
      <w:numFmt w:val="bullet"/>
      <w:lvlText w:val="•"/>
      <w:lvlJc w:val="left"/>
      <w:pPr>
        <w:tabs>
          <w:tab w:val="num" w:pos="4320"/>
        </w:tabs>
        <w:ind w:left="4320" w:hanging="360"/>
      </w:pPr>
      <w:rPr>
        <w:rFonts w:ascii="Arial" w:hAnsi="Arial" w:hint="default"/>
      </w:rPr>
    </w:lvl>
    <w:lvl w:ilvl="6" w:tplc="0D70E108" w:tentative="1">
      <w:start w:val="1"/>
      <w:numFmt w:val="bullet"/>
      <w:lvlText w:val="•"/>
      <w:lvlJc w:val="left"/>
      <w:pPr>
        <w:tabs>
          <w:tab w:val="num" w:pos="5040"/>
        </w:tabs>
        <w:ind w:left="5040" w:hanging="360"/>
      </w:pPr>
      <w:rPr>
        <w:rFonts w:ascii="Arial" w:hAnsi="Arial" w:hint="default"/>
      </w:rPr>
    </w:lvl>
    <w:lvl w:ilvl="7" w:tplc="8AAA071E" w:tentative="1">
      <w:start w:val="1"/>
      <w:numFmt w:val="bullet"/>
      <w:lvlText w:val="•"/>
      <w:lvlJc w:val="left"/>
      <w:pPr>
        <w:tabs>
          <w:tab w:val="num" w:pos="5760"/>
        </w:tabs>
        <w:ind w:left="5760" w:hanging="360"/>
      </w:pPr>
      <w:rPr>
        <w:rFonts w:ascii="Arial" w:hAnsi="Arial" w:hint="default"/>
      </w:rPr>
    </w:lvl>
    <w:lvl w:ilvl="8" w:tplc="750A74D8" w:tentative="1">
      <w:start w:val="1"/>
      <w:numFmt w:val="bullet"/>
      <w:lvlText w:val="•"/>
      <w:lvlJc w:val="left"/>
      <w:pPr>
        <w:tabs>
          <w:tab w:val="num" w:pos="6480"/>
        </w:tabs>
        <w:ind w:left="6480" w:hanging="360"/>
      </w:pPr>
      <w:rPr>
        <w:rFonts w:ascii="Arial" w:hAnsi="Arial" w:hint="default"/>
      </w:rPr>
    </w:lvl>
  </w:abstractNum>
  <w:abstractNum w:abstractNumId="35">
    <w:nsid w:val="77386D12"/>
    <w:multiLevelType w:val="hybridMultilevel"/>
    <w:tmpl w:val="F7B0B0E6"/>
    <w:lvl w:ilvl="0" w:tplc="1C090001">
      <w:start w:val="1"/>
      <w:numFmt w:val="bullet"/>
      <w:lvlText w:val=""/>
      <w:lvlJc w:val="left"/>
      <w:pPr>
        <w:ind w:left="1494" w:hanging="360"/>
      </w:pPr>
      <w:rPr>
        <w:rFonts w:ascii="Symbol" w:hAnsi="Symbol" w:hint="default"/>
      </w:rPr>
    </w:lvl>
    <w:lvl w:ilvl="1" w:tplc="1C090003">
      <w:start w:val="1"/>
      <w:numFmt w:val="bullet"/>
      <w:lvlText w:val="o"/>
      <w:lvlJc w:val="left"/>
      <w:pPr>
        <w:ind w:left="2214" w:hanging="360"/>
      </w:pPr>
      <w:rPr>
        <w:rFonts w:ascii="Courier New" w:hAnsi="Courier New" w:cs="Courier New" w:hint="default"/>
      </w:rPr>
    </w:lvl>
    <w:lvl w:ilvl="2" w:tplc="1C090005">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6">
    <w:nsid w:val="7A81708D"/>
    <w:multiLevelType w:val="hybridMultilevel"/>
    <w:tmpl w:val="1CFE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944CD"/>
    <w:multiLevelType w:val="multilevel"/>
    <w:tmpl w:val="48FC46E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160" w:hanging="108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3240" w:hanging="144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4320" w:hanging="1800"/>
      </w:pPr>
      <w:rPr>
        <w:rFonts w:hint="default"/>
        <w:color w:val="auto"/>
      </w:rPr>
    </w:lvl>
    <w:lvl w:ilvl="8">
      <w:start w:val="1"/>
      <w:numFmt w:val="decimal"/>
      <w:isLgl/>
      <w:lvlText w:val="%1.%2.%3.%4.%5.%6.%7.%8.%9."/>
      <w:lvlJc w:val="left"/>
      <w:pPr>
        <w:ind w:left="4680" w:hanging="1800"/>
      </w:pPr>
      <w:rPr>
        <w:rFonts w:hint="default"/>
        <w:color w:val="auto"/>
      </w:rPr>
    </w:lvl>
  </w:abstractNum>
  <w:abstractNum w:abstractNumId="38">
    <w:nsid w:val="7FE3781C"/>
    <w:multiLevelType w:val="multilevel"/>
    <w:tmpl w:val="636CAC5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35"/>
  </w:num>
  <w:num w:numId="3">
    <w:abstractNumId w:val="12"/>
  </w:num>
  <w:num w:numId="4">
    <w:abstractNumId w:val="36"/>
  </w:num>
  <w:num w:numId="5">
    <w:abstractNumId w:val="33"/>
  </w:num>
  <w:num w:numId="6">
    <w:abstractNumId w:val="30"/>
  </w:num>
  <w:num w:numId="7">
    <w:abstractNumId w:val="9"/>
  </w:num>
  <w:num w:numId="8">
    <w:abstractNumId w:val="7"/>
  </w:num>
  <w:num w:numId="9">
    <w:abstractNumId w:val="16"/>
  </w:num>
  <w:num w:numId="10">
    <w:abstractNumId w:val="1"/>
  </w:num>
  <w:num w:numId="11">
    <w:abstractNumId w:val="38"/>
  </w:num>
  <w:num w:numId="12">
    <w:abstractNumId w:val="17"/>
  </w:num>
  <w:num w:numId="13">
    <w:abstractNumId w:val="22"/>
  </w:num>
  <w:num w:numId="14">
    <w:abstractNumId w:val="4"/>
  </w:num>
  <w:num w:numId="15">
    <w:abstractNumId w:val="31"/>
  </w:num>
  <w:num w:numId="16">
    <w:abstractNumId w:val="29"/>
  </w:num>
  <w:num w:numId="17">
    <w:abstractNumId w:val="34"/>
  </w:num>
  <w:num w:numId="18">
    <w:abstractNumId w:val="25"/>
  </w:num>
  <w:num w:numId="19">
    <w:abstractNumId w:val="21"/>
  </w:num>
  <w:num w:numId="20">
    <w:abstractNumId w:val="11"/>
  </w:num>
  <w:num w:numId="21">
    <w:abstractNumId w:val="14"/>
  </w:num>
  <w:num w:numId="22">
    <w:abstractNumId w:val="5"/>
  </w:num>
  <w:num w:numId="23">
    <w:abstractNumId w:val="8"/>
  </w:num>
  <w:num w:numId="24">
    <w:abstractNumId w:val="23"/>
  </w:num>
  <w:num w:numId="25">
    <w:abstractNumId w:val="3"/>
  </w:num>
  <w:num w:numId="26">
    <w:abstractNumId w:val="2"/>
  </w:num>
  <w:num w:numId="27">
    <w:abstractNumId w:val="13"/>
  </w:num>
  <w:num w:numId="28">
    <w:abstractNumId w:val="26"/>
  </w:num>
  <w:num w:numId="29">
    <w:abstractNumId w:val="18"/>
  </w:num>
  <w:num w:numId="30">
    <w:abstractNumId w:val="24"/>
  </w:num>
  <w:num w:numId="31">
    <w:abstractNumId w:val="19"/>
  </w:num>
  <w:num w:numId="32">
    <w:abstractNumId w:val="6"/>
  </w:num>
  <w:num w:numId="33">
    <w:abstractNumId w:val="27"/>
  </w:num>
  <w:num w:numId="34">
    <w:abstractNumId w:val="32"/>
  </w:num>
  <w:num w:numId="35">
    <w:abstractNumId w:val="20"/>
  </w:num>
  <w:num w:numId="36">
    <w:abstractNumId w:val="10"/>
  </w:num>
  <w:num w:numId="37">
    <w:abstractNumId w:val="15"/>
  </w:num>
  <w:num w:numId="38">
    <w:abstractNumId w:val="37"/>
  </w:num>
  <w:num w:numId="39">
    <w:abstractNumId w:val="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100"/>
    <o:shapelayout v:ext="edit">
      <o:idmap v:ext="edit" data="4"/>
      <o:rules v:ext="edit">
        <o:r id="V:Rule1" type="connector" idref="#AutoShape 21"/>
      </o:rules>
    </o:shapelayout>
  </w:hdrShapeDefaults>
  <w:footnotePr>
    <w:footnote w:id="-1"/>
    <w:footnote w:id="0"/>
  </w:footnotePr>
  <w:endnotePr>
    <w:endnote w:id="-1"/>
    <w:endnote w:id="0"/>
  </w:endnotePr>
  <w:compat/>
  <w:rsids>
    <w:rsidRoot w:val="00B4676E"/>
    <w:rsid w:val="00002208"/>
    <w:rsid w:val="00003560"/>
    <w:rsid w:val="00011839"/>
    <w:rsid w:val="00011BB6"/>
    <w:rsid w:val="00021B16"/>
    <w:rsid w:val="00031E85"/>
    <w:rsid w:val="0003215F"/>
    <w:rsid w:val="00032EC3"/>
    <w:rsid w:val="0003631A"/>
    <w:rsid w:val="0004473A"/>
    <w:rsid w:val="00044BB7"/>
    <w:rsid w:val="00051387"/>
    <w:rsid w:val="00053005"/>
    <w:rsid w:val="0005314E"/>
    <w:rsid w:val="000640A7"/>
    <w:rsid w:val="00064818"/>
    <w:rsid w:val="00065AE2"/>
    <w:rsid w:val="0007070C"/>
    <w:rsid w:val="00085A07"/>
    <w:rsid w:val="0008698B"/>
    <w:rsid w:val="00086AA8"/>
    <w:rsid w:val="00087C00"/>
    <w:rsid w:val="00090B49"/>
    <w:rsid w:val="00091781"/>
    <w:rsid w:val="00093318"/>
    <w:rsid w:val="000937F3"/>
    <w:rsid w:val="000938B1"/>
    <w:rsid w:val="0009623E"/>
    <w:rsid w:val="000968FA"/>
    <w:rsid w:val="000A00A1"/>
    <w:rsid w:val="000A1220"/>
    <w:rsid w:val="000A1B79"/>
    <w:rsid w:val="000A23A0"/>
    <w:rsid w:val="000A7639"/>
    <w:rsid w:val="000B1F27"/>
    <w:rsid w:val="000B60DE"/>
    <w:rsid w:val="000B689E"/>
    <w:rsid w:val="000B7013"/>
    <w:rsid w:val="000C3C6E"/>
    <w:rsid w:val="000D103B"/>
    <w:rsid w:val="000D2C8A"/>
    <w:rsid w:val="000D7C22"/>
    <w:rsid w:val="000E2499"/>
    <w:rsid w:val="000E2F4D"/>
    <w:rsid w:val="000F59CA"/>
    <w:rsid w:val="00100ADD"/>
    <w:rsid w:val="00102018"/>
    <w:rsid w:val="0010316B"/>
    <w:rsid w:val="0010508E"/>
    <w:rsid w:val="0010529E"/>
    <w:rsid w:val="001063F4"/>
    <w:rsid w:val="00107E3B"/>
    <w:rsid w:val="001117D5"/>
    <w:rsid w:val="00121925"/>
    <w:rsid w:val="00123315"/>
    <w:rsid w:val="001335B9"/>
    <w:rsid w:val="001358E7"/>
    <w:rsid w:val="00140DFC"/>
    <w:rsid w:val="00147385"/>
    <w:rsid w:val="001473BE"/>
    <w:rsid w:val="00150A35"/>
    <w:rsid w:val="001521F8"/>
    <w:rsid w:val="00152F00"/>
    <w:rsid w:val="001552A0"/>
    <w:rsid w:val="00162D91"/>
    <w:rsid w:val="00165B06"/>
    <w:rsid w:val="00167B59"/>
    <w:rsid w:val="001805D1"/>
    <w:rsid w:val="001842F9"/>
    <w:rsid w:val="00184E1F"/>
    <w:rsid w:val="00186B0F"/>
    <w:rsid w:val="0019082B"/>
    <w:rsid w:val="001920E2"/>
    <w:rsid w:val="001948F0"/>
    <w:rsid w:val="00196D9C"/>
    <w:rsid w:val="001A060B"/>
    <w:rsid w:val="001A0732"/>
    <w:rsid w:val="001A0A29"/>
    <w:rsid w:val="001A23D1"/>
    <w:rsid w:val="001A3DFD"/>
    <w:rsid w:val="001A4DC5"/>
    <w:rsid w:val="001B20A5"/>
    <w:rsid w:val="001B4FEA"/>
    <w:rsid w:val="001B6509"/>
    <w:rsid w:val="001C1B59"/>
    <w:rsid w:val="001D0D32"/>
    <w:rsid w:val="001D1EAC"/>
    <w:rsid w:val="001D3B7B"/>
    <w:rsid w:val="001E765F"/>
    <w:rsid w:val="001F2169"/>
    <w:rsid w:val="001F3099"/>
    <w:rsid w:val="001F4A27"/>
    <w:rsid w:val="001F4C44"/>
    <w:rsid w:val="001F5284"/>
    <w:rsid w:val="001F6C23"/>
    <w:rsid w:val="002031A2"/>
    <w:rsid w:val="002063D4"/>
    <w:rsid w:val="00210883"/>
    <w:rsid w:val="00211F96"/>
    <w:rsid w:val="0021327B"/>
    <w:rsid w:val="0022047C"/>
    <w:rsid w:val="00227E5B"/>
    <w:rsid w:val="00232145"/>
    <w:rsid w:val="002321E6"/>
    <w:rsid w:val="0023733E"/>
    <w:rsid w:val="002401BD"/>
    <w:rsid w:val="00241254"/>
    <w:rsid w:val="0024668A"/>
    <w:rsid w:val="0024685A"/>
    <w:rsid w:val="0026172D"/>
    <w:rsid w:val="00267261"/>
    <w:rsid w:val="00270EC3"/>
    <w:rsid w:val="00272269"/>
    <w:rsid w:val="00273D6E"/>
    <w:rsid w:val="00276838"/>
    <w:rsid w:val="0027690A"/>
    <w:rsid w:val="00277C10"/>
    <w:rsid w:val="002822FF"/>
    <w:rsid w:val="00287A92"/>
    <w:rsid w:val="0029044E"/>
    <w:rsid w:val="0029140F"/>
    <w:rsid w:val="00294D06"/>
    <w:rsid w:val="0029787B"/>
    <w:rsid w:val="002A65B6"/>
    <w:rsid w:val="002B08B2"/>
    <w:rsid w:val="002B5C34"/>
    <w:rsid w:val="002C5ADA"/>
    <w:rsid w:val="002D2AFE"/>
    <w:rsid w:val="002D5918"/>
    <w:rsid w:val="002D675D"/>
    <w:rsid w:val="002D73A4"/>
    <w:rsid w:val="002D77CE"/>
    <w:rsid w:val="002E0561"/>
    <w:rsid w:val="002E0DC2"/>
    <w:rsid w:val="002E56CD"/>
    <w:rsid w:val="002F2CAB"/>
    <w:rsid w:val="002F32DB"/>
    <w:rsid w:val="002F36B1"/>
    <w:rsid w:val="00301309"/>
    <w:rsid w:val="00302863"/>
    <w:rsid w:val="00305B9D"/>
    <w:rsid w:val="00305D7F"/>
    <w:rsid w:val="00306517"/>
    <w:rsid w:val="00311569"/>
    <w:rsid w:val="00311F27"/>
    <w:rsid w:val="00321D31"/>
    <w:rsid w:val="0032385C"/>
    <w:rsid w:val="00325225"/>
    <w:rsid w:val="00325B40"/>
    <w:rsid w:val="00326C0E"/>
    <w:rsid w:val="0033440F"/>
    <w:rsid w:val="0034286C"/>
    <w:rsid w:val="00344F16"/>
    <w:rsid w:val="00363FFE"/>
    <w:rsid w:val="00365B3A"/>
    <w:rsid w:val="00374DA7"/>
    <w:rsid w:val="00375A69"/>
    <w:rsid w:val="0038180D"/>
    <w:rsid w:val="00381F89"/>
    <w:rsid w:val="00382F06"/>
    <w:rsid w:val="00384210"/>
    <w:rsid w:val="00393817"/>
    <w:rsid w:val="00394F16"/>
    <w:rsid w:val="003A22B8"/>
    <w:rsid w:val="003A2C22"/>
    <w:rsid w:val="003A46DB"/>
    <w:rsid w:val="003A4E73"/>
    <w:rsid w:val="003A747F"/>
    <w:rsid w:val="003B0783"/>
    <w:rsid w:val="003B5E50"/>
    <w:rsid w:val="003B78B9"/>
    <w:rsid w:val="003C1945"/>
    <w:rsid w:val="003C4E22"/>
    <w:rsid w:val="003C7263"/>
    <w:rsid w:val="003D1E7A"/>
    <w:rsid w:val="003D3B17"/>
    <w:rsid w:val="003D50CD"/>
    <w:rsid w:val="003D6450"/>
    <w:rsid w:val="003E1B57"/>
    <w:rsid w:val="003E3D79"/>
    <w:rsid w:val="003E4A72"/>
    <w:rsid w:val="003E7DB2"/>
    <w:rsid w:val="003F5599"/>
    <w:rsid w:val="003F6420"/>
    <w:rsid w:val="00406D30"/>
    <w:rsid w:val="0041009F"/>
    <w:rsid w:val="00415DE8"/>
    <w:rsid w:val="00420146"/>
    <w:rsid w:val="00425D53"/>
    <w:rsid w:val="00427886"/>
    <w:rsid w:val="00431B9A"/>
    <w:rsid w:val="0044395C"/>
    <w:rsid w:val="004466D5"/>
    <w:rsid w:val="00450374"/>
    <w:rsid w:val="004505AF"/>
    <w:rsid w:val="00451BBC"/>
    <w:rsid w:val="004572C1"/>
    <w:rsid w:val="00461210"/>
    <w:rsid w:val="004616E2"/>
    <w:rsid w:val="0046248B"/>
    <w:rsid w:val="00465A93"/>
    <w:rsid w:val="0046764D"/>
    <w:rsid w:val="00474CB7"/>
    <w:rsid w:val="0047540B"/>
    <w:rsid w:val="00482154"/>
    <w:rsid w:val="00493B97"/>
    <w:rsid w:val="004946B8"/>
    <w:rsid w:val="00495133"/>
    <w:rsid w:val="004976BB"/>
    <w:rsid w:val="00497DA4"/>
    <w:rsid w:val="004A111F"/>
    <w:rsid w:val="004A2021"/>
    <w:rsid w:val="004A338A"/>
    <w:rsid w:val="004A3CAB"/>
    <w:rsid w:val="004A4362"/>
    <w:rsid w:val="004A6A11"/>
    <w:rsid w:val="004B3134"/>
    <w:rsid w:val="004B388A"/>
    <w:rsid w:val="004B6441"/>
    <w:rsid w:val="004B6A2C"/>
    <w:rsid w:val="004B7543"/>
    <w:rsid w:val="004B7A72"/>
    <w:rsid w:val="004C2C05"/>
    <w:rsid w:val="004D1305"/>
    <w:rsid w:val="004D3B32"/>
    <w:rsid w:val="004D6942"/>
    <w:rsid w:val="004F26FD"/>
    <w:rsid w:val="004F6D64"/>
    <w:rsid w:val="004F710D"/>
    <w:rsid w:val="004F76E4"/>
    <w:rsid w:val="00502BF8"/>
    <w:rsid w:val="00503998"/>
    <w:rsid w:val="00506481"/>
    <w:rsid w:val="005106D8"/>
    <w:rsid w:val="0051333D"/>
    <w:rsid w:val="00516689"/>
    <w:rsid w:val="005179FC"/>
    <w:rsid w:val="00520E69"/>
    <w:rsid w:val="005259EC"/>
    <w:rsid w:val="00530A9B"/>
    <w:rsid w:val="00533CD4"/>
    <w:rsid w:val="00536507"/>
    <w:rsid w:val="00545937"/>
    <w:rsid w:val="005538CE"/>
    <w:rsid w:val="00553BE2"/>
    <w:rsid w:val="00555D95"/>
    <w:rsid w:val="005579F2"/>
    <w:rsid w:val="0056522B"/>
    <w:rsid w:val="00572B07"/>
    <w:rsid w:val="00573934"/>
    <w:rsid w:val="00573EAF"/>
    <w:rsid w:val="0057702A"/>
    <w:rsid w:val="005814BA"/>
    <w:rsid w:val="00583282"/>
    <w:rsid w:val="00584241"/>
    <w:rsid w:val="0059059A"/>
    <w:rsid w:val="00590CBD"/>
    <w:rsid w:val="00591918"/>
    <w:rsid w:val="005932DC"/>
    <w:rsid w:val="0059534B"/>
    <w:rsid w:val="005A1CB6"/>
    <w:rsid w:val="005A3E7E"/>
    <w:rsid w:val="005A50E6"/>
    <w:rsid w:val="005B160E"/>
    <w:rsid w:val="005C158C"/>
    <w:rsid w:val="005C1EF1"/>
    <w:rsid w:val="005D70B7"/>
    <w:rsid w:val="005D72C4"/>
    <w:rsid w:val="005D7A19"/>
    <w:rsid w:val="005E09EC"/>
    <w:rsid w:val="005E0C5A"/>
    <w:rsid w:val="005E1517"/>
    <w:rsid w:val="005E1875"/>
    <w:rsid w:val="005E52D7"/>
    <w:rsid w:val="005E5499"/>
    <w:rsid w:val="005E7B91"/>
    <w:rsid w:val="005F7EDF"/>
    <w:rsid w:val="006101F6"/>
    <w:rsid w:val="00612D08"/>
    <w:rsid w:val="0061548E"/>
    <w:rsid w:val="00622E8A"/>
    <w:rsid w:val="0062483A"/>
    <w:rsid w:val="00631F81"/>
    <w:rsid w:val="0063216E"/>
    <w:rsid w:val="00632753"/>
    <w:rsid w:val="00640234"/>
    <w:rsid w:val="00642C77"/>
    <w:rsid w:val="00646C79"/>
    <w:rsid w:val="00651401"/>
    <w:rsid w:val="0065257A"/>
    <w:rsid w:val="006536B4"/>
    <w:rsid w:val="0065792F"/>
    <w:rsid w:val="00661534"/>
    <w:rsid w:val="0066286B"/>
    <w:rsid w:val="006639D3"/>
    <w:rsid w:val="00664B65"/>
    <w:rsid w:val="00667E72"/>
    <w:rsid w:val="006706DC"/>
    <w:rsid w:val="00676144"/>
    <w:rsid w:val="006865F9"/>
    <w:rsid w:val="00690C76"/>
    <w:rsid w:val="0069235E"/>
    <w:rsid w:val="00693072"/>
    <w:rsid w:val="006B0C36"/>
    <w:rsid w:val="006B1CF7"/>
    <w:rsid w:val="006B2D9F"/>
    <w:rsid w:val="006C24DD"/>
    <w:rsid w:val="006C5B75"/>
    <w:rsid w:val="006C7F54"/>
    <w:rsid w:val="006D57F3"/>
    <w:rsid w:val="006D5F3A"/>
    <w:rsid w:val="006E2C85"/>
    <w:rsid w:val="006E494B"/>
    <w:rsid w:val="006E67B2"/>
    <w:rsid w:val="006F01FF"/>
    <w:rsid w:val="006F268B"/>
    <w:rsid w:val="006F34E8"/>
    <w:rsid w:val="006F4824"/>
    <w:rsid w:val="006F4D9F"/>
    <w:rsid w:val="0070612E"/>
    <w:rsid w:val="007104FA"/>
    <w:rsid w:val="00713B38"/>
    <w:rsid w:val="00713E35"/>
    <w:rsid w:val="00714FB7"/>
    <w:rsid w:val="00716526"/>
    <w:rsid w:val="00727F71"/>
    <w:rsid w:val="00732BC6"/>
    <w:rsid w:val="00737F91"/>
    <w:rsid w:val="0074225A"/>
    <w:rsid w:val="00743257"/>
    <w:rsid w:val="00756E16"/>
    <w:rsid w:val="00764A3A"/>
    <w:rsid w:val="00766930"/>
    <w:rsid w:val="00773E70"/>
    <w:rsid w:val="00777E05"/>
    <w:rsid w:val="00782916"/>
    <w:rsid w:val="00782C40"/>
    <w:rsid w:val="007852C3"/>
    <w:rsid w:val="00786DB5"/>
    <w:rsid w:val="007878ED"/>
    <w:rsid w:val="00797D40"/>
    <w:rsid w:val="007A3207"/>
    <w:rsid w:val="007A3A03"/>
    <w:rsid w:val="007A5473"/>
    <w:rsid w:val="007A62E5"/>
    <w:rsid w:val="007B193A"/>
    <w:rsid w:val="007B5F9A"/>
    <w:rsid w:val="007B74A7"/>
    <w:rsid w:val="007C1B1A"/>
    <w:rsid w:val="007C3D9F"/>
    <w:rsid w:val="007D00EA"/>
    <w:rsid w:val="007D1D94"/>
    <w:rsid w:val="007D5F84"/>
    <w:rsid w:val="007D6CCF"/>
    <w:rsid w:val="007E1B8F"/>
    <w:rsid w:val="007E3D79"/>
    <w:rsid w:val="007E625D"/>
    <w:rsid w:val="007F1B8E"/>
    <w:rsid w:val="007F341F"/>
    <w:rsid w:val="007F4CB6"/>
    <w:rsid w:val="007F6396"/>
    <w:rsid w:val="007F7416"/>
    <w:rsid w:val="008014BE"/>
    <w:rsid w:val="00804C1B"/>
    <w:rsid w:val="00807F0E"/>
    <w:rsid w:val="00810F26"/>
    <w:rsid w:val="008146EC"/>
    <w:rsid w:val="00824A24"/>
    <w:rsid w:val="00832BF8"/>
    <w:rsid w:val="00840894"/>
    <w:rsid w:val="00840CFA"/>
    <w:rsid w:val="00841A56"/>
    <w:rsid w:val="00843E04"/>
    <w:rsid w:val="00845653"/>
    <w:rsid w:val="00845853"/>
    <w:rsid w:val="00846508"/>
    <w:rsid w:val="008471CE"/>
    <w:rsid w:val="00851D11"/>
    <w:rsid w:val="00852DE0"/>
    <w:rsid w:val="00854716"/>
    <w:rsid w:val="00860480"/>
    <w:rsid w:val="008673FD"/>
    <w:rsid w:val="00874020"/>
    <w:rsid w:val="00880161"/>
    <w:rsid w:val="008806C4"/>
    <w:rsid w:val="00880C68"/>
    <w:rsid w:val="00880C9D"/>
    <w:rsid w:val="00881CE4"/>
    <w:rsid w:val="00882C05"/>
    <w:rsid w:val="008855E4"/>
    <w:rsid w:val="0088607B"/>
    <w:rsid w:val="00890A32"/>
    <w:rsid w:val="00890C16"/>
    <w:rsid w:val="008A0636"/>
    <w:rsid w:val="008A177B"/>
    <w:rsid w:val="008A27E4"/>
    <w:rsid w:val="008A439A"/>
    <w:rsid w:val="008A5B87"/>
    <w:rsid w:val="008B0E27"/>
    <w:rsid w:val="008B11D3"/>
    <w:rsid w:val="008B534B"/>
    <w:rsid w:val="008C3B18"/>
    <w:rsid w:val="008C3EE1"/>
    <w:rsid w:val="008C4B1E"/>
    <w:rsid w:val="008C78ED"/>
    <w:rsid w:val="008D24ED"/>
    <w:rsid w:val="008D3F5B"/>
    <w:rsid w:val="008E0480"/>
    <w:rsid w:val="008E0E26"/>
    <w:rsid w:val="008E0FA9"/>
    <w:rsid w:val="008E1FA0"/>
    <w:rsid w:val="008E618E"/>
    <w:rsid w:val="008F11B0"/>
    <w:rsid w:val="008F2C5E"/>
    <w:rsid w:val="008F430A"/>
    <w:rsid w:val="008F4913"/>
    <w:rsid w:val="00900277"/>
    <w:rsid w:val="00901405"/>
    <w:rsid w:val="00907911"/>
    <w:rsid w:val="00907C10"/>
    <w:rsid w:val="009115F9"/>
    <w:rsid w:val="00912600"/>
    <w:rsid w:val="0091318B"/>
    <w:rsid w:val="00920517"/>
    <w:rsid w:val="00920AAE"/>
    <w:rsid w:val="00922A3E"/>
    <w:rsid w:val="00925C73"/>
    <w:rsid w:val="00932A7B"/>
    <w:rsid w:val="00934D1D"/>
    <w:rsid w:val="00942FFD"/>
    <w:rsid w:val="0095070B"/>
    <w:rsid w:val="00951E80"/>
    <w:rsid w:val="009524D7"/>
    <w:rsid w:val="00954F6A"/>
    <w:rsid w:val="00955134"/>
    <w:rsid w:val="009556AF"/>
    <w:rsid w:val="00966C0A"/>
    <w:rsid w:val="00980495"/>
    <w:rsid w:val="00984B6E"/>
    <w:rsid w:val="009873C0"/>
    <w:rsid w:val="00990083"/>
    <w:rsid w:val="00990FDC"/>
    <w:rsid w:val="00992F46"/>
    <w:rsid w:val="00993D09"/>
    <w:rsid w:val="00995062"/>
    <w:rsid w:val="009977DD"/>
    <w:rsid w:val="009A0491"/>
    <w:rsid w:val="009A4CEC"/>
    <w:rsid w:val="009A7FE1"/>
    <w:rsid w:val="009C3621"/>
    <w:rsid w:val="009C792F"/>
    <w:rsid w:val="009E24B3"/>
    <w:rsid w:val="009E7C21"/>
    <w:rsid w:val="009F0FC8"/>
    <w:rsid w:val="009F6090"/>
    <w:rsid w:val="00A10510"/>
    <w:rsid w:val="00A11FA2"/>
    <w:rsid w:val="00A15A9B"/>
    <w:rsid w:val="00A16166"/>
    <w:rsid w:val="00A162AE"/>
    <w:rsid w:val="00A170E2"/>
    <w:rsid w:val="00A21BFC"/>
    <w:rsid w:val="00A22614"/>
    <w:rsid w:val="00A32B89"/>
    <w:rsid w:val="00A363D6"/>
    <w:rsid w:val="00A439B0"/>
    <w:rsid w:val="00A44008"/>
    <w:rsid w:val="00A44857"/>
    <w:rsid w:val="00A44A6C"/>
    <w:rsid w:val="00A45ADC"/>
    <w:rsid w:val="00A477EA"/>
    <w:rsid w:val="00A57952"/>
    <w:rsid w:val="00A60F05"/>
    <w:rsid w:val="00A66D82"/>
    <w:rsid w:val="00A6731B"/>
    <w:rsid w:val="00A84E39"/>
    <w:rsid w:val="00A92C46"/>
    <w:rsid w:val="00A9462C"/>
    <w:rsid w:val="00A949B4"/>
    <w:rsid w:val="00AA0E13"/>
    <w:rsid w:val="00AA5C27"/>
    <w:rsid w:val="00AB0D7F"/>
    <w:rsid w:val="00AB2097"/>
    <w:rsid w:val="00AB7E6C"/>
    <w:rsid w:val="00AC2FA8"/>
    <w:rsid w:val="00AD00C2"/>
    <w:rsid w:val="00AD6339"/>
    <w:rsid w:val="00AE17CA"/>
    <w:rsid w:val="00AE1852"/>
    <w:rsid w:val="00AE3C86"/>
    <w:rsid w:val="00AE4153"/>
    <w:rsid w:val="00AF0962"/>
    <w:rsid w:val="00AF3618"/>
    <w:rsid w:val="00AF3B9E"/>
    <w:rsid w:val="00AF5085"/>
    <w:rsid w:val="00AF73DF"/>
    <w:rsid w:val="00B0064B"/>
    <w:rsid w:val="00B006A9"/>
    <w:rsid w:val="00B1179D"/>
    <w:rsid w:val="00B13DC1"/>
    <w:rsid w:val="00B22D7C"/>
    <w:rsid w:val="00B31E31"/>
    <w:rsid w:val="00B33737"/>
    <w:rsid w:val="00B34681"/>
    <w:rsid w:val="00B3584A"/>
    <w:rsid w:val="00B35C48"/>
    <w:rsid w:val="00B369BF"/>
    <w:rsid w:val="00B43E87"/>
    <w:rsid w:val="00B4676E"/>
    <w:rsid w:val="00B663F6"/>
    <w:rsid w:val="00B82893"/>
    <w:rsid w:val="00B93C7B"/>
    <w:rsid w:val="00B942EB"/>
    <w:rsid w:val="00BA5207"/>
    <w:rsid w:val="00BA7137"/>
    <w:rsid w:val="00BB5EC5"/>
    <w:rsid w:val="00BC07B5"/>
    <w:rsid w:val="00BC0BF3"/>
    <w:rsid w:val="00BC5692"/>
    <w:rsid w:val="00BC6386"/>
    <w:rsid w:val="00BE0612"/>
    <w:rsid w:val="00BE2279"/>
    <w:rsid w:val="00BE3133"/>
    <w:rsid w:val="00BE3754"/>
    <w:rsid w:val="00BE403D"/>
    <w:rsid w:val="00BE63D6"/>
    <w:rsid w:val="00BF3F19"/>
    <w:rsid w:val="00BF40E2"/>
    <w:rsid w:val="00BF65E2"/>
    <w:rsid w:val="00BF781D"/>
    <w:rsid w:val="00C017C9"/>
    <w:rsid w:val="00C03861"/>
    <w:rsid w:val="00C03AF6"/>
    <w:rsid w:val="00C06077"/>
    <w:rsid w:val="00C10286"/>
    <w:rsid w:val="00C109D7"/>
    <w:rsid w:val="00C12272"/>
    <w:rsid w:val="00C13C8C"/>
    <w:rsid w:val="00C15103"/>
    <w:rsid w:val="00C205CC"/>
    <w:rsid w:val="00C21629"/>
    <w:rsid w:val="00C25988"/>
    <w:rsid w:val="00C25D3A"/>
    <w:rsid w:val="00C260FB"/>
    <w:rsid w:val="00C30DF2"/>
    <w:rsid w:val="00C3250C"/>
    <w:rsid w:val="00C35DEC"/>
    <w:rsid w:val="00C37307"/>
    <w:rsid w:val="00C41EB4"/>
    <w:rsid w:val="00C44283"/>
    <w:rsid w:val="00C45200"/>
    <w:rsid w:val="00C45EFF"/>
    <w:rsid w:val="00C5019E"/>
    <w:rsid w:val="00C52B30"/>
    <w:rsid w:val="00C562BC"/>
    <w:rsid w:val="00C61227"/>
    <w:rsid w:val="00C6547F"/>
    <w:rsid w:val="00C656D8"/>
    <w:rsid w:val="00C73880"/>
    <w:rsid w:val="00C75CDE"/>
    <w:rsid w:val="00C767B9"/>
    <w:rsid w:val="00C80E35"/>
    <w:rsid w:val="00C81E45"/>
    <w:rsid w:val="00C823B1"/>
    <w:rsid w:val="00C82DDB"/>
    <w:rsid w:val="00C85D19"/>
    <w:rsid w:val="00C85DA1"/>
    <w:rsid w:val="00C86877"/>
    <w:rsid w:val="00C9338C"/>
    <w:rsid w:val="00C950FE"/>
    <w:rsid w:val="00C96025"/>
    <w:rsid w:val="00C97CF0"/>
    <w:rsid w:val="00CA0E62"/>
    <w:rsid w:val="00CA14A1"/>
    <w:rsid w:val="00CA18A7"/>
    <w:rsid w:val="00CB2EE8"/>
    <w:rsid w:val="00CB65D7"/>
    <w:rsid w:val="00CD0AA8"/>
    <w:rsid w:val="00CD236A"/>
    <w:rsid w:val="00CE22D9"/>
    <w:rsid w:val="00CE45A6"/>
    <w:rsid w:val="00CF4A06"/>
    <w:rsid w:val="00CF4DA7"/>
    <w:rsid w:val="00D01D06"/>
    <w:rsid w:val="00D028C5"/>
    <w:rsid w:val="00D16418"/>
    <w:rsid w:val="00D17049"/>
    <w:rsid w:val="00D1757E"/>
    <w:rsid w:val="00D17795"/>
    <w:rsid w:val="00D20DAA"/>
    <w:rsid w:val="00D210FB"/>
    <w:rsid w:val="00D21541"/>
    <w:rsid w:val="00D2320C"/>
    <w:rsid w:val="00D23452"/>
    <w:rsid w:val="00D26C92"/>
    <w:rsid w:val="00D27BF5"/>
    <w:rsid w:val="00D35413"/>
    <w:rsid w:val="00D357B4"/>
    <w:rsid w:val="00D423C4"/>
    <w:rsid w:val="00D445B7"/>
    <w:rsid w:val="00D469B7"/>
    <w:rsid w:val="00D51D03"/>
    <w:rsid w:val="00D548C4"/>
    <w:rsid w:val="00D56F2F"/>
    <w:rsid w:val="00D61C67"/>
    <w:rsid w:val="00D704BC"/>
    <w:rsid w:val="00D724CC"/>
    <w:rsid w:val="00D925D8"/>
    <w:rsid w:val="00D93B1D"/>
    <w:rsid w:val="00D93D35"/>
    <w:rsid w:val="00DA08F8"/>
    <w:rsid w:val="00DB308A"/>
    <w:rsid w:val="00DB60BA"/>
    <w:rsid w:val="00DB68F6"/>
    <w:rsid w:val="00DC4A5A"/>
    <w:rsid w:val="00DD10C0"/>
    <w:rsid w:val="00DD2CE7"/>
    <w:rsid w:val="00DD537E"/>
    <w:rsid w:val="00DE0AED"/>
    <w:rsid w:val="00DE6D8D"/>
    <w:rsid w:val="00DF4A01"/>
    <w:rsid w:val="00DF6548"/>
    <w:rsid w:val="00DF7292"/>
    <w:rsid w:val="00E0198F"/>
    <w:rsid w:val="00E05EA0"/>
    <w:rsid w:val="00E0671E"/>
    <w:rsid w:val="00E07284"/>
    <w:rsid w:val="00E128B3"/>
    <w:rsid w:val="00E2615F"/>
    <w:rsid w:val="00E27FE9"/>
    <w:rsid w:val="00E321D2"/>
    <w:rsid w:val="00E34C9E"/>
    <w:rsid w:val="00E36537"/>
    <w:rsid w:val="00E4293B"/>
    <w:rsid w:val="00E52885"/>
    <w:rsid w:val="00E6082D"/>
    <w:rsid w:val="00E86EEC"/>
    <w:rsid w:val="00E95CFA"/>
    <w:rsid w:val="00EB30CA"/>
    <w:rsid w:val="00ED4AE7"/>
    <w:rsid w:val="00ED5364"/>
    <w:rsid w:val="00EE10F0"/>
    <w:rsid w:val="00EE1E71"/>
    <w:rsid w:val="00EE28BB"/>
    <w:rsid w:val="00EE2FB7"/>
    <w:rsid w:val="00EF36CA"/>
    <w:rsid w:val="00F03947"/>
    <w:rsid w:val="00F04DED"/>
    <w:rsid w:val="00F11762"/>
    <w:rsid w:val="00F11DF9"/>
    <w:rsid w:val="00F12584"/>
    <w:rsid w:val="00F1377E"/>
    <w:rsid w:val="00F1523E"/>
    <w:rsid w:val="00F27F1E"/>
    <w:rsid w:val="00F35165"/>
    <w:rsid w:val="00F36DF6"/>
    <w:rsid w:val="00F37E15"/>
    <w:rsid w:val="00F4014F"/>
    <w:rsid w:val="00F43807"/>
    <w:rsid w:val="00F45F49"/>
    <w:rsid w:val="00F53DA8"/>
    <w:rsid w:val="00F577ED"/>
    <w:rsid w:val="00F608EC"/>
    <w:rsid w:val="00F66969"/>
    <w:rsid w:val="00F7066A"/>
    <w:rsid w:val="00F70763"/>
    <w:rsid w:val="00F73A46"/>
    <w:rsid w:val="00F76C71"/>
    <w:rsid w:val="00F81722"/>
    <w:rsid w:val="00F826EA"/>
    <w:rsid w:val="00F83BA6"/>
    <w:rsid w:val="00F84539"/>
    <w:rsid w:val="00F86492"/>
    <w:rsid w:val="00F866DA"/>
    <w:rsid w:val="00F867A2"/>
    <w:rsid w:val="00F86E01"/>
    <w:rsid w:val="00F95774"/>
    <w:rsid w:val="00F96CDA"/>
    <w:rsid w:val="00FA1BC0"/>
    <w:rsid w:val="00FA2D82"/>
    <w:rsid w:val="00FB6CEE"/>
    <w:rsid w:val="00FC0BC2"/>
    <w:rsid w:val="00FC1E32"/>
    <w:rsid w:val="00FC2E3C"/>
    <w:rsid w:val="00FC5A51"/>
    <w:rsid w:val="00FE1548"/>
    <w:rsid w:val="00FE6DCB"/>
    <w:rsid w:val="00FE7A73"/>
    <w:rsid w:val="00FF06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DC"/>
  </w:style>
  <w:style w:type="paragraph" w:styleId="Heading1">
    <w:name w:val="heading 1"/>
    <w:basedOn w:val="Normal"/>
    <w:next w:val="Normal"/>
    <w:link w:val="Heading1Char"/>
    <w:uiPriority w:val="9"/>
    <w:qFormat/>
    <w:rsid w:val="00E05EA0"/>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1F96"/>
    <w:pPr>
      <w:ind w:left="720"/>
      <w:contextualSpacing/>
    </w:pPr>
  </w:style>
  <w:style w:type="paragraph" w:customStyle="1" w:styleId="Default">
    <w:name w:val="Default"/>
    <w:rsid w:val="00D1757E"/>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F40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4F"/>
  </w:style>
  <w:style w:type="paragraph" w:styleId="Footer">
    <w:name w:val="footer"/>
    <w:basedOn w:val="Normal"/>
    <w:link w:val="FooterChar"/>
    <w:uiPriority w:val="99"/>
    <w:unhideWhenUsed/>
    <w:rsid w:val="00F40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4F"/>
  </w:style>
  <w:style w:type="paragraph" w:styleId="BalloonText">
    <w:name w:val="Balloon Text"/>
    <w:basedOn w:val="Normal"/>
    <w:link w:val="BalloonTextChar"/>
    <w:uiPriority w:val="99"/>
    <w:semiHidden/>
    <w:unhideWhenUsed/>
    <w:rsid w:val="00F40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14F"/>
    <w:rPr>
      <w:rFonts w:ascii="Tahoma" w:hAnsi="Tahoma" w:cs="Tahoma"/>
      <w:sz w:val="16"/>
      <w:szCs w:val="16"/>
    </w:rPr>
  </w:style>
  <w:style w:type="paragraph" w:styleId="PlainText">
    <w:name w:val="Plain Text"/>
    <w:basedOn w:val="Normal"/>
    <w:link w:val="PlainTextChar"/>
    <w:uiPriority w:val="99"/>
    <w:unhideWhenUsed/>
    <w:rsid w:val="00CA14A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A14A1"/>
    <w:rPr>
      <w:rFonts w:ascii="Calibri" w:hAnsi="Calibri" w:cs="Consolas"/>
      <w:szCs w:val="21"/>
    </w:rPr>
  </w:style>
  <w:style w:type="character" w:customStyle="1" w:styleId="Heading1Char">
    <w:name w:val="Heading 1 Char"/>
    <w:basedOn w:val="DefaultParagraphFont"/>
    <w:link w:val="Heading1"/>
    <w:uiPriority w:val="9"/>
    <w:rsid w:val="00E05EA0"/>
    <w:rPr>
      <w:rFonts w:ascii="Cambria" w:eastAsia="Times New Roman" w:hAnsi="Cambria" w:cs="Times New Roman"/>
      <w:b/>
      <w:bCs/>
      <w:kern w:val="32"/>
      <w:sz w:val="32"/>
      <w:szCs w:val="32"/>
      <w:lang w:val="en-US"/>
    </w:rPr>
  </w:style>
  <w:style w:type="paragraph" w:styleId="BodyText">
    <w:name w:val="Body Text"/>
    <w:basedOn w:val="Normal"/>
    <w:link w:val="BodyTextChar"/>
    <w:rsid w:val="00E05EA0"/>
    <w:pPr>
      <w:spacing w:after="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E05EA0"/>
    <w:rPr>
      <w:rFonts w:ascii="Arial" w:eastAsia="Times New Roman" w:hAnsi="Arial" w:cs="Times New Roman"/>
      <w:szCs w:val="20"/>
      <w:lang w:val="en-GB"/>
    </w:rPr>
  </w:style>
  <w:style w:type="paragraph" w:customStyle="1" w:styleId="Paragraph">
    <w:name w:val="Paragraph"/>
    <w:basedOn w:val="Normal"/>
    <w:link w:val="ParagraphChar1"/>
    <w:uiPriority w:val="99"/>
    <w:rsid w:val="000640A7"/>
    <w:pPr>
      <w:tabs>
        <w:tab w:val="left" w:pos="284"/>
        <w:tab w:val="left" w:pos="567"/>
        <w:tab w:val="left" w:pos="851"/>
      </w:tabs>
      <w:spacing w:after="120" w:line="240" w:lineRule="auto"/>
      <w:jc w:val="both"/>
    </w:pPr>
    <w:rPr>
      <w:rFonts w:ascii="Times New Roman" w:eastAsia="Times New Roman" w:hAnsi="Times New Roman" w:cs="Times New Roman"/>
      <w:lang w:val="en-GB"/>
    </w:rPr>
  </w:style>
  <w:style w:type="character" w:customStyle="1" w:styleId="ParagraphChar1">
    <w:name w:val="Paragraph Char1"/>
    <w:link w:val="Paragraph"/>
    <w:uiPriority w:val="99"/>
    <w:rsid w:val="000640A7"/>
    <w:rPr>
      <w:rFonts w:ascii="Times New Roman" w:eastAsia="Times New Roman" w:hAnsi="Times New Roman" w:cs="Times New Roman"/>
      <w:lang w:val="en-GB"/>
    </w:rPr>
  </w:style>
  <w:style w:type="paragraph" w:styleId="Revision">
    <w:name w:val="Revision"/>
    <w:hidden/>
    <w:uiPriority w:val="99"/>
    <w:semiHidden/>
    <w:rsid w:val="00F86492"/>
    <w:pPr>
      <w:spacing w:after="0" w:line="240" w:lineRule="auto"/>
    </w:pPr>
  </w:style>
  <w:style w:type="paragraph" w:customStyle="1" w:styleId="Bulletlevel1">
    <w:name w:val="Bullet level 1"/>
    <w:basedOn w:val="ListParagraph"/>
    <w:qFormat/>
    <w:rsid w:val="005E1875"/>
    <w:pPr>
      <w:numPr>
        <w:numId w:val="1"/>
      </w:numPr>
      <w:spacing w:before="120" w:after="120" w:line="240" w:lineRule="auto"/>
      <w:jc w:val="both"/>
    </w:pPr>
  </w:style>
  <w:style w:type="character" w:customStyle="1" w:styleId="ListParagraphChar">
    <w:name w:val="List Paragraph Char"/>
    <w:link w:val="ListParagraph"/>
    <w:uiPriority w:val="34"/>
    <w:locked/>
    <w:rsid w:val="00845853"/>
  </w:style>
  <w:style w:type="paragraph" w:customStyle="1" w:styleId="spacing">
    <w:name w:val="spacing"/>
    <w:basedOn w:val="Normal"/>
    <w:rsid w:val="001117D5"/>
    <w:pPr>
      <w:spacing w:after="120" w:line="260" w:lineRule="atLeast"/>
    </w:pPr>
    <w:rPr>
      <w:rFonts w:ascii="Arial" w:eastAsia="Times New Roman" w:hAnsi="Arial" w:cs="Times New Roman"/>
      <w:color w:val="000000"/>
      <w:sz w:val="18"/>
      <w:szCs w:val="18"/>
      <w:lang w:val="en-US" w:eastAsia="en-GB"/>
    </w:rPr>
  </w:style>
  <w:style w:type="paragraph" w:styleId="TOCHeading">
    <w:name w:val="TOC Heading"/>
    <w:basedOn w:val="Heading1"/>
    <w:next w:val="Normal"/>
    <w:uiPriority w:val="39"/>
    <w:unhideWhenUsed/>
    <w:qFormat/>
    <w:rsid w:val="0007070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07070C"/>
    <w:pPr>
      <w:spacing w:after="100"/>
    </w:pPr>
  </w:style>
  <w:style w:type="character" w:styleId="Hyperlink">
    <w:name w:val="Hyperlink"/>
    <w:basedOn w:val="DefaultParagraphFont"/>
    <w:uiPriority w:val="99"/>
    <w:unhideWhenUsed/>
    <w:rsid w:val="0007070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534322">
      <w:bodyDiv w:val="1"/>
      <w:marLeft w:val="0"/>
      <w:marRight w:val="0"/>
      <w:marTop w:val="0"/>
      <w:marBottom w:val="0"/>
      <w:divBdr>
        <w:top w:val="none" w:sz="0" w:space="0" w:color="auto"/>
        <w:left w:val="none" w:sz="0" w:space="0" w:color="auto"/>
        <w:bottom w:val="none" w:sz="0" w:space="0" w:color="auto"/>
        <w:right w:val="none" w:sz="0" w:space="0" w:color="auto"/>
      </w:divBdr>
    </w:div>
    <w:div w:id="309678111">
      <w:bodyDiv w:val="1"/>
      <w:marLeft w:val="0"/>
      <w:marRight w:val="0"/>
      <w:marTop w:val="0"/>
      <w:marBottom w:val="0"/>
      <w:divBdr>
        <w:top w:val="none" w:sz="0" w:space="0" w:color="auto"/>
        <w:left w:val="none" w:sz="0" w:space="0" w:color="auto"/>
        <w:bottom w:val="none" w:sz="0" w:space="0" w:color="auto"/>
        <w:right w:val="none" w:sz="0" w:space="0" w:color="auto"/>
      </w:divBdr>
      <w:divsChild>
        <w:div w:id="1883589484">
          <w:marLeft w:val="547"/>
          <w:marRight w:val="0"/>
          <w:marTop w:val="115"/>
          <w:marBottom w:val="0"/>
          <w:divBdr>
            <w:top w:val="none" w:sz="0" w:space="0" w:color="auto"/>
            <w:left w:val="none" w:sz="0" w:space="0" w:color="auto"/>
            <w:bottom w:val="none" w:sz="0" w:space="0" w:color="auto"/>
            <w:right w:val="none" w:sz="0" w:space="0" w:color="auto"/>
          </w:divBdr>
        </w:div>
        <w:div w:id="1515799884">
          <w:marLeft w:val="1166"/>
          <w:marRight w:val="0"/>
          <w:marTop w:val="115"/>
          <w:marBottom w:val="0"/>
          <w:divBdr>
            <w:top w:val="none" w:sz="0" w:space="0" w:color="auto"/>
            <w:left w:val="none" w:sz="0" w:space="0" w:color="auto"/>
            <w:bottom w:val="none" w:sz="0" w:space="0" w:color="auto"/>
            <w:right w:val="none" w:sz="0" w:space="0" w:color="auto"/>
          </w:divBdr>
        </w:div>
        <w:div w:id="639576134">
          <w:marLeft w:val="1800"/>
          <w:marRight w:val="0"/>
          <w:marTop w:val="115"/>
          <w:marBottom w:val="0"/>
          <w:divBdr>
            <w:top w:val="none" w:sz="0" w:space="0" w:color="auto"/>
            <w:left w:val="none" w:sz="0" w:space="0" w:color="auto"/>
            <w:bottom w:val="none" w:sz="0" w:space="0" w:color="auto"/>
            <w:right w:val="none" w:sz="0" w:space="0" w:color="auto"/>
          </w:divBdr>
        </w:div>
        <w:div w:id="1156334465">
          <w:marLeft w:val="1166"/>
          <w:marRight w:val="0"/>
          <w:marTop w:val="115"/>
          <w:marBottom w:val="0"/>
          <w:divBdr>
            <w:top w:val="none" w:sz="0" w:space="0" w:color="auto"/>
            <w:left w:val="none" w:sz="0" w:space="0" w:color="auto"/>
            <w:bottom w:val="none" w:sz="0" w:space="0" w:color="auto"/>
            <w:right w:val="none" w:sz="0" w:space="0" w:color="auto"/>
          </w:divBdr>
        </w:div>
        <w:div w:id="663120075">
          <w:marLeft w:val="1800"/>
          <w:marRight w:val="0"/>
          <w:marTop w:val="115"/>
          <w:marBottom w:val="0"/>
          <w:divBdr>
            <w:top w:val="none" w:sz="0" w:space="0" w:color="auto"/>
            <w:left w:val="none" w:sz="0" w:space="0" w:color="auto"/>
            <w:bottom w:val="none" w:sz="0" w:space="0" w:color="auto"/>
            <w:right w:val="none" w:sz="0" w:space="0" w:color="auto"/>
          </w:divBdr>
        </w:div>
        <w:div w:id="677273921">
          <w:marLeft w:val="1800"/>
          <w:marRight w:val="0"/>
          <w:marTop w:val="115"/>
          <w:marBottom w:val="0"/>
          <w:divBdr>
            <w:top w:val="none" w:sz="0" w:space="0" w:color="auto"/>
            <w:left w:val="none" w:sz="0" w:space="0" w:color="auto"/>
            <w:bottom w:val="none" w:sz="0" w:space="0" w:color="auto"/>
            <w:right w:val="none" w:sz="0" w:space="0" w:color="auto"/>
          </w:divBdr>
        </w:div>
      </w:divsChild>
    </w:div>
    <w:div w:id="656492150">
      <w:bodyDiv w:val="1"/>
      <w:marLeft w:val="0"/>
      <w:marRight w:val="0"/>
      <w:marTop w:val="0"/>
      <w:marBottom w:val="0"/>
      <w:divBdr>
        <w:top w:val="none" w:sz="0" w:space="0" w:color="auto"/>
        <w:left w:val="none" w:sz="0" w:space="0" w:color="auto"/>
        <w:bottom w:val="none" w:sz="0" w:space="0" w:color="auto"/>
        <w:right w:val="none" w:sz="0" w:space="0" w:color="auto"/>
      </w:divBdr>
      <w:divsChild>
        <w:div w:id="947272414">
          <w:marLeft w:val="547"/>
          <w:marRight w:val="0"/>
          <w:marTop w:val="0"/>
          <w:marBottom w:val="0"/>
          <w:divBdr>
            <w:top w:val="none" w:sz="0" w:space="0" w:color="auto"/>
            <w:left w:val="none" w:sz="0" w:space="0" w:color="auto"/>
            <w:bottom w:val="none" w:sz="0" w:space="0" w:color="auto"/>
            <w:right w:val="none" w:sz="0" w:space="0" w:color="auto"/>
          </w:divBdr>
        </w:div>
        <w:div w:id="1499150793">
          <w:marLeft w:val="547"/>
          <w:marRight w:val="0"/>
          <w:marTop w:val="0"/>
          <w:marBottom w:val="0"/>
          <w:divBdr>
            <w:top w:val="none" w:sz="0" w:space="0" w:color="auto"/>
            <w:left w:val="none" w:sz="0" w:space="0" w:color="auto"/>
            <w:bottom w:val="none" w:sz="0" w:space="0" w:color="auto"/>
            <w:right w:val="none" w:sz="0" w:space="0" w:color="auto"/>
          </w:divBdr>
        </w:div>
        <w:div w:id="588655156">
          <w:marLeft w:val="1267"/>
          <w:marRight w:val="0"/>
          <w:marTop w:val="0"/>
          <w:marBottom w:val="0"/>
          <w:divBdr>
            <w:top w:val="none" w:sz="0" w:space="0" w:color="auto"/>
            <w:left w:val="none" w:sz="0" w:space="0" w:color="auto"/>
            <w:bottom w:val="none" w:sz="0" w:space="0" w:color="auto"/>
            <w:right w:val="none" w:sz="0" w:space="0" w:color="auto"/>
          </w:divBdr>
        </w:div>
      </w:divsChild>
    </w:div>
    <w:div w:id="1089616302">
      <w:bodyDiv w:val="1"/>
      <w:marLeft w:val="0"/>
      <w:marRight w:val="0"/>
      <w:marTop w:val="0"/>
      <w:marBottom w:val="0"/>
      <w:divBdr>
        <w:top w:val="none" w:sz="0" w:space="0" w:color="auto"/>
        <w:left w:val="none" w:sz="0" w:space="0" w:color="auto"/>
        <w:bottom w:val="none" w:sz="0" w:space="0" w:color="auto"/>
        <w:right w:val="none" w:sz="0" w:space="0" w:color="auto"/>
      </w:divBdr>
      <w:divsChild>
        <w:div w:id="369839982">
          <w:marLeft w:val="547"/>
          <w:marRight w:val="0"/>
          <w:marTop w:val="154"/>
          <w:marBottom w:val="0"/>
          <w:divBdr>
            <w:top w:val="none" w:sz="0" w:space="0" w:color="auto"/>
            <w:left w:val="none" w:sz="0" w:space="0" w:color="auto"/>
            <w:bottom w:val="none" w:sz="0" w:space="0" w:color="auto"/>
            <w:right w:val="none" w:sz="0" w:space="0" w:color="auto"/>
          </w:divBdr>
        </w:div>
      </w:divsChild>
    </w:div>
    <w:div w:id="1196893335">
      <w:bodyDiv w:val="1"/>
      <w:marLeft w:val="0"/>
      <w:marRight w:val="0"/>
      <w:marTop w:val="0"/>
      <w:marBottom w:val="0"/>
      <w:divBdr>
        <w:top w:val="none" w:sz="0" w:space="0" w:color="auto"/>
        <w:left w:val="none" w:sz="0" w:space="0" w:color="auto"/>
        <w:bottom w:val="none" w:sz="0" w:space="0" w:color="auto"/>
        <w:right w:val="none" w:sz="0" w:space="0" w:color="auto"/>
      </w:divBdr>
    </w:div>
    <w:div w:id="1259368129">
      <w:bodyDiv w:val="1"/>
      <w:marLeft w:val="0"/>
      <w:marRight w:val="0"/>
      <w:marTop w:val="0"/>
      <w:marBottom w:val="0"/>
      <w:divBdr>
        <w:top w:val="none" w:sz="0" w:space="0" w:color="auto"/>
        <w:left w:val="none" w:sz="0" w:space="0" w:color="auto"/>
        <w:bottom w:val="none" w:sz="0" w:space="0" w:color="auto"/>
        <w:right w:val="none" w:sz="0" w:space="0" w:color="auto"/>
      </w:divBdr>
    </w:div>
    <w:div w:id="1471091673">
      <w:bodyDiv w:val="1"/>
      <w:marLeft w:val="0"/>
      <w:marRight w:val="0"/>
      <w:marTop w:val="0"/>
      <w:marBottom w:val="0"/>
      <w:divBdr>
        <w:top w:val="none" w:sz="0" w:space="0" w:color="auto"/>
        <w:left w:val="none" w:sz="0" w:space="0" w:color="auto"/>
        <w:bottom w:val="none" w:sz="0" w:space="0" w:color="auto"/>
        <w:right w:val="none" w:sz="0" w:space="0" w:color="auto"/>
      </w:divBdr>
    </w:div>
    <w:div w:id="1484272623">
      <w:bodyDiv w:val="1"/>
      <w:marLeft w:val="0"/>
      <w:marRight w:val="0"/>
      <w:marTop w:val="0"/>
      <w:marBottom w:val="0"/>
      <w:divBdr>
        <w:top w:val="none" w:sz="0" w:space="0" w:color="auto"/>
        <w:left w:val="none" w:sz="0" w:space="0" w:color="auto"/>
        <w:bottom w:val="none" w:sz="0" w:space="0" w:color="auto"/>
        <w:right w:val="none" w:sz="0" w:space="0" w:color="auto"/>
      </w:divBdr>
      <w:divsChild>
        <w:div w:id="1932079370">
          <w:marLeft w:val="547"/>
          <w:marRight w:val="0"/>
          <w:marTop w:val="67"/>
          <w:marBottom w:val="0"/>
          <w:divBdr>
            <w:top w:val="none" w:sz="0" w:space="0" w:color="auto"/>
            <w:left w:val="none" w:sz="0" w:space="0" w:color="auto"/>
            <w:bottom w:val="none" w:sz="0" w:space="0" w:color="auto"/>
            <w:right w:val="none" w:sz="0" w:space="0" w:color="auto"/>
          </w:divBdr>
        </w:div>
      </w:divsChild>
    </w:div>
    <w:div w:id="1632781718">
      <w:bodyDiv w:val="1"/>
      <w:marLeft w:val="0"/>
      <w:marRight w:val="0"/>
      <w:marTop w:val="0"/>
      <w:marBottom w:val="0"/>
      <w:divBdr>
        <w:top w:val="none" w:sz="0" w:space="0" w:color="auto"/>
        <w:left w:val="none" w:sz="0" w:space="0" w:color="auto"/>
        <w:bottom w:val="none" w:sz="0" w:space="0" w:color="auto"/>
        <w:right w:val="none" w:sz="0" w:space="0" w:color="auto"/>
      </w:divBdr>
    </w:div>
    <w:div w:id="1870757244">
      <w:bodyDiv w:val="1"/>
      <w:marLeft w:val="0"/>
      <w:marRight w:val="0"/>
      <w:marTop w:val="0"/>
      <w:marBottom w:val="0"/>
      <w:divBdr>
        <w:top w:val="none" w:sz="0" w:space="0" w:color="auto"/>
        <w:left w:val="none" w:sz="0" w:space="0" w:color="auto"/>
        <w:bottom w:val="none" w:sz="0" w:space="0" w:color="auto"/>
        <w:right w:val="none" w:sz="0" w:space="0" w:color="auto"/>
      </w:divBdr>
    </w:div>
    <w:div w:id="1990205977">
      <w:bodyDiv w:val="1"/>
      <w:marLeft w:val="0"/>
      <w:marRight w:val="0"/>
      <w:marTop w:val="0"/>
      <w:marBottom w:val="0"/>
      <w:divBdr>
        <w:top w:val="none" w:sz="0" w:space="0" w:color="auto"/>
        <w:left w:val="none" w:sz="0" w:space="0" w:color="auto"/>
        <w:bottom w:val="none" w:sz="0" w:space="0" w:color="auto"/>
        <w:right w:val="none" w:sz="0" w:space="0" w:color="auto"/>
      </w:divBdr>
      <w:divsChild>
        <w:div w:id="612397261">
          <w:marLeft w:val="547"/>
          <w:marRight w:val="0"/>
          <w:marTop w:val="72"/>
          <w:marBottom w:val="0"/>
          <w:divBdr>
            <w:top w:val="none" w:sz="0" w:space="0" w:color="auto"/>
            <w:left w:val="none" w:sz="0" w:space="0" w:color="auto"/>
            <w:bottom w:val="none" w:sz="0" w:space="0" w:color="auto"/>
            <w:right w:val="none" w:sz="0" w:space="0" w:color="auto"/>
          </w:divBdr>
        </w:div>
        <w:div w:id="1279800897">
          <w:marLeft w:val="547"/>
          <w:marRight w:val="0"/>
          <w:marTop w:val="72"/>
          <w:marBottom w:val="0"/>
          <w:divBdr>
            <w:top w:val="none" w:sz="0" w:space="0" w:color="auto"/>
            <w:left w:val="none" w:sz="0" w:space="0" w:color="auto"/>
            <w:bottom w:val="none" w:sz="0" w:space="0" w:color="auto"/>
            <w:right w:val="none" w:sz="0" w:space="0" w:color="auto"/>
          </w:divBdr>
        </w:div>
      </w:divsChild>
    </w:div>
    <w:div w:id="2019261550">
      <w:bodyDiv w:val="1"/>
      <w:marLeft w:val="0"/>
      <w:marRight w:val="0"/>
      <w:marTop w:val="0"/>
      <w:marBottom w:val="0"/>
      <w:divBdr>
        <w:top w:val="none" w:sz="0" w:space="0" w:color="auto"/>
        <w:left w:val="none" w:sz="0" w:space="0" w:color="auto"/>
        <w:bottom w:val="none" w:sz="0" w:space="0" w:color="auto"/>
        <w:right w:val="none" w:sz="0" w:space="0" w:color="auto"/>
      </w:divBdr>
      <w:divsChild>
        <w:div w:id="643241355">
          <w:marLeft w:val="547"/>
          <w:marRight w:val="0"/>
          <w:marTop w:val="86"/>
          <w:marBottom w:val="0"/>
          <w:divBdr>
            <w:top w:val="none" w:sz="0" w:space="0" w:color="auto"/>
            <w:left w:val="none" w:sz="0" w:space="0" w:color="auto"/>
            <w:bottom w:val="none" w:sz="0" w:space="0" w:color="auto"/>
            <w:right w:val="none" w:sz="0" w:space="0" w:color="auto"/>
          </w:divBdr>
        </w:div>
        <w:div w:id="1066537966">
          <w:marLeft w:val="1166"/>
          <w:marRight w:val="0"/>
          <w:marTop w:val="86"/>
          <w:marBottom w:val="0"/>
          <w:divBdr>
            <w:top w:val="none" w:sz="0" w:space="0" w:color="auto"/>
            <w:left w:val="none" w:sz="0" w:space="0" w:color="auto"/>
            <w:bottom w:val="none" w:sz="0" w:space="0" w:color="auto"/>
            <w:right w:val="none" w:sz="0" w:space="0" w:color="auto"/>
          </w:divBdr>
        </w:div>
        <w:div w:id="598754232">
          <w:marLeft w:val="1166"/>
          <w:marRight w:val="0"/>
          <w:marTop w:val="86"/>
          <w:marBottom w:val="0"/>
          <w:divBdr>
            <w:top w:val="none" w:sz="0" w:space="0" w:color="auto"/>
            <w:left w:val="none" w:sz="0" w:space="0" w:color="auto"/>
            <w:bottom w:val="none" w:sz="0" w:space="0" w:color="auto"/>
            <w:right w:val="none" w:sz="0" w:space="0" w:color="auto"/>
          </w:divBdr>
        </w:div>
        <w:div w:id="718823580">
          <w:marLeft w:val="1166"/>
          <w:marRight w:val="0"/>
          <w:marTop w:val="86"/>
          <w:marBottom w:val="0"/>
          <w:divBdr>
            <w:top w:val="none" w:sz="0" w:space="0" w:color="auto"/>
            <w:left w:val="none" w:sz="0" w:space="0" w:color="auto"/>
            <w:bottom w:val="none" w:sz="0" w:space="0" w:color="auto"/>
            <w:right w:val="none" w:sz="0" w:space="0" w:color="auto"/>
          </w:divBdr>
        </w:div>
      </w:divsChild>
    </w:div>
    <w:div w:id="2040617509">
      <w:bodyDiv w:val="1"/>
      <w:marLeft w:val="0"/>
      <w:marRight w:val="0"/>
      <w:marTop w:val="0"/>
      <w:marBottom w:val="0"/>
      <w:divBdr>
        <w:top w:val="none" w:sz="0" w:space="0" w:color="auto"/>
        <w:left w:val="none" w:sz="0" w:space="0" w:color="auto"/>
        <w:bottom w:val="none" w:sz="0" w:space="0" w:color="auto"/>
        <w:right w:val="none" w:sz="0" w:space="0" w:color="auto"/>
      </w:divBdr>
      <w:divsChild>
        <w:div w:id="2085563512">
          <w:marLeft w:val="547"/>
          <w:marRight w:val="0"/>
          <w:marTop w:val="67"/>
          <w:marBottom w:val="0"/>
          <w:divBdr>
            <w:top w:val="none" w:sz="0" w:space="0" w:color="auto"/>
            <w:left w:val="none" w:sz="0" w:space="0" w:color="auto"/>
            <w:bottom w:val="none" w:sz="0" w:space="0" w:color="auto"/>
            <w:right w:val="none" w:sz="0" w:space="0" w:color="auto"/>
          </w:divBdr>
        </w:div>
      </w:divsChild>
    </w:div>
    <w:div w:id="2044473731">
      <w:bodyDiv w:val="1"/>
      <w:marLeft w:val="0"/>
      <w:marRight w:val="0"/>
      <w:marTop w:val="0"/>
      <w:marBottom w:val="0"/>
      <w:divBdr>
        <w:top w:val="none" w:sz="0" w:space="0" w:color="auto"/>
        <w:left w:val="none" w:sz="0" w:space="0" w:color="auto"/>
        <w:bottom w:val="none" w:sz="0" w:space="0" w:color="auto"/>
        <w:right w:val="none" w:sz="0" w:space="0" w:color="auto"/>
      </w:divBdr>
      <w:divsChild>
        <w:div w:id="44866633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9F8C-025B-4A94-B5FE-E17653C9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Masete Letsoalo</dc:creator>
  <cp:lastModifiedBy>PUMZA</cp:lastModifiedBy>
  <cp:revision>2</cp:revision>
  <cp:lastPrinted>2017-09-27T08:12:00Z</cp:lastPrinted>
  <dcterms:created xsi:type="dcterms:W3CDTF">2017-10-06T10:58:00Z</dcterms:created>
  <dcterms:modified xsi:type="dcterms:W3CDTF">2017-10-06T10:58:00Z</dcterms:modified>
</cp:coreProperties>
</file>