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EE" w:rsidRPr="00743813" w:rsidRDefault="00E170EE" w:rsidP="00E170EE">
      <w:pPr>
        <w:spacing w:after="200" w:line="360" w:lineRule="auto"/>
        <w:ind w:right="424"/>
        <w:contextualSpacing/>
        <w:jc w:val="both"/>
        <w:rPr>
          <w:rFonts w:cs="Arial"/>
          <w:color w:val="auto"/>
          <w:sz w:val="22"/>
          <w:szCs w:val="22"/>
        </w:rPr>
      </w:pPr>
      <w:bookmarkStart w:id="0" w:name="_GoBack"/>
      <w:bookmarkEnd w:id="0"/>
    </w:p>
    <w:p w:rsidR="00E170EE" w:rsidRPr="00743813" w:rsidRDefault="00E170EE" w:rsidP="00E170EE">
      <w:pPr>
        <w:spacing w:after="200" w:line="360" w:lineRule="auto"/>
        <w:ind w:left="644" w:right="424"/>
        <w:contextualSpacing/>
        <w:jc w:val="both"/>
        <w:rPr>
          <w:rFonts w:eastAsia="Batang" w:cs="Arial"/>
          <w:b/>
          <w:color w:val="auto"/>
          <w:sz w:val="22"/>
          <w:szCs w:val="22"/>
          <w:lang w:val="en-US"/>
        </w:rPr>
      </w:pPr>
      <w:r w:rsidRPr="00743813">
        <w:rPr>
          <w:rFonts w:eastAsia="Batang" w:cs="Arial"/>
          <w:b/>
          <w:color w:val="auto"/>
          <w:sz w:val="22"/>
          <w:szCs w:val="22"/>
          <w:lang w:val="en-US"/>
        </w:rPr>
        <w:t>PROGRESS REPORT ON UNDERTAKINGS MADE BY MINISTER AT THE NCOP PLENARY, 09 JUNE 2015 FOR MEETING OF THE SELECT COMMITTEE ON PETITIONS AND EXECUTIVE UNDERTAKINGS ON 6 SEPTEMBER 2017</w:t>
      </w:r>
    </w:p>
    <w:p w:rsidR="00E170EE" w:rsidRPr="00743813" w:rsidRDefault="00E170EE" w:rsidP="00E170EE">
      <w:pPr>
        <w:spacing w:after="200" w:line="360" w:lineRule="auto"/>
        <w:ind w:left="644" w:right="424"/>
        <w:contextualSpacing/>
        <w:jc w:val="both"/>
        <w:rPr>
          <w:rFonts w:eastAsia="Batang" w:cs="Arial"/>
          <w:color w:val="auto"/>
          <w:sz w:val="22"/>
          <w:szCs w:val="22"/>
          <w:lang w:val="en-US"/>
        </w:rPr>
      </w:pPr>
    </w:p>
    <w:p w:rsidR="00E170EE" w:rsidRPr="00743813" w:rsidRDefault="00E170EE" w:rsidP="00E170EE">
      <w:pPr>
        <w:spacing w:after="200" w:line="360" w:lineRule="auto"/>
        <w:ind w:left="644" w:right="424"/>
        <w:contextualSpacing/>
        <w:jc w:val="both"/>
        <w:rPr>
          <w:rFonts w:eastAsia="Batang" w:cs="Arial"/>
          <w:color w:val="auto"/>
          <w:sz w:val="22"/>
          <w:szCs w:val="22"/>
          <w:lang w:val="en-US"/>
        </w:rPr>
      </w:pPr>
    </w:p>
    <w:tbl>
      <w:tblPr>
        <w:tblStyle w:val="TableGrid"/>
        <w:tblpPr w:leftFromText="180" w:rightFromText="180" w:vertAnchor="text" w:tblpX="644" w:tblpY="1"/>
        <w:tblOverlap w:val="never"/>
        <w:tblW w:w="0" w:type="auto"/>
        <w:tblLook w:val="04A0"/>
      </w:tblPr>
      <w:tblGrid>
        <w:gridCol w:w="972"/>
        <w:gridCol w:w="6119"/>
        <w:gridCol w:w="6655"/>
      </w:tblGrid>
      <w:tr w:rsidR="00974730" w:rsidRPr="00743813" w:rsidTr="00974730">
        <w:tc>
          <w:tcPr>
            <w:tcW w:w="972" w:type="dxa"/>
          </w:tcPr>
          <w:p w:rsidR="00974730" w:rsidRPr="00743813" w:rsidRDefault="00974730" w:rsidP="00974730">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No</w:t>
            </w:r>
          </w:p>
        </w:tc>
        <w:tc>
          <w:tcPr>
            <w:tcW w:w="6119" w:type="dxa"/>
          </w:tcPr>
          <w:p w:rsidR="00974730" w:rsidRPr="00743813" w:rsidRDefault="00974730" w:rsidP="00974730">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UNDERTAKING</w:t>
            </w:r>
          </w:p>
        </w:tc>
        <w:tc>
          <w:tcPr>
            <w:tcW w:w="6655" w:type="dxa"/>
          </w:tcPr>
          <w:p w:rsidR="00974730" w:rsidRPr="00743813" w:rsidRDefault="00974730" w:rsidP="00974730">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PROGRESS</w:t>
            </w:r>
            <w:r>
              <w:rPr>
                <w:rFonts w:eastAsia="Batang" w:cs="Arial"/>
                <w:b/>
                <w:color w:val="auto"/>
                <w:sz w:val="22"/>
                <w:szCs w:val="22"/>
                <w:lang w:val="en-US"/>
              </w:rPr>
              <w:t xml:space="preserve"> / </w:t>
            </w:r>
            <w:r w:rsidRPr="00743813">
              <w:rPr>
                <w:rFonts w:eastAsia="Batang" w:cs="Arial"/>
                <w:b/>
                <w:color w:val="auto"/>
                <w:sz w:val="22"/>
                <w:szCs w:val="22"/>
                <w:lang w:val="en-US"/>
              </w:rPr>
              <w:t>CHALLENGES</w:t>
            </w:r>
            <w:r w:rsidR="00014BC6">
              <w:rPr>
                <w:rFonts w:eastAsia="Batang" w:cs="Arial"/>
                <w:b/>
                <w:color w:val="auto"/>
                <w:sz w:val="22"/>
                <w:szCs w:val="22"/>
                <w:lang w:val="en-US"/>
              </w:rPr>
              <w:t xml:space="preserve"> </w:t>
            </w:r>
            <w:r w:rsidRPr="00743813">
              <w:rPr>
                <w:rFonts w:eastAsia="Batang" w:cs="Arial"/>
                <w:b/>
                <w:color w:val="auto"/>
                <w:sz w:val="22"/>
                <w:szCs w:val="22"/>
                <w:lang w:val="en-US"/>
              </w:rPr>
              <w:t>/</w:t>
            </w:r>
            <w:r w:rsidR="00014BC6">
              <w:rPr>
                <w:rFonts w:eastAsia="Batang" w:cs="Arial"/>
                <w:b/>
                <w:color w:val="auto"/>
                <w:sz w:val="22"/>
                <w:szCs w:val="22"/>
                <w:lang w:val="en-US"/>
              </w:rPr>
              <w:t xml:space="preserve"> </w:t>
            </w:r>
            <w:r w:rsidRPr="00743813">
              <w:rPr>
                <w:rFonts w:eastAsia="Batang" w:cs="Arial"/>
                <w:b/>
                <w:color w:val="auto"/>
                <w:sz w:val="22"/>
                <w:szCs w:val="22"/>
                <w:lang w:val="en-US"/>
              </w:rPr>
              <w:t>CONSTRAINTS</w:t>
            </w:r>
          </w:p>
        </w:tc>
      </w:tr>
      <w:tr w:rsidR="00974730" w:rsidRPr="00743813" w:rsidTr="00974730">
        <w:tc>
          <w:tcPr>
            <w:tcW w:w="972" w:type="dxa"/>
          </w:tcPr>
          <w:p w:rsidR="00974730" w:rsidRPr="00B614AD" w:rsidRDefault="00974730" w:rsidP="00974730">
            <w:pPr>
              <w:spacing w:after="200" w:line="360" w:lineRule="auto"/>
              <w:ind w:right="-18"/>
              <w:contextualSpacing/>
              <w:jc w:val="both"/>
              <w:rPr>
                <w:rFonts w:cs="Arial"/>
                <w:b/>
                <w:color w:val="auto"/>
                <w:sz w:val="22"/>
                <w:szCs w:val="22"/>
              </w:rPr>
            </w:pPr>
            <w:r w:rsidRPr="00B614AD">
              <w:rPr>
                <w:rFonts w:cs="Arial"/>
                <w:b/>
                <w:color w:val="auto"/>
                <w:sz w:val="22"/>
                <w:szCs w:val="22"/>
              </w:rPr>
              <w:t>1</w:t>
            </w:r>
          </w:p>
        </w:tc>
        <w:tc>
          <w:tcPr>
            <w:tcW w:w="6119" w:type="dxa"/>
          </w:tcPr>
          <w:p w:rsidR="00974730" w:rsidRPr="00743813" w:rsidRDefault="00974730" w:rsidP="00974730">
            <w:pPr>
              <w:spacing w:after="200" w:line="360" w:lineRule="auto"/>
              <w:ind w:right="-18"/>
              <w:contextualSpacing/>
              <w:rPr>
                <w:rFonts w:cs="Arial"/>
                <w:color w:val="auto"/>
                <w:sz w:val="22"/>
                <w:szCs w:val="22"/>
              </w:rPr>
            </w:pPr>
            <w:r w:rsidRPr="00743813">
              <w:rPr>
                <w:rFonts w:cs="Arial"/>
                <w:color w:val="auto"/>
                <w:sz w:val="22"/>
                <w:szCs w:val="22"/>
              </w:rPr>
              <w:t xml:space="preserve">“We are also pleased to announce that with the support of a number of partners, we have established the first Centre for African Languages Teaching that has been established as part of the University of Mpumalanga’s Siyabuswa Campus. This centre will promote research into teaching African Languages, particularly the dominant languages of Mpumalanga province, IsiNdebele and </w:t>
            </w:r>
            <w:proofErr w:type="spellStart"/>
            <w:r w:rsidRPr="00743813">
              <w:rPr>
                <w:rFonts w:cs="Arial"/>
                <w:color w:val="auto"/>
                <w:sz w:val="22"/>
                <w:szCs w:val="22"/>
              </w:rPr>
              <w:t>Siswati</w:t>
            </w:r>
            <w:proofErr w:type="spellEnd"/>
            <w:r w:rsidRPr="00743813">
              <w:rPr>
                <w:rFonts w:cs="Arial"/>
                <w:b/>
                <w:color w:val="auto"/>
                <w:sz w:val="22"/>
                <w:szCs w:val="22"/>
              </w:rPr>
              <w:t>.”</w:t>
            </w:r>
          </w:p>
        </w:tc>
        <w:tc>
          <w:tcPr>
            <w:tcW w:w="6655" w:type="dxa"/>
          </w:tcPr>
          <w:p w:rsidR="00974730" w:rsidRPr="00743813" w:rsidRDefault="00974730" w:rsidP="00974730">
            <w:pPr>
              <w:spacing w:after="200" w:line="360" w:lineRule="auto"/>
              <w:ind w:right="424"/>
              <w:contextualSpacing/>
              <w:rPr>
                <w:rFonts w:eastAsia="Batang" w:cs="Arial"/>
                <w:color w:val="auto"/>
                <w:sz w:val="22"/>
                <w:szCs w:val="22"/>
                <w:lang w:val="en-US"/>
              </w:rPr>
            </w:pPr>
            <w:r w:rsidRPr="001C7232">
              <w:rPr>
                <w:rFonts w:eastAsia="Batang" w:cs="Arial"/>
                <w:color w:val="auto"/>
                <w:sz w:val="22"/>
                <w:szCs w:val="22"/>
                <w:lang w:val="en-US"/>
              </w:rPr>
              <w:t xml:space="preserve">The DHET supported the establishment of the Centre for African Languages Teaching at the Siyabuswa Campus of the University of Mpumalanga, in partnership with the University of Johannesburg and with funding support from ELMA Philanthropies and USAID. The centre is operational and is mandated to research African languages Teaching and to implement </w:t>
            </w:r>
            <w:proofErr w:type="spellStart"/>
            <w:r w:rsidRPr="001C7232">
              <w:rPr>
                <w:rFonts w:eastAsia="Batang" w:cs="Arial"/>
                <w:color w:val="auto"/>
                <w:sz w:val="22"/>
                <w:szCs w:val="22"/>
                <w:lang w:val="en-US"/>
              </w:rPr>
              <w:t>programmes</w:t>
            </w:r>
            <w:proofErr w:type="spellEnd"/>
            <w:r w:rsidRPr="001C7232">
              <w:rPr>
                <w:rFonts w:eastAsia="Batang" w:cs="Arial"/>
                <w:color w:val="auto"/>
                <w:sz w:val="22"/>
                <w:szCs w:val="22"/>
                <w:lang w:val="en-US"/>
              </w:rPr>
              <w:t xml:space="preserve"> that enable the development of teachers for the African languages.</w:t>
            </w:r>
          </w:p>
        </w:tc>
      </w:tr>
      <w:tr w:rsidR="00974730" w:rsidRPr="00743813" w:rsidTr="00974730">
        <w:tc>
          <w:tcPr>
            <w:tcW w:w="972" w:type="dxa"/>
          </w:tcPr>
          <w:p w:rsidR="00974730" w:rsidRPr="00B614AD" w:rsidRDefault="00974730" w:rsidP="00974730">
            <w:pPr>
              <w:spacing w:before="100" w:beforeAutospacing="1" w:after="100" w:afterAutospacing="1" w:line="360" w:lineRule="auto"/>
              <w:ind w:right="-18"/>
              <w:contextualSpacing/>
              <w:jc w:val="both"/>
              <w:rPr>
                <w:rFonts w:cs="Arial"/>
                <w:b/>
                <w:color w:val="auto"/>
                <w:sz w:val="22"/>
                <w:szCs w:val="22"/>
              </w:rPr>
            </w:pPr>
            <w:r w:rsidRPr="00B614AD">
              <w:rPr>
                <w:rFonts w:cs="Arial"/>
                <w:b/>
                <w:color w:val="auto"/>
                <w:sz w:val="22"/>
                <w:szCs w:val="22"/>
              </w:rPr>
              <w:t>2</w:t>
            </w:r>
          </w:p>
        </w:tc>
        <w:tc>
          <w:tcPr>
            <w:tcW w:w="6119" w:type="dxa"/>
          </w:tcPr>
          <w:p w:rsidR="00974730" w:rsidRPr="00743813" w:rsidRDefault="00974730" w:rsidP="00974730">
            <w:pPr>
              <w:spacing w:before="100" w:beforeAutospacing="1" w:after="100" w:afterAutospacing="1" w:line="360" w:lineRule="auto"/>
              <w:ind w:right="-18"/>
              <w:contextualSpacing/>
              <w:rPr>
                <w:rFonts w:eastAsia="Batang" w:cs="Arial"/>
                <w:color w:val="auto"/>
                <w:sz w:val="22"/>
                <w:szCs w:val="22"/>
                <w:lang w:val="en-US"/>
              </w:rPr>
            </w:pPr>
            <w:r w:rsidRPr="00743813">
              <w:rPr>
                <w:rFonts w:cs="Arial"/>
                <w:color w:val="auto"/>
                <w:sz w:val="22"/>
                <w:szCs w:val="22"/>
              </w:rPr>
              <w:t xml:space="preserve">“The 2011 Census tells us that there </w:t>
            </w:r>
            <w:r>
              <w:rPr>
                <w:rFonts w:cs="Arial"/>
                <w:color w:val="auto"/>
                <w:sz w:val="22"/>
                <w:szCs w:val="22"/>
              </w:rPr>
              <w:t xml:space="preserve">are 18 million South Africans </w:t>
            </w:r>
            <w:r w:rsidRPr="00743813">
              <w:rPr>
                <w:rFonts w:cs="Arial"/>
                <w:color w:val="auto"/>
                <w:sz w:val="22"/>
                <w:szCs w:val="22"/>
              </w:rPr>
              <w:t>who need Adult Basic Education and Training of one kind or the other. For this reason, I will therefore establish a fully-fledged branch on adult education and community college education in my department, headed by a deputy director-general”.</w:t>
            </w:r>
          </w:p>
        </w:tc>
        <w:tc>
          <w:tcPr>
            <w:tcW w:w="6655" w:type="dxa"/>
          </w:tcPr>
          <w:p w:rsidR="00974730" w:rsidRDefault="00974730" w:rsidP="00974730">
            <w:pPr>
              <w:spacing w:after="200" w:line="360" w:lineRule="auto"/>
              <w:ind w:right="424"/>
              <w:contextualSpacing/>
              <w:rPr>
                <w:rFonts w:cs="Arial"/>
                <w:color w:val="auto"/>
                <w:sz w:val="22"/>
                <w:szCs w:val="22"/>
              </w:rPr>
            </w:pPr>
            <w:r w:rsidRPr="009673AB">
              <w:rPr>
                <w:rFonts w:cs="Arial"/>
                <w:color w:val="auto"/>
                <w:sz w:val="22"/>
                <w:szCs w:val="22"/>
              </w:rPr>
              <w:t xml:space="preserve">The Branch has been created. </w:t>
            </w:r>
            <w:r>
              <w:rPr>
                <w:rFonts w:cs="Arial"/>
                <w:color w:val="auto"/>
                <w:sz w:val="22"/>
                <w:szCs w:val="22"/>
              </w:rPr>
              <w:t xml:space="preserve">The </w:t>
            </w:r>
            <w:r w:rsidRPr="009673AB">
              <w:rPr>
                <w:rFonts w:cs="Arial"/>
                <w:color w:val="auto"/>
                <w:sz w:val="22"/>
                <w:szCs w:val="22"/>
              </w:rPr>
              <w:t>Acting DDG: CET was also appointed. The post will be advertised during the month of September 2017. In addition to that, nine CET Colleges are established in all the Provinces.</w:t>
            </w:r>
          </w:p>
          <w:p w:rsidR="00974730" w:rsidRPr="00743813" w:rsidRDefault="00974730" w:rsidP="00974730">
            <w:pPr>
              <w:spacing w:after="200" w:line="360" w:lineRule="auto"/>
              <w:ind w:right="424"/>
              <w:contextualSpacing/>
              <w:rPr>
                <w:rFonts w:eastAsia="Batang" w:cs="Arial"/>
                <w:color w:val="auto"/>
                <w:sz w:val="22"/>
                <w:szCs w:val="22"/>
                <w:lang w:val="en-US"/>
              </w:rPr>
            </w:pPr>
            <w:r>
              <w:rPr>
                <w:rFonts w:eastAsia="Batang" w:cs="Arial"/>
                <w:color w:val="auto"/>
                <w:sz w:val="22"/>
                <w:szCs w:val="22"/>
                <w:lang w:val="en-US"/>
              </w:rPr>
              <w:t xml:space="preserve">Underfunding of the </w:t>
            </w:r>
            <w:proofErr w:type="spellStart"/>
            <w:r>
              <w:rPr>
                <w:rFonts w:eastAsia="Batang" w:cs="Arial"/>
                <w:color w:val="auto"/>
                <w:sz w:val="22"/>
                <w:szCs w:val="22"/>
                <w:lang w:val="en-US"/>
              </w:rPr>
              <w:t>Programme</w:t>
            </w:r>
            <w:proofErr w:type="spellEnd"/>
            <w:r>
              <w:rPr>
                <w:rFonts w:eastAsia="Batang" w:cs="Arial"/>
                <w:color w:val="auto"/>
                <w:sz w:val="22"/>
                <w:szCs w:val="22"/>
                <w:lang w:val="en-US"/>
              </w:rPr>
              <w:t xml:space="preserve"> has a bearing on the smooth functioning of the Unit.</w:t>
            </w:r>
          </w:p>
        </w:tc>
      </w:tr>
      <w:tr w:rsidR="00974730" w:rsidRPr="00743813" w:rsidTr="00974730">
        <w:tc>
          <w:tcPr>
            <w:tcW w:w="972" w:type="dxa"/>
          </w:tcPr>
          <w:p w:rsidR="00974730" w:rsidRPr="00B614AD" w:rsidRDefault="00974730" w:rsidP="00974730">
            <w:pPr>
              <w:spacing w:line="360" w:lineRule="auto"/>
              <w:ind w:right="-18"/>
              <w:contextualSpacing/>
              <w:jc w:val="both"/>
              <w:rPr>
                <w:rFonts w:cs="Arial"/>
                <w:b/>
                <w:sz w:val="22"/>
                <w:szCs w:val="22"/>
              </w:rPr>
            </w:pPr>
            <w:r w:rsidRPr="00B614AD">
              <w:rPr>
                <w:rFonts w:cs="Arial"/>
                <w:b/>
                <w:sz w:val="22"/>
                <w:szCs w:val="22"/>
              </w:rPr>
              <w:t>3</w:t>
            </w:r>
          </w:p>
        </w:tc>
        <w:tc>
          <w:tcPr>
            <w:tcW w:w="6119" w:type="dxa"/>
          </w:tcPr>
          <w:p w:rsidR="00974730" w:rsidRPr="00743813" w:rsidRDefault="00974730" w:rsidP="00974730">
            <w:pPr>
              <w:spacing w:line="360" w:lineRule="auto"/>
              <w:ind w:right="-18"/>
              <w:contextualSpacing/>
              <w:rPr>
                <w:rFonts w:eastAsia="Batang" w:cs="Arial"/>
                <w:color w:val="auto"/>
                <w:sz w:val="22"/>
                <w:szCs w:val="22"/>
                <w:lang w:val="en-US"/>
              </w:rPr>
            </w:pPr>
            <w:r w:rsidRPr="00743813">
              <w:rPr>
                <w:rFonts w:cs="Arial"/>
                <w:b/>
                <w:sz w:val="22"/>
                <w:szCs w:val="22"/>
              </w:rPr>
              <w:t>“</w:t>
            </w:r>
            <w:r w:rsidRPr="00743813">
              <w:rPr>
                <w:rFonts w:cs="Arial"/>
                <w:sz w:val="22"/>
                <w:szCs w:val="22"/>
              </w:rPr>
              <w:t>We are also very pleased that we are going to expand what we call Higher Certificate, basically targeting students who have not made it in matric to be able to bridge to go to university or colleges or so that some of them to actually get employment”.</w:t>
            </w:r>
            <w:r w:rsidRPr="00743813">
              <w:rPr>
                <w:rFonts w:cs="Arial"/>
                <w:b/>
                <w:sz w:val="22"/>
                <w:szCs w:val="22"/>
              </w:rPr>
              <w:t xml:space="preserve"> </w:t>
            </w:r>
          </w:p>
        </w:tc>
        <w:tc>
          <w:tcPr>
            <w:tcW w:w="6655" w:type="dxa"/>
          </w:tcPr>
          <w:p w:rsidR="00974730" w:rsidRPr="00620C66" w:rsidRDefault="00974730" w:rsidP="00974730">
            <w:pPr>
              <w:pStyle w:val="ListParagraph"/>
              <w:numPr>
                <w:ilvl w:val="0"/>
                <w:numId w:val="2"/>
              </w:numPr>
              <w:tabs>
                <w:tab w:val="left" w:pos="3677"/>
              </w:tabs>
              <w:spacing w:after="200" w:line="360" w:lineRule="auto"/>
              <w:ind w:left="347" w:right="424" w:hanging="347"/>
              <w:rPr>
                <w:rFonts w:eastAsia="Batang" w:cs="Arial"/>
                <w:color w:val="auto"/>
                <w:sz w:val="22"/>
                <w:szCs w:val="22"/>
                <w:lang w:val="en-US"/>
              </w:rPr>
            </w:pPr>
            <w:r w:rsidRPr="00620C66">
              <w:rPr>
                <w:rFonts w:eastAsia="Batang" w:cs="Arial"/>
                <w:color w:val="auto"/>
                <w:sz w:val="22"/>
                <w:szCs w:val="22"/>
                <w:lang w:val="en-US"/>
              </w:rPr>
              <w:t xml:space="preserve">While the TVET colleges are primarily focused on NQF level 2 – 4 qualifications there has been an increasing pressure on TVET Colleges to deliver more qualifications at NQF level 5 and 6. </w:t>
            </w:r>
          </w:p>
          <w:p w:rsidR="00974730" w:rsidRPr="00620C66" w:rsidRDefault="00974730" w:rsidP="00974730">
            <w:pPr>
              <w:pStyle w:val="ListParagraph"/>
              <w:numPr>
                <w:ilvl w:val="0"/>
                <w:numId w:val="2"/>
              </w:numPr>
              <w:tabs>
                <w:tab w:val="left" w:pos="3677"/>
              </w:tabs>
              <w:spacing w:after="200" w:line="360" w:lineRule="auto"/>
              <w:ind w:left="347" w:right="424" w:hanging="347"/>
              <w:rPr>
                <w:rFonts w:eastAsia="Batang" w:cs="Arial"/>
                <w:color w:val="auto"/>
                <w:sz w:val="22"/>
                <w:szCs w:val="22"/>
                <w:lang w:val="en-US"/>
              </w:rPr>
            </w:pPr>
            <w:r>
              <w:rPr>
                <w:rFonts w:eastAsia="Batang" w:cs="Arial"/>
                <w:color w:val="auto"/>
                <w:sz w:val="22"/>
                <w:szCs w:val="22"/>
                <w:lang w:val="en-US"/>
              </w:rPr>
              <w:t>T</w:t>
            </w:r>
            <w:r w:rsidRPr="00620C66">
              <w:rPr>
                <w:rFonts w:eastAsia="Batang" w:cs="Arial"/>
                <w:color w:val="auto"/>
                <w:sz w:val="22"/>
                <w:szCs w:val="22"/>
                <w:lang w:val="en-US"/>
              </w:rPr>
              <w:t xml:space="preserve">his is mainly due to the fact that access to universities are restricted and that the existing opportunities to peruse Higher Certificates and </w:t>
            </w:r>
            <w:r w:rsidRPr="00620C66">
              <w:rPr>
                <w:rFonts w:eastAsia="Batang" w:cs="Arial"/>
                <w:color w:val="auto"/>
                <w:sz w:val="22"/>
                <w:szCs w:val="22"/>
                <w:lang w:val="en-US"/>
              </w:rPr>
              <w:lastRenderedPageBreak/>
              <w:t xml:space="preserve">Degrees are limited compared to the degree options. It is also clear that we must develop mid-level skills of a more vocational nature to fulfil the requirements of industry. </w:t>
            </w:r>
          </w:p>
          <w:p w:rsidR="00974730" w:rsidRPr="00620C66" w:rsidRDefault="00974730" w:rsidP="00974730">
            <w:pPr>
              <w:pStyle w:val="ListParagraph"/>
              <w:numPr>
                <w:ilvl w:val="0"/>
                <w:numId w:val="2"/>
              </w:numPr>
              <w:tabs>
                <w:tab w:val="left" w:pos="3677"/>
              </w:tabs>
              <w:spacing w:after="200" w:line="360" w:lineRule="auto"/>
              <w:ind w:left="347" w:right="424" w:hanging="347"/>
              <w:rPr>
                <w:rFonts w:eastAsia="Batang" w:cs="Arial"/>
                <w:color w:val="auto"/>
                <w:sz w:val="22"/>
                <w:szCs w:val="22"/>
                <w:lang w:val="en-US"/>
              </w:rPr>
            </w:pPr>
            <w:r w:rsidRPr="00620C66">
              <w:rPr>
                <w:rFonts w:eastAsia="Batang" w:cs="Arial"/>
                <w:color w:val="auto"/>
                <w:sz w:val="22"/>
                <w:szCs w:val="22"/>
                <w:lang w:val="en-US"/>
              </w:rPr>
              <w:t xml:space="preserve">We do find that many students who only have a Higher Certificate or Diploma pass often find themselves at TVET Colleges looking for opportunities of further study. </w:t>
            </w:r>
          </w:p>
          <w:p w:rsidR="00974730" w:rsidRPr="00620C66" w:rsidRDefault="00974730" w:rsidP="00974730">
            <w:pPr>
              <w:pStyle w:val="ListParagraph"/>
              <w:numPr>
                <w:ilvl w:val="0"/>
                <w:numId w:val="2"/>
              </w:numPr>
              <w:tabs>
                <w:tab w:val="left" w:pos="3677"/>
              </w:tabs>
              <w:spacing w:after="200" w:line="360" w:lineRule="auto"/>
              <w:ind w:left="347" w:right="424" w:hanging="347"/>
              <w:rPr>
                <w:rFonts w:eastAsia="Batang" w:cs="Arial"/>
                <w:color w:val="auto"/>
                <w:sz w:val="22"/>
                <w:szCs w:val="22"/>
                <w:lang w:val="en-US"/>
              </w:rPr>
            </w:pPr>
            <w:r>
              <w:rPr>
                <w:rFonts w:eastAsia="Batang" w:cs="Arial"/>
                <w:color w:val="auto"/>
                <w:sz w:val="22"/>
                <w:szCs w:val="22"/>
                <w:lang w:val="en-US"/>
              </w:rPr>
              <w:t xml:space="preserve">In </w:t>
            </w:r>
            <w:r w:rsidRPr="00620C66">
              <w:rPr>
                <w:rFonts w:eastAsia="Batang" w:cs="Arial"/>
                <w:color w:val="auto"/>
                <w:sz w:val="22"/>
                <w:szCs w:val="22"/>
                <w:lang w:val="en-US"/>
              </w:rPr>
              <w:t>order to address this situation we have taken action</w:t>
            </w:r>
            <w:r>
              <w:rPr>
                <w:rFonts w:eastAsia="Batang" w:cs="Arial"/>
                <w:color w:val="auto"/>
                <w:sz w:val="22"/>
                <w:szCs w:val="22"/>
                <w:lang w:val="en-US"/>
              </w:rPr>
              <w:t xml:space="preserve"> on</w:t>
            </w:r>
            <w:r w:rsidRPr="00620C66">
              <w:rPr>
                <w:rFonts w:eastAsia="Batang" w:cs="Arial"/>
                <w:color w:val="auto"/>
                <w:sz w:val="22"/>
                <w:szCs w:val="22"/>
                <w:lang w:val="en-US"/>
              </w:rPr>
              <w:t xml:space="preserve"> a number of fronts.</w:t>
            </w:r>
          </w:p>
          <w:p w:rsidR="00974730" w:rsidRPr="00620C66" w:rsidRDefault="00974730" w:rsidP="00974730">
            <w:pPr>
              <w:pStyle w:val="ListParagraph"/>
              <w:numPr>
                <w:ilvl w:val="0"/>
                <w:numId w:val="3"/>
              </w:numPr>
              <w:tabs>
                <w:tab w:val="left" w:pos="3677"/>
              </w:tabs>
              <w:spacing w:after="200" w:line="360" w:lineRule="auto"/>
              <w:ind w:left="347" w:right="424" w:hanging="270"/>
              <w:rPr>
                <w:rFonts w:eastAsia="Batang" w:cs="Arial"/>
                <w:color w:val="auto"/>
                <w:sz w:val="22"/>
                <w:szCs w:val="22"/>
                <w:lang w:val="en-US"/>
              </w:rPr>
            </w:pPr>
            <w:r w:rsidRPr="00620C66">
              <w:rPr>
                <w:rFonts w:eastAsia="Batang" w:cs="Arial"/>
                <w:color w:val="auto"/>
                <w:sz w:val="22"/>
                <w:szCs w:val="22"/>
                <w:lang w:val="en-US"/>
              </w:rPr>
              <w:t>Universities have developed a “bridging “</w:t>
            </w:r>
            <w:proofErr w:type="spellStart"/>
            <w:r w:rsidRPr="00620C66">
              <w:rPr>
                <w:rFonts w:eastAsia="Batang" w:cs="Arial"/>
                <w:color w:val="auto"/>
                <w:sz w:val="22"/>
                <w:szCs w:val="22"/>
                <w:lang w:val="en-US"/>
              </w:rPr>
              <w:t>programme</w:t>
            </w:r>
            <w:proofErr w:type="spellEnd"/>
            <w:r w:rsidRPr="00620C66">
              <w:rPr>
                <w:rFonts w:eastAsia="Batang" w:cs="Arial"/>
                <w:color w:val="auto"/>
                <w:sz w:val="22"/>
                <w:szCs w:val="22"/>
                <w:lang w:val="en-US"/>
              </w:rPr>
              <w:t xml:space="preserve">, which can assist students with some foundational knowledge which will enable them to take up full degree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The University of Free State has been a key driver of this process.</w:t>
            </w:r>
          </w:p>
          <w:p w:rsidR="00974730" w:rsidRPr="00620C66" w:rsidRDefault="00974730" w:rsidP="00974730">
            <w:pPr>
              <w:pStyle w:val="ListParagraph"/>
              <w:numPr>
                <w:ilvl w:val="0"/>
                <w:numId w:val="3"/>
              </w:numPr>
              <w:tabs>
                <w:tab w:val="left" w:pos="3677"/>
              </w:tabs>
              <w:spacing w:after="200" w:line="360" w:lineRule="auto"/>
              <w:ind w:left="347" w:right="424" w:hanging="270"/>
              <w:rPr>
                <w:rFonts w:eastAsia="Batang" w:cs="Arial"/>
                <w:color w:val="auto"/>
                <w:sz w:val="22"/>
                <w:szCs w:val="22"/>
                <w:lang w:val="en-US"/>
              </w:rPr>
            </w:pPr>
            <w:r w:rsidRPr="00620C66">
              <w:rPr>
                <w:rFonts w:eastAsia="Batang" w:cs="Arial"/>
                <w:color w:val="auto"/>
                <w:sz w:val="22"/>
                <w:szCs w:val="22"/>
                <w:lang w:val="en-US"/>
              </w:rPr>
              <w:t xml:space="preserve">Universities have also developed Higher Certificates, which could be delivered at TVET Colleges.  This process requires that colleges and universities must set up specific </w:t>
            </w:r>
            <w:proofErr w:type="spellStart"/>
            <w:r w:rsidRPr="00620C66">
              <w:rPr>
                <w:rFonts w:eastAsia="Batang" w:cs="Arial"/>
                <w:color w:val="auto"/>
                <w:sz w:val="22"/>
                <w:szCs w:val="22"/>
                <w:lang w:val="en-US"/>
              </w:rPr>
              <w:t>MoU’s</w:t>
            </w:r>
            <w:proofErr w:type="spellEnd"/>
            <w:r w:rsidRPr="00620C66">
              <w:rPr>
                <w:rFonts w:eastAsia="Batang" w:cs="Arial"/>
                <w:color w:val="auto"/>
                <w:sz w:val="22"/>
                <w:szCs w:val="22"/>
                <w:lang w:val="en-US"/>
              </w:rPr>
              <w:t xml:space="preserve"> to govern the roles and responsibilities of the relationship.  To date there has been more than 12 such partnerships established between colleges and universities.  The success however has been somewhat varied.  Funding of these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xml:space="preserve"> remains problematic, as they are primarily university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xml:space="preserve">, which are delivered </w:t>
            </w:r>
            <w:r w:rsidRPr="00620C66">
              <w:rPr>
                <w:rFonts w:eastAsia="Batang" w:cs="Arial"/>
                <w:color w:val="auto"/>
                <w:sz w:val="22"/>
                <w:szCs w:val="22"/>
                <w:lang w:val="en-US"/>
              </w:rPr>
              <w:lastRenderedPageBreak/>
              <w:t>at Colleges.</w:t>
            </w:r>
          </w:p>
          <w:p w:rsidR="00974730" w:rsidRPr="00620C66" w:rsidRDefault="00974730" w:rsidP="00974730">
            <w:pPr>
              <w:pStyle w:val="ListParagraph"/>
              <w:numPr>
                <w:ilvl w:val="0"/>
                <w:numId w:val="3"/>
              </w:numPr>
              <w:tabs>
                <w:tab w:val="left" w:pos="3677"/>
              </w:tabs>
              <w:spacing w:after="200" w:line="360" w:lineRule="auto"/>
              <w:ind w:left="347" w:right="424" w:hanging="270"/>
              <w:rPr>
                <w:rFonts w:eastAsia="Batang" w:cs="Arial"/>
                <w:color w:val="auto"/>
                <w:sz w:val="22"/>
                <w:szCs w:val="22"/>
                <w:lang w:val="en-US"/>
              </w:rPr>
            </w:pPr>
            <w:r w:rsidRPr="00620C66">
              <w:rPr>
                <w:rFonts w:eastAsia="Batang" w:cs="Arial"/>
                <w:color w:val="auto"/>
                <w:sz w:val="22"/>
                <w:szCs w:val="22"/>
                <w:lang w:val="en-US"/>
              </w:rPr>
              <w:t xml:space="preserve">Finally the TVET Colleges sector has worked with the QCTO to develop and implement more occupational qualifications at level 5.  To date QCTO has registered more than 150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xml:space="preserve">.  There has been a specific emphasis to develop more qualifications at NQF level 5. </w:t>
            </w:r>
          </w:p>
          <w:p w:rsidR="00974730" w:rsidRPr="00620C66" w:rsidRDefault="00974730" w:rsidP="00974730">
            <w:pPr>
              <w:pStyle w:val="ListParagraph"/>
              <w:numPr>
                <w:ilvl w:val="0"/>
                <w:numId w:val="3"/>
              </w:numPr>
              <w:tabs>
                <w:tab w:val="left" w:pos="3677"/>
              </w:tabs>
              <w:spacing w:after="200" w:line="360" w:lineRule="auto"/>
              <w:ind w:left="347" w:right="424" w:hanging="270"/>
              <w:rPr>
                <w:rFonts w:eastAsia="Batang" w:cs="Arial"/>
                <w:color w:val="auto"/>
                <w:sz w:val="22"/>
                <w:szCs w:val="22"/>
                <w:lang w:val="en-US"/>
              </w:rPr>
            </w:pPr>
            <w:r w:rsidRPr="00620C66">
              <w:rPr>
                <w:rFonts w:eastAsia="Batang" w:cs="Arial"/>
                <w:color w:val="auto"/>
                <w:sz w:val="22"/>
                <w:szCs w:val="22"/>
                <w:lang w:val="en-US"/>
              </w:rPr>
              <w:t xml:space="preserve">In this case a number of pilot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xml:space="preserve"> are underway to test and refine the implementation of occupational </w:t>
            </w:r>
            <w:proofErr w:type="spellStart"/>
            <w:r w:rsidRPr="00620C66">
              <w:rPr>
                <w:rFonts w:eastAsia="Batang" w:cs="Arial"/>
                <w:color w:val="auto"/>
                <w:sz w:val="22"/>
                <w:szCs w:val="22"/>
                <w:lang w:val="en-US"/>
              </w:rPr>
              <w:t>programmes</w:t>
            </w:r>
            <w:proofErr w:type="spellEnd"/>
            <w:r w:rsidRPr="00620C66">
              <w:rPr>
                <w:rFonts w:eastAsia="Batang" w:cs="Arial"/>
                <w:color w:val="auto"/>
                <w:sz w:val="22"/>
                <w:szCs w:val="22"/>
                <w:lang w:val="en-US"/>
              </w:rPr>
              <w:t xml:space="preserve"> at TVET Colleges.</w:t>
            </w:r>
          </w:p>
        </w:tc>
      </w:tr>
    </w:tbl>
    <w:p w:rsidR="00E170EE" w:rsidRPr="00743813" w:rsidRDefault="00974730" w:rsidP="00743813">
      <w:pPr>
        <w:spacing w:after="200" w:line="360" w:lineRule="auto"/>
        <w:ind w:left="900" w:right="424"/>
        <w:contextualSpacing/>
        <w:jc w:val="both"/>
        <w:rPr>
          <w:rFonts w:eastAsia="Batang" w:cs="Arial"/>
          <w:color w:val="auto"/>
          <w:sz w:val="22"/>
          <w:szCs w:val="22"/>
          <w:lang w:val="en-US"/>
        </w:rPr>
      </w:pPr>
      <w:r>
        <w:rPr>
          <w:rFonts w:eastAsia="Batang" w:cs="Arial"/>
          <w:color w:val="auto"/>
          <w:sz w:val="22"/>
          <w:szCs w:val="22"/>
          <w:lang w:val="en-US"/>
        </w:rPr>
        <w:lastRenderedPageBreak/>
        <w:br w:type="textWrapping" w:clear="all"/>
      </w:r>
    </w:p>
    <w:p w:rsidR="00E170EE" w:rsidRPr="00743813" w:rsidRDefault="00E170EE" w:rsidP="00E170EE">
      <w:pPr>
        <w:spacing w:line="360" w:lineRule="auto"/>
        <w:ind w:left="1080" w:right="849"/>
        <w:contextualSpacing/>
        <w:jc w:val="both"/>
        <w:rPr>
          <w:rFonts w:eastAsia="Batang" w:cs="Arial"/>
          <w:sz w:val="22"/>
          <w:szCs w:val="22"/>
        </w:rPr>
      </w:pPr>
    </w:p>
    <w:p w:rsidR="00E170EE" w:rsidRPr="00743813" w:rsidRDefault="00E170EE" w:rsidP="00743813">
      <w:pPr>
        <w:spacing w:line="360" w:lineRule="auto"/>
        <w:ind w:left="1080" w:right="849" w:hanging="796"/>
        <w:contextualSpacing/>
        <w:jc w:val="both"/>
        <w:rPr>
          <w:rFonts w:cs="Arial"/>
          <w:color w:val="auto"/>
          <w:spacing w:val="0"/>
          <w:sz w:val="22"/>
          <w:szCs w:val="22"/>
        </w:rPr>
      </w:pPr>
      <w:r w:rsidRPr="00743813">
        <w:rPr>
          <w:rFonts w:cs="Arial"/>
          <w:sz w:val="22"/>
          <w:szCs w:val="22"/>
        </w:rPr>
        <w:t xml:space="preserve"> </w:t>
      </w:r>
    </w:p>
    <w:p w:rsidR="00E170EE" w:rsidRPr="00743813" w:rsidRDefault="00E170EE" w:rsidP="00E170EE">
      <w:pPr>
        <w:tabs>
          <w:tab w:val="left" w:pos="283"/>
          <w:tab w:val="left" w:pos="709"/>
          <w:tab w:val="left" w:pos="1026"/>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9"/>
          <w:tab w:val="left" w:pos="9921"/>
          <w:tab w:val="left" w:pos="10488"/>
          <w:tab w:val="left" w:pos="11055"/>
        </w:tabs>
        <w:spacing w:line="360" w:lineRule="auto"/>
        <w:ind w:right="425"/>
        <w:jc w:val="both"/>
        <w:rPr>
          <w:rFonts w:cs="Arial"/>
          <w:b/>
          <w:color w:val="auto"/>
          <w:sz w:val="22"/>
          <w:szCs w:val="22"/>
        </w:rPr>
      </w:pPr>
    </w:p>
    <w:p w:rsidR="00E170EE" w:rsidRPr="00743813" w:rsidRDefault="00E170EE" w:rsidP="00E170EE">
      <w:pPr>
        <w:spacing w:before="100" w:beforeAutospacing="1" w:after="100" w:afterAutospacing="1" w:line="360" w:lineRule="auto"/>
        <w:ind w:left="1080" w:right="849"/>
        <w:contextualSpacing/>
        <w:jc w:val="both"/>
        <w:rPr>
          <w:rFonts w:cs="Arial"/>
          <w:color w:val="auto"/>
          <w:spacing w:val="0"/>
          <w:sz w:val="22"/>
          <w:szCs w:val="22"/>
        </w:rPr>
      </w:pPr>
    </w:p>
    <w:p w:rsidR="00E170EE" w:rsidRPr="00743813" w:rsidRDefault="00E170EE" w:rsidP="00E170EE">
      <w:pPr>
        <w:spacing w:before="100" w:beforeAutospacing="1" w:after="100" w:afterAutospacing="1" w:line="360" w:lineRule="auto"/>
        <w:ind w:left="1080" w:right="849" w:hanging="796"/>
        <w:contextualSpacing/>
        <w:jc w:val="both"/>
        <w:rPr>
          <w:rFonts w:cs="Arial"/>
          <w:color w:val="auto"/>
          <w:spacing w:val="0"/>
          <w:sz w:val="22"/>
          <w:szCs w:val="22"/>
        </w:rPr>
      </w:pPr>
    </w:p>
    <w:p w:rsidR="00183F89" w:rsidRPr="00743813" w:rsidRDefault="00C67BFD">
      <w:pPr>
        <w:rPr>
          <w:sz w:val="22"/>
          <w:szCs w:val="22"/>
        </w:rPr>
      </w:pPr>
    </w:p>
    <w:sectPr w:rsidR="00183F89" w:rsidRPr="00743813" w:rsidSect="00743813">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BD" w:rsidRDefault="007264BD" w:rsidP="00E170EE">
      <w:r>
        <w:separator/>
      </w:r>
    </w:p>
  </w:endnote>
  <w:endnote w:type="continuationSeparator" w:id="0">
    <w:p w:rsidR="007264BD" w:rsidRDefault="007264BD" w:rsidP="00E1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74244"/>
      <w:docPartObj>
        <w:docPartGallery w:val="Page Numbers (Bottom of Page)"/>
        <w:docPartUnique/>
      </w:docPartObj>
    </w:sdtPr>
    <w:sdtEndPr>
      <w:rPr>
        <w:noProof/>
      </w:rPr>
    </w:sdtEndPr>
    <w:sdtContent>
      <w:p w:rsidR="00743813" w:rsidRDefault="00FB1E3A">
        <w:pPr>
          <w:pStyle w:val="Footer"/>
          <w:jc w:val="right"/>
        </w:pPr>
        <w:r>
          <w:fldChar w:fldCharType="begin"/>
        </w:r>
        <w:r w:rsidR="00743813">
          <w:instrText xml:space="preserve"> PAGE   \* MERGEFORMAT </w:instrText>
        </w:r>
        <w:r>
          <w:fldChar w:fldCharType="separate"/>
        </w:r>
        <w:r w:rsidR="00C67BFD">
          <w:rPr>
            <w:noProof/>
          </w:rPr>
          <w:t>2</w:t>
        </w:r>
        <w:r>
          <w:rPr>
            <w:noProof/>
          </w:rPr>
          <w:fldChar w:fldCharType="end"/>
        </w:r>
      </w:p>
    </w:sdtContent>
  </w:sdt>
  <w:p w:rsidR="00743813" w:rsidRDefault="00743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BD" w:rsidRDefault="007264BD" w:rsidP="00E170EE">
      <w:r>
        <w:separator/>
      </w:r>
    </w:p>
  </w:footnote>
  <w:footnote w:type="continuationSeparator" w:id="0">
    <w:p w:rsidR="007264BD" w:rsidRDefault="007264BD" w:rsidP="00E17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644" w:type="dxa"/>
      <w:tblLook w:val="04A0"/>
    </w:tblPr>
    <w:tblGrid>
      <w:gridCol w:w="972"/>
      <w:gridCol w:w="6119"/>
      <w:gridCol w:w="6655"/>
    </w:tblGrid>
    <w:tr w:rsidR="00974730" w:rsidRPr="00743813" w:rsidTr="00C42CEE">
      <w:tc>
        <w:tcPr>
          <w:tcW w:w="972" w:type="dxa"/>
        </w:tcPr>
        <w:p w:rsidR="00974730" w:rsidRPr="00743813" w:rsidRDefault="00974730" w:rsidP="00743813">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No</w:t>
          </w:r>
        </w:p>
      </w:tc>
      <w:tc>
        <w:tcPr>
          <w:tcW w:w="6119" w:type="dxa"/>
        </w:tcPr>
        <w:p w:rsidR="00974730" w:rsidRPr="00743813" w:rsidRDefault="00974730" w:rsidP="00743813">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UNDERTAKING</w:t>
          </w:r>
        </w:p>
      </w:tc>
      <w:tc>
        <w:tcPr>
          <w:tcW w:w="6655" w:type="dxa"/>
        </w:tcPr>
        <w:p w:rsidR="00974730" w:rsidRPr="00743813" w:rsidRDefault="00974730" w:rsidP="00014BC6">
          <w:pPr>
            <w:spacing w:after="200" w:line="360" w:lineRule="auto"/>
            <w:ind w:right="424"/>
            <w:contextualSpacing/>
            <w:jc w:val="both"/>
            <w:rPr>
              <w:rFonts w:eastAsia="Batang" w:cs="Arial"/>
              <w:b/>
              <w:color w:val="auto"/>
              <w:sz w:val="22"/>
              <w:szCs w:val="22"/>
              <w:lang w:val="en-US"/>
            </w:rPr>
          </w:pPr>
          <w:r w:rsidRPr="00743813">
            <w:rPr>
              <w:rFonts w:eastAsia="Batang" w:cs="Arial"/>
              <w:b/>
              <w:color w:val="auto"/>
              <w:sz w:val="22"/>
              <w:szCs w:val="22"/>
              <w:lang w:val="en-US"/>
            </w:rPr>
            <w:t>PROGRESS</w:t>
          </w:r>
          <w:r w:rsidR="00014BC6">
            <w:rPr>
              <w:rFonts w:eastAsia="Batang" w:cs="Arial"/>
              <w:b/>
              <w:color w:val="auto"/>
              <w:sz w:val="22"/>
              <w:szCs w:val="22"/>
              <w:lang w:val="en-US"/>
            </w:rPr>
            <w:t xml:space="preserve"> / </w:t>
          </w:r>
          <w:r w:rsidRPr="00743813">
            <w:rPr>
              <w:rFonts w:eastAsia="Batang" w:cs="Arial"/>
              <w:b/>
              <w:color w:val="auto"/>
              <w:sz w:val="22"/>
              <w:szCs w:val="22"/>
              <w:lang w:val="en-US"/>
            </w:rPr>
            <w:t>CHALLENGES</w:t>
          </w:r>
          <w:r w:rsidR="00014BC6">
            <w:rPr>
              <w:rFonts w:eastAsia="Batang" w:cs="Arial"/>
              <w:b/>
              <w:color w:val="auto"/>
              <w:sz w:val="22"/>
              <w:szCs w:val="22"/>
              <w:lang w:val="en-US"/>
            </w:rPr>
            <w:t xml:space="preserve"> </w:t>
          </w:r>
          <w:r w:rsidRPr="00743813">
            <w:rPr>
              <w:rFonts w:eastAsia="Batang" w:cs="Arial"/>
              <w:b/>
              <w:color w:val="auto"/>
              <w:sz w:val="22"/>
              <w:szCs w:val="22"/>
              <w:lang w:val="en-US"/>
            </w:rPr>
            <w:t>/</w:t>
          </w:r>
          <w:r w:rsidR="00014BC6">
            <w:rPr>
              <w:rFonts w:eastAsia="Batang" w:cs="Arial"/>
              <w:b/>
              <w:color w:val="auto"/>
              <w:sz w:val="22"/>
              <w:szCs w:val="22"/>
              <w:lang w:val="en-US"/>
            </w:rPr>
            <w:t xml:space="preserve"> </w:t>
          </w:r>
          <w:r w:rsidRPr="00743813">
            <w:rPr>
              <w:rFonts w:eastAsia="Batang" w:cs="Arial"/>
              <w:b/>
              <w:color w:val="auto"/>
              <w:sz w:val="22"/>
              <w:szCs w:val="22"/>
              <w:lang w:val="en-US"/>
            </w:rPr>
            <w:t>CONSTRAINTS</w:t>
          </w:r>
        </w:p>
      </w:tc>
    </w:tr>
  </w:tbl>
  <w:p w:rsidR="00743813" w:rsidRDefault="00743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B54DF"/>
    <w:multiLevelType w:val="hybridMultilevel"/>
    <w:tmpl w:val="A7EA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175AF"/>
    <w:multiLevelType w:val="hybridMultilevel"/>
    <w:tmpl w:val="26CA7F8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
    <w:nsid w:val="54CD0917"/>
    <w:multiLevelType w:val="hybridMultilevel"/>
    <w:tmpl w:val="D2D00394"/>
    <w:lvl w:ilvl="0" w:tplc="8AC8943A">
      <w:start w:val="1"/>
      <w:numFmt w:val="decimal"/>
      <w:lvlText w:val="%1."/>
      <w:lvlJc w:val="left"/>
      <w:pPr>
        <w:ind w:left="644"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70EE"/>
    <w:rsid w:val="00014BC6"/>
    <w:rsid w:val="00075560"/>
    <w:rsid w:val="001C7232"/>
    <w:rsid w:val="001E7AD3"/>
    <w:rsid w:val="004304F5"/>
    <w:rsid w:val="004B2A9B"/>
    <w:rsid w:val="005C21B9"/>
    <w:rsid w:val="00620C66"/>
    <w:rsid w:val="007264BD"/>
    <w:rsid w:val="00743813"/>
    <w:rsid w:val="0083344A"/>
    <w:rsid w:val="008A1EF4"/>
    <w:rsid w:val="008F66CC"/>
    <w:rsid w:val="00901799"/>
    <w:rsid w:val="00917487"/>
    <w:rsid w:val="009673AB"/>
    <w:rsid w:val="00974730"/>
    <w:rsid w:val="00A85930"/>
    <w:rsid w:val="00B16930"/>
    <w:rsid w:val="00B614AD"/>
    <w:rsid w:val="00C67BFD"/>
    <w:rsid w:val="00D33136"/>
    <w:rsid w:val="00E170EE"/>
    <w:rsid w:val="00E6765D"/>
    <w:rsid w:val="00F223D2"/>
    <w:rsid w:val="00F44E0F"/>
    <w:rsid w:val="00FB1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EE"/>
    <w:pPr>
      <w:spacing w:after="0" w:line="240" w:lineRule="auto"/>
    </w:pPr>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0EE"/>
    <w:pPr>
      <w:tabs>
        <w:tab w:val="center" w:pos="4680"/>
        <w:tab w:val="right" w:pos="9360"/>
      </w:tabs>
    </w:pPr>
  </w:style>
  <w:style w:type="character" w:customStyle="1" w:styleId="HeaderChar">
    <w:name w:val="Header Char"/>
    <w:basedOn w:val="DefaultParagraphFont"/>
    <w:link w:val="Header"/>
    <w:uiPriority w:val="99"/>
    <w:rsid w:val="00E170EE"/>
    <w:rPr>
      <w:rFonts w:ascii="Arial" w:eastAsia="Times New Roman" w:hAnsi="Arial" w:cs="Times New Roman"/>
      <w:color w:val="001F00"/>
      <w:spacing w:val="6"/>
      <w:sz w:val="18"/>
      <w:szCs w:val="18"/>
      <w:lang w:val="en-GB" w:eastAsia="en-GB"/>
    </w:rPr>
  </w:style>
  <w:style w:type="paragraph" w:styleId="Footer">
    <w:name w:val="footer"/>
    <w:basedOn w:val="Normal"/>
    <w:link w:val="FooterChar"/>
    <w:uiPriority w:val="99"/>
    <w:unhideWhenUsed/>
    <w:rsid w:val="00E170EE"/>
    <w:pPr>
      <w:tabs>
        <w:tab w:val="center" w:pos="4680"/>
        <w:tab w:val="right" w:pos="9360"/>
      </w:tabs>
    </w:pPr>
  </w:style>
  <w:style w:type="character" w:customStyle="1" w:styleId="FooterChar">
    <w:name w:val="Footer Char"/>
    <w:basedOn w:val="DefaultParagraphFont"/>
    <w:link w:val="Footer"/>
    <w:uiPriority w:val="99"/>
    <w:rsid w:val="00E170EE"/>
    <w:rPr>
      <w:rFonts w:ascii="Arial" w:eastAsia="Times New Roman" w:hAnsi="Arial" w:cs="Times New Roman"/>
      <w:color w:val="001F00"/>
      <w:spacing w:val="6"/>
      <w:sz w:val="18"/>
      <w:szCs w:val="18"/>
      <w:lang w:val="en-GB" w:eastAsia="en-GB"/>
    </w:rPr>
  </w:style>
  <w:style w:type="table" w:styleId="TableGrid">
    <w:name w:val="Table Grid"/>
    <w:basedOn w:val="TableNormal"/>
    <w:uiPriority w:val="39"/>
    <w:rsid w:val="00E17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Pillay.Demitra</dc:creator>
  <cp:lastModifiedBy>PUMZA</cp:lastModifiedBy>
  <cp:revision>2</cp:revision>
  <dcterms:created xsi:type="dcterms:W3CDTF">2017-09-08T08:44:00Z</dcterms:created>
  <dcterms:modified xsi:type="dcterms:W3CDTF">2017-09-08T08:44:00Z</dcterms:modified>
</cp:coreProperties>
</file>