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99" w:rsidRDefault="00B70321">
      <w:pPr>
        <w:pBdr>
          <w:bottom w:val="single" w:sz="4" w:space="1" w:color="auto"/>
        </w:pBdr>
        <w:autoSpaceDE w:val="0"/>
        <w:autoSpaceDN w:val="0"/>
        <w:adjustRightInd w:val="0"/>
        <w:spacing w:after="240" w:line="240" w:lineRule="auto"/>
        <w:ind w:right="-330"/>
        <w:jc w:val="center"/>
        <w:rPr>
          <w:rFonts w:ascii="Times New Roman" w:hAnsi="Times New Roman"/>
        </w:rPr>
      </w:pPr>
      <w:r>
        <w:rPr>
          <w:caps/>
          <w:noProof/>
          <w:color w:val="16365C"/>
          <w:sz w:val="40"/>
          <w:szCs w:val="40"/>
          <w:lang w:val="en-ZA" w:eastAsia="en-ZA"/>
        </w:rPr>
        <w:drawing>
          <wp:inline distT="0" distB="0" distL="0" distR="0">
            <wp:extent cx="3362325" cy="1066800"/>
            <wp:effectExtent l="38100" t="0" r="28575"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8" cstate="print"/>
                    <a:srcRect/>
                    <a:stretch>
                      <a:fillRect/>
                    </a:stretch>
                  </pic:blipFill>
                  <pic:spPr bwMode="auto">
                    <a:xfrm>
                      <a:off x="0" y="0"/>
                      <a:ext cx="3362325" cy="1066800"/>
                    </a:xfrm>
                    <a:prstGeom prst="rect">
                      <a:avLst/>
                    </a:prstGeom>
                    <a:solidFill>
                      <a:srgbClr val="EDEDED"/>
                    </a:solidFill>
                    <a:ln w="9525">
                      <a:noFill/>
                      <a:miter lim="800000"/>
                      <a:headEnd/>
                      <a:tailEnd/>
                    </a:ln>
                    <a:effectLst>
                      <a:outerShdw dist="37499" dir="7559937" sy="98000" kx="114626" algn="tl" rotWithShape="0">
                        <a:srgbClr val="000000">
                          <a:alpha val="19000"/>
                        </a:srgbClr>
                      </a:outerShdw>
                    </a:effectLst>
                  </pic:spPr>
                </pic:pic>
              </a:graphicData>
            </a:graphic>
          </wp:inline>
        </w:drawing>
      </w:r>
    </w:p>
    <w:p w:rsidR="00995699" w:rsidRDefault="00EB149E">
      <w:pPr>
        <w:tabs>
          <w:tab w:val="left" w:pos="567"/>
        </w:tabs>
        <w:spacing w:line="360" w:lineRule="auto"/>
        <w:jc w:val="both"/>
        <w:rPr>
          <w:rFonts w:ascii="Arial" w:hAnsi="Arial" w:cs="Arial"/>
          <w:b/>
          <w:sz w:val="24"/>
        </w:rPr>
      </w:pPr>
      <w:r>
        <w:rPr>
          <w:rFonts w:ascii="Arial" w:hAnsi="Arial" w:cs="Arial"/>
          <w:b/>
          <w:sz w:val="24"/>
        </w:rPr>
        <w:t xml:space="preserve">Supporting Information on DCoG financial and non-financial performance </w:t>
      </w:r>
    </w:p>
    <w:p w:rsidR="00995699" w:rsidRDefault="00995699">
      <w:pPr>
        <w:autoSpaceDE w:val="0"/>
        <w:autoSpaceDN w:val="0"/>
        <w:adjustRightInd w:val="0"/>
        <w:spacing w:after="0" w:line="360" w:lineRule="auto"/>
        <w:ind w:right="-330"/>
        <w:jc w:val="both"/>
        <w:rPr>
          <w:rFonts w:ascii="Arial" w:hAnsi="Arial" w:cs="Arial"/>
          <w:bCs/>
          <w:sz w:val="8"/>
          <w:szCs w:val="24"/>
        </w:rPr>
      </w:pPr>
      <w:bookmarkStart w:id="0" w:name="OLE_LINK1"/>
      <w:bookmarkStart w:id="1" w:name="OLE_LINK2"/>
      <w:bookmarkStart w:id="2" w:name="OLE_LINK3"/>
    </w:p>
    <w:p w:rsidR="00995699" w:rsidRDefault="00995699">
      <w:pPr>
        <w:autoSpaceDE w:val="0"/>
        <w:autoSpaceDN w:val="0"/>
        <w:adjustRightInd w:val="0"/>
        <w:spacing w:after="0" w:line="360" w:lineRule="auto"/>
        <w:ind w:right="-330"/>
        <w:jc w:val="both"/>
        <w:rPr>
          <w:rFonts w:ascii="Arial" w:hAnsi="Arial" w:cs="Arial"/>
          <w:bCs/>
          <w:sz w:val="8"/>
          <w:szCs w:val="24"/>
        </w:rPr>
      </w:pPr>
    </w:p>
    <w:p w:rsidR="00995699" w:rsidRDefault="00EB149E">
      <w:pPr>
        <w:pStyle w:val="TOCHeading1"/>
      </w:pPr>
      <w:r>
        <w:t>Table of Contents</w:t>
      </w:r>
    </w:p>
    <w:p w:rsidR="00995699" w:rsidRDefault="00236FE4">
      <w:pPr>
        <w:pStyle w:val="TOC1"/>
        <w:rPr>
          <w:rFonts w:ascii="Calibri" w:hAnsi="Calibri"/>
          <w:b w:val="0"/>
        </w:rPr>
      </w:pPr>
      <w:r w:rsidRPr="00236FE4">
        <w:fldChar w:fldCharType="begin"/>
      </w:r>
      <w:r w:rsidR="00EB149E">
        <w:instrText xml:space="preserve"> TOC \o "1-3" \h \z \u </w:instrText>
      </w:r>
      <w:r w:rsidRPr="00236FE4">
        <w:fldChar w:fldCharType="separate"/>
      </w:r>
      <w:hyperlink w:anchor="_Toc490544984" w:history="1">
        <w:r w:rsidR="00EB149E">
          <w:rPr>
            <w:rStyle w:val="Hyperlink"/>
            <w:rFonts w:cs="Arial"/>
          </w:rPr>
          <w:t>1.</w:t>
        </w:r>
        <w:r w:rsidR="00EB149E">
          <w:rPr>
            <w:rFonts w:ascii="Calibri" w:hAnsi="Calibri"/>
            <w:b w:val="0"/>
          </w:rPr>
          <w:tab/>
        </w:r>
        <w:r w:rsidR="00EB149E">
          <w:rPr>
            <w:rStyle w:val="Hyperlink"/>
            <w:rFonts w:cs="Arial"/>
          </w:rPr>
          <w:t>Introduction</w:t>
        </w:r>
        <w:r w:rsidR="00EB149E">
          <w:tab/>
        </w:r>
        <w:r>
          <w:fldChar w:fldCharType="begin"/>
        </w:r>
        <w:r w:rsidR="00EB149E">
          <w:instrText xml:space="preserve"> PAGEREF _Toc490544984 \h </w:instrText>
        </w:r>
        <w:r>
          <w:fldChar w:fldCharType="separate"/>
        </w:r>
        <w:r w:rsidR="00EB149E">
          <w:t>2</w:t>
        </w:r>
        <w:r>
          <w:fldChar w:fldCharType="end"/>
        </w:r>
      </w:hyperlink>
    </w:p>
    <w:p w:rsidR="00995699" w:rsidRDefault="00236FE4">
      <w:pPr>
        <w:pStyle w:val="TOC1"/>
        <w:tabs>
          <w:tab w:val="left" w:pos="660"/>
        </w:tabs>
        <w:rPr>
          <w:rFonts w:ascii="Calibri" w:hAnsi="Calibri"/>
          <w:b w:val="0"/>
        </w:rPr>
      </w:pPr>
      <w:hyperlink w:anchor="_Toc490544985" w:history="1">
        <w:r w:rsidR="00EB149E">
          <w:rPr>
            <w:rStyle w:val="Hyperlink"/>
            <w:rFonts w:cs="Arial"/>
          </w:rPr>
          <w:t>1.1</w:t>
        </w:r>
        <w:r w:rsidR="00EB149E">
          <w:rPr>
            <w:rFonts w:ascii="Calibri" w:hAnsi="Calibri"/>
            <w:b w:val="0"/>
          </w:rPr>
          <w:tab/>
        </w:r>
        <w:r w:rsidR="00EB149E">
          <w:rPr>
            <w:rStyle w:val="Hyperlink"/>
            <w:rFonts w:cs="Arial"/>
          </w:rPr>
          <w:t>Overall Governance and Accountability Performance</w:t>
        </w:r>
        <w:r w:rsidR="00EB149E">
          <w:tab/>
        </w:r>
        <w:r>
          <w:fldChar w:fldCharType="begin"/>
        </w:r>
        <w:r w:rsidR="00EB149E">
          <w:instrText xml:space="preserve"> PAGEREF _Toc490544985 \h </w:instrText>
        </w:r>
        <w:r>
          <w:fldChar w:fldCharType="separate"/>
        </w:r>
        <w:r w:rsidR="00EB149E">
          <w:t>2</w:t>
        </w:r>
        <w:r>
          <w:fldChar w:fldCharType="end"/>
        </w:r>
      </w:hyperlink>
    </w:p>
    <w:p w:rsidR="00995699" w:rsidRDefault="00236FE4">
      <w:pPr>
        <w:pStyle w:val="TOC1"/>
        <w:tabs>
          <w:tab w:val="left" w:pos="880"/>
        </w:tabs>
        <w:rPr>
          <w:rFonts w:ascii="Calibri" w:hAnsi="Calibri"/>
          <w:b w:val="0"/>
        </w:rPr>
      </w:pPr>
      <w:hyperlink w:anchor="_Toc490544986" w:history="1">
        <w:r w:rsidR="00EB149E">
          <w:rPr>
            <w:rStyle w:val="Hyperlink"/>
            <w:rFonts w:cs="Arial"/>
          </w:rPr>
          <w:t>1.1.1</w:t>
        </w:r>
        <w:r w:rsidR="00EB149E">
          <w:rPr>
            <w:rFonts w:ascii="Calibri" w:hAnsi="Calibri"/>
            <w:b w:val="0"/>
          </w:rPr>
          <w:tab/>
        </w:r>
        <w:r w:rsidR="00EB149E">
          <w:rPr>
            <w:rStyle w:val="Hyperlink"/>
            <w:rFonts w:cs="Arial"/>
          </w:rPr>
          <w:t>2016 MPAT Scores and Improvement Plan</w:t>
        </w:r>
        <w:r w:rsidR="00EB149E">
          <w:tab/>
        </w:r>
        <w:r>
          <w:fldChar w:fldCharType="begin"/>
        </w:r>
        <w:r w:rsidR="00EB149E">
          <w:instrText xml:space="preserve"> PAGEREF _Toc490544986 \h </w:instrText>
        </w:r>
        <w:r>
          <w:fldChar w:fldCharType="separate"/>
        </w:r>
        <w:r w:rsidR="00EB149E">
          <w:t>2</w:t>
        </w:r>
        <w:r>
          <w:fldChar w:fldCharType="end"/>
        </w:r>
      </w:hyperlink>
    </w:p>
    <w:p w:rsidR="00995699" w:rsidRDefault="00236FE4">
      <w:pPr>
        <w:pStyle w:val="TOC1"/>
        <w:tabs>
          <w:tab w:val="left" w:pos="880"/>
        </w:tabs>
        <w:rPr>
          <w:rFonts w:ascii="Calibri" w:hAnsi="Calibri"/>
          <w:b w:val="0"/>
        </w:rPr>
      </w:pPr>
      <w:hyperlink w:anchor="_Toc490544987" w:history="1">
        <w:r w:rsidR="00EB149E">
          <w:rPr>
            <w:rStyle w:val="Hyperlink"/>
            <w:rFonts w:cs="Arial"/>
          </w:rPr>
          <w:t>1.1.2</w:t>
        </w:r>
        <w:r w:rsidR="00EB149E">
          <w:rPr>
            <w:rFonts w:ascii="Calibri" w:hAnsi="Calibri"/>
            <w:b w:val="0"/>
          </w:rPr>
          <w:tab/>
        </w:r>
        <w:r w:rsidR="00EB149E">
          <w:rPr>
            <w:rStyle w:val="Hyperlink"/>
            <w:rFonts w:cs="Arial"/>
          </w:rPr>
          <w:t>Status of Audit, Risk and other governance committees</w:t>
        </w:r>
        <w:r w:rsidR="00EB149E">
          <w:tab/>
        </w:r>
        <w:r>
          <w:fldChar w:fldCharType="begin"/>
        </w:r>
        <w:r w:rsidR="00EB149E">
          <w:instrText xml:space="preserve"> PAGEREF _Toc490544987 \h </w:instrText>
        </w:r>
        <w:r>
          <w:fldChar w:fldCharType="separate"/>
        </w:r>
        <w:r w:rsidR="00EB149E">
          <w:t>3</w:t>
        </w:r>
        <w:r>
          <w:fldChar w:fldCharType="end"/>
        </w:r>
      </w:hyperlink>
    </w:p>
    <w:p w:rsidR="00995699" w:rsidRDefault="00236FE4">
      <w:pPr>
        <w:pStyle w:val="TOC1"/>
        <w:tabs>
          <w:tab w:val="left" w:pos="880"/>
        </w:tabs>
        <w:rPr>
          <w:rFonts w:ascii="Calibri" w:hAnsi="Calibri"/>
          <w:b w:val="0"/>
        </w:rPr>
      </w:pPr>
      <w:hyperlink w:anchor="_Toc490544988" w:history="1">
        <w:r w:rsidR="00EB149E">
          <w:rPr>
            <w:rStyle w:val="Hyperlink"/>
            <w:rFonts w:cs="Arial"/>
          </w:rPr>
          <w:t>1.1.3</w:t>
        </w:r>
        <w:r w:rsidR="00EB149E">
          <w:rPr>
            <w:rFonts w:ascii="Calibri" w:hAnsi="Calibri"/>
            <w:b w:val="0"/>
          </w:rPr>
          <w:tab/>
        </w:r>
        <w:r w:rsidR="00EB149E">
          <w:rPr>
            <w:rStyle w:val="Hyperlink"/>
            <w:rFonts w:cs="Arial"/>
          </w:rPr>
          <w:t>Human Resources Management Performance</w:t>
        </w:r>
        <w:r w:rsidR="00EB149E">
          <w:tab/>
        </w:r>
        <w:r>
          <w:fldChar w:fldCharType="begin"/>
        </w:r>
        <w:r w:rsidR="00EB149E">
          <w:instrText xml:space="preserve"> PAGEREF _Toc490544988 \h </w:instrText>
        </w:r>
        <w:r>
          <w:fldChar w:fldCharType="separate"/>
        </w:r>
        <w:r w:rsidR="00EB149E">
          <w:t>3</w:t>
        </w:r>
        <w:r>
          <w:fldChar w:fldCharType="end"/>
        </w:r>
      </w:hyperlink>
    </w:p>
    <w:p w:rsidR="00995699" w:rsidRDefault="00236FE4">
      <w:pPr>
        <w:pStyle w:val="TOC1"/>
        <w:tabs>
          <w:tab w:val="left" w:pos="880"/>
        </w:tabs>
        <w:rPr>
          <w:rFonts w:ascii="Calibri" w:hAnsi="Calibri"/>
          <w:b w:val="0"/>
        </w:rPr>
      </w:pPr>
      <w:hyperlink w:anchor="_Toc490544989" w:history="1">
        <w:r w:rsidR="00EB149E">
          <w:rPr>
            <w:rStyle w:val="Hyperlink"/>
            <w:rFonts w:cs="Arial"/>
          </w:rPr>
          <w:t>1.1.4</w:t>
        </w:r>
        <w:r w:rsidR="00EB149E">
          <w:rPr>
            <w:rFonts w:ascii="Calibri" w:hAnsi="Calibri"/>
            <w:b w:val="0"/>
          </w:rPr>
          <w:tab/>
        </w:r>
        <w:r w:rsidR="00EB149E">
          <w:rPr>
            <w:rStyle w:val="Hyperlink"/>
            <w:rFonts w:cs="Arial"/>
          </w:rPr>
          <w:t>Payment of Suppliers</w:t>
        </w:r>
        <w:r w:rsidR="00EB149E">
          <w:tab/>
        </w:r>
        <w:r>
          <w:fldChar w:fldCharType="begin"/>
        </w:r>
        <w:r w:rsidR="00EB149E">
          <w:instrText xml:space="preserve"> PAGEREF _Toc490544989 \h </w:instrText>
        </w:r>
        <w:r>
          <w:fldChar w:fldCharType="separate"/>
        </w:r>
        <w:r w:rsidR="00EB149E">
          <w:t>3</w:t>
        </w:r>
        <w:r>
          <w:fldChar w:fldCharType="end"/>
        </w:r>
      </w:hyperlink>
    </w:p>
    <w:p w:rsidR="00995699" w:rsidRDefault="00236FE4">
      <w:pPr>
        <w:pStyle w:val="TOC1"/>
        <w:tabs>
          <w:tab w:val="left" w:pos="880"/>
        </w:tabs>
        <w:rPr>
          <w:rFonts w:ascii="Calibri" w:hAnsi="Calibri"/>
          <w:b w:val="0"/>
        </w:rPr>
      </w:pPr>
      <w:hyperlink w:anchor="_Toc490544990" w:history="1">
        <w:r w:rsidR="00EB149E">
          <w:rPr>
            <w:rStyle w:val="Hyperlink"/>
            <w:rFonts w:cs="Arial"/>
          </w:rPr>
          <w:t>1.1.5</w:t>
        </w:r>
        <w:r w:rsidR="00EB149E">
          <w:rPr>
            <w:rFonts w:ascii="Calibri" w:hAnsi="Calibri"/>
            <w:b w:val="0"/>
          </w:rPr>
          <w:tab/>
        </w:r>
        <w:r w:rsidR="00EB149E">
          <w:rPr>
            <w:rStyle w:val="Hyperlink"/>
            <w:rFonts w:cs="Arial"/>
          </w:rPr>
          <w:t>Filling of Critical Vacancies</w:t>
        </w:r>
        <w:r w:rsidR="00EB149E">
          <w:tab/>
        </w:r>
        <w:r>
          <w:fldChar w:fldCharType="begin"/>
        </w:r>
        <w:r w:rsidR="00EB149E">
          <w:instrText xml:space="preserve"> PAGEREF _Toc490544990 \h </w:instrText>
        </w:r>
        <w:r>
          <w:fldChar w:fldCharType="separate"/>
        </w:r>
        <w:r w:rsidR="00EB149E">
          <w:t>4</w:t>
        </w:r>
        <w:r>
          <w:fldChar w:fldCharType="end"/>
        </w:r>
      </w:hyperlink>
    </w:p>
    <w:p w:rsidR="00995699" w:rsidRDefault="00236FE4">
      <w:pPr>
        <w:pStyle w:val="TOC1"/>
        <w:tabs>
          <w:tab w:val="left" w:pos="880"/>
        </w:tabs>
        <w:rPr>
          <w:rFonts w:ascii="Calibri" w:hAnsi="Calibri"/>
          <w:b w:val="0"/>
        </w:rPr>
      </w:pPr>
      <w:hyperlink w:anchor="_Toc490544991" w:history="1">
        <w:r w:rsidR="00EB149E">
          <w:rPr>
            <w:rStyle w:val="Hyperlink"/>
            <w:rFonts w:cs="Arial"/>
          </w:rPr>
          <w:t>1.1.6</w:t>
        </w:r>
        <w:r w:rsidR="00EB149E">
          <w:rPr>
            <w:rFonts w:ascii="Calibri" w:hAnsi="Calibri"/>
            <w:b w:val="0"/>
          </w:rPr>
          <w:tab/>
        </w:r>
        <w:r w:rsidR="00EB149E">
          <w:rPr>
            <w:rStyle w:val="Hyperlink"/>
            <w:rFonts w:cs="Arial"/>
          </w:rPr>
          <w:t>Organogram approval status</w:t>
        </w:r>
        <w:r w:rsidR="00EB149E">
          <w:tab/>
        </w:r>
        <w:r>
          <w:fldChar w:fldCharType="begin"/>
        </w:r>
        <w:r w:rsidR="00EB149E">
          <w:instrText xml:space="preserve"> PAGEREF _Toc490544991 \h </w:instrText>
        </w:r>
        <w:r>
          <w:fldChar w:fldCharType="separate"/>
        </w:r>
        <w:r w:rsidR="00EB149E">
          <w:t>4</w:t>
        </w:r>
        <w:r>
          <w:fldChar w:fldCharType="end"/>
        </w:r>
      </w:hyperlink>
    </w:p>
    <w:p w:rsidR="00995699" w:rsidRDefault="00236FE4">
      <w:pPr>
        <w:pStyle w:val="TOC1"/>
        <w:tabs>
          <w:tab w:val="left" w:pos="880"/>
        </w:tabs>
        <w:rPr>
          <w:rFonts w:ascii="Calibri" w:hAnsi="Calibri"/>
          <w:b w:val="0"/>
        </w:rPr>
      </w:pPr>
      <w:hyperlink w:anchor="_Toc490544992" w:history="1">
        <w:r w:rsidR="00EB149E">
          <w:rPr>
            <w:rStyle w:val="Hyperlink"/>
            <w:rFonts w:cs="Arial"/>
          </w:rPr>
          <w:t>1.1.7</w:t>
        </w:r>
        <w:r w:rsidR="00EB149E">
          <w:rPr>
            <w:rFonts w:ascii="Calibri" w:hAnsi="Calibri"/>
            <w:b w:val="0"/>
          </w:rPr>
          <w:tab/>
        </w:r>
        <w:r w:rsidR="00EB149E">
          <w:rPr>
            <w:rStyle w:val="Hyperlink"/>
            <w:rFonts w:cs="Arial"/>
          </w:rPr>
          <w:t>Report on the M&amp;E functioning and governance requirements</w:t>
        </w:r>
        <w:r w:rsidR="00EB149E">
          <w:tab/>
        </w:r>
        <w:r>
          <w:fldChar w:fldCharType="begin"/>
        </w:r>
        <w:r w:rsidR="00EB149E">
          <w:instrText xml:space="preserve"> PAGEREF _Toc490544992 \h </w:instrText>
        </w:r>
        <w:r>
          <w:fldChar w:fldCharType="separate"/>
        </w:r>
        <w:r w:rsidR="00EB149E">
          <w:t>5</w:t>
        </w:r>
        <w:r>
          <w:fldChar w:fldCharType="end"/>
        </w:r>
      </w:hyperlink>
    </w:p>
    <w:p w:rsidR="00995699" w:rsidRDefault="00236FE4">
      <w:pPr>
        <w:pStyle w:val="TOC1"/>
        <w:tabs>
          <w:tab w:val="left" w:pos="660"/>
        </w:tabs>
        <w:rPr>
          <w:rFonts w:ascii="Calibri" w:hAnsi="Calibri"/>
          <w:b w:val="0"/>
        </w:rPr>
      </w:pPr>
      <w:hyperlink w:anchor="_Toc490544993" w:history="1">
        <w:r w:rsidR="00EB149E">
          <w:rPr>
            <w:rStyle w:val="Hyperlink"/>
            <w:rFonts w:cs="Arial"/>
          </w:rPr>
          <w:t>1.2</w:t>
        </w:r>
        <w:r w:rsidR="00EB149E">
          <w:rPr>
            <w:rFonts w:ascii="Calibri" w:hAnsi="Calibri"/>
            <w:b w:val="0"/>
          </w:rPr>
          <w:tab/>
        </w:r>
        <w:r w:rsidR="00EB149E">
          <w:rPr>
            <w:rStyle w:val="Hyperlink"/>
            <w:rFonts w:cs="Arial"/>
          </w:rPr>
          <w:t>Overall Status of the SCM functionality</w:t>
        </w:r>
        <w:r w:rsidR="00EB149E">
          <w:tab/>
        </w:r>
        <w:r>
          <w:fldChar w:fldCharType="begin"/>
        </w:r>
        <w:r w:rsidR="00EB149E">
          <w:instrText xml:space="preserve"> PAGEREF _Toc490544993 \h </w:instrText>
        </w:r>
        <w:r>
          <w:fldChar w:fldCharType="separate"/>
        </w:r>
        <w:r w:rsidR="00EB149E">
          <w:t>5</w:t>
        </w:r>
        <w:r>
          <w:fldChar w:fldCharType="end"/>
        </w:r>
      </w:hyperlink>
    </w:p>
    <w:p w:rsidR="00995699" w:rsidRDefault="00236FE4">
      <w:pPr>
        <w:pStyle w:val="TOC1"/>
        <w:tabs>
          <w:tab w:val="left" w:pos="660"/>
        </w:tabs>
        <w:rPr>
          <w:rFonts w:ascii="Calibri" w:hAnsi="Calibri"/>
          <w:b w:val="0"/>
        </w:rPr>
      </w:pPr>
      <w:hyperlink w:anchor="_Toc490544994" w:history="1">
        <w:r w:rsidR="00EB149E">
          <w:rPr>
            <w:rStyle w:val="Hyperlink"/>
            <w:rFonts w:cs="Arial"/>
          </w:rPr>
          <w:t>1.3</w:t>
        </w:r>
        <w:r w:rsidR="00EB149E">
          <w:rPr>
            <w:rFonts w:ascii="Calibri" w:hAnsi="Calibri"/>
            <w:b w:val="0"/>
          </w:rPr>
          <w:tab/>
        </w:r>
        <w:r w:rsidR="00EB149E">
          <w:rPr>
            <w:rStyle w:val="Hyperlink"/>
            <w:rFonts w:cs="Arial"/>
          </w:rPr>
          <w:t>Brief discussion on each entity within DCoG</w:t>
        </w:r>
        <w:r w:rsidR="00EB149E">
          <w:tab/>
        </w:r>
        <w:r>
          <w:fldChar w:fldCharType="begin"/>
        </w:r>
        <w:r w:rsidR="00EB149E">
          <w:instrText xml:space="preserve"> PAGEREF _Toc490544994 \h </w:instrText>
        </w:r>
        <w:r>
          <w:fldChar w:fldCharType="separate"/>
        </w:r>
        <w:r w:rsidR="00EB149E">
          <w:t>5</w:t>
        </w:r>
        <w:r>
          <w:fldChar w:fldCharType="end"/>
        </w:r>
      </w:hyperlink>
    </w:p>
    <w:p w:rsidR="00995699" w:rsidRDefault="00236FE4">
      <w:pPr>
        <w:pStyle w:val="TOC1"/>
        <w:tabs>
          <w:tab w:val="left" w:pos="880"/>
        </w:tabs>
        <w:rPr>
          <w:rFonts w:ascii="Calibri" w:hAnsi="Calibri"/>
          <w:b w:val="0"/>
        </w:rPr>
      </w:pPr>
      <w:hyperlink w:anchor="_Toc490544995" w:history="1">
        <w:r w:rsidR="00EB149E">
          <w:rPr>
            <w:rStyle w:val="Hyperlink"/>
            <w:rFonts w:cs="Arial"/>
          </w:rPr>
          <w:t>1.3.1</w:t>
        </w:r>
        <w:r w:rsidR="00EB149E">
          <w:rPr>
            <w:rFonts w:ascii="Calibri" w:hAnsi="Calibri"/>
            <w:b w:val="0"/>
          </w:rPr>
          <w:tab/>
        </w:r>
        <w:r w:rsidR="00EB149E">
          <w:rPr>
            <w:rStyle w:val="Hyperlink"/>
            <w:rFonts w:cs="Arial"/>
          </w:rPr>
          <w:t>South African Local Government Association (SALGA)</w:t>
        </w:r>
        <w:r w:rsidR="00EB149E">
          <w:tab/>
        </w:r>
        <w:r>
          <w:fldChar w:fldCharType="begin"/>
        </w:r>
        <w:r w:rsidR="00EB149E">
          <w:instrText xml:space="preserve"> PAGEREF _Toc490544995 \h </w:instrText>
        </w:r>
        <w:r>
          <w:fldChar w:fldCharType="separate"/>
        </w:r>
        <w:r w:rsidR="00EB149E">
          <w:t>5</w:t>
        </w:r>
        <w:r>
          <w:fldChar w:fldCharType="end"/>
        </w:r>
      </w:hyperlink>
    </w:p>
    <w:p w:rsidR="00995699" w:rsidRDefault="00236FE4">
      <w:pPr>
        <w:pStyle w:val="TOC1"/>
        <w:tabs>
          <w:tab w:val="left" w:pos="880"/>
        </w:tabs>
        <w:rPr>
          <w:rFonts w:ascii="Calibri" w:hAnsi="Calibri"/>
          <w:b w:val="0"/>
        </w:rPr>
      </w:pPr>
      <w:hyperlink w:anchor="_Toc490544996" w:history="1">
        <w:r w:rsidR="00EB149E">
          <w:rPr>
            <w:rStyle w:val="Hyperlink"/>
            <w:rFonts w:cs="Arial"/>
          </w:rPr>
          <w:t>1.3.2</w:t>
        </w:r>
        <w:r w:rsidR="00EB149E">
          <w:rPr>
            <w:rFonts w:ascii="Calibri" w:hAnsi="Calibri"/>
            <w:b w:val="0"/>
          </w:rPr>
          <w:tab/>
        </w:r>
        <w:r w:rsidR="00EB149E">
          <w:rPr>
            <w:rStyle w:val="Hyperlink"/>
            <w:rFonts w:cs="Arial"/>
          </w:rPr>
          <w:t>Municipal Demarcation Board (MDB)</w:t>
        </w:r>
        <w:r w:rsidR="00EB149E">
          <w:tab/>
        </w:r>
        <w:r>
          <w:fldChar w:fldCharType="begin"/>
        </w:r>
        <w:r w:rsidR="00EB149E">
          <w:instrText xml:space="preserve"> PAGEREF _Toc490544996 \h </w:instrText>
        </w:r>
        <w:r>
          <w:fldChar w:fldCharType="separate"/>
        </w:r>
        <w:r w:rsidR="00EB149E">
          <w:t>7</w:t>
        </w:r>
        <w:r>
          <w:fldChar w:fldCharType="end"/>
        </w:r>
      </w:hyperlink>
    </w:p>
    <w:p w:rsidR="00995699" w:rsidRDefault="00236FE4">
      <w:pPr>
        <w:pStyle w:val="TOC1"/>
        <w:tabs>
          <w:tab w:val="left" w:pos="660"/>
        </w:tabs>
        <w:rPr>
          <w:rFonts w:ascii="Calibri" w:hAnsi="Calibri"/>
          <w:b w:val="0"/>
        </w:rPr>
      </w:pPr>
      <w:hyperlink w:anchor="_Toc490544997" w:history="1">
        <w:r w:rsidR="00EB149E">
          <w:rPr>
            <w:rStyle w:val="Hyperlink"/>
            <w:rFonts w:cs="Arial"/>
          </w:rPr>
          <w:t>1.4</w:t>
        </w:r>
        <w:r w:rsidR="00EB149E">
          <w:rPr>
            <w:rFonts w:ascii="Calibri" w:hAnsi="Calibri"/>
            <w:b w:val="0"/>
          </w:rPr>
          <w:tab/>
        </w:r>
        <w:r w:rsidR="00EB149E">
          <w:rPr>
            <w:rStyle w:val="Hyperlink"/>
            <w:rFonts w:cs="Arial"/>
          </w:rPr>
          <w:t>Performance of conditional Grants and Key Reforms</w:t>
        </w:r>
        <w:r w:rsidR="00EB149E">
          <w:tab/>
        </w:r>
        <w:r>
          <w:fldChar w:fldCharType="begin"/>
        </w:r>
        <w:r w:rsidR="00EB149E">
          <w:instrText xml:space="preserve"> PAGEREF _Toc490544997 \h </w:instrText>
        </w:r>
        <w:r>
          <w:fldChar w:fldCharType="separate"/>
        </w:r>
        <w:r w:rsidR="00EB149E">
          <w:t>8</w:t>
        </w:r>
        <w:r>
          <w:fldChar w:fldCharType="end"/>
        </w:r>
      </w:hyperlink>
    </w:p>
    <w:p w:rsidR="00995699" w:rsidRDefault="00236FE4">
      <w:pPr>
        <w:pStyle w:val="TOC1"/>
        <w:tabs>
          <w:tab w:val="left" w:pos="880"/>
        </w:tabs>
        <w:rPr>
          <w:rFonts w:ascii="Calibri" w:hAnsi="Calibri"/>
          <w:b w:val="0"/>
        </w:rPr>
      </w:pPr>
      <w:hyperlink w:anchor="_Toc490544998" w:history="1">
        <w:r w:rsidR="00EB149E">
          <w:rPr>
            <w:rStyle w:val="Hyperlink"/>
            <w:rFonts w:cs="Arial"/>
          </w:rPr>
          <w:t>1.4.1</w:t>
        </w:r>
        <w:r w:rsidR="00EB149E">
          <w:rPr>
            <w:rFonts w:ascii="Calibri" w:hAnsi="Calibri"/>
            <w:b w:val="0"/>
          </w:rPr>
          <w:tab/>
        </w:r>
        <w:r w:rsidR="00EB149E">
          <w:rPr>
            <w:rStyle w:val="Hyperlink"/>
            <w:rFonts w:cs="Arial"/>
          </w:rPr>
          <w:t>Expenditure Performance for MIG 2016/17</w:t>
        </w:r>
        <w:r w:rsidR="00EB149E">
          <w:tab/>
        </w:r>
        <w:r>
          <w:fldChar w:fldCharType="begin"/>
        </w:r>
        <w:r w:rsidR="00EB149E">
          <w:instrText xml:space="preserve"> PAGEREF _Toc490544998 \h </w:instrText>
        </w:r>
        <w:r>
          <w:fldChar w:fldCharType="separate"/>
        </w:r>
        <w:r w:rsidR="00EB149E">
          <w:t>8</w:t>
        </w:r>
        <w:r>
          <w:fldChar w:fldCharType="end"/>
        </w:r>
      </w:hyperlink>
    </w:p>
    <w:p w:rsidR="00995699" w:rsidRDefault="00236FE4">
      <w:pPr>
        <w:pStyle w:val="TOC1"/>
        <w:tabs>
          <w:tab w:val="left" w:pos="660"/>
        </w:tabs>
        <w:rPr>
          <w:rFonts w:ascii="Calibri" w:hAnsi="Calibri"/>
          <w:b w:val="0"/>
        </w:rPr>
      </w:pPr>
      <w:hyperlink w:anchor="_Toc490544999" w:history="1">
        <w:r w:rsidR="00EB149E">
          <w:rPr>
            <w:rStyle w:val="Hyperlink"/>
            <w:rFonts w:cs="Arial"/>
          </w:rPr>
          <w:t>1.5</w:t>
        </w:r>
        <w:r w:rsidR="00EB149E">
          <w:rPr>
            <w:rFonts w:ascii="Calibri" w:hAnsi="Calibri"/>
            <w:b w:val="0"/>
          </w:rPr>
          <w:tab/>
        </w:r>
        <w:r w:rsidR="00EB149E">
          <w:rPr>
            <w:rStyle w:val="Hyperlink"/>
            <w:rFonts w:cs="Arial"/>
          </w:rPr>
          <w:t>Performance overview of the Community Work Programme</w:t>
        </w:r>
        <w:r w:rsidR="00EB149E">
          <w:tab/>
        </w:r>
        <w:r>
          <w:fldChar w:fldCharType="begin"/>
        </w:r>
        <w:r w:rsidR="00EB149E">
          <w:instrText xml:space="preserve"> PAGEREF _Toc490544999 \h </w:instrText>
        </w:r>
        <w:r>
          <w:fldChar w:fldCharType="separate"/>
        </w:r>
        <w:r w:rsidR="00EB149E">
          <w:t>10</w:t>
        </w:r>
        <w:r>
          <w:fldChar w:fldCharType="end"/>
        </w:r>
      </w:hyperlink>
    </w:p>
    <w:p w:rsidR="00995699" w:rsidRDefault="00236FE4">
      <w:pPr>
        <w:pStyle w:val="TOC1"/>
        <w:tabs>
          <w:tab w:val="left" w:pos="660"/>
        </w:tabs>
        <w:rPr>
          <w:rFonts w:ascii="Calibri" w:hAnsi="Calibri"/>
          <w:b w:val="0"/>
        </w:rPr>
      </w:pPr>
      <w:hyperlink w:anchor="_Toc490545000" w:history="1">
        <w:r w:rsidR="00EB149E">
          <w:rPr>
            <w:rStyle w:val="Hyperlink"/>
            <w:rFonts w:cs="Arial"/>
          </w:rPr>
          <w:t>1.6</w:t>
        </w:r>
        <w:r w:rsidR="00EB149E">
          <w:rPr>
            <w:rFonts w:ascii="Calibri" w:hAnsi="Calibri"/>
            <w:b w:val="0"/>
          </w:rPr>
          <w:tab/>
        </w:r>
        <w:r w:rsidR="00EB149E">
          <w:rPr>
            <w:rStyle w:val="Hyperlink"/>
            <w:rFonts w:cs="Arial"/>
          </w:rPr>
          <w:t>Unaudited Expenditure as at 31 March 2017</w:t>
        </w:r>
        <w:r w:rsidR="00EB149E">
          <w:tab/>
        </w:r>
        <w:r>
          <w:fldChar w:fldCharType="begin"/>
        </w:r>
        <w:r w:rsidR="00EB149E">
          <w:instrText xml:space="preserve"> PAGEREF _Toc490545000 \h </w:instrText>
        </w:r>
        <w:r>
          <w:fldChar w:fldCharType="separate"/>
        </w:r>
        <w:r w:rsidR="00EB149E">
          <w:t>12</w:t>
        </w:r>
        <w:r>
          <w:fldChar w:fldCharType="end"/>
        </w:r>
      </w:hyperlink>
    </w:p>
    <w:p w:rsidR="00995699" w:rsidRDefault="00236FE4">
      <w:pPr>
        <w:pStyle w:val="TOC1"/>
        <w:tabs>
          <w:tab w:val="left" w:pos="660"/>
        </w:tabs>
        <w:rPr>
          <w:rFonts w:ascii="Calibri" w:hAnsi="Calibri"/>
          <w:b w:val="0"/>
        </w:rPr>
      </w:pPr>
      <w:hyperlink w:anchor="_Toc490545001" w:history="1">
        <w:r w:rsidR="00EB149E">
          <w:rPr>
            <w:rStyle w:val="Hyperlink"/>
            <w:rFonts w:cs="Arial"/>
          </w:rPr>
          <w:t>1.7</w:t>
        </w:r>
        <w:r w:rsidR="00EB149E">
          <w:rPr>
            <w:rFonts w:ascii="Calibri" w:hAnsi="Calibri"/>
            <w:b w:val="0"/>
          </w:rPr>
          <w:tab/>
        </w:r>
        <w:r w:rsidR="00EB149E">
          <w:rPr>
            <w:rStyle w:val="Hyperlink"/>
            <w:rFonts w:cs="Arial"/>
          </w:rPr>
          <w:t>Cost containment measures within the department</w:t>
        </w:r>
        <w:r w:rsidR="00EB149E">
          <w:tab/>
        </w:r>
        <w:r>
          <w:fldChar w:fldCharType="begin"/>
        </w:r>
        <w:r w:rsidR="00EB149E">
          <w:instrText xml:space="preserve"> PAGEREF _Toc490545001 \h </w:instrText>
        </w:r>
        <w:r>
          <w:fldChar w:fldCharType="separate"/>
        </w:r>
        <w:r w:rsidR="00EB149E">
          <w:t>12</w:t>
        </w:r>
        <w:r>
          <w:fldChar w:fldCharType="end"/>
        </w:r>
      </w:hyperlink>
    </w:p>
    <w:p w:rsidR="00995699" w:rsidRDefault="00236FE4">
      <w:pPr>
        <w:pStyle w:val="TOC1"/>
        <w:rPr>
          <w:rFonts w:ascii="Calibri" w:hAnsi="Calibri"/>
          <w:b w:val="0"/>
        </w:rPr>
      </w:pPr>
      <w:hyperlink w:anchor="_Toc490545002" w:history="1">
        <w:r w:rsidR="00EB149E">
          <w:rPr>
            <w:rStyle w:val="Hyperlink"/>
            <w:rFonts w:cs="Arial"/>
          </w:rPr>
          <w:t>2.</w:t>
        </w:r>
        <w:r w:rsidR="00EB149E">
          <w:rPr>
            <w:rFonts w:ascii="Calibri" w:hAnsi="Calibri"/>
            <w:b w:val="0"/>
          </w:rPr>
          <w:tab/>
        </w:r>
        <w:r w:rsidR="00EB149E">
          <w:rPr>
            <w:rStyle w:val="Hyperlink"/>
            <w:rFonts w:cs="Arial"/>
          </w:rPr>
          <w:t>Recommendations</w:t>
        </w:r>
        <w:r w:rsidR="00EB149E">
          <w:tab/>
        </w:r>
        <w:r>
          <w:fldChar w:fldCharType="begin"/>
        </w:r>
        <w:r w:rsidR="00EB149E">
          <w:instrText xml:space="preserve"> PAGEREF _Toc490545002 \h </w:instrText>
        </w:r>
        <w:r>
          <w:fldChar w:fldCharType="separate"/>
        </w:r>
        <w:r w:rsidR="00EB149E">
          <w:t>13</w:t>
        </w:r>
        <w:r>
          <w:fldChar w:fldCharType="end"/>
        </w:r>
      </w:hyperlink>
    </w:p>
    <w:p w:rsidR="00995699" w:rsidRDefault="00236FE4">
      <w:r>
        <w:rPr>
          <w:b/>
          <w:bCs/>
        </w:rPr>
        <w:fldChar w:fldCharType="end"/>
      </w:r>
      <w:bookmarkEnd w:id="0"/>
      <w:bookmarkEnd w:id="1"/>
      <w:bookmarkEnd w:id="2"/>
    </w:p>
    <w:p w:rsidR="00995699" w:rsidRDefault="00995699">
      <w:pPr>
        <w:pStyle w:val="Heading1"/>
        <w:ind w:left="360"/>
        <w:rPr>
          <w:rFonts w:ascii="Arial" w:eastAsia="Calibri" w:hAnsi="Arial" w:cs="Arial"/>
        </w:rPr>
      </w:pPr>
    </w:p>
    <w:p w:rsidR="00995699" w:rsidRDefault="00EB149E">
      <w:pPr>
        <w:pStyle w:val="Heading1"/>
        <w:numPr>
          <w:ilvl w:val="0"/>
          <w:numId w:val="11"/>
        </w:numPr>
        <w:spacing w:before="240" w:after="120"/>
        <w:ind w:left="357" w:hanging="357"/>
        <w:rPr>
          <w:rFonts w:ascii="Arial" w:eastAsia="Calibri" w:hAnsi="Arial" w:cs="Arial"/>
        </w:rPr>
      </w:pPr>
      <w:bookmarkStart w:id="3" w:name="_Toc490544984"/>
      <w:r>
        <w:rPr>
          <w:rFonts w:ascii="Arial" w:eastAsia="Calibri" w:hAnsi="Arial" w:cs="Arial"/>
        </w:rPr>
        <w:t>Introduction</w:t>
      </w:r>
      <w:bookmarkEnd w:id="3"/>
    </w:p>
    <w:p w:rsidR="00995699" w:rsidRDefault="00EB149E">
      <w:pPr>
        <w:tabs>
          <w:tab w:val="left" w:pos="567"/>
        </w:tabs>
        <w:jc w:val="both"/>
        <w:rPr>
          <w:rFonts w:ascii="Arial" w:hAnsi="Arial" w:cs="Arial"/>
        </w:rPr>
      </w:pPr>
      <w:r>
        <w:rPr>
          <w:rFonts w:ascii="Arial" w:hAnsi="Arial" w:cs="Arial"/>
        </w:rPr>
        <w:t>The Standing Committee on Appropriation invited the department to present the 4</w:t>
      </w:r>
      <w:r>
        <w:rPr>
          <w:rFonts w:ascii="Arial" w:hAnsi="Arial" w:cs="Arial"/>
          <w:vertAlign w:val="superscript"/>
        </w:rPr>
        <w:t>th</w:t>
      </w:r>
      <w:r>
        <w:rPr>
          <w:rFonts w:ascii="Arial" w:hAnsi="Arial" w:cs="Arial"/>
        </w:rPr>
        <w:t xml:space="preserve"> quarter expenditure report together with supporting information. The information provided below was discussed by top management of the Department of Cooperative Governance. </w:t>
      </w:r>
    </w:p>
    <w:p w:rsidR="00995699" w:rsidRDefault="00EB149E">
      <w:pPr>
        <w:pStyle w:val="Heading1"/>
        <w:numPr>
          <w:ilvl w:val="1"/>
          <w:numId w:val="11"/>
        </w:numPr>
        <w:rPr>
          <w:rFonts w:ascii="Arial" w:eastAsia="Calibri" w:hAnsi="Arial" w:cs="Arial"/>
        </w:rPr>
      </w:pPr>
      <w:bookmarkStart w:id="4" w:name="_Toc490544985"/>
      <w:r>
        <w:rPr>
          <w:rFonts w:ascii="Arial" w:eastAsia="Calibri" w:hAnsi="Arial" w:cs="Arial"/>
        </w:rPr>
        <w:t>Overall Governance and Accountability Performance</w:t>
      </w:r>
      <w:bookmarkEnd w:id="4"/>
      <w:r>
        <w:rPr>
          <w:rFonts w:ascii="Arial" w:eastAsia="Calibri" w:hAnsi="Arial" w:cs="Arial"/>
        </w:rPr>
        <w:t xml:space="preserve">  </w:t>
      </w:r>
    </w:p>
    <w:p w:rsidR="00995699" w:rsidRDefault="00EB149E">
      <w:pPr>
        <w:pStyle w:val="Heading1"/>
        <w:numPr>
          <w:ilvl w:val="2"/>
          <w:numId w:val="11"/>
        </w:numPr>
        <w:rPr>
          <w:rFonts w:ascii="Arial" w:eastAsia="Calibri" w:hAnsi="Arial" w:cs="Arial"/>
        </w:rPr>
      </w:pPr>
      <w:bookmarkStart w:id="5" w:name="_Toc490544986"/>
      <w:r>
        <w:rPr>
          <w:rFonts w:ascii="Arial" w:eastAsia="Calibri" w:hAnsi="Arial" w:cs="Arial"/>
        </w:rPr>
        <w:t>2016 MPAT Scores and Improvement Plan</w:t>
      </w:r>
      <w:bookmarkEnd w:id="5"/>
      <w:r>
        <w:rPr>
          <w:rFonts w:ascii="Arial" w:eastAsia="Calibri" w:hAnsi="Arial" w:cs="Arial"/>
        </w:rPr>
        <w:t xml:space="preserve"> </w:t>
      </w:r>
    </w:p>
    <w:p w:rsidR="00995699" w:rsidRDefault="00995699">
      <w:pPr>
        <w:tabs>
          <w:tab w:val="left" w:pos="567"/>
        </w:tabs>
        <w:spacing w:line="360" w:lineRule="auto"/>
        <w:jc w:val="both"/>
        <w:rPr>
          <w:rFonts w:ascii="Arial" w:hAnsi="Arial" w:cs="Arial"/>
          <w:sz w:val="6"/>
        </w:rPr>
      </w:pPr>
    </w:p>
    <w:p w:rsidR="00995699" w:rsidRDefault="00EB149E">
      <w:pPr>
        <w:tabs>
          <w:tab w:val="left" w:pos="567"/>
        </w:tabs>
        <w:jc w:val="both"/>
        <w:rPr>
          <w:rFonts w:ascii="Arial" w:hAnsi="Arial" w:cs="Arial"/>
        </w:rPr>
      </w:pPr>
      <w:r>
        <w:rPr>
          <w:rFonts w:ascii="Arial" w:hAnsi="Arial" w:cs="Arial"/>
        </w:rPr>
        <w:t xml:space="preserve">The overall Management of Performance Assessment Tool (MPAT) rating of the Department increased slightly from the 2, 7 in 2015 to 2, and 8 in 2016 </w:t>
      </w:r>
    </w:p>
    <w:p w:rsidR="00995699" w:rsidRDefault="00EB149E">
      <w:pPr>
        <w:tabs>
          <w:tab w:val="left" w:pos="567"/>
        </w:tabs>
        <w:jc w:val="both"/>
        <w:rPr>
          <w:rFonts w:ascii="Arial" w:hAnsi="Arial" w:cs="Arial"/>
          <w:b/>
        </w:rPr>
      </w:pPr>
      <w:r>
        <w:rPr>
          <w:rFonts w:ascii="Arial" w:hAnsi="Arial" w:cs="Arial"/>
          <w:b/>
        </w:rPr>
        <w:t xml:space="preserve">Table 1: Comparative MPAT status for 2015 and 2016 </w:t>
      </w:r>
    </w:p>
    <w:p w:rsidR="00995699" w:rsidRDefault="00995699">
      <w:pPr>
        <w:pStyle w:val="ListParagraph1"/>
        <w:tabs>
          <w:tab w:val="left" w:pos="567"/>
        </w:tabs>
        <w:spacing w:line="360" w:lineRule="auto"/>
        <w:ind w:left="360"/>
        <w:jc w:val="both"/>
        <w:rPr>
          <w:rFonts w:ascii="Arial" w:hAnsi="Arial" w:cs="Arial"/>
          <w:b/>
          <w:sz w:val="4"/>
        </w:rPr>
      </w:pP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3822"/>
        <w:gridCol w:w="1358"/>
        <w:gridCol w:w="1421"/>
        <w:gridCol w:w="1532"/>
      </w:tblGrid>
      <w:tr w:rsidR="00995699">
        <w:trPr>
          <w:trHeight w:val="762"/>
        </w:trPr>
        <w:tc>
          <w:tcPr>
            <w:tcW w:w="1271" w:type="dxa"/>
          </w:tcPr>
          <w:p w:rsidR="00995699" w:rsidRDefault="00EB149E">
            <w:pPr>
              <w:pStyle w:val="ListParagraph1"/>
              <w:tabs>
                <w:tab w:val="left" w:pos="567"/>
              </w:tabs>
              <w:spacing w:after="0" w:line="360" w:lineRule="auto"/>
              <w:ind w:left="360"/>
              <w:rPr>
                <w:rFonts w:ascii="Arial" w:eastAsia="Times New Roman" w:hAnsi="Arial" w:cs="Arial"/>
                <w:b/>
                <w:bCs/>
                <w:sz w:val="20"/>
                <w:szCs w:val="20"/>
              </w:rPr>
            </w:pPr>
            <w:r>
              <w:rPr>
                <w:rFonts w:ascii="Arial" w:eastAsia="Times New Roman" w:hAnsi="Arial" w:cs="Arial"/>
                <w:b/>
                <w:bCs/>
                <w:sz w:val="20"/>
                <w:szCs w:val="20"/>
              </w:rPr>
              <w:t>KPA</w:t>
            </w:r>
          </w:p>
        </w:tc>
        <w:tc>
          <w:tcPr>
            <w:tcW w:w="3822"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Strategic Planning</w:t>
            </w:r>
          </w:p>
        </w:tc>
        <w:tc>
          <w:tcPr>
            <w:tcW w:w="1358"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2015</w:t>
            </w:r>
          </w:p>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Final</w:t>
            </w:r>
            <w:r>
              <w:rPr>
                <w:rFonts w:ascii="Arial" w:eastAsia="Times New Roman" w:hAnsi="Arial" w:cs="Arial"/>
                <w:b/>
                <w:sz w:val="20"/>
                <w:szCs w:val="20"/>
              </w:rPr>
              <w:t xml:space="preserve"> </w:t>
            </w:r>
            <w:r>
              <w:rPr>
                <w:rFonts w:ascii="Arial" w:eastAsia="Times New Roman" w:hAnsi="Arial" w:cs="Arial"/>
                <w:b/>
                <w:bCs/>
                <w:sz w:val="20"/>
                <w:szCs w:val="20"/>
              </w:rPr>
              <w:t>Score</w:t>
            </w:r>
          </w:p>
        </w:tc>
        <w:tc>
          <w:tcPr>
            <w:tcW w:w="1421"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2016</w:t>
            </w:r>
          </w:p>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Final Score</w:t>
            </w:r>
          </w:p>
        </w:tc>
        <w:tc>
          <w:tcPr>
            <w:tcW w:w="1532"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Indicators</w:t>
            </w:r>
          </w:p>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 </w:t>
            </w:r>
          </w:p>
        </w:tc>
      </w:tr>
      <w:tr w:rsidR="00995699">
        <w:trPr>
          <w:trHeight w:val="831"/>
        </w:trPr>
        <w:tc>
          <w:tcPr>
            <w:tcW w:w="1271" w:type="dxa"/>
          </w:tcPr>
          <w:p w:rsidR="00995699" w:rsidRDefault="00995699">
            <w:pPr>
              <w:pStyle w:val="ListParagraph1"/>
              <w:tabs>
                <w:tab w:val="left" w:pos="567"/>
              </w:tabs>
              <w:spacing w:after="0" w:line="360" w:lineRule="auto"/>
              <w:ind w:left="360"/>
              <w:rPr>
                <w:rFonts w:ascii="Arial" w:eastAsia="Times New Roman" w:hAnsi="Arial" w:cs="Arial"/>
                <w:b/>
                <w:bCs/>
                <w:sz w:val="20"/>
                <w:szCs w:val="20"/>
              </w:rPr>
            </w:pPr>
          </w:p>
          <w:p w:rsidR="00995699" w:rsidRDefault="00EB149E">
            <w:pPr>
              <w:tabs>
                <w:tab w:val="left" w:pos="567"/>
              </w:tabs>
              <w:spacing w:after="0" w:line="360" w:lineRule="auto"/>
              <w:rPr>
                <w:rFonts w:ascii="Arial" w:eastAsia="Times New Roman" w:hAnsi="Arial" w:cs="Arial"/>
                <w:b/>
                <w:bCs/>
                <w:sz w:val="20"/>
                <w:szCs w:val="20"/>
              </w:rPr>
            </w:pPr>
            <w:r>
              <w:rPr>
                <w:rFonts w:ascii="Arial" w:eastAsia="Times New Roman" w:hAnsi="Arial" w:cs="Arial"/>
                <w:b/>
                <w:bCs/>
                <w:sz w:val="20"/>
                <w:szCs w:val="20"/>
              </w:rPr>
              <w:t>KPA 1</w:t>
            </w:r>
          </w:p>
        </w:tc>
        <w:tc>
          <w:tcPr>
            <w:tcW w:w="3822" w:type="dxa"/>
          </w:tcPr>
          <w:p w:rsidR="00995699" w:rsidRDefault="00EB149E">
            <w:pPr>
              <w:pStyle w:val="ListParagraph1"/>
              <w:tabs>
                <w:tab w:val="left" w:pos="567"/>
              </w:tabs>
              <w:spacing w:after="0" w:line="360" w:lineRule="auto"/>
              <w:ind w:left="360"/>
              <w:rPr>
                <w:rFonts w:ascii="Arial" w:eastAsia="Times New Roman" w:hAnsi="Arial" w:cs="Arial"/>
                <w:b/>
                <w:sz w:val="20"/>
                <w:szCs w:val="20"/>
              </w:rPr>
            </w:pPr>
            <w:r>
              <w:rPr>
                <w:rFonts w:ascii="Arial" w:eastAsia="Times New Roman" w:hAnsi="Arial" w:cs="Arial"/>
                <w:b/>
                <w:bCs/>
                <w:sz w:val="20"/>
                <w:szCs w:val="20"/>
              </w:rPr>
              <w:t>Strategic Planning</w:t>
            </w:r>
          </w:p>
        </w:tc>
        <w:tc>
          <w:tcPr>
            <w:tcW w:w="1358"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7.5</w:t>
            </w:r>
          </w:p>
        </w:tc>
        <w:tc>
          <w:tcPr>
            <w:tcW w:w="1421"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12</w:t>
            </w:r>
          </w:p>
        </w:tc>
        <w:tc>
          <w:tcPr>
            <w:tcW w:w="1532" w:type="dxa"/>
          </w:tcPr>
          <w:p w:rsidR="00995699" w:rsidRDefault="00236FE4">
            <w:pPr>
              <w:pStyle w:val="ListParagraph1"/>
              <w:tabs>
                <w:tab w:val="left" w:pos="567"/>
              </w:tabs>
              <w:spacing w:after="0" w:line="360" w:lineRule="auto"/>
              <w:ind w:left="360"/>
              <w:jc w:val="both"/>
              <w:rPr>
                <w:rFonts w:ascii="Arial" w:eastAsia="Times New Roman" w:hAnsi="Arial" w:cs="Arial"/>
                <w:b/>
                <w:sz w:val="20"/>
                <w:szCs w:val="20"/>
              </w:rPr>
            </w:pPr>
            <w:r w:rsidRPr="00236FE4">
              <w:rPr>
                <w:rFonts w:ascii="Arial" w:eastAsia="Times New Roman" w:hAnsi="Arial" w:cs="Arial"/>
                <w:b/>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7" type="#_x0000_t68" style="position:absolute;left:0;text-align:left;margin-left:-.4pt;margin-top:1.35pt;width:20.25pt;height:18pt;z-index:251655680;mso-position-horizontal-relative:text;mso-position-vertical-relative:text" o:preferrelative="t" adj="10800" fillcolor="#5b9bd5" strokecolor="#42719b" strokeweight="1pt">
                  <v:stroke miterlimit="2"/>
                </v:shape>
              </w:pict>
            </w:r>
          </w:p>
        </w:tc>
      </w:tr>
      <w:tr w:rsidR="00995699">
        <w:trPr>
          <w:trHeight w:val="873"/>
        </w:trPr>
        <w:tc>
          <w:tcPr>
            <w:tcW w:w="1271" w:type="dxa"/>
          </w:tcPr>
          <w:p w:rsidR="00995699" w:rsidRDefault="00995699">
            <w:pPr>
              <w:pStyle w:val="ListParagraph1"/>
              <w:tabs>
                <w:tab w:val="left" w:pos="567"/>
              </w:tabs>
              <w:spacing w:after="0" w:line="360" w:lineRule="auto"/>
              <w:ind w:left="360"/>
              <w:rPr>
                <w:rFonts w:ascii="Arial" w:eastAsia="Times New Roman" w:hAnsi="Arial" w:cs="Arial"/>
                <w:b/>
                <w:bCs/>
                <w:sz w:val="20"/>
                <w:szCs w:val="20"/>
              </w:rPr>
            </w:pPr>
          </w:p>
          <w:p w:rsidR="00995699" w:rsidRDefault="00EB149E">
            <w:pPr>
              <w:tabs>
                <w:tab w:val="left" w:pos="567"/>
              </w:tabs>
              <w:spacing w:after="0" w:line="360" w:lineRule="auto"/>
              <w:rPr>
                <w:rFonts w:ascii="Arial" w:eastAsia="Times New Roman" w:hAnsi="Arial" w:cs="Arial"/>
                <w:b/>
                <w:bCs/>
                <w:sz w:val="20"/>
                <w:szCs w:val="20"/>
              </w:rPr>
            </w:pPr>
            <w:r>
              <w:rPr>
                <w:rFonts w:ascii="Arial" w:eastAsia="Times New Roman" w:hAnsi="Arial" w:cs="Arial"/>
                <w:b/>
                <w:bCs/>
                <w:sz w:val="20"/>
                <w:szCs w:val="20"/>
              </w:rPr>
              <w:t>KPA 2</w:t>
            </w:r>
          </w:p>
        </w:tc>
        <w:tc>
          <w:tcPr>
            <w:tcW w:w="3822" w:type="dxa"/>
          </w:tcPr>
          <w:p w:rsidR="00995699" w:rsidRDefault="00EB149E">
            <w:pPr>
              <w:pStyle w:val="ListParagraph1"/>
              <w:tabs>
                <w:tab w:val="left" w:pos="567"/>
              </w:tabs>
              <w:spacing w:after="0" w:line="360" w:lineRule="auto"/>
              <w:ind w:left="360"/>
              <w:rPr>
                <w:rFonts w:ascii="Arial" w:eastAsia="Times New Roman" w:hAnsi="Arial" w:cs="Arial"/>
                <w:b/>
                <w:sz w:val="20"/>
                <w:szCs w:val="20"/>
              </w:rPr>
            </w:pPr>
            <w:r>
              <w:rPr>
                <w:rFonts w:ascii="Arial" w:eastAsia="Times New Roman" w:hAnsi="Arial" w:cs="Arial"/>
                <w:b/>
                <w:bCs/>
                <w:sz w:val="20"/>
                <w:szCs w:val="20"/>
              </w:rPr>
              <w:t>Governance And Accountability</w:t>
            </w:r>
          </w:p>
        </w:tc>
        <w:tc>
          <w:tcPr>
            <w:tcW w:w="1358"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30.5</w:t>
            </w:r>
          </w:p>
        </w:tc>
        <w:tc>
          <w:tcPr>
            <w:tcW w:w="1421"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30.5</w:t>
            </w:r>
          </w:p>
        </w:tc>
        <w:tc>
          <w:tcPr>
            <w:tcW w:w="1532" w:type="dxa"/>
          </w:tcPr>
          <w:p w:rsidR="00995699" w:rsidRDefault="00236FE4">
            <w:pPr>
              <w:pStyle w:val="ListParagraph1"/>
              <w:tabs>
                <w:tab w:val="left" w:pos="567"/>
              </w:tabs>
              <w:spacing w:after="0" w:line="360" w:lineRule="auto"/>
              <w:ind w:left="360"/>
              <w:jc w:val="both"/>
              <w:rPr>
                <w:rFonts w:ascii="Arial" w:eastAsia="Times New Roman" w:hAnsi="Arial" w:cs="Arial"/>
                <w:b/>
                <w:sz w:val="20"/>
                <w:szCs w:val="20"/>
              </w:rPr>
            </w:pPr>
            <w:r w:rsidRPr="00236FE4">
              <w:rPr>
                <w:rFonts w:ascii="Arial" w:eastAsia="Times New Roman" w:hAnsi="Arial" w:cs="Arial"/>
                <w:b/>
                <w:sz w:val="20"/>
                <w:szCs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8" type="#_x0000_t69" style="position:absolute;left:0;text-align:left;margin-left:-.4pt;margin-top:1.55pt;width:25.5pt;height:15.75pt;z-index:251656704;mso-position-horizontal-relative:text;mso-position-vertical-relative:text" o:preferrelative="t" adj="6670" fillcolor="#5b9bd5" strokecolor="#42719b" strokeweight="1pt">
                  <v:stroke miterlimit="2"/>
                </v:shape>
              </w:pict>
            </w:r>
          </w:p>
        </w:tc>
      </w:tr>
      <w:tr w:rsidR="00995699">
        <w:trPr>
          <w:trHeight w:val="957"/>
        </w:trPr>
        <w:tc>
          <w:tcPr>
            <w:tcW w:w="1271" w:type="dxa"/>
          </w:tcPr>
          <w:p w:rsidR="00995699" w:rsidRDefault="00EB149E">
            <w:pPr>
              <w:tabs>
                <w:tab w:val="left" w:pos="567"/>
              </w:tabs>
              <w:spacing w:after="0" w:line="360" w:lineRule="auto"/>
              <w:rPr>
                <w:rFonts w:ascii="Arial" w:eastAsia="Times New Roman" w:hAnsi="Arial" w:cs="Arial"/>
                <w:b/>
                <w:bCs/>
                <w:sz w:val="20"/>
                <w:szCs w:val="20"/>
              </w:rPr>
            </w:pPr>
            <w:r>
              <w:rPr>
                <w:rFonts w:ascii="Arial" w:eastAsia="Times New Roman" w:hAnsi="Arial" w:cs="Arial"/>
                <w:b/>
                <w:bCs/>
                <w:sz w:val="20"/>
                <w:szCs w:val="20"/>
              </w:rPr>
              <w:t>KPA 3</w:t>
            </w:r>
          </w:p>
          <w:p w:rsidR="00995699" w:rsidRDefault="00995699">
            <w:pPr>
              <w:pStyle w:val="ListParagraph1"/>
              <w:tabs>
                <w:tab w:val="left" w:pos="567"/>
              </w:tabs>
              <w:spacing w:after="0" w:line="360" w:lineRule="auto"/>
              <w:ind w:left="360"/>
              <w:rPr>
                <w:rFonts w:ascii="Arial" w:eastAsia="Times New Roman" w:hAnsi="Arial" w:cs="Arial"/>
                <w:b/>
                <w:bCs/>
                <w:sz w:val="20"/>
                <w:szCs w:val="20"/>
              </w:rPr>
            </w:pPr>
          </w:p>
        </w:tc>
        <w:tc>
          <w:tcPr>
            <w:tcW w:w="3822" w:type="dxa"/>
          </w:tcPr>
          <w:p w:rsidR="00995699" w:rsidRDefault="00EB149E">
            <w:pPr>
              <w:pStyle w:val="ListParagraph1"/>
              <w:tabs>
                <w:tab w:val="left" w:pos="567"/>
              </w:tabs>
              <w:spacing w:after="0" w:line="360" w:lineRule="auto"/>
              <w:ind w:left="360"/>
              <w:rPr>
                <w:rFonts w:ascii="Arial" w:eastAsia="Times New Roman" w:hAnsi="Arial" w:cs="Arial"/>
                <w:b/>
                <w:sz w:val="20"/>
                <w:szCs w:val="20"/>
              </w:rPr>
            </w:pPr>
            <w:r>
              <w:rPr>
                <w:rFonts w:ascii="Arial" w:eastAsia="Times New Roman" w:hAnsi="Arial" w:cs="Arial"/>
                <w:b/>
                <w:bCs/>
                <w:sz w:val="20"/>
                <w:szCs w:val="20"/>
              </w:rPr>
              <w:t xml:space="preserve">Human Resource Management </w:t>
            </w:r>
          </w:p>
        </w:tc>
        <w:tc>
          <w:tcPr>
            <w:tcW w:w="1358"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26.0</w:t>
            </w:r>
          </w:p>
        </w:tc>
        <w:tc>
          <w:tcPr>
            <w:tcW w:w="1421"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29.5</w:t>
            </w:r>
          </w:p>
        </w:tc>
        <w:tc>
          <w:tcPr>
            <w:tcW w:w="1532" w:type="dxa"/>
          </w:tcPr>
          <w:p w:rsidR="00995699" w:rsidRDefault="00236FE4">
            <w:pPr>
              <w:pStyle w:val="ListParagraph1"/>
              <w:tabs>
                <w:tab w:val="left" w:pos="567"/>
              </w:tabs>
              <w:spacing w:after="0" w:line="360" w:lineRule="auto"/>
              <w:ind w:left="360"/>
              <w:jc w:val="both"/>
              <w:rPr>
                <w:rFonts w:ascii="Arial" w:eastAsia="Times New Roman" w:hAnsi="Arial" w:cs="Arial"/>
                <w:b/>
                <w:sz w:val="20"/>
                <w:szCs w:val="20"/>
              </w:rPr>
            </w:pPr>
            <w:r w:rsidRPr="00236FE4">
              <w:rPr>
                <w:rFonts w:ascii="Arial" w:eastAsia="Times New Roman" w:hAnsi="Arial" w:cs="Arial"/>
                <w:b/>
                <w:sz w:val="20"/>
                <w:szCs w:val="20"/>
              </w:rPr>
              <w:pict>
                <v:shape id="Up Arrow 12" o:spid="_x0000_s1029" type="#_x0000_t68" style="position:absolute;left:0;text-align:left;margin-left:-.4pt;margin-top:1.9pt;width:20.25pt;height:18pt;z-index:251657728;mso-position-horizontal-relative:text;mso-position-vertical-relative:text" o:preferrelative="t" adj="10800" fillcolor="#5b9bd5" strokecolor="#42719b" strokeweight="1pt">
                  <v:stroke miterlimit="2"/>
                </v:shape>
              </w:pict>
            </w:r>
          </w:p>
        </w:tc>
      </w:tr>
      <w:tr w:rsidR="00995699">
        <w:trPr>
          <w:trHeight w:val="851"/>
        </w:trPr>
        <w:tc>
          <w:tcPr>
            <w:tcW w:w="1271" w:type="dxa"/>
          </w:tcPr>
          <w:p w:rsidR="00995699" w:rsidRDefault="00EB149E">
            <w:pPr>
              <w:tabs>
                <w:tab w:val="left" w:pos="567"/>
              </w:tabs>
              <w:spacing w:after="0" w:line="360" w:lineRule="auto"/>
              <w:rPr>
                <w:rFonts w:ascii="Arial" w:eastAsia="Times New Roman" w:hAnsi="Arial" w:cs="Arial"/>
                <w:b/>
                <w:bCs/>
                <w:sz w:val="20"/>
                <w:szCs w:val="20"/>
              </w:rPr>
            </w:pPr>
            <w:r>
              <w:rPr>
                <w:rFonts w:ascii="Arial" w:eastAsia="Times New Roman" w:hAnsi="Arial" w:cs="Arial"/>
                <w:b/>
                <w:bCs/>
                <w:sz w:val="20"/>
                <w:szCs w:val="20"/>
              </w:rPr>
              <w:t>KPA 4</w:t>
            </w:r>
          </w:p>
          <w:p w:rsidR="00995699" w:rsidRDefault="00995699">
            <w:pPr>
              <w:pStyle w:val="ListParagraph1"/>
              <w:tabs>
                <w:tab w:val="left" w:pos="567"/>
              </w:tabs>
              <w:spacing w:after="0" w:line="360" w:lineRule="auto"/>
              <w:ind w:left="360"/>
              <w:rPr>
                <w:rFonts w:ascii="Arial" w:eastAsia="Times New Roman" w:hAnsi="Arial" w:cs="Arial"/>
                <w:b/>
                <w:bCs/>
                <w:sz w:val="20"/>
                <w:szCs w:val="20"/>
              </w:rPr>
            </w:pPr>
          </w:p>
        </w:tc>
        <w:tc>
          <w:tcPr>
            <w:tcW w:w="3822" w:type="dxa"/>
          </w:tcPr>
          <w:p w:rsidR="00995699" w:rsidRDefault="00EB149E">
            <w:pPr>
              <w:pStyle w:val="ListParagraph1"/>
              <w:tabs>
                <w:tab w:val="left" w:pos="567"/>
              </w:tabs>
              <w:spacing w:after="0" w:line="360" w:lineRule="auto"/>
              <w:ind w:left="360"/>
              <w:rPr>
                <w:rFonts w:ascii="Arial" w:eastAsia="Times New Roman" w:hAnsi="Arial" w:cs="Arial"/>
                <w:b/>
                <w:sz w:val="20"/>
                <w:szCs w:val="20"/>
              </w:rPr>
            </w:pPr>
            <w:r>
              <w:rPr>
                <w:rFonts w:ascii="Arial" w:eastAsia="Times New Roman" w:hAnsi="Arial" w:cs="Arial"/>
                <w:b/>
                <w:bCs/>
                <w:sz w:val="20"/>
                <w:szCs w:val="20"/>
              </w:rPr>
              <w:t>Financial Management</w:t>
            </w:r>
          </w:p>
        </w:tc>
        <w:tc>
          <w:tcPr>
            <w:tcW w:w="1358"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30</w:t>
            </w:r>
          </w:p>
        </w:tc>
        <w:tc>
          <w:tcPr>
            <w:tcW w:w="1421"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26</w:t>
            </w:r>
          </w:p>
        </w:tc>
        <w:tc>
          <w:tcPr>
            <w:tcW w:w="1532" w:type="dxa"/>
          </w:tcPr>
          <w:p w:rsidR="00995699" w:rsidRDefault="00236FE4">
            <w:pPr>
              <w:pStyle w:val="ListParagraph1"/>
              <w:tabs>
                <w:tab w:val="left" w:pos="567"/>
              </w:tabs>
              <w:spacing w:after="0" w:line="360" w:lineRule="auto"/>
              <w:ind w:left="360"/>
              <w:jc w:val="both"/>
              <w:rPr>
                <w:rFonts w:ascii="Arial" w:eastAsia="Times New Roman" w:hAnsi="Arial" w:cs="Arial"/>
                <w:b/>
                <w:sz w:val="20"/>
                <w:szCs w:val="20"/>
              </w:rPr>
            </w:pPr>
            <w:r w:rsidRPr="00236FE4">
              <w:rPr>
                <w:rFonts w:ascii="Arial" w:eastAsia="Times New Roman" w:hAnsi="Arial" w:cs="Arial"/>
                <w:b/>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0" type="#_x0000_t67" style="position:absolute;left:0;text-align:left;margin-left:-.4pt;margin-top:.3pt;width:21.75pt;height:18pt;z-index:251658752;mso-position-horizontal-relative:text;mso-position-vertical-relative:text" o:preferrelative="t" adj="10800" fillcolor="#5b9bd5" strokecolor="#42719b" strokeweight="1pt">
                  <v:stroke miterlimit="2"/>
                </v:shape>
              </w:pict>
            </w:r>
          </w:p>
        </w:tc>
      </w:tr>
      <w:tr w:rsidR="00995699">
        <w:trPr>
          <w:trHeight w:val="782"/>
        </w:trPr>
        <w:tc>
          <w:tcPr>
            <w:tcW w:w="5093" w:type="dxa"/>
            <w:gridSpan w:val="2"/>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Total</w:t>
            </w:r>
          </w:p>
        </w:tc>
        <w:tc>
          <w:tcPr>
            <w:tcW w:w="1358"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94 (2.7)</w:t>
            </w:r>
          </w:p>
        </w:tc>
        <w:tc>
          <w:tcPr>
            <w:tcW w:w="1421" w:type="dxa"/>
          </w:tcPr>
          <w:p w:rsidR="00995699" w:rsidRDefault="00EB149E">
            <w:pPr>
              <w:pStyle w:val="ListParagraph1"/>
              <w:tabs>
                <w:tab w:val="left" w:pos="567"/>
              </w:tabs>
              <w:spacing w:after="0" w:line="360" w:lineRule="auto"/>
              <w:ind w:left="360"/>
              <w:jc w:val="both"/>
              <w:rPr>
                <w:rFonts w:ascii="Arial" w:eastAsia="Times New Roman" w:hAnsi="Arial" w:cs="Arial"/>
                <w:b/>
                <w:sz w:val="20"/>
                <w:szCs w:val="20"/>
              </w:rPr>
            </w:pPr>
            <w:r>
              <w:rPr>
                <w:rFonts w:ascii="Arial" w:eastAsia="Times New Roman" w:hAnsi="Arial" w:cs="Arial"/>
                <w:b/>
                <w:bCs/>
                <w:sz w:val="20"/>
                <w:szCs w:val="20"/>
              </w:rPr>
              <w:t>98 (2.8)</w:t>
            </w:r>
          </w:p>
        </w:tc>
        <w:tc>
          <w:tcPr>
            <w:tcW w:w="1532" w:type="dxa"/>
          </w:tcPr>
          <w:p w:rsidR="00995699" w:rsidRDefault="00236FE4">
            <w:pPr>
              <w:pStyle w:val="ListParagraph1"/>
              <w:tabs>
                <w:tab w:val="left" w:pos="567"/>
              </w:tabs>
              <w:spacing w:after="0" w:line="360" w:lineRule="auto"/>
              <w:ind w:left="360"/>
              <w:jc w:val="both"/>
              <w:rPr>
                <w:rFonts w:ascii="Arial" w:eastAsia="Times New Roman" w:hAnsi="Arial" w:cs="Arial"/>
                <w:b/>
                <w:sz w:val="20"/>
                <w:szCs w:val="20"/>
              </w:rPr>
            </w:pPr>
            <w:r w:rsidRPr="00236FE4">
              <w:rPr>
                <w:rFonts w:ascii="Arial" w:eastAsia="Times New Roman" w:hAnsi="Arial" w:cs="Arial"/>
                <w:b/>
                <w:sz w:val="20"/>
                <w:szCs w:val="20"/>
              </w:rPr>
              <w:pict>
                <v:shape id="Up Arrow 13" o:spid="_x0000_s1031" type="#_x0000_t68" style="position:absolute;left:0;text-align:left;margin-left:-.4pt;margin-top:1.75pt;width:20.25pt;height:18pt;z-index:251659776;mso-position-horizontal-relative:text;mso-position-vertical-relative:text" o:preferrelative="t" adj="10800" fillcolor="#5b9bd5" strokecolor="#42719b" strokeweight="1pt">
                  <v:stroke miterlimit="2"/>
                </v:shape>
              </w:pict>
            </w:r>
          </w:p>
        </w:tc>
      </w:tr>
    </w:tbl>
    <w:p w:rsidR="00995699" w:rsidRDefault="00995699">
      <w:pPr>
        <w:pStyle w:val="ListParagraph1"/>
        <w:tabs>
          <w:tab w:val="left" w:pos="567"/>
        </w:tabs>
        <w:spacing w:line="360" w:lineRule="auto"/>
        <w:ind w:left="360"/>
        <w:jc w:val="both"/>
        <w:rPr>
          <w:rFonts w:ascii="Arial" w:hAnsi="Arial" w:cs="Arial"/>
          <w:b/>
          <w:sz w:val="12"/>
        </w:rPr>
      </w:pPr>
    </w:p>
    <w:p w:rsidR="00995699" w:rsidRDefault="00EB149E">
      <w:pPr>
        <w:tabs>
          <w:tab w:val="left" w:pos="567"/>
        </w:tabs>
        <w:jc w:val="both"/>
        <w:rPr>
          <w:rFonts w:ascii="Arial" w:hAnsi="Arial" w:cs="Arial"/>
        </w:rPr>
      </w:pPr>
      <w:r>
        <w:rPr>
          <w:rFonts w:ascii="Arial" w:hAnsi="Arial" w:cs="Arial"/>
        </w:rPr>
        <w:t>There was a decrease in the rating of Financial Management from the 2015 financial year mainly due to challenges experienced with the payment of invoices within 30-days and the timeous certification of payroll certificates.</w:t>
      </w:r>
    </w:p>
    <w:p w:rsidR="00995699" w:rsidRDefault="00EB149E">
      <w:pPr>
        <w:tabs>
          <w:tab w:val="left" w:pos="567"/>
        </w:tabs>
        <w:jc w:val="both"/>
        <w:rPr>
          <w:rFonts w:ascii="Arial" w:hAnsi="Arial" w:cs="Arial"/>
        </w:rPr>
      </w:pPr>
      <w:r>
        <w:rPr>
          <w:rFonts w:ascii="Arial" w:hAnsi="Arial" w:cs="Arial"/>
        </w:rPr>
        <w:t xml:space="preserve">Improvement plans were developed for all MPAT ratings below 3, which is monitored through the Management Committees of the Department. </w:t>
      </w:r>
    </w:p>
    <w:p w:rsidR="00995699" w:rsidRDefault="00995699">
      <w:pPr>
        <w:pStyle w:val="ListParagraph1"/>
        <w:tabs>
          <w:tab w:val="left" w:pos="567"/>
        </w:tabs>
        <w:spacing w:line="360" w:lineRule="auto"/>
        <w:ind w:left="360"/>
        <w:jc w:val="both"/>
        <w:rPr>
          <w:rFonts w:ascii="Arial" w:hAnsi="Arial" w:cs="Arial"/>
          <w:b/>
        </w:rPr>
      </w:pPr>
    </w:p>
    <w:p w:rsidR="00995699" w:rsidRDefault="00995699">
      <w:pPr>
        <w:pStyle w:val="ListParagraph1"/>
        <w:tabs>
          <w:tab w:val="left" w:pos="567"/>
        </w:tabs>
        <w:spacing w:line="360" w:lineRule="auto"/>
        <w:ind w:left="360"/>
        <w:jc w:val="both"/>
        <w:rPr>
          <w:rFonts w:ascii="Arial" w:hAnsi="Arial" w:cs="Arial"/>
          <w:b/>
        </w:rPr>
      </w:pPr>
    </w:p>
    <w:p w:rsidR="00995699" w:rsidRDefault="00995699">
      <w:pPr>
        <w:pStyle w:val="ListParagraph1"/>
        <w:tabs>
          <w:tab w:val="left" w:pos="567"/>
        </w:tabs>
        <w:spacing w:line="360" w:lineRule="auto"/>
        <w:ind w:left="360"/>
        <w:jc w:val="both"/>
        <w:rPr>
          <w:rFonts w:ascii="Arial" w:hAnsi="Arial" w:cs="Arial"/>
          <w:b/>
        </w:rPr>
      </w:pPr>
    </w:p>
    <w:p w:rsidR="00995699" w:rsidRDefault="00995699">
      <w:pPr>
        <w:pStyle w:val="ListParagraph1"/>
        <w:tabs>
          <w:tab w:val="left" w:pos="567"/>
        </w:tabs>
        <w:spacing w:line="360" w:lineRule="auto"/>
        <w:ind w:left="360"/>
        <w:jc w:val="both"/>
        <w:rPr>
          <w:rFonts w:ascii="Arial" w:hAnsi="Arial" w:cs="Arial"/>
          <w:b/>
        </w:rPr>
      </w:pPr>
    </w:p>
    <w:p w:rsidR="00995699" w:rsidRDefault="00995699">
      <w:pPr>
        <w:pStyle w:val="ListParagraph1"/>
        <w:tabs>
          <w:tab w:val="left" w:pos="567"/>
        </w:tabs>
        <w:spacing w:line="360" w:lineRule="auto"/>
        <w:ind w:left="360"/>
        <w:jc w:val="both"/>
        <w:rPr>
          <w:rFonts w:ascii="Arial" w:hAnsi="Arial" w:cs="Arial"/>
          <w:b/>
        </w:rPr>
      </w:pPr>
    </w:p>
    <w:p w:rsidR="00995699" w:rsidRDefault="00995699">
      <w:pPr>
        <w:pStyle w:val="ListParagraph1"/>
        <w:tabs>
          <w:tab w:val="left" w:pos="567"/>
        </w:tabs>
        <w:spacing w:line="360" w:lineRule="auto"/>
        <w:ind w:left="360"/>
        <w:jc w:val="both"/>
        <w:rPr>
          <w:rFonts w:ascii="Arial" w:hAnsi="Arial" w:cs="Arial"/>
          <w:b/>
        </w:rPr>
      </w:pPr>
    </w:p>
    <w:p w:rsidR="00995699" w:rsidRDefault="00995699">
      <w:pPr>
        <w:pStyle w:val="ListParagraph1"/>
        <w:tabs>
          <w:tab w:val="left" w:pos="567"/>
        </w:tabs>
        <w:spacing w:line="360" w:lineRule="auto"/>
        <w:ind w:left="360"/>
        <w:jc w:val="both"/>
        <w:rPr>
          <w:rFonts w:ascii="Arial" w:hAnsi="Arial" w:cs="Arial"/>
          <w:b/>
        </w:rPr>
      </w:pPr>
    </w:p>
    <w:p w:rsidR="00995699" w:rsidRDefault="00EB149E">
      <w:pPr>
        <w:pStyle w:val="Heading1"/>
        <w:numPr>
          <w:ilvl w:val="2"/>
          <w:numId w:val="11"/>
        </w:numPr>
        <w:rPr>
          <w:rFonts w:ascii="Arial" w:eastAsia="Calibri" w:hAnsi="Arial" w:cs="Arial"/>
        </w:rPr>
      </w:pPr>
      <w:bookmarkStart w:id="6" w:name="_Toc490544987"/>
      <w:r>
        <w:rPr>
          <w:rFonts w:ascii="Arial" w:eastAsia="Calibri" w:hAnsi="Arial" w:cs="Arial"/>
        </w:rPr>
        <w:t>Status of Audit, Risk and other governance committees</w:t>
      </w:r>
      <w:bookmarkEnd w:id="6"/>
    </w:p>
    <w:p w:rsidR="00995699" w:rsidRDefault="00995699">
      <w:pPr>
        <w:rPr>
          <w:rFonts w:ascii="Arial" w:hAnsi="Arial" w:cs="Arial"/>
          <w:b/>
        </w:rPr>
      </w:pPr>
    </w:p>
    <w:p w:rsidR="00995699" w:rsidRDefault="00EB149E">
      <w:r>
        <w:rPr>
          <w:rFonts w:ascii="Arial" w:hAnsi="Arial" w:cs="Arial"/>
          <w:b/>
        </w:rPr>
        <w:t>Table 2: Functionality of Governance Structures</w:t>
      </w:r>
    </w:p>
    <w:tbl>
      <w:tblPr>
        <w:tblW w:w="90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714"/>
        <w:gridCol w:w="3639"/>
      </w:tblGrid>
      <w:tr w:rsidR="00995699">
        <w:tc>
          <w:tcPr>
            <w:tcW w:w="2663" w:type="dxa"/>
            <w:shd w:val="clear" w:color="auto" w:fill="BFBFBF"/>
            <w:vAlign w:val="center"/>
          </w:tcPr>
          <w:p w:rsidR="00995699" w:rsidRDefault="00EB149E">
            <w:pPr>
              <w:spacing w:after="0" w:line="360" w:lineRule="auto"/>
              <w:rPr>
                <w:rFonts w:ascii="Arial" w:eastAsia="Times New Roman" w:hAnsi="Arial" w:cs="Arial"/>
                <w:b/>
                <w:sz w:val="20"/>
                <w:szCs w:val="20"/>
              </w:rPr>
            </w:pPr>
            <w:r>
              <w:rPr>
                <w:rFonts w:ascii="Arial" w:eastAsia="Times New Roman" w:hAnsi="Arial" w:cs="Arial"/>
                <w:b/>
                <w:sz w:val="20"/>
                <w:szCs w:val="20"/>
              </w:rPr>
              <w:t>Governance Structures</w:t>
            </w:r>
          </w:p>
        </w:tc>
        <w:tc>
          <w:tcPr>
            <w:tcW w:w="2714" w:type="dxa"/>
            <w:shd w:val="clear" w:color="auto" w:fill="BFBFBF"/>
            <w:vAlign w:val="center"/>
          </w:tcPr>
          <w:p w:rsidR="00995699" w:rsidRDefault="00EB149E">
            <w:pPr>
              <w:spacing w:after="0" w:line="360" w:lineRule="auto"/>
              <w:rPr>
                <w:rFonts w:ascii="Arial" w:eastAsia="Times New Roman" w:hAnsi="Arial" w:cs="Arial"/>
                <w:b/>
                <w:sz w:val="20"/>
                <w:szCs w:val="20"/>
              </w:rPr>
            </w:pPr>
            <w:r>
              <w:rPr>
                <w:rFonts w:ascii="Arial" w:eastAsia="Times New Roman" w:hAnsi="Arial" w:cs="Arial"/>
                <w:b/>
                <w:sz w:val="20"/>
                <w:szCs w:val="20"/>
              </w:rPr>
              <w:t>Frequency</w:t>
            </w:r>
          </w:p>
        </w:tc>
        <w:tc>
          <w:tcPr>
            <w:tcW w:w="3639" w:type="dxa"/>
            <w:shd w:val="clear" w:color="auto" w:fill="BFBFBF"/>
            <w:vAlign w:val="center"/>
          </w:tcPr>
          <w:p w:rsidR="00995699" w:rsidRDefault="00EB149E">
            <w:pPr>
              <w:spacing w:after="0" w:line="360" w:lineRule="auto"/>
              <w:rPr>
                <w:rFonts w:ascii="Arial" w:eastAsia="Times New Roman" w:hAnsi="Arial" w:cs="Arial"/>
                <w:b/>
                <w:sz w:val="20"/>
                <w:szCs w:val="20"/>
              </w:rPr>
            </w:pPr>
            <w:r>
              <w:rPr>
                <w:rFonts w:ascii="Arial" w:eastAsia="Times New Roman" w:hAnsi="Arial" w:cs="Arial"/>
                <w:b/>
                <w:sz w:val="20"/>
                <w:szCs w:val="20"/>
              </w:rPr>
              <w:t>Functionality</w:t>
            </w:r>
          </w:p>
        </w:tc>
      </w:tr>
      <w:tr w:rsidR="00995699">
        <w:tc>
          <w:tcPr>
            <w:tcW w:w="9016" w:type="dxa"/>
            <w:gridSpan w:val="3"/>
            <w:shd w:val="clear" w:color="auto" w:fill="F2F2F2"/>
            <w:vAlign w:val="center"/>
          </w:tcPr>
          <w:p w:rsidR="00995699" w:rsidRDefault="00EB149E">
            <w:pPr>
              <w:spacing w:after="0" w:line="360" w:lineRule="auto"/>
              <w:jc w:val="center"/>
              <w:rPr>
                <w:rFonts w:ascii="Arial" w:eastAsia="Times New Roman" w:hAnsi="Arial" w:cs="Arial"/>
                <w:b/>
                <w:sz w:val="20"/>
                <w:szCs w:val="20"/>
              </w:rPr>
            </w:pPr>
            <w:r>
              <w:rPr>
                <w:rFonts w:ascii="Arial" w:eastAsia="Times New Roman" w:hAnsi="Arial" w:cs="Arial"/>
                <w:b/>
                <w:sz w:val="20"/>
                <w:szCs w:val="20"/>
              </w:rPr>
              <w:t>Internal Structures</w:t>
            </w:r>
          </w:p>
        </w:tc>
      </w:tr>
      <w:tr w:rsidR="00995699">
        <w:tc>
          <w:tcPr>
            <w:tcW w:w="2663" w:type="dxa"/>
          </w:tcPr>
          <w:p w:rsidR="00995699" w:rsidRDefault="00EB149E">
            <w:pPr>
              <w:spacing w:after="0" w:line="240" w:lineRule="auto"/>
              <w:rPr>
                <w:rFonts w:ascii="Arial" w:eastAsia="Times New Roman" w:hAnsi="Arial" w:cs="Arial"/>
                <w:sz w:val="20"/>
                <w:szCs w:val="20"/>
              </w:rPr>
            </w:pPr>
            <w:r>
              <w:rPr>
                <w:rFonts w:ascii="Arial" w:eastAsia="Times New Roman" w:hAnsi="Arial" w:cs="Arial"/>
                <w:sz w:val="20"/>
                <w:szCs w:val="20"/>
              </w:rPr>
              <w:t>Risk Management Committee</w:t>
            </w:r>
          </w:p>
        </w:tc>
        <w:tc>
          <w:tcPr>
            <w:tcW w:w="2714" w:type="dxa"/>
          </w:tcPr>
          <w:p w:rsidR="00995699" w:rsidRDefault="00EB149E">
            <w:pPr>
              <w:spacing w:after="0" w:line="240" w:lineRule="auto"/>
              <w:rPr>
                <w:rFonts w:ascii="Arial" w:eastAsia="Times New Roman" w:hAnsi="Arial" w:cs="Arial"/>
                <w:sz w:val="20"/>
                <w:szCs w:val="20"/>
              </w:rPr>
            </w:pPr>
            <w:r>
              <w:rPr>
                <w:rFonts w:ascii="Arial" w:eastAsia="Times New Roman" w:hAnsi="Arial" w:cs="Arial"/>
                <w:sz w:val="20"/>
                <w:szCs w:val="20"/>
              </w:rPr>
              <w:t>4 meetings held</w:t>
            </w:r>
          </w:p>
        </w:tc>
        <w:tc>
          <w:tcPr>
            <w:tcW w:w="3639" w:type="dxa"/>
          </w:tcPr>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MPAT results: 4</w:t>
            </w:r>
          </w:p>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Attendance</w:t>
            </w:r>
          </w:p>
          <w:p w:rsidR="00995699" w:rsidRDefault="00EB149E">
            <w:pPr>
              <w:pStyle w:val="ListParagraph1"/>
              <w:numPr>
                <w:ilvl w:val="1"/>
                <w:numId w:val="12"/>
              </w:numPr>
              <w:spacing w:after="0" w:line="240" w:lineRule="auto"/>
              <w:ind w:left="749" w:hanging="284"/>
              <w:rPr>
                <w:rFonts w:ascii="Arial" w:eastAsia="Times New Roman" w:hAnsi="Arial" w:cs="Arial"/>
                <w:sz w:val="20"/>
                <w:szCs w:val="20"/>
              </w:rPr>
            </w:pPr>
            <w:r>
              <w:rPr>
                <w:rFonts w:ascii="Arial" w:eastAsia="Times New Roman" w:hAnsi="Arial" w:cs="Arial"/>
                <w:sz w:val="20"/>
                <w:szCs w:val="20"/>
              </w:rPr>
              <w:t xml:space="preserve">Internal attendance: </w:t>
            </w:r>
            <w:r>
              <w:rPr>
                <w:rFonts w:ascii="Arial" w:eastAsia="Times New Roman" w:hAnsi="Arial" w:cs="Arial"/>
                <w:b/>
                <w:sz w:val="20"/>
                <w:szCs w:val="20"/>
              </w:rPr>
              <w:t>88%</w:t>
            </w:r>
          </w:p>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Minutes approved</w:t>
            </w:r>
          </w:p>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Resolutions monitored and implemented</w:t>
            </w:r>
          </w:p>
          <w:p w:rsidR="00995699" w:rsidRDefault="00995699">
            <w:pPr>
              <w:spacing w:after="0" w:line="240" w:lineRule="auto"/>
              <w:rPr>
                <w:rFonts w:ascii="Arial" w:eastAsia="Times New Roman" w:hAnsi="Arial" w:cs="Arial"/>
                <w:sz w:val="20"/>
                <w:szCs w:val="20"/>
              </w:rPr>
            </w:pPr>
          </w:p>
        </w:tc>
      </w:tr>
      <w:tr w:rsidR="00995699">
        <w:tc>
          <w:tcPr>
            <w:tcW w:w="9016" w:type="dxa"/>
            <w:gridSpan w:val="3"/>
            <w:shd w:val="clear" w:color="auto" w:fill="F2F2F2"/>
            <w:vAlign w:val="center"/>
          </w:tcPr>
          <w:p w:rsidR="00995699" w:rsidRDefault="00EB149E">
            <w:pPr>
              <w:spacing w:after="0" w:line="360" w:lineRule="auto"/>
              <w:jc w:val="center"/>
              <w:rPr>
                <w:rFonts w:ascii="Arial" w:eastAsia="Times New Roman" w:hAnsi="Arial" w:cs="Arial"/>
                <w:b/>
                <w:sz w:val="20"/>
                <w:szCs w:val="20"/>
              </w:rPr>
            </w:pPr>
            <w:r>
              <w:rPr>
                <w:rFonts w:ascii="Arial" w:eastAsia="Times New Roman" w:hAnsi="Arial" w:cs="Arial"/>
                <w:b/>
                <w:sz w:val="20"/>
                <w:szCs w:val="20"/>
              </w:rPr>
              <w:t>External Structures</w:t>
            </w:r>
          </w:p>
        </w:tc>
      </w:tr>
      <w:tr w:rsidR="00995699">
        <w:tc>
          <w:tcPr>
            <w:tcW w:w="2663" w:type="dxa"/>
          </w:tcPr>
          <w:p w:rsidR="00995699" w:rsidRDefault="00EB149E">
            <w:pPr>
              <w:spacing w:after="0" w:line="240" w:lineRule="auto"/>
              <w:rPr>
                <w:rFonts w:ascii="Arial" w:eastAsia="Times New Roman" w:hAnsi="Arial" w:cs="Arial"/>
                <w:sz w:val="20"/>
                <w:szCs w:val="20"/>
              </w:rPr>
            </w:pPr>
            <w:r>
              <w:rPr>
                <w:rFonts w:ascii="Arial" w:eastAsia="Times New Roman" w:hAnsi="Arial" w:cs="Arial"/>
                <w:sz w:val="20"/>
                <w:szCs w:val="20"/>
              </w:rPr>
              <w:t>Audit Committee</w:t>
            </w:r>
          </w:p>
        </w:tc>
        <w:tc>
          <w:tcPr>
            <w:tcW w:w="2714" w:type="dxa"/>
          </w:tcPr>
          <w:p w:rsidR="00995699" w:rsidRDefault="00EB149E">
            <w:pPr>
              <w:spacing w:after="0" w:line="240" w:lineRule="auto"/>
              <w:rPr>
                <w:rFonts w:ascii="Arial" w:eastAsia="Times New Roman" w:hAnsi="Arial" w:cs="Arial"/>
                <w:sz w:val="20"/>
                <w:szCs w:val="20"/>
              </w:rPr>
            </w:pPr>
            <w:r>
              <w:rPr>
                <w:rFonts w:ascii="Arial" w:eastAsia="Times New Roman" w:hAnsi="Arial" w:cs="Arial"/>
                <w:sz w:val="20"/>
                <w:szCs w:val="20"/>
              </w:rPr>
              <w:t>4 meetings held</w:t>
            </w:r>
          </w:p>
        </w:tc>
        <w:tc>
          <w:tcPr>
            <w:tcW w:w="3639" w:type="dxa"/>
          </w:tcPr>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MPAT results: 4</w:t>
            </w:r>
          </w:p>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Attendance</w:t>
            </w:r>
          </w:p>
          <w:p w:rsidR="00995699" w:rsidRDefault="00EB149E">
            <w:pPr>
              <w:pStyle w:val="ListParagraph1"/>
              <w:numPr>
                <w:ilvl w:val="1"/>
                <w:numId w:val="12"/>
              </w:numPr>
              <w:spacing w:after="0" w:line="240" w:lineRule="auto"/>
              <w:ind w:left="749" w:hanging="284"/>
              <w:rPr>
                <w:rFonts w:ascii="Arial" w:eastAsia="Times New Roman" w:hAnsi="Arial" w:cs="Arial"/>
                <w:sz w:val="20"/>
                <w:szCs w:val="20"/>
              </w:rPr>
            </w:pPr>
            <w:r>
              <w:rPr>
                <w:rFonts w:ascii="Arial" w:eastAsia="Times New Roman" w:hAnsi="Arial" w:cs="Arial"/>
                <w:sz w:val="20"/>
                <w:szCs w:val="20"/>
              </w:rPr>
              <w:t xml:space="preserve">External members: </w:t>
            </w:r>
            <w:r>
              <w:rPr>
                <w:rFonts w:ascii="Arial" w:eastAsia="Times New Roman" w:hAnsi="Arial" w:cs="Arial"/>
                <w:b/>
                <w:sz w:val="20"/>
                <w:szCs w:val="20"/>
              </w:rPr>
              <w:t>100%</w:t>
            </w:r>
          </w:p>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Minutes approved</w:t>
            </w:r>
          </w:p>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Resolutions monitored and implemented</w:t>
            </w:r>
          </w:p>
          <w:p w:rsidR="00995699" w:rsidRDefault="00995699">
            <w:pPr>
              <w:spacing w:after="0" w:line="240" w:lineRule="auto"/>
              <w:rPr>
                <w:rFonts w:ascii="Arial" w:eastAsia="Times New Roman" w:hAnsi="Arial" w:cs="Arial"/>
                <w:sz w:val="20"/>
                <w:szCs w:val="20"/>
              </w:rPr>
            </w:pPr>
          </w:p>
        </w:tc>
      </w:tr>
      <w:tr w:rsidR="00995699">
        <w:tc>
          <w:tcPr>
            <w:tcW w:w="2663" w:type="dxa"/>
          </w:tcPr>
          <w:p w:rsidR="00995699" w:rsidRDefault="00EB149E">
            <w:pPr>
              <w:spacing w:after="0" w:line="240" w:lineRule="auto"/>
              <w:rPr>
                <w:rFonts w:ascii="Arial" w:eastAsia="Times New Roman" w:hAnsi="Arial" w:cs="Arial"/>
                <w:sz w:val="20"/>
                <w:szCs w:val="20"/>
              </w:rPr>
            </w:pPr>
            <w:r>
              <w:rPr>
                <w:rFonts w:ascii="Arial" w:eastAsia="Times New Roman" w:hAnsi="Arial" w:cs="Arial"/>
                <w:sz w:val="20"/>
                <w:szCs w:val="20"/>
              </w:rPr>
              <w:t>Internal Controls Committee</w:t>
            </w:r>
          </w:p>
        </w:tc>
        <w:tc>
          <w:tcPr>
            <w:tcW w:w="2714" w:type="dxa"/>
          </w:tcPr>
          <w:p w:rsidR="00995699" w:rsidRDefault="00EB149E">
            <w:pPr>
              <w:spacing w:after="0" w:line="240" w:lineRule="auto"/>
              <w:rPr>
                <w:rFonts w:ascii="Arial" w:eastAsia="Times New Roman" w:hAnsi="Arial" w:cs="Arial"/>
                <w:sz w:val="20"/>
                <w:szCs w:val="20"/>
              </w:rPr>
            </w:pPr>
            <w:r>
              <w:rPr>
                <w:rFonts w:ascii="Arial" w:eastAsia="Times New Roman" w:hAnsi="Arial" w:cs="Arial"/>
                <w:sz w:val="20"/>
                <w:szCs w:val="20"/>
              </w:rPr>
              <w:t>4 meetings</w:t>
            </w:r>
          </w:p>
        </w:tc>
        <w:tc>
          <w:tcPr>
            <w:tcW w:w="3639" w:type="dxa"/>
          </w:tcPr>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Minutes approved</w:t>
            </w:r>
          </w:p>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Resolutions monitored and implemented</w:t>
            </w:r>
          </w:p>
          <w:p w:rsidR="00995699" w:rsidRDefault="00995699">
            <w:pPr>
              <w:pStyle w:val="ListParagraph1"/>
              <w:spacing w:after="0" w:line="240" w:lineRule="auto"/>
              <w:ind w:left="360"/>
              <w:rPr>
                <w:rFonts w:ascii="Arial" w:eastAsia="Times New Roman" w:hAnsi="Arial" w:cs="Arial"/>
                <w:sz w:val="20"/>
                <w:szCs w:val="20"/>
              </w:rPr>
            </w:pPr>
          </w:p>
        </w:tc>
      </w:tr>
      <w:tr w:rsidR="00995699">
        <w:tc>
          <w:tcPr>
            <w:tcW w:w="2663" w:type="dxa"/>
          </w:tcPr>
          <w:p w:rsidR="00995699" w:rsidRDefault="00EB149E">
            <w:pPr>
              <w:spacing w:after="0" w:line="240" w:lineRule="auto"/>
              <w:rPr>
                <w:rFonts w:ascii="Arial" w:eastAsia="Times New Roman" w:hAnsi="Arial" w:cs="Arial"/>
                <w:sz w:val="20"/>
                <w:szCs w:val="20"/>
              </w:rPr>
            </w:pPr>
            <w:r>
              <w:rPr>
                <w:rFonts w:ascii="Arial" w:eastAsia="Times New Roman" w:hAnsi="Arial" w:cs="Arial"/>
                <w:sz w:val="20"/>
                <w:szCs w:val="20"/>
              </w:rPr>
              <w:t xml:space="preserve">ICT steering Committee </w:t>
            </w:r>
          </w:p>
        </w:tc>
        <w:tc>
          <w:tcPr>
            <w:tcW w:w="2714" w:type="dxa"/>
          </w:tcPr>
          <w:p w:rsidR="00995699" w:rsidRDefault="00EB149E">
            <w:pPr>
              <w:spacing w:after="0" w:line="240" w:lineRule="auto"/>
              <w:rPr>
                <w:rFonts w:ascii="Arial" w:eastAsia="Times New Roman" w:hAnsi="Arial" w:cs="Arial"/>
                <w:sz w:val="20"/>
                <w:szCs w:val="20"/>
              </w:rPr>
            </w:pPr>
            <w:r>
              <w:rPr>
                <w:rFonts w:ascii="Arial" w:eastAsia="Times New Roman" w:hAnsi="Arial" w:cs="Arial"/>
                <w:sz w:val="20"/>
                <w:szCs w:val="20"/>
              </w:rPr>
              <w:t xml:space="preserve">3 Meetings </w:t>
            </w:r>
          </w:p>
        </w:tc>
        <w:tc>
          <w:tcPr>
            <w:tcW w:w="3639" w:type="dxa"/>
          </w:tcPr>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Minutes approved</w:t>
            </w:r>
          </w:p>
          <w:p w:rsidR="00995699" w:rsidRDefault="00EB149E">
            <w:pPr>
              <w:pStyle w:val="ListParagraph1"/>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Resolutions monitored and implemented</w:t>
            </w:r>
          </w:p>
        </w:tc>
      </w:tr>
    </w:tbl>
    <w:p w:rsidR="00995699" w:rsidRDefault="00995699">
      <w:pPr>
        <w:tabs>
          <w:tab w:val="left" w:pos="567"/>
        </w:tabs>
        <w:jc w:val="both"/>
        <w:rPr>
          <w:rFonts w:ascii="Arial" w:hAnsi="Arial" w:cs="Arial"/>
        </w:rPr>
      </w:pPr>
    </w:p>
    <w:p w:rsidR="00995699" w:rsidRDefault="00EB149E">
      <w:pPr>
        <w:tabs>
          <w:tab w:val="left" w:pos="567"/>
        </w:tabs>
        <w:jc w:val="both"/>
        <w:rPr>
          <w:rFonts w:ascii="Arial" w:hAnsi="Arial" w:cs="Arial"/>
        </w:rPr>
      </w:pPr>
      <w:r>
        <w:rPr>
          <w:rFonts w:ascii="Arial" w:hAnsi="Arial" w:cs="Arial"/>
        </w:rPr>
        <w:t>The Risk and Audit Committee structures of the department were functional and convened quarterly. The resolutions were monitored and implemented by Management.</w:t>
      </w:r>
    </w:p>
    <w:p w:rsidR="00995699" w:rsidRDefault="00EB149E">
      <w:pPr>
        <w:pStyle w:val="Heading1"/>
        <w:numPr>
          <w:ilvl w:val="2"/>
          <w:numId w:val="11"/>
        </w:numPr>
        <w:rPr>
          <w:rFonts w:ascii="Arial" w:eastAsia="Calibri" w:hAnsi="Arial" w:cs="Arial"/>
        </w:rPr>
      </w:pPr>
      <w:bookmarkStart w:id="7" w:name="_Toc490544988"/>
      <w:r>
        <w:rPr>
          <w:rFonts w:ascii="Arial" w:eastAsia="Calibri" w:hAnsi="Arial" w:cs="Arial"/>
        </w:rPr>
        <w:t>Human Resources Management Performance</w:t>
      </w:r>
      <w:bookmarkEnd w:id="7"/>
      <w:r>
        <w:rPr>
          <w:rFonts w:ascii="Arial" w:eastAsia="Calibri" w:hAnsi="Arial" w:cs="Arial"/>
        </w:rPr>
        <w:t xml:space="preserve"> </w:t>
      </w:r>
    </w:p>
    <w:p w:rsidR="00995699" w:rsidRDefault="00EB149E">
      <w:pPr>
        <w:pStyle w:val="ListParagraph1"/>
        <w:numPr>
          <w:ilvl w:val="0"/>
          <w:numId w:val="13"/>
        </w:numPr>
        <w:tabs>
          <w:tab w:val="left" w:pos="567"/>
        </w:tabs>
        <w:jc w:val="both"/>
        <w:rPr>
          <w:rFonts w:ascii="Arial" w:hAnsi="Arial" w:cs="Arial"/>
        </w:rPr>
      </w:pPr>
      <w:r>
        <w:rPr>
          <w:rFonts w:ascii="Arial" w:hAnsi="Arial" w:cs="Arial"/>
        </w:rPr>
        <w:t xml:space="preserve">The Human Resources Plan and progress reports were approved and submitted to the Department of Public Service and Administration (DPSA) </w:t>
      </w:r>
    </w:p>
    <w:p w:rsidR="00995699" w:rsidRDefault="00EB149E">
      <w:pPr>
        <w:pStyle w:val="ListParagraph1"/>
        <w:numPr>
          <w:ilvl w:val="0"/>
          <w:numId w:val="13"/>
        </w:numPr>
        <w:tabs>
          <w:tab w:val="left" w:pos="567"/>
        </w:tabs>
        <w:jc w:val="both"/>
        <w:rPr>
          <w:rFonts w:ascii="Arial" w:hAnsi="Arial" w:cs="Arial"/>
        </w:rPr>
      </w:pPr>
      <w:r>
        <w:rPr>
          <w:rFonts w:ascii="Arial" w:hAnsi="Arial" w:cs="Arial"/>
        </w:rPr>
        <w:t>Grievance and Financial misconduct reports submitted to Public Service Commission (PSC) on 21 April 2017</w:t>
      </w:r>
    </w:p>
    <w:p w:rsidR="00995699" w:rsidRDefault="00EB149E">
      <w:pPr>
        <w:pStyle w:val="ListParagraph1"/>
        <w:numPr>
          <w:ilvl w:val="0"/>
          <w:numId w:val="13"/>
        </w:numPr>
        <w:tabs>
          <w:tab w:val="left" w:pos="567"/>
        </w:tabs>
        <w:jc w:val="both"/>
        <w:rPr>
          <w:rFonts w:ascii="Arial" w:hAnsi="Arial" w:cs="Arial"/>
        </w:rPr>
      </w:pPr>
      <w:r>
        <w:rPr>
          <w:rFonts w:ascii="Arial" w:hAnsi="Arial" w:cs="Arial"/>
        </w:rPr>
        <w:t>All (100%) SMS members’ financial disclosures were filled with the public Service Commission.</w:t>
      </w:r>
    </w:p>
    <w:p w:rsidR="00995699" w:rsidRDefault="00EB149E">
      <w:pPr>
        <w:pStyle w:val="ListParagraph1"/>
        <w:numPr>
          <w:ilvl w:val="0"/>
          <w:numId w:val="13"/>
        </w:numPr>
        <w:tabs>
          <w:tab w:val="left" w:pos="567"/>
        </w:tabs>
        <w:jc w:val="both"/>
        <w:rPr>
          <w:rFonts w:ascii="Arial" w:hAnsi="Arial" w:cs="Arial"/>
        </w:rPr>
      </w:pPr>
      <w:r>
        <w:rPr>
          <w:rFonts w:ascii="Arial" w:hAnsi="Arial" w:cs="Arial"/>
        </w:rPr>
        <w:t>E-skills implementation plan approved.</w:t>
      </w:r>
    </w:p>
    <w:p w:rsidR="00995699" w:rsidRDefault="00EB149E">
      <w:pPr>
        <w:pStyle w:val="Heading1"/>
        <w:numPr>
          <w:ilvl w:val="2"/>
          <w:numId w:val="11"/>
        </w:numPr>
        <w:rPr>
          <w:rFonts w:ascii="Arial" w:eastAsia="Calibri" w:hAnsi="Arial" w:cs="Arial"/>
        </w:rPr>
      </w:pPr>
      <w:bookmarkStart w:id="8" w:name="_Toc490544989"/>
      <w:r>
        <w:rPr>
          <w:rFonts w:ascii="Arial" w:eastAsia="Calibri" w:hAnsi="Arial" w:cs="Arial"/>
        </w:rPr>
        <w:t>Payment of Suppliers</w:t>
      </w:r>
      <w:bookmarkEnd w:id="8"/>
      <w:r>
        <w:rPr>
          <w:rFonts w:ascii="Arial" w:eastAsia="Calibri" w:hAnsi="Arial" w:cs="Arial"/>
        </w:rPr>
        <w:t xml:space="preserve"> </w:t>
      </w:r>
    </w:p>
    <w:p w:rsidR="00995699" w:rsidRDefault="00EB149E">
      <w:pPr>
        <w:tabs>
          <w:tab w:val="left" w:pos="567"/>
        </w:tabs>
        <w:jc w:val="both"/>
        <w:rPr>
          <w:rFonts w:ascii="Arial" w:hAnsi="Arial" w:cs="Arial"/>
        </w:rPr>
      </w:pPr>
      <w:r>
        <w:rPr>
          <w:rFonts w:ascii="Arial" w:hAnsi="Arial" w:cs="Arial"/>
        </w:rPr>
        <w:t xml:space="preserve">The department is paying 90% of its suppliers within 30 days and 10% after 30 days due to various reasons as indicated below: </w:t>
      </w:r>
    </w:p>
    <w:p w:rsidR="00995699" w:rsidRDefault="00EB149E">
      <w:pPr>
        <w:tabs>
          <w:tab w:val="left" w:pos="567"/>
        </w:tabs>
        <w:jc w:val="both"/>
        <w:rPr>
          <w:rFonts w:ascii="Arial" w:hAnsi="Arial" w:cs="Arial"/>
        </w:rPr>
      </w:pPr>
      <w:r>
        <w:rPr>
          <w:rFonts w:ascii="Arial" w:hAnsi="Arial" w:cs="Arial"/>
        </w:rPr>
        <w:t xml:space="preserve">The following measures have been put in place to ensure improvement in the turn-around time for payment of suppliers: </w:t>
      </w:r>
    </w:p>
    <w:p w:rsidR="00995699" w:rsidRDefault="00EB149E">
      <w:pPr>
        <w:pStyle w:val="ListParagraph1"/>
        <w:numPr>
          <w:ilvl w:val="0"/>
          <w:numId w:val="14"/>
        </w:numPr>
        <w:tabs>
          <w:tab w:val="left" w:pos="567"/>
        </w:tabs>
        <w:jc w:val="both"/>
        <w:rPr>
          <w:rFonts w:ascii="Arial" w:hAnsi="Arial" w:cs="Arial"/>
        </w:rPr>
      </w:pPr>
      <w:r>
        <w:rPr>
          <w:rFonts w:ascii="Arial" w:hAnsi="Arial" w:cs="Arial"/>
        </w:rPr>
        <w:lastRenderedPageBreak/>
        <w:t xml:space="preserve">Review and certification of invoices; </w:t>
      </w:r>
    </w:p>
    <w:p w:rsidR="00995699" w:rsidRDefault="00EB149E">
      <w:pPr>
        <w:pStyle w:val="ListParagraph1"/>
        <w:numPr>
          <w:ilvl w:val="0"/>
          <w:numId w:val="14"/>
        </w:numPr>
        <w:tabs>
          <w:tab w:val="left" w:pos="567"/>
        </w:tabs>
        <w:jc w:val="both"/>
        <w:rPr>
          <w:rFonts w:ascii="Arial" w:hAnsi="Arial" w:cs="Arial"/>
        </w:rPr>
      </w:pPr>
      <w:r>
        <w:rPr>
          <w:rFonts w:ascii="Arial" w:hAnsi="Arial" w:cs="Arial"/>
        </w:rPr>
        <w:t>Corrections of invoices submitted for payment;</w:t>
      </w:r>
    </w:p>
    <w:p w:rsidR="00995699" w:rsidRDefault="00EB149E">
      <w:pPr>
        <w:pStyle w:val="ListParagraph1"/>
        <w:numPr>
          <w:ilvl w:val="0"/>
          <w:numId w:val="14"/>
        </w:numPr>
        <w:tabs>
          <w:tab w:val="left" w:pos="567"/>
        </w:tabs>
        <w:jc w:val="both"/>
        <w:rPr>
          <w:rFonts w:ascii="Arial" w:hAnsi="Arial" w:cs="Arial"/>
        </w:rPr>
      </w:pPr>
      <w:r>
        <w:rPr>
          <w:rFonts w:ascii="Arial" w:hAnsi="Arial" w:cs="Arial"/>
        </w:rPr>
        <w:t>Bank account verifications;</w:t>
      </w:r>
    </w:p>
    <w:p w:rsidR="00995699" w:rsidRDefault="00EB149E">
      <w:pPr>
        <w:pStyle w:val="ListParagraph1"/>
        <w:numPr>
          <w:ilvl w:val="0"/>
          <w:numId w:val="14"/>
        </w:numPr>
        <w:tabs>
          <w:tab w:val="left" w:pos="567"/>
        </w:tabs>
        <w:jc w:val="both"/>
        <w:rPr>
          <w:rFonts w:ascii="Arial" w:hAnsi="Arial" w:cs="Arial"/>
        </w:rPr>
      </w:pPr>
      <w:r>
        <w:rPr>
          <w:rFonts w:ascii="Arial" w:hAnsi="Arial" w:cs="Arial"/>
        </w:rPr>
        <w:t xml:space="preserve">Delays in submitting of invoices for processing; as well as </w:t>
      </w:r>
    </w:p>
    <w:p w:rsidR="00995699" w:rsidRDefault="00EB149E">
      <w:pPr>
        <w:pStyle w:val="ListParagraph1"/>
        <w:numPr>
          <w:ilvl w:val="0"/>
          <w:numId w:val="14"/>
        </w:numPr>
        <w:tabs>
          <w:tab w:val="left" w:pos="567"/>
        </w:tabs>
        <w:jc w:val="both"/>
        <w:rPr>
          <w:rFonts w:ascii="Arial" w:hAnsi="Arial" w:cs="Arial"/>
        </w:rPr>
      </w:pPr>
      <w:r>
        <w:rPr>
          <w:rFonts w:ascii="Arial" w:hAnsi="Arial" w:cs="Arial"/>
        </w:rPr>
        <w:t>Limited technical capacity.</w:t>
      </w:r>
    </w:p>
    <w:p w:rsidR="00995699" w:rsidRDefault="00EB149E">
      <w:pPr>
        <w:tabs>
          <w:tab w:val="left" w:pos="567"/>
        </w:tabs>
        <w:jc w:val="both"/>
        <w:rPr>
          <w:rFonts w:ascii="Arial" w:hAnsi="Arial" w:cs="Arial"/>
        </w:rPr>
      </w:pPr>
      <w:r>
        <w:rPr>
          <w:rFonts w:ascii="Arial" w:hAnsi="Arial" w:cs="Arial"/>
        </w:rPr>
        <w:t>The department has also reviewed the Standard Operating Procedure for payment of invoices to supplier in order to improve on the turnaround time.</w:t>
      </w:r>
    </w:p>
    <w:p w:rsidR="00995699" w:rsidRDefault="00EB149E">
      <w:pPr>
        <w:pStyle w:val="Heading1"/>
        <w:numPr>
          <w:ilvl w:val="2"/>
          <w:numId w:val="11"/>
        </w:numPr>
        <w:rPr>
          <w:rFonts w:ascii="Arial" w:eastAsia="Calibri" w:hAnsi="Arial" w:cs="Arial"/>
        </w:rPr>
      </w:pPr>
      <w:bookmarkStart w:id="9" w:name="_Toc490544990"/>
      <w:r>
        <w:rPr>
          <w:rFonts w:ascii="Arial" w:eastAsia="Calibri" w:hAnsi="Arial" w:cs="Arial"/>
        </w:rPr>
        <w:t>Filling of Critical Vacancies</w:t>
      </w:r>
      <w:bookmarkEnd w:id="9"/>
    </w:p>
    <w:p w:rsidR="00995699" w:rsidRDefault="00995699">
      <w:pPr>
        <w:spacing w:line="360" w:lineRule="auto"/>
        <w:jc w:val="center"/>
        <w:rPr>
          <w:rFonts w:ascii="Arial" w:hAnsi="Arial"/>
          <w:b/>
          <w:sz w:val="16"/>
          <w:szCs w:val="16"/>
        </w:rPr>
      </w:pPr>
    </w:p>
    <w:p w:rsidR="00995699" w:rsidRDefault="00EB149E">
      <w:pPr>
        <w:spacing w:after="0" w:line="360" w:lineRule="auto"/>
        <w:rPr>
          <w:rFonts w:ascii="Arial" w:hAnsi="Arial"/>
          <w:b/>
          <w:caps/>
          <w:sz w:val="24"/>
        </w:rPr>
      </w:pPr>
      <w:r>
        <w:rPr>
          <w:rFonts w:ascii="Arial" w:hAnsi="Arial"/>
          <w:b/>
          <w:sz w:val="24"/>
        </w:rPr>
        <w:t>Status of Critical Funded Vacancies as at 11 August 2017</w:t>
      </w:r>
    </w:p>
    <w:p w:rsidR="00995699" w:rsidRDefault="00EB149E">
      <w:pPr>
        <w:tabs>
          <w:tab w:val="left" w:pos="567"/>
        </w:tabs>
        <w:jc w:val="both"/>
        <w:rPr>
          <w:rFonts w:ascii="Arial" w:hAnsi="Arial" w:cs="Arial"/>
        </w:rPr>
      </w:pPr>
      <w:r>
        <w:rPr>
          <w:rFonts w:ascii="Arial" w:hAnsi="Arial" w:cs="Arial"/>
        </w:rPr>
        <w:t>Out of a total of 50 critical posts, 32 were filled, 12 in a process of finalisation, 1 post was suspended, 5 posts awaiting approval as priority posts. The total number of vacant posts are 18.</w:t>
      </w:r>
    </w:p>
    <w:p w:rsidR="00995699" w:rsidRDefault="00995699">
      <w:pPr>
        <w:tabs>
          <w:tab w:val="left" w:pos="284"/>
          <w:tab w:val="left" w:pos="567"/>
          <w:tab w:val="left" w:pos="720"/>
        </w:tabs>
        <w:spacing w:after="40" w:line="240" w:lineRule="auto"/>
        <w:jc w:val="both"/>
        <w:rPr>
          <w:rFonts w:ascii="Arial" w:hAnsi="Arial"/>
          <w:caps/>
          <w:sz w:val="24"/>
        </w:rPr>
      </w:pPr>
    </w:p>
    <w:p w:rsidR="00995699" w:rsidRDefault="00EB149E">
      <w:pPr>
        <w:spacing w:after="0" w:line="240" w:lineRule="auto"/>
        <w:rPr>
          <w:rFonts w:ascii="Arial" w:hAnsi="Arial" w:cs="Arial"/>
          <w:b/>
          <w:sz w:val="24"/>
          <w:szCs w:val="24"/>
        </w:rPr>
      </w:pPr>
      <w:r>
        <w:rPr>
          <w:rFonts w:ascii="Arial" w:hAnsi="Arial" w:cs="Arial"/>
          <w:b/>
          <w:sz w:val="24"/>
          <w:szCs w:val="24"/>
        </w:rPr>
        <w:t xml:space="preserve">Status of submission -Performance Management Documents </w:t>
      </w:r>
    </w:p>
    <w:tbl>
      <w:tblPr>
        <w:tblW w:w="9924" w:type="dxa"/>
        <w:tblInd w:w="-436" w:type="dxa"/>
        <w:tblLayout w:type="fixed"/>
        <w:tblCellMar>
          <w:left w:w="0" w:type="dxa"/>
          <w:right w:w="0" w:type="dxa"/>
        </w:tblCellMar>
        <w:tblLook w:val="0000"/>
      </w:tblPr>
      <w:tblGrid>
        <w:gridCol w:w="3687"/>
        <w:gridCol w:w="4252"/>
        <w:gridCol w:w="1985"/>
      </w:tblGrid>
      <w:tr w:rsidR="00995699">
        <w:tc>
          <w:tcPr>
            <w:tcW w:w="99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b/>
                <w:bCs/>
              </w:rPr>
            </w:pPr>
            <w:r>
              <w:rPr>
                <w:rFonts w:ascii="Arial" w:hAnsi="Arial" w:cs="Arial"/>
                <w:b/>
                <w:bCs/>
              </w:rPr>
              <w:t>SMS MEMBERS</w:t>
            </w:r>
          </w:p>
        </w:tc>
      </w:tr>
      <w:tr w:rsidR="00995699">
        <w:tc>
          <w:tcPr>
            <w:tcW w:w="3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spacing w:line="240" w:lineRule="auto"/>
              <w:rPr>
                <w:rFonts w:ascii="Arial" w:hAnsi="Arial" w:cs="Arial"/>
                <w:bCs/>
              </w:rPr>
            </w:pPr>
            <w:r>
              <w:rPr>
                <w:rFonts w:ascii="Arial" w:hAnsi="Arial" w:cs="Arial"/>
                <w:bCs/>
              </w:rPr>
              <w:t xml:space="preserve">Total Number of SMS members </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number of agreements submitted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Percentage</w:t>
            </w:r>
          </w:p>
        </w:tc>
      </w:tr>
      <w:tr w:rsidR="00995699">
        <w:tc>
          <w:tcPr>
            <w:tcW w:w="3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129</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129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100%</w:t>
            </w:r>
          </w:p>
        </w:tc>
      </w:tr>
      <w:tr w:rsidR="00995699">
        <w:trPr>
          <w:trHeight w:val="282"/>
        </w:trPr>
        <w:tc>
          <w:tcPr>
            <w:tcW w:w="3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number of SMS members eligible</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number of assessments submitted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Percentage</w:t>
            </w:r>
          </w:p>
        </w:tc>
      </w:tr>
      <w:tr w:rsidR="00995699">
        <w:tc>
          <w:tcPr>
            <w:tcW w:w="3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105</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103</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98%</w:t>
            </w:r>
          </w:p>
        </w:tc>
      </w:tr>
      <w:tr w:rsidR="00995699">
        <w:tc>
          <w:tcPr>
            <w:tcW w:w="99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b/>
                <w:bCs/>
              </w:rPr>
            </w:pPr>
            <w:r>
              <w:rPr>
                <w:rFonts w:ascii="Arial" w:hAnsi="Arial" w:cs="Arial"/>
                <w:b/>
                <w:bCs/>
              </w:rPr>
              <w:t xml:space="preserve">Staff members below SMS </w:t>
            </w:r>
          </w:p>
        </w:tc>
      </w:tr>
      <w:tr w:rsidR="00995699">
        <w:tc>
          <w:tcPr>
            <w:tcW w:w="3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Number of Staff members below SMS</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number of agreements submitted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Percentage</w:t>
            </w:r>
          </w:p>
        </w:tc>
      </w:tr>
      <w:tr w:rsidR="00995699">
        <w:tc>
          <w:tcPr>
            <w:tcW w:w="3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142</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141</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99.7%</w:t>
            </w:r>
          </w:p>
        </w:tc>
      </w:tr>
      <w:tr w:rsidR="00995699">
        <w:tc>
          <w:tcPr>
            <w:tcW w:w="3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Number of Staff members below SMS</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number of assessments submitted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rPr>
                <w:rFonts w:ascii="Arial" w:hAnsi="Arial" w:cs="Arial"/>
                <w:bCs/>
              </w:rPr>
            </w:pPr>
            <w:r>
              <w:rPr>
                <w:rFonts w:ascii="Arial" w:hAnsi="Arial" w:cs="Arial"/>
                <w:bCs/>
              </w:rPr>
              <w:t>Total Percentage</w:t>
            </w:r>
          </w:p>
        </w:tc>
      </w:tr>
      <w:tr w:rsidR="00995699">
        <w:tc>
          <w:tcPr>
            <w:tcW w:w="3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337</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324</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95699" w:rsidRDefault="00EB149E">
            <w:pPr>
              <w:jc w:val="center"/>
              <w:rPr>
                <w:rFonts w:ascii="Arial" w:hAnsi="Arial" w:cs="Arial"/>
              </w:rPr>
            </w:pPr>
            <w:r>
              <w:rPr>
                <w:rFonts w:ascii="Arial" w:hAnsi="Arial" w:cs="Arial"/>
              </w:rPr>
              <w:t>99%</w:t>
            </w:r>
          </w:p>
        </w:tc>
      </w:tr>
    </w:tbl>
    <w:p w:rsidR="00995699" w:rsidRDefault="00EB149E">
      <w:pPr>
        <w:pStyle w:val="Heading1"/>
        <w:numPr>
          <w:ilvl w:val="2"/>
          <w:numId w:val="11"/>
        </w:numPr>
        <w:rPr>
          <w:rFonts w:ascii="Arial" w:eastAsia="Calibri" w:hAnsi="Arial" w:cs="Arial"/>
        </w:rPr>
      </w:pPr>
      <w:bookmarkStart w:id="10" w:name="_Toc490544991"/>
      <w:r>
        <w:rPr>
          <w:rFonts w:ascii="Arial" w:eastAsia="Calibri" w:hAnsi="Arial" w:cs="Arial"/>
        </w:rPr>
        <w:t>Organogram approval status</w:t>
      </w:r>
      <w:bookmarkEnd w:id="10"/>
    </w:p>
    <w:p w:rsidR="00995699" w:rsidRDefault="00EB149E">
      <w:pPr>
        <w:tabs>
          <w:tab w:val="left" w:pos="567"/>
        </w:tabs>
        <w:jc w:val="both"/>
        <w:rPr>
          <w:rFonts w:ascii="Arial" w:hAnsi="Arial" w:cs="Arial"/>
        </w:rPr>
      </w:pPr>
      <w:r>
        <w:rPr>
          <w:rFonts w:ascii="Arial" w:hAnsi="Arial" w:cs="Arial"/>
        </w:rPr>
        <w:t>The organizational structure of the Department of Cooperative Governance was approved on the 18 March 2016</w:t>
      </w:r>
    </w:p>
    <w:p w:rsidR="00995699" w:rsidRDefault="00EB149E">
      <w:pPr>
        <w:tabs>
          <w:tab w:val="left" w:pos="567"/>
        </w:tabs>
        <w:jc w:val="both"/>
        <w:rPr>
          <w:rFonts w:ascii="Arial" w:hAnsi="Arial" w:cs="Arial"/>
        </w:rPr>
      </w:pPr>
      <w:r>
        <w:rPr>
          <w:rFonts w:ascii="Arial" w:hAnsi="Arial" w:cs="Arial"/>
        </w:rPr>
        <w:t xml:space="preserve">DCoG has a total staff complement of 454, of which 392 (86%) positions are filled, comprising 45% male and 55 % female staff members. Filled SMS posts constitute 105 %. Only 1% constitute staff members with disabilities. </w:t>
      </w:r>
    </w:p>
    <w:p w:rsidR="00995699" w:rsidRDefault="00EB149E">
      <w:pPr>
        <w:pStyle w:val="Heading1"/>
        <w:numPr>
          <w:ilvl w:val="2"/>
          <w:numId w:val="11"/>
        </w:numPr>
        <w:rPr>
          <w:rFonts w:ascii="Arial" w:eastAsia="Calibri" w:hAnsi="Arial" w:cs="Arial"/>
        </w:rPr>
      </w:pPr>
      <w:bookmarkStart w:id="11" w:name="_Toc490544992"/>
      <w:r>
        <w:rPr>
          <w:rFonts w:ascii="Arial" w:eastAsia="Calibri" w:hAnsi="Arial" w:cs="Arial"/>
        </w:rPr>
        <w:lastRenderedPageBreak/>
        <w:t>Report on the M&amp;E functioning and governance requirements</w:t>
      </w:r>
      <w:bookmarkEnd w:id="11"/>
    </w:p>
    <w:p w:rsidR="00995699" w:rsidRDefault="00995699">
      <w:pPr>
        <w:tabs>
          <w:tab w:val="left" w:pos="284"/>
          <w:tab w:val="left" w:pos="567"/>
          <w:tab w:val="left" w:pos="720"/>
        </w:tabs>
        <w:spacing w:after="40" w:line="240" w:lineRule="auto"/>
        <w:jc w:val="both"/>
        <w:rPr>
          <w:rFonts w:ascii="Arial" w:eastAsia="Times New Roman" w:hAnsi="Arial" w:cs="Arial"/>
          <w:color w:val="FF0000"/>
          <w:szCs w:val="20"/>
        </w:rPr>
      </w:pPr>
    </w:p>
    <w:p w:rsidR="00995699" w:rsidRPr="000D2F41" w:rsidRDefault="00EB149E">
      <w:pPr>
        <w:tabs>
          <w:tab w:val="left" w:pos="567"/>
        </w:tabs>
        <w:jc w:val="both"/>
        <w:rPr>
          <w:rFonts w:ascii="Arial" w:hAnsi="Arial" w:cs="Arial"/>
        </w:rPr>
      </w:pPr>
      <w:r w:rsidRPr="000D2F41">
        <w:rPr>
          <w:rFonts w:ascii="Arial" w:hAnsi="Arial" w:cs="Arial"/>
        </w:rPr>
        <w:t>The Department is currently monitoring municipalities through the monthly Back-to-Basics (B2B) Reporting System, where data on key indicators aligned to the 5 pillars of the B2B are collected and analysed.</w:t>
      </w:r>
    </w:p>
    <w:p w:rsidR="00995699" w:rsidRPr="000D2F41" w:rsidRDefault="00EB149E">
      <w:pPr>
        <w:tabs>
          <w:tab w:val="left" w:pos="567"/>
        </w:tabs>
        <w:jc w:val="both"/>
        <w:rPr>
          <w:rFonts w:ascii="Arial" w:hAnsi="Arial" w:cs="Arial"/>
        </w:rPr>
      </w:pPr>
      <w:r w:rsidRPr="000D2F41">
        <w:rPr>
          <w:rFonts w:ascii="Arial" w:hAnsi="Arial" w:cs="Arial"/>
        </w:rPr>
        <w:t>The Department is also reviewing its COGTA-wide M&amp;E Framework with the view to institutionalizing this function within the Department. The Local Government key performance indicators, in terms of section 43 of the Municipal Systems Act, will also be reviewed.</w:t>
      </w:r>
    </w:p>
    <w:p w:rsidR="00995699" w:rsidRPr="000D2F41" w:rsidRDefault="00EB149E">
      <w:pPr>
        <w:tabs>
          <w:tab w:val="left" w:pos="567"/>
        </w:tabs>
        <w:jc w:val="both"/>
        <w:rPr>
          <w:rFonts w:ascii="Arial" w:hAnsi="Arial" w:cs="Arial"/>
        </w:rPr>
      </w:pPr>
      <w:r w:rsidRPr="000D2F41">
        <w:rPr>
          <w:rFonts w:ascii="Arial" w:hAnsi="Arial" w:cs="Arial"/>
        </w:rPr>
        <w:t>The internal monitoring and reporting function of the department is functioning well. There has been a significant improvement in the management of Portfolio of Evidence and the submission of reports to the Department of Planning, Monitoring and Evaluation (DPME), National Treasury and Auditor-General.</w:t>
      </w:r>
    </w:p>
    <w:p w:rsidR="00995699" w:rsidRDefault="00EB149E">
      <w:pPr>
        <w:tabs>
          <w:tab w:val="left" w:pos="567"/>
        </w:tabs>
        <w:jc w:val="both"/>
        <w:rPr>
          <w:rFonts w:ascii="Arial" w:hAnsi="Arial" w:cs="Arial"/>
        </w:rPr>
      </w:pPr>
      <w:r>
        <w:rPr>
          <w:rFonts w:ascii="Arial" w:hAnsi="Arial" w:cs="Arial"/>
        </w:rPr>
        <w:t>The Internal M&amp;E function also facilitates the development of the Service Delivery Model and Service Delivery Improvement Plans.</w:t>
      </w:r>
    </w:p>
    <w:p w:rsidR="00995699" w:rsidRDefault="00EB149E">
      <w:pPr>
        <w:tabs>
          <w:tab w:val="left" w:pos="567"/>
        </w:tabs>
        <w:jc w:val="both"/>
        <w:rPr>
          <w:rFonts w:ascii="Arial" w:hAnsi="Arial" w:cs="Arial"/>
          <w:color w:val="FF0000"/>
        </w:rPr>
      </w:pPr>
      <w:r>
        <w:rPr>
          <w:rFonts w:ascii="Arial" w:hAnsi="Arial" w:cs="Arial"/>
        </w:rPr>
        <w:t>A Monitoring and Evaluation forum has been established with Provincial COGTA Departments for purposes of aligning National Plans with the provincial plans and developing customised performance indicators. The forum is also a platform to share knowledge and best practices</w:t>
      </w:r>
      <w:r>
        <w:rPr>
          <w:rFonts w:ascii="Arial" w:hAnsi="Arial" w:cs="Arial"/>
          <w:color w:val="FF0000"/>
        </w:rPr>
        <w:t>.</w:t>
      </w:r>
    </w:p>
    <w:p w:rsidR="00995699" w:rsidRDefault="00EB149E">
      <w:pPr>
        <w:pStyle w:val="Heading1"/>
        <w:numPr>
          <w:ilvl w:val="1"/>
          <w:numId w:val="11"/>
        </w:numPr>
        <w:rPr>
          <w:rFonts w:ascii="Arial" w:eastAsia="Calibri" w:hAnsi="Arial" w:cs="Arial"/>
        </w:rPr>
      </w:pPr>
      <w:bookmarkStart w:id="12" w:name="_Toc490544993"/>
      <w:r>
        <w:rPr>
          <w:rFonts w:ascii="Arial" w:eastAsia="Calibri" w:hAnsi="Arial" w:cs="Arial"/>
        </w:rPr>
        <w:t>Overall Status of the SCM functionality</w:t>
      </w:r>
      <w:bookmarkEnd w:id="12"/>
    </w:p>
    <w:p w:rsidR="00995699" w:rsidRDefault="00995699">
      <w:pPr>
        <w:tabs>
          <w:tab w:val="left" w:pos="567"/>
        </w:tabs>
        <w:jc w:val="both"/>
        <w:rPr>
          <w:rFonts w:ascii="Arial" w:hAnsi="Arial" w:cs="Arial"/>
        </w:rPr>
      </w:pPr>
    </w:p>
    <w:p w:rsidR="00995699" w:rsidRDefault="00EB149E">
      <w:pPr>
        <w:tabs>
          <w:tab w:val="left" w:pos="567"/>
        </w:tabs>
        <w:jc w:val="both"/>
        <w:rPr>
          <w:rFonts w:ascii="Arial" w:hAnsi="Arial" w:cs="Arial"/>
        </w:rPr>
      </w:pPr>
      <w:r>
        <w:rPr>
          <w:rFonts w:ascii="Arial" w:hAnsi="Arial" w:cs="Arial"/>
        </w:rPr>
        <w:t xml:space="preserve">Annually, the Department adopts the Procurement Plan as per the Treasury Regulation requirements and is submitted to National Treasury by the due dates. </w:t>
      </w:r>
    </w:p>
    <w:p w:rsidR="00995699" w:rsidRDefault="00EB149E">
      <w:pPr>
        <w:tabs>
          <w:tab w:val="left" w:pos="567"/>
        </w:tabs>
        <w:jc w:val="both"/>
        <w:rPr>
          <w:rFonts w:ascii="Arial" w:hAnsi="Arial" w:cs="Arial"/>
        </w:rPr>
      </w:pPr>
      <w:r>
        <w:rPr>
          <w:rFonts w:ascii="Arial" w:hAnsi="Arial" w:cs="Arial"/>
        </w:rPr>
        <w:t xml:space="preserve">The Department had forty-six (46) projects on the Procurement Plan for 2016/17 financial year. </w:t>
      </w:r>
    </w:p>
    <w:p w:rsidR="00995699" w:rsidRDefault="00EB149E">
      <w:pPr>
        <w:tabs>
          <w:tab w:val="left" w:pos="567"/>
        </w:tabs>
        <w:jc w:val="both"/>
        <w:rPr>
          <w:rFonts w:ascii="Arial" w:hAnsi="Arial" w:cs="Arial"/>
        </w:rPr>
      </w:pPr>
      <w:r>
        <w:rPr>
          <w:rFonts w:ascii="Arial" w:hAnsi="Arial" w:cs="Arial"/>
        </w:rPr>
        <w:t xml:space="preserve">Due to changes to National Treasury directives other factors, twenty four (24) projects were withdrawn from internal procurement processes to be executed either through MoUs, National Treasury Transversal Contracts, utilising of internal capacity and non-response from bidders. </w:t>
      </w:r>
    </w:p>
    <w:p w:rsidR="00995699" w:rsidRDefault="00EB149E">
      <w:pPr>
        <w:tabs>
          <w:tab w:val="left" w:pos="567"/>
        </w:tabs>
        <w:jc w:val="both"/>
        <w:rPr>
          <w:rFonts w:ascii="Arial" w:hAnsi="Arial" w:cs="Arial"/>
        </w:rPr>
      </w:pPr>
      <w:r>
        <w:rPr>
          <w:rFonts w:ascii="Arial" w:hAnsi="Arial" w:cs="Arial"/>
        </w:rPr>
        <w:t xml:space="preserve">The main empowerment goals of the Department include Local Content as directed by National Treasury, Women and Youth, above 18-years. </w:t>
      </w:r>
    </w:p>
    <w:p w:rsidR="00995699" w:rsidRDefault="00EB149E">
      <w:pPr>
        <w:pStyle w:val="Heading1"/>
        <w:numPr>
          <w:ilvl w:val="1"/>
          <w:numId w:val="11"/>
        </w:numPr>
        <w:rPr>
          <w:rFonts w:ascii="Arial" w:eastAsia="Calibri" w:hAnsi="Arial" w:cs="Arial"/>
        </w:rPr>
      </w:pPr>
      <w:bookmarkStart w:id="13" w:name="_Toc490544994"/>
      <w:r>
        <w:rPr>
          <w:rFonts w:ascii="Arial" w:eastAsia="Calibri" w:hAnsi="Arial" w:cs="Arial"/>
        </w:rPr>
        <w:t>Brief discussion on each entity within DCoG</w:t>
      </w:r>
      <w:bookmarkEnd w:id="13"/>
    </w:p>
    <w:p w:rsidR="00995699" w:rsidRDefault="00EB149E">
      <w:pPr>
        <w:pStyle w:val="Heading1"/>
        <w:numPr>
          <w:ilvl w:val="2"/>
          <w:numId w:val="11"/>
        </w:numPr>
        <w:rPr>
          <w:rFonts w:ascii="Arial" w:eastAsia="Calibri" w:hAnsi="Arial" w:cs="Arial"/>
        </w:rPr>
      </w:pPr>
      <w:bookmarkStart w:id="14" w:name="_Toc490544995"/>
      <w:r>
        <w:rPr>
          <w:rFonts w:ascii="Arial" w:eastAsia="Calibri" w:hAnsi="Arial" w:cs="Arial"/>
        </w:rPr>
        <w:t>South African Local Government Association (SALGA)</w:t>
      </w:r>
      <w:bookmarkEnd w:id="14"/>
    </w:p>
    <w:p w:rsidR="00995699" w:rsidRDefault="00995699">
      <w:pPr>
        <w:pStyle w:val="ListParagraph1"/>
        <w:spacing w:after="0"/>
        <w:ind w:left="644" w:right="462"/>
        <w:jc w:val="both"/>
        <w:rPr>
          <w:rFonts w:ascii="Arial" w:hAnsi="Arial" w:cs="Arial"/>
          <w:sz w:val="24"/>
          <w:szCs w:val="24"/>
        </w:rPr>
      </w:pPr>
    </w:p>
    <w:p w:rsidR="00995699" w:rsidRDefault="00EB149E">
      <w:pPr>
        <w:tabs>
          <w:tab w:val="left" w:pos="567"/>
        </w:tabs>
        <w:jc w:val="both"/>
        <w:rPr>
          <w:rFonts w:ascii="Arial" w:hAnsi="Arial" w:cs="Arial"/>
        </w:rPr>
      </w:pPr>
      <w:r>
        <w:rPr>
          <w:rFonts w:ascii="Arial" w:hAnsi="Arial" w:cs="Arial"/>
        </w:rPr>
        <w:t>SALGA is an association that consists of one national office and nine provincial offices that represent the interest of 257 municipalities across the country. Membership to SALGA by municipalities is voluntary in nature and in line with its constitution SALGA account to its member’s municipalities through its Governance Framework regulating its structures and mandating processes.</w:t>
      </w:r>
    </w:p>
    <w:p w:rsidR="00995699" w:rsidRDefault="00EB149E">
      <w:pPr>
        <w:tabs>
          <w:tab w:val="left" w:pos="567"/>
        </w:tabs>
        <w:jc w:val="both"/>
        <w:rPr>
          <w:rFonts w:ascii="Arial" w:hAnsi="Arial" w:cs="Arial"/>
        </w:rPr>
      </w:pPr>
      <w:r>
        <w:rPr>
          <w:rFonts w:ascii="Arial" w:hAnsi="Arial" w:cs="Arial"/>
        </w:rPr>
        <w:lastRenderedPageBreak/>
        <w:t>The association has a National Executive Committee (NEC) comprising of elected councillors (primarily mayors and office bearers in municipalities) responsible for the affairs of the organisation between National Conferences and Members’ Assemblies, as the highest and second highest decision making bodies of the association respectively. Its administration is headed by a Chief Executive Officer.</w:t>
      </w:r>
    </w:p>
    <w:p w:rsidR="00995699" w:rsidRDefault="00EB149E">
      <w:pPr>
        <w:tabs>
          <w:tab w:val="left" w:pos="567"/>
        </w:tabs>
        <w:jc w:val="both"/>
        <w:rPr>
          <w:rFonts w:ascii="Arial" w:hAnsi="Arial" w:cs="Arial"/>
        </w:rPr>
      </w:pPr>
      <w:r>
        <w:rPr>
          <w:rFonts w:ascii="Arial" w:hAnsi="Arial" w:cs="Arial"/>
        </w:rPr>
        <w:t>SALGA is listed as a Schedule 3A public entity it is therefore accountable for its revenue and expenditure in terms of the Public Finance Management Act of 1999. It is called to account to Parliament annually through tabling of Annual Performance Plans and Annual Reports on its performance and expenditure as a consequence of its listing in terms of this Act.</w:t>
      </w:r>
    </w:p>
    <w:p w:rsidR="00995699" w:rsidRDefault="00EB149E">
      <w:pPr>
        <w:tabs>
          <w:tab w:val="left" w:pos="567"/>
        </w:tabs>
        <w:jc w:val="both"/>
        <w:rPr>
          <w:rFonts w:ascii="Arial" w:hAnsi="Arial" w:cs="Arial"/>
        </w:rPr>
      </w:pPr>
      <w:r>
        <w:rPr>
          <w:rFonts w:ascii="Arial" w:hAnsi="Arial" w:cs="Arial"/>
        </w:rPr>
        <w:t xml:space="preserve">SALGA has set out its role to represent, promote and protect the interests of local governments and to raise the profile of local government, amongst other objectives. SALGA is funded through a combination of sources, in 2016/17 the primarily membership fees was (81%), donations from the donor community for specific projects (6%), other sources (9%) and an annual allocation from the national fiscus (4%). </w:t>
      </w:r>
    </w:p>
    <w:p w:rsidR="00995699" w:rsidRDefault="00EB149E">
      <w:pPr>
        <w:tabs>
          <w:tab w:val="left" w:pos="567"/>
        </w:tabs>
        <w:jc w:val="both"/>
        <w:rPr>
          <w:rFonts w:ascii="Arial" w:hAnsi="Arial" w:cs="Arial"/>
        </w:rPr>
      </w:pPr>
      <w:r>
        <w:rPr>
          <w:rFonts w:ascii="Arial" w:hAnsi="Arial" w:cs="Arial"/>
        </w:rPr>
        <w:t xml:space="preserve">Since its establishment, SALGA has endeavored to bring focus to its mandate of supporting local government transformation in a complex environment, characterised by a highly diverse membership-base of municipalities. SALGA has a clear strategic role to play in representing the interests of local government within the system of government as a whole and supporting its members to fulfil their developmental obligations. SALGA as a partner with government, is expected to be an active participant in the intergovernmental relations (IGR) system, to provide proposals on policy matters for consideration by government on numerous issues affecting municipalities as well as to provide solutions to the challenges facing local government in generally. SALGA’s mandate is therefore summarised as follows: </w:t>
      </w:r>
    </w:p>
    <w:p w:rsidR="00995699" w:rsidRDefault="00EB149E">
      <w:pPr>
        <w:tabs>
          <w:tab w:val="left" w:pos="567"/>
        </w:tabs>
        <w:jc w:val="both"/>
        <w:rPr>
          <w:rFonts w:ascii="Arial" w:hAnsi="Arial" w:cs="Arial"/>
        </w:rPr>
      </w:pPr>
      <w:r>
        <w:rPr>
          <w:rFonts w:ascii="Arial" w:hAnsi="Arial" w:cs="Arial"/>
        </w:rPr>
        <w:t>Lobby, Advocate &amp; Represent: Lobby, advocate, protect and represent the interest of local government at relevant structures and platforms.</w:t>
      </w:r>
    </w:p>
    <w:p w:rsidR="00995699" w:rsidRDefault="00EB149E">
      <w:pPr>
        <w:tabs>
          <w:tab w:val="left" w:pos="567"/>
        </w:tabs>
        <w:jc w:val="both"/>
        <w:rPr>
          <w:rFonts w:ascii="Arial" w:hAnsi="Arial" w:cs="Arial"/>
        </w:rPr>
      </w:pPr>
      <w:r>
        <w:rPr>
          <w:rFonts w:ascii="Arial" w:hAnsi="Arial" w:cs="Arial"/>
        </w:rPr>
        <w:t>Employer Body: Act as an employer body representing all municipal members and, by agreement, associate members.</w:t>
      </w:r>
    </w:p>
    <w:p w:rsidR="00995699" w:rsidRDefault="00EB149E">
      <w:pPr>
        <w:tabs>
          <w:tab w:val="left" w:pos="567"/>
        </w:tabs>
        <w:jc w:val="both"/>
        <w:rPr>
          <w:rFonts w:ascii="Arial" w:hAnsi="Arial" w:cs="Arial"/>
        </w:rPr>
      </w:pPr>
      <w:r>
        <w:rPr>
          <w:rFonts w:ascii="Arial" w:hAnsi="Arial" w:cs="Arial"/>
        </w:rPr>
        <w:t>Capacity Building: Build capacity of the municipality as an institution as well as leadership and technical capacity of both Councillors and Officials.</w:t>
      </w:r>
    </w:p>
    <w:p w:rsidR="00995699" w:rsidRDefault="00EB149E">
      <w:pPr>
        <w:tabs>
          <w:tab w:val="left" w:pos="567"/>
        </w:tabs>
        <w:jc w:val="both"/>
        <w:rPr>
          <w:rFonts w:ascii="Arial" w:hAnsi="Arial" w:cs="Arial"/>
        </w:rPr>
      </w:pPr>
      <w:r>
        <w:rPr>
          <w:rFonts w:ascii="Arial" w:hAnsi="Arial" w:cs="Arial"/>
        </w:rPr>
        <w:t>Support &amp; Advice: Support and advice members on a range of issues to assist effective execution of their mandate.</w:t>
      </w:r>
    </w:p>
    <w:p w:rsidR="00995699" w:rsidRDefault="00EB149E">
      <w:pPr>
        <w:tabs>
          <w:tab w:val="left" w:pos="567"/>
        </w:tabs>
        <w:jc w:val="both"/>
        <w:rPr>
          <w:rFonts w:ascii="Arial" w:hAnsi="Arial" w:cs="Arial"/>
        </w:rPr>
      </w:pPr>
      <w:r>
        <w:rPr>
          <w:rFonts w:ascii="Arial" w:hAnsi="Arial" w:cs="Arial"/>
        </w:rPr>
        <w:t>Strategic Profiling: Build the profile and image of local government within South Africa as well as outside the country.</w:t>
      </w:r>
    </w:p>
    <w:p w:rsidR="00995699" w:rsidRDefault="00EB149E">
      <w:pPr>
        <w:tabs>
          <w:tab w:val="left" w:pos="567"/>
        </w:tabs>
        <w:jc w:val="both"/>
        <w:rPr>
          <w:rFonts w:ascii="Arial" w:hAnsi="Arial" w:cs="Arial"/>
        </w:rPr>
      </w:pPr>
      <w:r>
        <w:rPr>
          <w:rFonts w:ascii="Arial" w:hAnsi="Arial" w:cs="Arial"/>
        </w:rPr>
        <w:t>Knowledge &amp; Information sharing: Serve as the main hub of LG knowledge and to facilitate peer learning within the sector.</w:t>
      </w:r>
    </w:p>
    <w:p w:rsidR="00995699" w:rsidRDefault="00995699">
      <w:pPr>
        <w:spacing w:after="0"/>
        <w:ind w:left="284" w:right="462"/>
        <w:jc w:val="both"/>
        <w:rPr>
          <w:rFonts w:ascii="Arial" w:eastAsia="Gill Sans Light" w:hAnsi="Arial" w:cs="Arial"/>
          <w:b/>
          <w:color w:val="231F20"/>
          <w:sz w:val="24"/>
          <w:szCs w:val="24"/>
        </w:rPr>
      </w:pPr>
    </w:p>
    <w:p w:rsidR="00995699" w:rsidRDefault="00EB149E">
      <w:pPr>
        <w:spacing w:after="0"/>
        <w:ind w:left="-77" w:right="462"/>
        <w:jc w:val="both"/>
        <w:rPr>
          <w:rFonts w:ascii="Arial" w:eastAsia="Gill Sans Light" w:hAnsi="Arial" w:cs="Arial"/>
          <w:b/>
          <w:color w:val="231F20"/>
          <w:sz w:val="24"/>
          <w:szCs w:val="24"/>
        </w:rPr>
      </w:pPr>
      <w:r>
        <w:rPr>
          <w:rFonts w:ascii="Arial" w:eastAsia="Gill Sans Light" w:hAnsi="Arial" w:cs="Arial"/>
          <w:b/>
          <w:color w:val="231F20"/>
          <w:sz w:val="24"/>
          <w:szCs w:val="24"/>
        </w:rPr>
        <w:t>Major Risks</w:t>
      </w:r>
    </w:p>
    <w:p w:rsidR="00995699" w:rsidRDefault="00995699">
      <w:pPr>
        <w:spacing w:after="0"/>
        <w:ind w:left="284" w:right="462"/>
        <w:jc w:val="both"/>
        <w:rPr>
          <w:rFonts w:ascii="Arial" w:eastAsia="Gill Sans Light" w:hAnsi="Arial" w:cs="Arial"/>
          <w:b/>
          <w:color w:val="231F20"/>
          <w:sz w:val="24"/>
          <w:szCs w:val="24"/>
        </w:rPr>
      </w:pPr>
    </w:p>
    <w:p w:rsidR="00995699" w:rsidRDefault="00EB149E">
      <w:pPr>
        <w:tabs>
          <w:tab w:val="left" w:pos="567"/>
        </w:tabs>
        <w:jc w:val="both"/>
        <w:rPr>
          <w:rFonts w:ascii="Arial" w:hAnsi="Arial" w:cs="Arial"/>
        </w:rPr>
      </w:pPr>
      <w:r>
        <w:rPr>
          <w:rFonts w:ascii="Arial" w:hAnsi="Arial" w:cs="Arial"/>
        </w:rPr>
        <w:t xml:space="preserve">Some of the major risks affecting SALGA is the voluntary nature of the organisation which may result inability to fund SALGA operations due to its limited revenue base that is highly reliant on membership levies, and an underfunded IGR function which impacts on performance in so far as implementations of programme aimed to support municipalities. In addition, inadequate and or lack of impact assessments of programmes and assistance provided to municipalities and misunderstanding of SALGA’s mandate by stakeholders.  </w:t>
      </w:r>
      <w:r>
        <w:rPr>
          <w:rFonts w:ascii="Arial" w:hAnsi="Arial" w:cs="Arial"/>
        </w:rPr>
        <w:lastRenderedPageBreak/>
        <w:t>DSALGA has identified mitigation strategy that will deal with these risks such as development of revenue innovative model, development and implementation of Monitoring and Evaluation Framework and profiling SALGA through the integrated marketing, communication and stakeholder strategy.</w:t>
      </w:r>
    </w:p>
    <w:p w:rsidR="00995699" w:rsidRDefault="00EB149E">
      <w:pPr>
        <w:pStyle w:val="Heading1"/>
        <w:numPr>
          <w:ilvl w:val="2"/>
          <w:numId w:val="11"/>
        </w:numPr>
        <w:rPr>
          <w:rFonts w:ascii="Arial" w:eastAsia="Calibri" w:hAnsi="Arial" w:cs="Arial"/>
        </w:rPr>
      </w:pPr>
      <w:bookmarkStart w:id="15" w:name="_Toc490544996"/>
      <w:bookmarkStart w:id="16" w:name="_Toc480982833"/>
      <w:r>
        <w:rPr>
          <w:rFonts w:ascii="Arial" w:eastAsia="Calibri" w:hAnsi="Arial" w:cs="Arial"/>
        </w:rPr>
        <w:t>Municipal Demarcation Board (MDB)</w:t>
      </w:r>
      <w:bookmarkEnd w:id="15"/>
    </w:p>
    <w:bookmarkEnd w:id="16"/>
    <w:p w:rsidR="00995699" w:rsidRDefault="00995699"/>
    <w:p w:rsidR="00995699" w:rsidRDefault="00EB149E">
      <w:pPr>
        <w:tabs>
          <w:tab w:val="left" w:pos="567"/>
        </w:tabs>
        <w:jc w:val="both"/>
        <w:rPr>
          <w:rFonts w:ascii="Arial" w:hAnsi="Arial" w:cs="Arial"/>
        </w:rPr>
      </w:pPr>
      <w:r>
        <w:rPr>
          <w:rFonts w:ascii="Arial" w:hAnsi="Arial" w:cs="Arial"/>
        </w:rPr>
        <w:t xml:space="preserve">MDB is mandated in terms of section 155 (3) (b) of the Constitution of the Republic of South Africa “to determine municipal boundaries independently. MDB was established in accordance with the Municipal Demarcation Act No. 27 of 1998 read together with the Municipal Structures Act No. 108 of 1998. </w:t>
      </w:r>
    </w:p>
    <w:p w:rsidR="00995699" w:rsidRDefault="00EB149E">
      <w:pPr>
        <w:tabs>
          <w:tab w:val="left" w:pos="567"/>
        </w:tabs>
        <w:jc w:val="both"/>
        <w:rPr>
          <w:rFonts w:ascii="Arial" w:hAnsi="Arial" w:cs="Arial"/>
        </w:rPr>
      </w:pPr>
      <w:r>
        <w:rPr>
          <w:rFonts w:ascii="Arial" w:hAnsi="Arial" w:cs="Arial"/>
        </w:rPr>
        <w:t xml:space="preserve">MDB is independent, and must perform its functions without fear, favour and prejudice assigned with the following functions: </w:t>
      </w:r>
    </w:p>
    <w:p w:rsidR="00995699" w:rsidRDefault="00EB149E">
      <w:pPr>
        <w:pStyle w:val="ListParagraph1"/>
        <w:numPr>
          <w:ilvl w:val="0"/>
          <w:numId w:val="15"/>
        </w:numPr>
        <w:tabs>
          <w:tab w:val="left" w:pos="567"/>
        </w:tabs>
        <w:spacing w:after="0" w:line="360" w:lineRule="auto"/>
        <w:jc w:val="both"/>
        <w:rPr>
          <w:rFonts w:ascii="Arial" w:hAnsi="Arial" w:cs="Arial"/>
          <w:szCs w:val="24"/>
        </w:rPr>
      </w:pPr>
      <w:r>
        <w:rPr>
          <w:rFonts w:ascii="Arial" w:hAnsi="Arial" w:cs="Arial"/>
          <w:szCs w:val="24"/>
        </w:rPr>
        <w:t>Determine or re-determine the outer boundaries (municipal boundaries) of the three categories of municipality provided for in the Constitution (That is, category A [metropolitan], category B [local] and category C [district] municipalities) for the whole of the territory of the Republic, including the boundaries of cross-boundary municipalities;</w:t>
      </w:r>
    </w:p>
    <w:p w:rsidR="00995699" w:rsidRDefault="00EB149E">
      <w:pPr>
        <w:pStyle w:val="ListParagraph1"/>
        <w:numPr>
          <w:ilvl w:val="0"/>
          <w:numId w:val="15"/>
        </w:numPr>
        <w:tabs>
          <w:tab w:val="left" w:pos="567"/>
        </w:tabs>
        <w:spacing w:after="0" w:line="360" w:lineRule="auto"/>
        <w:jc w:val="both"/>
        <w:rPr>
          <w:rFonts w:ascii="Arial" w:hAnsi="Arial" w:cs="Arial"/>
          <w:szCs w:val="24"/>
        </w:rPr>
      </w:pPr>
      <w:r>
        <w:rPr>
          <w:rFonts w:ascii="Arial" w:hAnsi="Arial" w:cs="Arial"/>
          <w:szCs w:val="24"/>
        </w:rPr>
        <w:t>Delimit wards for local government elections;</w:t>
      </w:r>
    </w:p>
    <w:p w:rsidR="00995699" w:rsidRDefault="00EB149E">
      <w:pPr>
        <w:pStyle w:val="ListParagraph1"/>
        <w:numPr>
          <w:ilvl w:val="0"/>
          <w:numId w:val="15"/>
        </w:numPr>
        <w:tabs>
          <w:tab w:val="left" w:pos="567"/>
        </w:tabs>
        <w:spacing w:after="0" w:line="360" w:lineRule="auto"/>
        <w:jc w:val="both"/>
        <w:rPr>
          <w:rFonts w:ascii="Arial" w:hAnsi="Arial" w:cs="Arial"/>
          <w:szCs w:val="24"/>
        </w:rPr>
      </w:pPr>
      <w:r>
        <w:rPr>
          <w:rFonts w:ascii="Arial" w:hAnsi="Arial" w:cs="Arial"/>
          <w:szCs w:val="24"/>
        </w:rPr>
        <w:t xml:space="preserve"> Perform various advisory functions, such as the alignment of functional or service delivery boundaries with constitutional boundaries; and</w:t>
      </w:r>
    </w:p>
    <w:p w:rsidR="00995699" w:rsidRDefault="00EB149E">
      <w:pPr>
        <w:pStyle w:val="ListParagraph1"/>
        <w:numPr>
          <w:ilvl w:val="0"/>
          <w:numId w:val="15"/>
        </w:numPr>
        <w:tabs>
          <w:tab w:val="left" w:pos="567"/>
        </w:tabs>
        <w:spacing w:after="0" w:line="360" w:lineRule="auto"/>
        <w:jc w:val="both"/>
        <w:rPr>
          <w:rFonts w:ascii="Arial" w:hAnsi="Arial" w:cs="Arial"/>
          <w:szCs w:val="24"/>
        </w:rPr>
      </w:pPr>
      <w:r>
        <w:rPr>
          <w:rFonts w:ascii="Arial" w:hAnsi="Arial" w:cs="Arial"/>
          <w:szCs w:val="24"/>
        </w:rPr>
        <w:t>Assess the capacity of municipalities and perform an advisory role in the division and allocation of functions and powers to municipalities falling outside the metropolitan areas.</w:t>
      </w:r>
    </w:p>
    <w:p w:rsidR="00995699" w:rsidRDefault="00995699">
      <w:pPr>
        <w:pStyle w:val="ListParagraph1"/>
        <w:tabs>
          <w:tab w:val="left" w:pos="426"/>
        </w:tabs>
        <w:spacing w:after="0" w:line="360" w:lineRule="auto"/>
        <w:ind w:left="714"/>
        <w:jc w:val="both"/>
        <w:rPr>
          <w:rFonts w:ascii="Arial" w:hAnsi="Arial" w:cs="Arial"/>
          <w:sz w:val="24"/>
          <w:szCs w:val="24"/>
        </w:rPr>
      </w:pPr>
    </w:p>
    <w:p w:rsidR="00995699" w:rsidRDefault="00EB149E">
      <w:pPr>
        <w:tabs>
          <w:tab w:val="left" w:pos="567"/>
        </w:tabs>
        <w:jc w:val="both"/>
        <w:rPr>
          <w:rFonts w:ascii="Arial" w:hAnsi="Arial" w:cs="Arial"/>
        </w:rPr>
      </w:pPr>
      <w:r>
        <w:rPr>
          <w:rFonts w:ascii="Arial" w:hAnsi="Arial" w:cs="Arial"/>
        </w:rPr>
        <w:t>The process governing the redetermination of municipal boundaries, and the criteria to be applied, are legislated in the Municipal Demarcation Act (MDA) and the Municipal Structures Act (MSA).</w:t>
      </w:r>
    </w:p>
    <w:p w:rsidR="00995699" w:rsidRDefault="00EB149E">
      <w:pPr>
        <w:spacing w:after="0" w:line="360" w:lineRule="auto"/>
        <w:jc w:val="both"/>
        <w:rPr>
          <w:rFonts w:ascii="Arial" w:hAnsi="Arial" w:cs="Arial"/>
          <w:b/>
          <w:sz w:val="24"/>
          <w:szCs w:val="24"/>
        </w:rPr>
      </w:pPr>
      <w:r>
        <w:rPr>
          <w:rFonts w:ascii="Arial" w:hAnsi="Arial" w:cs="Arial"/>
          <w:b/>
          <w:sz w:val="24"/>
          <w:szCs w:val="24"/>
        </w:rPr>
        <w:t>Some of the emerging matters that require attention in the MDB’s environment:</w:t>
      </w:r>
    </w:p>
    <w:p w:rsidR="000D2F41" w:rsidRPr="000D2F41" w:rsidRDefault="00EB149E" w:rsidP="000D2F41">
      <w:pPr>
        <w:tabs>
          <w:tab w:val="left" w:pos="567"/>
        </w:tabs>
        <w:jc w:val="both"/>
        <w:rPr>
          <w:rFonts w:ascii="Arial" w:hAnsi="Arial" w:cs="Arial"/>
        </w:rPr>
      </w:pPr>
      <w:r>
        <w:rPr>
          <w:rFonts w:ascii="Arial" w:hAnsi="Arial" w:cs="Arial"/>
        </w:rPr>
        <w:t>The Department in collaboration with the MDB is currently amending the Municipal Demarcation Act. This process is a priority and the specific areas for review include the following</w:t>
      </w:r>
      <w:r w:rsidR="000D2F41">
        <w:rPr>
          <w:rFonts w:ascii="Arial" w:hAnsi="Arial" w:cs="Arial"/>
        </w:rPr>
        <w:t>:</w:t>
      </w:r>
    </w:p>
    <w:p w:rsidR="00995699" w:rsidRDefault="00EB149E" w:rsidP="000D2F41">
      <w:pPr>
        <w:tabs>
          <w:tab w:val="left" w:pos="567"/>
        </w:tabs>
        <w:jc w:val="both"/>
        <w:rPr>
          <w:rFonts w:ascii="Arial" w:hAnsi="Arial" w:cs="Arial"/>
          <w:szCs w:val="24"/>
        </w:rPr>
      </w:pPr>
      <w:r>
        <w:rPr>
          <w:rFonts w:ascii="Arial" w:hAnsi="Arial" w:cs="Arial"/>
          <w:bCs/>
          <w:szCs w:val="24"/>
        </w:rPr>
        <w:t xml:space="preserve">Frequency of the cycle for re-determinations of municipal boundaries. </w:t>
      </w:r>
      <w:r>
        <w:rPr>
          <w:rFonts w:ascii="Arial" w:hAnsi="Arial" w:cs="Arial"/>
          <w:szCs w:val="24"/>
        </w:rPr>
        <w:t>is found to destabilize municipalities, i.e. it is argued that municipalities are not given enough time to move from transitional phase into fully functional entities.</w:t>
      </w:r>
      <w:r>
        <w:t xml:space="preserve"> </w:t>
      </w:r>
      <w:r>
        <w:rPr>
          <w:rFonts w:ascii="Arial" w:hAnsi="Arial" w:cs="Arial"/>
          <w:szCs w:val="24"/>
        </w:rPr>
        <w:t>A ten-year cycle is being proposed;</w:t>
      </w:r>
    </w:p>
    <w:p w:rsidR="00995699" w:rsidRDefault="00EB149E">
      <w:pPr>
        <w:pStyle w:val="ListParagraph1"/>
        <w:numPr>
          <w:ilvl w:val="0"/>
          <w:numId w:val="16"/>
        </w:numPr>
        <w:spacing w:after="0" w:line="360" w:lineRule="auto"/>
        <w:jc w:val="both"/>
        <w:rPr>
          <w:rFonts w:ascii="Arial" w:hAnsi="Arial" w:cs="Arial"/>
          <w:szCs w:val="24"/>
        </w:rPr>
      </w:pPr>
      <w:r>
        <w:rPr>
          <w:rFonts w:ascii="Arial" w:hAnsi="Arial" w:cs="Arial"/>
          <w:bCs/>
          <w:szCs w:val="24"/>
        </w:rPr>
        <w:t>Inadequate public participation processes</w:t>
      </w:r>
      <w:r>
        <w:rPr>
          <w:rFonts w:ascii="Arial" w:hAnsi="Arial" w:cs="Arial"/>
          <w:szCs w:val="24"/>
        </w:rPr>
        <w:t>; and</w:t>
      </w:r>
    </w:p>
    <w:p w:rsidR="00995699" w:rsidRDefault="00EB149E">
      <w:pPr>
        <w:pStyle w:val="ListParagraph1"/>
        <w:numPr>
          <w:ilvl w:val="0"/>
          <w:numId w:val="16"/>
        </w:numPr>
        <w:spacing w:after="0" w:line="360" w:lineRule="auto"/>
        <w:jc w:val="both"/>
        <w:rPr>
          <w:rFonts w:ascii="Arial" w:hAnsi="Arial" w:cs="Arial"/>
          <w:szCs w:val="24"/>
        </w:rPr>
      </w:pPr>
      <w:r>
        <w:rPr>
          <w:rFonts w:ascii="Arial" w:hAnsi="Arial" w:cs="Arial"/>
          <w:bCs/>
          <w:szCs w:val="24"/>
        </w:rPr>
        <w:t xml:space="preserve">Absence of an appeals mechanism </w:t>
      </w:r>
      <w:r>
        <w:rPr>
          <w:rFonts w:ascii="Arial" w:hAnsi="Arial" w:cs="Arial"/>
          <w:szCs w:val="24"/>
        </w:rPr>
        <w:t>makes the costly and protracted process of litigation the only available means to challenge Board decisions.</w:t>
      </w:r>
    </w:p>
    <w:p w:rsidR="00995699" w:rsidRDefault="00EB149E">
      <w:pPr>
        <w:pStyle w:val="ListParagraph1"/>
        <w:numPr>
          <w:ilvl w:val="0"/>
          <w:numId w:val="16"/>
        </w:numPr>
        <w:spacing w:after="0" w:line="360" w:lineRule="auto"/>
        <w:jc w:val="both"/>
        <w:rPr>
          <w:rFonts w:ascii="Arial" w:hAnsi="Arial" w:cs="Arial"/>
          <w:szCs w:val="24"/>
        </w:rPr>
      </w:pPr>
      <w:r>
        <w:rPr>
          <w:rFonts w:ascii="Arial" w:hAnsi="Arial" w:cs="Arial"/>
          <w:bCs/>
          <w:szCs w:val="24"/>
        </w:rPr>
        <w:t xml:space="preserve">Provincial boundaries that need to be reviewed to accommodate areas with challenges </w:t>
      </w:r>
      <w:r>
        <w:rPr>
          <w:rFonts w:ascii="Arial" w:hAnsi="Arial" w:cs="Arial"/>
          <w:szCs w:val="24"/>
        </w:rPr>
        <w:t>e.g. Moutse, Dipaleseng, Ba ga Mothibi, Matatiele, etc.</w:t>
      </w:r>
    </w:p>
    <w:p w:rsidR="00995699" w:rsidRDefault="00EB149E">
      <w:pPr>
        <w:pStyle w:val="ListParagraph1"/>
        <w:numPr>
          <w:ilvl w:val="0"/>
          <w:numId w:val="16"/>
        </w:numPr>
        <w:spacing w:after="0" w:line="360" w:lineRule="auto"/>
        <w:jc w:val="both"/>
        <w:rPr>
          <w:rFonts w:ascii="Arial" w:hAnsi="Arial" w:cs="Arial"/>
          <w:szCs w:val="24"/>
        </w:rPr>
      </w:pPr>
      <w:r>
        <w:rPr>
          <w:rFonts w:ascii="Arial" w:hAnsi="Arial" w:cs="Arial"/>
          <w:bCs/>
          <w:szCs w:val="24"/>
        </w:rPr>
        <w:lastRenderedPageBreak/>
        <w:t xml:space="preserve">Inadequate funding of MDB: </w:t>
      </w:r>
      <w:r>
        <w:rPr>
          <w:rFonts w:ascii="Arial" w:hAnsi="Arial" w:cs="Arial"/>
          <w:szCs w:val="24"/>
        </w:rPr>
        <w:t>constraining effective public participation and establishment of regional presence.</w:t>
      </w:r>
    </w:p>
    <w:p w:rsidR="00995699" w:rsidRDefault="00EB149E">
      <w:pPr>
        <w:pStyle w:val="ListParagraph1"/>
        <w:numPr>
          <w:ilvl w:val="0"/>
          <w:numId w:val="16"/>
        </w:numPr>
        <w:spacing w:after="0" w:line="360" w:lineRule="auto"/>
        <w:jc w:val="both"/>
        <w:rPr>
          <w:rFonts w:ascii="Arial" w:hAnsi="Arial" w:cs="Arial"/>
          <w:szCs w:val="24"/>
        </w:rPr>
      </w:pPr>
      <w:r>
        <w:rPr>
          <w:rFonts w:ascii="Arial" w:hAnsi="Arial" w:cs="Arial"/>
          <w:szCs w:val="24"/>
        </w:rPr>
        <w:t xml:space="preserve">Instances of </w:t>
      </w:r>
      <w:r>
        <w:rPr>
          <w:rFonts w:ascii="Arial" w:hAnsi="Arial" w:cs="Arial"/>
          <w:bCs/>
          <w:szCs w:val="24"/>
        </w:rPr>
        <w:t xml:space="preserve">misaligned municipal boundaries </w:t>
      </w:r>
      <w:r>
        <w:rPr>
          <w:rFonts w:ascii="Arial" w:hAnsi="Arial" w:cs="Arial"/>
          <w:szCs w:val="24"/>
        </w:rPr>
        <w:t>to cadastral farms and split settlements.  This includes spatial</w:t>
      </w:r>
      <w:r>
        <w:rPr>
          <w:rFonts w:ascii="Arial" w:hAnsi="Arial" w:cs="Arial"/>
          <w:bCs/>
          <w:szCs w:val="24"/>
        </w:rPr>
        <w:t xml:space="preserve"> discrepancies and land disputes concerning traditional authority areas</w:t>
      </w:r>
      <w:r>
        <w:rPr>
          <w:rFonts w:ascii="Arial" w:hAnsi="Arial" w:cs="Arial"/>
          <w:szCs w:val="24"/>
        </w:rPr>
        <w:t xml:space="preserve"> exacerbated by </w:t>
      </w:r>
      <w:r>
        <w:rPr>
          <w:rFonts w:ascii="Arial" w:hAnsi="Arial" w:cs="Arial"/>
          <w:bCs/>
          <w:szCs w:val="24"/>
        </w:rPr>
        <w:t xml:space="preserve">lack of proclamations </w:t>
      </w:r>
      <w:r>
        <w:rPr>
          <w:rFonts w:ascii="Arial" w:hAnsi="Arial" w:cs="Arial"/>
          <w:szCs w:val="24"/>
        </w:rPr>
        <w:t>thus resulting in misalignment of municipal boundaries.</w:t>
      </w:r>
    </w:p>
    <w:p w:rsidR="00995699" w:rsidRDefault="00995699">
      <w:pPr>
        <w:pStyle w:val="ListParagraph1"/>
        <w:spacing w:after="0" w:line="360" w:lineRule="auto"/>
        <w:ind w:left="1004"/>
        <w:jc w:val="both"/>
        <w:rPr>
          <w:rFonts w:ascii="Arial" w:hAnsi="Arial" w:cs="Arial"/>
          <w:spacing w:val="-20"/>
          <w:sz w:val="24"/>
          <w:szCs w:val="24"/>
        </w:rPr>
      </w:pPr>
    </w:p>
    <w:p w:rsidR="00995699" w:rsidRDefault="00EB149E">
      <w:pPr>
        <w:spacing w:after="0" w:line="360" w:lineRule="auto"/>
        <w:jc w:val="both"/>
        <w:rPr>
          <w:rFonts w:ascii="Arial" w:hAnsi="Arial" w:cs="Arial"/>
          <w:b/>
          <w:sz w:val="24"/>
          <w:szCs w:val="24"/>
        </w:rPr>
      </w:pPr>
      <w:r>
        <w:rPr>
          <w:rFonts w:ascii="Arial" w:hAnsi="Arial" w:cs="Arial"/>
          <w:b/>
          <w:sz w:val="24"/>
          <w:szCs w:val="24"/>
        </w:rPr>
        <w:t>Performance (Reporting to the Department/ Parliament on APP and Annual Reports (2016/17 financial year)</w:t>
      </w:r>
    </w:p>
    <w:p w:rsidR="00995699" w:rsidRDefault="00EB149E">
      <w:pPr>
        <w:tabs>
          <w:tab w:val="left" w:pos="567"/>
        </w:tabs>
        <w:jc w:val="both"/>
        <w:rPr>
          <w:rFonts w:ascii="Arial" w:hAnsi="Arial" w:cs="Arial"/>
        </w:rPr>
      </w:pPr>
      <w:r>
        <w:rPr>
          <w:rFonts w:ascii="Arial" w:hAnsi="Arial" w:cs="Arial"/>
        </w:rPr>
        <w:t xml:space="preserve">The MDB completed technical assessments of municipal boundaries for 213 municipalities, these technical assessments will inform the Board’s municipal boundary re-determination process that will commence in 2017.  </w:t>
      </w:r>
    </w:p>
    <w:p w:rsidR="00995699" w:rsidRDefault="00EB149E">
      <w:pPr>
        <w:tabs>
          <w:tab w:val="left" w:pos="567"/>
        </w:tabs>
        <w:jc w:val="both"/>
        <w:rPr>
          <w:rFonts w:ascii="Arial" w:hAnsi="Arial" w:cs="Arial"/>
        </w:rPr>
      </w:pPr>
      <w:r>
        <w:rPr>
          <w:rFonts w:ascii="Arial" w:hAnsi="Arial" w:cs="Arial"/>
        </w:rPr>
        <w:t xml:space="preserve">A revised municipal capacity assessment model was developed, the assessment of municipal capacity will be conducted during 2017/18 and reports produced.  </w:t>
      </w:r>
    </w:p>
    <w:p w:rsidR="00995699" w:rsidRDefault="00EB149E">
      <w:pPr>
        <w:tabs>
          <w:tab w:val="left" w:pos="567"/>
        </w:tabs>
        <w:jc w:val="both"/>
        <w:rPr>
          <w:rFonts w:ascii="Arial" w:hAnsi="Arial" w:cs="Arial"/>
        </w:rPr>
      </w:pPr>
      <w:r>
        <w:rPr>
          <w:rFonts w:ascii="Arial" w:hAnsi="Arial" w:cs="Arial"/>
        </w:rPr>
        <w:t xml:space="preserve">A conference on demarcation and spatial transformation was hosted on 23 and 24 June 2016, the conference highlighted the necessity for the MDB to focus on, amongst others, the need for legislative reform, a regional presence and the strengthening of public participation and education.  </w:t>
      </w:r>
    </w:p>
    <w:p w:rsidR="00995699" w:rsidRDefault="00EB149E">
      <w:pPr>
        <w:tabs>
          <w:tab w:val="left" w:pos="567"/>
        </w:tabs>
        <w:jc w:val="both"/>
        <w:rPr>
          <w:rFonts w:ascii="Arial" w:hAnsi="Arial" w:cs="Arial"/>
        </w:rPr>
      </w:pPr>
      <w:r>
        <w:rPr>
          <w:rFonts w:ascii="Arial" w:hAnsi="Arial" w:cs="Arial"/>
        </w:rPr>
        <w:t>Inputs into the amendments of applicable legislation and regulations affecting the work of the MDB was completed by end of 3rd quarter</w:t>
      </w:r>
    </w:p>
    <w:p w:rsidR="00995699" w:rsidRDefault="00EB149E">
      <w:pPr>
        <w:tabs>
          <w:tab w:val="left" w:pos="567"/>
        </w:tabs>
        <w:jc w:val="both"/>
        <w:rPr>
          <w:rFonts w:ascii="Arial" w:hAnsi="Arial" w:cs="Arial"/>
        </w:rPr>
      </w:pPr>
      <w:r>
        <w:rPr>
          <w:rFonts w:ascii="Arial" w:hAnsi="Arial" w:cs="Arial"/>
        </w:rPr>
        <w:t>A Framework for public participation in municipal boundary redetermination and ward delimitation were developed.</w:t>
      </w:r>
    </w:p>
    <w:p w:rsidR="00995699" w:rsidRDefault="00EB149E">
      <w:pPr>
        <w:pStyle w:val="Heading1"/>
        <w:numPr>
          <w:ilvl w:val="1"/>
          <w:numId w:val="11"/>
        </w:numPr>
        <w:rPr>
          <w:rFonts w:ascii="Arial" w:eastAsia="Calibri" w:hAnsi="Arial" w:cs="Arial"/>
        </w:rPr>
      </w:pPr>
      <w:bookmarkStart w:id="17" w:name="_Toc490544997"/>
      <w:r>
        <w:rPr>
          <w:rFonts w:ascii="Arial" w:eastAsia="Calibri" w:hAnsi="Arial" w:cs="Arial"/>
        </w:rPr>
        <w:t>Performance of conditional Grants and Key Reforms</w:t>
      </w:r>
      <w:bookmarkEnd w:id="17"/>
    </w:p>
    <w:p w:rsidR="00995699" w:rsidRDefault="00EB149E">
      <w:pPr>
        <w:pStyle w:val="Heading1"/>
        <w:numPr>
          <w:ilvl w:val="2"/>
          <w:numId w:val="11"/>
        </w:numPr>
        <w:rPr>
          <w:rFonts w:ascii="Arial" w:eastAsia="Calibri" w:hAnsi="Arial" w:cs="Arial"/>
        </w:rPr>
      </w:pPr>
      <w:bookmarkStart w:id="18" w:name="_Toc490544998"/>
      <w:r>
        <w:rPr>
          <w:rFonts w:ascii="Arial" w:eastAsia="Calibri" w:hAnsi="Arial" w:cs="Arial"/>
        </w:rPr>
        <w:t>Expenditure Performance for MIG 2016/17</w:t>
      </w:r>
      <w:bookmarkEnd w:id="18"/>
    </w:p>
    <w:p w:rsidR="00995699" w:rsidRDefault="00995699">
      <w:pPr>
        <w:rPr>
          <w:sz w:val="4"/>
        </w:rPr>
      </w:pPr>
    </w:p>
    <w:p w:rsidR="00995699" w:rsidRDefault="00EB149E">
      <w:pPr>
        <w:tabs>
          <w:tab w:val="left" w:pos="567"/>
        </w:tabs>
        <w:jc w:val="both"/>
        <w:rPr>
          <w:rFonts w:ascii="Arial" w:hAnsi="Arial" w:cs="Arial"/>
        </w:rPr>
      </w:pPr>
      <w:r>
        <w:rPr>
          <w:rFonts w:ascii="Arial" w:hAnsi="Arial" w:cs="Arial"/>
        </w:rPr>
        <w:t xml:space="preserve">Table 1 below indicates that the MIG has spent R13, 8 billion (92%) of the R14, 9 billion 2016/17 MIG allocation. Municipalities in the KwaZulu-Natal Province spent R3, 25 billion (99%) collectively of their R3, 3 billion 2016/17 MIG allocation.  The lowest expenditure was reported by North Cape Province which has spent R466 million (83%0 of their R502 million MIG 2016/17 allocation. </w:t>
      </w:r>
    </w:p>
    <w:p w:rsidR="00995699" w:rsidRDefault="00995699">
      <w:pPr>
        <w:tabs>
          <w:tab w:val="left" w:pos="567"/>
        </w:tabs>
        <w:jc w:val="both"/>
        <w:rPr>
          <w:rFonts w:ascii="Arial" w:hAnsi="Arial" w:cs="Arial"/>
        </w:rPr>
      </w:pPr>
    </w:p>
    <w:p w:rsidR="00995699" w:rsidRDefault="00995699">
      <w:pPr>
        <w:tabs>
          <w:tab w:val="left" w:pos="567"/>
        </w:tabs>
        <w:jc w:val="both"/>
        <w:rPr>
          <w:rFonts w:ascii="Arial" w:hAnsi="Arial" w:cs="Arial"/>
        </w:rPr>
      </w:pPr>
    </w:p>
    <w:p w:rsidR="00995699" w:rsidRDefault="00995699">
      <w:pPr>
        <w:tabs>
          <w:tab w:val="left" w:pos="567"/>
        </w:tabs>
        <w:jc w:val="both"/>
        <w:rPr>
          <w:rFonts w:ascii="Arial" w:hAnsi="Arial" w:cs="Arial"/>
        </w:rPr>
      </w:pPr>
    </w:p>
    <w:p w:rsidR="00995699" w:rsidRDefault="00995699">
      <w:pPr>
        <w:tabs>
          <w:tab w:val="left" w:pos="567"/>
        </w:tabs>
        <w:jc w:val="both"/>
        <w:rPr>
          <w:rFonts w:ascii="Arial" w:hAnsi="Arial" w:cs="Arial"/>
        </w:rPr>
      </w:pPr>
    </w:p>
    <w:p w:rsidR="00995699" w:rsidRDefault="00995699">
      <w:pPr>
        <w:pStyle w:val="ListParagraph1"/>
        <w:ind w:left="360"/>
        <w:jc w:val="both"/>
        <w:rPr>
          <w:rFonts w:ascii="Arial" w:hAnsi="Arial" w:cs="Arial"/>
          <w:b/>
        </w:rPr>
      </w:pPr>
    </w:p>
    <w:p w:rsidR="00995699" w:rsidRDefault="00995699">
      <w:pPr>
        <w:pStyle w:val="ListParagraph1"/>
        <w:ind w:left="360"/>
        <w:jc w:val="both"/>
        <w:rPr>
          <w:rFonts w:ascii="Arial" w:hAnsi="Arial" w:cs="Arial"/>
          <w:b/>
        </w:rPr>
      </w:pPr>
    </w:p>
    <w:p w:rsidR="00995699" w:rsidRDefault="00995699">
      <w:pPr>
        <w:pStyle w:val="ListParagraph1"/>
        <w:ind w:left="360"/>
        <w:jc w:val="both"/>
        <w:rPr>
          <w:rFonts w:ascii="Arial" w:hAnsi="Arial" w:cs="Arial"/>
          <w:b/>
        </w:rPr>
      </w:pPr>
    </w:p>
    <w:p w:rsidR="00995699" w:rsidRDefault="00995699">
      <w:pPr>
        <w:pStyle w:val="ListParagraph1"/>
        <w:ind w:left="360"/>
        <w:jc w:val="both"/>
        <w:rPr>
          <w:rFonts w:ascii="Arial" w:hAnsi="Arial" w:cs="Arial"/>
          <w:b/>
        </w:rPr>
      </w:pPr>
    </w:p>
    <w:p w:rsidR="00995699" w:rsidRDefault="00995699">
      <w:pPr>
        <w:pStyle w:val="ListParagraph1"/>
        <w:ind w:left="360"/>
        <w:jc w:val="both"/>
        <w:rPr>
          <w:rFonts w:ascii="Arial" w:hAnsi="Arial" w:cs="Arial"/>
          <w:b/>
        </w:rPr>
      </w:pPr>
    </w:p>
    <w:p w:rsidR="00995699" w:rsidRDefault="00995699">
      <w:pPr>
        <w:pStyle w:val="ListParagraph1"/>
        <w:ind w:left="360"/>
        <w:jc w:val="both"/>
        <w:rPr>
          <w:rFonts w:ascii="Arial" w:hAnsi="Arial" w:cs="Arial"/>
          <w:b/>
        </w:rPr>
      </w:pPr>
    </w:p>
    <w:p w:rsidR="00995699" w:rsidRDefault="00EB149E">
      <w:pPr>
        <w:jc w:val="both"/>
        <w:rPr>
          <w:rFonts w:ascii="Arial" w:hAnsi="Arial" w:cs="Arial"/>
          <w:b/>
        </w:rPr>
      </w:pPr>
      <w:r>
        <w:rPr>
          <w:rFonts w:ascii="Arial" w:hAnsi="Arial" w:cs="Arial"/>
          <w:b/>
        </w:rPr>
        <w:t>Table 1: MIG expenditure performance as at the end of June 2017</w:t>
      </w:r>
    </w:p>
    <w:p w:rsidR="00995699" w:rsidRDefault="00995699">
      <w:pPr>
        <w:pStyle w:val="BodyTextIndentCharChar"/>
        <w:spacing w:after="0"/>
        <w:ind w:left="360"/>
        <w:contextualSpacing/>
        <w:jc w:val="both"/>
        <w:rPr>
          <w:rFonts w:ascii="Arial" w:hAnsi="Arial" w:cs="Arial"/>
        </w:rPr>
      </w:pPr>
    </w:p>
    <w:tbl>
      <w:tblPr>
        <w:tblW w:w="9085" w:type="dxa"/>
        <w:tblInd w:w="-113" w:type="dxa"/>
        <w:tblLayout w:type="fixed"/>
        <w:tblLook w:val="0000"/>
      </w:tblPr>
      <w:tblGrid>
        <w:gridCol w:w="1615"/>
        <w:gridCol w:w="1222"/>
        <w:gridCol w:w="1284"/>
        <w:gridCol w:w="1240"/>
        <w:gridCol w:w="1340"/>
        <w:gridCol w:w="1124"/>
        <w:gridCol w:w="1260"/>
      </w:tblGrid>
      <w:tr w:rsidR="00995699">
        <w:trPr>
          <w:trHeight w:val="900"/>
        </w:trPr>
        <w:tc>
          <w:tcPr>
            <w:tcW w:w="1615" w:type="dxa"/>
            <w:tcBorders>
              <w:top w:val="single" w:sz="4" w:space="0" w:color="auto"/>
              <w:left w:val="single" w:sz="4" w:space="0" w:color="auto"/>
              <w:bottom w:val="single" w:sz="4" w:space="0" w:color="auto"/>
              <w:right w:val="single" w:sz="4" w:space="0" w:color="auto"/>
            </w:tcBorders>
          </w:tcPr>
          <w:p w:rsidR="00995699" w:rsidRDefault="00EB149E">
            <w:pPr>
              <w:jc w:val="center"/>
              <w:rPr>
                <w:rFonts w:ascii="Arial" w:hAnsi="Arial" w:cs="Arial"/>
                <w:b/>
                <w:bCs/>
                <w:sz w:val="20"/>
              </w:rPr>
            </w:pPr>
            <w:r>
              <w:rPr>
                <w:rFonts w:ascii="Arial" w:hAnsi="Arial" w:cs="Arial"/>
                <w:b/>
                <w:bCs/>
                <w:sz w:val="20"/>
              </w:rPr>
              <w:t>Province</w:t>
            </w:r>
          </w:p>
        </w:tc>
        <w:tc>
          <w:tcPr>
            <w:tcW w:w="1222" w:type="dxa"/>
            <w:tcBorders>
              <w:top w:val="single" w:sz="4" w:space="0" w:color="auto"/>
              <w:left w:val="nil"/>
              <w:bottom w:val="single" w:sz="4" w:space="0" w:color="auto"/>
              <w:right w:val="single" w:sz="4" w:space="0" w:color="auto"/>
            </w:tcBorders>
          </w:tcPr>
          <w:p w:rsidR="00995699" w:rsidRDefault="00EB149E">
            <w:pPr>
              <w:jc w:val="center"/>
              <w:rPr>
                <w:rFonts w:ascii="Arial" w:hAnsi="Arial" w:cs="Arial"/>
                <w:b/>
                <w:bCs/>
                <w:sz w:val="20"/>
              </w:rPr>
            </w:pPr>
            <w:r>
              <w:rPr>
                <w:rFonts w:ascii="Arial" w:hAnsi="Arial" w:cs="Arial"/>
                <w:b/>
                <w:bCs/>
                <w:sz w:val="20"/>
              </w:rPr>
              <w:t>Allocated (R'000)</w:t>
            </w:r>
          </w:p>
        </w:tc>
        <w:tc>
          <w:tcPr>
            <w:tcW w:w="1284" w:type="dxa"/>
            <w:tcBorders>
              <w:top w:val="single" w:sz="4" w:space="0" w:color="auto"/>
              <w:left w:val="nil"/>
              <w:bottom w:val="single" w:sz="4" w:space="0" w:color="auto"/>
              <w:right w:val="single" w:sz="4" w:space="0" w:color="auto"/>
            </w:tcBorders>
          </w:tcPr>
          <w:p w:rsidR="00995699" w:rsidRDefault="00EB149E">
            <w:pPr>
              <w:jc w:val="center"/>
              <w:rPr>
                <w:rFonts w:ascii="Arial" w:hAnsi="Arial" w:cs="Arial"/>
                <w:b/>
                <w:bCs/>
                <w:sz w:val="20"/>
              </w:rPr>
            </w:pPr>
            <w:r>
              <w:rPr>
                <w:rFonts w:ascii="Arial" w:hAnsi="Arial" w:cs="Arial"/>
                <w:b/>
                <w:bCs/>
                <w:sz w:val="20"/>
              </w:rPr>
              <w:t>Transferred to date</w:t>
            </w:r>
            <w:r>
              <w:rPr>
                <w:rFonts w:ascii="Arial" w:hAnsi="Arial" w:cs="Arial"/>
                <w:b/>
                <w:bCs/>
                <w:sz w:val="20"/>
              </w:rPr>
              <w:br/>
              <w:t>(R'000)</w:t>
            </w:r>
          </w:p>
        </w:tc>
        <w:tc>
          <w:tcPr>
            <w:tcW w:w="1240" w:type="dxa"/>
            <w:tcBorders>
              <w:top w:val="single" w:sz="4" w:space="0" w:color="auto"/>
              <w:left w:val="nil"/>
              <w:bottom w:val="single" w:sz="4" w:space="0" w:color="auto"/>
              <w:right w:val="single" w:sz="4" w:space="0" w:color="auto"/>
            </w:tcBorders>
          </w:tcPr>
          <w:p w:rsidR="00995699" w:rsidRDefault="00EB149E">
            <w:pPr>
              <w:jc w:val="center"/>
              <w:rPr>
                <w:rFonts w:ascii="Arial" w:hAnsi="Arial" w:cs="Arial"/>
                <w:b/>
                <w:bCs/>
                <w:sz w:val="20"/>
              </w:rPr>
            </w:pPr>
            <w:r>
              <w:rPr>
                <w:rFonts w:ascii="Arial" w:hAnsi="Arial" w:cs="Arial"/>
                <w:b/>
                <w:bCs/>
                <w:sz w:val="20"/>
              </w:rPr>
              <w:t>Transfers as % allocation</w:t>
            </w:r>
          </w:p>
        </w:tc>
        <w:tc>
          <w:tcPr>
            <w:tcW w:w="1340" w:type="dxa"/>
            <w:tcBorders>
              <w:top w:val="single" w:sz="4" w:space="0" w:color="auto"/>
              <w:left w:val="nil"/>
              <w:bottom w:val="single" w:sz="4" w:space="0" w:color="auto"/>
              <w:right w:val="single" w:sz="4" w:space="0" w:color="auto"/>
            </w:tcBorders>
          </w:tcPr>
          <w:p w:rsidR="00995699" w:rsidRDefault="00EB149E">
            <w:pPr>
              <w:jc w:val="center"/>
              <w:rPr>
                <w:rFonts w:ascii="Arial" w:hAnsi="Arial" w:cs="Arial"/>
                <w:b/>
                <w:bCs/>
                <w:sz w:val="20"/>
              </w:rPr>
            </w:pPr>
            <w:r>
              <w:rPr>
                <w:rFonts w:ascii="Arial" w:hAnsi="Arial" w:cs="Arial"/>
                <w:b/>
                <w:bCs/>
                <w:sz w:val="20"/>
              </w:rPr>
              <w:t>Expenditure to date</w:t>
            </w:r>
            <w:r>
              <w:rPr>
                <w:rFonts w:ascii="Arial" w:hAnsi="Arial" w:cs="Arial"/>
                <w:b/>
                <w:bCs/>
                <w:sz w:val="20"/>
              </w:rPr>
              <w:br/>
              <w:t>(R'000)</w:t>
            </w:r>
          </w:p>
        </w:tc>
        <w:tc>
          <w:tcPr>
            <w:tcW w:w="1124" w:type="dxa"/>
            <w:tcBorders>
              <w:top w:val="single" w:sz="4" w:space="0" w:color="auto"/>
              <w:left w:val="nil"/>
              <w:bottom w:val="single" w:sz="4" w:space="0" w:color="auto"/>
              <w:right w:val="single" w:sz="4" w:space="0" w:color="auto"/>
            </w:tcBorders>
          </w:tcPr>
          <w:p w:rsidR="00995699" w:rsidRDefault="00EB149E">
            <w:pPr>
              <w:jc w:val="center"/>
              <w:rPr>
                <w:rFonts w:ascii="Arial" w:hAnsi="Arial" w:cs="Arial"/>
                <w:b/>
                <w:bCs/>
                <w:sz w:val="20"/>
              </w:rPr>
            </w:pPr>
            <w:r>
              <w:rPr>
                <w:rFonts w:ascii="Arial" w:hAnsi="Arial" w:cs="Arial"/>
                <w:b/>
                <w:bCs/>
                <w:sz w:val="20"/>
              </w:rPr>
              <w:t>Expenditure as % allocation</w:t>
            </w:r>
          </w:p>
        </w:tc>
        <w:tc>
          <w:tcPr>
            <w:tcW w:w="1260" w:type="dxa"/>
            <w:tcBorders>
              <w:top w:val="single" w:sz="4" w:space="0" w:color="auto"/>
              <w:left w:val="nil"/>
              <w:bottom w:val="single" w:sz="4" w:space="0" w:color="auto"/>
              <w:right w:val="single" w:sz="4" w:space="0" w:color="auto"/>
            </w:tcBorders>
          </w:tcPr>
          <w:p w:rsidR="00995699" w:rsidRDefault="00EB149E">
            <w:pPr>
              <w:jc w:val="center"/>
              <w:rPr>
                <w:rFonts w:ascii="Arial" w:hAnsi="Arial" w:cs="Arial"/>
                <w:b/>
                <w:bCs/>
                <w:sz w:val="20"/>
              </w:rPr>
            </w:pPr>
            <w:r>
              <w:rPr>
                <w:rFonts w:ascii="Arial" w:hAnsi="Arial" w:cs="Arial"/>
                <w:b/>
                <w:bCs/>
                <w:sz w:val="20"/>
              </w:rPr>
              <w:t>Unspent Balance</w:t>
            </w:r>
            <w:r>
              <w:rPr>
                <w:rFonts w:ascii="Arial" w:hAnsi="Arial" w:cs="Arial"/>
                <w:b/>
                <w:bCs/>
                <w:sz w:val="20"/>
              </w:rPr>
              <w:br/>
              <w:t>(R'000)</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color w:val="F79646"/>
                <w:sz w:val="20"/>
              </w:rPr>
            </w:pPr>
            <w:r>
              <w:rPr>
                <w:rFonts w:ascii="Arial" w:hAnsi="Arial" w:cs="Arial"/>
                <w:color w:val="F79646"/>
                <w:sz w:val="20"/>
              </w:rPr>
              <w:t>Eastern Cape</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2,961,900</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2,961,900</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2,634,668</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color w:val="F79646"/>
                <w:sz w:val="20"/>
              </w:rPr>
            </w:pPr>
            <w:r>
              <w:rPr>
                <w:rFonts w:ascii="Arial" w:hAnsi="Arial" w:cs="Arial"/>
                <w:color w:val="F79646"/>
                <w:sz w:val="20"/>
              </w:rPr>
              <w:t>89%</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327,232</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sz w:val="20"/>
              </w:rPr>
            </w:pPr>
            <w:r>
              <w:rPr>
                <w:rFonts w:ascii="Arial" w:hAnsi="Arial" w:cs="Arial"/>
                <w:sz w:val="20"/>
              </w:rPr>
              <w:t>Free State</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727,755</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727,755</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690,790</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sz w:val="20"/>
              </w:rPr>
            </w:pPr>
            <w:r>
              <w:rPr>
                <w:rFonts w:ascii="Arial" w:hAnsi="Arial" w:cs="Arial"/>
                <w:sz w:val="20"/>
              </w:rPr>
              <w:t>95%</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36,965</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color w:val="FF0000"/>
                <w:sz w:val="20"/>
              </w:rPr>
            </w:pPr>
            <w:r>
              <w:rPr>
                <w:rFonts w:ascii="Arial" w:hAnsi="Arial" w:cs="Arial"/>
                <w:color w:val="FF0000"/>
                <w:sz w:val="20"/>
              </w:rPr>
              <w:t>Gauteng</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448,801</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448,801</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342,633</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color w:val="FF0000"/>
                <w:sz w:val="20"/>
              </w:rPr>
            </w:pPr>
            <w:r>
              <w:rPr>
                <w:rFonts w:ascii="Arial" w:hAnsi="Arial" w:cs="Arial"/>
                <w:color w:val="FF0000"/>
                <w:sz w:val="20"/>
              </w:rPr>
              <w:t>76%</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106,168</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sz w:val="20"/>
              </w:rPr>
            </w:pPr>
            <w:r>
              <w:rPr>
                <w:rFonts w:ascii="Arial" w:hAnsi="Arial" w:cs="Arial"/>
                <w:sz w:val="20"/>
              </w:rPr>
              <w:t>KwaZulu-Natal</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3,295,457</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3,295,457</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3,254,104</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sz w:val="20"/>
              </w:rPr>
            </w:pPr>
            <w:r>
              <w:rPr>
                <w:rFonts w:ascii="Arial" w:hAnsi="Arial" w:cs="Arial"/>
                <w:sz w:val="20"/>
              </w:rPr>
              <w:t>99%</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41,353</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color w:val="F79646"/>
                <w:sz w:val="20"/>
              </w:rPr>
            </w:pPr>
            <w:r>
              <w:rPr>
                <w:rFonts w:ascii="Arial" w:hAnsi="Arial" w:cs="Arial"/>
                <w:color w:val="F79646"/>
                <w:sz w:val="20"/>
              </w:rPr>
              <w:t>Limpopo</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2,954,778</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2,954,778</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2,674,905</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color w:val="F79646"/>
                <w:sz w:val="20"/>
              </w:rPr>
            </w:pPr>
            <w:r>
              <w:rPr>
                <w:rFonts w:ascii="Arial" w:hAnsi="Arial" w:cs="Arial"/>
                <w:color w:val="F79646"/>
                <w:sz w:val="20"/>
              </w:rPr>
              <w:t>91%</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279,873</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sz w:val="20"/>
              </w:rPr>
            </w:pPr>
            <w:r>
              <w:rPr>
                <w:rFonts w:ascii="Arial" w:hAnsi="Arial" w:cs="Arial"/>
                <w:sz w:val="20"/>
              </w:rPr>
              <w:t>Mpumalanga</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1,797,410</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1,797,410</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1,752,424</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sz w:val="20"/>
              </w:rPr>
            </w:pPr>
            <w:r>
              <w:rPr>
                <w:rFonts w:ascii="Arial" w:hAnsi="Arial" w:cs="Arial"/>
                <w:sz w:val="20"/>
              </w:rPr>
              <w:t>97%</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44,986</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color w:val="FF0000"/>
                <w:sz w:val="20"/>
              </w:rPr>
            </w:pPr>
            <w:r>
              <w:rPr>
                <w:rFonts w:ascii="Arial" w:hAnsi="Arial" w:cs="Arial"/>
                <w:color w:val="FF0000"/>
                <w:sz w:val="20"/>
              </w:rPr>
              <w:t>Northern Cape</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507,335</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507,335</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422,729</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color w:val="FF0000"/>
                <w:sz w:val="20"/>
              </w:rPr>
            </w:pPr>
            <w:r>
              <w:rPr>
                <w:rFonts w:ascii="Arial" w:hAnsi="Arial" w:cs="Arial"/>
                <w:color w:val="FF0000"/>
                <w:sz w:val="20"/>
              </w:rPr>
              <w:t>83%</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color w:val="FF0000"/>
                <w:sz w:val="20"/>
              </w:rPr>
            </w:pPr>
            <w:r>
              <w:rPr>
                <w:rFonts w:ascii="Arial" w:hAnsi="Arial" w:cs="Arial"/>
                <w:color w:val="FF0000"/>
                <w:sz w:val="20"/>
              </w:rPr>
              <w:t>84,606</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color w:val="F79646"/>
                <w:sz w:val="20"/>
              </w:rPr>
            </w:pPr>
            <w:r>
              <w:rPr>
                <w:rFonts w:ascii="Arial" w:hAnsi="Arial" w:cs="Arial"/>
                <w:color w:val="F79646"/>
                <w:sz w:val="20"/>
              </w:rPr>
              <w:t>North West</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1,719,055</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1,719,055</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1,546,483</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color w:val="F79646"/>
                <w:sz w:val="20"/>
              </w:rPr>
            </w:pPr>
            <w:r>
              <w:rPr>
                <w:rFonts w:ascii="Arial" w:hAnsi="Arial" w:cs="Arial"/>
                <w:color w:val="F79646"/>
                <w:sz w:val="20"/>
              </w:rPr>
              <w:t>90%</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color w:val="F79646"/>
                <w:sz w:val="20"/>
              </w:rPr>
            </w:pPr>
            <w:r>
              <w:rPr>
                <w:rFonts w:ascii="Arial" w:hAnsi="Arial" w:cs="Arial"/>
                <w:color w:val="F79646"/>
                <w:sz w:val="20"/>
              </w:rPr>
              <w:t>172,572</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sz w:val="20"/>
              </w:rPr>
            </w:pPr>
            <w:r>
              <w:rPr>
                <w:rFonts w:ascii="Arial" w:hAnsi="Arial" w:cs="Arial"/>
                <w:sz w:val="20"/>
              </w:rPr>
              <w:t>Western Cape</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501,537</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501,537</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465,773</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sz w:val="20"/>
              </w:rPr>
            </w:pPr>
            <w:r>
              <w:rPr>
                <w:rFonts w:ascii="Arial" w:hAnsi="Arial" w:cs="Arial"/>
                <w:sz w:val="20"/>
              </w:rPr>
              <w:t>93%</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sz w:val="20"/>
              </w:rPr>
            </w:pPr>
            <w:r>
              <w:rPr>
                <w:rFonts w:ascii="Arial" w:hAnsi="Arial" w:cs="Arial"/>
                <w:sz w:val="20"/>
              </w:rPr>
              <w:t>35,764</w:t>
            </w:r>
          </w:p>
        </w:tc>
      </w:tr>
      <w:tr w:rsidR="00995699">
        <w:trPr>
          <w:trHeight w:val="300"/>
        </w:trPr>
        <w:tc>
          <w:tcPr>
            <w:tcW w:w="1615" w:type="dxa"/>
            <w:tcBorders>
              <w:top w:val="nil"/>
              <w:left w:val="single" w:sz="4" w:space="0" w:color="auto"/>
              <w:bottom w:val="single" w:sz="4" w:space="0" w:color="auto"/>
              <w:right w:val="single" w:sz="4" w:space="0" w:color="auto"/>
            </w:tcBorders>
          </w:tcPr>
          <w:p w:rsidR="00995699" w:rsidRDefault="00EB149E">
            <w:pPr>
              <w:rPr>
                <w:rFonts w:ascii="Arial" w:hAnsi="Arial" w:cs="Arial"/>
                <w:b/>
                <w:bCs/>
                <w:sz w:val="20"/>
              </w:rPr>
            </w:pPr>
            <w:r>
              <w:rPr>
                <w:rFonts w:ascii="Arial" w:hAnsi="Arial" w:cs="Arial"/>
                <w:b/>
                <w:bCs/>
                <w:sz w:val="20"/>
              </w:rPr>
              <w:t>TOTAL</w:t>
            </w:r>
          </w:p>
        </w:tc>
        <w:tc>
          <w:tcPr>
            <w:tcW w:w="1222" w:type="dxa"/>
            <w:tcBorders>
              <w:top w:val="nil"/>
              <w:left w:val="nil"/>
              <w:bottom w:val="single" w:sz="4" w:space="0" w:color="auto"/>
              <w:right w:val="single" w:sz="4" w:space="0" w:color="auto"/>
            </w:tcBorders>
          </w:tcPr>
          <w:p w:rsidR="00995699" w:rsidRDefault="00EB149E">
            <w:pPr>
              <w:jc w:val="right"/>
              <w:rPr>
                <w:rFonts w:ascii="Arial" w:hAnsi="Arial" w:cs="Arial"/>
                <w:b/>
                <w:bCs/>
                <w:sz w:val="20"/>
              </w:rPr>
            </w:pPr>
            <w:r>
              <w:rPr>
                <w:rFonts w:ascii="Arial" w:hAnsi="Arial" w:cs="Arial"/>
                <w:b/>
                <w:bCs/>
                <w:sz w:val="20"/>
              </w:rPr>
              <w:t>14,914,028</w:t>
            </w:r>
          </w:p>
        </w:tc>
        <w:tc>
          <w:tcPr>
            <w:tcW w:w="1284" w:type="dxa"/>
            <w:tcBorders>
              <w:top w:val="nil"/>
              <w:left w:val="nil"/>
              <w:bottom w:val="single" w:sz="4" w:space="0" w:color="auto"/>
              <w:right w:val="single" w:sz="4" w:space="0" w:color="auto"/>
            </w:tcBorders>
          </w:tcPr>
          <w:p w:rsidR="00995699" w:rsidRDefault="00EB149E">
            <w:pPr>
              <w:jc w:val="right"/>
              <w:rPr>
                <w:rFonts w:ascii="Arial" w:hAnsi="Arial" w:cs="Arial"/>
                <w:b/>
                <w:bCs/>
                <w:sz w:val="20"/>
              </w:rPr>
            </w:pPr>
            <w:r>
              <w:rPr>
                <w:rFonts w:ascii="Arial" w:hAnsi="Arial" w:cs="Arial"/>
                <w:b/>
                <w:bCs/>
                <w:sz w:val="20"/>
              </w:rPr>
              <w:t>14,914,028</w:t>
            </w:r>
          </w:p>
        </w:tc>
        <w:tc>
          <w:tcPr>
            <w:tcW w:w="1240" w:type="dxa"/>
            <w:tcBorders>
              <w:top w:val="nil"/>
              <w:left w:val="nil"/>
              <w:bottom w:val="single" w:sz="4" w:space="0" w:color="auto"/>
              <w:right w:val="single" w:sz="4" w:space="0" w:color="auto"/>
            </w:tcBorders>
          </w:tcPr>
          <w:p w:rsidR="00995699" w:rsidRDefault="00EB149E">
            <w:pPr>
              <w:jc w:val="right"/>
              <w:rPr>
                <w:rFonts w:ascii="Arial" w:hAnsi="Arial" w:cs="Arial"/>
                <w:b/>
                <w:bCs/>
                <w:sz w:val="20"/>
              </w:rPr>
            </w:pPr>
            <w:r>
              <w:rPr>
                <w:rFonts w:ascii="Arial" w:hAnsi="Arial" w:cs="Arial"/>
                <w:b/>
                <w:bCs/>
                <w:sz w:val="20"/>
              </w:rPr>
              <w:t>100%</w:t>
            </w:r>
          </w:p>
        </w:tc>
        <w:tc>
          <w:tcPr>
            <w:tcW w:w="1340" w:type="dxa"/>
            <w:tcBorders>
              <w:top w:val="nil"/>
              <w:left w:val="nil"/>
              <w:bottom w:val="single" w:sz="4" w:space="0" w:color="auto"/>
              <w:right w:val="single" w:sz="4" w:space="0" w:color="auto"/>
            </w:tcBorders>
          </w:tcPr>
          <w:p w:rsidR="00995699" w:rsidRDefault="00EB149E">
            <w:pPr>
              <w:jc w:val="right"/>
              <w:rPr>
                <w:rFonts w:ascii="Arial" w:hAnsi="Arial" w:cs="Arial"/>
                <w:b/>
                <w:bCs/>
                <w:sz w:val="20"/>
              </w:rPr>
            </w:pPr>
            <w:r>
              <w:rPr>
                <w:rFonts w:ascii="Arial" w:hAnsi="Arial" w:cs="Arial"/>
                <w:b/>
                <w:bCs/>
                <w:sz w:val="20"/>
              </w:rPr>
              <w:t>13,784,509</w:t>
            </w:r>
          </w:p>
        </w:tc>
        <w:tc>
          <w:tcPr>
            <w:tcW w:w="1124" w:type="dxa"/>
            <w:tcBorders>
              <w:top w:val="nil"/>
              <w:left w:val="nil"/>
              <w:bottom w:val="single" w:sz="4" w:space="0" w:color="auto"/>
              <w:right w:val="single" w:sz="4" w:space="0" w:color="auto"/>
            </w:tcBorders>
          </w:tcPr>
          <w:p w:rsidR="00995699" w:rsidRDefault="00EB149E">
            <w:pPr>
              <w:jc w:val="center"/>
              <w:rPr>
                <w:rFonts w:ascii="Arial" w:hAnsi="Arial" w:cs="Arial"/>
                <w:b/>
                <w:bCs/>
                <w:sz w:val="20"/>
              </w:rPr>
            </w:pPr>
            <w:r>
              <w:rPr>
                <w:rFonts w:ascii="Arial" w:hAnsi="Arial" w:cs="Arial"/>
                <w:b/>
                <w:bCs/>
                <w:sz w:val="20"/>
              </w:rPr>
              <w:t>92%</w:t>
            </w:r>
          </w:p>
        </w:tc>
        <w:tc>
          <w:tcPr>
            <w:tcW w:w="1260" w:type="dxa"/>
            <w:tcBorders>
              <w:top w:val="nil"/>
              <w:left w:val="nil"/>
              <w:bottom w:val="single" w:sz="4" w:space="0" w:color="auto"/>
              <w:right w:val="single" w:sz="4" w:space="0" w:color="auto"/>
            </w:tcBorders>
          </w:tcPr>
          <w:p w:rsidR="00995699" w:rsidRDefault="00EB149E">
            <w:pPr>
              <w:jc w:val="right"/>
              <w:rPr>
                <w:rFonts w:ascii="Arial" w:hAnsi="Arial" w:cs="Arial"/>
                <w:b/>
                <w:bCs/>
                <w:sz w:val="20"/>
              </w:rPr>
            </w:pPr>
            <w:r>
              <w:rPr>
                <w:rFonts w:ascii="Arial" w:hAnsi="Arial" w:cs="Arial"/>
                <w:b/>
                <w:bCs/>
                <w:sz w:val="20"/>
              </w:rPr>
              <w:t>1,129,519</w:t>
            </w:r>
          </w:p>
        </w:tc>
      </w:tr>
    </w:tbl>
    <w:p w:rsidR="00995699" w:rsidRDefault="00995699">
      <w:pPr>
        <w:autoSpaceDE w:val="0"/>
        <w:autoSpaceDN w:val="0"/>
        <w:adjustRightInd w:val="0"/>
        <w:jc w:val="both"/>
        <w:rPr>
          <w:rFonts w:ascii="Arial" w:hAnsi="Arial" w:cs="Arial"/>
          <w:i/>
        </w:rPr>
      </w:pPr>
    </w:p>
    <w:p w:rsidR="00995699" w:rsidRPr="000D2F41" w:rsidRDefault="00EB149E">
      <w:pPr>
        <w:tabs>
          <w:tab w:val="left" w:pos="567"/>
        </w:tabs>
        <w:jc w:val="both"/>
        <w:rPr>
          <w:rFonts w:ascii="Arial" w:hAnsi="Arial" w:cs="Arial"/>
        </w:rPr>
      </w:pPr>
      <w:r w:rsidRPr="000D2F41">
        <w:rPr>
          <w:rFonts w:ascii="Arial" w:hAnsi="Arial" w:cs="Arial"/>
        </w:rPr>
        <w:t>As at June 2017, the MIG programme spent 92% of its total appropriation of R14,9 billion. We have observed a positive trend in the expenditure of MIG over the last five years. The unspent funds have reduced over the MTEF period.</w:t>
      </w:r>
    </w:p>
    <w:p w:rsidR="00995699" w:rsidRPr="000D2F41" w:rsidRDefault="00EB149E">
      <w:pPr>
        <w:tabs>
          <w:tab w:val="left" w:pos="567"/>
        </w:tabs>
        <w:jc w:val="both"/>
        <w:rPr>
          <w:rFonts w:ascii="Arial" w:hAnsi="Arial" w:cs="Arial"/>
        </w:rPr>
      </w:pPr>
      <w:r w:rsidRPr="000D2F41">
        <w:rPr>
          <w:rFonts w:ascii="Arial" w:hAnsi="Arial" w:cs="Arial"/>
        </w:rPr>
        <w:t>The table above shows that Eastern Cape, Limpopo and North West have challenges with regard to the expenditure of MIG which is as a result of poor planning for the year of implementation and in-year changes in priorities. Gauteng and Northern Cape have severe challenges related to the above-mentioned issues that require urgent intervention. On the other hand, Free State, KZN, Mpumalanga and Western Cape are performing satisfactorily. They have low unspent figures, below 45 million.</w:t>
      </w:r>
    </w:p>
    <w:p w:rsidR="00995699" w:rsidRPr="000D2F41" w:rsidRDefault="00EB149E">
      <w:pPr>
        <w:tabs>
          <w:tab w:val="left" w:pos="567"/>
        </w:tabs>
        <w:jc w:val="both"/>
        <w:rPr>
          <w:rFonts w:ascii="Arial" w:hAnsi="Arial" w:cs="Arial"/>
        </w:rPr>
      </w:pPr>
      <w:r w:rsidRPr="000D2F41">
        <w:rPr>
          <w:rFonts w:ascii="Arial" w:hAnsi="Arial" w:cs="Arial"/>
        </w:rPr>
        <w:t>MISA is assisting municipalities to improve the MIG spending of underspending municipalities through improving their planning and project management</w:t>
      </w:r>
      <w:r w:rsidRPr="000D2F41">
        <w:t xml:space="preserve"> </w:t>
      </w:r>
      <w:r w:rsidRPr="000D2F41">
        <w:rPr>
          <w:rFonts w:ascii="Arial" w:hAnsi="Arial" w:cs="Arial"/>
        </w:rPr>
        <w:t>capabilities.</w:t>
      </w:r>
    </w:p>
    <w:p w:rsidR="00995699" w:rsidRPr="000D2F41" w:rsidRDefault="00EB149E">
      <w:pPr>
        <w:tabs>
          <w:tab w:val="left" w:pos="567"/>
        </w:tabs>
        <w:jc w:val="both"/>
        <w:rPr>
          <w:rFonts w:ascii="Arial" w:hAnsi="Arial" w:cs="Arial"/>
        </w:rPr>
      </w:pPr>
      <w:r w:rsidRPr="000D2F41">
        <w:rPr>
          <w:rFonts w:ascii="Arial" w:hAnsi="Arial" w:cs="Arial"/>
        </w:rPr>
        <w:t>The MIG funds of municipalities that have not reached their spending threshold of 40% of their allocation by end of December 2016 were stopped. The Department has reallocated the stopped funds to performing municipalities. We found this system to have created unintended consequences by penalizing poor communities, which reside in these poorly performing municipalities. Hence, the Department is considering alternative delivery mechanisms that would indirectly transfer funding to municipalities, which implies that funding is retained nationally and implemented through an Implementing Agent. This feasibility of this mechanism is still being looked at.</w:t>
      </w:r>
    </w:p>
    <w:p w:rsidR="00995699" w:rsidRDefault="00995699">
      <w:pPr>
        <w:tabs>
          <w:tab w:val="left" w:pos="567"/>
        </w:tabs>
        <w:jc w:val="both"/>
        <w:rPr>
          <w:rFonts w:ascii="Arial" w:hAnsi="Arial" w:cs="Arial"/>
        </w:rPr>
      </w:pPr>
    </w:p>
    <w:p w:rsidR="00995699" w:rsidRDefault="00995699">
      <w:pPr>
        <w:pStyle w:val="BodyTextIndentCharChar"/>
        <w:spacing w:after="0"/>
        <w:ind w:left="0"/>
        <w:contextualSpacing/>
        <w:jc w:val="both"/>
        <w:rPr>
          <w:rFonts w:ascii="Arial" w:hAnsi="Arial" w:cs="Arial"/>
        </w:rPr>
      </w:pPr>
    </w:p>
    <w:p w:rsidR="00995699" w:rsidRDefault="00995699">
      <w:pPr>
        <w:pStyle w:val="BodyTextIndentCharChar"/>
        <w:spacing w:after="0"/>
        <w:ind w:left="0"/>
        <w:contextualSpacing/>
        <w:jc w:val="both"/>
        <w:rPr>
          <w:rFonts w:ascii="Arial" w:hAnsi="Arial" w:cs="Arial"/>
        </w:rPr>
      </w:pPr>
    </w:p>
    <w:p w:rsidR="00995699" w:rsidRDefault="00995699">
      <w:pPr>
        <w:pStyle w:val="BodyTextIndentCharChar"/>
        <w:spacing w:after="0"/>
        <w:ind w:left="0"/>
        <w:contextualSpacing/>
        <w:jc w:val="both"/>
        <w:rPr>
          <w:rFonts w:ascii="Arial" w:hAnsi="Arial" w:cs="Arial"/>
        </w:rPr>
      </w:pPr>
    </w:p>
    <w:p w:rsidR="00995699" w:rsidRDefault="00995699">
      <w:pPr>
        <w:pStyle w:val="BodyTextIndentCharChar"/>
        <w:spacing w:after="0"/>
        <w:ind w:left="0"/>
        <w:contextualSpacing/>
        <w:jc w:val="both"/>
        <w:rPr>
          <w:rFonts w:ascii="Arial" w:hAnsi="Arial" w:cs="Arial"/>
        </w:rPr>
      </w:pPr>
    </w:p>
    <w:p w:rsidR="00995699" w:rsidRDefault="00EB149E">
      <w:pPr>
        <w:pStyle w:val="Heading1"/>
        <w:numPr>
          <w:ilvl w:val="1"/>
          <w:numId w:val="11"/>
        </w:numPr>
        <w:rPr>
          <w:rFonts w:ascii="Arial" w:eastAsia="Calibri" w:hAnsi="Arial" w:cs="Arial"/>
        </w:rPr>
      </w:pPr>
      <w:bookmarkStart w:id="19" w:name="_Toc490544999"/>
      <w:r>
        <w:rPr>
          <w:rFonts w:ascii="Arial" w:eastAsia="Calibri" w:hAnsi="Arial" w:cs="Arial"/>
        </w:rPr>
        <w:t>Performance overview of the Community Work Programme</w:t>
      </w:r>
      <w:bookmarkEnd w:id="19"/>
    </w:p>
    <w:p w:rsidR="00995699" w:rsidRDefault="00995699">
      <w:pPr>
        <w:tabs>
          <w:tab w:val="left" w:pos="426"/>
        </w:tabs>
        <w:spacing w:line="360" w:lineRule="auto"/>
        <w:jc w:val="both"/>
        <w:rPr>
          <w:rFonts w:ascii="Arial" w:hAnsi="Arial" w:cs="Arial"/>
          <w:szCs w:val="24"/>
        </w:rPr>
      </w:pPr>
    </w:p>
    <w:p w:rsidR="00995699" w:rsidRDefault="00EB149E">
      <w:pPr>
        <w:tabs>
          <w:tab w:val="left" w:pos="567"/>
        </w:tabs>
        <w:jc w:val="both"/>
        <w:rPr>
          <w:rFonts w:ascii="Arial" w:hAnsi="Arial" w:cs="Arial"/>
        </w:rPr>
      </w:pPr>
      <w:r>
        <w:rPr>
          <w:rFonts w:ascii="Arial" w:hAnsi="Arial" w:cs="Arial"/>
        </w:rPr>
        <w:t xml:space="preserve">The Community Work Programme continues to make a contribution to government's efforts to eradicate poverty and promote community development. As at 31 March 2017 CWP provided 240554 work opportunities (Cumulative) in 238 sites spread across 231 Local Municipalities inclusive of the Eight (8) Metropolitan municipalities against a target of 235 665 across the 9 provinces. The actual participation rate as at the 31 March 2017 stood at 211490 work opportunities against an annual target of 235 665. Our target for the 2017/18 financial year is 258 400 participants. More importantly, the CWP provides participants with both training and experience. </w:t>
      </w:r>
    </w:p>
    <w:p w:rsidR="00995699" w:rsidRDefault="00EB149E">
      <w:pPr>
        <w:pStyle w:val="ListParagraph1"/>
        <w:numPr>
          <w:ilvl w:val="0"/>
          <w:numId w:val="17"/>
        </w:numPr>
        <w:tabs>
          <w:tab w:val="left" w:pos="567"/>
        </w:tabs>
        <w:jc w:val="both"/>
        <w:rPr>
          <w:rFonts w:ascii="Arial" w:hAnsi="Arial" w:cs="Arial"/>
        </w:rPr>
      </w:pPr>
      <w:r>
        <w:rPr>
          <w:rFonts w:ascii="Arial" w:hAnsi="Arial" w:cs="Arial"/>
        </w:rPr>
        <w:t>Forty-one percent (41%) of these work opportunities are occupied by participants that are in the youth sub population group, against an annual target of 40% youth participation;</w:t>
      </w:r>
    </w:p>
    <w:p w:rsidR="00995699" w:rsidRDefault="00EB149E">
      <w:pPr>
        <w:pStyle w:val="ListParagraph1"/>
        <w:numPr>
          <w:ilvl w:val="0"/>
          <w:numId w:val="17"/>
        </w:numPr>
        <w:tabs>
          <w:tab w:val="left" w:pos="567"/>
        </w:tabs>
        <w:jc w:val="both"/>
        <w:rPr>
          <w:rFonts w:ascii="Arial" w:hAnsi="Arial" w:cs="Arial"/>
        </w:rPr>
      </w:pPr>
      <w:r>
        <w:rPr>
          <w:rFonts w:ascii="Arial" w:hAnsi="Arial" w:cs="Arial"/>
        </w:rPr>
        <w:t>Eighty percent (80%) of the participants during this period were in the female sub population group against an annual target of 55% female participation; and</w:t>
      </w:r>
    </w:p>
    <w:p w:rsidR="00995699" w:rsidRDefault="00EB149E">
      <w:pPr>
        <w:pStyle w:val="ListParagraph1"/>
        <w:numPr>
          <w:ilvl w:val="0"/>
          <w:numId w:val="17"/>
        </w:numPr>
        <w:tabs>
          <w:tab w:val="left" w:pos="567"/>
        </w:tabs>
        <w:jc w:val="both"/>
        <w:rPr>
          <w:rFonts w:ascii="Arial" w:hAnsi="Arial" w:cs="Arial"/>
        </w:rPr>
      </w:pPr>
      <w:r>
        <w:rPr>
          <w:rFonts w:ascii="Arial" w:hAnsi="Arial" w:cs="Arial"/>
        </w:rPr>
        <w:t>Two percent 2% of the participants taking up the work opportunities are from the people with disabilities sub population group, against an annual target of 2%.</w:t>
      </w:r>
    </w:p>
    <w:p w:rsidR="00995699" w:rsidRDefault="00EB149E">
      <w:pPr>
        <w:pStyle w:val="Heading1"/>
        <w:numPr>
          <w:ilvl w:val="1"/>
          <w:numId w:val="11"/>
        </w:numPr>
        <w:rPr>
          <w:rFonts w:ascii="Arial" w:eastAsia="Calibri" w:hAnsi="Arial" w:cs="Arial"/>
        </w:rPr>
      </w:pPr>
      <w:bookmarkStart w:id="20" w:name="_Toc490545000"/>
      <w:r>
        <w:rPr>
          <w:rFonts w:ascii="Arial" w:eastAsia="Calibri" w:hAnsi="Arial" w:cs="Arial"/>
        </w:rPr>
        <w:t>Unaudited Expenditure as at 31 March 2017</w:t>
      </w:r>
      <w:bookmarkEnd w:id="20"/>
    </w:p>
    <w:p w:rsidR="00995699" w:rsidRDefault="00995699">
      <w:pPr>
        <w:pStyle w:val="ListParagraph1"/>
        <w:tabs>
          <w:tab w:val="left" w:pos="426"/>
        </w:tabs>
        <w:spacing w:line="360" w:lineRule="auto"/>
        <w:ind w:left="142"/>
        <w:jc w:val="center"/>
        <w:rPr>
          <w:rFonts w:ascii="Arial" w:hAnsi="Arial" w:cs="Arial"/>
          <w:b/>
          <w:bCs/>
        </w:rPr>
      </w:pPr>
    </w:p>
    <w:p w:rsidR="00995699" w:rsidRDefault="00B70321">
      <w:pPr>
        <w:pStyle w:val="ListParagraph1"/>
        <w:tabs>
          <w:tab w:val="left" w:pos="426"/>
        </w:tabs>
        <w:spacing w:line="360" w:lineRule="auto"/>
        <w:ind w:left="142"/>
        <w:jc w:val="center"/>
        <w:rPr>
          <w:rFonts w:ascii="Arial" w:hAnsi="Arial" w:cs="Arial"/>
          <w:b/>
          <w:bCs/>
        </w:rPr>
      </w:pPr>
      <w:r>
        <w:rPr>
          <w:rFonts w:ascii="Arial" w:hAnsi="Arial" w:cs="Arial"/>
          <w:b/>
          <w:bCs/>
          <w:noProof/>
          <w:lang w:val="en-ZA" w:eastAsia="en-ZA"/>
        </w:rPr>
        <w:drawing>
          <wp:inline distT="0" distB="0" distL="0" distR="0">
            <wp:extent cx="5734050" cy="3695700"/>
            <wp:effectExtent l="19050" t="0" r="0" b="0"/>
            <wp:docPr id="2"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pic:cNvPicPr>
                      <a:picLocks noChangeAspect="1" noChangeArrowheads="1"/>
                    </pic:cNvPicPr>
                  </pic:nvPicPr>
                  <pic:blipFill>
                    <a:blip r:embed="rId9" cstate="print"/>
                    <a:srcRect/>
                    <a:stretch>
                      <a:fillRect/>
                    </a:stretch>
                  </pic:blipFill>
                  <pic:spPr bwMode="auto">
                    <a:xfrm>
                      <a:off x="0" y="0"/>
                      <a:ext cx="5734050" cy="3695700"/>
                    </a:xfrm>
                    <a:prstGeom prst="rect">
                      <a:avLst/>
                    </a:prstGeom>
                    <a:noFill/>
                    <a:ln w="9525">
                      <a:noFill/>
                      <a:miter lim="800000"/>
                      <a:headEnd/>
                      <a:tailEnd/>
                    </a:ln>
                  </pic:spPr>
                </pic:pic>
              </a:graphicData>
            </a:graphic>
          </wp:inline>
        </w:drawing>
      </w:r>
    </w:p>
    <w:p w:rsidR="00995699" w:rsidRDefault="00995699">
      <w:pPr>
        <w:pStyle w:val="ListParagraph1"/>
        <w:tabs>
          <w:tab w:val="left" w:pos="426"/>
        </w:tabs>
        <w:spacing w:line="360" w:lineRule="auto"/>
        <w:ind w:left="142"/>
        <w:rPr>
          <w:rFonts w:ascii="Arial" w:hAnsi="Arial" w:cs="Arial"/>
          <w:b/>
          <w:bCs/>
        </w:rPr>
      </w:pPr>
    </w:p>
    <w:p w:rsidR="00995699" w:rsidRPr="000D2F41" w:rsidRDefault="00EB149E">
      <w:pPr>
        <w:pStyle w:val="ListParagraph1"/>
        <w:tabs>
          <w:tab w:val="left" w:pos="426"/>
        </w:tabs>
        <w:spacing w:line="360" w:lineRule="auto"/>
        <w:ind w:left="142"/>
        <w:rPr>
          <w:rFonts w:ascii="Arial" w:hAnsi="Arial" w:cs="Arial"/>
          <w:bCs/>
        </w:rPr>
      </w:pPr>
      <w:r w:rsidRPr="000D2F41">
        <w:rPr>
          <w:rFonts w:ascii="Arial" w:hAnsi="Arial" w:cs="Arial"/>
          <w:bCs/>
        </w:rPr>
        <w:lastRenderedPageBreak/>
        <w:t>The Department has spent 95.6% of its total allocation of R73 billion as at 31 March 2017. The under-expenditure of 4.4% is largely attributed to MIG under- expenditure of R 2,2 billion.</w:t>
      </w:r>
    </w:p>
    <w:p w:rsidR="00995699" w:rsidRDefault="00995699">
      <w:pPr>
        <w:pStyle w:val="ListParagraph1"/>
        <w:tabs>
          <w:tab w:val="left" w:pos="426"/>
        </w:tabs>
        <w:spacing w:line="360" w:lineRule="auto"/>
        <w:ind w:left="142"/>
        <w:jc w:val="center"/>
        <w:rPr>
          <w:rFonts w:ascii="Arial" w:hAnsi="Arial" w:cs="Arial"/>
          <w:b/>
          <w:bCs/>
        </w:rPr>
      </w:pPr>
    </w:p>
    <w:p w:rsidR="00995699" w:rsidRDefault="00EB149E">
      <w:pPr>
        <w:pStyle w:val="Heading1"/>
        <w:numPr>
          <w:ilvl w:val="1"/>
          <w:numId w:val="11"/>
        </w:numPr>
        <w:rPr>
          <w:rFonts w:ascii="Arial" w:eastAsia="Calibri" w:hAnsi="Arial" w:cs="Arial"/>
        </w:rPr>
      </w:pPr>
      <w:bookmarkStart w:id="21" w:name="_Toc490545001"/>
      <w:r>
        <w:rPr>
          <w:rFonts w:ascii="Arial" w:eastAsia="Calibri" w:hAnsi="Arial" w:cs="Arial"/>
        </w:rPr>
        <w:t>Cost containment measures within the department</w:t>
      </w:r>
      <w:bookmarkEnd w:id="21"/>
    </w:p>
    <w:p w:rsidR="00995699" w:rsidRDefault="00995699">
      <w:pPr>
        <w:tabs>
          <w:tab w:val="left" w:pos="426"/>
        </w:tabs>
        <w:spacing w:line="360" w:lineRule="auto"/>
        <w:jc w:val="both"/>
        <w:rPr>
          <w:rFonts w:ascii="Arial" w:hAnsi="Arial" w:cs="Arial"/>
        </w:rPr>
      </w:pPr>
    </w:p>
    <w:p w:rsidR="00995699" w:rsidRDefault="00EB149E">
      <w:pPr>
        <w:tabs>
          <w:tab w:val="left" w:pos="567"/>
        </w:tabs>
        <w:jc w:val="both"/>
        <w:rPr>
          <w:rFonts w:ascii="Arial" w:hAnsi="Arial" w:cs="Arial"/>
        </w:rPr>
      </w:pPr>
      <w:r>
        <w:rPr>
          <w:rFonts w:ascii="Arial" w:hAnsi="Arial" w:cs="Arial"/>
        </w:rPr>
        <w:t>The Department is observing the cost containment measures approved by Cabinet and issued by National Treasury with the view to contain administrative expenditure and ensure services are effectively, efficiently and economically executed to achieve set objectives.</w:t>
      </w:r>
    </w:p>
    <w:p w:rsidR="00995699" w:rsidRDefault="00EB149E">
      <w:pPr>
        <w:tabs>
          <w:tab w:val="left" w:pos="360"/>
          <w:tab w:val="left" w:pos="567"/>
        </w:tabs>
        <w:spacing w:line="360" w:lineRule="auto"/>
        <w:jc w:val="both"/>
        <w:rPr>
          <w:rFonts w:ascii="Arial" w:hAnsi="Arial" w:cs="Arial"/>
        </w:rPr>
      </w:pPr>
      <w:r>
        <w:rPr>
          <w:rFonts w:ascii="Arial" w:hAnsi="Arial" w:cs="Arial"/>
        </w:rPr>
        <w:t>The current policies were rev</w:t>
      </w:r>
      <w:bookmarkStart w:id="22" w:name="_GoBack"/>
      <w:bookmarkEnd w:id="22"/>
      <w:r>
        <w:rPr>
          <w:rFonts w:ascii="Arial" w:hAnsi="Arial" w:cs="Arial"/>
        </w:rPr>
        <w:t>iewed to incorporate these cost containment measures.</w:t>
      </w:r>
    </w:p>
    <w:p w:rsidR="00995699" w:rsidRDefault="00EB149E">
      <w:pPr>
        <w:tabs>
          <w:tab w:val="left" w:pos="360"/>
          <w:tab w:val="left" w:pos="567"/>
        </w:tabs>
        <w:spacing w:line="360" w:lineRule="auto"/>
        <w:jc w:val="both"/>
        <w:rPr>
          <w:rFonts w:ascii="Arial" w:hAnsi="Arial" w:cs="Arial"/>
        </w:rPr>
      </w:pPr>
      <w:r>
        <w:rPr>
          <w:rFonts w:ascii="Arial" w:hAnsi="Arial" w:cs="Arial"/>
        </w:rPr>
        <w:t xml:space="preserve">The following had been implemented amongst others: </w:t>
      </w:r>
    </w:p>
    <w:p w:rsidR="00995699" w:rsidRDefault="00EB149E">
      <w:pPr>
        <w:pStyle w:val="ListParagraph1"/>
        <w:numPr>
          <w:ilvl w:val="0"/>
          <w:numId w:val="18"/>
        </w:numPr>
        <w:tabs>
          <w:tab w:val="left" w:pos="360"/>
          <w:tab w:val="left" w:pos="567"/>
        </w:tabs>
        <w:spacing w:line="360" w:lineRule="auto"/>
        <w:jc w:val="both"/>
        <w:rPr>
          <w:rFonts w:ascii="Arial" w:hAnsi="Arial" w:cs="Arial"/>
        </w:rPr>
      </w:pPr>
      <w:r>
        <w:rPr>
          <w:rFonts w:ascii="Arial" w:hAnsi="Arial" w:cs="Arial"/>
        </w:rPr>
        <w:t xml:space="preserve">The use of internal venue for meeting instead of procuring external venues;  </w:t>
      </w:r>
    </w:p>
    <w:p w:rsidR="00995699" w:rsidRDefault="00EB149E">
      <w:pPr>
        <w:pStyle w:val="ListParagraph1"/>
        <w:numPr>
          <w:ilvl w:val="0"/>
          <w:numId w:val="18"/>
        </w:numPr>
        <w:tabs>
          <w:tab w:val="left" w:pos="360"/>
          <w:tab w:val="left" w:pos="567"/>
        </w:tabs>
        <w:spacing w:line="360" w:lineRule="auto"/>
        <w:jc w:val="both"/>
        <w:rPr>
          <w:rFonts w:ascii="Arial" w:hAnsi="Arial" w:cs="Arial"/>
        </w:rPr>
      </w:pPr>
      <w:r>
        <w:rPr>
          <w:rFonts w:ascii="Arial" w:hAnsi="Arial" w:cs="Arial"/>
        </w:rPr>
        <w:t>Delegations for international trip reduced to a minimum of 5 officials;</w:t>
      </w:r>
    </w:p>
    <w:p w:rsidR="00995699" w:rsidRDefault="00EB149E">
      <w:pPr>
        <w:pStyle w:val="ListParagraph1"/>
        <w:numPr>
          <w:ilvl w:val="0"/>
          <w:numId w:val="18"/>
        </w:numPr>
        <w:tabs>
          <w:tab w:val="left" w:pos="360"/>
          <w:tab w:val="left" w:pos="567"/>
        </w:tabs>
        <w:spacing w:line="360" w:lineRule="auto"/>
        <w:jc w:val="both"/>
        <w:rPr>
          <w:rFonts w:ascii="Arial" w:hAnsi="Arial" w:cs="Arial"/>
        </w:rPr>
      </w:pPr>
      <w:r>
        <w:rPr>
          <w:rFonts w:ascii="Arial" w:hAnsi="Arial" w:cs="Arial"/>
        </w:rPr>
        <w:t xml:space="preserve">Catering is no longer provided except for when there are external stakeholder and meeting is longer than 5 hour; </w:t>
      </w:r>
    </w:p>
    <w:p w:rsidR="00995699" w:rsidRDefault="00EB149E">
      <w:pPr>
        <w:pStyle w:val="ListParagraph1"/>
        <w:tabs>
          <w:tab w:val="left" w:pos="360"/>
          <w:tab w:val="left" w:pos="567"/>
        </w:tabs>
        <w:spacing w:line="360" w:lineRule="auto"/>
        <w:ind w:left="0"/>
        <w:jc w:val="both"/>
        <w:rPr>
          <w:rFonts w:ascii="Arial" w:hAnsi="Arial" w:cs="Arial"/>
        </w:rPr>
      </w:pPr>
      <w:r>
        <w:rPr>
          <w:rFonts w:ascii="Arial" w:hAnsi="Arial" w:cs="Arial"/>
        </w:rPr>
        <w:t>The department is busy with the review of functions and document key business processes to improve service delivery and efficiencies as well as to develop detailed Standing Operating Procedures.</w:t>
      </w:r>
    </w:p>
    <w:p w:rsidR="00995699" w:rsidRDefault="00995699">
      <w:pPr>
        <w:pStyle w:val="ListParagraph1"/>
        <w:tabs>
          <w:tab w:val="left" w:pos="360"/>
          <w:tab w:val="left" w:pos="567"/>
        </w:tabs>
        <w:spacing w:line="360" w:lineRule="auto"/>
        <w:ind w:left="0"/>
        <w:jc w:val="both"/>
        <w:rPr>
          <w:rFonts w:ascii="Arial" w:hAnsi="Arial" w:cs="Arial"/>
        </w:rPr>
      </w:pPr>
    </w:p>
    <w:p w:rsidR="00995699" w:rsidRDefault="00995699">
      <w:pPr>
        <w:pStyle w:val="ListParagraph1"/>
        <w:tabs>
          <w:tab w:val="left" w:pos="360"/>
          <w:tab w:val="left" w:pos="567"/>
        </w:tabs>
        <w:spacing w:line="360" w:lineRule="auto"/>
        <w:ind w:left="0"/>
        <w:jc w:val="both"/>
        <w:rPr>
          <w:rFonts w:ascii="Arial" w:hAnsi="Arial" w:cs="Arial"/>
        </w:rPr>
      </w:pPr>
    </w:p>
    <w:p w:rsidR="00995699" w:rsidRDefault="00EB149E">
      <w:pPr>
        <w:pStyle w:val="Heading1"/>
        <w:numPr>
          <w:ilvl w:val="0"/>
          <w:numId w:val="11"/>
        </w:numPr>
        <w:rPr>
          <w:rFonts w:ascii="Arial" w:eastAsia="Calibri" w:hAnsi="Arial" w:cs="Arial"/>
        </w:rPr>
      </w:pPr>
      <w:bookmarkStart w:id="23" w:name="_Toc490545002"/>
      <w:r>
        <w:rPr>
          <w:rFonts w:ascii="Arial" w:eastAsia="Calibri" w:hAnsi="Arial" w:cs="Arial"/>
        </w:rPr>
        <w:t>Recommendations</w:t>
      </w:r>
      <w:bookmarkEnd w:id="23"/>
    </w:p>
    <w:p w:rsidR="00995699" w:rsidRDefault="00995699"/>
    <w:p w:rsidR="00995699" w:rsidRDefault="00EB149E">
      <w:r>
        <w:t>It is recommended that the Standing Committee on Appropriation notes the supporting information on the DCoG 4th quarter financial and non-financial performance for 2016/17.</w:t>
      </w:r>
    </w:p>
    <w:p w:rsidR="00995699" w:rsidRDefault="00995699">
      <w:pPr>
        <w:pStyle w:val="ListParagraph1"/>
        <w:tabs>
          <w:tab w:val="left" w:pos="360"/>
          <w:tab w:val="left" w:pos="567"/>
        </w:tabs>
        <w:spacing w:line="360" w:lineRule="auto"/>
        <w:ind w:left="0"/>
        <w:jc w:val="both"/>
        <w:rPr>
          <w:rFonts w:ascii="Arial" w:hAnsi="Arial" w:cs="Arial"/>
        </w:rPr>
      </w:pPr>
    </w:p>
    <w:p w:rsidR="00995699" w:rsidRDefault="00995699">
      <w:pPr>
        <w:pStyle w:val="ListParagraph1"/>
        <w:tabs>
          <w:tab w:val="left" w:pos="567"/>
        </w:tabs>
        <w:spacing w:line="360" w:lineRule="auto"/>
        <w:ind w:left="360"/>
        <w:jc w:val="both"/>
        <w:rPr>
          <w:rFonts w:ascii="Arial" w:hAnsi="Arial" w:cs="Arial"/>
          <w:b/>
          <w:sz w:val="4"/>
        </w:rPr>
      </w:pPr>
    </w:p>
    <w:p w:rsidR="00995699" w:rsidRDefault="00995699">
      <w:pPr>
        <w:tabs>
          <w:tab w:val="left" w:pos="567"/>
        </w:tabs>
        <w:spacing w:line="360" w:lineRule="auto"/>
        <w:jc w:val="both"/>
        <w:rPr>
          <w:rFonts w:ascii="Arial" w:hAnsi="Arial" w:cs="Arial"/>
        </w:rPr>
      </w:pPr>
    </w:p>
    <w:sectPr w:rsidR="00995699" w:rsidSect="00236FE4">
      <w:footerReference w:type="default" r:id="rId10"/>
      <w:pgSz w:w="11906" w:h="16838"/>
      <w:pgMar w:top="720" w:right="1440" w:bottom="1008"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9E" w:rsidRDefault="00EB149E">
      <w:pPr>
        <w:spacing w:after="0" w:line="240" w:lineRule="auto"/>
      </w:pPr>
      <w:r>
        <w:separator/>
      </w:r>
    </w:p>
  </w:endnote>
  <w:endnote w:type="continuationSeparator" w:id="0">
    <w:p w:rsidR="00EB149E" w:rsidRDefault="00EB1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auto"/>
    <w:pitch w:val="default"/>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charset w:val="00"/>
    <w:family w:val="auto"/>
    <w:pitch w:val="default"/>
    <w:sig w:usb0="00000003" w:usb1="00000000" w:usb2="00000000" w:usb3="00000000" w:csb0="00000001" w:csb1="00000000"/>
  </w:font>
  <w:font w:name="Times">
    <w:altName w:val="Times"/>
    <w:panose1 w:val="02020603050405020304"/>
    <w:charset w:val="00"/>
    <w:family w:val="auto"/>
    <w:pitch w:val="default"/>
    <w:sig w:usb0="E0002EFF" w:usb1="C0007843" w:usb2="00000009" w:usb3="00000000" w:csb0="000001FF" w:csb1="00000000"/>
  </w:font>
  <w:font w:name="Myriad Pro Light">
    <w:altName w:val="Myriad Pro Light"/>
    <w:charset w:val="00"/>
    <w:family w:val="auto"/>
    <w:pitch w:val="default"/>
    <w:sig w:usb0="00000003" w:usb1="00000000" w:usb2="00000000" w:usb3="00000000" w:csb0="00000001" w:csb1="00000000"/>
  </w:font>
  <w:font w:name="Consolas">
    <w:altName w:val="Consolas"/>
    <w:panose1 w:val="020B0609020204030204"/>
    <w:charset w:val="00"/>
    <w:family w:val="auto"/>
    <w:pitch w:val="default"/>
    <w:sig w:usb0="E10002FF" w:usb1="4000FCFF" w:usb2="00000009" w:usb3="00000000" w:csb0="0000019F" w:csb1="00000000"/>
  </w:font>
  <w:font w:name="Gill Sans Light">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99" w:rsidRDefault="00995699">
    <w:pPr>
      <w:pStyle w:val="Footer"/>
      <w:spacing w:after="0" w:line="240" w:lineRule="auto"/>
      <w:jc w:val="right"/>
      <w:rPr>
        <w:color w:val="3F3F3F"/>
      </w:rPr>
    </w:pPr>
  </w:p>
  <w:p w:rsidR="00995699" w:rsidRDefault="00EB149E">
    <w:pPr>
      <w:pStyle w:val="Footer"/>
      <w:jc w:val="right"/>
      <w:rPr>
        <w:color w:val="3F3F3F"/>
      </w:rPr>
    </w:pPr>
    <w:r>
      <w:rPr>
        <w:color w:val="3F3F3F"/>
      </w:rPr>
      <w:t xml:space="preserve">Page </w:t>
    </w:r>
    <w:r w:rsidR="00236FE4">
      <w:rPr>
        <w:b/>
        <w:bCs/>
        <w:color w:val="3F3F3F"/>
      </w:rPr>
      <w:fldChar w:fldCharType="begin"/>
    </w:r>
    <w:r>
      <w:rPr>
        <w:b/>
        <w:bCs/>
        <w:color w:val="3F3F3F"/>
      </w:rPr>
      <w:instrText xml:space="preserve"> PAGE </w:instrText>
    </w:r>
    <w:r w:rsidR="00236FE4">
      <w:rPr>
        <w:b/>
        <w:bCs/>
        <w:color w:val="3F3F3F"/>
      </w:rPr>
      <w:fldChar w:fldCharType="separate"/>
    </w:r>
    <w:r w:rsidR="00B70321">
      <w:rPr>
        <w:b/>
        <w:bCs/>
        <w:noProof/>
        <w:color w:val="3F3F3F"/>
      </w:rPr>
      <w:t>2</w:t>
    </w:r>
    <w:r w:rsidR="00236FE4">
      <w:rPr>
        <w:b/>
        <w:bCs/>
        <w:color w:val="3F3F3F"/>
      </w:rPr>
      <w:fldChar w:fldCharType="end"/>
    </w:r>
    <w:r>
      <w:rPr>
        <w:color w:val="3F3F3F"/>
      </w:rPr>
      <w:t xml:space="preserve"> of </w:t>
    </w:r>
    <w:r w:rsidR="00236FE4">
      <w:rPr>
        <w:b/>
        <w:bCs/>
        <w:color w:val="3F3F3F"/>
      </w:rPr>
      <w:fldChar w:fldCharType="begin"/>
    </w:r>
    <w:r>
      <w:rPr>
        <w:b/>
        <w:bCs/>
        <w:color w:val="3F3F3F"/>
      </w:rPr>
      <w:instrText xml:space="preserve"> NUMPAGES  </w:instrText>
    </w:r>
    <w:r w:rsidR="00236FE4">
      <w:rPr>
        <w:b/>
        <w:bCs/>
        <w:color w:val="3F3F3F"/>
      </w:rPr>
      <w:fldChar w:fldCharType="separate"/>
    </w:r>
    <w:r w:rsidR="00B70321">
      <w:rPr>
        <w:b/>
        <w:bCs/>
        <w:noProof/>
        <w:color w:val="3F3F3F"/>
      </w:rPr>
      <w:t>11</w:t>
    </w:r>
    <w:r w:rsidR="00236FE4">
      <w:rPr>
        <w:b/>
        <w:bCs/>
        <w:color w:val="3F3F3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9E" w:rsidRDefault="00EB149E">
      <w:pPr>
        <w:spacing w:after="0" w:line="240" w:lineRule="auto"/>
      </w:pPr>
      <w:r>
        <w:separator/>
      </w:r>
    </w:p>
  </w:footnote>
  <w:footnote w:type="continuationSeparator" w:id="0">
    <w:p w:rsidR="00EB149E" w:rsidRDefault="00EB1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4589C"/>
    <w:multiLevelType w:val="singleLevel"/>
    <w:tmpl w:val="5994589C"/>
    <w:lvl w:ilvl="0" w:tentative="1">
      <w:start w:val="1"/>
      <w:numFmt w:val="bullet"/>
      <w:pStyle w:val="ListBullet"/>
      <w:lvlText w:val=""/>
      <w:lvlJc w:val="left"/>
      <w:pPr>
        <w:tabs>
          <w:tab w:val="left" w:pos="360"/>
        </w:tabs>
        <w:ind w:left="284" w:hanging="284"/>
      </w:pPr>
      <w:rPr>
        <w:rFonts w:ascii="Symbol" w:hAnsi="Symbol" w:hint="default"/>
      </w:rPr>
    </w:lvl>
  </w:abstractNum>
  <w:abstractNum w:abstractNumId="1">
    <w:nsid w:val="599458A7"/>
    <w:multiLevelType w:val="multilevel"/>
    <w:tmpl w:val="599458A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99458B2"/>
    <w:multiLevelType w:val="singleLevel"/>
    <w:tmpl w:val="599458B2"/>
    <w:lvl w:ilvl="0" w:tentative="1">
      <w:start w:val="1"/>
      <w:numFmt w:val="bullet"/>
      <w:pStyle w:val="Boxbullet"/>
      <w:lvlText w:val=""/>
      <w:lvlJc w:val="left"/>
      <w:pPr>
        <w:tabs>
          <w:tab w:val="left" w:pos="360"/>
        </w:tabs>
        <w:ind w:left="142" w:hanging="142"/>
      </w:pPr>
      <w:rPr>
        <w:rFonts w:ascii="Symbol" w:hAnsi="Symbol" w:hint="default"/>
      </w:rPr>
    </w:lvl>
  </w:abstractNum>
  <w:abstractNum w:abstractNumId="3">
    <w:nsid w:val="599458BD"/>
    <w:multiLevelType w:val="singleLevel"/>
    <w:tmpl w:val="599458BD"/>
    <w:lvl w:ilvl="0" w:tentative="1">
      <w:start w:val="1"/>
      <w:numFmt w:val="bullet"/>
      <w:pStyle w:val="Sublist"/>
      <w:lvlText w:val="–"/>
      <w:lvlJc w:val="left"/>
      <w:pPr>
        <w:tabs>
          <w:tab w:val="left" w:pos="644"/>
        </w:tabs>
        <w:ind w:left="567" w:hanging="283"/>
      </w:pPr>
      <w:rPr>
        <w:rFonts w:ascii="Times New Roman" w:hAnsi="Times New Roman" w:hint="default"/>
      </w:rPr>
    </w:lvl>
  </w:abstractNum>
  <w:abstractNum w:abstractNumId="4">
    <w:nsid w:val="599458C8"/>
    <w:multiLevelType w:val="multilevel"/>
    <w:tmpl w:val="599458C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800" w:hanging="1800"/>
      </w:pPr>
      <w:rPr>
        <w:rFonts w:hint="default"/>
      </w:rPr>
    </w:lvl>
    <w:lvl w:ilvl="8" w:tentative="1">
      <w:start w:val="1"/>
      <w:numFmt w:val="decimal"/>
      <w:isLgl/>
      <w:lvlText w:val="%1.%2.%3.%4.%5.%6.%7.%8.%9"/>
      <w:lvlJc w:val="left"/>
      <w:pPr>
        <w:ind w:left="1800" w:hanging="1800"/>
      </w:pPr>
      <w:rPr>
        <w:rFonts w:hint="default"/>
      </w:rPr>
    </w:lvl>
  </w:abstractNum>
  <w:abstractNum w:abstractNumId="5">
    <w:nsid w:val="599458D3"/>
    <w:multiLevelType w:val="multilevel"/>
    <w:tmpl w:val="599458D3"/>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99458DE"/>
    <w:multiLevelType w:val="singleLevel"/>
    <w:tmpl w:val="599458DE"/>
    <w:lvl w:ilvl="0" w:tentative="1">
      <w:start w:val="1"/>
      <w:numFmt w:val="bullet"/>
      <w:pStyle w:val="LongBullet"/>
      <w:lvlText w:val=""/>
      <w:lvlJc w:val="left"/>
      <w:pPr>
        <w:tabs>
          <w:tab w:val="left" w:pos="360"/>
        </w:tabs>
        <w:ind w:left="284" w:hanging="284"/>
      </w:pPr>
      <w:rPr>
        <w:rFonts w:ascii="Symbol" w:hAnsi="Symbol" w:hint="default"/>
      </w:rPr>
    </w:lvl>
  </w:abstractNum>
  <w:abstractNum w:abstractNumId="7">
    <w:nsid w:val="599458E9"/>
    <w:multiLevelType w:val="multilevel"/>
    <w:tmpl w:val="599458E9"/>
    <w:lvl w:ilvl="0" w:tentative="1">
      <w:start w:val="1"/>
      <w:numFmt w:val="bullet"/>
      <w:pStyle w:val="Bullet"/>
      <w:lvlText w:val=""/>
      <w:lvlJc w:val="left"/>
      <w:pPr>
        <w:tabs>
          <w:tab w:val="left" w:pos="360"/>
        </w:tabs>
        <w:ind w:left="360" w:hanging="360"/>
      </w:pPr>
      <w:rPr>
        <w:rFonts w:ascii="Symbol" w:hAnsi="Symbol" w:hint="default"/>
      </w:rPr>
    </w:lvl>
    <w:lvl w:ilvl="1" w:tentative="1">
      <w:start w:val="3"/>
      <w:numFmt w:val="decimal"/>
      <w:isLgl/>
      <w:lvlText w:val="%1.%2"/>
      <w:lvlJc w:val="left"/>
      <w:pPr>
        <w:tabs>
          <w:tab w:val="left" w:pos="390"/>
        </w:tabs>
        <w:ind w:left="390" w:hanging="390"/>
      </w:pPr>
      <w:rPr>
        <w:rFonts w:hint="default"/>
      </w:rPr>
    </w:lvl>
    <w:lvl w:ilvl="2" w:tentative="1">
      <w:start w:val="1"/>
      <w:numFmt w:val="decimal"/>
      <w:isLgl/>
      <w:lvlText w:val="%1.%2.%3"/>
      <w:lvlJc w:val="left"/>
      <w:pPr>
        <w:tabs>
          <w:tab w:val="left" w:pos="720"/>
        </w:tabs>
        <w:ind w:left="720" w:hanging="720"/>
      </w:pPr>
      <w:rPr>
        <w:rFonts w:hint="default"/>
      </w:rPr>
    </w:lvl>
    <w:lvl w:ilvl="3" w:tentative="1">
      <w:start w:val="1"/>
      <w:numFmt w:val="decimal"/>
      <w:isLgl/>
      <w:lvlText w:val="%1.%2.%3.%4"/>
      <w:lvlJc w:val="left"/>
      <w:pPr>
        <w:tabs>
          <w:tab w:val="left" w:pos="1080"/>
        </w:tabs>
        <w:ind w:left="1080" w:hanging="1080"/>
      </w:pPr>
      <w:rPr>
        <w:rFonts w:hint="default"/>
      </w:rPr>
    </w:lvl>
    <w:lvl w:ilvl="4" w:tentative="1">
      <w:start w:val="1"/>
      <w:numFmt w:val="decimal"/>
      <w:isLgl/>
      <w:lvlText w:val="%1.%2.%3.%4.%5"/>
      <w:lvlJc w:val="left"/>
      <w:pPr>
        <w:tabs>
          <w:tab w:val="left" w:pos="1080"/>
        </w:tabs>
        <w:ind w:left="1080" w:hanging="1080"/>
      </w:pPr>
      <w:rPr>
        <w:rFonts w:hint="default"/>
      </w:rPr>
    </w:lvl>
    <w:lvl w:ilvl="5" w:tentative="1">
      <w:start w:val="1"/>
      <w:numFmt w:val="decimal"/>
      <w:isLgl/>
      <w:lvlText w:val="%1.%2.%3.%4.%5.%6"/>
      <w:lvlJc w:val="left"/>
      <w:pPr>
        <w:tabs>
          <w:tab w:val="left" w:pos="1440"/>
        </w:tabs>
        <w:ind w:left="1440" w:hanging="1440"/>
      </w:pPr>
      <w:rPr>
        <w:rFonts w:hint="default"/>
      </w:rPr>
    </w:lvl>
    <w:lvl w:ilvl="6" w:tentative="1">
      <w:start w:val="1"/>
      <w:numFmt w:val="decimal"/>
      <w:isLgl/>
      <w:lvlText w:val="%1.%2.%3.%4.%5.%6.%7"/>
      <w:lvlJc w:val="left"/>
      <w:pPr>
        <w:tabs>
          <w:tab w:val="left" w:pos="1440"/>
        </w:tabs>
        <w:ind w:left="1440" w:hanging="1440"/>
      </w:pPr>
      <w:rPr>
        <w:rFonts w:hint="default"/>
      </w:rPr>
    </w:lvl>
    <w:lvl w:ilvl="7" w:tentative="1">
      <w:start w:val="1"/>
      <w:numFmt w:val="decimal"/>
      <w:isLgl/>
      <w:lvlText w:val="%1.%2.%3.%4.%5.%6.%7.%8"/>
      <w:lvlJc w:val="left"/>
      <w:pPr>
        <w:tabs>
          <w:tab w:val="left" w:pos="1800"/>
        </w:tabs>
        <w:ind w:left="1800" w:hanging="1800"/>
      </w:pPr>
      <w:rPr>
        <w:rFonts w:hint="default"/>
      </w:rPr>
    </w:lvl>
    <w:lvl w:ilvl="8" w:tentative="1">
      <w:start w:val="1"/>
      <w:numFmt w:val="decimal"/>
      <w:isLgl/>
      <w:lvlText w:val="%1.%2.%3.%4.%5.%6.%7.%8.%9"/>
      <w:lvlJc w:val="left"/>
      <w:pPr>
        <w:tabs>
          <w:tab w:val="left" w:pos="1800"/>
        </w:tabs>
        <w:ind w:left="1800" w:hanging="1800"/>
      </w:pPr>
      <w:rPr>
        <w:rFonts w:hint="default"/>
      </w:rPr>
    </w:lvl>
  </w:abstractNum>
  <w:abstractNum w:abstractNumId="8">
    <w:nsid w:val="599458F4"/>
    <w:multiLevelType w:val="singleLevel"/>
    <w:tmpl w:val="599458F4"/>
    <w:lvl w:ilvl="0" w:tentative="1">
      <w:start w:val="1"/>
      <w:numFmt w:val="bullet"/>
      <w:pStyle w:val="Textboxbullet"/>
      <w:lvlText w:val=""/>
      <w:lvlJc w:val="left"/>
      <w:pPr>
        <w:tabs>
          <w:tab w:val="left" w:pos="360"/>
        </w:tabs>
        <w:ind w:left="284" w:hanging="284"/>
      </w:pPr>
      <w:rPr>
        <w:rFonts w:ascii="Symbol" w:hAnsi="Symbol" w:hint="default"/>
      </w:rPr>
    </w:lvl>
  </w:abstractNum>
  <w:abstractNum w:abstractNumId="9">
    <w:nsid w:val="599458FF"/>
    <w:multiLevelType w:val="multilevel"/>
    <w:tmpl w:val="599458FF"/>
    <w:lvl w:ilvl="0" w:tentative="1">
      <w:start w:val="31"/>
      <w:numFmt w:val="decimal"/>
      <w:lvlText w:val="%1"/>
      <w:lvlJc w:val="left"/>
      <w:pPr>
        <w:tabs>
          <w:tab w:val="left" w:pos="432"/>
        </w:tabs>
        <w:ind w:left="432" w:hanging="432"/>
      </w:pPr>
    </w:lvl>
    <w:lvl w:ilvl="1" w:tentative="1">
      <w:start w:val="1"/>
      <w:numFmt w:val="decimal"/>
      <w:pStyle w:val="ListBullet2"/>
      <w:lvlText w:val="%1.%2"/>
      <w:lvlJc w:val="left"/>
      <w:pPr>
        <w:tabs>
          <w:tab w:val="left" w:pos="576"/>
        </w:tabs>
        <w:ind w:left="576" w:hanging="576"/>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10">
    <w:nsid w:val="5994590A"/>
    <w:multiLevelType w:val="multilevel"/>
    <w:tmpl w:val="599459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9945915"/>
    <w:multiLevelType w:val="singleLevel"/>
    <w:tmpl w:val="59945915"/>
    <w:lvl w:ilvl="0" w:tentative="1">
      <w:start w:val="1"/>
      <w:numFmt w:val="bullet"/>
      <w:pStyle w:val="Finalbullet"/>
      <w:lvlText w:val=""/>
      <w:lvlJc w:val="left"/>
      <w:pPr>
        <w:tabs>
          <w:tab w:val="left" w:pos="360"/>
        </w:tabs>
        <w:ind w:left="284" w:hanging="284"/>
      </w:pPr>
      <w:rPr>
        <w:rFonts w:ascii="Symbol" w:hAnsi="Symbol" w:hint="default"/>
      </w:rPr>
    </w:lvl>
  </w:abstractNum>
  <w:abstractNum w:abstractNumId="12">
    <w:nsid w:val="59945920"/>
    <w:multiLevelType w:val="multilevel"/>
    <w:tmpl w:val="5994592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994592B"/>
    <w:multiLevelType w:val="singleLevel"/>
    <w:tmpl w:val="5994592B"/>
    <w:lvl w:ilvl="0" w:tentative="1">
      <w:start w:val="1"/>
      <w:numFmt w:val="bullet"/>
      <w:pStyle w:val="Finalsublist"/>
      <w:lvlText w:val="–"/>
      <w:lvlJc w:val="left"/>
      <w:pPr>
        <w:tabs>
          <w:tab w:val="left" w:pos="644"/>
        </w:tabs>
        <w:ind w:left="567" w:hanging="283"/>
      </w:pPr>
      <w:rPr>
        <w:rFonts w:ascii="Times New Roman" w:hAnsi="Times New Roman" w:hint="default"/>
      </w:rPr>
    </w:lvl>
  </w:abstractNum>
  <w:abstractNum w:abstractNumId="14">
    <w:nsid w:val="59945936"/>
    <w:multiLevelType w:val="multilevel"/>
    <w:tmpl w:val="59945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9945941"/>
    <w:multiLevelType w:val="multilevel"/>
    <w:tmpl w:val="59945941"/>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994594C"/>
    <w:multiLevelType w:val="multilevel"/>
    <w:tmpl w:val="599459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59945957"/>
    <w:multiLevelType w:val="singleLevel"/>
    <w:tmpl w:val="59945957"/>
    <w:lvl w:ilvl="0" w:tentative="1">
      <w:start w:val="1"/>
      <w:numFmt w:val="bullet"/>
      <w:pStyle w:val="finalbullet0"/>
      <w:lvlText w:val=""/>
      <w:lvlJc w:val="left"/>
      <w:pPr>
        <w:tabs>
          <w:tab w:val="left" w:pos="360"/>
        </w:tabs>
        <w:ind w:left="284" w:hanging="284"/>
      </w:pPr>
      <w:rPr>
        <w:rFonts w:ascii="Symbol" w:hAnsi="Symbol" w:hint="default"/>
      </w:rPr>
    </w:lvl>
  </w:abstractNum>
  <w:num w:numId="1">
    <w:abstractNumId w:val="0"/>
  </w:num>
  <w:num w:numId="2">
    <w:abstractNumId w:val="9"/>
  </w:num>
  <w:num w:numId="3">
    <w:abstractNumId w:val="6"/>
  </w:num>
  <w:num w:numId="4">
    <w:abstractNumId w:val="11"/>
  </w:num>
  <w:num w:numId="5">
    <w:abstractNumId w:val="8"/>
  </w:num>
  <w:num w:numId="6">
    <w:abstractNumId w:val="13"/>
  </w:num>
  <w:num w:numId="7">
    <w:abstractNumId w:val="2"/>
  </w:num>
  <w:num w:numId="8">
    <w:abstractNumId w:val="3"/>
  </w:num>
  <w:num w:numId="9">
    <w:abstractNumId w:val="7"/>
  </w:num>
  <w:num w:numId="10">
    <w:abstractNumId w:val="17"/>
  </w:num>
  <w:num w:numId="11">
    <w:abstractNumId w:val="4"/>
  </w:num>
  <w:num w:numId="12">
    <w:abstractNumId w:val="10"/>
  </w:num>
  <w:num w:numId="13">
    <w:abstractNumId w:val="14"/>
  </w:num>
  <w:num w:numId="14">
    <w:abstractNumId w:val="1"/>
  </w:num>
  <w:num w:numId="15">
    <w:abstractNumId w:val="12"/>
  </w:num>
  <w:num w:numId="16">
    <w:abstractNumId w:val="5"/>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0"/>
  <w:drawingGridVerticalSpacing w:val="0"/>
  <w:characterSpacingControl w:val="doNotCompress"/>
  <w:footnotePr>
    <w:footnote w:id="-1"/>
    <w:footnote w:id="0"/>
  </w:footnotePr>
  <w:endnotePr>
    <w:endnote w:id="-1"/>
    <w:endnote w:id="0"/>
  </w:endnotePr>
  <w:compat>
    <w:spaceForUL/>
    <w:doNotLeaveBackslashAlone/>
    <w:ulTrailSpace/>
    <w:doNotExpandShiftReturn/>
    <w:useFELayout/>
  </w:compat>
  <w:rsids>
    <w:rsidRoot w:val="00995699"/>
    <w:rsid w:val="000D2F41"/>
    <w:rsid w:val="00236FE4"/>
    <w:rsid w:val="00995699"/>
    <w:rsid w:val="00B70321"/>
    <w:rsid w:val="00EB14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4"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FE4"/>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rsid w:val="00236FE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rsid w:val="00236FE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rsid w:val="00236FE4"/>
    <w:pPr>
      <w:keepNext/>
      <w:keepLines/>
      <w:spacing w:before="200" w:after="0"/>
      <w:outlineLvl w:val="2"/>
    </w:pPr>
    <w:rPr>
      <w:rFonts w:ascii="Cambria" w:hAnsi="Cambria"/>
      <w:b/>
      <w:bCs/>
      <w:color w:val="4F81BD"/>
    </w:rPr>
  </w:style>
  <w:style w:type="paragraph" w:styleId="Heading4">
    <w:name w:val="heading 4"/>
    <w:basedOn w:val="Normal"/>
    <w:next w:val="Paragraph"/>
    <w:link w:val="Heading4Char"/>
    <w:rsid w:val="00236FE4"/>
    <w:pPr>
      <w:keepNext/>
      <w:spacing w:before="240" w:after="60"/>
      <w:outlineLvl w:val="3"/>
    </w:pPr>
    <w:rPr>
      <w:rFonts w:ascii="Arial" w:hAnsi="Arial"/>
      <w:b/>
      <w:sz w:val="23"/>
    </w:rPr>
  </w:style>
  <w:style w:type="paragraph" w:styleId="Heading5">
    <w:name w:val="heading 5"/>
    <w:basedOn w:val="Normal"/>
    <w:next w:val="Paragraph"/>
    <w:link w:val="Heading5Char"/>
    <w:rsid w:val="00236FE4"/>
    <w:pPr>
      <w:keepNext/>
      <w:spacing w:before="100" w:after="80"/>
      <w:outlineLvl w:val="4"/>
    </w:pPr>
    <w:rPr>
      <w:rFonts w:ascii="Arial" w:hAnsi="Arial"/>
    </w:rPr>
  </w:style>
  <w:style w:type="paragraph" w:styleId="Heading6">
    <w:name w:val="heading 6"/>
    <w:basedOn w:val="Normal"/>
    <w:next w:val="Normal"/>
    <w:link w:val="Heading6Char"/>
    <w:rsid w:val="00236FE4"/>
    <w:pPr>
      <w:spacing w:after="100"/>
      <w:outlineLvl w:val="5"/>
    </w:pPr>
    <w:rPr>
      <w:i/>
      <w:snapToGrid w:val="0"/>
    </w:rPr>
  </w:style>
  <w:style w:type="paragraph" w:styleId="Heading7">
    <w:name w:val="heading 7"/>
    <w:basedOn w:val="Normal"/>
    <w:next w:val="Normal"/>
    <w:link w:val="Heading7Char"/>
    <w:rsid w:val="00236FE4"/>
    <w:pPr>
      <w:tabs>
        <w:tab w:val="left" w:pos="288"/>
        <w:tab w:val="left" w:pos="562"/>
        <w:tab w:val="left" w:pos="850"/>
      </w:tabs>
      <w:outlineLvl w:val="6"/>
    </w:pPr>
  </w:style>
  <w:style w:type="paragraph" w:styleId="Heading8">
    <w:name w:val="heading 8"/>
    <w:basedOn w:val="Normal"/>
    <w:next w:val="Normal"/>
    <w:link w:val="Heading8Char"/>
    <w:rsid w:val="00236FE4"/>
    <w:pPr>
      <w:keepNext/>
      <w:outlineLvl w:val="7"/>
    </w:pPr>
  </w:style>
  <w:style w:type="paragraph" w:styleId="Heading9">
    <w:name w:val="heading 9"/>
    <w:basedOn w:val="Normal"/>
    <w:next w:val="Normal"/>
    <w:link w:val="Heading9Char"/>
    <w:rsid w:val="00236FE4"/>
    <w:pPr>
      <w:keepNext/>
      <w:spacing w:before="20" w:after="20" w:line="240" w:lineRule="auto"/>
      <w:outlineLvl w:val="8"/>
    </w:pPr>
    <w:rPr>
      <w:rFonts w:ascii="Arial Narrow" w:hAnsi="Arial Narro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236FE4"/>
    <w:rPr>
      <w:rFonts w:ascii="Cambria" w:eastAsia="Times New Roman" w:hAnsi="Cambria" w:cs="Times New Roman"/>
      <w:b/>
      <w:bCs/>
      <w:color w:val="365F91"/>
      <w:sz w:val="28"/>
      <w:szCs w:val="28"/>
      <w:lang w:val="en-US"/>
    </w:rPr>
  </w:style>
  <w:style w:type="character" w:customStyle="1" w:styleId="Heading2Char">
    <w:name w:val="Heading 2 Char"/>
    <w:link w:val="Heading2"/>
    <w:semiHidden/>
    <w:rsid w:val="00236FE4"/>
    <w:rPr>
      <w:rFonts w:ascii="Cambria" w:eastAsia="Times New Roman" w:hAnsi="Cambria" w:cs="Times New Roman"/>
      <w:b/>
      <w:bCs/>
      <w:color w:val="4F81BD"/>
      <w:sz w:val="26"/>
      <w:szCs w:val="26"/>
      <w:lang w:val="en-US"/>
    </w:rPr>
  </w:style>
  <w:style w:type="character" w:customStyle="1" w:styleId="Heading3Char">
    <w:name w:val="Heading 3 Char"/>
    <w:link w:val="Heading3"/>
    <w:semiHidden/>
    <w:rsid w:val="00236FE4"/>
    <w:rPr>
      <w:rFonts w:ascii="Cambria" w:hAnsi="Cambria"/>
      <w:b/>
      <w:bCs/>
      <w:color w:val="4F81BD"/>
      <w:lang w:val="en-US"/>
    </w:rPr>
  </w:style>
  <w:style w:type="paragraph" w:customStyle="1" w:styleId="Paragraph">
    <w:name w:val="Paragraph"/>
    <w:basedOn w:val="Normal"/>
    <w:rsid w:val="00236FE4"/>
    <w:pPr>
      <w:spacing w:after="120" w:line="240" w:lineRule="auto"/>
    </w:pPr>
  </w:style>
  <w:style w:type="character" w:customStyle="1" w:styleId="Heading4Char">
    <w:name w:val="Heading 4 Char"/>
    <w:link w:val="Heading4"/>
    <w:semiHidden/>
    <w:rsid w:val="00236FE4"/>
    <w:rPr>
      <w:rFonts w:ascii="Arial" w:hAnsi="Arial"/>
      <w:b/>
      <w:sz w:val="23"/>
    </w:rPr>
  </w:style>
  <w:style w:type="character" w:customStyle="1" w:styleId="Heading5Char">
    <w:name w:val="Heading 5 Char"/>
    <w:link w:val="Heading5"/>
    <w:semiHidden/>
    <w:rsid w:val="00236FE4"/>
    <w:rPr>
      <w:rFonts w:ascii="Arial" w:hAnsi="Arial"/>
    </w:rPr>
  </w:style>
  <w:style w:type="character" w:customStyle="1" w:styleId="Heading6Char">
    <w:name w:val="Heading 6 Char"/>
    <w:link w:val="Heading6"/>
    <w:semiHidden/>
    <w:rsid w:val="00236FE4"/>
    <w:rPr>
      <w:i/>
      <w:snapToGrid w:val="0"/>
    </w:rPr>
  </w:style>
  <w:style w:type="character" w:customStyle="1" w:styleId="Heading7Char">
    <w:name w:val="Heading 7 Char"/>
    <w:basedOn w:val="DefaultParagraphFont"/>
    <w:link w:val="Heading7"/>
    <w:semiHidden/>
    <w:rsid w:val="00236FE4"/>
  </w:style>
  <w:style w:type="character" w:customStyle="1" w:styleId="Heading8Char">
    <w:name w:val="Heading 8 Char"/>
    <w:basedOn w:val="DefaultParagraphFont"/>
    <w:link w:val="Heading8"/>
    <w:semiHidden/>
    <w:rsid w:val="00236FE4"/>
  </w:style>
  <w:style w:type="character" w:customStyle="1" w:styleId="Heading9Char">
    <w:name w:val="Heading 9 Char"/>
    <w:link w:val="Heading9"/>
    <w:semiHidden/>
    <w:rsid w:val="00236FE4"/>
    <w:rPr>
      <w:rFonts w:ascii="Arial Narrow" w:hAnsi="Arial Narrow"/>
      <w:b/>
      <w:sz w:val="16"/>
    </w:rPr>
  </w:style>
  <w:style w:type="paragraph" w:styleId="BalloonText">
    <w:name w:val="Balloon Text"/>
    <w:basedOn w:val="Normal"/>
    <w:link w:val="BalloonTextChar"/>
    <w:rsid w:val="00236FE4"/>
    <w:pPr>
      <w:spacing w:after="0" w:line="240" w:lineRule="auto"/>
    </w:pPr>
    <w:rPr>
      <w:rFonts w:ascii="Tahoma" w:hAnsi="Tahoma" w:cs="Tahoma"/>
      <w:sz w:val="16"/>
      <w:szCs w:val="16"/>
    </w:rPr>
  </w:style>
  <w:style w:type="paragraph" w:styleId="BodyText">
    <w:name w:val="Body Text"/>
    <w:basedOn w:val="Normal"/>
    <w:link w:val="BodyTextChar"/>
    <w:rsid w:val="00236FE4"/>
    <w:pPr>
      <w:spacing w:after="120" w:line="312" w:lineRule="auto"/>
      <w:jc w:val="both"/>
    </w:pPr>
    <w:rPr>
      <w:rFonts w:ascii="Arial" w:eastAsia="Times New Roman" w:hAnsi="Arial"/>
      <w:szCs w:val="24"/>
    </w:rPr>
  </w:style>
  <w:style w:type="paragraph" w:styleId="CommentText">
    <w:name w:val="annotation text"/>
    <w:basedOn w:val="Normal"/>
    <w:link w:val="CommentTextChar"/>
    <w:rsid w:val="00236FE4"/>
    <w:pPr>
      <w:spacing w:line="240" w:lineRule="auto"/>
    </w:pPr>
    <w:rPr>
      <w:sz w:val="20"/>
    </w:rPr>
  </w:style>
  <w:style w:type="character" w:customStyle="1" w:styleId="CommentTextChar">
    <w:name w:val="Comment Text Char"/>
    <w:link w:val="CommentText"/>
    <w:semiHidden/>
    <w:rsid w:val="00236FE4"/>
    <w:rPr>
      <w:sz w:val="20"/>
    </w:rPr>
  </w:style>
  <w:style w:type="character" w:customStyle="1" w:styleId="CommentSubjectChar">
    <w:name w:val="Comment Subject Char"/>
    <w:link w:val="CommentSubject1"/>
    <w:semiHidden/>
    <w:rsid w:val="00236FE4"/>
    <w:rPr>
      <w:b/>
      <w:bCs/>
      <w:sz w:val="20"/>
    </w:rPr>
  </w:style>
  <w:style w:type="paragraph" w:customStyle="1" w:styleId="CommentSubject1">
    <w:name w:val="Comment Subject1"/>
    <w:basedOn w:val="CommentText"/>
    <w:next w:val="CommentText"/>
    <w:link w:val="CommentSubjectChar"/>
    <w:rsid w:val="00236FE4"/>
    <w:rPr>
      <w:b/>
      <w:bCs/>
    </w:rPr>
  </w:style>
  <w:style w:type="paragraph" w:styleId="Footer">
    <w:name w:val="footer"/>
    <w:basedOn w:val="Normal"/>
    <w:link w:val="FooterChar"/>
    <w:rsid w:val="00236FE4"/>
    <w:pPr>
      <w:widowControl w:val="0"/>
      <w:tabs>
        <w:tab w:val="center" w:pos="4320"/>
        <w:tab w:val="right" w:pos="8640"/>
      </w:tabs>
    </w:pPr>
    <w:rPr>
      <w:snapToGrid w:val="0"/>
    </w:rPr>
  </w:style>
  <w:style w:type="character" w:customStyle="1" w:styleId="FooterChar">
    <w:name w:val="Footer Char"/>
    <w:link w:val="Footer"/>
    <w:semiHidden/>
    <w:rsid w:val="00236FE4"/>
    <w:rPr>
      <w:snapToGrid w:val="0"/>
    </w:rPr>
  </w:style>
  <w:style w:type="paragraph" w:styleId="FootnoteText">
    <w:name w:val="footnote text"/>
    <w:basedOn w:val="BodyText"/>
    <w:link w:val="FootnoteTextChar"/>
    <w:rsid w:val="00236FE4"/>
    <w:pPr>
      <w:spacing w:after="40" w:line="240" w:lineRule="auto"/>
      <w:jc w:val="left"/>
    </w:pPr>
    <w:rPr>
      <w:sz w:val="18"/>
    </w:rPr>
  </w:style>
  <w:style w:type="character" w:customStyle="1" w:styleId="FootnoteTextChar">
    <w:name w:val="Footnote Text Char"/>
    <w:link w:val="FootnoteText"/>
    <w:semiHidden/>
    <w:rsid w:val="00236FE4"/>
    <w:rPr>
      <w:sz w:val="18"/>
    </w:rPr>
  </w:style>
  <w:style w:type="paragraph" w:styleId="Header">
    <w:name w:val="header"/>
    <w:basedOn w:val="Normal"/>
    <w:link w:val="HeaderChar"/>
    <w:rsid w:val="00236FE4"/>
    <w:pPr>
      <w:tabs>
        <w:tab w:val="center" w:pos="4153"/>
        <w:tab w:val="right" w:pos="8306"/>
      </w:tabs>
    </w:pPr>
    <w:rPr>
      <w:i/>
      <w:sz w:val="20"/>
    </w:rPr>
  </w:style>
  <w:style w:type="character" w:customStyle="1" w:styleId="HeaderChar">
    <w:name w:val="Header Char"/>
    <w:link w:val="Header"/>
    <w:semiHidden/>
    <w:rsid w:val="00236FE4"/>
    <w:rPr>
      <w:i/>
      <w:sz w:val="20"/>
    </w:rPr>
  </w:style>
  <w:style w:type="paragraph" w:styleId="ListBullet">
    <w:name w:val="List Bullet"/>
    <w:basedOn w:val="Normal"/>
    <w:rsid w:val="00236FE4"/>
    <w:pPr>
      <w:numPr>
        <w:numId w:val="1"/>
      </w:numPr>
      <w:spacing w:after="40"/>
    </w:pPr>
  </w:style>
  <w:style w:type="paragraph" w:styleId="ListBullet2">
    <w:name w:val="List Bullet 2"/>
    <w:basedOn w:val="Normal"/>
    <w:rsid w:val="00236FE4"/>
    <w:pPr>
      <w:numPr>
        <w:ilvl w:val="1"/>
        <w:numId w:val="2"/>
      </w:numPr>
      <w:tabs>
        <w:tab w:val="left" w:pos="432"/>
      </w:tabs>
      <w:spacing w:after="0" w:line="360" w:lineRule="auto"/>
    </w:pPr>
    <w:rPr>
      <w:rFonts w:ascii="Arial" w:hAnsi="Arial"/>
      <w:snapToGrid w:val="0"/>
    </w:rPr>
  </w:style>
  <w:style w:type="paragraph" w:styleId="TOC1">
    <w:name w:val="toc 1"/>
    <w:basedOn w:val="Normal"/>
    <w:next w:val="Normal"/>
    <w:rsid w:val="00236FE4"/>
    <w:pPr>
      <w:widowControl w:val="0"/>
      <w:tabs>
        <w:tab w:val="right" w:pos="9015"/>
      </w:tabs>
      <w:spacing w:before="240" w:after="60"/>
      <w:ind w:left="284" w:hanging="284"/>
    </w:pPr>
    <w:rPr>
      <w:rFonts w:ascii="Arial" w:hAnsi="Arial"/>
      <w:b/>
    </w:rPr>
  </w:style>
  <w:style w:type="paragraph" w:styleId="TOC2">
    <w:name w:val="toc 2"/>
    <w:basedOn w:val="Normal"/>
    <w:next w:val="Normal"/>
    <w:rsid w:val="00236FE4"/>
    <w:pPr>
      <w:tabs>
        <w:tab w:val="center" w:leader="dot" w:pos="8732"/>
        <w:tab w:val="right" w:pos="9015"/>
      </w:tabs>
      <w:spacing w:after="0"/>
    </w:pPr>
  </w:style>
  <w:style w:type="paragraph" w:styleId="TOC3">
    <w:name w:val="toc 3"/>
    <w:basedOn w:val="Normal"/>
    <w:next w:val="Normal"/>
    <w:rsid w:val="00236FE4"/>
    <w:pPr>
      <w:ind w:left="440"/>
    </w:pPr>
  </w:style>
  <w:style w:type="character" w:styleId="Emphasis">
    <w:name w:val="Emphasis"/>
    <w:rsid w:val="00236FE4"/>
    <w:rPr>
      <w:i/>
      <w:iCs/>
    </w:rPr>
  </w:style>
  <w:style w:type="character" w:styleId="FootnoteReference">
    <w:name w:val="footnote reference"/>
    <w:rsid w:val="00236FE4"/>
    <w:rPr>
      <w:vertAlign w:val="superscript"/>
    </w:rPr>
  </w:style>
  <w:style w:type="character" w:styleId="Hyperlink">
    <w:name w:val="Hyperlink"/>
    <w:rsid w:val="00236FE4"/>
    <w:rPr>
      <w:rFonts w:cs="Times New Roman"/>
      <w:u w:val="single"/>
    </w:rPr>
  </w:style>
  <w:style w:type="character" w:styleId="Strong">
    <w:name w:val="Strong"/>
    <w:rsid w:val="00236FE4"/>
    <w:rPr>
      <w:bCs/>
    </w:rPr>
  </w:style>
  <w:style w:type="paragraph" w:customStyle="1" w:styleId="Default">
    <w:name w:val="Default"/>
    <w:rsid w:val="00236FE4"/>
    <w:pPr>
      <w:autoSpaceDE w:val="0"/>
      <w:autoSpaceDN w:val="0"/>
      <w:adjustRightInd w:val="0"/>
    </w:pPr>
    <w:rPr>
      <w:rFonts w:ascii="Frutiger 45 Light" w:eastAsia="Times New Roman" w:hAnsi="Frutiger 45 Light" w:cs="Frutiger 45 Light"/>
      <w:sz w:val="24"/>
      <w:szCs w:val="24"/>
      <w:lang w:val="en-US" w:eastAsia="zh-CN"/>
    </w:rPr>
  </w:style>
  <w:style w:type="paragraph" w:customStyle="1" w:styleId="ListParagraph1">
    <w:name w:val="List Paragraph1"/>
    <w:basedOn w:val="Normal"/>
    <w:link w:val="ListParagraphCharChar"/>
    <w:rsid w:val="00236FE4"/>
    <w:pPr>
      <w:ind w:left="720"/>
      <w:contextualSpacing/>
    </w:pPr>
  </w:style>
  <w:style w:type="paragraph" w:customStyle="1" w:styleId="Boxtext">
    <w:name w:val="Box text"/>
    <w:basedOn w:val="Normal"/>
    <w:rsid w:val="00236FE4"/>
    <w:pPr>
      <w:keepNext/>
      <w:spacing w:before="20" w:after="20" w:line="240" w:lineRule="auto"/>
    </w:pPr>
    <w:rPr>
      <w:rFonts w:ascii="Arial Narrow" w:hAnsi="Arial Narrow"/>
      <w:sz w:val="16"/>
    </w:rPr>
  </w:style>
  <w:style w:type="paragraph" w:customStyle="1" w:styleId="Chapternumber">
    <w:name w:val="Chapter number"/>
    <w:basedOn w:val="Normal"/>
    <w:next w:val="Heading1"/>
    <w:rsid w:val="00236FE4"/>
    <w:pPr>
      <w:spacing w:after="0" w:line="240" w:lineRule="auto"/>
      <w:jc w:val="right"/>
    </w:pPr>
    <w:rPr>
      <w:rFonts w:ascii="Arial" w:hAnsi="Arial"/>
      <w:b/>
      <w:sz w:val="72"/>
    </w:rPr>
  </w:style>
  <w:style w:type="paragraph" w:customStyle="1" w:styleId="Aimparagraph">
    <w:name w:val="Aim paragraph"/>
    <w:basedOn w:val="Paragraph"/>
    <w:next w:val="Paragraph"/>
    <w:rsid w:val="00236FE4"/>
    <w:pPr>
      <w:spacing w:before="40"/>
    </w:pPr>
    <w:rPr>
      <w:i/>
    </w:rPr>
  </w:style>
  <w:style w:type="paragraph" w:customStyle="1" w:styleId="Boxheader">
    <w:name w:val="Box header"/>
    <w:basedOn w:val="Boxtext"/>
    <w:next w:val="Boxtext"/>
    <w:rsid w:val="00236FE4"/>
    <w:pPr>
      <w:spacing w:before="180" w:line="280" w:lineRule="atLeast"/>
    </w:pPr>
    <w:rPr>
      <w:b/>
      <w:sz w:val="20"/>
    </w:rPr>
  </w:style>
  <w:style w:type="paragraph" w:customStyle="1" w:styleId="Textbox">
    <w:name w:val="Textbox"/>
    <w:basedOn w:val="Paragraph"/>
    <w:rsid w:val="00236FE4"/>
    <w:pPr>
      <w:keepNext/>
      <w:keepLines/>
      <w:pBdr>
        <w:top w:val="single" w:sz="4" w:space="5" w:color="auto"/>
        <w:left w:val="single" w:sz="4" w:space="1" w:color="auto"/>
        <w:bottom w:val="single" w:sz="4" w:space="5" w:color="auto"/>
        <w:right w:val="single" w:sz="4" w:space="10" w:color="auto"/>
      </w:pBdr>
      <w:spacing w:before="60" w:after="60"/>
      <w:ind w:right="-2552"/>
    </w:pPr>
    <w:rPr>
      <w:rFonts w:ascii="Arial" w:hAnsi="Arial"/>
      <w:sz w:val="18"/>
    </w:rPr>
  </w:style>
  <w:style w:type="paragraph" w:customStyle="1" w:styleId="LongBullet">
    <w:name w:val="Long Bullet"/>
    <w:basedOn w:val="ListBullet"/>
    <w:rsid w:val="00236FE4"/>
    <w:pPr>
      <w:numPr>
        <w:numId w:val="3"/>
      </w:numPr>
      <w:spacing w:after="120"/>
    </w:pPr>
  </w:style>
  <w:style w:type="paragraph" w:customStyle="1" w:styleId="Finalbullet">
    <w:name w:val="Final bullet"/>
    <w:basedOn w:val="ListBullet"/>
    <w:next w:val="Paragraph"/>
    <w:rsid w:val="00236FE4"/>
    <w:pPr>
      <w:numPr>
        <w:numId w:val="4"/>
      </w:numPr>
      <w:spacing w:after="160"/>
    </w:pPr>
  </w:style>
  <w:style w:type="paragraph" w:customStyle="1" w:styleId="Textboxbullet">
    <w:name w:val="Textbox bullet"/>
    <w:basedOn w:val="Textbox"/>
    <w:rsid w:val="00236FE4"/>
    <w:pPr>
      <w:numPr>
        <w:numId w:val="5"/>
      </w:numPr>
      <w:tabs>
        <w:tab w:val="clear" w:pos="360"/>
        <w:tab w:val="left" w:pos="284"/>
      </w:tabs>
    </w:pPr>
  </w:style>
  <w:style w:type="paragraph" w:customStyle="1" w:styleId="Head2Truncated">
    <w:name w:val="Head 2 Truncated"/>
    <w:basedOn w:val="Heading2"/>
    <w:next w:val="Paragraph"/>
    <w:rsid w:val="00236FE4"/>
    <w:pPr>
      <w:spacing w:before="0" w:after="120"/>
    </w:pPr>
    <w:rPr>
      <w:rFonts w:ascii="Arial" w:eastAsia="Calibri" w:hAnsi="Arial"/>
      <w:bCs w:val="0"/>
      <w:color w:val="auto"/>
      <w:kern w:val="28"/>
      <w:sz w:val="28"/>
      <w:szCs w:val="22"/>
    </w:rPr>
  </w:style>
  <w:style w:type="paragraph" w:customStyle="1" w:styleId="Textboxheader">
    <w:name w:val="Textbox header"/>
    <w:basedOn w:val="Textbox"/>
    <w:next w:val="Textbox"/>
    <w:rsid w:val="00236FE4"/>
    <w:pPr>
      <w:spacing w:before="240" w:line="280" w:lineRule="atLeast"/>
    </w:pPr>
    <w:rPr>
      <w:b/>
      <w:sz w:val="20"/>
    </w:rPr>
  </w:style>
  <w:style w:type="paragraph" w:customStyle="1" w:styleId="Tableheader">
    <w:name w:val="Table header"/>
    <w:basedOn w:val="Boxheader"/>
    <w:rsid w:val="00236FE4"/>
    <w:pPr>
      <w:keepLines/>
      <w:spacing w:before="0"/>
    </w:pPr>
  </w:style>
  <w:style w:type="paragraph" w:customStyle="1" w:styleId="Head3Truncated">
    <w:name w:val="Head 3 Truncated"/>
    <w:basedOn w:val="Heading3"/>
    <w:next w:val="Paragraph"/>
    <w:rsid w:val="00236FE4"/>
    <w:pPr>
      <w:spacing w:before="120" w:after="120"/>
    </w:pPr>
    <w:rPr>
      <w:rFonts w:ascii="Arial" w:hAnsi="Arial"/>
      <w:bCs w:val="0"/>
      <w:color w:val="auto"/>
      <w:sz w:val="24"/>
    </w:rPr>
  </w:style>
  <w:style w:type="paragraph" w:customStyle="1" w:styleId="Finalsublist">
    <w:name w:val="Final sublist"/>
    <w:basedOn w:val="Finalbullet"/>
    <w:next w:val="Paragraph"/>
    <w:rsid w:val="00236FE4"/>
    <w:pPr>
      <w:numPr>
        <w:numId w:val="6"/>
      </w:numPr>
      <w:tabs>
        <w:tab w:val="clear" w:pos="644"/>
        <w:tab w:val="left" w:pos="567"/>
      </w:tabs>
      <w:spacing w:after="120"/>
    </w:pPr>
  </w:style>
  <w:style w:type="paragraph" w:customStyle="1" w:styleId="Tabletext">
    <w:name w:val="Table text"/>
    <w:basedOn w:val="Boxtext"/>
    <w:rsid w:val="00236FE4"/>
    <w:pPr>
      <w:keepLines/>
      <w:ind w:left="180" w:hanging="180"/>
    </w:pPr>
    <w:rPr>
      <w:bCs/>
    </w:rPr>
  </w:style>
  <w:style w:type="paragraph" w:customStyle="1" w:styleId="Boxtableheader">
    <w:name w:val="Box table header"/>
    <w:basedOn w:val="Boxheader"/>
    <w:next w:val="Boxtext"/>
    <w:rsid w:val="00236FE4"/>
    <w:pPr>
      <w:spacing w:before="120" w:after="60"/>
    </w:pPr>
    <w:rPr>
      <w:sz w:val="18"/>
    </w:rPr>
  </w:style>
  <w:style w:type="paragraph" w:customStyle="1" w:styleId="Tablefootnote">
    <w:name w:val="Table footnote"/>
    <w:basedOn w:val="Tabletext"/>
    <w:rsid w:val="00236FE4"/>
    <w:pPr>
      <w:spacing w:after="0"/>
    </w:pPr>
    <w:rPr>
      <w:i/>
    </w:rPr>
  </w:style>
  <w:style w:type="paragraph" w:customStyle="1" w:styleId="Boxbullet">
    <w:name w:val="Box bullet"/>
    <w:basedOn w:val="Boxtext"/>
    <w:rsid w:val="00236FE4"/>
    <w:pPr>
      <w:numPr>
        <w:numId w:val="7"/>
      </w:numPr>
    </w:pPr>
  </w:style>
  <w:style w:type="paragraph" w:customStyle="1" w:styleId="Sublist">
    <w:name w:val="Sublist"/>
    <w:basedOn w:val="Finalsublist"/>
    <w:rsid w:val="00236FE4"/>
    <w:pPr>
      <w:numPr>
        <w:numId w:val="8"/>
      </w:numPr>
      <w:tabs>
        <w:tab w:val="clear" w:pos="644"/>
        <w:tab w:val="left" w:pos="284"/>
      </w:tabs>
      <w:spacing w:after="40"/>
    </w:pPr>
  </w:style>
  <w:style w:type="paragraph" w:customStyle="1" w:styleId="Sidehead">
    <w:name w:val="Sidehead"/>
    <w:basedOn w:val="Normal"/>
    <w:next w:val="Paragraph"/>
    <w:rsid w:val="00236FE4"/>
    <w:pPr>
      <w:keepNext/>
      <w:spacing w:after="0" w:line="240" w:lineRule="auto"/>
      <w:jc w:val="right"/>
    </w:pPr>
    <w:rPr>
      <w:rFonts w:ascii="Times" w:hAnsi="Times"/>
      <w:i/>
    </w:rPr>
  </w:style>
  <w:style w:type="paragraph" w:customStyle="1" w:styleId="Tableheaderleft">
    <w:name w:val="Table header left"/>
    <w:basedOn w:val="Tableheader"/>
    <w:rsid w:val="00236FE4"/>
  </w:style>
  <w:style w:type="paragraph" w:customStyle="1" w:styleId="Bullet">
    <w:name w:val="Bullet"/>
    <w:basedOn w:val="ListBullet"/>
    <w:rsid w:val="00236FE4"/>
    <w:pPr>
      <w:numPr>
        <w:numId w:val="9"/>
      </w:numPr>
    </w:pPr>
  </w:style>
  <w:style w:type="paragraph" w:customStyle="1" w:styleId="TableNote">
    <w:name w:val="Table Note"/>
    <w:basedOn w:val="Tablefootnote"/>
    <w:rsid w:val="00236FE4"/>
    <w:pPr>
      <w:spacing w:before="40"/>
    </w:pPr>
    <w:rPr>
      <w:rFonts w:ascii="Arial" w:hAnsi="Arial"/>
      <w:sz w:val="18"/>
    </w:rPr>
  </w:style>
  <w:style w:type="paragraph" w:customStyle="1" w:styleId="NumberedList">
    <w:name w:val="Numbered List"/>
    <w:basedOn w:val="LongBullet"/>
    <w:rsid w:val="00236FE4"/>
    <w:pPr>
      <w:numPr>
        <w:numId w:val="0"/>
      </w:numPr>
      <w:tabs>
        <w:tab w:val="clear" w:pos="360"/>
        <w:tab w:val="left" w:pos="851"/>
      </w:tabs>
      <w:ind w:left="851" w:hanging="851"/>
    </w:pPr>
    <w:rPr>
      <w:snapToGrid w:val="0"/>
    </w:rPr>
  </w:style>
  <w:style w:type="paragraph" w:customStyle="1" w:styleId="Tablecolumnheader">
    <w:name w:val="Table column header"/>
    <w:basedOn w:val="Boxtext"/>
    <w:rsid w:val="00236FE4"/>
    <w:pPr>
      <w:spacing w:before="60" w:after="60"/>
      <w:jc w:val="center"/>
    </w:pPr>
    <w:rPr>
      <w:rFonts w:ascii="Arial" w:hAnsi="Arial"/>
      <w:b/>
      <w:sz w:val="18"/>
    </w:rPr>
  </w:style>
  <w:style w:type="paragraph" w:customStyle="1" w:styleId="Style2">
    <w:name w:val="Style 2"/>
    <w:basedOn w:val="Normal"/>
    <w:rsid w:val="00236FE4"/>
    <w:pPr>
      <w:keepLines/>
      <w:spacing w:after="0" w:line="360" w:lineRule="auto"/>
    </w:pPr>
    <w:rPr>
      <w:rFonts w:ascii="Arial" w:hAnsi="Arial"/>
      <w:b/>
      <w:sz w:val="20"/>
    </w:rPr>
  </w:style>
  <w:style w:type="paragraph" w:customStyle="1" w:styleId="DocumentMapCharChar">
    <w:name w:val="Document Map Char Char"/>
    <w:basedOn w:val="Normal"/>
    <w:link w:val="DocumentMapCharCharChar"/>
    <w:rsid w:val="00236FE4"/>
    <w:rPr>
      <w:rFonts w:ascii="Tahoma" w:hAnsi="Tahoma" w:cs="Tahoma"/>
    </w:rPr>
  </w:style>
  <w:style w:type="paragraph" w:customStyle="1" w:styleId="BodyTextIndent2CharChar">
    <w:name w:val="Body Text Indent 2 Char Char"/>
    <w:basedOn w:val="Normal"/>
    <w:link w:val="BodyTextIndent2CharCharChar"/>
    <w:rsid w:val="00236FE4"/>
    <w:pPr>
      <w:tabs>
        <w:tab w:val="left" w:pos="372"/>
      </w:tabs>
      <w:spacing w:after="0" w:line="240" w:lineRule="auto"/>
      <w:ind w:left="372"/>
    </w:pPr>
    <w:rPr>
      <w:sz w:val="20"/>
      <w:szCs w:val="24"/>
    </w:rPr>
  </w:style>
  <w:style w:type="paragraph" w:customStyle="1" w:styleId="Style">
    <w:name w:val="Style"/>
    <w:basedOn w:val="Normal"/>
    <w:rsid w:val="00236FE4"/>
    <w:pPr>
      <w:widowControl w:val="0"/>
      <w:autoSpaceDE w:val="0"/>
      <w:autoSpaceDN w:val="0"/>
      <w:adjustRightInd w:val="0"/>
      <w:spacing w:after="0" w:line="240" w:lineRule="auto"/>
      <w:ind w:left="720" w:hanging="720"/>
    </w:pPr>
    <w:rPr>
      <w:sz w:val="20"/>
      <w:szCs w:val="24"/>
    </w:rPr>
  </w:style>
  <w:style w:type="paragraph" w:customStyle="1" w:styleId="Table">
    <w:name w:val="Table"/>
    <w:basedOn w:val="Paragraph"/>
    <w:rsid w:val="00236FE4"/>
  </w:style>
  <w:style w:type="paragraph" w:customStyle="1" w:styleId="finalbullet0">
    <w:name w:val="final bullet"/>
    <w:basedOn w:val="ListBullet"/>
    <w:rsid w:val="00236FE4"/>
    <w:pPr>
      <w:numPr>
        <w:numId w:val="10"/>
      </w:numPr>
      <w:spacing w:after="120"/>
    </w:pPr>
  </w:style>
  <w:style w:type="paragraph" w:customStyle="1" w:styleId="StyleAimparagraph10pt">
    <w:name w:val="Style Aim paragraph + 10 pt"/>
    <w:basedOn w:val="Aimparagraph"/>
    <w:rsid w:val="00236FE4"/>
    <w:rPr>
      <w:iCs/>
      <w:sz w:val="20"/>
    </w:rPr>
  </w:style>
  <w:style w:type="paragraph" w:customStyle="1" w:styleId="StyleHeading4">
    <w:name w:val="Style Heading 4"/>
    <w:basedOn w:val="Heading3"/>
    <w:rsid w:val="00236FE4"/>
    <w:pPr>
      <w:spacing w:before="160" w:after="120"/>
    </w:pPr>
    <w:rPr>
      <w:rFonts w:ascii="Arial" w:hAnsi="Arial"/>
      <w:color w:val="auto"/>
      <w:sz w:val="23"/>
    </w:rPr>
  </w:style>
  <w:style w:type="paragraph" w:customStyle="1" w:styleId="Pa27">
    <w:name w:val="Pa27"/>
    <w:basedOn w:val="Default"/>
    <w:next w:val="Default"/>
    <w:rsid w:val="00236FE4"/>
    <w:pPr>
      <w:spacing w:line="201" w:lineRule="atLeast"/>
    </w:pPr>
    <w:rPr>
      <w:rFonts w:ascii="Myriad Pro Light" w:hAnsi="Myriad Pro Light" w:cs="Times New Roman"/>
    </w:rPr>
  </w:style>
  <w:style w:type="paragraph" w:customStyle="1" w:styleId="Pa34">
    <w:name w:val="Pa34"/>
    <w:basedOn w:val="Default"/>
    <w:next w:val="Default"/>
    <w:rsid w:val="00236FE4"/>
    <w:pPr>
      <w:spacing w:line="181" w:lineRule="atLeast"/>
    </w:pPr>
    <w:rPr>
      <w:rFonts w:ascii="Myriad Pro Light" w:hAnsi="Myriad Pro Light" w:cs="Times New Roman"/>
    </w:rPr>
  </w:style>
  <w:style w:type="paragraph" w:customStyle="1" w:styleId="NormalWebCharChar">
    <w:name w:val="Normal (Web) Char Char"/>
    <w:basedOn w:val="Normal"/>
    <w:rsid w:val="00236FE4"/>
    <w:pPr>
      <w:spacing w:before="100" w:beforeAutospacing="1" w:after="100" w:afterAutospacing="1" w:line="240" w:lineRule="auto"/>
    </w:pPr>
    <w:rPr>
      <w:sz w:val="24"/>
      <w:szCs w:val="24"/>
    </w:rPr>
  </w:style>
  <w:style w:type="paragraph" w:customStyle="1" w:styleId="Revision1">
    <w:name w:val="Revision1"/>
    <w:rsid w:val="00236FE4"/>
    <w:rPr>
      <w:lang w:val="en-US" w:eastAsia="zh-CN"/>
    </w:rPr>
  </w:style>
  <w:style w:type="paragraph" w:customStyle="1" w:styleId="PlainTextCharChar">
    <w:name w:val="Plain Text Char Char"/>
    <w:basedOn w:val="Normal"/>
    <w:link w:val="PlainTextCharCharChar"/>
    <w:rsid w:val="00236FE4"/>
    <w:pPr>
      <w:spacing w:after="0" w:line="240" w:lineRule="auto"/>
    </w:pPr>
    <w:rPr>
      <w:rFonts w:cs="Consolas"/>
      <w:szCs w:val="21"/>
    </w:rPr>
  </w:style>
  <w:style w:type="paragraph" w:customStyle="1" w:styleId="Normalbold">
    <w:name w:val="Normal bold"/>
    <w:basedOn w:val="Normal"/>
    <w:rsid w:val="00236FE4"/>
    <w:pPr>
      <w:spacing w:after="0" w:line="280" w:lineRule="exact"/>
    </w:pPr>
    <w:rPr>
      <w:rFonts w:ascii="Arial" w:eastAsia="Times New Roman" w:hAnsi="Arial"/>
      <w:b/>
      <w:spacing w:val="6"/>
      <w:sz w:val="18"/>
      <w:szCs w:val="18"/>
    </w:rPr>
  </w:style>
  <w:style w:type="paragraph" w:customStyle="1" w:styleId="BodyTextIndentCharChar">
    <w:name w:val="Body Text Indent Char Char"/>
    <w:basedOn w:val="Normal"/>
    <w:link w:val="BodyTextIndentCharCharChar"/>
    <w:rsid w:val="00236FE4"/>
    <w:pPr>
      <w:spacing w:after="120"/>
      <w:ind w:left="283"/>
    </w:pPr>
  </w:style>
  <w:style w:type="paragraph" w:customStyle="1" w:styleId="TOCHeading1">
    <w:name w:val="TOC Heading1"/>
    <w:basedOn w:val="Heading1"/>
    <w:next w:val="Normal"/>
    <w:rsid w:val="00236FE4"/>
    <w:pPr>
      <w:spacing w:before="240" w:line="259" w:lineRule="auto"/>
      <w:outlineLvl w:val="9"/>
    </w:pPr>
    <w:rPr>
      <w:b w:val="0"/>
      <w:bCs w:val="0"/>
      <w:color w:val="365F90"/>
      <w:sz w:val="32"/>
      <w:szCs w:val="32"/>
    </w:rPr>
  </w:style>
  <w:style w:type="character" w:customStyle="1" w:styleId="BalloonTextChar">
    <w:name w:val="Balloon Text Char"/>
    <w:link w:val="BalloonText"/>
    <w:semiHidden/>
    <w:rsid w:val="00236FE4"/>
    <w:rPr>
      <w:rFonts w:ascii="Tahoma" w:eastAsia="Calibri" w:hAnsi="Tahoma" w:cs="Tahoma"/>
      <w:sz w:val="16"/>
      <w:szCs w:val="16"/>
      <w:lang w:val="en-US"/>
    </w:rPr>
  </w:style>
  <w:style w:type="character" w:customStyle="1" w:styleId="BodyTextChar">
    <w:name w:val="Body Text Char"/>
    <w:link w:val="BodyText"/>
    <w:semiHidden/>
    <w:rsid w:val="00236FE4"/>
    <w:rPr>
      <w:rFonts w:ascii="Arial" w:eastAsia="Times New Roman" w:hAnsi="Arial" w:cs="Times New Roman"/>
      <w:szCs w:val="24"/>
    </w:rPr>
  </w:style>
  <w:style w:type="character" w:customStyle="1" w:styleId="PageNumber1">
    <w:name w:val="Page Number1"/>
    <w:basedOn w:val="DefaultParagraphFont"/>
    <w:rsid w:val="00236FE4"/>
  </w:style>
  <w:style w:type="character" w:customStyle="1" w:styleId="DocumentMapCharCharChar">
    <w:name w:val="Document Map Char Char Char"/>
    <w:link w:val="DocumentMapCharChar"/>
    <w:semiHidden/>
    <w:rsid w:val="00236FE4"/>
    <w:rPr>
      <w:rFonts w:ascii="Tahoma" w:hAnsi="Tahoma" w:cs="Tahoma"/>
      <w:shd w:val="clear" w:color="auto" w:fill="auto"/>
    </w:rPr>
  </w:style>
  <w:style w:type="character" w:customStyle="1" w:styleId="BodyTextIndent2CharCharChar">
    <w:name w:val="Body Text Indent 2 Char Char Char"/>
    <w:link w:val="BodyTextIndent2CharChar"/>
    <w:semiHidden/>
    <w:rsid w:val="00236FE4"/>
    <w:rPr>
      <w:sz w:val="20"/>
      <w:szCs w:val="24"/>
      <w:lang w:val="en-US"/>
    </w:rPr>
  </w:style>
  <w:style w:type="character" w:customStyle="1" w:styleId="ParagraphCharChar">
    <w:name w:val="Paragraph Char Char"/>
    <w:rsid w:val="00236FE4"/>
    <w:rPr>
      <w:sz w:val="22"/>
      <w:lang w:eastAsia="en-US"/>
    </w:rPr>
  </w:style>
  <w:style w:type="character" w:customStyle="1" w:styleId="CommentReference1">
    <w:name w:val="Comment Reference1"/>
    <w:rsid w:val="00236FE4"/>
    <w:rPr>
      <w:sz w:val="16"/>
      <w:szCs w:val="16"/>
    </w:rPr>
  </w:style>
  <w:style w:type="character" w:customStyle="1" w:styleId="ListParagraphCharChar">
    <w:name w:val="List Paragraph Char Char"/>
    <w:link w:val="ListParagraph1"/>
    <w:semiHidden/>
    <w:rsid w:val="00236FE4"/>
    <w:rPr>
      <w:rFonts w:ascii="Calibri" w:eastAsia="Calibri" w:hAnsi="Calibri" w:cs="Times New Roman"/>
      <w:lang w:val="en-US"/>
    </w:rPr>
  </w:style>
  <w:style w:type="character" w:customStyle="1" w:styleId="A10">
    <w:name w:val="A10"/>
    <w:rsid w:val="00236FE4"/>
    <w:rPr>
      <w:rFonts w:cs="Myriad Pro Light"/>
    </w:rPr>
  </w:style>
  <w:style w:type="character" w:customStyle="1" w:styleId="PlainTextCharCharChar">
    <w:name w:val="Plain Text Char Char Char"/>
    <w:link w:val="PlainTextCharChar"/>
    <w:semiHidden/>
    <w:rsid w:val="00236FE4"/>
    <w:rPr>
      <w:rFonts w:ascii="Calibri" w:hAnsi="Calibri" w:cs="Consolas"/>
      <w:szCs w:val="21"/>
    </w:rPr>
  </w:style>
  <w:style w:type="character" w:customStyle="1" w:styleId="BodyTextIndentCharCharChar">
    <w:name w:val="Body Text Indent Char Char Char"/>
    <w:link w:val="BodyTextIndentCharChar"/>
    <w:semiHidden/>
    <w:rsid w:val="00236FE4"/>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3184</Words>
  <Characters>18151</Characters>
  <Application>Microsoft Office Word</Application>
  <DocSecurity>0</DocSecurity>
  <Lines>151</Lines>
  <Paragraphs>42</Paragraphs>
  <ScaleCrop>false</ScaleCrop>
  <Company>HP</Company>
  <LinksUpToDate>false</LinksUpToDate>
  <CharactersWithSpaces>21293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Molefi Seabelo</dc:title>
  <dc:creator>ChakaM</dc:creator>
  <cp:lastModifiedBy>PUMZA</cp:lastModifiedBy>
  <cp:revision>2</cp:revision>
  <cp:lastPrinted>2013-07-26T02:55:00Z</cp:lastPrinted>
  <dcterms:created xsi:type="dcterms:W3CDTF">2017-08-31T10:29:00Z</dcterms:created>
  <dcterms:modified xsi:type="dcterms:W3CDTF">2017-08-31T10:29:00Z</dcterms:modified>
</cp:coreProperties>
</file>