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9C9" w:rsidRPr="00FC19C9" w:rsidRDefault="00FC19C9" w:rsidP="00FC19C9">
      <w:pPr>
        <w:spacing w:line="360" w:lineRule="auto"/>
        <w:jc w:val="both"/>
        <w:rPr>
          <w:rFonts w:ascii="Verdana" w:hAnsi="Verdana"/>
          <w:b/>
          <w:sz w:val="44"/>
          <w:szCs w:val="44"/>
          <w:lang w:val="en-GB"/>
        </w:rPr>
      </w:pPr>
      <w:r w:rsidRPr="00FC19C9">
        <w:rPr>
          <w:rFonts w:ascii="Verdana" w:hAnsi="Verdana"/>
          <w:b/>
          <w:sz w:val="44"/>
          <w:szCs w:val="44"/>
          <w:lang w:val="en-GB"/>
        </w:rPr>
        <w:t xml:space="preserve">PART </w:t>
      </w:r>
      <w:r>
        <w:rPr>
          <w:rFonts w:ascii="Verdana" w:hAnsi="Verdana"/>
          <w:b/>
          <w:sz w:val="44"/>
          <w:szCs w:val="44"/>
          <w:lang w:val="en-GB"/>
        </w:rPr>
        <w:t>A</w:t>
      </w:r>
      <w:r w:rsidRPr="00FC19C9">
        <w:rPr>
          <w:rFonts w:ascii="Verdana" w:hAnsi="Verdana"/>
          <w:b/>
          <w:sz w:val="44"/>
          <w:szCs w:val="44"/>
          <w:lang w:val="en-GB"/>
        </w:rPr>
        <w:t xml:space="preserve"> – </w:t>
      </w:r>
      <w:r>
        <w:rPr>
          <w:rFonts w:ascii="Verdana" w:hAnsi="Verdana"/>
          <w:b/>
          <w:sz w:val="44"/>
          <w:szCs w:val="44"/>
          <w:lang w:val="en-GB"/>
        </w:rPr>
        <w:t xml:space="preserve">COST TO COMMUNICATE </w:t>
      </w:r>
    </w:p>
    <w:p w:rsidR="00FC19C9" w:rsidRPr="006B118A" w:rsidRDefault="00FC19C9" w:rsidP="00FC19C9">
      <w:pPr>
        <w:spacing w:line="360" w:lineRule="auto"/>
        <w:jc w:val="both"/>
        <w:rPr>
          <w:rFonts w:ascii="Verdana" w:eastAsia="Arial" w:hAnsi="Verdana"/>
          <w:b/>
        </w:rPr>
      </w:pPr>
      <w:r w:rsidRPr="006B118A">
        <w:rPr>
          <w:rFonts w:ascii="Verdana" w:eastAsia="Arial" w:hAnsi="Verdana"/>
          <w:b/>
        </w:rPr>
        <w:t>OVERVIEW OF THE PRESENTATION</w:t>
      </w:r>
    </w:p>
    <w:p w:rsidR="00FC19C9" w:rsidRDefault="00FC19C9" w:rsidP="00FC19C9">
      <w:pPr>
        <w:spacing w:line="360" w:lineRule="auto"/>
        <w:ind w:right="696"/>
        <w:jc w:val="both"/>
        <w:rPr>
          <w:rFonts w:ascii="Verdana" w:eastAsia="Times New Roman" w:hAnsi="Verdana"/>
        </w:rPr>
      </w:pPr>
      <w:r w:rsidRPr="006B118A">
        <w:rPr>
          <w:rFonts w:ascii="Verdana" w:eastAsia="Times New Roman" w:hAnsi="Verdana"/>
        </w:rPr>
        <w:t>The presentation covers initiatives ICASA is doing to reduce the cost to communicate both in the short-term and medium-term. The presentation discusses the current status of the voice and data pricing in South Africa, looking at regional trends and providing a way forward with regards to the ways of reducing the cost to communicate.</w:t>
      </w:r>
    </w:p>
    <w:p w:rsidR="00FC19C9" w:rsidRPr="006B118A" w:rsidRDefault="00FC19C9" w:rsidP="00FC19C9">
      <w:pPr>
        <w:spacing w:line="360" w:lineRule="auto"/>
        <w:jc w:val="both"/>
        <w:rPr>
          <w:rFonts w:ascii="Verdana" w:eastAsia="Times New Roman" w:hAnsi="Verdana"/>
        </w:rPr>
      </w:pPr>
      <w:r w:rsidRPr="006B118A">
        <w:rPr>
          <w:rFonts w:ascii="Verdana" w:eastAsia="Arial" w:hAnsi="Verdana"/>
          <w:b/>
        </w:rPr>
        <w:t>ORGANISATIONAL MANDATE</w:t>
      </w:r>
    </w:p>
    <w:p w:rsidR="00FC19C9" w:rsidRDefault="00FC19C9" w:rsidP="00FC19C9">
      <w:pPr>
        <w:spacing w:line="360" w:lineRule="auto"/>
        <w:ind w:right="1260"/>
        <w:jc w:val="both"/>
        <w:rPr>
          <w:rFonts w:ascii="Verdana" w:eastAsia="Arial" w:hAnsi="Verdana"/>
        </w:rPr>
      </w:pPr>
      <w:r>
        <w:rPr>
          <w:rFonts w:ascii="Verdana" w:eastAsia="Arial" w:hAnsi="Verdana"/>
        </w:rPr>
        <w:t>ICASA was established by promulgation of the ICASA Act in the year 2000, ICASA</w:t>
      </w:r>
      <w:r w:rsidRPr="006B118A">
        <w:rPr>
          <w:rFonts w:ascii="Verdana" w:eastAsia="Arial" w:hAnsi="Verdana"/>
        </w:rPr>
        <w:t>’s regulatory mandate</w:t>
      </w:r>
      <w:r>
        <w:rPr>
          <w:rFonts w:ascii="Verdana" w:eastAsia="Arial" w:hAnsi="Verdana"/>
        </w:rPr>
        <w:t xml:space="preserve"> is derived from several other A</w:t>
      </w:r>
      <w:r w:rsidRPr="006B118A">
        <w:rPr>
          <w:rFonts w:ascii="Verdana" w:eastAsia="Arial" w:hAnsi="Verdana"/>
        </w:rPr>
        <w:t>cts but u</w:t>
      </w:r>
      <w:r>
        <w:rPr>
          <w:rFonts w:ascii="Verdana" w:eastAsia="Arial" w:hAnsi="Verdana"/>
        </w:rPr>
        <w:t>ltimately is to regulate the ICT</w:t>
      </w:r>
      <w:r w:rsidRPr="006B118A">
        <w:rPr>
          <w:rFonts w:ascii="Verdana" w:eastAsia="Arial" w:hAnsi="Verdana"/>
        </w:rPr>
        <w:t xml:space="preserve"> industry in the publ</w:t>
      </w:r>
      <w:r>
        <w:rPr>
          <w:rFonts w:ascii="Verdana" w:eastAsia="Arial" w:hAnsi="Verdana"/>
        </w:rPr>
        <w:t>ic interest, ensuring that all South A</w:t>
      </w:r>
      <w:r w:rsidRPr="006B118A">
        <w:rPr>
          <w:rFonts w:ascii="Verdana" w:eastAsia="Arial" w:hAnsi="Verdana"/>
        </w:rPr>
        <w:t>fricans have access to affordable services.</w:t>
      </w:r>
    </w:p>
    <w:p w:rsidR="00FC19C9" w:rsidRDefault="00FC19C9" w:rsidP="00FC19C9">
      <w:pPr>
        <w:spacing w:line="360" w:lineRule="auto"/>
        <w:ind w:right="1260"/>
        <w:jc w:val="both"/>
        <w:rPr>
          <w:rFonts w:ascii="Verdana" w:eastAsia="Arial" w:hAnsi="Verdana"/>
        </w:rPr>
      </w:pPr>
      <w:r>
        <w:rPr>
          <w:rFonts w:ascii="Verdana" w:eastAsia="Arial" w:hAnsi="Verdana"/>
        </w:rPr>
        <w:t>ICASA regulates the:</w:t>
      </w:r>
    </w:p>
    <w:p w:rsidR="00FC19C9" w:rsidRDefault="00FC19C9" w:rsidP="00FC19C9">
      <w:pPr>
        <w:numPr>
          <w:ilvl w:val="0"/>
          <w:numId w:val="13"/>
        </w:numPr>
        <w:spacing w:after="0" w:line="360" w:lineRule="auto"/>
        <w:ind w:right="1260"/>
        <w:jc w:val="both"/>
        <w:rPr>
          <w:rFonts w:ascii="Verdana" w:eastAsia="Arial" w:hAnsi="Verdana"/>
        </w:rPr>
      </w:pPr>
      <w:r>
        <w:rPr>
          <w:rFonts w:ascii="Verdana" w:eastAsia="Arial" w:hAnsi="Verdana"/>
        </w:rPr>
        <w:t>telecommunications sector in terms of the Electronic Communications Act, 2005 and Electronic Communications &amp; Transactions Act 2002;</w:t>
      </w:r>
    </w:p>
    <w:p w:rsidR="00FC19C9" w:rsidRDefault="00FC19C9" w:rsidP="00FC19C9">
      <w:pPr>
        <w:numPr>
          <w:ilvl w:val="0"/>
          <w:numId w:val="13"/>
        </w:numPr>
        <w:spacing w:after="0" w:line="360" w:lineRule="auto"/>
        <w:ind w:right="1260"/>
        <w:jc w:val="both"/>
        <w:rPr>
          <w:rFonts w:ascii="Verdana" w:eastAsia="Arial" w:hAnsi="Verdana"/>
        </w:rPr>
      </w:pPr>
      <w:r>
        <w:rPr>
          <w:rFonts w:ascii="Verdana" w:eastAsia="Arial" w:hAnsi="Verdana"/>
        </w:rPr>
        <w:t>broadcasting sector in terms of the Broadcasting Act, 1999; and</w:t>
      </w:r>
    </w:p>
    <w:p w:rsidR="00FC19C9" w:rsidRDefault="00FC19C9" w:rsidP="00FC19C9">
      <w:pPr>
        <w:spacing w:line="360" w:lineRule="auto"/>
        <w:ind w:right="696"/>
        <w:jc w:val="both"/>
        <w:rPr>
          <w:rFonts w:ascii="Verdana" w:eastAsia="Times New Roman" w:hAnsi="Verdana"/>
        </w:rPr>
      </w:pPr>
      <w:r>
        <w:rPr>
          <w:rFonts w:ascii="Verdana" w:eastAsia="Arial" w:hAnsi="Verdana"/>
        </w:rPr>
        <w:t xml:space="preserve">postal services sector in terms of Postal Services   Act, 1998  </w:t>
      </w:r>
    </w:p>
    <w:p w:rsidR="00FC19C9" w:rsidRPr="006B118A" w:rsidRDefault="00FC19C9" w:rsidP="00FC19C9">
      <w:pPr>
        <w:spacing w:line="360" w:lineRule="auto"/>
        <w:jc w:val="both"/>
        <w:rPr>
          <w:rFonts w:ascii="Verdana" w:eastAsia="Times New Roman" w:hAnsi="Verdana"/>
        </w:rPr>
      </w:pPr>
      <w:r>
        <w:rPr>
          <w:rFonts w:ascii="Verdana" w:eastAsia="Arial" w:hAnsi="Verdana"/>
          <w:b/>
        </w:rPr>
        <w:t>ROLES &amp; FUNCTIONS OF ICASA</w:t>
      </w:r>
    </w:p>
    <w:p w:rsidR="00FC19C9" w:rsidRPr="006B118A" w:rsidRDefault="00FC19C9" w:rsidP="00FC19C9">
      <w:pPr>
        <w:spacing w:line="360" w:lineRule="auto"/>
        <w:ind w:right="1260"/>
        <w:jc w:val="both"/>
        <w:rPr>
          <w:rFonts w:ascii="Verdana" w:eastAsia="Arial" w:hAnsi="Verdana"/>
        </w:rPr>
      </w:pPr>
      <w:r w:rsidRPr="006B118A">
        <w:rPr>
          <w:rFonts w:ascii="Verdana" w:eastAsia="Arial" w:hAnsi="Verdana"/>
        </w:rPr>
        <w:t>In order to operationalise its mandate as provided by t</w:t>
      </w:r>
      <w:r>
        <w:rPr>
          <w:rFonts w:ascii="Verdana" w:eastAsia="Arial" w:hAnsi="Verdana"/>
        </w:rPr>
        <w:t>h</w:t>
      </w:r>
      <w:r w:rsidRPr="006B118A">
        <w:rPr>
          <w:rFonts w:ascii="Verdana" w:eastAsia="Arial" w:hAnsi="Verdana"/>
        </w:rPr>
        <w:t>e legislative framework,</w:t>
      </w:r>
      <w:r>
        <w:rPr>
          <w:rFonts w:ascii="Verdana" w:eastAsia="Arial" w:hAnsi="Verdana"/>
        </w:rPr>
        <w:t xml:space="preserve"> ICASA performs several roles and functions in regulating the ICT sector.</w:t>
      </w:r>
      <w:r w:rsidRPr="006B118A">
        <w:rPr>
          <w:rFonts w:ascii="Verdana" w:eastAsia="Arial" w:hAnsi="Verdana"/>
        </w:rPr>
        <w:t xml:space="preserve"> </w:t>
      </w:r>
    </w:p>
    <w:p w:rsidR="00FC19C9" w:rsidRDefault="00FC19C9" w:rsidP="00FC19C9">
      <w:pPr>
        <w:spacing w:line="360" w:lineRule="auto"/>
        <w:ind w:right="1260"/>
        <w:jc w:val="both"/>
        <w:rPr>
          <w:rFonts w:ascii="Verdana" w:eastAsia="Arial" w:hAnsi="Verdana"/>
        </w:rPr>
      </w:pPr>
      <w:r>
        <w:rPr>
          <w:rFonts w:ascii="Verdana" w:eastAsia="Arial" w:hAnsi="Verdana"/>
        </w:rPr>
        <w:t>This includes:</w:t>
      </w:r>
    </w:p>
    <w:p w:rsidR="00FC19C9" w:rsidRDefault="00FC19C9" w:rsidP="00FC19C9">
      <w:pPr>
        <w:numPr>
          <w:ilvl w:val="0"/>
          <w:numId w:val="14"/>
        </w:numPr>
        <w:spacing w:after="0" w:line="360" w:lineRule="auto"/>
        <w:ind w:right="1260"/>
        <w:jc w:val="both"/>
        <w:rPr>
          <w:rFonts w:ascii="Verdana" w:eastAsia="Arial" w:hAnsi="Verdana"/>
        </w:rPr>
      </w:pPr>
      <w:r>
        <w:rPr>
          <w:rFonts w:ascii="Verdana" w:eastAsia="Arial" w:hAnsi="Verdana"/>
        </w:rPr>
        <w:t>Licensing activities, compliance monitoring of operators and enforcement;</w:t>
      </w:r>
    </w:p>
    <w:p w:rsidR="00FC19C9" w:rsidRDefault="00FC19C9" w:rsidP="00FC19C9">
      <w:pPr>
        <w:numPr>
          <w:ilvl w:val="0"/>
          <w:numId w:val="14"/>
        </w:numPr>
        <w:spacing w:after="0" w:line="360" w:lineRule="auto"/>
        <w:ind w:right="1260"/>
        <w:jc w:val="both"/>
        <w:rPr>
          <w:rFonts w:ascii="Verdana" w:eastAsia="Arial" w:hAnsi="Verdana"/>
        </w:rPr>
      </w:pPr>
      <w:r>
        <w:rPr>
          <w:rFonts w:ascii="Verdana" w:eastAsia="Arial" w:hAnsi="Verdana"/>
        </w:rPr>
        <w:t xml:space="preserve">Tariff/Price regulation, collation of industry statistics, market reviews; </w:t>
      </w:r>
    </w:p>
    <w:p w:rsidR="00FC19C9" w:rsidRDefault="00FC19C9" w:rsidP="00FC19C9">
      <w:pPr>
        <w:numPr>
          <w:ilvl w:val="0"/>
          <w:numId w:val="14"/>
        </w:numPr>
        <w:spacing w:after="0" w:line="360" w:lineRule="auto"/>
        <w:ind w:right="1260"/>
        <w:jc w:val="both"/>
        <w:rPr>
          <w:rFonts w:ascii="Verdana" w:eastAsia="Arial" w:hAnsi="Verdana"/>
        </w:rPr>
      </w:pPr>
      <w:r>
        <w:rPr>
          <w:rFonts w:ascii="Verdana" w:eastAsia="Arial" w:hAnsi="Verdana"/>
        </w:rPr>
        <w:t>Setting of regulatory guidelines; and</w:t>
      </w:r>
    </w:p>
    <w:p w:rsidR="00FC19C9" w:rsidRDefault="00FC19C9" w:rsidP="00FC19C9">
      <w:pPr>
        <w:numPr>
          <w:ilvl w:val="0"/>
          <w:numId w:val="14"/>
        </w:numPr>
        <w:spacing w:after="0" w:line="360" w:lineRule="auto"/>
        <w:ind w:right="1260"/>
        <w:jc w:val="both"/>
        <w:rPr>
          <w:rFonts w:ascii="Verdana" w:eastAsia="Arial" w:hAnsi="Verdana"/>
        </w:rPr>
      </w:pPr>
      <w:r>
        <w:rPr>
          <w:rFonts w:ascii="Verdana" w:eastAsia="Arial" w:hAnsi="Verdana"/>
        </w:rPr>
        <w:t>Active consumer protection and dispute resolution</w:t>
      </w:r>
    </w:p>
    <w:p w:rsidR="00FC19C9" w:rsidRDefault="00FC19C9" w:rsidP="00FC19C9">
      <w:pPr>
        <w:spacing w:line="360" w:lineRule="auto"/>
        <w:ind w:right="696"/>
        <w:jc w:val="both"/>
        <w:rPr>
          <w:rFonts w:ascii="Verdana" w:eastAsia="Times New Roman" w:hAnsi="Verdana"/>
        </w:rPr>
      </w:pPr>
    </w:p>
    <w:p w:rsidR="00FC19C9" w:rsidRPr="00010159" w:rsidRDefault="00FC19C9" w:rsidP="00FC19C9">
      <w:pPr>
        <w:spacing w:line="360" w:lineRule="auto"/>
        <w:jc w:val="both"/>
        <w:rPr>
          <w:rFonts w:ascii="Verdana" w:eastAsia="Arial" w:hAnsi="Verdana"/>
          <w:b/>
        </w:rPr>
      </w:pPr>
      <w:r w:rsidRPr="00010159">
        <w:rPr>
          <w:rFonts w:ascii="Verdana" w:eastAsia="Arial" w:hAnsi="Verdana"/>
          <w:b/>
        </w:rPr>
        <w:t>GOVERNMENT’S PRIORITY OUTCOMES</w:t>
      </w:r>
    </w:p>
    <w:p w:rsidR="00FC19C9" w:rsidRPr="00010159" w:rsidRDefault="00FC19C9" w:rsidP="00FC19C9">
      <w:pPr>
        <w:spacing w:line="360" w:lineRule="auto"/>
        <w:ind w:right="1260"/>
        <w:jc w:val="both"/>
        <w:rPr>
          <w:rFonts w:ascii="Verdana" w:eastAsia="Arial" w:hAnsi="Verdana"/>
        </w:rPr>
      </w:pPr>
      <w:r w:rsidRPr="00010159">
        <w:rPr>
          <w:rFonts w:ascii="Verdana" w:eastAsia="Arial" w:hAnsi="Verdana"/>
        </w:rPr>
        <w:t xml:space="preserve">ICASA’s mandate aligns with certain Government’s priority outcomes outlined in the NDP and presented here: </w:t>
      </w:r>
    </w:p>
    <w:p w:rsidR="00FC19C9" w:rsidRPr="00010159" w:rsidRDefault="00FC19C9" w:rsidP="00FC19C9">
      <w:pPr>
        <w:spacing w:line="360" w:lineRule="auto"/>
        <w:ind w:right="1260"/>
        <w:jc w:val="both"/>
        <w:rPr>
          <w:rFonts w:ascii="Verdana" w:eastAsia="Arial" w:hAnsi="Verdana"/>
          <w:i/>
          <w:u w:val="single"/>
        </w:rPr>
      </w:pPr>
      <w:r w:rsidRPr="00010159">
        <w:rPr>
          <w:rFonts w:ascii="Verdana" w:eastAsia="Arial" w:hAnsi="Verdana"/>
          <w:i/>
          <w:u w:val="single"/>
        </w:rPr>
        <w:t>Outcome 4: Decent employment through inclusive economic growth</w:t>
      </w:r>
    </w:p>
    <w:p w:rsidR="00FC19C9" w:rsidRPr="00010159" w:rsidRDefault="00FC19C9" w:rsidP="00FC19C9">
      <w:pPr>
        <w:spacing w:line="360" w:lineRule="auto"/>
        <w:ind w:right="1260"/>
        <w:jc w:val="both"/>
        <w:rPr>
          <w:rFonts w:ascii="Verdana" w:eastAsia="Arial" w:hAnsi="Verdana"/>
        </w:rPr>
      </w:pPr>
      <w:r w:rsidRPr="00010159">
        <w:rPr>
          <w:rFonts w:ascii="Verdana" w:eastAsia="Arial" w:hAnsi="Verdana"/>
        </w:rPr>
        <w:lastRenderedPageBreak/>
        <w:t>ICASA’s role is to facilitate investment and promote HDI participation in the ICT, thereby contributing to job creation</w:t>
      </w:r>
    </w:p>
    <w:p w:rsidR="00FC19C9" w:rsidRPr="00010159" w:rsidRDefault="00FC19C9" w:rsidP="00FC19C9">
      <w:pPr>
        <w:spacing w:line="360" w:lineRule="auto"/>
        <w:ind w:right="1260"/>
        <w:jc w:val="both"/>
        <w:rPr>
          <w:rFonts w:ascii="Verdana" w:eastAsia="Arial" w:hAnsi="Verdana"/>
          <w:i/>
          <w:u w:val="single"/>
        </w:rPr>
      </w:pPr>
      <w:r w:rsidRPr="00010159">
        <w:rPr>
          <w:rFonts w:ascii="Verdana" w:eastAsia="Arial" w:hAnsi="Verdana"/>
          <w:i/>
          <w:u w:val="single"/>
        </w:rPr>
        <w:t xml:space="preserve">Outcome 6:  An efficient, competitive and responsive economic infrastructure network </w:t>
      </w:r>
    </w:p>
    <w:p w:rsidR="00FC19C9" w:rsidRPr="00010159" w:rsidRDefault="00FC19C9" w:rsidP="00FC19C9">
      <w:pPr>
        <w:spacing w:line="360" w:lineRule="auto"/>
        <w:ind w:right="1260"/>
        <w:jc w:val="both"/>
        <w:rPr>
          <w:rFonts w:ascii="Verdana" w:eastAsia="Arial" w:hAnsi="Verdana"/>
        </w:rPr>
      </w:pPr>
      <w:r w:rsidRPr="00010159">
        <w:rPr>
          <w:rFonts w:ascii="Verdana" w:eastAsia="Arial" w:hAnsi="Verdana"/>
        </w:rPr>
        <w:t>ICASA’s role is to promote network deployment for universal broadband service provision</w:t>
      </w:r>
    </w:p>
    <w:p w:rsidR="00FC19C9" w:rsidRPr="00010159" w:rsidRDefault="00FC19C9" w:rsidP="00FC19C9">
      <w:pPr>
        <w:spacing w:line="360" w:lineRule="auto"/>
        <w:ind w:right="1260"/>
        <w:jc w:val="both"/>
        <w:rPr>
          <w:rFonts w:ascii="Verdana" w:eastAsia="Arial" w:hAnsi="Verdana"/>
          <w:i/>
          <w:u w:val="single"/>
        </w:rPr>
      </w:pPr>
      <w:r w:rsidRPr="00010159">
        <w:rPr>
          <w:rFonts w:ascii="Verdana" w:eastAsia="Arial" w:hAnsi="Verdana"/>
          <w:i/>
          <w:u w:val="single"/>
        </w:rPr>
        <w:t>Outcome 12: An efficient, effective and development- oriented public service</w:t>
      </w:r>
    </w:p>
    <w:p w:rsidR="00FC19C9" w:rsidRPr="00010159" w:rsidRDefault="00FC19C9" w:rsidP="00FC19C9">
      <w:pPr>
        <w:spacing w:line="360" w:lineRule="auto"/>
        <w:ind w:right="1260"/>
        <w:jc w:val="both"/>
        <w:rPr>
          <w:rFonts w:ascii="Verdana" w:eastAsia="Arial" w:hAnsi="Verdana"/>
        </w:rPr>
      </w:pPr>
      <w:r w:rsidRPr="00010159">
        <w:rPr>
          <w:rFonts w:ascii="Verdana" w:eastAsia="Arial" w:hAnsi="Verdana"/>
        </w:rPr>
        <w:t xml:space="preserve">ICASA’s role is to ensure that the regulatory framework is robust enough to facilitate the use of ICTs as a preferred platform to access government services. </w:t>
      </w:r>
    </w:p>
    <w:p w:rsidR="00FC19C9" w:rsidRPr="00010159" w:rsidRDefault="00FC19C9" w:rsidP="00FC19C9">
      <w:pPr>
        <w:spacing w:line="360" w:lineRule="auto"/>
        <w:ind w:right="1260"/>
        <w:jc w:val="both"/>
        <w:rPr>
          <w:rFonts w:ascii="Verdana" w:eastAsia="Arial" w:hAnsi="Verdana"/>
          <w:i/>
          <w:u w:val="single"/>
        </w:rPr>
      </w:pPr>
      <w:r w:rsidRPr="00010159">
        <w:rPr>
          <w:rFonts w:ascii="Verdana" w:eastAsia="Arial" w:hAnsi="Verdana"/>
          <w:i/>
          <w:u w:val="single"/>
        </w:rPr>
        <w:t>Outcome 14: A diverse, socially cohesive society with a common national identity</w:t>
      </w:r>
    </w:p>
    <w:p w:rsidR="00FC19C9" w:rsidRPr="00010159" w:rsidRDefault="00FC19C9" w:rsidP="00FC19C9">
      <w:pPr>
        <w:spacing w:line="360" w:lineRule="auto"/>
        <w:ind w:right="1260"/>
        <w:jc w:val="both"/>
        <w:rPr>
          <w:rFonts w:ascii="Verdana" w:eastAsia="Arial" w:hAnsi="Verdana"/>
        </w:rPr>
      </w:pPr>
      <w:r w:rsidRPr="00010159">
        <w:rPr>
          <w:rFonts w:ascii="Verdana" w:eastAsia="Arial" w:hAnsi="Verdana"/>
        </w:rPr>
        <w:t xml:space="preserve">ICASA’s role is to focus   and develop a regulatory agenda that promotes local content and disseminate information in the public interest across all broadcasting platforms. </w:t>
      </w:r>
    </w:p>
    <w:p w:rsidR="00FC19C9" w:rsidRPr="00FC19C9" w:rsidRDefault="00FC19C9" w:rsidP="00FC19C9">
      <w:pPr>
        <w:spacing w:line="360" w:lineRule="auto"/>
        <w:ind w:right="1260"/>
        <w:jc w:val="both"/>
        <w:rPr>
          <w:rFonts w:ascii="Verdana" w:eastAsia="Arial" w:hAnsi="Verdana"/>
          <w:b/>
        </w:rPr>
      </w:pPr>
      <w:r w:rsidRPr="00FC19C9">
        <w:rPr>
          <w:rFonts w:ascii="Verdana" w:eastAsia="Arial" w:hAnsi="Verdana"/>
          <w:b/>
        </w:rPr>
        <w:t>STRATEGIC GOALS: 2016 – 2020</w:t>
      </w:r>
    </w:p>
    <w:p w:rsidR="00FC19C9" w:rsidRDefault="00FC19C9" w:rsidP="00FC19C9">
      <w:pPr>
        <w:spacing w:line="360" w:lineRule="auto"/>
        <w:ind w:right="1260"/>
        <w:jc w:val="both"/>
        <w:rPr>
          <w:rFonts w:ascii="Verdana" w:eastAsia="Arial" w:hAnsi="Verdana"/>
        </w:rPr>
      </w:pPr>
      <w:r w:rsidRPr="00010159">
        <w:rPr>
          <w:rFonts w:ascii="Verdana" w:eastAsia="Arial" w:hAnsi="Verdana"/>
        </w:rPr>
        <w:t>ICASA’s strategic goals from 2016 to 2020 are to</w:t>
      </w:r>
    </w:p>
    <w:p w:rsidR="00FC19C9" w:rsidRPr="00010159" w:rsidRDefault="00FC19C9" w:rsidP="00FC19C9">
      <w:pPr>
        <w:numPr>
          <w:ilvl w:val="0"/>
          <w:numId w:val="15"/>
        </w:numPr>
        <w:spacing w:after="0" w:line="360" w:lineRule="auto"/>
        <w:ind w:right="1263"/>
        <w:jc w:val="both"/>
        <w:rPr>
          <w:rFonts w:ascii="Verdana" w:eastAsia="Arial" w:hAnsi="Verdana"/>
        </w:rPr>
      </w:pPr>
      <w:r w:rsidRPr="00010159">
        <w:rPr>
          <w:rFonts w:ascii="Verdana" w:eastAsia="Arial" w:hAnsi="Verdana"/>
        </w:rPr>
        <w:t>Facilitate investment in and increase access to broadband infrastructure by 2020</w:t>
      </w:r>
    </w:p>
    <w:p w:rsidR="00FC19C9" w:rsidRPr="00010159" w:rsidRDefault="00FC19C9" w:rsidP="00FC19C9">
      <w:pPr>
        <w:numPr>
          <w:ilvl w:val="0"/>
          <w:numId w:val="15"/>
        </w:numPr>
        <w:spacing w:after="0" w:line="360" w:lineRule="auto"/>
        <w:ind w:right="1263"/>
        <w:jc w:val="both"/>
        <w:rPr>
          <w:rFonts w:ascii="Verdana" w:eastAsia="Arial" w:hAnsi="Verdana"/>
        </w:rPr>
      </w:pPr>
      <w:r w:rsidRPr="00010159">
        <w:rPr>
          <w:rFonts w:ascii="Verdana" w:eastAsia="Arial" w:hAnsi="Verdana"/>
        </w:rPr>
        <w:t>Promote competition and reduce the cost to communicate by 2019/20</w:t>
      </w:r>
    </w:p>
    <w:p w:rsidR="00FC19C9" w:rsidRPr="00010159" w:rsidRDefault="00FC19C9" w:rsidP="00FC19C9">
      <w:pPr>
        <w:numPr>
          <w:ilvl w:val="0"/>
          <w:numId w:val="15"/>
        </w:numPr>
        <w:spacing w:after="0" w:line="360" w:lineRule="auto"/>
        <w:ind w:right="1263"/>
        <w:jc w:val="both"/>
        <w:rPr>
          <w:rFonts w:ascii="Verdana" w:eastAsia="Arial" w:hAnsi="Verdana"/>
        </w:rPr>
      </w:pPr>
      <w:r w:rsidRPr="00010159">
        <w:rPr>
          <w:rFonts w:ascii="Verdana" w:eastAsia="Arial" w:hAnsi="Verdana"/>
        </w:rPr>
        <w:t>Foster common national identity and social cohesion through increased broadcasting platforms by 2020</w:t>
      </w:r>
    </w:p>
    <w:p w:rsidR="00FC19C9" w:rsidRPr="00010159" w:rsidRDefault="00FC19C9" w:rsidP="00FC19C9">
      <w:pPr>
        <w:numPr>
          <w:ilvl w:val="0"/>
          <w:numId w:val="15"/>
        </w:numPr>
        <w:spacing w:after="0" w:line="360" w:lineRule="auto"/>
        <w:ind w:right="1263"/>
        <w:jc w:val="both"/>
        <w:rPr>
          <w:rFonts w:ascii="Verdana" w:eastAsia="Arial" w:hAnsi="Verdana"/>
        </w:rPr>
      </w:pPr>
      <w:r w:rsidRPr="00010159">
        <w:rPr>
          <w:rFonts w:ascii="Verdana" w:eastAsia="Arial" w:hAnsi="Verdana"/>
        </w:rPr>
        <w:t xml:space="preserve">Be an independent and credible regulator through consistent adherence to regulatory principles; and </w:t>
      </w:r>
    </w:p>
    <w:p w:rsidR="00FC19C9" w:rsidRDefault="00FC19C9" w:rsidP="00FC19C9">
      <w:pPr>
        <w:numPr>
          <w:ilvl w:val="0"/>
          <w:numId w:val="15"/>
        </w:numPr>
        <w:spacing w:after="0" w:line="360" w:lineRule="auto"/>
        <w:ind w:right="1263"/>
        <w:jc w:val="both"/>
        <w:rPr>
          <w:rFonts w:ascii="Verdana" w:eastAsia="Arial" w:hAnsi="Verdana"/>
        </w:rPr>
      </w:pPr>
      <w:r w:rsidRPr="00010159">
        <w:rPr>
          <w:rFonts w:ascii="Verdana" w:eastAsia="Arial" w:hAnsi="Verdana"/>
        </w:rPr>
        <w:t>Improve overall stakeholder and consumer experience through the consistent monitoring of quality of services within the sector and improving stakeholder engagement.</w:t>
      </w:r>
    </w:p>
    <w:p w:rsidR="00FC19C9" w:rsidRPr="00EB2421" w:rsidRDefault="00FC19C9" w:rsidP="00FC19C9">
      <w:pPr>
        <w:spacing w:line="360" w:lineRule="auto"/>
        <w:ind w:right="1263"/>
        <w:jc w:val="both"/>
        <w:rPr>
          <w:rFonts w:ascii="Verdana" w:eastAsia="Arial" w:hAnsi="Verdana"/>
          <w:b/>
        </w:rPr>
      </w:pPr>
      <w:r w:rsidRPr="00EB2421">
        <w:rPr>
          <w:rFonts w:ascii="Verdana" w:eastAsia="Arial" w:hAnsi="Verdana"/>
          <w:b/>
        </w:rPr>
        <w:t>ICT SECTOR OVERVIEW</w:t>
      </w:r>
    </w:p>
    <w:p w:rsidR="00FC19C9" w:rsidRPr="00EB2421" w:rsidRDefault="00FC19C9" w:rsidP="00FC19C9">
      <w:pPr>
        <w:spacing w:line="360" w:lineRule="auto"/>
        <w:ind w:right="1180"/>
        <w:jc w:val="both"/>
        <w:rPr>
          <w:rFonts w:ascii="Verdana" w:eastAsia="Arial" w:hAnsi="Verdana"/>
        </w:rPr>
      </w:pPr>
      <w:r>
        <w:rPr>
          <w:rFonts w:ascii="Verdana" w:eastAsia="Arial" w:hAnsi="Verdana"/>
        </w:rPr>
        <w:t>W</w:t>
      </w:r>
      <w:r w:rsidRPr="00EB2421">
        <w:rPr>
          <w:rFonts w:ascii="Verdana" w:eastAsia="Arial" w:hAnsi="Verdana"/>
        </w:rPr>
        <w:t xml:space="preserve">hile voice is still the dominant revenue driver in the market, its prominence has been steadily declining due to changing consumer patterns from voice to data with the advent of </w:t>
      </w:r>
      <w:r>
        <w:rPr>
          <w:rFonts w:ascii="Verdana" w:eastAsia="Arial" w:hAnsi="Verdana"/>
        </w:rPr>
        <w:t>OTT</w:t>
      </w:r>
      <w:r w:rsidRPr="00EB2421">
        <w:rPr>
          <w:rFonts w:ascii="Verdana" w:eastAsia="Arial" w:hAnsi="Verdana"/>
        </w:rPr>
        <w:t xml:space="preserve"> services.</w:t>
      </w:r>
      <w:r>
        <w:rPr>
          <w:rFonts w:ascii="Verdana" w:eastAsia="Arial" w:hAnsi="Verdana"/>
        </w:rPr>
        <w:t xml:space="preserve"> </w:t>
      </w:r>
    </w:p>
    <w:p w:rsidR="00FC19C9" w:rsidRPr="00EB2421" w:rsidRDefault="00FC19C9" w:rsidP="00FC19C9">
      <w:pPr>
        <w:spacing w:line="360" w:lineRule="auto"/>
        <w:ind w:right="1680"/>
        <w:jc w:val="both"/>
        <w:rPr>
          <w:rFonts w:ascii="Verdana" w:eastAsia="Arial" w:hAnsi="Verdana"/>
        </w:rPr>
      </w:pPr>
    </w:p>
    <w:p w:rsidR="00FC19C9" w:rsidRPr="00EB2421" w:rsidRDefault="00FC19C9" w:rsidP="00FC19C9">
      <w:pPr>
        <w:spacing w:line="360" w:lineRule="auto"/>
        <w:ind w:right="1760"/>
        <w:jc w:val="both"/>
        <w:rPr>
          <w:rFonts w:ascii="Verdana" w:eastAsia="Arial" w:hAnsi="Verdana"/>
        </w:rPr>
      </w:pPr>
      <w:r>
        <w:rPr>
          <w:rFonts w:ascii="Verdana" w:eastAsia="Arial" w:hAnsi="Verdana"/>
        </w:rPr>
        <w:lastRenderedPageBreak/>
        <w:t>V</w:t>
      </w:r>
      <w:r w:rsidRPr="00EB2421">
        <w:rPr>
          <w:rFonts w:ascii="Verdana" w:eastAsia="Arial" w:hAnsi="Verdana"/>
        </w:rPr>
        <w:t xml:space="preserve">oice tariffs have declined since </w:t>
      </w:r>
      <w:r>
        <w:rPr>
          <w:rFonts w:ascii="Verdana" w:eastAsia="Arial" w:hAnsi="Verdana"/>
        </w:rPr>
        <w:t>ICASA</w:t>
      </w:r>
      <w:r w:rsidRPr="00EB2421">
        <w:rPr>
          <w:rFonts w:ascii="Verdana" w:eastAsia="Arial" w:hAnsi="Verdana"/>
        </w:rPr>
        <w:t>’s regulatory intervention in the wholesale market in 2010.</w:t>
      </w:r>
      <w:r w:rsidRPr="00D349FF">
        <w:rPr>
          <w:rFonts w:ascii="Verdana" w:eastAsia="Arial" w:hAnsi="Verdana"/>
        </w:rPr>
        <w:t xml:space="preserve"> </w:t>
      </w:r>
      <w:r>
        <w:rPr>
          <w:rFonts w:ascii="Verdana" w:eastAsia="Arial" w:hAnsi="Verdana"/>
        </w:rPr>
        <w:t>T</w:t>
      </w:r>
      <w:r w:rsidRPr="00EB2421">
        <w:rPr>
          <w:rFonts w:ascii="Verdana" w:eastAsia="Arial" w:hAnsi="Verdana"/>
        </w:rPr>
        <w:t xml:space="preserve">his has shifted attention to data services where </w:t>
      </w:r>
      <w:r>
        <w:rPr>
          <w:rFonts w:ascii="Verdana" w:eastAsia="Arial" w:hAnsi="Verdana"/>
        </w:rPr>
        <w:t>Out-Of-Bundle</w:t>
      </w:r>
      <w:r w:rsidRPr="00EB2421">
        <w:rPr>
          <w:rFonts w:ascii="Verdana" w:eastAsia="Arial" w:hAnsi="Verdana"/>
        </w:rPr>
        <w:t xml:space="preserve"> </w:t>
      </w:r>
      <w:r>
        <w:rPr>
          <w:rFonts w:ascii="Verdana" w:eastAsia="Arial" w:hAnsi="Verdana"/>
        </w:rPr>
        <w:t>rates are</w:t>
      </w:r>
      <w:r w:rsidRPr="00EB2421">
        <w:rPr>
          <w:rFonts w:ascii="Verdana" w:eastAsia="Arial" w:hAnsi="Verdana"/>
        </w:rPr>
        <w:t xml:space="preserve"> high</w:t>
      </w:r>
      <w:r>
        <w:rPr>
          <w:rFonts w:ascii="Verdana" w:eastAsia="Arial" w:hAnsi="Verdana"/>
        </w:rPr>
        <w:t>er</w:t>
      </w:r>
      <w:r w:rsidRPr="00EB2421">
        <w:rPr>
          <w:rFonts w:ascii="Verdana" w:eastAsia="Arial" w:hAnsi="Verdana"/>
        </w:rPr>
        <w:t xml:space="preserve"> relative to in-bundle rates</w:t>
      </w:r>
      <w:r>
        <w:rPr>
          <w:rFonts w:ascii="Verdana" w:eastAsia="Arial" w:hAnsi="Verdana"/>
        </w:rPr>
        <w:t>.</w:t>
      </w:r>
    </w:p>
    <w:p w:rsidR="00FC19C9" w:rsidRPr="00EB2421" w:rsidRDefault="00FC19C9" w:rsidP="00FC19C9">
      <w:pPr>
        <w:spacing w:line="360" w:lineRule="auto"/>
        <w:ind w:right="1263"/>
        <w:jc w:val="both"/>
        <w:rPr>
          <w:rFonts w:ascii="Verdana" w:eastAsia="Arial" w:hAnsi="Verdana"/>
          <w:b/>
        </w:rPr>
      </w:pPr>
      <w:r>
        <w:rPr>
          <w:rFonts w:ascii="Verdana" w:eastAsia="Arial" w:hAnsi="Verdana"/>
          <w:b/>
        </w:rPr>
        <w:t>TRENDS IN MOBILE DATA PRICES</w:t>
      </w:r>
    </w:p>
    <w:p w:rsidR="00FC19C9" w:rsidRPr="00F5709B" w:rsidRDefault="00FC19C9" w:rsidP="00FC19C9">
      <w:pPr>
        <w:spacing w:line="360" w:lineRule="auto"/>
        <w:ind w:right="1560"/>
        <w:jc w:val="both"/>
        <w:rPr>
          <w:rFonts w:ascii="Verdana" w:eastAsia="Arial" w:hAnsi="Verdana"/>
        </w:rPr>
      </w:pPr>
      <w:r w:rsidRPr="00F5709B">
        <w:rPr>
          <w:rFonts w:ascii="Verdana" w:eastAsia="Arial" w:hAnsi="Verdana"/>
        </w:rPr>
        <w:t xml:space="preserve">Overall, </w:t>
      </w:r>
      <w:r>
        <w:rPr>
          <w:rFonts w:ascii="Verdana" w:eastAsia="Arial" w:hAnsi="Verdana"/>
        </w:rPr>
        <w:t xml:space="preserve">the </w:t>
      </w:r>
      <w:r w:rsidRPr="00F5709B">
        <w:rPr>
          <w:rFonts w:ascii="Verdana" w:eastAsia="Arial" w:hAnsi="Verdana"/>
        </w:rPr>
        <w:t>2016 &amp; 2017 average prices are at least 42% cheaper than 2010</w:t>
      </w:r>
      <w:r>
        <w:rPr>
          <w:rFonts w:ascii="Verdana" w:eastAsia="Arial" w:hAnsi="Verdana"/>
        </w:rPr>
        <w:t xml:space="preserve"> average prices</w:t>
      </w:r>
      <w:r w:rsidRPr="00F5709B">
        <w:rPr>
          <w:rFonts w:ascii="Verdana" w:eastAsia="Arial" w:hAnsi="Verdana"/>
        </w:rPr>
        <w:t>. However, 2017 average prices for the 500MB category are 33% higher than 2016 average prices. This is the bundle of choice for the majority of low income South African consumers and gives credence to the recent discontent voiced in the #datamustfall campaign.</w:t>
      </w:r>
    </w:p>
    <w:p w:rsidR="00FC19C9" w:rsidRPr="00F5709B" w:rsidRDefault="00FC19C9" w:rsidP="00FC19C9">
      <w:pPr>
        <w:spacing w:line="360" w:lineRule="auto"/>
        <w:ind w:right="1180"/>
        <w:jc w:val="both"/>
        <w:rPr>
          <w:rFonts w:ascii="Verdana" w:eastAsia="Arial" w:hAnsi="Verdana"/>
        </w:rPr>
      </w:pPr>
      <w:r w:rsidRPr="00F5709B">
        <w:rPr>
          <w:rFonts w:ascii="Verdana" w:eastAsia="Arial" w:hAnsi="Verdana"/>
        </w:rPr>
        <w:t>Greater demand for data services have driven data revenue growth in excess of 30% per annum. Industry experts have long predicted that waning dominance of the voice revenue stream, with some operators already reporting a 50:50 split in their financial reports (i.e. Vodacom).</w:t>
      </w:r>
    </w:p>
    <w:p w:rsidR="00FC19C9" w:rsidRDefault="00FC19C9" w:rsidP="00FC19C9">
      <w:pPr>
        <w:spacing w:line="360" w:lineRule="auto"/>
        <w:ind w:right="1260"/>
        <w:jc w:val="both"/>
        <w:rPr>
          <w:rFonts w:ascii="Verdana" w:eastAsia="Arial" w:hAnsi="Verdana"/>
        </w:rPr>
      </w:pPr>
      <w:r w:rsidRPr="00F5709B">
        <w:rPr>
          <w:rFonts w:ascii="Verdana" w:eastAsia="Arial" w:hAnsi="Verdana"/>
        </w:rPr>
        <w:t xml:space="preserve">With increasing smartphone/tablet penetration and rising average data usage per subscriber, the delayed assignment of spectrum </w:t>
      </w:r>
      <w:r>
        <w:rPr>
          <w:rFonts w:ascii="Verdana" w:eastAsia="Arial" w:hAnsi="Verdana"/>
        </w:rPr>
        <w:t>will impede</w:t>
      </w:r>
      <w:r w:rsidRPr="00F5709B">
        <w:rPr>
          <w:rFonts w:ascii="Verdana" w:eastAsia="Arial" w:hAnsi="Verdana"/>
        </w:rPr>
        <w:t xml:space="preserve"> the ability of the ICT industry to provide the latest broadband technology </w:t>
      </w:r>
      <w:r>
        <w:rPr>
          <w:rFonts w:ascii="Verdana" w:eastAsia="Arial" w:hAnsi="Verdana"/>
        </w:rPr>
        <w:t>(e.g. LTE)</w:t>
      </w:r>
      <w:r w:rsidRPr="00F5709B">
        <w:rPr>
          <w:rFonts w:ascii="Verdana" w:eastAsia="Arial" w:hAnsi="Verdana"/>
        </w:rPr>
        <w:t xml:space="preserve"> and </w:t>
      </w:r>
      <w:r>
        <w:rPr>
          <w:rFonts w:ascii="Verdana" w:eastAsia="Arial" w:hAnsi="Verdana"/>
        </w:rPr>
        <w:t>drive</w:t>
      </w:r>
      <w:r w:rsidRPr="00F5709B">
        <w:rPr>
          <w:rFonts w:ascii="Verdana" w:eastAsia="Arial" w:hAnsi="Verdana"/>
        </w:rPr>
        <w:t xml:space="preserve"> economic growth</w:t>
      </w:r>
      <w:r>
        <w:rPr>
          <w:rFonts w:ascii="Verdana" w:eastAsia="Arial" w:hAnsi="Verdana"/>
        </w:rPr>
        <w:t>.</w:t>
      </w:r>
    </w:p>
    <w:p w:rsidR="00FC19C9" w:rsidRPr="00350A2C" w:rsidRDefault="00FC19C9" w:rsidP="00FC19C9">
      <w:pPr>
        <w:spacing w:line="360" w:lineRule="auto"/>
        <w:ind w:right="1263"/>
        <w:jc w:val="both"/>
        <w:rPr>
          <w:rFonts w:ascii="Verdana" w:eastAsia="Arial" w:hAnsi="Verdana"/>
          <w:b/>
        </w:rPr>
      </w:pPr>
      <w:r w:rsidRPr="00350A2C">
        <w:rPr>
          <w:rFonts w:ascii="Verdana" w:eastAsia="Arial" w:hAnsi="Verdana"/>
          <w:b/>
        </w:rPr>
        <w:t>STATUS UPDATE ON DATA TARIFFS</w:t>
      </w:r>
    </w:p>
    <w:p w:rsidR="00FC19C9" w:rsidRPr="00350A2C" w:rsidRDefault="00FC19C9" w:rsidP="00FC19C9">
      <w:pPr>
        <w:spacing w:line="360" w:lineRule="auto"/>
        <w:ind w:right="1680"/>
        <w:jc w:val="both"/>
        <w:rPr>
          <w:rFonts w:ascii="Verdana" w:eastAsia="Arial" w:hAnsi="Verdana"/>
          <w:caps/>
        </w:rPr>
      </w:pPr>
      <w:r w:rsidRPr="00350A2C">
        <w:rPr>
          <w:rFonts w:ascii="Verdana" w:eastAsia="Arial" w:hAnsi="Verdana"/>
          <w:caps/>
        </w:rPr>
        <w:t>T</w:t>
      </w:r>
      <w:r w:rsidRPr="00350A2C">
        <w:rPr>
          <w:rFonts w:ascii="Verdana" w:eastAsia="Arial" w:hAnsi="Verdana"/>
        </w:rPr>
        <w:t>he slide discusses the current status of standard pre-paid data prices in South Africa. On average the standard pre-paid out-of-bundle rates are at least 50% higher than the in-bundle rates per megabyte.</w:t>
      </w:r>
      <w:r w:rsidRPr="00350A2C">
        <w:rPr>
          <w:rFonts w:ascii="Verdana" w:eastAsia="Arial" w:hAnsi="Verdana"/>
          <w:caps/>
        </w:rPr>
        <w:t xml:space="preserve"> </w:t>
      </w:r>
    </w:p>
    <w:p w:rsidR="00FC19C9" w:rsidRPr="00350A2C" w:rsidRDefault="00FC19C9" w:rsidP="00FC19C9">
      <w:pPr>
        <w:spacing w:line="360" w:lineRule="auto"/>
        <w:ind w:right="1680"/>
        <w:jc w:val="both"/>
        <w:rPr>
          <w:rFonts w:ascii="Verdana" w:eastAsia="Arial" w:hAnsi="Verdana"/>
        </w:rPr>
      </w:pPr>
      <w:r w:rsidRPr="00350A2C">
        <w:rPr>
          <w:rFonts w:ascii="Verdana" w:eastAsia="Arial" w:hAnsi="Verdana"/>
        </w:rPr>
        <w:t>However, customers who purchase large data bundles enjoy the benefits of a lower tariff per megabyte.</w:t>
      </w:r>
    </w:p>
    <w:p w:rsidR="00FC19C9" w:rsidRDefault="00FC19C9" w:rsidP="00FC19C9">
      <w:pPr>
        <w:spacing w:line="360" w:lineRule="auto"/>
        <w:ind w:right="1260"/>
        <w:jc w:val="both"/>
        <w:rPr>
          <w:rFonts w:ascii="Verdana" w:eastAsia="Arial" w:hAnsi="Verdana"/>
        </w:rPr>
      </w:pPr>
      <w:r w:rsidRPr="00350A2C">
        <w:rPr>
          <w:rFonts w:ascii="Verdana" w:eastAsia="Arial" w:hAnsi="Verdana"/>
        </w:rPr>
        <w:t xml:space="preserve">Furthermore, we note </w:t>
      </w:r>
      <w:r w:rsidRPr="006B0ED6">
        <w:rPr>
          <w:rFonts w:ascii="Verdana" w:eastAsia="Arial" w:hAnsi="Verdana"/>
        </w:rPr>
        <w:t xml:space="preserve">that subscribers who signed up and used a variety of promotional </w:t>
      </w:r>
      <w:r>
        <w:rPr>
          <w:rFonts w:ascii="Verdana" w:eastAsia="Arial" w:hAnsi="Verdana"/>
        </w:rPr>
        <w:t>data bundles</w:t>
      </w:r>
      <w:r w:rsidRPr="006B0ED6">
        <w:rPr>
          <w:rFonts w:ascii="Verdana" w:eastAsia="Arial" w:hAnsi="Verdana"/>
        </w:rPr>
        <w:t xml:space="preserve"> provided by operators derived some benefit and/or experienced a reduction in standard tariffs.</w:t>
      </w:r>
    </w:p>
    <w:p w:rsidR="00FC19C9" w:rsidRPr="00350A2C" w:rsidRDefault="00FC19C9" w:rsidP="00FC19C9">
      <w:pPr>
        <w:spacing w:line="360" w:lineRule="auto"/>
        <w:ind w:right="1263"/>
        <w:jc w:val="both"/>
        <w:rPr>
          <w:rFonts w:ascii="Verdana" w:eastAsia="Times New Roman" w:hAnsi="Verdana"/>
        </w:rPr>
      </w:pPr>
      <w:r>
        <w:rPr>
          <w:rFonts w:ascii="Verdana" w:eastAsia="Arial" w:hAnsi="Verdana"/>
          <w:b/>
        </w:rPr>
        <w:t>S</w:t>
      </w:r>
      <w:r w:rsidRPr="00350A2C">
        <w:rPr>
          <w:rFonts w:ascii="Verdana" w:eastAsia="Arial" w:hAnsi="Verdana"/>
          <w:b/>
        </w:rPr>
        <w:t>TATUS UPDATE ON PREPAID VOICE TARIFFS</w:t>
      </w:r>
    </w:p>
    <w:p w:rsidR="00FC19C9" w:rsidRPr="00350A2C" w:rsidRDefault="00FC19C9" w:rsidP="00FC19C9">
      <w:pPr>
        <w:spacing w:line="360" w:lineRule="auto"/>
        <w:ind w:right="1263"/>
        <w:jc w:val="both"/>
        <w:rPr>
          <w:rFonts w:ascii="Verdana" w:eastAsia="Arial" w:hAnsi="Verdana"/>
          <w:caps/>
        </w:rPr>
      </w:pPr>
      <w:r w:rsidRPr="00350A2C">
        <w:rPr>
          <w:rFonts w:ascii="Verdana" w:eastAsia="Arial" w:hAnsi="Verdana"/>
        </w:rPr>
        <w:t>This slide discusses the three main types of standard prepaid tariff plans available on the market namely:</w:t>
      </w:r>
    </w:p>
    <w:p w:rsidR="00FC19C9" w:rsidRPr="007D6C58" w:rsidRDefault="00FC19C9" w:rsidP="00FC19C9">
      <w:pPr>
        <w:numPr>
          <w:ilvl w:val="0"/>
          <w:numId w:val="16"/>
        </w:numPr>
        <w:spacing w:after="0" w:line="360" w:lineRule="auto"/>
        <w:ind w:right="1263"/>
        <w:jc w:val="both"/>
        <w:rPr>
          <w:rFonts w:ascii="Verdana" w:eastAsia="Arial" w:hAnsi="Verdana"/>
          <w:caps/>
        </w:rPr>
      </w:pPr>
      <w:r w:rsidRPr="00350A2C">
        <w:rPr>
          <w:rFonts w:ascii="Verdana" w:eastAsia="Arial" w:hAnsi="Verdana"/>
        </w:rPr>
        <w:t xml:space="preserve">flat-rate tariffs that charge the same retail rate for calls to any </w:t>
      </w:r>
      <w:r w:rsidRPr="007D6C58">
        <w:rPr>
          <w:rFonts w:ascii="Verdana" w:eastAsia="Arial" w:hAnsi="Verdana"/>
        </w:rPr>
        <w:t>subscriber</w:t>
      </w:r>
      <w:r w:rsidRPr="007D6C58">
        <w:rPr>
          <w:rFonts w:ascii="Verdana" w:eastAsia="Arial" w:hAnsi="Verdana"/>
          <w:caps/>
        </w:rPr>
        <w:t>;</w:t>
      </w:r>
    </w:p>
    <w:p w:rsidR="00FC19C9" w:rsidRPr="007D6C58" w:rsidRDefault="00FC19C9" w:rsidP="00FC19C9">
      <w:pPr>
        <w:numPr>
          <w:ilvl w:val="0"/>
          <w:numId w:val="16"/>
        </w:numPr>
        <w:spacing w:after="0" w:line="360" w:lineRule="auto"/>
        <w:ind w:right="1263"/>
        <w:jc w:val="both"/>
        <w:rPr>
          <w:rFonts w:ascii="Verdana" w:eastAsia="Arial" w:hAnsi="Verdana"/>
          <w:caps/>
        </w:rPr>
      </w:pPr>
      <w:r w:rsidRPr="007D6C58">
        <w:rPr>
          <w:rFonts w:ascii="Verdana" w:eastAsia="Arial" w:hAnsi="Verdana"/>
        </w:rPr>
        <w:lastRenderedPageBreak/>
        <w:t>on-net focused tariffs that give subscribers substantial benefits for calling other subscribers on the same network; and</w:t>
      </w:r>
    </w:p>
    <w:p w:rsidR="00FC19C9" w:rsidRPr="007D6C58" w:rsidRDefault="00FC19C9" w:rsidP="00FC19C9">
      <w:pPr>
        <w:numPr>
          <w:ilvl w:val="0"/>
          <w:numId w:val="16"/>
        </w:numPr>
        <w:spacing w:after="0" w:line="360" w:lineRule="auto"/>
        <w:ind w:right="1263"/>
        <w:jc w:val="both"/>
        <w:rPr>
          <w:rFonts w:ascii="Verdana" w:eastAsia="Arial" w:hAnsi="Verdana"/>
          <w:caps/>
        </w:rPr>
      </w:pPr>
      <w:r w:rsidRPr="007D6C58">
        <w:rPr>
          <w:rFonts w:ascii="Verdana" w:eastAsia="Arial" w:hAnsi="Verdana"/>
        </w:rPr>
        <w:t>dynamic tariffs that offer lower retail prices depending on the time of day and location.</w:t>
      </w:r>
    </w:p>
    <w:p w:rsidR="00FC19C9" w:rsidRPr="007D6C58" w:rsidRDefault="00FC19C9" w:rsidP="00FC19C9">
      <w:pPr>
        <w:spacing w:line="360" w:lineRule="auto"/>
        <w:ind w:right="1263"/>
        <w:jc w:val="both"/>
        <w:rPr>
          <w:rFonts w:ascii="Verdana" w:eastAsia="Times New Roman" w:hAnsi="Verdana"/>
        </w:rPr>
      </w:pPr>
      <w:r w:rsidRPr="007D6C58">
        <w:rPr>
          <w:rFonts w:ascii="Verdana" w:eastAsia="Times New Roman" w:hAnsi="Verdana"/>
        </w:rPr>
        <w:t xml:space="preserve">Although the off-net tariffs are relatively higher than the on-net tariffs, the tariff for calls per minute has reduced significantly since ICASA’s intervention into the wholesale call termination market in 2010. </w:t>
      </w:r>
    </w:p>
    <w:p w:rsidR="00FC19C9" w:rsidRDefault="00FC19C9" w:rsidP="00FC19C9">
      <w:pPr>
        <w:spacing w:line="360" w:lineRule="auto"/>
        <w:ind w:right="1680"/>
        <w:jc w:val="both"/>
        <w:rPr>
          <w:rFonts w:ascii="Verdana" w:eastAsia="Arial" w:hAnsi="Verdana"/>
        </w:rPr>
      </w:pPr>
      <w:r w:rsidRPr="00350A2C">
        <w:rPr>
          <w:rFonts w:ascii="Verdana" w:eastAsia="Arial" w:hAnsi="Verdana"/>
        </w:rPr>
        <w:t xml:space="preserve">Furthermore, we note </w:t>
      </w:r>
      <w:r w:rsidRPr="006B0ED6">
        <w:rPr>
          <w:rFonts w:ascii="Verdana" w:eastAsia="Arial" w:hAnsi="Verdana"/>
        </w:rPr>
        <w:t xml:space="preserve">that subscribers who signed up and used a variety of promotional </w:t>
      </w:r>
      <w:r>
        <w:rPr>
          <w:rFonts w:ascii="Verdana" w:eastAsia="Arial" w:hAnsi="Verdana"/>
        </w:rPr>
        <w:t xml:space="preserve">voice packages </w:t>
      </w:r>
      <w:r w:rsidRPr="006B0ED6">
        <w:rPr>
          <w:rFonts w:ascii="Verdana" w:eastAsia="Arial" w:hAnsi="Verdana"/>
        </w:rPr>
        <w:t>provided by operators derived some benefit and/or experienced a reduction in standard tariffs.</w:t>
      </w:r>
    </w:p>
    <w:p w:rsidR="00FC19C9" w:rsidRPr="00F95351" w:rsidRDefault="00FC19C9" w:rsidP="00FC19C9">
      <w:pPr>
        <w:spacing w:line="360" w:lineRule="auto"/>
        <w:ind w:right="1263"/>
        <w:jc w:val="both"/>
        <w:rPr>
          <w:rFonts w:ascii="Verdana" w:eastAsia="Times New Roman" w:hAnsi="Verdana"/>
        </w:rPr>
      </w:pPr>
      <w:r w:rsidRPr="00F95351">
        <w:rPr>
          <w:rFonts w:ascii="Verdana" w:eastAsia="Arial" w:hAnsi="Verdana"/>
          <w:b/>
        </w:rPr>
        <w:t>INTERNATIONAL BENCHMARKS ON DATA PRICES</w:t>
      </w:r>
    </w:p>
    <w:p w:rsidR="00FC19C9" w:rsidRDefault="00FC19C9" w:rsidP="00FC19C9">
      <w:pPr>
        <w:spacing w:line="360" w:lineRule="auto"/>
        <w:ind w:right="1263"/>
        <w:jc w:val="both"/>
        <w:rPr>
          <w:rFonts w:ascii="Verdana" w:eastAsia="Arial" w:hAnsi="Verdana"/>
        </w:rPr>
      </w:pPr>
      <w:r>
        <w:rPr>
          <w:rFonts w:ascii="Verdana" w:eastAsia="Arial" w:hAnsi="Verdana"/>
        </w:rPr>
        <w:t xml:space="preserve">The above slides provide an overview of the benchmark study for data prices charged by operators within the SADC region. </w:t>
      </w:r>
      <w:r w:rsidRPr="00F95351">
        <w:rPr>
          <w:rFonts w:ascii="Verdana" w:eastAsia="Arial" w:hAnsi="Verdana"/>
        </w:rPr>
        <w:t xml:space="preserve">The comparison is solely based on the price of 1GB and 2GB data bundles within the SADC region. Other elements such as mobile network reach/coverage, service quality (i.e. speed and latency), available technology (e.g. LTE), and the price of the mobile devices themselves have not been taken into account.   </w:t>
      </w:r>
    </w:p>
    <w:p w:rsidR="00FC19C9" w:rsidRDefault="00FC19C9" w:rsidP="00FC19C9">
      <w:pPr>
        <w:spacing w:line="360" w:lineRule="auto"/>
        <w:ind w:right="1263"/>
        <w:jc w:val="both"/>
        <w:rPr>
          <w:rFonts w:ascii="Verdana" w:eastAsia="Arial" w:hAnsi="Verdana"/>
        </w:rPr>
      </w:pPr>
      <w:r w:rsidRPr="00F95351">
        <w:rPr>
          <w:rFonts w:ascii="Verdana" w:eastAsia="Arial" w:hAnsi="Verdana"/>
        </w:rPr>
        <w:t xml:space="preserve">The figures above show the prices of 1GB and 2GB prepaid data packages in South African Rand (an exchange rate </w:t>
      </w:r>
      <w:r w:rsidR="001E5FD7" w:rsidRPr="00F95351">
        <w:rPr>
          <w:rFonts w:ascii="Verdana" w:eastAsia="Arial" w:hAnsi="Verdana"/>
        </w:rPr>
        <w:t>converter was</w:t>
      </w:r>
      <w:r w:rsidRPr="00F95351">
        <w:rPr>
          <w:rFonts w:ascii="Verdana" w:eastAsia="Arial" w:hAnsi="Verdana"/>
        </w:rPr>
        <w:t xml:space="preserve"> used to convert the currencies).  The figures further illustrate that, on average, the data prices of the comparator countries are relatively higher than those of South Africa’s operators Vodacom, MTN, Cell C and Telkom Mobile.  However, there are a few instances where operators in Mauritius, Malawi, Mozambique and Tanzania are relatively cheaper than South African operators by up to 80% in certain instances.</w:t>
      </w:r>
    </w:p>
    <w:p w:rsidR="00FC19C9" w:rsidRPr="002152A2" w:rsidRDefault="00FC19C9" w:rsidP="00FC19C9">
      <w:pPr>
        <w:spacing w:line="360" w:lineRule="auto"/>
        <w:ind w:right="1340"/>
        <w:jc w:val="both"/>
        <w:rPr>
          <w:rFonts w:ascii="Verdana" w:eastAsia="Arial" w:hAnsi="Verdana"/>
          <w:b/>
        </w:rPr>
      </w:pPr>
      <w:r w:rsidRPr="002152A2">
        <w:rPr>
          <w:rFonts w:ascii="Verdana" w:eastAsia="Arial" w:hAnsi="Verdana"/>
          <w:b/>
        </w:rPr>
        <w:t xml:space="preserve">THE COST TO COMMUNICATE PROGRAMME </w:t>
      </w:r>
    </w:p>
    <w:p w:rsidR="00FC19C9" w:rsidRDefault="00FC19C9" w:rsidP="00FC19C9">
      <w:pPr>
        <w:spacing w:line="360" w:lineRule="auto"/>
        <w:ind w:right="1340"/>
        <w:jc w:val="both"/>
        <w:rPr>
          <w:rFonts w:ascii="Verdana" w:eastAsia="Arial" w:hAnsi="Verdana"/>
        </w:rPr>
      </w:pPr>
      <w:r>
        <w:rPr>
          <w:rFonts w:ascii="Verdana" w:eastAsia="Arial" w:hAnsi="Verdana"/>
        </w:rPr>
        <w:t xml:space="preserve">The above two slides provide a brief overview of ICASA’s cost to communicate programme and an update on the following cost to communicate projects: </w:t>
      </w:r>
    </w:p>
    <w:p w:rsidR="00FC19C9" w:rsidRPr="001071FF" w:rsidRDefault="00FC19C9" w:rsidP="00FC19C9">
      <w:pPr>
        <w:spacing w:line="360" w:lineRule="auto"/>
        <w:ind w:right="1340"/>
        <w:jc w:val="both"/>
        <w:rPr>
          <w:rFonts w:ascii="Verdana" w:eastAsia="Arial" w:hAnsi="Verdana"/>
          <w:b/>
          <w:i/>
        </w:rPr>
      </w:pPr>
      <w:r w:rsidRPr="001071FF">
        <w:rPr>
          <w:rFonts w:ascii="Verdana" w:eastAsia="Arial" w:hAnsi="Verdana"/>
          <w:b/>
          <w:i/>
        </w:rPr>
        <w:t>Short term interventions</w:t>
      </w:r>
    </w:p>
    <w:p w:rsidR="00FC19C9" w:rsidRPr="001071FF" w:rsidRDefault="00FC19C9" w:rsidP="00FC19C9">
      <w:pPr>
        <w:spacing w:line="360" w:lineRule="auto"/>
        <w:ind w:right="1340"/>
        <w:jc w:val="both"/>
        <w:rPr>
          <w:rFonts w:ascii="Verdana" w:eastAsia="Arial" w:hAnsi="Verdana"/>
        </w:rPr>
      </w:pPr>
      <w:r>
        <w:rPr>
          <w:rFonts w:ascii="Verdana" w:eastAsia="Arial" w:hAnsi="Verdana"/>
        </w:rPr>
        <w:t>In the short term ICASA has established a task team with the National Consumer Council (NCC).</w:t>
      </w:r>
      <w:r w:rsidRPr="001071FF">
        <w:rPr>
          <w:rFonts w:ascii="Verdana" w:eastAsia="Arial" w:hAnsi="Verdana"/>
        </w:rPr>
        <w:t xml:space="preserve"> The objective of the task team is to review the current industry rules on data expiry, high out-of-bundle rates and the</w:t>
      </w:r>
      <w:r>
        <w:rPr>
          <w:rFonts w:ascii="Verdana" w:eastAsia="Arial" w:hAnsi="Verdana"/>
        </w:rPr>
        <w:t>ir</w:t>
      </w:r>
      <w:r w:rsidRPr="001071FF">
        <w:rPr>
          <w:rFonts w:ascii="Verdana" w:eastAsia="Arial" w:hAnsi="Verdana"/>
        </w:rPr>
        <w:t xml:space="preserve"> impact on consumers</w:t>
      </w:r>
      <w:r>
        <w:rPr>
          <w:rFonts w:ascii="Verdana" w:eastAsia="Arial" w:hAnsi="Verdana"/>
        </w:rPr>
        <w:t xml:space="preserve">. To date the task team has held one-on-one meetings with the </w:t>
      </w:r>
      <w:r>
        <w:rPr>
          <w:rFonts w:ascii="Verdana" w:eastAsia="Arial" w:hAnsi="Verdana"/>
        </w:rPr>
        <w:lastRenderedPageBreak/>
        <w:t>operators and will finalise the recommendations to its findings by the end of 31 August 2017.</w:t>
      </w:r>
    </w:p>
    <w:p w:rsidR="00FC19C9" w:rsidRDefault="00FC19C9" w:rsidP="00FC19C9">
      <w:pPr>
        <w:spacing w:line="360" w:lineRule="auto"/>
        <w:ind w:right="1340"/>
        <w:jc w:val="both"/>
        <w:rPr>
          <w:rFonts w:ascii="Verdana" w:eastAsia="Arial" w:hAnsi="Verdana"/>
        </w:rPr>
      </w:pPr>
      <w:r>
        <w:rPr>
          <w:rFonts w:ascii="Verdana" w:eastAsia="Arial" w:hAnsi="Verdana"/>
        </w:rPr>
        <w:t>Furthermore, ICASA will finalise the review of the wholesale c</w:t>
      </w:r>
      <w:r w:rsidRPr="001071FF">
        <w:rPr>
          <w:rFonts w:ascii="Verdana" w:eastAsia="Arial" w:hAnsi="Verdana"/>
        </w:rPr>
        <w:t xml:space="preserve">all termination </w:t>
      </w:r>
      <w:r>
        <w:rPr>
          <w:rFonts w:ascii="Verdana" w:eastAsia="Arial" w:hAnsi="Verdana"/>
        </w:rPr>
        <w:t xml:space="preserve">regulations, which are aimed at reducing the cost of voice calls, by </w:t>
      </w:r>
      <w:r w:rsidRPr="001071FF">
        <w:rPr>
          <w:rFonts w:ascii="Verdana" w:eastAsia="Arial" w:hAnsi="Verdana"/>
        </w:rPr>
        <w:t>30 September 2017</w:t>
      </w:r>
      <w:r>
        <w:rPr>
          <w:rFonts w:ascii="Verdana" w:eastAsia="Arial" w:hAnsi="Verdana"/>
        </w:rPr>
        <w:t>.</w:t>
      </w:r>
    </w:p>
    <w:p w:rsidR="00FC19C9" w:rsidRPr="001071FF" w:rsidRDefault="00FC19C9" w:rsidP="00FC19C9">
      <w:pPr>
        <w:spacing w:line="360" w:lineRule="auto"/>
        <w:ind w:right="1340"/>
        <w:jc w:val="both"/>
        <w:rPr>
          <w:rFonts w:ascii="Verdana" w:eastAsia="Arial" w:hAnsi="Verdana"/>
          <w:b/>
          <w:i/>
        </w:rPr>
      </w:pPr>
      <w:r w:rsidRPr="001071FF">
        <w:rPr>
          <w:rFonts w:ascii="Verdana" w:eastAsia="Arial" w:hAnsi="Verdana"/>
          <w:b/>
          <w:i/>
        </w:rPr>
        <w:t>Medium term interventions</w:t>
      </w:r>
    </w:p>
    <w:p w:rsidR="00FC19C9" w:rsidRDefault="00FC19C9" w:rsidP="00FC19C9">
      <w:pPr>
        <w:spacing w:line="360" w:lineRule="auto"/>
        <w:ind w:right="1340"/>
        <w:jc w:val="both"/>
        <w:rPr>
          <w:rFonts w:ascii="Verdana" w:eastAsia="Arial" w:hAnsi="Verdana"/>
        </w:rPr>
      </w:pPr>
      <w:r>
        <w:rPr>
          <w:rFonts w:ascii="Verdana" w:eastAsia="Arial" w:hAnsi="Verdana"/>
        </w:rPr>
        <w:t xml:space="preserve">In the medium term ICASA is planning to conduct a </w:t>
      </w:r>
      <w:r w:rsidRPr="002152A2">
        <w:rPr>
          <w:rFonts w:ascii="Verdana" w:eastAsia="Arial" w:hAnsi="Verdana"/>
        </w:rPr>
        <w:t>market inquiry</w:t>
      </w:r>
      <w:r>
        <w:rPr>
          <w:rFonts w:ascii="Verdana" w:eastAsia="Arial" w:hAnsi="Verdana"/>
        </w:rPr>
        <w:t xml:space="preserve"> into the broadband market services. The </w:t>
      </w:r>
      <w:r w:rsidRPr="001071FF">
        <w:rPr>
          <w:rFonts w:ascii="Verdana" w:eastAsia="Arial" w:hAnsi="Verdana"/>
        </w:rPr>
        <w:t>broadband market inquiry</w:t>
      </w:r>
      <w:r>
        <w:rPr>
          <w:rFonts w:ascii="Verdana" w:eastAsia="Arial" w:hAnsi="Verdana"/>
        </w:rPr>
        <w:t xml:space="preserve"> will be initiated in terms of </w:t>
      </w:r>
      <w:r w:rsidRPr="001071FF">
        <w:rPr>
          <w:rFonts w:ascii="Verdana" w:eastAsia="Arial" w:hAnsi="Verdana"/>
        </w:rPr>
        <w:t>Sec 67(4) of the ICASA Act read with sec 4B and 4C of the ICASA Act</w:t>
      </w:r>
      <w:r>
        <w:rPr>
          <w:rFonts w:ascii="Verdana" w:eastAsia="Arial" w:hAnsi="Verdana"/>
        </w:rPr>
        <w:t xml:space="preserve"> and the </w:t>
      </w:r>
      <w:r w:rsidRPr="001071FF">
        <w:rPr>
          <w:rFonts w:ascii="Verdana" w:eastAsia="Arial" w:hAnsi="Verdana"/>
        </w:rPr>
        <w:t>Policy direction on “Effective Competition and the reduction of data prices”</w:t>
      </w:r>
      <w:r>
        <w:rPr>
          <w:rFonts w:ascii="Verdana" w:eastAsia="Arial" w:hAnsi="Verdana"/>
        </w:rPr>
        <w:t>.</w:t>
      </w:r>
    </w:p>
    <w:p w:rsidR="00FC19C9" w:rsidRPr="001071FF" w:rsidRDefault="00FC19C9" w:rsidP="00FC19C9">
      <w:pPr>
        <w:spacing w:line="360" w:lineRule="auto"/>
        <w:ind w:right="1340"/>
        <w:jc w:val="both"/>
        <w:rPr>
          <w:rFonts w:ascii="Verdana" w:eastAsia="Arial" w:hAnsi="Verdana"/>
        </w:rPr>
      </w:pPr>
      <w:r w:rsidRPr="001071FF">
        <w:rPr>
          <w:rFonts w:ascii="Verdana" w:eastAsia="Arial" w:hAnsi="Verdana"/>
        </w:rPr>
        <w:t>Proposed steps:</w:t>
      </w:r>
    </w:p>
    <w:p w:rsidR="00FC19C9" w:rsidRPr="001071FF" w:rsidRDefault="00FC19C9" w:rsidP="00FC19C9">
      <w:pPr>
        <w:numPr>
          <w:ilvl w:val="0"/>
          <w:numId w:val="17"/>
        </w:numPr>
        <w:spacing w:after="0" w:line="360" w:lineRule="auto"/>
        <w:ind w:left="426" w:right="1340" w:hanging="284"/>
        <w:jc w:val="both"/>
        <w:rPr>
          <w:rFonts w:ascii="Verdana" w:eastAsia="Arial" w:hAnsi="Verdana"/>
        </w:rPr>
      </w:pPr>
      <w:r w:rsidRPr="001071FF">
        <w:rPr>
          <w:rFonts w:ascii="Verdana" w:eastAsia="Arial" w:hAnsi="Verdana"/>
        </w:rPr>
        <w:t>Step 1 – information gathering</w:t>
      </w:r>
    </w:p>
    <w:p w:rsidR="00FC19C9" w:rsidRPr="001071FF" w:rsidRDefault="00FC19C9" w:rsidP="00FC19C9">
      <w:pPr>
        <w:numPr>
          <w:ilvl w:val="0"/>
          <w:numId w:val="17"/>
        </w:numPr>
        <w:spacing w:after="0" w:line="360" w:lineRule="auto"/>
        <w:ind w:left="426" w:right="1340" w:hanging="284"/>
        <w:jc w:val="both"/>
        <w:rPr>
          <w:rFonts w:ascii="Verdana" w:eastAsia="Arial" w:hAnsi="Verdana"/>
        </w:rPr>
      </w:pPr>
      <w:r w:rsidRPr="001071FF">
        <w:rPr>
          <w:rFonts w:ascii="Verdana" w:eastAsia="Arial" w:hAnsi="Verdana"/>
        </w:rPr>
        <w:t>Step 2 – formal inquiry in terms of sec 4B and 4C of the ICASA Act and discussion document for comment (min 45 days)</w:t>
      </w:r>
    </w:p>
    <w:p w:rsidR="00FC19C9" w:rsidRPr="001071FF" w:rsidRDefault="00FC19C9" w:rsidP="00FC19C9">
      <w:pPr>
        <w:numPr>
          <w:ilvl w:val="0"/>
          <w:numId w:val="17"/>
        </w:numPr>
        <w:spacing w:after="0" w:line="360" w:lineRule="auto"/>
        <w:ind w:left="426" w:right="1340" w:hanging="284"/>
        <w:jc w:val="both"/>
        <w:rPr>
          <w:rFonts w:ascii="Verdana" w:eastAsia="Arial" w:hAnsi="Verdana"/>
        </w:rPr>
      </w:pPr>
      <w:r w:rsidRPr="001071FF">
        <w:rPr>
          <w:rFonts w:ascii="Verdana" w:eastAsia="Arial" w:hAnsi="Verdana"/>
        </w:rPr>
        <w:t>Step 3 – publication of draft discussion paper for comment (min 45 days)</w:t>
      </w:r>
    </w:p>
    <w:p w:rsidR="00FC19C9" w:rsidRPr="001071FF" w:rsidRDefault="00FC19C9" w:rsidP="00FC19C9">
      <w:pPr>
        <w:numPr>
          <w:ilvl w:val="0"/>
          <w:numId w:val="17"/>
        </w:numPr>
        <w:spacing w:after="0" w:line="360" w:lineRule="auto"/>
        <w:ind w:left="426" w:right="1340" w:hanging="284"/>
        <w:jc w:val="both"/>
        <w:rPr>
          <w:rFonts w:ascii="Verdana" w:eastAsia="Arial" w:hAnsi="Verdana"/>
        </w:rPr>
      </w:pPr>
      <w:r w:rsidRPr="001071FF">
        <w:rPr>
          <w:rFonts w:ascii="Verdana" w:eastAsia="Arial" w:hAnsi="Verdana"/>
        </w:rPr>
        <w:t>Step 4 – publication of final position paper with draft regulations (if necessary) for comment (30 days)</w:t>
      </w:r>
    </w:p>
    <w:p w:rsidR="00FC19C9" w:rsidRDefault="00FC19C9" w:rsidP="00FC19C9">
      <w:pPr>
        <w:numPr>
          <w:ilvl w:val="0"/>
          <w:numId w:val="17"/>
        </w:numPr>
        <w:spacing w:after="0" w:line="360" w:lineRule="auto"/>
        <w:ind w:left="426" w:right="1340" w:hanging="284"/>
        <w:jc w:val="both"/>
        <w:rPr>
          <w:rFonts w:ascii="Verdana" w:eastAsia="Arial" w:hAnsi="Verdana"/>
        </w:rPr>
      </w:pPr>
      <w:r w:rsidRPr="001071FF">
        <w:rPr>
          <w:rFonts w:ascii="Verdana" w:eastAsia="Arial" w:hAnsi="Verdana"/>
        </w:rPr>
        <w:t>Step 5 – publication of final regulations</w:t>
      </w:r>
    </w:p>
    <w:p w:rsidR="00FC19C9" w:rsidRPr="001071FF" w:rsidRDefault="00FC19C9" w:rsidP="00FC19C9">
      <w:pPr>
        <w:spacing w:line="360" w:lineRule="auto"/>
        <w:ind w:right="1340"/>
        <w:jc w:val="both"/>
        <w:rPr>
          <w:rFonts w:ascii="Verdana" w:eastAsia="Arial" w:hAnsi="Verdana"/>
          <w:b/>
          <w:i/>
        </w:rPr>
      </w:pPr>
      <w:r>
        <w:rPr>
          <w:rFonts w:ascii="Verdana" w:eastAsia="Arial" w:hAnsi="Verdana"/>
          <w:b/>
          <w:i/>
        </w:rPr>
        <w:t>Long</w:t>
      </w:r>
      <w:r w:rsidRPr="001071FF">
        <w:rPr>
          <w:rFonts w:ascii="Verdana" w:eastAsia="Arial" w:hAnsi="Verdana"/>
          <w:b/>
          <w:i/>
        </w:rPr>
        <w:t xml:space="preserve"> term interventions</w:t>
      </w:r>
    </w:p>
    <w:p w:rsidR="00FC19C9" w:rsidRPr="009714A2" w:rsidRDefault="00FC19C9" w:rsidP="00FC19C9">
      <w:pPr>
        <w:spacing w:line="360" w:lineRule="auto"/>
        <w:ind w:right="1340"/>
        <w:jc w:val="both"/>
        <w:rPr>
          <w:rFonts w:ascii="Verdana" w:eastAsia="Arial" w:hAnsi="Verdana"/>
        </w:rPr>
      </w:pPr>
      <w:r>
        <w:rPr>
          <w:rFonts w:ascii="Verdana" w:eastAsia="Arial" w:hAnsi="Verdana"/>
        </w:rPr>
        <w:t>With regards to long term interventions, ICASA is currently identifying</w:t>
      </w:r>
      <w:r w:rsidRPr="009714A2">
        <w:rPr>
          <w:rFonts w:ascii="Verdana" w:eastAsia="Arial" w:hAnsi="Verdana"/>
        </w:rPr>
        <w:t xml:space="preserve"> specific markets to be regulated in the future, including broadband / data markets</w:t>
      </w:r>
      <w:r>
        <w:rPr>
          <w:rFonts w:ascii="Verdana" w:eastAsia="Arial" w:hAnsi="Verdana"/>
        </w:rPr>
        <w:t>.</w:t>
      </w:r>
    </w:p>
    <w:p w:rsidR="00FC19C9" w:rsidRPr="009714A2" w:rsidRDefault="00FC19C9" w:rsidP="00FC19C9">
      <w:pPr>
        <w:tabs>
          <w:tab w:val="left" w:pos="360"/>
          <w:tab w:val="num" w:pos="720"/>
        </w:tabs>
        <w:spacing w:line="360" w:lineRule="auto"/>
        <w:ind w:left="380" w:right="1540" w:hanging="379"/>
        <w:jc w:val="both"/>
        <w:rPr>
          <w:rFonts w:ascii="Verdana" w:eastAsia="Arial" w:hAnsi="Verdana"/>
        </w:rPr>
      </w:pPr>
      <w:r>
        <w:rPr>
          <w:rFonts w:ascii="Verdana" w:eastAsia="Arial" w:hAnsi="Verdana"/>
        </w:rPr>
        <w:t xml:space="preserve"> The </w:t>
      </w:r>
      <w:r w:rsidR="001E5FD7">
        <w:rPr>
          <w:rFonts w:ascii="Verdana" w:eastAsia="Arial" w:hAnsi="Verdana"/>
        </w:rPr>
        <w:t>o</w:t>
      </w:r>
      <w:r w:rsidR="001E5FD7" w:rsidRPr="009714A2">
        <w:rPr>
          <w:rFonts w:ascii="Verdana" w:eastAsia="Arial" w:hAnsi="Verdana"/>
        </w:rPr>
        <w:t>bjective</w:t>
      </w:r>
      <w:r w:rsidRPr="009714A2">
        <w:rPr>
          <w:rFonts w:ascii="Verdana" w:eastAsia="Arial" w:hAnsi="Verdana"/>
        </w:rPr>
        <w:t xml:space="preserve"> </w:t>
      </w:r>
      <w:r>
        <w:rPr>
          <w:rFonts w:ascii="Verdana" w:eastAsia="Arial" w:hAnsi="Verdana"/>
        </w:rPr>
        <w:t>of the project is to</w:t>
      </w:r>
      <w:r w:rsidRPr="009714A2">
        <w:rPr>
          <w:rFonts w:ascii="Verdana" w:eastAsia="Arial" w:hAnsi="Verdana"/>
        </w:rPr>
        <w:t>:</w:t>
      </w:r>
    </w:p>
    <w:p w:rsidR="00FC19C9" w:rsidRPr="009714A2" w:rsidRDefault="00FC19C9" w:rsidP="00FC19C9">
      <w:pPr>
        <w:numPr>
          <w:ilvl w:val="0"/>
          <w:numId w:val="17"/>
        </w:numPr>
        <w:tabs>
          <w:tab w:val="num" w:pos="426"/>
        </w:tabs>
        <w:spacing w:after="0" w:line="360" w:lineRule="auto"/>
        <w:ind w:left="426" w:right="1340" w:hanging="284"/>
        <w:jc w:val="both"/>
        <w:rPr>
          <w:rFonts w:ascii="Verdana" w:eastAsia="Arial" w:hAnsi="Verdana"/>
        </w:rPr>
      </w:pPr>
      <w:r w:rsidRPr="009714A2">
        <w:rPr>
          <w:rFonts w:ascii="Verdana" w:eastAsia="Arial" w:hAnsi="Verdana"/>
        </w:rPr>
        <w:t xml:space="preserve">identify relevant markets that are prone to </w:t>
      </w:r>
      <w:r w:rsidRPr="009714A2">
        <w:rPr>
          <w:rFonts w:ascii="Verdana" w:eastAsia="Arial" w:hAnsi="Verdana"/>
          <w:i/>
          <w:iCs/>
        </w:rPr>
        <w:t xml:space="preserve">ex ante </w:t>
      </w:r>
      <w:r w:rsidRPr="009714A2">
        <w:rPr>
          <w:rFonts w:ascii="Verdana" w:eastAsia="Arial" w:hAnsi="Verdana"/>
        </w:rPr>
        <w:t>regulation</w:t>
      </w:r>
      <w:r>
        <w:rPr>
          <w:rFonts w:ascii="Verdana" w:eastAsia="Arial" w:hAnsi="Verdana"/>
        </w:rPr>
        <w:t>;</w:t>
      </w:r>
      <w:r w:rsidRPr="009714A2">
        <w:rPr>
          <w:rFonts w:ascii="Verdana" w:eastAsia="Arial" w:hAnsi="Verdana"/>
        </w:rPr>
        <w:t xml:space="preserve"> and</w:t>
      </w:r>
    </w:p>
    <w:p w:rsidR="00FC19C9" w:rsidRDefault="00FC19C9" w:rsidP="00FC19C9">
      <w:pPr>
        <w:numPr>
          <w:ilvl w:val="0"/>
          <w:numId w:val="17"/>
        </w:numPr>
        <w:tabs>
          <w:tab w:val="num" w:pos="426"/>
          <w:tab w:val="num" w:pos="1440"/>
        </w:tabs>
        <w:spacing w:after="0" w:line="360" w:lineRule="auto"/>
        <w:ind w:left="426" w:right="1340" w:hanging="284"/>
        <w:jc w:val="both"/>
        <w:rPr>
          <w:rFonts w:ascii="Verdana" w:eastAsia="Arial" w:hAnsi="Verdana"/>
        </w:rPr>
      </w:pPr>
      <w:r w:rsidRPr="009714A2">
        <w:rPr>
          <w:rFonts w:ascii="Verdana" w:eastAsia="Arial" w:hAnsi="Verdana"/>
        </w:rPr>
        <w:t>identify those markets the Authority will prioritise for market reviews in terms of sec 67(4) of the ECA</w:t>
      </w:r>
      <w:r>
        <w:rPr>
          <w:rFonts w:ascii="Verdana" w:eastAsia="Arial" w:hAnsi="Verdana"/>
        </w:rPr>
        <w:t>.</w:t>
      </w:r>
    </w:p>
    <w:p w:rsidR="00FC19C9" w:rsidRPr="009714A2" w:rsidRDefault="00FC19C9" w:rsidP="00FC19C9">
      <w:pPr>
        <w:spacing w:line="360" w:lineRule="auto"/>
        <w:ind w:right="1340"/>
        <w:jc w:val="both"/>
        <w:rPr>
          <w:rFonts w:ascii="Verdana" w:eastAsia="Arial" w:hAnsi="Verdana"/>
        </w:rPr>
      </w:pPr>
      <w:r>
        <w:rPr>
          <w:rFonts w:ascii="Verdana" w:eastAsia="Arial" w:hAnsi="Verdana"/>
        </w:rPr>
        <w:t xml:space="preserve">So far ICASA has gazetted a </w:t>
      </w:r>
      <w:r w:rsidRPr="009714A2">
        <w:rPr>
          <w:rFonts w:ascii="Verdana" w:eastAsia="Arial" w:hAnsi="Verdana"/>
        </w:rPr>
        <w:t xml:space="preserve">Notice to conduct </w:t>
      </w:r>
      <w:r>
        <w:rPr>
          <w:rFonts w:ascii="Verdana" w:eastAsia="Arial" w:hAnsi="Verdana"/>
        </w:rPr>
        <w:t xml:space="preserve">a </w:t>
      </w:r>
      <w:r w:rsidRPr="009714A2">
        <w:rPr>
          <w:rFonts w:ascii="Verdana" w:eastAsia="Arial" w:hAnsi="Verdana"/>
        </w:rPr>
        <w:t xml:space="preserve">sec 4B </w:t>
      </w:r>
      <w:r>
        <w:rPr>
          <w:rFonts w:ascii="Verdana" w:eastAsia="Arial" w:hAnsi="Verdana"/>
        </w:rPr>
        <w:t>inquiry. The n</w:t>
      </w:r>
      <w:r w:rsidRPr="009714A2">
        <w:rPr>
          <w:rFonts w:ascii="Verdana" w:eastAsia="Arial" w:hAnsi="Verdana"/>
        </w:rPr>
        <w:t xml:space="preserve">ext steps </w:t>
      </w:r>
      <w:r>
        <w:rPr>
          <w:rFonts w:ascii="Verdana" w:eastAsia="Arial" w:hAnsi="Verdana"/>
        </w:rPr>
        <w:t>will involve the following</w:t>
      </w:r>
      <w:r w:rsidRPr="009714A2">
        <w:rPr>
          <w:rFonts w:ascii="Verdana" w:eastAsia="Arial" w:hAnsi="Verdana"/>
        </w:rPr>
        <w:t>:</w:t>
      </w:r>
    </w:p>
    <w:p w:rsidR="00FC19C9" w:rsidRDefault="00FC19C9" w:rsidP="00EE0B03">
      <w:pPr>
        <w:numPr>
          <w:ilvl w:val="0"/>
          <w:numId w:val="18"/>
        </w:numPr>
        <w:tabs>
          <w:tab w:val="num" w:pos="426"/>
          <w:tab w:val="num" w:pos="1440"/>
          <w:tab w:val="num" w:pos="2160"/>
        </w:tabs>
        <w:spacing w:after="0" w:line="360" w:lineRule="auto"/>
        <w:ind w:right="1680"/>
        <w:jc w:val="both"/>
        <w:rPr>
          <w:rFonts w:ascii="Verdana" w:eastAsia="Arial" w:hAnsi="Verdana"/>
        </w:rPr>
      </w:pPr>
      <w:r w:rsidRPr="00FC19C9">
        <w:rPr>
          <w:rFonts w:ascii="Verdana" w:eastAsia="Arial" w:hAnsi="Verdana"/>
        </w:rPr>
        <w:t>one-on-ones with licensees, if necessary</w:t>
      </w:r>
    </w:p>
    <w:p w:rsidR="00FC19C9" w:rsidRPr="00FC19C9" w:rsidRDefault="00FC19C9" w:rsidP="00EE0B03">
      <w:pPr>
        <w:numPr>
          <w:ilvl w:val="0"/>
          <w:numId w:val="18"/>
        </w:numPr>
        <w:tabs>
          <w:tab w:val="num" w:pos="426"/>
          <w:tab w:val="num" w:pos="1440"/>
          <w:tab w:val="num" w:pos="2160"/>
        </w:tabs>
        <w:spacing w:after="0" w:line="360" w:lineRule="auto"/>
        <w:ind w:right="1680"/>
        <w:jc w:val="both"/>
        <w:rPr>
          <w:rFonts w:ascii="Verdana" w:eastAsia="Arial" w:hAnsi="Verdana"/>
        </w:rPr>
      </w:pPr>
      <w:r w:rsidRPr="00FC19C9">
        <w:rPr>
          <w:rFonts w:ascii="Verdana" w:eastAsia="Arial" w:hAnsi="Verdana"/>
        </w:rPr>
        <w:t>publish a discussion document with a list of recommended priority markets for public comment (min 45 days)</w:t>
      </w:r>
    </w:p>
    <w:p w:rsidR="00FC19C9" w:rsidRPr="00FC19C9" w:rsidRDefault="00FC19C9" w:rsidP="00364A3D">
      <w:pPr>
        <w:numPr>
          <w:ilvl w:val="0"/>
          <w:numId w:val="18"/>
        </w:numPr>
        <w:tabs>
          <w:tab w:val="num" w:pos="426"/>
          <w:tab w:val="num" w:pos="1440"/>
          <w:tab w:val="num" w:pos="2160"/>
        </w:tabs>
        <w:spacing w:after="0" w:line="360" w:lineRule="auto"/>
        <w:ind w:right="1680"/>
        <w:jc w:val="both"/>
        <w:rPr>
          <w:rFonts w:ascii="Verdana" w:eastAsia="Arial" w:hAnsi="Verdana"/>
        </w:rPr>
      </w:pPr>
      <w:r w:rsidRPr="00FC19C9">
        <w:rPr>
          <w:rFonts w:ascii="Verdana" w:eastAsia="Arial" w:hAnsi="Verdana"/>
        </w:rPr>
        <w:t>hold public hearings, if necessary</w:t>
      </w:r>
    </w:p>
    <w:p w:rsidR="00FC19C9" w:rsidRPr="00FC19C9" w:rsidRDefault="00FC19C9" w:rsidP="00706BC7">
      <w:pPr>
        <w:numPr>
          <w:ilvl w:val="0"/>
          <w:numId w:val="18"/>
        </w:numPr>
        <w:tabs>
          <w:tab w:val="num" w:pos="426"/>
          <w:tab w:val="num" w:pos="1440"/>
          <w:tab w:val="num" w:pos="2160"/>
        </w:tabs>
        <w:spacing w:after="0" w:line="360" w:lineRule="auto"/>
        <w:ind w:right="1680"/>
        <w:jc w:val="both"/>
        <w:rPr>
          <w:rFonts w:ascii="Verdana" w:eastAsia="Arial" w:hAnsi="Verdana"/>
        </w:rPr>
      </w:pPr>
      <w:r w:rsidRPr="00FC19C9">
        <w:rPr>
          <w:rFonts w:ascii="Verdana" w:eastAsia="Arial" w:hAnsi="Verdana"/>
        </w:rPr>
        <w:t>publish findings document with a list of priority markets</w:t>
      </w:r>
    </w:p>
    <w:p w:rsidR="00FC19C9" w:rsidRPr="00EE7471" w:rsidRDefault="00FC19C9" w:rsidP="00FC19C9">
      <w:pPr>
        <w:spacing w:line="360" w:lineRule="auto"/>
        <w:ind w:right="1340"/>
        <w:jc w:val="both"/>
        <w:rPr>
          <w:rFonts w:ascii="Verdana" w:eastAsia="Arial" w:hAnsi="Verdana"/>
          <w:b/>
        </w:rPr>
      </w:pPr>
      <w:r>
        <w:rPr>
          <w:rFonts w:ascii="Verdana" w:eastAsia="Arial" w:hAnsi="Verdana"/>
          <w:b/>
        </w:rPr>
        <w:lastRenderedPageBreak/>
        <w:t>THE</w:t>
      </w:r>
      <w:r w:rsidRPr="00EE7471">
        <w:rPr>
          <w:rFonts w:ascii="Verdana" w:eastAsia="Arial" w:hAnsi="Verdana"/>
          <w:b/>
        </w:rPr>
        <w:t xml:space="preserve"> KEY CONSIDERATIONS</w:t>
      </w:r>
    </w:p>
    <w:p w:rsidR="00FC19C9" w:rsidRDefault="00FC19C9" w:rsidP="00FC19C9">
      <w:pPr>
        <w:spacing w:line="360" w:lineRule="auto"/>
        <w:ind w:right="1340"/>
        <w:jc w:val="both"/>
        <w:rPr>
          <w:rFonts w:ascii="Verdana" w:eastAsia="Arial" w:hAnsi="Verdana"/>
        </w:rPr>
      </w:pPr>
      <w:r>
        <w:rPr>
          <w:rFonts w:ascii="Verdana" w:eastAsia="Arial" w:hAnsi="Verdana"/>
        </w:rPr>
        <w:t xml:space="preserve">The above slide discusses other key considerations out of the cost to communicate programme which are pertinent to the reduction of the cost to communicate in the ICT industry.  </w:t>
      </w:r>
    </w:p>
    <w:p w:rsidR="00FC19C9" w:rsidRPr="002158BD" w:rsidRDefault="00FC19C9" w:rsidP="00FC19C9">
      <w:pPr>
        <w:spacing w:line="360" w:lineRule="auto"/>
        <w:jc w:val="both"/>
        <w:rPr>
          <w:rFonts w:ascii="Verdana" w:eastAsia="Times New Roman" w:hAnsi="Verdana"/>
          <w:b/>
        </w:rPr>
      </w:pPr>
      <w:r w:rsidRPr="002158BD">
        <w:rPr>
          <w:rFonts w:ascii="Verdana" w:eastAsia="Times New Roman" w:hAnsi="Verdana"/>
          <w:b/>
        </w:rPr>
        <w:t>CONCLUSION &amp; WAY FORWARD</w:t>
      </w:r>
    </w:p>
    <w:p w:rsidR="00FC19C9" w:rsidRPr="002158BD" w:rsidRDefault="00FC19C9" w:rsidP="00FC19C9">
      <w:pPr>
        <w:spacing w:line="360" w:lineRule="auto"/>
        <w:ind w:right="1263"/>
        <w:jc w:val="both"/>
        <w:rPr>
          <w:rFonts w:ascii="Verdana" w:eastAsia="Arial" w:hAnsi="Verdana"/>
        </w:rPr>
      </w:pPr>
      <w:r w:rsidRPr="002158BD">
        <w:rPr>
          <w:rFonts w:ascii="Verdana" w:eastAsia="Arial" w:hAnsi="Verdana"/>
        </w:rPr>
        <w:t xml:space="preserve">The above slide is a recap of the entire presentation and highlights the key issues on cost to communicate. Of importance to note is that the Competition Commission of South Africa (CCSA) has been tasked to conduct an inquiry into the high data costs in South Africa. </w:t>
      </w:r>
    </w:p>
    <w:p w:rsidR="00FC19C9" w:rsidRPr="002158BD" w:rsidRDefault="00FC19C9" w:rsidP="00FC19C9">
      <w:pPr>
        <w:spacing w:line="360" w:lineRule="auto"/>
        <w:ind w:right="1263"/>
        <w:jc w:val="both"/>
        <w:rPr>
          <w:rFonts w:ascii="Verdana" w:eastAsia="Arial" w:hAnsi="Verdana"/>
        </w:rPr>
      </w:pPr>
      <w:r w:rsidRPr="002158BD">
        <w:rPr>
          <w:rFonts w:ascii="Verdana" w:eastAsia="Arial" w:hAnsi="Verdana"/>
        </w:rPr>
        <w:t xml:space="preserve">ICASA welcomes the announcement CCSA’s inquiry which will complement its efforts outlined above to reduce cost to communicate. </w:t>
      </w:r>
    </w:p>
    <w:p w:rsidR="00FC19C9" w:rsidRPr="005E3911" w:rsidRDefault="00FC19C9" w:rsidP="00FC19C9">
      <w:pPr>
        <w:spacing w:line="360" w:lineRule="auto"/>
        <w:ind w:right="1260"/>
        <w:jc w:val="both"/>
        <w:rPr>
          <w:rFonts w:ascii="Verdana" w:eastAsia="Arial" w:hAnsi="Verdana"/>
        </w:rPr>
        <w:sectPr w:rsidR="00FC19C9" w:rsidRPr="005E3911">
          <w:headerReference w:type="default" r:id="rId7"/>
          <w:footerReference w:type="default" r:id="rId8"/>
          <w:pgSz w:w="11900" w:h="16838"/>
          <w:pgMar w:top="1440" w:right="266" w:bottom="0" w:left="1440" w:header="0" w:footer="0" w:gutter="0"/>
          <w:cols w:space="0" w:equalWidth="0">
            <w:col w:w="10200"/>
          </w:cols>
          <w:docGrid w:linePitch="360"/>
        </w:sectPr>
      </w:pPr>
    </w:p>
    <w:p w:rsidR="00FC19C9" w:rsidRPr="006B118A" w:rsidRDefault="00FC19C9" w:rsidP="00FC19C9">
      <w:pPr>
        <w:spacing w:line="360" w:lineRule="auto"/>
        <w:ind w:right="696"/>
        <w:jc w:val="both"/>
        <w:rPr>
          <w:rFonts w:ascii="Verdana" w:eastAsia="Times New Roman" w:hAnsi="Verdana"/>
        </w:rPr>
      </w:pPr>
    </w:p>
    <w:p w:rsidR="00FC19C9" w:rsidRDefault="00FC19C9">
      <w:pPr>
        <w:rPr>
          <w:rFonts w:ascii="Verdana" w:hAnsi="Verdana"/>
          <w:b/>
          <w:lang w:val="en-GB"/>
        </w:rPr>
      </w:pPr>
    </w:p>
    <w:p w:rsidR="00FC19C9" w:rsidRPr="00FC19C9" w:rsidRDefault="00FC19C9" w:rsidP="0017120D">
      <w:pPr>
        <w:spacing w:line="360" w:lineRule="auto"/>
        <w:jc w:val="both"/>
        <w:rPr>
          <w:rFonts w:ascii="Verdana" w:hAnsi="Verdana"/>
          <w:b/>
          <w:sz w:val="44"/>
          <w:szCs w:val="44"/>
          <w:lang w:val="en-GB"/>
        </w:rPr>
      </w:pPr>
      <w:r w:rsidRPr="00FC19C9">
        <w:rPr>
          <w:rFonts w:ascii="Verdana" w:hAnsi="Verdana"/>
          <w:b/>
          <w:sz w:val="44"/>
          <w:szCs w:val="44"/>
          <w:lang w:val="en-GB"/>
        </w:rPr>
        <w:t xml:space="preserve">PART B – ECS / ECNS COMPLIANCE </w:t>
      </w:r>
    </w:p>
    <w:p w:rsidR="00F77FB1" w:rsidRPr="008627C0" w:rsidRDefault="00745BAA" w:rsidP="0017120D">
      <w:pPr>
        <w:spacing w:line="360" w:lineRule="auto"/>
        <w:jc w:val="both"/>
        <w:rPr>
          <w:rFonts w:ascii="Verdana" w:hAnsi="Verdana"/>
          <w:b/>
          <w:lang w:val="en-GB"/>
        </w:rPr>
      </w:pPr>
      <w:r w:rsidRPr="008627C0">
        <w:rPr>
          <w:rFonts w:ascii="Verdana" w:hAnsi="Verdana"/>
          <w:b/>
          <w:lang w:val="en-GB"/>
        </w:rPr>
        <w:t>Electronic Communications Network Services (ECNS) and Electronic Communications Services (ECS) Compliance</w:t>
      </w:r>
    </w:p>
    <w:p w:rsidR="00745BAA" w:rsidRPr="008627C0" w:rsidRDefault="00745BAA" w:rsidP="0017120D">
      <w:pPr>
        <w:pStyle w:val="ListParagraph"/>
        <w:numPr>
          <w:ilvl w:val="0"/>
          <w:numId w:val="1"/>
        </w:numPr>
        <w:spacing w:line="360" w:lineRule="auto"/>
        <w:jc w:val="both"/>
        <w:rPr>
          <w:rFonts w:ascii="Verdana" w:hAnsi="Verdana"/>
          <w:b/>
          <w:lang w:val="en-GB"/>
        </w:rPr>
      </w:pPr>
      <w:r w:rsidRPr="008627C0">
        <w:rPr>
          <w:rFonts w:ascii="Verdana" w:hAnsi="Verdana"/>
          <w:b/>
          <w:lang w:val="en-GB"/>
        </w:rPr>
        <w:t>Legislative &amp; Regulatory Mandate</w:t>
      </w:r>
    </w:p>
    <w:p w:rsidR="00745BAA" w:rsidRPr="008627C0" w:rsidRDefault="00745BAA" w:rsidP="0017120D">
      <w:pPr>
        <w:spacing w:line="360" w:lineRule="auto"/>
        <w:jc w:val="both"/>
        <w:rPr>
          <w:rFonts w:ascii="Verdana" w:hAnsi="Verdana"/>
          <w:lang w:val="en-GB"/>
        </w:rPr>
      </w:pPr>
      <w:r w:rsidRPr="008627C0">
        <w:rPr>
          <w:rFonts w:ascii="Verdana" w:hAnsi="Verdana"/>
          <w:lang w:val="en-GB"/>
        </w:rPr>
        <w:t>The Authority’s mandate includes compliance monitoring and enforcement of the following legal instruments:</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The Independent Communications Authority of South Africa Act 13 of 2000 (ICASA Act);</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Electronic Communications Act 36 of 2005 (ECA);</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Broadcasting Act 4 of 1999;</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 xml:space="preserve">Postal Services Act 124 1998; </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 xml:space="preserve">Licence Terms and Conditions; and </w:t>
      </w:r>
    </w:p>
    <w:p w:rsidR="001C592D" w:rsidRPr="008627C0" w:rsidRDefault="00492E92" w:rsidP="0017120D">
      <w:pPr>
        <w:pStyle w:val="ListParagraph"/>
        <w:numPr>
          <w:ilvl w:val="0"/>
          <w:numId w:val="3"/>
        </w:numPr>
        <w:spacing w:line="360" w:lineRule="auto"/>
        <w:jc w:val="both"/>
        <w:rPr>
          <w:rFonts w:ascii="Verdana" w:hAnsi="Verdana"/>
          <w:lang w:val="en-GB"/>
        </w:rPr>
      </w:pPr>
      <w:r w:rsidRPr="008627C0">
        <w:rPr>
          <w:rFonts w:ascii="Verdana" w:hAnsi="Verdana"/>
          <w:lang w:val="en-GB"/>
        </w:rPr>
        <w:t>Relevant Regulations.</w:t>
      </w:r>
    </w:p>
    <w:p w:rsidR="00745BAA" w:rsidRPr="008627C0" w:rsidRDefault="00745BAA" w:rsidP="0017120D">
      <w:pPr>
        <w:spacing w:line="360" w:lineRule="auto"/>
        <w:jc w:val="both"/>
        <w:rPr>
          <w:rFonts w:ascii="Verdana" w:hAnsi="Verdana"/>
          <w:lang w:val="en-GB"/>
        </w:rPr>
      </w:pPr>
      <w:r w:rsidRPr="008627C0">
        <w:rPr>
          <w:rFonts w:ascii="Verdana" w:hAnsi="Verdana"/>
          <w:lang w:val="en-GB"/>
        </w:rPr>
        <w:t xml:space="preserve">Section </w:t>
      </w:r>
      <w:r w:rsidR="00785139" w:rsidRPr="008627C0">
        <w:rPr>
          <w:rFonts w:ascii="Verdana" w:hAnsi="Verdana"/>
          <w:lang w:val="en-GB"/>
        </w:rPr>
        <w:t xml:space="preserve">4(3)(b) of the ICASA Act specifically requires ICASA to monitor the electronic communications sector and ensure compliance with the Act and the underlying statutes. </w:t>
      </w:r>
    </w:p>
    <w:p w:rsidR="00785139" w:rsidRPr="008627C0" w:rsidRDefault="00785139" w:rsidP="0017120D">
      <w:pPr>
        <w:spacing w:line="360" w:lineRule="auto"/>
        <w:jc w:val="both"/>
        <w:rPr>
          <w:rFonts w:ascii="Verdana" w:hAnsi="Verdana"/>
          <w:lang w:val="en-GB"/>
        </w:rPr>
      </w:pPr>
      <w:r w:rsidRPr="008627C0">
        <w:rPr>
          <w:rFonts w:ascii="Verdana" w:hAnsi="Verdana"/>
          <w:lang w:val="en-GB"/>
        </w:rPr>
        <w:t>Compliance is monitored retrospectively, that is, during the 2017/2018 financial year the Compliance Department will monitor and report on compliance for the 2015/2016 financial year.</w:t>
      </w:r>
      <w:r w:rsidR="0017120D" w:rsidRPr="008627C0">
        <w:rPr>
          <w:rFonts w:ascii="Verdana" w:hAnsi="Verdana"/>
          <w:lang w:val="en-GB"/>
        </w:rPr>
        <w:t xml:space="preserve"> </w:t>
      </w:r>
      <w:r w:rsidR="0017120D" w:rsidRPr="008627C0">
        <w:rPr>
          <w:rFonts w:ascii="Verdana" w:hAnsi="Verdana"/>
          <w:highlight w:val="yellow"/>
          <w:lang w:val="en-GB"/>
        </w:rPr>
        <w:t>All fees collected by ICASA are paid over to the National Revenue Fund.</w:t>
      </w:r>
      <w:r w:rsidR="0017120D" w:rsidRPr="008627C0">
        <w:rPr>
          <w:rFonts w:ascii="Verdana" w:hAnsi="Verdana"/>
          <w:lang w:val="en-GB"/>
        </w:rPr>
        <w:t xml:space="preserve"> </w:t>
      </w:r>
    </w:p>
    <w:p w:rsidR="00785139" w:rsidRPr="008627C0" w:rsidRDefault="00785139" w:rsidP="0017120D">
      <w:pPr>
        <w:pStyle w:val="ListParagraph"/>
        <w:numPr>
          <w:ilvl w:val="0"/>
          <w:numId w:val="1"/>
        </w:numPr>
        <w:spacing w:line="360" w:lineRule="auto"/>
        <w:jc w:val="both"/>
        <w:rPr>
          <w:rFonts w:ascii="Verdana" w:hAnsi="Verdana"/>
          <w:b/>
          <w:lang w:val="en-GB"/>
        </w:rPr>
      </w:pPr>
      <w:r w:rsidRPr="008627C0">
        <w:rPr>
          <w:rFonts w:ascii="Verdana" w:hAnsi="Verdana"/>
          <w:b/>
          <w:lang w:val="en-GB"/>
        </w:rPr>
        <w:t>Compliance Monitoring: General Licence Fees</w:t>
      </w:r>
      <w:r w:rsidR="00E0750D" w:rsidRPr="008627C0">
        <w:rPr>
          <w:rFonts w:ascii="Verdana" w:hAnsi="Verdana"/>
          <w:b/>
          <w:lang w:val="en-GB"/>
        </w:rPr>
        <w:t xml:space="preserve"> (GLF)</w:t>
      </w:r>
    </w:p>
    <w:p w:rsidR="00785139" w:rsidRPr="008627C0" w:rsidRDefault="00E0750D" w:rsidP="0017120D">
      <w:pPr>
        <w:spacing w:line="360" w:lineRule="auto"/>
        <w:jc w:val="both"/>
        <w:rPr>
          <w:rFonts w:ascii="Verdana" w:hAnsi="Verdana"/>
          <w:lang w:val="en-GB"/>
        </w:rPr>
      </w:pPr>
      <w:r w:rsidRPr="008627C0">
        <w:rPr>
          <w:rFonts w:ascii="Verdana" w:hAnsi="Verdana"/>
          <w:lang w:val="en-GB"/>
        </w:rPr>
        <w:t>In terms of the G</w:t>
      </w:r>
      <w:r w:rsidR="00785139" w:rsidRPr="008627C0">
        <w:rPr>
          <w:rFonts w:ascii="Verdana" w:hAnsi="Verdana"/>
          <w:lang w:val="en-GB"/>
        </w:rPr>
        <w:t>eneral Licence Fee Regulations</w:t>
      </w:r>
      <w:r w:rsidR="00D4002A" w:rsidRPr="008627C0">
        <w:rPr>
          <w:rFonts w:ascii="Verdana" w:hAnsi="Verdana"/>
          <w:lang w:val="en-GB"/>
        </w:rPr>
        <w:t>, 2012 all</w:t>
      </w:r>
      <w:r w:rsidR="00785139" w:rsidRPr="008627C0">
        <w:rPr>
          <w:rFonts w:ascii="Verdana" w:hAnsi="Verdana"/>
          <w:lang w:val="en-GB"/>
        </w:rPr>
        <w:t xml:space="preserve"> </w:t>
      </w:r>
      <w:r w:rsidR="00D4002A" w:rsidRPr="008627C0">
        <w:rPr>
          <w:rFonts w:ascii="Verdana" w:hAnsi="Verdana"/>
          <w:lang w:val="en-GB"/>
        </w:rPr>
        <w:t xml:space="preserve">ECS and </w:t>
      </w:r>
      <w:r w:rsidR="00785139" w:rsidRPr="008627C0">
        <w:rPr>
          <w:rFonts w:ascii="Verdana" w:hAnsi="Verdana"/>
          <w:lang w:val="en-GB"/>
        </w:rPr>
        <w:t>ECNS licensees are obliged to make an annual contribution</w:t>
      </w:r>
      <w:r w:rsidRPr="008627C0">
        <w:rPr>
          <w:rFonts w:ascii="Verdana" w:hAnsi="Verdana"/>
          <w:lang w:val="en-GB"/>
        </w:rPr>
        <w:t xml:space="preserve"> </w:t>
      </w:r>
      <w:r w:rsidR="00785139" w:rsidRPr="008627C0">
        <w:rPr>
          <w:rFonts w:ascii="Verdana" w:hAnsi="Verdana"/>
          <w:lang w:val="en-GB"/>
        </w:rPr>
        <w:t xml:space="preserve">of between 0.15% – 0.35% of revenue calculated </w:t>
      </w:r>
      <w:r w:rsidRPr="008627C0">
        <w:rPr>
          <w:rFonts w:ascii="Verdana" w:hAnsi="Verdana"/>
          <w:lang w:val="en-GB"/>
        </w:rPr>
        <w:t>using</w:t>
      </w:r>
      <w:r w:rsidR="00785139" w:rsidRPr="008627C0">
        <w:rPr>
          <w:rFonts w:ascii="Verdana" w:hAnsi="Verdana"/>
          <w:lang w:val="en-GB"/>
        </w:rPr>
        <w:t xml:space="preserve"> a formula (with a sliding scale) that takes into account the amount </w:t>
      </w:r>
      <w:r w:rsidR="00785139" w:rsidRPr="008627C0">
        <w:rPr>
          <w:rFonts w:ascii="Verdana" w:hAnsi="Verdana"/>
          <w:lang w:val="en-GB"/>
        </w:rPr>
        <w:lastRenderedPageBreak/>
        <w:t>of revenue generated</w:t>
      </w:r>
      <w:r w:rsidRPr="008627C0">
        <w:rPr>
          <w:rFonts w:ascii="Verdana" w:hAnsi="Verdana"/>
          <w:lang w:val="en-GB"/>
        </w:rPr>
        <w:t xml:space="preserve">. The GLF is payable </w:t>
      </w:r>
      <w:r w:rsidR="00785139" w:rsidRPr="008627C0">
        <w:rPr>
          <w:rFonts w:ascii="Verdana" w:hAnsi="Verdana"/>
          <w:lang w:val="en-GB"/>
        </w:rPr>
        <w:t xml:space="preserve">within six months of end of </w:t>
      </w:r>
      <w:r w:rsidRPr="008627C0">
        <w:rPr>
          <w:rFonts w:ascii="Verdana" w:hAnsi="Verdana"/>
          <w:lang w:val="en-GB"/>
        </w:rPr>
        <w:t xml:space="preserve">the licensee’s </w:t>
      </w:r>
      <w:r w:rsidR="00785139" w:rsidRPr="008627C0">
        <w:rPr>
          <w:rFonts w:ascii="Verdana" w:hAnsi="Verdana"/>
          <w:lang w:val="en-GB"/>
        </w:rPr>
        <w:t>financial year.</w:t>
      </w:r>
    </w:p>
    <w:p w:rsidR="001C592D" w:rsidRPr="008627C0" w:rsidRDefault="00653C60" w:rsidP="0017120D">
      <w:pPr>
        <w:spacing w:line="360" w:lineRule="auto"/>
        <w:jc w:val="both"/>
        <w:rPr>
          <w:rFonts w:ascii="Verdana" w:hAnsi="Verdana"/>
          <w:lang w:val="en-GB"/>
        </w:rPr>
      </w:pPr>
      <w:r w:rsidRPr="008627C0">
        <w:rPr>
          <w:rFonts w:ascii="Verdana" w:hAnsi="Verdana"/>
          <w:lang w:val="en-GB"/>
        </w:rPr>
        <w:t xml:space="preserve">ICASA collected a total of </w:t>
      </w:r>
      <w:r w:rsidR="00492E92" w:rsidRPr="008627C0">
        <w:rPr>
          <w:rFonts w:ascii="Verdana" w:hAnsi="Verdana"/>
          <w:lang w:val="en-GB"/>
        </w:rPr>
        <w:t>R 624 m</w:t>
      </w:r>
      <w:r w:rsidRPr="008627C0">
        <w:rPr>
          <w:rFonts w:ascii="Verdana" w:hAnsi="Verdana"/>
          <w:lang w:val="en-GB"/>
        </w:rPr>
        <w:t>illion GLF from all ECS/ECNS licensees</w:t>
      </w:r>
      <w:r w:rsidR="00492E92" w:rsidRPr="008627C0">
        <w:rPr>
          <w:rFonts w:ascii="Verdana" w:hAnsi="Verdana"/>
          <w:lang w:val="en-GB"/>
        </w:rPr>
        <w:t xml:space="preserve"> </w:t>
      </w:r>
      <w:r w:rsidRPr="008627C0">
        <w:rPr>
          <w:rFonts w:ascii="Verdana" w:hAnsi="Verdana"/>
          <w:lang w:val="en-GB"/>
        </w:rPr>
        <w:t xml:space="preserve">for the </w:t>
      </w:r>
      <w:r w:rsidR="00492E92" w:rsidRPr="008627C0">
        <w:rPr>
          <w:rFonts w:ascii="Verdana" w:hAnsi="Verdana"/>
          <w:lang w:val="en-GB"/>
        </w:rPr>
        <w:t>2015/2016</w:t>
      </w:r>
      <w:r w:rsidRPr="008627C0">
        <w:rPr>
          <w:rFonts w:ascii="Verdana" w:hAnsi="Verdana"/>
          <w:lang w:val="en-GB"/>
        </w:rPr>
        <w:t xml:space="preserve"> financial year. The mobile operators (Cell C, MTN, Telkom, Vodacom and WBS) all complied with the requirement to pay GLF’s.</w:t>
      </w:r>
    </w:p>
    <w:p w:rsidR="00D8016A" w:rsidRPr="008627C0" w:rsidRDefault="00D8016A" w:rsidP="0017120D">
      <w:pPr>
        <w:spacing w:line="360" w:lineRule="auto"/>
        <w:jc w:val="both"/>
        <w:rPr>
          <w:rFonts w:ascii="Verdana" w:hAnsi="Verdana"/>
          <w:lang w:val="en-GB"/>
        </w:rPr>
      </w:pPr>
    </w:p>
    <w:p w:rsidR="00504C26" w:rsidRPr="008627C0" w:rsidRDefault="00504C26" w:rsidP="0017120D">
      <w:pPr>
        <w:pStyle w:val="ListParagraph"/>
        <w:numPr>
          <w:ilvl w:val="0"/>
          <w:numId w:val="1"/>
        </w:numPr>
        <w:spacing w:line="360" w:lineRule="auto"/>
        <w:jc w:val="both"/>
        <w:rPr>
          <w:rFonts w:ascii="Verdana" w:hAnsi="Verdana"/>
          <w:b/>
          <w:lang w:val="en-GB"/>
        </w:rPr>
      </w:pPr>
      <w:r w:rsidRPr="008627C0">
        <w:rPr>
          <w:rFonts w:ascii="Verdana" w:hAnsi="Verdana"/>
          <w:b/>
          <w:lang w:val="en-GB"/>
        </w:rPr>
        <w:t>Compliance Monitoring: Spectrum Fees</w:t>
      </w:r>
    </w:p>
    <w:p w:rsidR="00931FE4" w:rsidRPr="008627C0" w:rsidRDefault="00931FE4" w:rsidP="0017120D">
      <w:pPr>
        <w:spacing w:line="360" w:lineRule="auto"/>
        <w:jc w:val="both"/>
        <w:rPr>
          <w:rFonts w:ascii="Verdana" w:hAnsi="Verdana"/>
          <w:lang w:val="en-GB"/>
        </w:rPr>
      </w:pPr>
      <w:r w:rsidRPr="008627C0">
        <w:rPr>
          <w:rFonts w:ascii="Verdana" w:hAnsi="Verdana"/>
          <w:lang w:val="en-GB"/>
        </w:rPr>
        <w:t xml:space="preserve">In terms of the </w:t>
      </w:r>
      <w:r w:rsidRPr="008627C0">
        <w:rPr>
          <w:rFonts w:ascii="Verdana" w:hAnsi="Verdana"/>
          <w:bCs/>
          <w:lang w:val="en-GB"/>
        </w:rPr>
        <w:t>Radio Frequency Spectrum Fees Regulations, 2005 a</w:t>
      </w:r>
      <w:r w:rsidRPr="008627C0">
        <w:rPr>
          <w:rFonts w:ascii="Verdana" w:hAnsi="Verdana"/>
          <w:lang w:val="en-GB"/>
        </w:rPr>
        <w:t>ll ECNS licensees that have been allocated and assigned radio frequency spectrum are obliged to pay annual Spectrum Fees in furtherance of the objective of efficient spectrum regulation.</w:t>
      </w:r>
    </w:p>
    <w:p w:rsidR="00D4002A" w:rsidRPr="008627C0" w:rsidRDefault="00D4002A" w:rsidP="0017120D">
      <w:pPr>
        <w:spacing w:line="360" w:lineRule="auto"/>
        <w:jc w:val="both"/>
        <w:rPr>
          <w:rFonts w:ascii="Verdana" w:hAnsi="Verdana"/>
          <w:lang w:val="en-GB"/>
        </w:rPr>
      </w:pPr>
      <w:r w:rsidRPr="008627C0">
        <w:rPr>
          <w:rFonts w:ascii="Verdana" w:hAnsi="Verdana"/>
          <w:lang w:val="en-GB"/>
        </w:rPr>
        <w:t xml:space="preserve">The Spectrum fees collected for the 2015/2016 financial year amounts to R464 million. The mobile operators comply with this annual obligation. </w:t>
      </w:r>
    </w:p>
    <w:p w:rsidR="00D6191B" w:rsidRPr="008627C0" w:rsidRDefault="00D6191B" w:rsidP="0017120D">
      <w:pPr>
        <w:pStyle w:val="ListParagraph"/>
        <w:numPr>
          <w:ilvl w:val="0"/>
          <w:numId w:val="1"/>
        </w:numPr>
        <w:spacing w:line="360" w:lineRule="auto"/>
        <w:jc w:val="both"/>
        <w:rPr>
          <w:rFonts w:ascii="Verdana" w:hAnsi="Verdana"/>
          <w:b/>
          <w:lang w:val="en-GB"/>
        </w:rPr>
      </w:pPr>
      <w:r w:rsidRPr="008627C0">
        <w:rPr>
          <w:rFonts w:ascii="Verdana" w:hAnsi="Verdana"/>
          <w:b/>
          <w:lang w:val="en-GB"/>
        </w:rPr>
        <w:t>Compliance Monitoring: Universal Service and Access Fund</w:t>
      </w:r>
      <w:r w:rsidR="002B027C" w:rsidRPr="008627C0">
        <w:rPr>
          <w:rFonts w:ascii="Verdana" w:hAnsi="Verdana"/>
          <w:b/>
          <w:lang w:val="en-GB"/>
        </w:rPr>
        <w:t xml:space="preserve"> (USAF)</w:t>
      </w:r>
    </w:p>
    <w:p w:rsidR="002B027C" w:rsidRPr="008627C0" w:rsidRDefault="002B027C" w:rsidP="0017120D">
      <w:pPr>
        <w:spacing w:line="360" w:lineRule="auto"/>
        <w:jc w:val="both"/>
        <w:rPr>
          <w:rFonts w:ascii="Verdana" w:hAnsi="Verdana"/>
          <w:lang w:val="en-GB"/>
        </w:rPr>
      </w:pPr>
      <w:r w:rsidRPr="008627C0">
        <w:rPr>
          <w:rFonts w:ascii="Verdana" w:hAnsi="Verdana"/>
          <w:lang w:val="en-GB"/>
        </w:rPr>
        <w:t xml:space="preserve">In terms of the Universal service and Access Fund Regulations, 2009 ECS and ECNS licensees are obliged to contribute 0.2% of their annual turnover into the USAF. USAF fees must be paid within six months of the licensee’s financial year end. </w:t>
      </w:r>
    </w:p>
    <w:p w:rsidR="001C592D" w:rsidRPr="008627C0" w:rsidRDefault="0017120D" w:rsidP="0017120D">
      <w:pPr>
        <w:spacing w:line="360" w:lineRule="auto"/>
        <w:jc w:val="both"/>
        <w:rPr>
          <w:rFonts w:ascii="Verdana" w:hAnsi="Verdana"/>
          <w:lang w:val="en-GB"/>
        </w:rPr>
      </w:pPr>
      <w:r w:rsidRPr="008627C0">
        <w:rPr>
          <w:rFonts w:ascii="Verdana" w:hAnsi="Verdana"/>
          <w:lang w:val="en-GB"/>
        </w:rPr>
        <w:t xml:space="preserve">ICASA collected </w:t>
      </w:r>
      <w:r w:rsidRPr="008627C0">
        <w:rPr>
          <w:rFonts w:ascii="Verdana" w:hAnsi="Verdana"/>
          <w:bCs/>
          <w:lang w:val="en-GB"/>
        </w:rPr>
        <w:t xml:space="preserve">R </w:t>
      </w:r>
      <w:r w:rsidR="00492E92" w:rsidRPr="008627C0">
        <w:rPr>
          <w:rFonts w:ascii="Verdana" w:hAnsi="Verdana"/>
          <w:bCs/>
          <w:lang w:val="en-GB"/>
        </w:rPr>
        <w:t>181 m</w:t>
      </w:r>
      <w:r w:rsidRPr="008627C0">
        <w:rPr>
          <w:rFonts w:ascii="Verdana" w:hAnsi="Verdana"/>
          <w:bCs/>
          <w:lang w:val="en-GB"/>
        </w:rPr>
        <w:t xml:space="preserve">illion for the USAF during the 2015/2016 financial year. The mobile operators </w:t>
      </w:r>
      <w:r w:rsidR="00F464C8" w:rsidRPr="008627C0">
        <w:rPr>
          <w:rFonts w:ascii="Verdana" w:hAnsi="Verdana"/>
          <w:bCs/>
          <w:lang w:val="en-GB"/>
        </w:rPr>
        <w:t>comply with this obligation.</w:t>
      </w:r>
    </w:p>
    <w:p w:rsidR="00C14377" w:rsidRPr="008627C0" w:rsidRDefault="00C14377" w:rsidP="00C14377">
      <w:pPr>
        <w:pStyle w:val="ListParagraph"/>
        <w:numPr>
          <w:ilvl w:val="0"/>
          <w:numId w:val="1"/>
        </w:numPr>
        <w:spacing w:line="360" w:lineRule="auto"/>
        <w:jc w:val="both"/>
        <w:rPr>
          <w:rFonts w:ascii="Verdana" w:hAnsi="Verdana"/>
          <w:b/>
          <w:lang w:val="en-GB"/>
        </w:rPr>
      </w:pPr>
      <w:r w:rsidRPr="008627C0">
        <w:rPr>
          <w:rFonts w:ascii="Verdana" w:hAnsi="Verdana"/>
          <w:b/>
          <w:lang w:val="en-GB"/>
        </w:rPr>
        <w:t>Compliance Monitoring: Universal Service Obligations (USO)</w:t>
      </w:r>
    </w:p>
    <w:p w:rsidR="001C592D" w:rsidRPr="008627C0" w:rsidRDefault="000756A8" w:rsidP="000756A8">
      <w:pPr>
        <w:spacing w:line="360" w:lineRule="auto"/>
        <w:jc w:val="both"/>
        <w:rPr>
          <w:rFonts w:ascii="Verdana" w:hAnsi="Verdana"/>
          <w:lang w:val="en-GB"/>
        </w:rPr>
      </w:pPr>
      <w:r w:rsidRPr="008627C0">
        <w:rPr>
          <w:rFonts w:ascii="Verdana" w:hAnsi="Verdana"/>
          <w:lang w:val="en-GB"/>
        </w:rPr>
        <w:t>Currently four</w:t>
      </w:r>
      <w:r w:rsidR="00492E92" w:rsidRPr="008627C0">
        <w:rPr>
          <w:rFonts w:ascii="Verdana" w:hAnsi="Verdana"/>
          <w:lang w:val="en-GB"/>
        </w:rPr>
        <w:t xml:space="preserve"> licensees (Cell C, MTN, Neotel </w:t>
      </w:r>
      <w:r w:rsidRPr="008627C0">
        <w:rPr>
          <w:rFonts w:ascii="Verdana" w:hAnsi="Verdana"/>
          <w:lang w:val="en-GB"/>
        </w:rPr>
        <w:t>and</w:t>
      </w:r>
      <w:r w:rsidR="00492E92" w:rsidRPr="008627C0">
        <w:rPr>
          <w:rFonts w:ascii="Verdana" w:hAnsi="Verdana"/>
          <w:lang w:val="en-GB"/>
        </w:rPr>
        <w:t xml:space="preserve"> Vodacom) are obliged to roll out infrastructure to selected Historically Disadvantaged schools and Special schools. </w:t>
      </w:r>
      <w:r w:rsidRPr="008627C0">
        <w:rPr>
          <w:rFonts w:ascii="Verdana" w:hAnsi="Verdana"/>
          <w:lang w:val="en-GB"/>
        </w:rPr>
        <w:t xml:space="preserve">The obligation includes the provision of connectivity, the supply and installation of equipment and the provision of data at e-rate. </w:t>
      </w:r>
    </w:p>
    <w:p w:rsidR="001C592D" w:rsidRPr="008627C0" w:rsidRDefault="000756A8" w:rsidP="000756A8">
      <w:pPr>
        <w:spacing w:line="360" w:lineRule="auto"/>
        <w:jc w:val="both"/>
        <w:rPr>
          <w:rFonts w:ascii="Verdana" w:hAnsi="Verdana"/>
          <w:lang w:val="en-GB"/>
        </w:rPr>
      </w:pPr>
      <w:r w:rsidRPr="008627C0">
        <w:rPr>
          <w:rFonts w:ascii="Verdana" w:hAnsi="Verdana"/>
          <w:lang w:val="en-GB"/>
        </w:rPr>
        <w:t xml:space="preserve">Cell C, MTN and Vodacom are each obliged to connect 1 500 schools and Neotel 500 schools over a five-year period which commenced in April 2014. Cell C, MTN and Vodacom therefore each have to connect </w:t>
      </w:r>
      <w:r w:rsidR="00492E92" w:rsidRPr="008627C0">
        <w:rPr>
          <w:rFonts w:ascii="Verdana" w:hAnsi="Verdana"/>
          <w:lang w:val="en-GB"/>
        </w:rPr>
        <w:t xml:space="preserve">300 </w:t>
      </w:r>
      <w:r w:rsidRPr="008627C0">
        <w:rPr>
          <w:rFonts w:ascii="Verdana" w:hAnsi="Verdana"/>
          <w:lang w:val="en-GB"/>
        </w:rPr>
        <w:t xml:space="preserve">schools and Neotel 100 per annum. </w:t>
      </w:r>
    </w:p>
    <w:p w:rsidR="001C592D" w:rsidRPr="008627C0" w:rsidRDefault="0029108F" w:rsidP="000756A8">
      <w:pPr>
        <w:spacing w:line="360" w:lineRule="auto"/>
        <w:jc w:val="both"/>
        <w:rPr>
          <w:rFonts w:ascii="Verdana" w:hAnsi="Verdana"/>
          <w:lang w:val="en-GB"/>
        </w:rPr>
      </w:pPr>
      <w:r w:rsidRPr="008627C0">
        <w:rPr>
          <w:rFonts w:ascii="Verdana" w:hAnsi="Verdana"/>
          <w:lang w:val="en-GB"/>
        </w:rPr>
        <w:lastRenderedPageBreak/>
        <w:t xml:space="preserve">The obligation requires that a total of 3 000 schools should have been connected by April 2017. The operators however managed to connect </w:t>
      </w:r>
      <w:r w:rsidR="00492E92" w:rsidRPr="008627C0">
        <w:rPr>
          <w:rFonts w:ascii="Verdana" w:hAnsi="Verdana"/>
          <w:lang w:val="en-GB"/>
        </w:rPr>
        <w:t xml:space="preserve">3 427 </w:t>
      </w:r>
      <w:r w:rsidRPr="008627C0">
        <w:rPr>
          <w:rFonts w:ascii="Verdana" w:hAnsi="Verdana"/>
          <w:lang w:val="en-GB"/>
        </w:rPr>
        <w:t xml:space="preserve">schools by April 2017. MTN (with 1 182 schools connected), Vodacom (with 1 131 schools connected) and Neotel (with 333 schools connected) are ahead of their April 2017 obligations, while Cell C (with </w:t>
      </w:r>
      <w:r w:rsidR="00A179E9" w:rsidRPr="008627C0">
        <w:rPr>
          <w:rFonts w:ascii="Verdana" w:hAnsi="Verdana"/>
          <w:lang w:val="en-GB"/>
        </w:rPr>
        <w:t xml:space="preserve">781 schools connected) </w:t>
      </w:r>
      <w:r w:rsidRPr="008627C0">
        <w:rPr>
          <w:rFonts w:ascii="Verdana" w:hAnsi="Verdana"/>
          <w:lang w:val="en-GB"/>
        </w:rPr>
        <w:t xml:space="preserve">lags behind their obligation. </w:t>
      </w:r>
      <w:r w:rsidR="0029352F" w:rsidRPr="008627C0">
        <w:rPr>
          <w:rFonts w:ascii="Verdana" w:hAnsi="Verdana"/>
          <w:lang w:val="en-GB"/>
        </w:rPr>
        <w:t>The below graph shows the number of schools connected by the operators per province.</w:t>
      </w:r>
    </w:p>
    <w:p w:rsidR="0029108F" w:rsidRPr="008627C0" w:rsidRDefault="0029108F" w:rsidP="000756A8">
      <w:pPr>
        <w:spacing w:line="360" w:lineRule="auto"/>
        <w:jc w:val="both"/>
        <w:rPr>
          <w:rFonts w:ascii="Verdana" w:hAnsi="Verdana"/>
          <w:lang w:val="en-GB"/>
        </w:rPr>
      </w:pPr>
    </w:p>
    <w:p w:rsidR="0029108F" w:rsidRPr="008627C0" w:rsidRDefault="0029108F" w:rsidP="000756A8">
      <w:pPr>
        <w:spacing w:line="360" w:lineRule="auto"/>
        <w:jc w:val="both"/>
        <w:rPr>
          <w:rFonts w:ascii="Verdana" w:hAnsi="Verdana"/>
          <w:lang w:val="en-GB"/>
        </w:rPr>
      </w:pPr>
      <w:r w:rsidRPr="008627C0">
        <w:rPr>
          <w:rFonts w:ascii="Verdana" w:hAnsi="Verdana"/>
          <w:noProof/>
          <w:lang w:val="en-ZA" w:eastAsia="en-ZA"/>
        </w:rPr>
        <w:drawing>
          <wp:inline distT="0" distB="0" distL="0" distR="0">
            <wp:extent cx="5943600" cy="2461260"/>
            <wp:effectExtent l="0" t="0" r="0" b="15240"/>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id="{9BA2BDDF-4911-415E-9804-A9B3FFD3A7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592D" w:rsidRPr="008627C0" w:rsidRDefault="00D8016A" w:rsidP="000756A8">
      <w:pPr>
        <w:spacing w:line="360" w:lineRule="auto"/>
        <w:jc w:val="both"/>
        <w:rPr>
          <w:rFonts w:ascii="Verdana" w:hAnsi="Verdana"/>
          <w:lang w:val="en-GB"/>
        </w:rPr>
      </w:pPr>
      <w:r w:rsidRPr="008627C0">
        <w:rPr>
          <w:rFonts w:ascii="Verdana" w:hAnsi="Verdana"/>
          <w:lang w:val="en-GB"/>
        </w:rPr>
        <w:t>The Authority will finalise Universal Service Obligations</w:t>
      </w:r>
      <w:r w:rsidR="00492E92" w:rsidRPr="008627C0">
        <w:rPr>
          <w:rFonts w:ascii="Verdana" w:hAnsi="Verdana"/>
          <w:lang w:val="en-GB"/>
        </w:rPr>
        <w:t xml:space="preserve"> for Sentech, Telkom and WBS during the 2017/2018 financial year</w:t>
      </w:r>
      <w:r w:rsidRPr="008627C0">
        <w:rPr>
          <w:rFonts w:ascii="Verdana" w:hAnsi="Verdana"/>
          <w:lang w:val="en-GB"/>
        </w:rPr>
        <w:t>.</w:t>
      </w:r>
    </w:p>
    <w:p w:rsidR="008627C0" w:rsidRPr="00974A56" w:rsidRDefault="008627C0" w:rsidP="00974A56">
      <w:pPr>
        <w:pStyle w:val="ListParagraph"/>
        <w:numPr>
          <w:ilvl w:val="1"/>
          <w:numId w:val="1"/>
        </w:numPr>
        <w:spacing w:line="360" w:lineRule="auto"/>
        <w:jc w:val="both"/>
        <w:rPr>
          <w:rFonts w:ascii="Verdana" w:hAnsi="Verdana"/>
          <w:b/>
          <w:lang w:val="en-GB"/>
        </w:rPr>
      </w:pPr>
      <w:r w:rsidRPr="00974A56">
        <w:rPr>
          <w:rFonts w:ascii="Verdana" w:hAnsi="Verdana"/>
          <w:b/>
          <w:lang w:val="en-GB"/>
        </w:rPr>
        <w:t>Cell C Review Application</w:t>
      </w:r>
    </w:p>
    <w:p w:rsidR="003C2925" w:rsidRPr="003C2925" w:rsidRDefault="003C2925" w:rsidP="003C2925">
      <w:pPr>
        <w:spacing w:line="360" w:lineRule="auto"/>
        <w:jc w:val="both"/>
        <w:rPr>
          <w:rFonts w:ascii="Verdana" w:hAnsi="Verdana"/>
          <w:lang w:val="en-GB"/>
        </w:rPr>
      </w:pPr>
      <w:r w:rsidRPr="003C2925">
        <w:rPr>
          <w:rFonts w:ascii="Verdana" w:hAnsi="Verdana"/>
          <w:lang w:val="en-GB"/>
        </w:rPr>
        <w:t xml:space="preserve">In February 2016 Cell C submitted an application to the Authority to amend its radio frequency spectrum licences (in the 1800/900 and 2100 MHz bands) by removing its Universal Service Obligations. The Authority rejected Cell’s C application on 29 June 2016. </w:t>
      </w:r>
    </w:p>
    <w:p w:rsidR="003C2925" w:rsidRPr="003C2925" w:rsidRDefault="003C2925" w:rsidP="003C2925">
      <w:pPr>
        <w:spacing w:line="360" w:lineRule="auto"/>
        <w:jc w:val="both"/>
        <w:rPr>
          <w:rFonts w:ascii="Verdana" w:hAnsi="Verdana"/>
          <w:lang w:val="en-GB"/>
        </w:rPr>
      </w:pPr>
      <w:r w:rsidRPr="003C2925">
        <w:rPr>
          <w:rFonts w:ascii="Verdana" w:hAnsi="Verdana"/>
          <w:lang w:val="en-GB"/>
        </w:rPr>
        <w:t xml:space="preserve">On 12 December 2016, Cell C filed a court application to review, set aside and substitute the Authority's decision taken on 29 June 2016 to refuse Cell C's application for an amendment to its radio frequency spectrum licences. The court process is currently at the stage where the parties are exchanging pleadings. </w:t>
      </w:r>
    </w:p>
    <w:p w:rsidR="00974A56" w:rsidRPr="003C2925" w:rsidRDefault="00974A56" w:rsidP="003C2925">
      <w:pPr>
        <w:pStyle w:val="ListParagraph"/>
        <w:numPr>
          <w:ilvl w:val="0"/>
          <w:numId w:val="1"/>
        </w:numPr>
        <w:spacing w:line="360" w:lineRule="auto"/>
        <w:jc w:val="both"/>
        <w:rPr>
          <w:rFonts w:ascii="Verdana" w:hAnsi="Verdana"/>
          <w:b/>
        </w:rPr>
      </w:pPr>
      <w:r w:rsidRPr="003C2925">
        <w:rPr>
          <w:rFonts w:ascii="Verdana" w:hAnsi="Verdana"/>
          <w:b/>
          <w:lang w:val="en-GB"/>
        </w:rPr>
        <w:lastRenderedPageBreak/>
        <w:t xml:space="preserve">Compliance Monitoring: </w:t>
      </w:r>
      <w:r w:rsidRPr="003C2925">
        <w:rPr>
          <w:rFonts w:ascii="Verdana" w:hAnsi="Verdana"/>
          <w:b/>
          <w:bCs/>
        </w:rPr>
        <w:t>End User &amp; Subscriber Service Charter (EUSSC)</w:t>
      </w:r>
    </w:p>
    <w:p w:rsidR="00974A56" w:rsidRDefault="00974A56" w:rsidP="00974A56">
      <w:pPr>
        <w:spacing w:line="360" w:lineRule="auto"/>
        <w:jc w:val="both"/>
        <w:rPr>
          <w:rFonts w:ascii="Verdana" w:hAnsi="Verdana"/>
        </w:rPr>
      </w:pPr>
      <w:r w:rsidRPr="00974A56">
        <w:rPr>
          <w:rFonts w:ascii="Verdana" w:hAnsi="Verdana"/>
        </w:rPr>
        <w:t xml:space="preserve">All ECS/ECNS licensees </w:t>
      </w:r>
      <w:r w:rsidR="000A3F76">
        <w:rPr>
          <w:rFonts w:ascii="Verdana" w:hAnsi="Verdana"/>
        </w:rPr>
        <w:t xml:space="preserve">are </w:t>
      </w:r>
      <w:r w:rsidRPr="00974A56">
        <w:rPr>
          <w:rFonts w:ascii="Verdana" w:hAnsi="Verdana"/>
        </w:rPr>
        <w:t xml:space="preserve">obliged to comply with </w:t>
      </w:r>
      <w:r w:rsidR="007E1F59">
        <w:rPr>
          <w:rFonts w:ascii="Verdana" w:hAnsi="Verdana"/>
        </w:rPr>
        <w:t>inter alia the following</w:t>
      </w:r>
      <w:r w:rsidRPr="00974A56">
        <w:rPr>
          <w:rFonts w:ascii="Verdana" w:hAnsi="Verdana"/>
        </w:rPr>
        <w:t xml:space="preserve"> minimum service standards </w:t>
      </w:r>
      <w:r w:rsidR="00913DF3">
        <w:rPr>
          <w:rFonts w:ascii="Verdana" w:hAnsi="Verdana"/>
        </w:rPr>
        <w:t xml:space="preserve">in the provision of electronic communications services </w:t>
      </w:r>
      <w:r w:rsidR="000A3F76">
        <w:rPr>
          <w:rFonts w:ascii="Verdana" w:hAnsi="Verdana"/>
        </w:rPr>
        <w:t>to</w:t>
      </w:r>
      <w:r w:rsidRPr="00974A56">
        <w:rPr>
          <w:rFonts w:ascii="Verdana" w:hAnsi="Verdana"/>
        </w:rPr>
        <w:t xml:space="preserve"> consumers</w:t>
      </w:r>
      <w:r w:rsidR="007E1F59">
        <w:rPr>
          <w:rFonts w:ascii="Verdana" w:hAnsi="Verdana"/>
        </w:rPr>
        <w:t>:</w:t>
      </w:r>
    </w:p>
    <w:p w:rsidR="007E1F59" w:rsidRPr="000A3F76" w:rsidRDefault="000A3F76" w:rsidP="00474952">
      <w:pPr>
        <w:pStyle w:val="ListParagraph"/>
        <w:numPr>
          <w:ilvl w:val="0"/>
          <w:numId w:val="10"/>
        </w:numPr>
        <w:spacing w:line="360" w:lineRule="auto"/>
        <w:contextualSpacing w:val="0"/>
        <w:jc w:val="both"/>
        <w:rPr>
          <w:rFonts w:ascii="Verdana" w:hAnsi="Verdana"/>
        </w:rPr>
      </w:pPr>
      <w:r>
        <w:rPr>
          <w:rFonts w:ascii="Verdana" w:hAnsi="Verdana"/>
        </w:rPr>
        <w:t>A</w:t>
      </w:r>
      <w:r w:rsidR="007E1F59" w:rsidRPr="000A3F76">
        <w:rPr>
          <w:rFonts w:ascii="Verdana" w:hAnsi="Verdana"/>
        </w:rPr>
        <w:t xml:space="preserve">n average of 95% network service availability, </w:t>
      </w:r>
      <w:r w:rsidR="00581725">
        <w:rPr>
          <w:rFonts w:ascii="Verdana" w:hAnsi="Verdana"/>
        </w:rPr>
        <w:t xml:space="preserve">measured over a period of six </w:t>
      </w:r>
      <w:r w:rsidR="007E1F59" w:rsidRPr="000A3F76">
        <w:rPr>
          <w:rFonts w:ascii="Verdana" w:hAnsi="Verdana"/>
        </w:rPr>
        <w:t>months</w:t>
      </w:r>
    </w:p>
    <w:p w:rsidR="007E1F59" w:rsidRPr="00B42FCD" w:rsidRDefault="000A3F76" w:rsidP="00474952">
      <w:pPr>
        <w:pStyle w:val="ListParagraph"/>
        <w:numPr>
          <w:ilvl w:val="0"/>
          <w:numId w:val="10"/>
        </w:numPr>
        <w:spacing w:line="360" w:lineRule="auto"/>
        <w:contextualSpacing w:val="0"/>
        <w:jc w:val="both"/>
        <w:rPr>
          <w:rFonts w:ascii="Verdana" w:hAnsi="Verdana"/>
          <w:lang w:val="en-GB"/>
        </w:rPr>
      </w:pPr>
      <w:r w:rsidRPr="00B42FCD">
        <w:rPr>
          <w:rFonts w:ascii="Verdana" w:hAnsi="Verdana"/>
          <w:lang w:val="en-GB"/>
        </w:rPr>
        <w:t xml:space="preserve">90% success rate </w:t>
      </w:r>
      <w:r w:rsidR="008A7DC6" w:rsidRPr="00B42FCD">
        <w:rPr>
          <w:rFonts w:ascii="Verdana" w:hAnsi="Verdana"/>
          <w:lang w:val="en-GB"/>
        </w:rPr>
        <w:t xml:space="preserve">to both install and activate services </w:t>
      </w:r>
      <w:r w:rsidRPr="00B42FCD">
        <w:rPr>
          <w:rFonts w:ascii="Verdana" w:hAnsi="Verdana"/>
          <w:lang w:val="en-GB"/>
        </w:rPr>
        <w:t xml:space="preserve">within </w:t>
      </w:r>
      <w:r w:rsidR="00B42FCD" w:rsidRPr="00B42FCD">
        <w:rPr>
          <w:rFonts w:ascii="Verdana" w:hAnsi="Verdana"/>
          <w:lang w:val="en-GB"/>
        </w:rPr>
        <w:t>thirty</w:t>
      </w:r>
      <w:r w:rsidRPr="00B42FCD">
        <w:rPr>
          <w:rFonts w:ascii="Verdana" w:hAnsi="Verdana"/>
          <w:lang w:val="en-GB"/>
        </w:rPr>
        <w:t xml:space="preserve"> days </w:t>
      </w:r>
      <w:r w:rsidR="008A7DC6" w:rsidRPr="00B42FCD">
        <w:rPr>
          <w:rFonts w:ascii="Verdana" w:hAnsi="Verdana"/>
          <w:lang w:val="en-GB"/>
        </w:rPr>
        <w:t>with the</w:t>
      </w:r>
      <w:r w:rsidRPr="00B42FCD">
        <w:rPr>
          <w:rFonts w:ascii="Verdana" w:hAnsi="Verdana"/>
          <w:lang w:val="en-GB"/>
        </w:rPr>
        <w:t xml:space="preserve"> </w:t>
      </w:r>
      <w:r w:rsidR="007E1F59" w:rsidRPr="00B42FCD">
        <w:rPr>
          <w:rFonts w:ascii="Verdana" w:hAnsi="Verdana"/>
          <w:lang w:val="en-GB"/>
        </w:rPr>
        <w:t>remaining 10% of request</w:t>
      </w:r>
      <w:r w:rsidR="005E6288" w:rsidRPr="00B42FCD">
        <w:rPr>
          <w:rFonts w:ascii="Verdana" w:hAnsi="Verdana"/>
          <w:lang w:val="en-GB"/>
        </w:rPr>
        <w:t>s</w:t>
      </w:r>
      <w:r w:rsidR="007E1F59" w:rsidRPr="00B42FCD">
        <w:rPr>
          <w:rFonts w:ascii="Verdana" w:hAnsi="Verdana"/>
          <w:lang w:val="en-GB"/>
        </w:rPr>
        <w:t xml:space="preserve"> for installation and activation be</w:t>
      </w:r>
      <w:r w:rsidR="008A7DC6" w:rsidRPr="00B42FCD">
        <w:rPr>
          <w:rFonts w:ascii="Verdana" w:hAnsi="Verdana"/>
          <w:lang w:val="en-GB"/>
        </w:rPr>
        <w:t>ing</w:t>
      </w:r>
      <w:r w:rsidR="007E1F59" w:rsidRPr="00B42FCD">
        <w:rPr>
          <w:rFonts w:ascii="Verdana" w:hAnsi="Verdana"/>
          <w:lang w:val="en-GB"/>
        </w:rPr>
        <w:t xml:space="preserve"> met within </w:t>
      </w:r>
      <w:r w:rsidR="00B42FCD" w:rsidRPr="00B42FCD">
        <w:rPr>
          <w:rFonts w:ascii="Verdana" w:hAnsi="Verdana"/>
          <w:lang w:val="en-GB"/>
        </w:rPr>
        <w:t>forty</w:t>
      </w:r>
      <w:r w:rsidR="008A7DC6" w:rsidRPr="00B42FCD">
        <w:rPr>
          <w:rFonts w:ascii="Verdana" w:hAnsi="Verdana"/>
          <w:lang w:val="en-GB"/>
        </w:rPr>
        <w:t xml:space="preserve"> </w:t>
      </w:r>
      <w:r w:rsidR="007E1F59" w:rsidRPr="00B42FCD">
        <w:rPr>
          <w:rFonts w:ascii="Verdana" w:hAnsi="Verdana"/>
          <w:lang w:val="en-GB"/>
        </w:rPr>
        <w:t xml:space="preserve">days </w:t>
      </w:r>
      <w:r w:rsidR="00581725" w:rsidRPr="00B42FCD">
        <w:rPr>
          <w:rFonts w:ascii="Verdana" w:hAnsi="Verdana"/>
          <w:lang w:val="en-GB"/>
        </w:rPr>
        <w:t>from</w:t>
      </w:r>
      <w:r w:rsidR="007E1F59" w:rsidRPr="00B42FCD">
        <w:rPr>
          <w:rFonts w:ascii="Verdana" w:hAnsi="Verdana"/>
          <w:lang w:val="en-GB"/>
        </w:rPr>
        <w:t xml:space="preserve"> the request</w:t>
      </w:r>
    </w:p>
    <w:p w:rsidR="006F0C1C" w:rsidRPr="000A3F76" w:rsidRDefault="008A7DC6" w:rsidP="00474952">
      <w:pPr>
        <w:pStyle w:val="ListParagraph"/>
        <w:numPr>
          <w:ilvl w:val="0"/>
          <w:numId w:val="10"/>
        </w:numPr>
        <w:spacing w:line="360" w:lineRule="auto"/>
        <w:contextualSpacing w:val="0"/>
        <w:jc w:val="both"/>
        <w:rPr>
          <w:rFonts w:ascii="Verdana" w:hAnsi="Verdana"/>
          <w:lang w:val="en-GB"/>
        </w:rPr>
      </w:pPr>
      <w:r w:rsidRPr="000A3F76">
        <w:rPr>
          <w:rFonts w:ascii="Verdana" w:hAnsi="Verdana"/>
        </w:rPr>
        <w:t xml:space="preserve">90% success rate </w:t>
      </w:r>
      <w:r w:rsidR="006F0C1C" w:rsidRPr="000A3F76">
        <w:rPr>
          <w:rFonts w:ascii="Verdana" w:hAnsi="Verdana"/>
        </w:rPr>
        <w:t>to activate service</w:t>
      </w:r>
      <w:r w:rsidR="00581725">
        <w:rPr>
          <w:rFonts w:ascii="Verdana" w:hAnsi="Verdana"/>
        </w:rPr>
        <w:t>s</w:t>
      </w:r>
      <w:r w:rsidR="006F0C1C" w:rsidRPr="000A3F76">
        <w:rPr>
          <w:rFonts w:ascii="Verdana" w:hAnsi="Verdana"/>
        </w:rPr>
        <w:t xml:space="preserve"> </w:t>
      </w:r>
      <w:r>
        <w:rPr>
          <w:rFonts w:ascii="Verdana" w:hAnsi="Verdana"/>
        </w:rPr>
        <w:t xml:space="preserve">within </w:t>
      </w:r>
      <w:r w:rsidR="00B42FCD">
        <w:rPr>
          <w:rFonts w:ascii="Verdana" w:hAnsi="Verdana"/>
        </w:rPr>
        <w:t>seven</w:t>
      </w:r>
      <w:r>
        <w:rPr>
          <w:rFonts w:ascii="Verdana" w:hAnsi="Verdana"/>
        </w:rPr>
        <w:t xml:space="preserve"> days with the </w:t>
      </w:r>
      <w:r w:rsidR="006F0C1C" w:rsidRPr="000A3F76">
        <w:rPr>
          <w:rFonts w:ascii="Verdana" w:hAnsi="Verdana"/>
        </w:rPr>
        <w:t>remaining 10% of the request</w:t>
      </w:r>
      <w:r w:rsidR="005E6288">
        <w:rPr>
          <w:rFonts w:ascii="Verdana" w:hAnsi="Verdana"/>
        </w:rPr>
        <w:t>s</w:t>
      </w:r>
      <w:r w:rsidR="006F0C1C" w:rsidRPr="000A3F76">
        <w:rPr>
          <w:rFonts w:ascii="Verdana" w:hAnsi="Verdana"/>
        </w:rPr>
        <w:t xml:space="preserve"> for activation be</w:t>
      </w:r>
      <w:r>
        <w:rPr>
          <w:rFonts w:ascii="Verdana" w:hAnsi="Verdana"/>
        </w:rPr>
        <w:t>ing</w:t>
      </w:r>
      <w:r w:rsidR="006F0C1C" w:rsidRPr="000A3F76">
        <w:rPr>
          <w:rFonts w:ascii="Verdana" w:hAnsi="Verdana"/>
        </w:rPr>
        <w:t xml:space="preserve"> met within </w:t>
      </w:r>
      <w:r w:rsidR="00B42FCD">
        <w:rPr>
          <w:rFonts w:ascii="Verdana" w:hAnsi="Verdana"/>
        </w:rPr>
        <w:t>fifteen</w:t>
      </w:r>
      <w:r w:rsidR="006F0C1C" w:rsidRPr="000A3F76">
        <w:rPr>
          <w:rFonts w:ascii="Verdana" w:hAnsi="Verdana"/>
        </w:rPr>
        <w:t xml:space="preserve"> days of the request”.</w:t>
      </w:r>
    </w:p>
    <w:p w:rsidR="00504C26" w:rsidRPr="000A3F76" w:rsidRDefault="005E6288" w:rsidP="00474952">
      <w:pPr>
        <w:pStyle w:val="ListParagraph"/>
        <w:numPr>
          <w:ilvl w:val="0"/>
          <w:numId w:val="10"/>
        </w:numPr>
        <w:spacing w:line="360" w:lineRule="auto"/>
        <w:contextualSpacing w:val="0"/>
        <w:jc w:val="both"/>
        <w:rPr>
          <w:rFonts w:ascii="Verdana" w:hAnsi="Verdana"/>
          <w:lang w:val="en-GB"/>
        </w:rPr>
      </w:pPr>
      <w:r>
        <w:rPr>
          <w:rFonts w:ascii="Verdana" w:hAnsi="Verdana"/>
        </w:rPr>
        <w:t>C</w:t>
      </w:r>
      <w:r w:rsidR="006F0C1C" w:rsidRPr="000A3F76">
        <w:rPr>
          <w:rFonts w:ascii="Verdana" w:hAnsi="Verdana"/>
        </w:rPr>
        <w:t>onnectivity failure rate not exceed</w:t>
      </w:r>
      <w:r>
        <w:rPr>
          <w:rFonts w:ascii="Verdana" w:hAnsi="Verdana"/>
        </w:rPr>
        <w:t>ing</w:t>
      </w:r>
      <w:r w:rsidR="006F0C1C" w:rsidRPr="000A3F76">
        <w:rPr>
          <w:rFonts w:ascii="Verdana" w:hAnsi="Verdana"/>
        </w:rPr>
        <w:t xml:space="preserve"> an average of 3% of all conne</w:t>
      </w:r>
      <w:r w:rsidR="00B42FCD">
        <w:rPr>
          <w:rFonts w:ascii="Verdana" w:hAnsi="Verdana"/>
        </w:rPr>
        <w:t>ctions, over a period of six</w:t>
      </w:r>
      <w:r w:rsidR="006F0C1C" w:rsidRPr="000A3F76">
        <w:rPr>
          <w:rFonts w:ascii="Verdana" w:hAnsi="Verdana"/>
        </w:rPr>
        <w:t xml:space="preserve"> months</w:t>
      </w:r>
    </w:p>
    <w:p w:rsidR="00745BAA" w:rsidRPr="005E6288" w:rsidRDefault="005E6288" w:rsidP="00474952">
      <w:pPr>
        <w:pStyle w:val="ListParagraph"/>
        <w:numPr>
          <w:ilvl w:val="0"/>
          <w:numId w:val="10"/>
        </w:numPr>
        <w:spacing w:line="360" w:lineRule="auto"/>
        <w:contextualSpacing w:val="0"/>
        <w:jc w:val="both"/>
        <w:rPr>
          <w:rFonts w:ascii="Verdana" w:hAnsi="Verdana"/>
          <w:lang w:val="en-GB"/>
        </w:rPr>
      </w:pPr>
      <w:r>
        <w:rPr>
          <w:rFonts w:ascii="Verdana" w:hAnsi="Verdana"/>
        </w:rPr>
        <w:t>O</w:t>
      </w:r>
      <w:r w:rsidR="00EF4470" w:rsidRPr="000A3F76">
        <w:rPr>
          <w:rFonts w:ascii="Verdana" w:hAnsi="Verdana"/>
        </w:rPr>
        <w:t>perator assisted calls m</w:t>
      </w:r>
      <w:r>
        <w:rPr>
          <w:rFonts w:ascii="Verdana" w:hAnsi="Verdana"/>
        </w:rPr>
        <w:t>ust be answered within three</w:t>
      </w:r>
      <w:r w:rsidR="00EF4470" w:rsidRPr="000A3F76">
        <w:rPr>
          <w:rFonts w:ascii="Verdana" w:hAnsi="Verdana"/>
        </w:rPr>
        <w:t xml:space="preserve"> minutes</w:t>
      </w:r>
      <w:r>
        <w:rPr>
          <w:rFonts w:ascii="Verdana" w:hAnsi="Verdana"/>
        </w:rPr>
        <w:t xml:space="preserve"> averaged over twelve months</w:t>
      </w:r>
    </w:p>
    <w:p w:rsidR="00745BAA" w:rsidRPr="005E6288" w:rsidRDefault="005E6288" w:rsidP="00474952">
      <w:pPr>
        <w:pStyle w:val="ListParagraph"/>
        <w:numPr>
          <w:ilvl w:val="0"/>
          <w:numId w:val="10"/>
        </w:numPr>
        <w:spacing w:after="0" w:line="360" w:lineRule="auto"/>
        <w:contextualSpacing w:val="0"/>
        <w:jc w:val="both"/>
        <w:rPr>
          <w:rFonts w:ascii="Verdana" w:hAnsi="Verdana"/>
          <w:lang w:val="en-GB"/>
        </w:rPr>
      </w:pPr>
      <w:r w:rsidRPr="005E6288">
        <w:rPr>
          <w:rFonts w:ascii="Verdana" w:hAnsi="Verdana"/>
        </w:rPr>
        <w:t>A</w:t>
      </w:r>
      <w:r w:rsidR="00EF4470" w:rsidRPr="005E6288">
        <w:rPr>
          <w:rFonts w:ascii="Verdana" w:hAnsi="Verdana"/>
        </w:rPr>
        <w:t>n average of 90% fault clearance rate for all faults</w:t>
      </w:r>
      <w:r w:rsidRPr="005E6288">
        <w:rPr>
          <w:rFonts w:ascii="Verdana" w:hAnsi="Verdana"/>
        </w:rPr>
        <w:t xml:space="preserve"> reported within three days with the </w:t>
      </w:r>
      <w:r>
        <w:rPr>
          <w:rFonts w:ascii="Verdana" w:hAnsi="Verdana"/>
        </w:rPr>
        <w:t>r</w:t>
      </w:r>
      <w:r w:rsidR="00EF4470" w:rsidRPr="005E6288">
        <w:rPr>
          <w:rFonts w:ascii="Verdana" w:hAnsi="Verdana"/>
        </w:rPr>
        <w:t xml:space="preserve">emaining 10% of faults reported </w:t>
      </w:r>
      <w:r>
        <w:rPr>
          <w:rFonts w:ascii="Verdana" w:hAnsi="Verdana"/>
        </w:rPr>
        <w:t xml:space="preserve">to </w:t>
      </w:r>
      <w:r w:rsidR="00EF4470" w:rsidRPr="005E6288">
        <w:rPr>
          <w:rFonts w:ascii="Verdana" w:hAnsi="Verdana"/>
        </w:rPr>
        <w:t>be cleared within six days of reporting of the fault</w:t>
      </w:r>
    </w:p>
    <w:p w:rsidR="002454D8" w:rsidRPr="000A3F76" w:rsidRDefault="002454D8" w:rsidP="00474952">
      <w:pPr>
        <w:pStyle w:val="ListParagraph"/>
        <w:numPr>
          <w:ilvl w:val="0"/>
          <w:numId w:val="10"/>
        </w:numPr>
        <w:spacing w:line="360" w:lineRule="auto"/>
        <w:contextualSpacing w:val="0"/>
        <w:jc w:val="both"/>
        <w:rPr>
          <w:rFonts w:ascii="Verdana" w:hAnsi="Verdana"/>
        </w:rPr>
      </w:pPr>
      <w:r w:rsidRPr="000A3F76">
        <w:rPr>
          <w:rFonts w:ascii="Verdana" w:hAnsi="Verdana"/>
        </w:rPr>
        <w:t>Licensee</w:t>
      </w:r>
      <w:r w:rsidR="00474952">
        <w:rPr>
          <w:rFonts w:ascii="Verdana" w:hAnsi="Verdana"/>
        </w:rPr>
        <w:t>s</w:t>
      </w:r>
      <w:r w:rsidRPr="000A3F76">
        <w:rPr>
          <w:rFonts w:ascii="Verdana" w:hAnsi="Verdana"/>
        </w:rPr>
        <w:t xml:space="preserve"> must indicate </w:t>
      </w:r>
      <w:r w:rsidR="00474952">
        <w:rPr>
          <w:rFonts w:ascii="Verdana" w:hAnsi="Verdana"/>
        </w:rPr>
        <w:t>the</w:t>
      </w:r>
      <w:r w:rsidRPr="000A3F76">
        <w:rPr>
          <w:rFonts w:ascii="Verdana" w:hAnsi="Verdana"/>
        </w:rPr>
        <w:t xml:space="preserve"> point of entry for complaints</w:t>
      </w:r>
      <w:r w:rsidR="00474952">
        <w:rPr>
          <w:rFonts w:ascii="Verdana" w:hAnsi="Verdana"/>
        </w:rPr>
        <w:t xml:space="preserve"> and </w:t>
      </w:r>
      <w:r w:rsidRPr="000A3F76">
        <w:rPr>
          <w:rFonts w:ascii="Verdana" w:hAnsi="Verdana"/>
        </w:rPr>
        <w:t xml:space="preserve">indicate how they acknowledge </w:t>
      </w:r>
      <w:r w:rsidR="00474952">
        <w:rPr>
          <w:rFonts w:ascii="Verdana" w:hAnsi="Verdana"/>
        </w:rPr>
        <w:t>receipt of</w:t>
      </w:r>
      <w:r w:rsidRPr="000A3F76">
        <w:rPr>
          <w:rFonts w:ascii="Verdana" w:hAnsi="Verdana"/>
        </w:rPr>
        <w:t xml:space="preserve"> complaint</w:t>
      </w:r>
      <w:r w:rsidR="00474952">
        <w:rPr>
          <w:rFonts w:ascii="Verdana" w:hAnsi="Verdana"/>
        </w:rPr>
        <w:t>s</w:t>
      </w:r>
      <w:r w:rsidRPr="000A3F76">
        <w:rPr>
          <w:rFonts w:ascii="Verdana" w:hAnsi="Verdana"/>
        </w:rPr>
        <w:t xml:space="preserve"> within </w:t>
      </w:r>
      <w:r w:rsidR="00474952">
        <w:rPr>
          <w:rFonts w:ascii="Verdana" w:hAnsi="Verdana"/>
        </w:rPr>
        <w:t>three</w:t>
      </w:r>
      <w:r w:rsidRPr="000A3F76">
        <w:rPr>
          <w:rFonts w:ascii="Verdana" w:hAnsi="Verdana"/>
        </w:rPr>
        <w:t xml:space="preserve"> days</w:t>
      </w:r>
    </w:p>
    <w:p w:rsidR="002454D8" w:rsidRPr="000A3F76" w:rsidRDefault="002454D8" w:rsidP="00474952">
      <w:pPr>
        <w:pStyle w:val="ListParagraph"/>
        <w:numPr>
          <w:ilvl w:val="0"/>
          <w:numId w:val="10"/>
        </w:numPr>
        <w:spacing w:line="360" w:lineRule="auto"/>
        <w:contextualSpacing w:val="0"/>
        <w:jc w:val="both"/>
        <w:rPr>
          <w:rFonts w:ascii="Verdana" w:hAnsi="Verdana"/>
        </w:rPr>
      </w:pPr>
      <w:r w:rsidRPr="000A3F76">
        <w:rPr>
          <w:rFonts w:ascii="Verdana" w:hAnsi="Verdana"/>
        </w:rPr>
        <w:t>Licensee</w:t>
      </w:r>
      <w:r w:rsidR="00474952">
        <w:rPr>
          <w:rFonts w:ascii="Verdana" w:hAnsi="Verdana"/>
        </w:rPr>
        <w:t>s</w:t>
      </w:r>
      <w:r w:rsidRPr="000A3F76">
        <w:rPr>
          <w:rFonts w:ascii="Verdana" w:hAnsi="Verdana"/>
        </w:rPr>
        <w:t xml:space="preserve"> must indicate how many complain</w:t>
      </w:r>
      <w:r w:rsidR="00474952">
        <w:rPr>
          <w:rFonts w:ascii="Verdana" w:hAnsi="Verdana"/>
        </w:rPr>
        <w:t xml:space="preserve">ts were resolved within </w:t>
      </w:r>
      <w:r w:rsidR="00B42FCD">
        <w:rPr>
          <w:rFonts w:ascii="Verdana" w:hAnsi="Verdana"/>
        </w:rPr>
        <w:t>fourteen</w:t>
      </w:r>
      <w:r w:rsidR="00474952">
        <w:rPr>
          <w:rFonts w:ascii="Verdana" w:hAnsi="Verdana"/>
        </w:rPr>
        <w:t xml:space="preserve"> days</w:t>
      </w:r>
    </w:p>
    <w:p w:rsidR="000A3F76" w:rsidRPr="00474952" w:rsidRDefault="000A3F76" w:rsidP="00474952">
      <w:pPr>
        <w:pStyle w:val="ListParagraph"/>
        <w:numPr>
          <w:ilvl w:val="0"/>
          <w:numId w:val="10"/>
        </w:numPr>
        <w:spacing w:line="360" w:lineRule="auto"/>
        <w:contextualSpacing w:val="0"/>
        <w:jc w:val="both"/>
        <w:rPr>
          <w:rFonts w:ascii="Verdana" w:hAnsi="Verdana"/>
          <w:lang w:val="en-GB"/>
        </w:rPr>
      </w:pPr>
      <w:r w:rsidRPr="00474952">
        <w:rPr>
          <w:rFonts w:ascii="Verdana" w:hAnsi="Verdana"/>
        </w:rPr>
        <w:t>Licensee</w:t>
      </w:r>
      <w:r w:rsidR="00474952" w:rsidRPr="00474952">
        <w:rPr>
          <w:rFonts w:ascii="Verdana" w:hAnsi="Verdana"/>
        </w:rPr>
        <w:t>s</w:t>
      </w:r>
      <w:r w:rsidRPr="00474952">
        <w:rPr>
          <w:rFonts w:ascii="Verdana" w:hAnsi="Verdana"/>
        </w:rPr>
        <w:t xml:space="preserve"> must indicate how many complaints were referred to the Authority for resolution</w:t>
      </w:r>
    </w:p>
    <w:p w:rsidR="00474952" w:rsidRDefault="00377166" w:rsidP="00474952">
      <w:pPr>
        <w:spacing w:line="360" w:lineRule="auto"/>
        <w:jc w:val="both"/>
        <w:rPr>
          <w:rFonts w:ascii="Verdana" w:hAnsi="Verdana"/>
          <w:lang w:val="en-GB"/>
        </w:rPr>
      </w:pPr>
      <w:r>
        <w:rPr>
          <w:rFonts w:ascii="Verdana" w:hAnsi="Verdana"/>
          <w:lang w:val="en-GB"/>
        </w:rPr>
        <w:t>The mobile operators generally comply with these minimum service standards.</w:t>
      </w:r>
    </w:p>
    <w:p w:rsidR="00377166" w:rsidRPr="00377166" w:rsidRDefault="00377166" w:rsidP="00377166">
      <w:pPr>
        <w:pStyle w:val="ListParagraph"/>
        <w:numPr>
          <w:ilvl w:val="0"/>
          <w:numId w:val="1"/>
        </w:numPr>
        <w:spacing w:line="360" w:lineRule="auto"/>
        <w:jc w:val="both"/>
        <w:rPr>
          <w:rFonts w:ascii="Verdana" w:hAnsi="Verdana"/>
          <w:b/>
          <w:lang w:val="en-GB"/>
        </w:rPr>
      </w:pPr>
      <w:r w:rsidRPr="00377166">
        <w:rPr>
          <w:rFonts w:ascii="Verdana" w:hAnsi="Verdana"/>
          <w:b/>
          <w:lang w:val="en-GB"/>
        </w:rPr>
        <w:t>Other Compliance Areas</w:t>
      </w:r>
    </w:p>
    <w:p w:rsidR="00821D8B" w:rsidRPr="00377166" w:rsidRDefault="00C92B7D" w:rsidP="00377166">
      <w:pPr>
        <w:spacing w:line="360" w:lineRule="auto"/>
        <w:jc w:val="both"/>
        <w:rPr>
          <w:rFonts w:ascii="Verdana" w:hAnsi="Verdana"/>
        </w:rPr>
      </w:pPr>
      <w:r w:rsidRPr="00377166">
        <w:rPr>
          <w:rFonts w:ascii="Verdana" w:hAnsi="Verdana"/>
          <w:lang w:val="en-ZA"/>
        </w:rPr>
        <w:lastRenderedPageBreak/>
        <w:t>ECS/ECNS licensees are also monitored for compliance on the following:</w:t>
      </w:r>
    </w:p>
    <w:p w:rsidR="00821D8B" w:rsidRPr="00377166" w:rsidRDefault="00C92B7D" w:rsidP="00377166">
      <w:pPr>
        <w:pStyle w:val="ListParagraph"/>
        <w:numPr>
          <w:ilvl w:val="0"/>
          <w:numId w:val="12"/>
        </w:numPr>
        <w:spacing w:line="360" w:lineRule="auto"/>
        <w:contextualSpacing w:val="0"/>
        <w:jc w:val="both"/>
        <w:rPr>
          <w:rFonts w:ascii="Verdana" w:hAnsi="Verdana"/>
        </w:rPr>
      </w:pPr>
      <w:r w:rsidRPr="00377166">
        <w:rPr>
          <w:rFonts w:ascii="Verdana" w:hAnsi="Verdana"/>
          <w:lang w:val="en-ZA"/>
        </w:rPr>
        <w:t>Shareholding</w:t>
      </w:r>
    </w:p>
    <w:p w:rsidR="00821D8B" w:rsidRPr="00377166" w:rsidRDefault="00C92B7D" w:rsidP="00377166">
      <w:pPr>
        <w:pStyle w:val="ListParagraph"/>
        <w:numPr>
          <w:ilvl w:val="0"/>
          <w:numId w:val="12"/>
        </w:numPr>
        <w:spacing w:line="360" w:lineRule="auto"/>
        <w:contextualSpacing w:val="0"/>
        <w:jc w:val="both"/>
        <w:rPr>
          <w:rFonts w:ascii="Verdana" w:hAnsi="Verdana"/>
        </w:rPr>
      </w:pPr>
      <w:r w:rsidRPr="00377166">
        <w:rPr>
          <w:rFonts w:ascii="Verdana" w:hAnsi="Verdana"/>
          <w:lang w:val="en-ZA"/>
        </w:rPr>
        <w:t>Management and staff distribution</w:t>
      </w:r>
    </w:p>
    <w:p w:rsidR="00821D8B" w:rsidRPr="00377166" w:rsidRDefault="00C92B7D" w:rsidP="00377166">
      <w:pPr>
        <w:pStyle w:val="ListParagraph"/>
        <w:numPr>
          <w:ilvl w:val="0"/>
          <w:numId w:val="12"/>
        </w:numPr>
        <w:spacing w:line="360" w:lineRule="auto"/>
        <w:contextualSpacing w:val="0"/>
        <w:jc w:val="both"/>
        <w:rPr>
          <w:rFonts w:ascii="Verdana" w:hAnsi="Verdana"/>
        </w:rPr>
      </w:pPr>
      <w:r w:rsidRPr="00377166">
        <w:rPr>
          <w:rFonts w:ascii="Verdana" w:hAnsi="Verdana"/>
          <w:lang w:val="en-ZA"/>
        </w:rPr>
        <w:t>Submission of Interconnection / Facilities Leasing Agreements for review</w:t>
      </w:r>
    </w:p>
    <w:p w:rsidR="00821D8B" w:rsidRPr="00377166" w:rsidRDefault="00C92B7D" w:rsidP="00377166">
      <w:pPr>
        <w:pStyle w:val="ListParagraph"/>
        <w:numPr>
          <w:ilvl w:val="0"/>
          <w:numId w:val="12"/>
        </w:numPr>
        <w:spacing w:line="360" w:lineRule="auto"/>
        <w:contextualSpacing w:val="0"/>
        <w:jc w:val="both"/>
        <w:rPr>
          <w:rFonts w:ascii="Verdana" w:hAnsi="Verdana"/>
        </w:rPr>
      </w:pPr>
      <w:r w:rsidRPr="00377166">
        <w:rPr>
          <w:rFonts w:ascii="Verdana" w:hAnsi="Verdana"/>
          <w:lang w:val="en-ZA"/>
        </w:rPr>
        <w:t xml:space="preserve">Submission of </w:t>
      </w:r>
      <w:r w:rsidR="00B42FCD">
        <w:rPr>
          <w:rFonts w:ascii="Verdana" w:hAnsi="Verdana"/>
          <w:lang w:val="en-ZA"/>
        </w:rPr>
        <w:t xml:space="preserve">administrative </w:t>
      </w:r>
      <w:r w:rsidRPr="00377166">
        <w:rPr>
          <w:rFonts w:ascii="Verdana" w:hAnsi="Verdana"/>
          <w:lang w:val="en-ZA"/>
        </w:rPr>
        <w:t>notifications</w:t>
      </w:r>
    </w:p>
    <w:p w:rsidR="00377166" w:rsidRPr="00474952" w:rsidRDefault="00B42FCD" w:rsidP="00377166">
      <w:pPr>
        <w:spacing w:line="360" w:lineRule="auto"/>
        <w:jc w:val="both"/>
        <w:rPr>
          <w:rFonts w:ascii="Verdana" w:hAnsi="Verdana"/>
          <w:lang w:val="en-GB"/>
        </w:rPr>
      </w:pPr>
      <w:r>
        <w:rPr>
          <w:rFonts w:ascii="Verdana" w:hAnsi="Verdana"/>
          <w:lang w:val="en-ZA"/>
        </w:rPr>
        <w:t>The m</w:t>
      </w:r>
      <w:r w:rsidR="00C92B7D" w:rsidRPr="00377166">
        <w:rPr>
          <w:rFonts w:ascii="Verdana" w:hAnsi="Verdana"/>
          <w:lang w:val="en-ZA"/>
        </w:rPr>
        <w:t xml:space="preserve">obile operators </w:t>
      </w:r>
      <w:r>
        <w:rPr>
          <w:rFonts w:ascii="Verdana" w:hAnsi="Verdana"/>
          <w:lang w:val="en-ZA"/>
        </w:rPr>
        <w:t>are</w:t>
      </w:r>
      <w:r w:rsidR="00C92B7D" w:rsidRPr="00377166">
        <w:rPr>
          <w:rFonts w:ascii="Verdana" w:hAnsi="Verdana"/>
          <w:lang w:val="en-ZA"/>
        </w:rPr>
        <w:t xml:space="preserve"> generally compliant with the above requirements as well as other regulatory obligations</w:t>
      </w:r>
      <w:r w:rsidR="00377166">
        <w:rPr>
          <w:rFonts w:ascii="Verdana" w:hAnsi="Verdana"/>
          <w:lang w:val="en-ZA"/>
        </w:rPr>
        <w:t>. Any n</w:t>
      </w:r>
      <w:r w:rsidR="00C92B7D" w:rsidRPr="00377166">
        <w:rPr>
          <w:rFonts w:ascii="Verdana" w:hAnsi="Verdana"/>
          <w:lang w:val="en-ZA"/>
        </w:rPr>
        <w:t xml:space="preserve">on-compliance </w:t>
      </w:r>
      <w:r w:rsidR="00377166">
        <w:rPr>
          <w:rFonts w:ascii="Verdana" w:hAnsi="Verdana"/>
          <w:lang w:val="en-ZA"/>
        </w:rPr>
        <w:t xml:space="preserve">found </w:t>
      </w:r>
      <w:r w:rsidR="00C92B7D" w:rsidRPr="00377166">
        <w:rPr>
          <w:rFonts w:ascii="Verdana" w:hAnsi="Verdana"/>
          <w:lang w:val="en-ZA"/>
        </w:rPr>
        <w:t>is escalated to the Complaints and Compliance Commission (CCC) for adjudication</w:t>
      </w:r>
      <w:r w:rsidR="00377166">
        <w:rPr>
          <w:rFonts w:ascii="Verdana" w:hAnsi="Verdana"/>
          <w:lang w:val="en-ZA"/>
        </w:rPr>
        <w:t>.</w:t>
      </w:r>
    </w:p>
    <w:sectPr w:rsidR="00377166" w:rsidRPr="00474952" w:rsidSect="007B711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C01" w:rsidRDefault="00022C01" w:rsidP="00F77FB1">
      <w:pPr>
        <w:spacing w:after="0" w:line="240" w:lineRule="auto"/>
      </w:pPr>
      <w:r>
        <w:separator/>
      </w:r>
    </w:p>
  </w:endnote>
  <w:endnote w:type="continuationSeparator" w:id="0">
    <w:p w:rsidR="00022C01" w:rsidRDefault="00022C01" w:rsidP="00F77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108842"/>
      <w:docPartObj>
        <w:docPartGallery w:val="Page Numbers (Bottom of Page)"/>
        <w:docPartUnique/>
      </w:docPartObj>
    </w:sdtPr>
    <w:sdtContent>
      <w:sdt>
        <w:sdtPr>
          <w:id w:val="-875393519"/>
          <w:docPartObj>
            <w:docPartGallery w:val="Page Numbers (Top of Page)"/>
            <w:docPartUnique/>
          </w:docPartObj>
        </w:sdtPr>
        <w:sdtContent>
          <w:p w:rsidR="00FC19C9" w:rsidRDefault="00FC19C9">
            <w:pPr>
              <w:pStyle w:val="Footer"/>
              <w:jc w:val="right"/>
            </w:pPr>
            <w:r>
              <w:t xml:space="preserve">Page </w:t>
            </w:r>
            <w:r w:rsidR="007B7117">
              <w:rPr>
                <w:b/>
                <w:bCs/>
                <w:sz w:val="24"/>
                <w:szCs w:val="24"/>
              </w:rPr>
              <w:fldChar w:fldCharType="begin"/>
            </w:r>
            <w:r>
              <w:rPr>
                <w:b/>
                <w:bCs/>
              </w:rPr>
              <w:instrText xml:space="preserve"> PAGE </w:instrText>
            </w:r>
            <w:r w:rsidR="007B7117">
              <w:rPr>
                <w:b/>
                <w:bCs/>
                <w:sz w:val="24"/>
                <w:szCs w:val="24"/>
              </w:rPr>
              <w:fldChar w:fldCharType="separate"/>
            </w:r>
            <w:r w:rsidR="00325418">
              <w:rPr>
                <w:b/>
                <w:bCs/>
                <w:noProof/>
              </w:rPr>
              <w:t>6</w:t>
            </w:r>
            <w:r w:rsidR="007B7117">
              <w:rPr>
                <w:b/>
                <w:bCs/>
                <w:sz w:val="24"/>
                <w:szCs w:val="24"/>
              </w:rPr>
              <w:fldChar w:fldCharType="end"/>
            </w:r>
            <w:r>
              <w:t xml:space="preserve"> of </w:t>
            </w:r>
            <w:r w:rsidR="007B7117">
              <w:rPr>
                <w:b/>
                <w:bCs/>
                <w:sz w:val="24"/>
                <w:szCs w:val="24"/>
              </w:rPr>
              <w:fldChar w:fldCharType="begin"/>
            </w:r>
            <w:r>
              <w:rPr>
                <w:b/>
                <w:bCs/>
              </w:rPr>
              <w:instrText xml:space="preserve"> NUMPAGES  </w:instrText>
            </w:r>
            <w:r w:rsidR="007B7117">
              <w:rPr>
                <w:b/>
                <w:bCs/>
                <w:sz w:val="24"/>
                <w:szCs w:val="24"/>
              </w:rPr>
              <w:fldChar w:fldCharType="separate"/>
            </w:r>
            <w:r w:rsidR="00325418">
              <w:rPr>
                <w:b/>
                <w:bCs/>
                <w:noProof/>
              </w:rPr>
              <w:t>11</w:t>
            </w:r>
            <w:r w:rsidR="007B7117">
              <w:rPr>
                <w:b/>
                <w:bCs/>
                <w:sz w:val="24"/>
                <w:szCs w:val="24"/>
              </w:rPr>
              <w:fldChar w:fldCharType="end"/>
            </w:r>
          </w:p>
        </w:sdtContent>
      </w:sdt>
    </w:sdtContent>
  </w:sdt>
  <w:p w:rsidR="00FC19C9" w:rsidRDefault="00FC1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Verdana" w:hAnsi="Verdana"/>
      </w:rPr>
      <w:id w:val="1647936077"/>
      <w:docPartObj>
        <w:docPartGallery w:val="Page Numbers (Bottom of Page)"/>
        <w:docPartUnique/>
      </w:docPartObj>
    </w:sdtPr>
    <w:sdtContent>
      <w:sdt>
        <w:sdtPr>
          <w:rPr>
            <w:rFonts w:ascii="Verdana" w:hAnsi="Verdana"/>
          </w:rPr>
          <w:id w:val="-1769616900"/>
          <w:docPartObj>
            <w:docPartGallery w:val="Page Numbers (Top of Page)"/>
            <w:docPartUnique/>
          </w:docPartObj>
        </w:sdtPr>
        <w:sdtContent>
          <w:p w:rsidR="0029352F" w:rsidRPr="0029352F" w:rsidRDefault="0029352F">
            <w:pPr>
              <w:pStyle w:val="Footer"/>
              <w:jc w:val="right"/>
              <w:rPr>
                <w:rFonts w:ascii="Verdana" w:hAnsi="Verdana"/>
              </w:rPr>
            </w:pPr>
            <w:r w:rsidRPr="0029352F">
              <w:rPr>
                <w:rFonts w:ascii="Verdana" w:hAnsi="Verdana"/>
              </w:rPr>
              <w:t xml:space="preserve">Page </w:t>
            </w:r>
            <w:r w:rsidR="007B7117" w:rsidRPr="0029352F">
              <w:rPr>
                <w:rFonts w:ascii="Verdana" w:hAnsi="Verdana"/>
                <w:b/>
                <w:bCs/>
                <w:sz w:val="24"/>
                <w:szCs w:val="24"/>
              </w:rPr>
              <w:fldChar w:fldCharType="begin"/>
            </w:r>
            <w:r w:rsidRPr="0029352F">
              <w:rPr>
                <w:rFonts w:ascii="Verdana" w:hAnsi="Verdana"/>
                <w:b/>
                <w:bCs/>
              </w:rPr>
              <w:instrText xml:space="preserve"> PAGE </w:instrText>
            </w:r>
            <w:r w:rsidR="007B7117" w:rsidRPr="0029352F">
              <w:rPr>
                <w:rFonts w:ascii="Verdana" w:hAnsi="Verdana"/>
                <w:b/>
                <w:bCs/>
                <w:sz w:val="24"/>
                <w:szCs w:val="24"/>
              </w:rPr>
              <w:fldChar w:fldCharType="separate"/>
            </w:r>
            <w:r w:rsidR="00325418">
              <w:rPr>
                <w:rFonts w:ascii="Verdana" w:hAnsi="Verdana"/>
                <w:b/>
                <w:bCs/>
                <w:noProof/>
              </w:rPr>
              <w:t>11</w:t>
            </w:r>
            <w:r w:rsidR="007B7117" w:rsidRPr="0029352F">
              <w:rPr>
                <w:rFonts w:ascii="Verdana" w:hAnsi="Verdana"/>
                <w:b/>
                <w:bCs/>
                <w:sz w:val="24"/>
                <w:szCs w:val="24"/>
              </w:rPr>
              <w:fldChar w:fldCharType="end"/>
            </w:r>
            <w:r w:rsidRPr="0029352F">
              <w:rPr>
                <w:rFonts w:ascii="Verdana" w:hAnsi="Verdana"/>
              </w:rPr>
              <w:t xml:space="preserve"> of </w:t>
            </w:r>
            <w:r w:rsidR="007B7117" w:rsidRPr="0029352F">
              <w:rPr>
                <w:rFonts w:ascii="Verdana" w:hAnsi="Verdana"/>
                <w:b/>
                <w:bCs/>
                <w:sz w:val="24"/>
                <w:szCs w:val="24"/>
              </w:rPr>
              <w:fldChar w:fldCharType="begin"/>
            </w:r>
            <w:r w:rsidRPr="0029352F">
              <w:rPr>
                <w:rFonts w:ascii="Verdana" w:hAnsi="Verdana"/>
                <w:b/>
                <w:bCs/>
              </w:rPr>
              <w:instrText xml:space="preserve"> NUMPAGES  </w:instrText>
            </w:r>
            <w:r w:rsidR="007B7117" w:rsidRPr="0029352F">
              <w:rPr>
                <w:rFonts w:ascii="Verdana" w:hAnsi="Verdana"/>
                <w:b/>
                <w:bCs/>
                <w:sz w:val="24"/>
                <w:szCs w:val="24"/>
              </w:rPr>
              <w:fldChar w:fldCharType="separate"/>
            </w:r>
            <w:r w:rsidR="00325418">
              <w:rPr>
                <w:rFonts w:ascii="Verdana" w:hAnsi="Verdana"/>
                <w:b/>
                <w:bCs/>
                <w:noProof/>
              </w:rPr>
              <w:t>11</w:t>
            </w:r>
            <w:r w:rsidR="007B7117" w:rsidRPr="0029352F">
              <w:rPr>
                <w:rFonts w:ascii="Verdana" w:hAnsi="Verdana"/>
                <w:b/>
                <w:bCs/>
                <w:sz w:val="24"/>
                <w:szCs w:val="24"/>
              </w:rPr>
              <w:fldChar w:fldCharType="end"/>
            </w:r>
          </w:p>
        </w:sdtContent>
      </w:sdt>
    </w:sdtContent>
  </w:sdt>
  <w:p w:rsidR="00F77FB1" w:rsidRDefault="007B7117">
    <w:pPr>
      <w:pStyle w:val="Footer"/>
    </w:pPr>
    <w:r>
      <w:rPr>
        <w:noProof/>
        <w:lang w:val="en-ZA" w:eastAsia="en-ZA"/>
      </w:rPr>
      <w:pict>
        <v:shapetype id="_x0000_t202" coordsize="21600,21600" o:spt="202" path="m,l,21600r21600,l21600,xe">
          <v:stroke joinstyle="miter"/>
          <v:path gradientshapeok="t" o:connecttype="rect"/>
        </v:shapetype>
        <v:shape id="MSIPCMe8e2442492d8cc0107cc87d8" o:spid="_x0000_s4097" type="#_x0000_t202" alt="{&quot;HashCode&quot;:93232263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COyUwqGwMAADYGAAAOAAAAAAAAAAAA&#10;AAAAAC4CAABkcnMvZTJvRG9jLnhtbFBLAQItABQABgAIAAAAIQAYBUDc3gAAAAsBAAAPAAAAAAAA&#10;AAAAAAAAAHUFAABkcnMvZG93bnJldi54bWxQSwUGAAAAAAQABADzAAAAgAYAAAAA&#10;" o:allowincell="f" filled="f" stroked="f" strokeweight=".5pt">
          <v:textbox inset="20pt,0,,0">
            <w:txbxContent>
              <w:p w:rsidR="0029352F" w:rsidRPr="0029352F" w:rsidRDefault="0029352F" w:rsidP="0029352F">
                <w:pPr>
                  <w:spacing w:after="0"/>
                  <w:rPr>
                    <w:rFonts w:ascii="Calibri" w:hAnsi="Calibri"/>
                    <w:color w:val="000000"/>
                    <w:sz w:val="20"/>
                  </w:rPr>
                </w:pPr>
                <w:r w:rsidRPr="0029352F">
                  <w:rPr>
                    <w:rFonts w:ascii="Calibri" w:hAnsi="Calibri"/>
                    <w:color w:val="000000"/>
                    <w:sz w:val="20"/>
                  </w:rPr>
                  <w:t>ICASA</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C01" w:rsidRDefault="00022C01" w:rsidP="00F77FB1">
      <w:pPr>
        <w:spacing w:after="0" w:line="240" w:lineRule="auto"/>
      </w:pPr>
      <w:r>
        <w:separator/>
      </w:r>
    </w:p>
  </w:footnote>
  <w:footnote w:type="continuationSeparator" w:id="0">
    <w:p w:rsidR="00022C01" w:rsidRDefault="00022C01" w:rsidP="00F77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9C9" w:rsidRDefault="00FC19C9" w:rsidP="00FC19C9">
    <w:pPr>
      <w:pStyle w:val="Header"/>
      <w:jc w:val="center"/>
      <w:rPr>
        <w:i/>
      </w:rPr>
    </w:pPr>
  </w:p>
  <w:p w:rsidR="00FC19C9" w:rsidRPr="00FC19C9" w:rsidRDefault="00FC19C9" w:rsidP="00FC19C9">
    <w:pPr>
      <w:pStyle w:val="Header"/>
      <w:jc w:val="center"/>
      <w:rPr>
        <w:i/>
      </w:rPr>
    </w:pPr>
    <w:r w:rsidRPr="00FC19C9">
      <w:rPr>
        <w:i/>
      </w:rPr>
      <w:t xml:space="preserve">Narrative for Presentation: Select Committee on </w:t>
    </w:r>
    <w:r w:rsidR="001E5FD7" w:rsidRPr="00FC19C9">
      <w:rPr>
        <w:i/>
      </w:rPr>
      <w:t>Communications</w:t>
    </w:r>
    <w:r w:rsidRPr="00FC19C9">
      <w:rPr>
        <w:i/>
      </w:rPr>
      <w:t xml:space="preserve"> &amp; Public Enterprises</w:t>
    </w:r>
  </w:p>
  <w:p w:rsidR="00FC19C9" w:rsidRPr="00FC19C9" w:rsidRDefault="00FC19C9" w:rsidP="00FC19C9">
    <w:pPr>
      <w:pStyle w:val="Header"/>
      <w:jc w:val="center"/>
      <w:rPr>
        <w:i/>
      </w:rPr>
    </w:pPr>
    <w:r w:rsidRPr="00FC19C9">
      <w:rPr>
        <w:i/>
      </w:rPr>
      <w:t xml:space="preserve">Cost to </w:t>
    </w:r>
    <w:r w:rsidR="001E5FD7" w:rsidRPr="00FC19C9">
      <w:rPr>
        <w:i/>
      </w:rPr>
      <w:t>Communicate</w:t>
    </w:r>
    <w:r w:rsidRPr="00FC19C9">
      <w:rPr>
        <w:i/>
      </w:rPr>
      <w:t xml:space="preserve"> and ECS / ECNS Licensees’ Compliance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996"/>
    <w:multiLevelType w:val="hybridMultilevel"/>
    <w:tmpl w:val="86644FBE"/>
    <w:lvl w:ilvl="0" w:tplc="8DA22B28">
      <w:start w:val="1"/>
      <w:numFmt w:val="bullet"/>
      <w:lvlText w:val="•"/>
      <w:lvlJc w:val="left"/>
      <w:pPr>
        <w:tabs>
          <w:tab w:val="num" w:pos="720"/>
        </w:tabs>
        <w:ind w:left="720" w:hanging="360"/>
      </w:pPr>
      <w:rPr>
        <w:rFonts w:ascii="Times New Roman" w:hAnsi="Times New Roman" w:hint="default"/>
      </w:rPr>
    </w:lvl>
    <w:lvl w:ilvl="1" w:tplc="1952AB04" w:tentative="1">
      <w:start w:val="1"/>
      <w:numFmt w:val="bullet"/>
      <w:lvlText w:val="•"/>
      <w:lvlJc w:val="left"/>
      <w:pPr>
        <w:tabs>
          <w:tab w:val="num" w:pos="1440"/>
        </w:tabs>
        <w:ind w:left="1440" w:hanging="360"/>
      </w:pPr>
      <w:rPr>
        <w:rFonts w:ascii="Times New Roman" w:hAnsi="Times New Roman" w:hint="default"/>
      </w:rPr>
    </w:lvl>
    <w:lvl w:ilvl="2" w:tplc="3A448D34" w:tentative="1">
      <w:start w:val="1"/>
      <w:numFmt w:val="bullet"/>
      <w:lvlText w:val="•"/>
      <w:lvlJc w:val="left"/>
      <w:pPr>
        <w:tabs>
          <w:tab w:val="num" w:pos="2160"/>
        </w:tabs>
        <w:ind w:left="2160" w:hanging="360"/>
      </w:pPr>
      <w:rPr>
        <w:rFonts w:ascii="Times New Roman" w:hAnsi="Times New Roman" w:hint="default"/>
      </w:rPr>
    </w:lvl>
    <w:lvl w:ilvl="3" w:tplc="89424904" w:tentative="1">
      <w:start w:val="1"/>
      <w:numFmt w:val="bullet"/>
      <w:lvlText w:val="•"/>
      <w:lvlJc w:val="left"/>
      <w:pPr>
        <w:tabs>
          <w:tab w:val="num" w:pos="2880"/>
        </w:tabs>
        <w:ind w:left="2880" w:hanging="360"/>
      </w:pPr>
      <w:rPr>
        <w:rFonts w:ascii="Times New Roman" w:hAnsi="Times New Roman" w:hint="default"/>
      </w:rPr>
    </w:lvl>
    <w:lvl w:ilvl="4" w:tplc="7D4EA1E0" w:tentative="1">
      <w:start w:val="1"/>
      <w:numFmt w:val="bullet"/>
      <w:lvlText w:val="•"/>
      <w:lvlJc w:val="left"/>
      <w:pPr>
        <w:tabs>
          <w:tab w:val="num" w:pos="3600"/>
        </w:tabs>
        <w:ind w:left="3600" w:hanging="360"/>
      </w:pPr>
      <w:rPr>
        <w:rFonts w:ascii="Times New Roman" w:hAnsi="Times New Roman" w:hint="default"/>
      </w:rPr>
    </w:lvl>
    <w:lvl w:ilvl="5" w:tplc="8EA4A22E" w:tentative="1">
      <w:start w:val="1"/>
      <w:numFmt w:val="bullet"/>
      <w:lvlText w:val="•"/>
      <w:lvlJc w:val="left"/>
      <w:pPr>
        <w:tabs>
          <w:tab w:val="num" w:pos="4320"/>
        </w:tabs>
        <w:ind w:left="4320" w:hanging="360"/>
      </w:pPr>
      <w:rPr>
        <w:rFonts w:ascii="Times New Roman" w:hAnsi="Times New Roman" w:hint="default"/>
      </w:rPr>
    </w:lvl>
    <w:lvl w:ilvl="6" w:tplc="41049AB2" w:tentative="1">
      <w:start w:val="1"/>
      <w:numFmt w:val="bullet"/>
      <w:lvlText w:val="•"/>
      <w:lvlJc w:val="left"/>
      <w:pPr>
        <w:tabs>
          <w:tab w:val="num" w:pos="5040"/>
        </w:tabs>
        <w:ind w:left="5040" w:hanging="360"/>
      </w:pPr>
      <w:rPr>
        <w:rFonts w:ascii="Times New Roman" w:hAnsi="Times New Roman" w:hint="default"/>
      </w:rPr>
    </w:lvl>
    <w:lvl w:ilvl="7" w:tplc="0BBC9CB0" w:tentative="1">
      <w:start w:val="1"/>
      <w:numFmt w:val="bullet"/>
      <w:lvlText w:val="•"/>
      <w:lvlJc w:val="left"/>
      <w:pPr>
        <w:tabs>
          <w:tab w:val="num" w:pos="5760"/>
        </w:tabs>
        <w:ind w:left="5760" w:hanging="360"/>
      </w:pPr>
      <w:rPr>
        <w:rFonts w:ascii="Times New Roman" w:hAnsi="Times New Roman" w:hint="default"/>
      </w:rPr>
    </w:lvl>
    <w:lvl w:ilvl="8" w:tplc="AF6EB430" w:tentative="1">
      <w:start w:val="1"/>
      <w:numFmt w:val="bullet"/>
      <w:lvlText w:val="•"/>
      <w:lvlJc w:val="left"/>
      <w:pPr>
        <w:tabs>
          <w:tab w:val="num" w:pos="6480"/>
        </w:tabs>
        <w:ind w:left="6480" w:hanging="360"/>
      </w:pPr>
      <w:rPr>
        <w:rFonts w:ascii="Times New Roman" w:hAnsi="Times New Roman" w:hint="default"/>
      </w:rPr>
    </w:lvl>
  </w:abstractNum>
  <w:abstractNum w:abstractNumId="1">
    <w:nsid w:val="149962B8"/>
    <w:multiLevelType w:val="hybridMultilevel"/>
    <w:tmpl w:val="CE4270F6"/>
    <w:lvl w:ilvl="0" w:tplc="EC2006E0">
      <w:start w:val="1"/>
      <w:numFmt w:val="bullet"/>
      <w:lvlText w:val=""/>
      <w:lvlJc w:val="left"/>
      <w:pPr>
        <w:tabs>
          <w:tab w:val="num" w:pos="720"/>
        </w:tabs>
        <w:ind w:left="720" w:hanging="360"/>
      </w:pPr>
      <w:rPr>
        <w:rFonts w:ascii="Wingdings" w:hAnsi="Wingdings" w:hint="default"/>
      </w:rPr>
    </w:lvl>
    <w:lvl w:ilvl="1" w:tplc="1CCE8C70">
      <w:numFmt w:val="bullet"/>
      <w:lvlText w:val=""/>
      <w:lvlJc w:val="left"/>
      <w:pPr>
        <w:tabs>
          <w:tab w:val="num" w:pos="1440"/>
        </w:tabs>
        <w:ind w:left="1440" w:hanging="360"/>
      </w:pPr>
      <w:rPr>
        <w:rFonts w:ascii="Wingdings" w:hAnsi="Wingdings" w:hint="default"/>
      </w:rPr>
    </w:lvl>
    <w:lvl w:ilvl="2" w:tplc="4E2A1A62" w:tentative="1">
      <w:start w:val="1"/>
      <w:numFmt w:val="bullet"/>
      <w:lvlText w:val=""/>
      <w:lvlJc w:val="left"/>
      <w:pPr>
        <w:tabs>
          <w:tab w:val="num" w:pos="2160"/>
        </w:tabs>
        <w:ind w:left="2160" w:hanging="360"/>
      </w:pPr>
      <w:rPr>
        <w:rFonts w:ascii="Wingdings" w:hAnsi="Wingdings" w:hint="default"/>
      </w:rPr>
    </w:lvl>
    <w:lvl w:ilvl="3" w:tplc="86363F0E" w:tentative="1">
      <w:start w:val="1"/>
      <w:numFmt w:val="bullet"/>
      <w:lvlText w:val=""/>
      <w:lvlJc w:val="left"/>
      <w:pPr>
        <w:tabs>
          <w:tab w:val="num" w:pos="2880"/>
        </w:tabs>
        <w:ind w:left="2880" w:hanging="360"/>
      </w:pPr>
      <w:rPr>
        <w:rFonts w:ascii="Wingdings" w:hAnsi="Wingdings" w:hint="default"/>
      </w:rPr>
    </w:lvl>
    <w:lvl w:ilvl="4" w:tplc="7EBEBB16" w:tentative="1">
      <w:start w:val="1"/>
      <w:numFmt w:val="bullet"/>
      <w:lvlText w:val=""/>
      <w:lvlJc w:val="left"/>
      <w:pPr>
        <w:tabs>
          <w:tab w:val="num" w:pos="3600"/>
        </w:tabs>
        <w:ind w:left="3600" w:hanging="360"/>
      </w:pPr>
      <w:rPr>
        <w:rFonts w:ascii="Wingdings" w:hAnsi="Wingdings" w:hint="default"/>
      </w:rPr>
    </w:lvl>
    <w:lvl w:ilvl="5" w:tplc="E4FEA7B8" w:tentative="1">
      <w:start w:val="1"/>
      <w:numFmt w:val="bullet"/>
      <w:lvlText w:val=""/>
      <w:lvlJc w:val="left"/>
      <w:pPr>
        <w:tabs>
          <w:tab w:val="num" w:pos="4320"/>
        </w:tabs>
        <w:ind w:left="4320" w:hanging="360"/>
      </w:pPr>
      <w:rPr>
        <w:rFonts w:ascii="Wingdings" w:hAnsi="Wingdings" w:hint="default"/>
      </w:rPr>
    </w:lvl>
    <w:lvl w:ilvl="6" w:tplc="EA4AA4C6" w:tentative="1">
      <w:start w:val="1"/>
      <w:numFmt w:val="bullet"/>
      <w:lvlText w:val=""/>
      <w:lvlJc w:val="left"/>
      <w:pPr>
        <w:tabs>
          <w:tab w:val="num" w:pos="5040"/>
        </w:tabs>
        <w:ind w:left="5040" w:hanging="360"/>
      </w:pPr>
      <w:rPr>
        <w:rFonts w:ascii="Wingdings" w:hAnsi="Wingdings" w:hint="default"/>
      </w:rPr>
    </w:lvl>
    <w:lvl w:ilvl="7" w:tplc="DA34BF68" w:tentative="1">
      <w:start w:val="1"/>
      <w:numFmt w:val="bullet"/>
      <w:lvlText w:val=""/>
      <w:lvlJc w:val="left"/>
      <w:pPr>
        <w:tabs>
          <w:tab w:val="num" w:pos="5760"/>
        </w:tabs>
        <w:ind w:left="5760" w:hanging="360"/>
      </w:pPr>
      <w:rPr>
        <w:rFonts w:ascii="Wingdings" w:hAnsi="Wingdings" w:hint="default"/>
      </w:rPr>
    </w:lvl>
    <w:lvl w:ilvl="8" w:tplc="8E2CC65A" w:tentative="1">
      <w:start w:val="1"/>
      <w:numFmt w:val="bullet"/>
      <w:lvlText w:val=""/>
      <w:lvlJc w:val="left"/>
      <w:pPr>
        <w:tabs>
          <w:tab w:val="num" w:pos="6480"/>
        </w:tabs>
        <w:ind w:left="6480" w:hanging="360"/>
      </w:pPr>
      <w:rPr>
        <w:rFonts w:ascii="Wingdings" w:hAnsi="Wingdings" w:hint="default"/>
      </w:rPr>
    </w:lvl>
  </w:abstractNum>
  <w:abstractNum w:abstractNumId="2">
    <w:nsid w:val="1A751E69"/>
    <w:multiLevelType w:val="hybridMultilevel"/>
    <w:tmpl w:val="A3B8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05A54"/>
    <w:multiLevelType w:val="hybridMultilevel"/>
    <w:tmpl w:val="292844B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A45061"/>
    <w:multiLevelType w:val="hybridMultilevel"/>
    <w:tmpl w:val="9B103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D24D4E"/>
    <w:multiLevelType w:val="hybridMultilevel"/>
    <w:tmpl w:val="F5F0B0C8"/>
    <w:lvl w:ilvl="0" w:tplc="1C090001">
      <w:start w:val="1"/>
      <w:numFmt w:val="bullet"/>
      <w:lvlText w:val=""/>
      <w:lvlJc w:val="left"/>
      <w:pPr>
        <w:ind w:left="862" w:hanging="360"/>
      </w:pPr>
      <w:rPr>
        <w:rFonts w:ascii="Symbol" w:hAnsi="Symbol" w:hint="default"/>
      </w:rPr>
    </w:lvl>
    <w:lvl w:ilvl="1" w:tplc="1C090003">
      <w:start w:val="1"/>
      <w:numFmt w:val="bullet"/>
      <w:lvlText w:val="o"/>
      <w:lvlJc w:val="left"/>
      <w:pPr>
        <w:ind w:left="1582" w:hanging="360"/>
      </w:pPr>
      <w:rPr>
        <w:rFonts w:ascii="Courier New" w:hAnsi="Courier New" w:cs="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cs="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cs="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6">
    <w:nsid w:val="2BA17558"/>
    <w:multiLevelType w:val="hybridMultilevel"/>
    <w:tmpl w:val="04C67D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2D72798"/>
    <w:multiLevelType w:val="multilevel"/>
    <w:tmpl w:val="A5F6726E"/>
    <w:lvl w:ilvl="0">
      <w:start w:val="3"/>
      <w:numFmt w:val="decimal"/>
      <w:lvlText w:val="%1."/>
      <w:lvlJc w:val="left"/>
      <w:pPr>
        <w:ind w:left="720" w:hanging="720"/>
      </w:pPr>
      <w:rPr>
        <w:rFonts w:hint="default"/>
        <w:b/>
      </w:rPr>
    </w:lvl>
    <w:lvl w:ilvl="1">
      <w:start w:val="9"/>
      <w:numFmt w:val="decimal"/>
      <w:lvlText w:val="%1.%2."/>
      <w:lvlJc w:val="left"/>
      <w:pPr>
        <w:ind w:left="720" w:hanging="720"/>
      </w:pPr>
      <w:rPr>
        <w:rFonts w:hint="default"/>
        <w:b/>
      </w:rPr>
    </w:lvl>
    <w:lvl w:ilvl="2">
      <w:start w:val="2"/>
      <w:numFmt w:val="decimal"/>
      <w:lvlText w:val="%1.%2.%3."/>
      <w:lvlJc w:val="left"/>
      <w:pPr>
        <w:ind w:left="9450" w:hanging="1080"/>
      </w:pPr>
      <w:rPr>
        <w:rFonts w:hint="default"/>
        <w:b/>
        <w:i w:val="0"/>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8">
    <w:nsid w:val="3952497E"/>
    <w:multiLevelType w:val="hybridMultilevel"/>
    <w:tmpl w:val="323EF9C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D6F15A4"/>
    <w:multiLevelType w:val="hybridMultilevel"/>
    <w:tmpl w:val="B62A0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F75F4D"/>
    <w:multiLevelType w:val="hybridMultilevel"/>
    <w:tmpl w:val="AD5E88A6"/>
    <w:lvl w:ilvl="0" w:tplc="CA2EBBB4">
      <w:start w:val="1"/>
      <w:numFmt w:val="bullet"/>
      <w:lvlText w:val=""/>
      <w:lvlJc w:val="left"/>
      <w:pPr>
        <w:tabs>
          <w:tab w:val="num" w:pos="720"/>
        </w:tabs>
        <w:ind w:left="720" w:hanging="360"/>
      </w:pPr>
      <w:rPr>
        <w:rFonts w:ascii="Wingdings" w:hAnsi="Wingdings" w:hint="default"/>
      </w:rPr>
    </w:lvl>
    <w:lvl w:ilvl="1" w:tplc="764A6E26" w:tentative="1">
      <w:start w:val="1"/>
      <w:numFmt w:val="bullet"/>
      <w:lvlText w:val=""/>
      <w:lvlJc w:val="left"/>
      <w:pPr>
        <w:tabs>
          <w:tab w:val="num" w:pos="1440"/>
        </w:tabs>
        <w:ind w:left="1440" w:hanging="360"/>
      </w:pPr>
      <w:rPr>
        <w:rFonts w:ascii="Wingdings" w:hAnsi="Wingdings" w:hint="default"/>
      </w:rPr>
    </w:lvl>
    <w:lvl w:ilvl="2" w:tplc="039E2B0A" w:tentative="1">
      <w:start w:val="1"/>
      <w:numFmt w:val="bullet"/>
      <w:lvlText w:val=""/>
      <w:lvlJc w:val="left"/>
      <w:pPr>
        <w:tabs>
          <w:tab w:val="num" w:pos="2160"/>
        </w:tabs>
        <w:ind w:left="2160" w:hanging="360"/>
      </w:pPr>
      <w:rPr>
        <w:rFonts w:ascii="Wingdings" w:hAnsi="Wingdings" w:hint="default"/>
      </w:rPr>
    </w:lvl>
    <w:lvl w:ilvl="3" w:tplc="A2B6B618" w:tentative="1">
      <w:start w:val="1"/>
      <w:numFmt w:val="bullet"/>
      <w:lvlText w:val=""/>
      <w:lvlJc w:val="left"/>
      <w:pPr>
        <w:tabs>
          <w:tab w:val="num" w:pos="2880"/>
        </w:tabs>
        <w:ind w:left="2880" w:hanging="360"/>
      </w:pPr>
      <w:rPr>
        <w:rFonts w:ascii="Wingdings" w:hAnsi="Wingdings" w:hint="default"/>
      </w:rPr>
    </w:lvl>
    <w:lvl w:ilvl="4" w:tplc="3A6E038A" w:tentative="1">
      <w:start w:val="1"/>
      <w:numFmt w:val="bullet"/>
      <w:lvlText w:val=""/>
      <w:lvlJc w:val="left"/>
      <w:pPr>
        <w:tabs>
          <w:tab w:val="num" w:pos="3600"/>
        </w:tabs>
        <w:ind w:left="3600" w:hanging="360"/>
      </w:pPr>
      <w:rPr>
        <w:rFonts w:ascii="Wingdings" w:hAnsi="Wingdings" w:hint="default"/>
      </w:rPr>
    </w:lvl>
    <w:lvl w:ilvl="5" w:tplc="2CE6EF5C" w:tentative="1">
      <w:start w:val="1"/>
      <w:numFmt w:val="bullet"/>
      <w:lvlText w:val=""/>
      <w:lvlJc w:val="left"/>
      <w:pPr>
        <w:tabs>
          <w:tab w:val="num" w:pos="4320"/>
        </w:tabs>
        <w:ind w:left="4320" w:hanging="360"/>
      </w:pPr>
      <w:rPr>
        <w:rFonts w:ascii="Wingdings" w:hAnsi="Wingdings" w:hint="default"/>
      </w:rPr>
    </w:lvl>
    <w:lvl w:ilvl="6" w:tplc="2A2E71F4" w:tentative="1">
      <w:start w:val="1"/>
      <w:numFmt w:val="bullet"/>
      <w:lvlText w:val=""/>
      <w:lvlJc w:val="left"/>
      <w:pPr>
        <w:tabs>
          <w:tab w:val="num" w:pos="5040"/>
        </w:tabs>
        <w:ind w:left="5040" w:hanging="360"/>
      </w:pPr>
      <w:rPr>
        <w:rFonts w:ascii="Wingdings" w:hAnsi="Wingdings" w:hint="default"/>
      </w:rPr>
    </w:lvl>
    <w:lvl w:ilvl="7" w:tplc="27C64122" w:tentative="1">
      <w:start w:val="1"/>
      <w:numFmt w:val="bullet"/>
      <w:lvlText w:val=""/>
      <w:lvlJc w:val="left"/>
      <w:pPr>
        <w:tabs>
          <w:tab w:val="num" w:pos="5760"/>
        </w:tabs>
        <w:ind w:left="5760" w:hanging="360"/>
      </w:pPr>
      <w:rPr>
        <w:rFonts w:ascii="Wingdings" w:hAnsi="Wingdings" w:hint="default"/>
      </w:rPr>
    </w:lvl>
    <w:lvl w:ilvl="8" w:tplc="25C44A72" w:tentative="1">
      <w:start w:val="1"/>
      <w:numFmt w:val="bullet"/>
      <w:lvlText w:val=""/>
      <w:lvlJc w:val="left"/>
      <w:pPr>
        <w:tabs>
          <w:tab w:val="num" w:pos="6480"/>
        </w:tabs>
        <w:ind w:left="6480" w:hanging="360"/>
      </w:pPr>
      <w:rPr>
        <w:rFonts w:ascii="Wingdings" w:hAnsi="Wingdings" w:hint="default"/>
      </w:rPr>
    </w:lvl>
  </w:abstractNum>
  <w:abstractNum w:abstractNumId="11">
    <w:nsid w:val="46EE66FB"/>
    <w:multiLevelType w:val="hybridMultilevel"/>
    <w:tmpl w:val="13483346"/>
    <w:lvl w:ilvl="0" w:tplc="578044C6">
      <w:start w:val="1"/>
      <w:numFmt w:val="bullet"/>
      <w:lvlText w:val=""/>
      <w:lvlJc w:val="left"/>
      <w:pPr>
        <w:tabs>
          <w:tab w:val="num" w:pos="720"/>
        </w:tabs>
        <w:ind w:left="720" w:hanging="360"/>
      </w:pPr>
      <w:rPr>
        <w:rFonts w:ascii="Wingdings" w:hAnsi="Wingdings" w:hint="default"/>
      </w:rPr>
    </w:lvl>
    <w:lvl w:ilvl="1" w:tplc="E7D0BACA" w:tentative="1">
      <w:start w:val="1"/>
      <w:numFmt w:val="bullet"/>
      <w:lvlText w:val=""/>
      <w:lvlJc w:val="left"/>
      <w:pPr>
        <w:tabs>
          <w:tab w:val="num" w:pos="1440"/>
        </w:tabs>
        <w:ind w:left="1440" w:hanging="360"/>
      </w:pPr>
      <w:rPr>
        <w:rFonts w:ascii="Wingdings" w:hAnsi="Wingdings" w:hint="default"/>
      </w:rPr>
    </w:lvl>
    <w:lvl w:ilvl="2" w:tplc="66F8D55C" w:tentative="1">
      <w:start w:val="1"/>
      <w:numFmt w:val="bullet"/>
      <w:lvlText w:val=""/>
      <w:lvlJc w:val="left"/>
      <w:pPr>
        <w:tabs>
          <w:tab w:val="num" w:pos="2160"/>
        </w:tabs>
        <w:ind w:left="2160" w:hanging="360"/>
      </w:pPr>
      <w:rPr>
        <w:rFonts w:ascii="Wingdings" w:hAnsi="Wingdings" w:hint="default"/>
      </w:rPr>
    </w:lvl>
    <w:lvl w:ilvl="3" w:tplc="BFC8D12E" w:tentative="1">
      <w:start w:val="1"/>
      <w:numFmt w:val="bullet"/>
      <w:lvlText w:val=""/>
      <w:lvlJc w:val="left"/>
      <w:pPr>
        <w:tabs>
          <w:tab w:val="num" w:pos="2880"/>
        </w:tabs>
        <w:ind w:left="2880" w:hanging="360"/>
      </w:pPr>
      <w:rPr>
        <w:rFonts w:ascii="Wingdings" w:hAnsi="Wingdings" w:hint="default"/>
      </w:rPr>
    </w:lvl>
    <w:lvl w:ilvl="4" w:tplc="71506556" w:tentative="1">
      <w:start w:val="1"/>
      <w:numFmt w:val="bullet"/>
      <w:lvlText w:val=""/>
      <w:lvlJc w:val="left"/>
      <w:pPr>
        <w:tabs>
          <w:tab w:val="num" w:pos="3600"/>
        </w:tabs>
        <w:ind w:left="3600" w:hanging="360"/>
      </w:pPr>
      <w:rPr>
        <w:rFonts w:ascii="Wingdings" w:hAnsi="Wingdings" w:hint="default"/>
      </w:rPr>
    </w:lvl>
    <w:lvl w:ilvl="5" w:tplc="12243F08" w:tentative="1">
      <w:start w:val="1"/>
      <w:numFmt w:val="bullet"/>
      <w:lvlText w:val=""/>
      <w:lvlJc w:val="left"/>
      <w:pPr>
        <w:tabs>
          <w:tab w:val="num" w:pos="4320"/>
        </w:tabs>
        <w:ind w:left="4320" w:hanging="360"/>
      </w:pPr>
      <w:rPr>
        <w:rFonts w:ascii="Wingdings" w:hAnsi="Wingdings" w:hint="default"/>
      </w:rPr>
    </w:lvl>
    <w:lvl w:ilvl="6" w:tplc="8FD8DF46" w:tentative="1">
      <w:start w:val="1"/>
      <w:numFmt w:val="bullet"/>
      <w:lvlText w:val=""/>
      <w:lvlJc w:val="left"/>
      <w:pPr>
        <w:tabs>
          <w:tab w:val="num" w:pos="5040"/>
        </w:tabs>
        <w:ind w:left="5040" w:hanging="360"/>
      </w:pPr>
      <w:rPr>
        <w:rFonts w:ascii="Wingdings" w:hAnsi="Wingdings" w:hint="default"/>
      </w:rPr>
    </w:lvl>
    <w:lvl w:ilvl="7" w:tplc="1BFE3684" w:tentative="1">
      <w:start w:val="1"/>
      <w:numFmt w:val="bullet"/>
      <w:lvlText w:val=""/>
      <w:lvlJc w:val="left"/>
      <w:pPr>
        <w:tabs>
          <w:tab w:val="num" w:pos="5760"/>
        </w:tabs>
        <w:ind w:left="5760" w:hanging="360"/>
      </w:pPr>
      <w:rPr>
        <w:rFonts w:ascii="Wingdings" w:hAnsi="Wingdings" w:hint="default"/>
      </w:rPr>
    </w:lvl>
    <w:lvl w:ilvl="8" w:tplc="CB56552A" w:tentative="1">
      <w:start w:val="1"/>
      <w:numFmt w:val="bullet"/>
      <w:lvlText w:val=""/>
      <w:lvlJc w:val="left"/>
      <w:pPr>
        <w:tabs>
          <w:tab w:val="num" w:pos="6480"/>
        </w:tabs>
        <w:ind w:left="6480" w:hanging="360"/>
      </w:pPr>
      <w:rPr>
        <w:rFonts w:ascii="Wingdings" w:hAnsi="Wingdings" w:hint="default"/>
      </w:rPr>
    </w:lvl>
  </w:abstractNum>
  <w:abstractNum w:abstractNumId="12">
    <w:nsid w:val="552249D2"/>
    <w:multiLevelType w:val="multilevel"/>
    <w:tmpl w:val="97C0118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3">
    <w:nsid w:val="55C240C3"/>
    <w:multiLevelType w:val="hybridMultilevel"/>
    <w:tmpl w:val="0450DC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1E7B3E"/>
    <w:multiLevelType w:val="hybridMultilevel"/>
    <w:tmpl w:val="B8F4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65F50"/>
    <w:multiLevelType w:val="hybridMultilevel"/>
    <w:tmpl w:val="A8F2CE6E"/>
    <w:lvl w:ilvl="0" w:tplc="F1D08052">
      <w:start w:val="1"/>
      <w:numFmt w:val="bullet"/>
      <w:lvlText w:val=""/>
      <w:lvlJc w:val="left"/>
      <w:pPr>
        <w:tabs>
          <w:tab w:val="num" w:pos="720"/>
        </w:tabs>
        <w:ind w:left="720" w:hanging="360"/>
      </w:pPr>
      <w:rPr>
        <w:rFonts w:ascii="Wingdings" w:hAnsi="Wingdings" w:hint="default"/>
      </w:rPr>
    </w:lvl>
    <w:lvl w:ilvl="1" w:tplc="4DA64B64" w:tentative="1">
      <w:start w:val="1"/>
      <w:numFmt w:val="bullet"/>
      <w:lvlText w:val=""/>
      <w:lvlJc w:val="left"/>
      <w:pPr>
        <w:tabs>
          <w:tab w:val="num" w:pos="1440"/>
        </w:tabs>
        <w:ind w:left="1440" w:hanging="360"/>
      </w:pPr>
      <w:rPr>
        <w:rFonts w:ascii="Wingdings" w:hAnsi="Wingdings" w:hint="default"/>
      </w:rPr>
    </w:lvl>
    <w:lvl w:ilvl="2" w:tplc="B8EE0078" w:tentative="1">
      <w:start w:val="1"/>
      <w:numFmt w:val="bullet"/>
      <w:lvlText w:val=""/>
      <w:lvlJc w:val="left"/>
      <w:pPr>
        <w:tabs>
          <w:tab w:val="num" w:pos="2160"/>
        </w:tabs>
        <w:ind w:left="2160" w:hanging="360"/>
      </w:pPr>
      <w:rPr>
        <w:rFonts w:ascii="Wingdings" w:hAnsi="Wingdings" w:hint="default"/>
      </w:rPr>
    </w:lvl>
    <w:lvl w:ilvl="3" w:tplc="7982E492" w:tentative="1">
      <w:start w:val="1"/>
      <w:numFmt w:val="bullet"/>
      <w:lvlText w:val=""/>
      <w:lvlJc w:val="left"/>
      <w:pPr>
        <w:tabs>
          <w:tab w:val="num" w:pos="2880"/>
        </w:tabs>
        <w:ind w:left="2880" w:hanging="360"/>
      </w:pPr>
      <w:rPr>
        <w:rFonts w:ascii="Wingdings" w:hAnsi="Wingdings" w:hint="default"/>
      </w:rPr>
    </w:lvl>
    <w:lvl w:ilvl="4" w:tplc="7A1C0C9A" w:tentative="1">
      <w:start w:val="1"/>
      <w:numFmt w:val="bullet"/>
      <w:lvlText w:val=""/>
      <w:lvlJc w:val="left"/>
      <w:pPr>
        <w:tabs>
          <w:tab w:val="num" w:pos="3600"/>
        </w:tabs>
        <w:ind w:left="3600" w:hanging="360"/>
      </w:pPr>
      <w:rPr>
        <w:rFonts w:ascii="Wingdings" w:hAnsi="Wingdings" w:hint="default"/>
      </w:rPr>
    </w:lvl>
    <w:lvl w:ilvl="5" w:tplc="E32C8DE6" w:tentative="1">
      <w:start w:val="1"/>
      <w:numFmt w:val="bullet"/>
      <w:lvlText w:val=""/>
      <w:lvlJc w:val="left"/>
      <w:pPr>
        <w:tabs>
          <w:tab w:val="num" w:pos="4320"/>
        </w:tabs>
        <w:ind w:left="4320" w:hanging="360"/>
      </w:pPr>
      <w:rPr>
        <w:rFonts w:ascii="Wingdings" w:hAnsi="Wingdings" w:hint="default"/>
      </w:rPr>
    </w:lvl>
    <w:lvl w:ilvl="6" w:tplc="197CEEFA" w:tentative="1">
      <w:start w:val="1"/>
      <w:numFmt w:val="bullet"/>
      <w:lvlText w:val=""/>
      <w:lvlJc w:val="left"/>
      <w:pPr>
        <w:tabs>
          <w:tab w:val="num" w:pos="5040"/>
        </w:tabs>
        <w:ind w:left="5040" w:hanging="360"/>
      </w:pPr>
      <w:rPr>
        <w:rFonts w:ascii="Wingdings" w:hAnsi="Wingdings" w:hint="default"/>
      </w:rPr>
    </w:lvl>
    <w:lvl w:ilvl="7" w:tplc="92706BC2" w:tentative="1">
      <w:start w:val="1"/>
      <w:numFmt w:val="bullet"/>
      <w:lvlText w:val=""/>
      <w:lvlJc w:val="left"/>
      <w:pPr>
        <w:tabs>
          <w:tab w:val="num" w:pos="5760"/>
        </w:tabs>
        <w:ind w:left="5760" w:hanging="360"/>
      </w:pPr>
      <w:rPr>
        <w:rFonts w:ascii="Wingdings" w:hAnsi="Wingdings" w:hint="default"/>
      </w:rPr>
    </w:lvl>
    <w:lvl w:ilvl="8" w:tplc="636231C4" w:tentative="1">
      <w:start w:val="1"/>
      <w:numFmt w:val="bullet"/>
      <w:lvlText w:val=""/>
      <w:lvlJc w:val="left"/>
      <w:pPr>
        <w:tabs>
          <w:tab w:val="num" w:pos="6480"/>
        </w:tabs>
        <w:ind w:left="6480" w:hanging="360"/>
      </w:pPr>
      <w:rPr>
        <w:rFonts w:ascii="Wingdings" w:hAnsi="Wingdings" w:hint="default"/>
      </w:rPr>
    </w:lvl>
  </w:abstractNum>
  <w:abstractNum w:abstractNumId="16">
    <w:nsid w:val="6E4939D8"/>
    <w:multiLevelType w:val="hybridMultilevel"/>
    <w:tmpl w:val="C8B0B156"/>
    <w:lvl w:ilvl="0" w:tplc="B55611BC">
      <w:start w:val="1"/>
      <w:numFmt w:val="bullet"/>
      <w:lvlText w:val="•"/>
      <w:lvlJc w:val="left"/>
      <w:pPr>
        <w:tabs>
          <w:tab w:val="num" w:pos="720"/>
        </w:tabs>
        <w:ind w:left="720" w:hanging="360"/>
      </w:pPr>
      <w:rPr>
        <w:rFonts w:ascii="Times New Roman" w:hAnsi="Times New Roman" w:hint="default"/>
      </w:rPr>
    </w:lvl>
    <w:lvl w:ilvl="1" w:tplc="9564A3B0" w:tentative="1">
      <w:start w:val="1"/>
      <w:numFmt w:val="bullet"/>
      <w:lvlText w:val="•"/>
      <w:lvlJc w:val="left"/>
      <w:pPr>
        <w:tabs>
          <w:tab w:val="num" w:pos="1440"/>
        </w:tabs>
        <w:ind w:left="1440" w:hanging="360"/>
      </w:pPr>
      <w:rPr>
        <w:rFonts w:ascii="Times New Roman" w:hAnsi="Times New Roman" w:hint="default"/>
      </w:rPr>
    </w:lvl>
    <w:lvl w:ilvl="2" w:tplc="176013DE" w:tentative="1">
      <w:start w:val="1"/>
      <w:numFmt w:val="bullet"/>
      <w:lvlText w:val="•"/>
      <w:lvlJc w:val="left"/>
      <w:pPr>
        <w:tabs>
          <w:tab w:val="num" w:pos="2160"/>
        </w:tabs>
        <w:ind w:left="2160" w:hanging="360"/>
      </w:pPr>
      <w:rPr>
        <w:rFonts w:ascii="Times New Roman" w:hAnsi="Times New Roman" w:hint="default"/>
      </w:rPr>
    </w:lvl>
    <w:lvl w:ilvl="3" w:tplc="9F1ECBF4" w:tentative="1">
      <w:start w:val="1"/>
      <w:numFmt w:val="bullet"/>
      <w:lvlText w:val="•"/>
      <w:lvlJc w:val="left"/>
      <w:pPr>
        <w:tabs>
          <w:tab w:val="num" w:pos="2880"/>
        </w:tabs>
        <w:ind w:left="2880" w:hanging="360"/>
      </w:pPr>
      <w:rPr>
        <w:rFonts w:ascii="Times New Roman" w:hAnsi="Times New Roman" w:hint="default"/>
      </w:rPr>
    </w:lvl>
    <w:lvl w:ilvl="4" w:tplc="FB300D76" w:tentative="1">
      <w:start w:val="1"/>
      <w:numFmt w:val="bullet"/>
      <w:lvlText w:val="•"/>
      <w:lvlJc w:val="left"/>
      <w:pPr>
        <w:tabs>
          <w:tab w:val="num" w:pos="3600"/>
        </w:tabs>
        <w:ind w:left="3600" w:hanging="360"/>
      </w:pPr>
      <w:rPr>
        <w:rFonts w:ascii="Times New Roman" w:hAnsi="Times New Roman" w:hint="default"/>
      </w:rPr>
    </w:lvl>
    <w:lvl w:ilvl="5" w:tplc="B4FCA056" w:tentative="1">
      <w:start w:val="1"/>
      <w:numFmt w:val="bullet"/>
      <w:lvlText w:val="•"/>
      <w:lvlJc w:val="left"/>
      <w:pPr>
        <w:tabs>
          <w:tab w:val="num" w:pos="4320"/>
        </w:tabs>
        <w:ind w:left="4320" w:hanging="360"/>
      </w:pPr>
      <w:rPr>
        <w:rFonts w:ascii="Times New Roman" w:hAnsi="Times New Roman" w:hint="default"/>
      </w:rPr>
    </w:lvl>
    <w:lvl w:ilvl="6" w:tplc="9F68CFC4" w:tentative="1">
      <w:start w:val="1"/>
      <w:numFmt w:val="bullet"/>
      <w:lvlText w:val="•"/>
      <w:lvlJc w:val="left"/>
      <w:pPr>
        <w:tabs>
          <w:tab w:val="num" w:pos="5040"/>
        </w:tabs>
        <w:ind w:left="5040" w:hanging="360"/>
      </w:pPr>
      <w:rPr>
        <w:rFonts w:ascii="Times New Roman" w:hAnsi="Times New Roman" w:hint="default"/>
      </w:rPr>
    </w:lvl>
    <w:lvl w:ilvl="7" w:tplc="3B68882A" w:tentative="1">
      <w:start w:val="1"/>
      <w:numFmt w:val="bullet"/>
      <w:lvlText w:val="•"/>
      <w:lvlJc w:val="left"/>
      <w:pPr>
        <w:tabs>
          <w:tab w:val="num" w:pos="5760"/>
        </w:tabs>
        <w:ind w:left="5760" w:hanging="360"/>
      </w:pPr>
      <w:rPr>
        <w:rFonts w:ascii="Times New Roman" w:hAnsi="Times New Roman" w:hint="default"/>
      </w:rPr>
    </w:lvl>
    <w:lvl w:ilvl="8" w:tplc="4BF69D3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D527E50"/>
    <w:multiLevelType w:val="hybridMultilevel"/>
    <w:tmpl w:val="34C4D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2"/>
  </w:num>
  <w:num w:numId="4">
    <w:abstractNumId w:val="16"/>
  </w:num>
  <w:num w:numId="5">
    <w:abstractNumId w:val="4"/>
  </w:num>
  <w:num w:numId="6">
    <w:abstractNumId w:val="0"/>
  </w:num>
  <w:num w:numId="7">
    <w:abstractNumId w:val="11"/>
  </w:num>
  <w:num w:numId="8">
    <w:abstractNumId w:val="15"/>
  </w:num>
  <w:num w:numId="9">
    <w:abstractNumId w:val="7"/>
  </w:num>
  <w:num w:numId="10">
    <w:abstractNumId w:val="14"/>
  </w:num>
  <w:num w:numId="11">
    <w:abstractNumId w:val="1"/>
  </w:num>
  <w:num w:numId="12">
    <w:abstractNumId w:val="9"/>
  </w:num>
  <w:num w:numId="13">
    <w:abstractNumId w:val="8"/>
  </w:num>
  <w:num w:numId="14">
    <w:abstractNumId w:val="13"/>
  </w:num>
  <w:num w:numId="15">
    <w:abstractNumId w:val="3"/>
  </w:num>
  <w:num w:numId="16">
    <w:abstractNumId w:val="6"/>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77FB1"/>
    <w:rsid w:val="00022C01"/>
    <w:rsid w:val="000756A8"/>
    <w:rsid w:val="000A3F76"/>
    <w:rsid w:val="0017120D"/>
    <w:rsid w:val="00176EA6"/>
    <w:rsid w:val="001C592D"/>
    <w:rsid w:val="001E5FD7"/>
    <w:rsid w:val="002454D8"/>
    <w:rsid w:val="0029108F"/>
    <w:rsid w:val="0029352F"/>
    <w:rsid w:val="002B027C"/>
    <w:rsid w:val="00325418"/>
    <w:rsid w:val="00377166"/>
    <w:rsid w:val="00396F0A"/>
    <w:rsid w:val="003C2925"/>
    <w:rsid w:val="004718B3"/>
    <w:rsid w:val="00474952"/>
    <w:rsid w:val="00492E92"/>
    <w:rsid w:val="00504C26"/>
    <w:rsid w:val="00581725"/>
    <w:rsid w:val="00586524"/>
    <w:rsid w:val="005D5210"/>
    <w:rsid w:val="005E6288"/>
    <w:rsid w:val="00653C60"/>
    <w:rsid w:val="006F0C1C"/>
    <w:rsid w:val="007064B9"/>
    <w:rsid w:val="00745BAA"/>
    <w:rsid w:val="00776735"/>
    <w:rsid w:val="00785139"/>
    <w:rsid w:val="007B7117"/>
    <w:rsid w:val="007D4316"/>
    <w:rsid w:val="007E1F59"/>
    <w:rsid w:val="00821D8B"/>
    <w:rsid w:val="008627C0"/>
    <w:rsid w:val="008A7DC6"/>
    <w:rsid w:val="00913DF3"/>
    <w:rsid w:val="0092189A"/>
    <w:rsid w:val="00931FE4"/>
    <w:rsid w:val="00974A56"/>
    <w:rsid w:val="00A179E9"/>
    <w:rsid w:val="00B42FCD"/>
    <w:rsid w:val="00C14377"/>
    <w:rsid w:val="00C92B7D"/>
    <w:rsid w:val="00CF7236"/>
    <w:rsid w:val="00D4002A"/>
    <w:rsid w:val="00D6191B"/>
    <w:rsid w:val="00D8016A"/>
    <w:rsid w:val="00E0750D"/>
    <w:rsid w:val="00E73911"/>
    <w:rsid w:val="00EA488B"/>
    <w:rsid w:val="00EF4470"/>
    <w:rsid w:val="00F464C8"/>
    <w:rsid w:val="00F77FB1"/>
    <w:rsid w:val="00FC19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7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FB1"/>
  </w:style>
  <w:style w:type="paragraph" w:styleId="Footer">
    <w:name w:val="footer"/>
    <w:basedOn w:val="Normal"/>
    <w:link w:val="FooterChar"/>
    <w:uiPriority w:val="99"/>
    <w:unhideWhenUsed/>
    <w:rsid w:val="00F77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FB1"/>
  </w:style>
  <w:style w:type="paragraph" w:styleId="ListParagraph">
    <w:name w:val="List Paragraph"/>
    <w:basedOn w:val="Normal"/>
    <w:uiPriority w:val="34"/>
    <w:qFormat/>
    <w:rsid w:val="00745BAA"/>
    <w:pPr>
      <w:ind w:left="720"/>
      <w:contextualSpacing/>
    </w:pPr>
  </w:style>
  <w:style w:type="paragraph" w:styleId="NormalWeb">
    <w:name w:val="Normal (Web)"/>
    <w:basedOn w:val="Normal"/>
    <w:uiPriority w:val="99"/>
    <w:semiHidden/>
    <w:unhideWhenUsed/>
    <w:rsid w:val="007851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59723">
      <w:bodyDiv w:val="1"/>
      <w:marLeft w:val="0"/>
      <w:marRight w:val="0"/>
      <w:marTop w:val="0"/>
      <w:marBottom w:val="0"/>
      <w:divBdr>
        <w:top w:val="none" w:sz="0" w:space="0" w:color="auto"/>
        <w:left w:val="none" w:sz="0" w:space="0" w:color="auto"/>
        <w:bottom w:val="none" w:sz="0" w:space="0" w:color="auto"/>
        <w:right w:val="none" w:sz="0" w:space="0" w:color="auto"/>
      </w:divBdr>
      <w:divsChild>
        <w:div w:id="1435399633">
          <w:marLeft w:val="547"/>
          <w:marRight w:val="0"/>
          <w:marTop w:val="0"/>
          <w:marBottom w:val="0"/>
          <w:divBdr>
            <w:top w:val="none" w:sz="0" w:space="0" w:color="auto"/>
            <w:left w:val="none" w:sz="0" w:space="0" w:color="auto"/>
            <w:bottom w:val="none" w:sz="0" w:space="0" w:color="auto"/>
            <w:right w:val="none" w:sz="0" w:space="0" w:color="auto"/>
          </w:divBdr>
        </w:div>
      </w:divsChild>
    </w:div>
    <w:div w:id="132256913">
      <w:bodyDiv w:val="1"/>
      <w:marLeft w:val="0"/>
      <w:marRight w:val="0"/>
      <w:marTop w:val="0"/>
      <w:marBottom w:val="0"/>
      <w:divBdr>
        <w:top w:val="none" w:sz="0" w:space="0" w:color="auto"/>
        <w:left w:val="none" w:sz="0" w:space="0" w:color="auto"/>
        <w:bottom w:val="none" w:sz="0" w:space="0" w:color="auto"/>
        <w:right w:val="none" w:sz="0" w:space="0" w:color="auto"/>
      </w:divBdr>
    </w:div>
    <w:div w:id="151258276">
      <w:bodyDiv w:val="1"/>
      <w:marLeft w:val="0"/>
      <w:marRight w:val="0"/>
      <w:marTop w:val="0"/>
      <w:marBottom w:val="0"/>
      <w:divBdr>
        <w:top w:val="none" w:sz="0" w:space="0" w:color="auto"/>
        <w:left w:val="none" w:sz="0" w:space="0" w:color="auto"/>
        <w:bottom w:val="none" w:sz="0" w:space="0" w:color="auto"/>
        <w:right w:val="none" w:sz="0" w:space="0" w:color="auto"/>
      </w:divBdr>
      <w:divsChild>
        <w:div w:id="1007637234">
          <w:marLeft w:val="547"/>
          <w:marRight w:val="0"/>
          <w:marTop w:val="60"/>
          <w:marBottom w:val="0"/>
          <w:divBdr>
            <w:top w:val="none" w:sz="0" w:space="0" w:color="auto"/>
            <w:left w:val="none" w:sz="0" w:space="0" w:color="auto"/>
            <w:bottom w:val="none" w:sz="0" w:space="0" w:color="auto"/>
            <w:right w:val="none" w:sz="0" w:space="0" w:color="auto"/>
          </w:divBdr>
        </w:div>
        <w:div w:id="736631582">
          <w:marLeft w:val="1267"/>
          <w:marRight w:val="0"/>
          <w:marTop w:val="60"/>
          <w:marBottom w:val="0"/>
          <w:divBdr>
            <w:top w:val="none" w:sz="0" w:space="0" w:color="auto"/>
            <w:left w:val="none" w:sz="0" w:space="0" w:color="auto"/>
            <w:bottom w:val="none" w:sz="0" w:space="0" w:color="auto"/>
            <w:right w:val="none" w:sz="0" w:space="0" w:color="auto"/>
          </w:divBdr>
        </w:div>
        <w:div w:id="1565599073">
          <w:marLeft w:val="1267"/>
          <w:marRight w:val="0"/>
          <w:marTop w:val="60"/>
          <w:marBottom w:val="0"/>
          <w:divBdr>
            <w:top w:val="none" w:sz="0" w:space="0" w:color="auto"/>
            <w:left w:val="none" w:sz="0" w:space="0" w:color="auto"/>
            <w:bottom w:val="none" w:sz="0" w:space="0" w:color="auto"/>
            <w:right w:val="none" w:sz="0" w:space="0" w:color="auto"/>
          </w:divBdr>
        </w:div>
        <w:div w:id="1153521176">
          <w:marLeft w:val="1267"/>
          <w:marRight w:val="0"/>
          <w:marTop w:val="60"/>
          <w:marBottom w:val="0"/>
          <w:divBdr>
            <w:top w:val="none" w:sz="0" w:space="0" w:color="auto"/>
            <w:left w:val="none" w:sz="0" w:space="0" w:color="auto"/>
            <w:bottom w:val="none" w:sz="0" w:space="0" w:color="auto"/>
            <w:right w:val="none" w:sz="0" w:space="0" w:color="auto"/>
          </w:divBdr>
        </w:div>
        <w:div w:id="1433016487">
          <w:marLeft w:val="1267"/>
          <w:marRight w:val="0"/>
          <w:marTop w:val="60"/>
          <w:marBottom w:val="0"/>
          <w:divBdr>
            <w:top w:val="none" w:sz="0" w:space="0" w:color="auto"/>
            <w:left w:val="none" w:sz="0" w:space="0" w:color="auto"/>
            <w:bottom w:val="none" w:sz="0" w:space="0" w:color="auto"/>
            <w:right w:val="none" w:sz="0" w:space="0" w:color="auto"/>
          </w:divBdr>
        </w:div>
        <w:div w:id="701706571">
          <w:marLeft w:val="547"/>
          <w:marRight w:val="0"/>
          <w:marTop w:val="60"/>
          <w:marBottom w:val="0"/>
          <w:divBdr>
            <w:top w:val="none" w:sz="0" w:space="0" w:color="auto"/>
            <w:left w:val="none" w:sz="0" w:space="0" w:color="auto"/>
            <w:bottom w:val="none" w:sz="0" w:space="0" w:color="auto"/>
            <w:right w:val="none" w:sz="0" w:space="0" w:color="auto"/>
          </w:divBdr>
        </w:div>
        <w:div w:id="1294750589">
          <w:marLeft w:val="547"/>
          <w:marRight w:val="0"/>
          <w:marTop w:val="60"/>
          <w:marBottom w:val="0"/>
          <w:divBdr>
            <w:top w:val="none" w:sz="0" w:space="0" w:color="auto"/>
            <w:left w:val="none" w:sz="0" w:space="0" w:color="auto"/>
            <w:bottom w:val="none" w:sz="0" w:space="0" w:color="auto"/>
            <w:right w:val="none" w:sz="0" w:space="0" w:color="auto"/>
          </w:divBdr>
        </w:div>
      </w:divsChild>
    </w:div>
    <w:div w:id="358625328">
      <w:bodyDiv w:val="1"/>
      <w:marLeft w:val="0"/>
      <w:marRight w:val="0"/>
      <w:marTop w:val="0"/>
      <w:marBottom w:val="0"/>
      <w:divBdr>
        <w:top w:val="none" w:sz="0" w:space="0" w:color="auto"/>
        <w:left w:val="none" w:sz="0" w:space="0" w:color="auto"/>
        <w:bottom w:val="none" w:sz="0" w:space="0" w:color="auto"/>
        <w:right w:val="none" w:sz="0" w:space="0" w:color="auto"/>
      </w:divBdr>
    </w:div>
    <w:div w:id="532810197">
      <w:bodyDiv w:val="1"/>
      <w:marLeft w:val="0"/>
      <w:marRight w:val="0"/>
      <w:marTop w:val="0"/>
      <w:marBottom w:val="0"/>
      <w:divBdr>
        <w:top w:val="none" w:sz="0" w:space="0" w:color="auto"/>
        <w:left w:val="none" w:sz="0" w:space="0" w:color="auto"/>
        <w:bottom w:val="none" w:sz="0" w:space="0" w:color="auto"/>
        <w:right w:val="none" w:sz="0" w:space="0" w:color="auto"/>
      </w:divBdr>
    </w:div>
    <w:div w:id="552347943">
      <w:bodyDiv w:val="1"/>
      <w:marLeft w:val="0"/>
      <w:marRight w:val="0"/>
      <w:marTop w:val="0"/>
      <w:marBottom w:val="0"/>
      <w:divBdr>
        <w:top w:val="none" w:sz="0" w:space="0" w:color="auto"/>
        <w:left w:val="none" w:sz="0" w:space="0" w:color="auto"/>
        <w:bottom w:val="none" w:sz="0" w:space="0" w:color="auto"/>
        <w:right w:val="none" w:sz="0" w:space="0" w:color="auto"/>
      </w:divBdr>
    </w:div>
    <w:div w:id="612904976">
      <w:bodyDiv w:val="1"/>
      <w:marLeft w:val="0"/>
      <w:marRight w:val="0"/>
      <w:marTop w:val="0"/>
      <w:marBottom w:val="0"/>
      <w:divBdr>
        <w:top w:val="none" w:sz="0" w:space="0" w:color="auto"/>
        <w:left w:val="none" w:sz="0" w:space="0" w:color="auto"/>
        <w:bottom w:val="none" w:sz="0" w:space="0" w:color="auto"/>
        <w:right w:val="none" w:sz="0" w:space="0" w:color="auto"/>
      </w:divBdr>
    </w:div>
    <w:div w:id="756095994">
      <w:bodyDiv w:val="1"/>
      <w:marLeft w:val="0"/>
      <w:marRight w:val="0"/>
      <w:marTop w:val="0"/>
      <w:marBottom w:val="0"/>
      <w:divBdr>
        <w:top w:val="none" w:sz="0" w:space="0" w:color="auto"/>
        <w:left w:val="none" w:sz="0" w:space="0" w:color="auto"/>
        <w:bottom w:val="none" w:sz="0" w:space="0" w:color="auto"/>
        <w:right w:val="none" w:sz="0" w:space="0" w:color="auto"/>
      </w:divBdr>
    </w:div>
    <w:div w:id="878974154">
      <w:bodyDiv w:val="1"/>
      <w:marLeft w:val="0"/>
      <w:marRight w:val="0"/>
      <w:marTop w:val="0"/>
      <w:marBottom w:val="0"/>
      <w:divBdr>
        <w:top w:val="none" w:sz="0" w:space="0" w:color="auto"/>
        <w:left w:val="none" w:sz="0" w:space="0" w:color="auto"/>
        <w:bottom w:val="none" w:sz="0" w:space="0" w:color="auto"/>
        <w:right w:val="none" w:sz="0" w:space="0" w:color="auto"/>
      </w:divBdr>
    </w:div>
    <w:div w:id="995188750">
      <w:bodyDiv w:val="1"/>
      <w:marLeft w:val="0"/>
      <w:marRight w:val="0"/>
      <w:marTop w:val="0"/>
      <w:marBottom w:val="0"/>
      <w:divBdr>
        <w:top w:val="none" w:sz="0" w:space="0" w:color="auto"/>
        <w:left w:val="none" w:sz="0" w:space="0" w:color="auto"/>
        <w:bottom w:val="none" w:sz="0" w:space="0" w:color="auto"/>
        <w:right w:val="none" w:sz="0" w:space="0" w:color="auto"/>
      </w:divBdr>
      <w:divsChild>
        <w:div w:id="70592092">
          <w:marLeft w:val="547"/>
          <w:marRight w:val="0"/>
          <w:marTop w:val="0"/>
          <w:marBottom w:val="0"/>
          <w:divBdr>
            <w:top w:val="none" w:sz="0" w:space="0" w:color="auto"/>
            <w:left w:val="none" w:sz="0" w:space="0" w:color="auto"/>
            <w:bottom w:val="none" w:sz="0" w:space="0" w:color="auto"/>
            <w:right w:val="none" w:sz="0" w:space="0" w:color="auto"/>
          </w:divBdr>
        </w:div>
      </w:divsChild>
    </w:div>
    <w:div w:id="1027802421">
      <w:bodyDiv w:val="1"/>
      <w:marLeft w:val="0"/>
      <w:marRight w:val="0"/>
      <w:marTop w:val="0"/>
      <w:marBottom w:val="0"/>
      <w:divBdr>
        <w:top w:val="none" w:sz="0" w:space="0" w:color="auto"/>
        <w:left w:val="none" w:sz="0" w:space="0" w:color="auto"/>
        <w:bottom w:val="none" w:sz="0" w:space="0" w:color="auto"/>
        <w:right w:val="none" w:sz="0" w:space="0" w:color="auto"/>
      </w:divBdr>
    </w:div>
    <w:div w:id="1058556428">
      <w:bodyDiv w:val="1"/>
      <w:marLeft w:val="0"/>
      <w:marRight w:val="0"/>
      <w:marTop w:val="0"/>
      <w:marBottom w:val="0"/>
      <w:divBdr>
        <w:top w:val="none" w:sz="0" w:space="0" w:color="auto"/>
        <w:left w:val="none" w:sz="0" w:space="0" w:color="auto"/>
        <w:bottom w:val="none" w:sz="0" w:space="0" w:color="auto"/>
        <w:right w:val="none" w:sz="0" w:space="0" w:color="auto"/>
      </w:divBdr>
      <w:divsChild>
        <w:div w:id="606500103">
          <w:marLeft w:val="547"/>
          <w:marRight w:val="0"/>
          <w:marTop w:val="200"/>
          <w:marBottom w:val="0"/>
          <w:divBdr>
            <w:top w:val="none" w:sz="0" w:space="0" w:color="auto"/>
            <w:left w:val="none" w:sz="0" w:space="0" w:color="auto"/>
            <w:bottom w:val="none" w:sz="0" w:space="0" w:color="auto"/>
            <w:right w:val="none" w:sz="0" w:space="0" w:color="auto"/>
          </w:divBdr>
        </w:div>
        <w:div w:id="1130392470">
          <w:marLeft w:val="547"/>
          <w:marRight w:val="0"/>
          <w:marTop w:val="200"/>
          <w:marBottom w:val="0"/>
          <w:divBdr>
            <w:top w:val="none" w:sz="0" w:space="0" w:color="auto"/>
            <w:left w:val="none" w:sz="0" w:space="0" w:color="auto"/>
            <w:bottom w:val="none" w:sz="0" w:space="0" w:color="auto"/>
            <w:right w:val="none" w:sz="0" w:space="0" w:color="auto"/>
          </w:divBdr>
        </w:div>
        <w:div w:id="1543832147">
          <w:marLeft w:val="547"/>
          <w:marRight w:val="0"/>
          <w:marTop w:val="200"/>
          <w:marBottom w:val="0"/>
          <w:divBdr>
            <w:top w:val="none" w:sz="0" w:space="0" w:color="auto"/>
            <w:left w:val="none" w:sz="0" w:space="0" w:color="auto"/>
            <w:bottom w:val="none" w:sz="0" w:space="0" w:color="auto"/>
            <w:right w:val="none" w:sz="0" w:space="0" w:color="auto"/>
          </w:divBdr>
        </w:div>
        <w:div w:id="704410280">
          <w:marLeft w:val="547"/>
          <w:marRight w:val="0"/>
          <w:marTop w:val="200"/>
          <w:marBottom w:val="0"/>
          <w:divBdr>
            <w:top w:val="none" w:sz="0" w:space="0" w:color="auto"/>
            <w:left w:val="none" w:sz="0" w:space="0" w:color="auto"/>
            <w:bottom w:val="none" w:sz="0" w:space="0" w:color="auto"/>
            <w:right w:val="none" w:sz="0" w:space="0" w:color="auto"/>
          </w:divBdr>
        </w:div>
      </w:divsChild>
    </w:div>
    <w:div w:id="1070272643">
      <w:bodyDiv w:val="1"/>
      <w:marLeft w:val="0"/>
      <w:marRight w:val="0"/>
      <w:marTop w:val="0"/>
      <w:marBottom w:val="0"/>
      <w:divBdr>
        <w:top w:val="none" w:sz="0" w:space="0" w:color="auto"/>
        <w:left w:val="none" w:sz="0" w:space="0" w:color="auto"/>
        <w:bottom w:val="none" w:sz="0" w:space="0" w:color="auto"/>
        <w:right w:val="none" w:sz="0" w:space="0" w:color="auto"/>
      </w:divBdr>
      <w:divsChild>
        <w:div w:id="410346401">
          <w:marLeft w:val="547"/>
          <w:marRight w:val="0"/>
          <w:marTop w:val="200"/>
          <w:marBottom w:val="0"/>
          <w:divBdr>
            <w:top w:val="none" w:sz="0" w:space="0" w:color="auto"/>
            <w:left w:val="none" w:sz="0" w:space="0" w:color="auto"/>
            <w:bottom w:val="none" w:sz="0" w:space="0" w:color="auto"/>
            <w:right w:val="none" w:sz="0" w:space="0" w:color="auto"/>
          </w:divBdr>
        </w:div>
      </w:divsChild>
    </w:div>
    <w:div w:id="1240212293">
      <w:bodyDiv w:val="1"/>
      <w:marLeft w:val="0"/>
      <w:marRight w:val="0"/>
      <w:marTop w:val="0"/>
      <w:marBottom w:val="0"/>
      <w:divBdr>
        <w:top w:val="none" w:sz="0" w:space="0" w:color="auto"/>
        <w:left w:val="none" w:sz="0" w:space="0" w:color="auto"/>
        <w:bottom w:val="none" w:sz="0" w:space="0" w:color="auto"/>
        <w:right w:val="none" w:sz="0" w:space="0" w:color="auto"/>
      </w:divBdr>
    </w:div>
    <w:div w:id="1584752825">
      <w:bodyDiv w:val="1"/>
      <w:marLeft w:val="0"/>
      <w:marRight w:val="0"/>
      <w:marTop w:val="0"/>
      <w:marBottom w:val="0"/>
      <w:divBdr>
        <w:top w:val="none" w:sz="0" w:space="0" w:color="auto"/>
        <w:left w:val="none" w:sz="0" w:space="0" w:color="auto"/>
        <w:bottom w:val="none" w:sz="0" w:space="0" w:color="auto"/>
        <w:right w:val="none" w:sz="0" w:space="0" w:color="auto"/>
      </w:divBdr>
    </w:div>
    <w:div w:id="1690721833">
      <w:bodyDiv w:val="1"/>
      <w:marLeft w:val="0"/>
      <w:marRight w:val="0"/>
      <w:marTop w:val="0"/>
      <w:marBottom w:val="0"/>
      <w:divBdr>
        <w:top w:val="none" w:sz="0" w:space="0" w:color="auto"/>
        <w:left w:val="none" w:sz="0" w:space="0" w:color="auto"/>
        <w:bottom w:val="none" w:sz="0" w:space="0" w:color="auto"/>
        <w:right w:val="none" w:sz="0" w:space="0" w:color="auto"/>
      </w:divBdr>
    </w:div>
    <w:div w:id="1818524745">
      <w:bodyDiv w:val="1"/>
      <w:marLeft w:val="0"/>
      <w:marRight w:val="0"/>
      <w:marTop w:val="0"/>
      <w:marBottom w:val="0"/>
      <w:divBdr>
        <w:top w:val="none" w:sz="0" w:space="0" w:color="auto"/>
        <w:left w:val="none" w:sz="0" w:space="0" w:color="auto"/>
        <w:bottom w:val="none" w:sz="0" w:space="0" w:color="auto"/>
        <w:right w:val="none" w:sz="0" w:space="0" w:color="auto"/>
      </w:divBdr>
      <w:divsChild>
        <w:div w:id="870339470">
          <w:marLeft w:val="720"/>
          <w:marRight w:val="0"/>
          <w:marTop w:val="60"/>
          <w:marBottom w:val="0"/>
          <w:divBdr>
            <w:top w:val="none" w:sz="0" w:space="0" w:color="auto"/>
            <w:left w:val="none" w:sz="0" w:space="0" w:color="auto"/>
            <w:bottom w:val="none" w:sz="0" w:space="0" w:color="auto"/>
            <w:right w:val="none" w:sz="0" w:space="0" w:color="auto"/>
          </w:divBdr>
        </w:div>
        <w:div w:id="731193249">
          <w:marLeft w:val="720"/>
          <w:marRight w:val="0"/>
          <w:marTop w:val="60"/>
          <w:marBottom w:val="0"/>
          <w:divBdr>
            <w:top w:val="none" w:sz="0" w:space="0" w:color="auto"/>
            <w:left w:val="none" w:sz="0" w:space="0" w:color="auto"/>
            <w:bottom w:val="none" w:sz="0" w:space="0" w:color="auto"/>
            <w:right w:val="none" w:sz="0" w:space="0" w:color="auto"/>
          </w:divBdr>
        </w:div>
        <w:div w:id="716584388">
          <w:marLeft w:val="720"/>
          <w:marRight w:val="0"/>
          <w:marTop w:val="60"/>
          <w:marBottom w:val="0"/>
          <w:divBdr>
            <w:top w:val="none" w:sz="0" w:space="0" w:color="auto"/>
            <w:left w:val="none" w:sz="0" w:space="0" w:color="auto"/>
            <w:bottom w:val="none" w:sz="0" w:space="0" w:color="auto"/>
            <w:right w:val="none" w:sz="0" w:space="0" w:color="auto"/>
          </w:divBdr>
        </w:div>
        <w:div w:id="2032683915">
          <w:marLeft w:val="720"/>
          <w:marRight w:val="0"/>
          <w:marTop w:val="60"/>
          <w:marBottom w:val="0"/>
          <w:divBdr>
            <w:top w:val="none" w:sz="0" w:space="0" w:color="auto"/>
            <w:left w:val="none" w:sz="0" w:space="0" w:color="auto"/>
            <w:bottom w:val="none" w:sz="0" w:space="0" w:color="auto"/>
            <w:right w:val="none" w:sz="0" w:space="0" w:color="auto"/>
          </w:divBdr>
        </w:div>
        <w:div w:id="291836134">
          <w:marLeft w:val="720"/>
          <w:marRight w:val="0"/>
          <w:marTop w:val="60"/>
          <w:marBottom w:val="0"/>
          <w:divBdr>
            <w:top w:val="none" w:sz="0" w:space="0" w:color="auto"/>
            <w:left w:val="none" w:sz="0" w:space="0" w:color="auto"/>
            <w:bottom w:val="none" w:sz="0" w:space="0" w:color="auto"/>
            <w:right w:val="none" w:sz="0" w:space="0" w:color="auto"/>
          </w:divBdr>
        </w:div>
        <w:div w:id="579557792">
          <w:marLeft w:val="72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C:\Users\KSetshedi\AppData\Local\Microsoft\Windows\INetCache\Content.Outlook\HTO0YW53\uso%20keit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title>
      <c:tx>
        <c:rich>
          <a:bodyPr rot="0" spcFirstLastPara="1" vertOverflow="ellipsis" vert="horz" wrap="square" anchor="ctr" anchorCtr="1"/>
          <a:lstStyle/>
          <a:p>
            <a:pPr>
              <a:defRPr sz="1600" b="1" i="0" u="none" strike="noStrike" kern="1200" cap="all" spc="120" normalizeH="0" baseline="0">
                <a:solidFill>
                  <a:sysClr val="windowText" lastClr="000000"/>
                </a:solidFill>
                <a:latin typeface="+mn-lt"/>
                <a:ea typeface="+mn-ea"/>
                <a:cs typeface="+mn-cs"/>
              </a:defRPr>
            </a:pPr>
            <a:r>
              <a:rPr lang="en-US" baseline="0" dirty="0">
                <a:solidFill>
                  <a:sysClr val="windowText" lastClr="000000"/>
                </a:solidFill>
              </a:rPr>
              <a:t>PROVINCIAL BREAKDOWN</a:t>
            </a:r>
          </a:p>
        </c:rich>
      </c:tx>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stacked"/>
        <c:ser>
          <c:idx val="0"/>
          <c:order val="0"/>
          <c:tx>
            <c:strRef>
              <c:f>SUMMARY!$B$17</c:f>
              <c:strCache>
                <c:ptCount val="1"/>
                <c:pt idx="0">
                  <c:v>MTN</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SUMMARY!$A$18:$A$26</c:f>
              <c:strCache>
                <c:ptCount val="9"/>
                <c:pt idx="0">
                  <c:v>EC</c:v>
                </c:pt>
                <c:pt idx="1">
                  <c:v>FS</c:v>
                </c:pt>
                <c:pt idx="2">
                  <c:v>GP</c:v>
                </c:pt>
                <c:pt idx="3">
                  <c:v>KZN</c:v>
                </c:pt>
                <c:pt idx="4">
                  <c:v>LP</c:v>
                </c:pt>
                <c:pt idx="5">
                  <c:v>NW</c:v>
                </c:pt>
                <c:pt idx="6">
                  <c:v>NC</c:v>
                </c:pt>
                <c:pt idx="7">
                  <c:v>WC</c:v>
                </c:pt>
                <c:pt idx="8">
                  <c:v>MP</c:v>
                </c:pt>
              </c:strCache>
            </c:strRef>
          </c:cat>
          <c:val>
            <c:numRef>
              <c:f>SUMMARY!$B$18:$B$26</c:f>
              <c:numCache>
                <c:formatCode>General</c:formatCode>
                <c:ptCount val="9"/>
                <c:pt idx="0">
                  <c:v>203</c:v>
                </c:pt>
                <c:pt idx="1">
                  <c:v>166</c:v>
                </c:pt>
                <c:pt idx="2">
                  <c:v>72</c:v>
                </c:pt>
                <c:pt idx="3">
                  <c:v>225</c:v>
                </c:pt>
                <c:pt idx="4">
                  <c:v>205</c:v>
                </c:pt>
                <c:pt idx="5">
                  <c:v>70</c:v>
                </c:pt>
                <c:pt idx="6">
                  <c:v>141</c:v>
                </c:pt>
                <c:pt idx="7">
                  <c:v>100</c:v>
                </c:pt>
              </c:numCache>
            </c:numRef>
          </c:val>
          <c:extLst xmlns:c16r2="http://schemas.microsoft.com/office/drawing/2015/06/chart">
            <c:ext xmlns:c16="http://schemas.microsoft.com/office/drawing/2014/chart" uri="{C3380CC4-5D6E-409C-BE32-E72D297353CC}">
              <c16:uniqueId val="{00000000-ABEA-4FAD-B71E-9B6FE73A1ED5}"/>
            </c:ext>
          </c:extLst>
        </c:ser>
        <c:ser>
          <c:idx val="1"/>
          <c:order val="1"/>
          <c:tx>
            <c:strRef>
              <c:f>SUMMARY!$C$17</c:f>
              <c:strCache>
                <c:ptCount val="1"/>
                <c:pt idx="0">
                  <c:v>Cell C</c:v>
                </c:pt>
              </c:strCache>
            </c:strRef>
          </c:tx>
          <c:spPr>
            <a:solidFill>
              <a:schemeClr val="accent2"/>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SUMMARY!$A$18:$A$26</c:f>
              <c:strCache>
                <c:ptCount val="9"/>
                <c:pt idx="0">
                  <c:v>EC</c:v>
                </c:pt>
                <c:pt idx="1">
                  <c:v>FS</c:v>
                </c:pt>
                <c:pt idx="2">
                  <c:v>GP</c:v>
                </c:pt>
                <c:pt idx="3">
                  <c:v>KZN</c:v>
                </c:pt>
                <c:pt idx="4">
                  <c:v>LP</c:v>
                </c:pt>
                <c:pt idx="5">
                  <c:v>NW</c:v>
                </c:pt>
                <c:pt idx="6">
                  <c:v>NC</c:v>
                </c:pt>
                <c:pt idx="7">
                  <c:v>WC</c:v>
                </c:pt>
                <c:pt idx="8">
                  <c:v>MP</c:v>
                </c:pt>
              </c:strCache>
            </c:strRef>
          </c:cat>
          <c:val>
            <c:numRef>
              <c:f>SUMMARY!$C$18:$C$26</c:f>
              <c:numCache>
                <c:formatCode>General</c:formatCode>
                <c:ptCount val="9"/>
                <c:pt idx="0">
                  <c:v>158</c:v>
                </c:pt>
                <c:pt idx="2">
                  <c:v>53</c:v>
                </c:pt>
                <c:pt idx="3">
                  <c:v>180</c:v>
                </c:pt>
                <c:pt idx="4">
                  <c:v>26</c:v>
                </c:pt>
                <c:pt idx="5">
                  <c:v>86</c:v>
                </c:pt>
                <c:pt idx="6">
                  <c:v>76</c:v>
                </c:pt>
                <c:pt idx="7">
                  <c:v>52</c:v>
                </c:pt>
                <c:pt idx="8">
                  <c:v>151</c:v>
                </c:pt>
              </c:numCache>
            </c:numRef>
          </c:val>
          <c:extLst xmlns:c16r2="http://schemas.microsoft.com/office/drawing/2015/06/chart">
            <c:ext xmlns:c16="http://schemas.microsoft.com/office/drawing/2014/chart" uri="{C3380CC4-5D6E-409C-BE32-E72D297353CC}">
              <c16:uniqueId val="{00000001-ABEA-4FAD-B71E-9B6FE73A1ED5}"/>
            </c:ext>
          </c:extLst>
        </c:ser>
        <c:ser>
          <c:idx val="2"/>
          <c:order val="2"/>
          <c:tx>
            <c:strRef>
              <c:f>SUMMARY!$D$17</c:f>
              <c:strCache>
                <c:ptCount val="1"/>
                <c:pt idx="0">
                  <c:v>Vodacom</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SUMMARY!$A$18:$A$26</c:f>
              <c:strCache>
                <c:ptCount val="9"/>
                <c:pt idx="0">
                  <c:v>EC</c:v>
                </c:pt>
                <c:pt idx="1">
                  <c:v>FS</c:v>
                </c:pt>
                <c:pt idx="2">
                  <c:v>GP</c:v>
                </c:pt>
                <c:pt idx="3">
                  <c:v>KZN</c:v>
                </c:pt>
                <c:pt idx="4">
                  <c:v>LP</c:v>
                </c:pt>
                <c:pt idx="5">
                  <c:v>NW</c:v>
                </c:pt>
                <c:pt idx="6">
                  <c:v>NC</c:v>
                </c:pt>
                <c:pt idx="7">
                  <c:v>WC</c:v>
                </c:pt>
                <c:pt idx="8">
                  <c:v>MP</c:v>
                </c:pt>
              </c:strCache>
            </c:strRef>
          </c:cat>
          <c:val>
            <c:numRef>
              <c:f>SUMMARY!$D$18:$D$26</c:f>
              <c:numCache>
                <c:formatCode>General</c:formatCode>
                <c:ptCount val="9"/>
                <c:pt idx="0">
                  <c:v>300</c:v>
                </c:pt>
                <c:pt idx="1">
                  <c:v>182</c:v>
                </c:pt>
                <c:pt idx="3">
                  <c:v>250</c:v>
                </c:pt>
                <c:pt idx="4">
                  <c:v>50</c:v>
                </c:pt>
                <c:pt idx="5">
                  <c:v>63</c:v>
                </c:pt>
                <c:pt idx="6">
                  <c:v>179</c:v>
                </c:pt>
                <c:pt idx="8">
                  <c:v>107</c:v>
                </c:pt>
              </c:numCache>
            </c:numRef>
          </c:val>
          <c:extLst xmlns:c16r2="http://schemas.microsoft.com/office/drawing/2015/06/chart">
            <c:ext xmlns:c16="http://schemas.microsoft.com/office/drawing/2014/chart" uri="{C3380CC4-5D6E-409C-BE32-E72D297353CC}">
              <c16:uniqueId val="{00000002-ABEA-4FAD-B71E-9B6FE73A1ED5}"/>
            </c:ext>
          </c:extLst>
        </c:ser>
        <c:ser>
          <c:idx val="3"/>
          <c:order val="3"/>
          <c:tx>
            <c:strRef>
              <c:f>SUMMARY!$E$17</c:f>
              <c:strCache>
                <c:ptCount val="1"/>
                <c:pt idx="0">
                  <c:v>Neotel</c:v>
                </c:pt>
              </c:strCache>
            </c:strRef>
          </c:tx>
          <c:spPr>
            <a:solidFill>
              <a:schemeClr val="accent4"/>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lt1"/>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SUMMARY!$A$18:$A$26</c:f>
              <c:strCache>
                <c:ptCount val="9"/>
                <c:pt idx="0">
                  <c:v>EC</c:v>
                </c:pt>
                <c:pt idx="1">
                  <c:v>FS</c:v>
                </c:pt>
                <c:pt idx="2">
                  <c:v>GP</c:v>
                </c:pt>
                <c:pt idx="3">
                  <c:v>KZN</c:v>
                </c:pt>
                <c:pt idx="4">
                  <c:v>LP</c:v>
                </c:pt>
                <c:pt idx="5">
                  <c:v>NW</c:v>
                </c:pt>
                <c:pt idx="6">
                  <c:v>NC</c:v>
                </c:pt>
                <c:pt idx="7">
                  <c:v>WC</c:v>
                </c:pt>
                <c:pt idx="8">
                  <c:v>MP</c:v>
                </c:pt>
              </c:strCache>
            </c:strRef>
          </c:cat>
          <c:val>
            <c:numRef>
              <c:f>SUMMARY!$E$18:$E$26</c:f>
              <c:numCache>
                <c:formatCode>General</c:formatCode>
                <c:ptCount val="9"/>
                <c:pt idx="3">
                  <c:v>148</c:v>
                </c:pt>
                <c:pt idx="7">
                  <c:v>185</c:v>
                </c:pt>
              </c:numCache>
            </c:numRef>
          </c:val>
          <c:extLst xmlns:c16r2="http://schemas.microsoft.com/office/drawing/2015/06/chart">
            <c:ext xmlns:c16="http://schemas.microsoft.com/office/drawing/2014/chart" uri="{C3380CC4-5D6E-409C-BE32-E72D297353CC}">
              <c16:uniqueId val="{00000003-ABEA-4FAD-B71E-9B6FE73A1ED5}"/>
            </c:ext>
          </c:extLst>
        </c:ser>
        <c:dLbls>
          <c:showVal val="1"/>
        </c:dLbls>
        <c:gapWidth val="79"/>
        <c:shape val="box"/>
        <c:axId val="64829312"/>
        <c:axId val="64830848"/>
        <c:axId val="0"/>
      </c:bar3DChart>
      <c:catAx>
        <c:axId val="648293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ysClr val="windowText" lastClr="000000"/>
                </a:solidFill>
                <a:latin typeface="+mn-lt"/>
                <a:ea typeface="+mn-ea"/>
                <a:cs typeface="+mn-cs"/>
              </a:defRPr>
            </a:pPr>
            <a:endParaRPr lang="en-US"/>
          </a:p>
        </c:txPr>
        <c:crossAx val="64830848"/>
        <c:crosses val="autoZero"/>
        <c:auto val="1"/>
        <c:lblAlgn val="ctr"/>
        <c:lblOffset val="100"/>
      </c:catAx>
      <c:valAx>
        <c:axId val="64830848"/>
        <c:scaling>
          <c:orientation val="minMax"/>
        </c:scaling>
        <c:delete val="1"/>
        <c:axPos val="b"/>
        <c:numFmt formatCode="General" sourceLinked="1"/>
        <c:majorTickMark val="none"/>
        <c:tickLblPos val="none"/>
        <c:crossAx val="64829312"/>
        <c:crosses val="autoZero"/>
        <c:crossBetween val="between"/>
      </c:valAx>
      <c:spPr>
        <a:noFill/>
        <a:ln>
          <a:noFill/>
        </a:ln>
        <a:effectLst/>
      </c:spPr>
    </c:plotArea>
    <c:legend>
      <c:legendPos val="t"/>
      <c:layout/>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lt1"/>
    </a:solidFill>
    <a:ln w="9525" cap="flat" cmpd="sng" algn="ctr">
      <a:solidFill>
        <a:sysClr val="windowText" lastClr="000000"/>
      </a:solidFill>
      <a:round/>
    </a:ln>
    <a:effectLst/>
  </c:spPr>
  <c:txPr>
    <a:bodyPr/>
    <a:lstStyle/>
    <a:p>
      <a:pPr>
        <a:defRPr/>
      </a:pPr>
      <a:endParaRPr lang="en-US"/>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800" b="1"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Van Der Walt</dc:creator>
  <cp:lastModifiedBy>PUMZA</cp:lastModifiedBy>
  <cp:revision>2</cp:revision>
  <dcterms:created xsi:type="dcterms:W3CDTF">2017-08-03T07:42:00Z</dcterms:created>
  <dcterms:modified xsi:type="dcterms:W3CDTF">2017-08-03T07:42:00Z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cd8dc4c-d546-4246-a6d7-53ea0bd0654f_Enabled">
    <vt:lpwstr>True</vt:lpwstr>
  </property>
  <property fmtid="{D5CDD505-2E9C-101B-9397-08002B2CF9AE}" pid="3" name="MSIP_Label_ecd8dc4c-d546-4246-a6d7-53ea0bd0654f_Ref">
    <vt:lpwstr>https://api.informationprotection.azure.com/api/37986e4a-2fc4-4a4c-809d-c0811b0231da</vt:lpwstr>
  </property>
  <property fmtid="{D5CDD505-2E9C-101B-9397-08002B2CF9AE}" pid="4" name="MSIP_Label_ecd8dc4c-d546-4246-a6d7-53ea0bd0654f_AssignedBy">
    <vt:lpwstr>EVanDerWalt@icasa.org.za</vt:lpwstr>
  </property>
  <property fmtid="{D5CDD505-2E9C-101B-9397-08002B2CF9AE}" pid="5" name="MSIP_Label_ecd8dc4c-d546-4246-a6d7-53ea0bd0654f_DateCreated">
    <vt:lpwstr>2017-07-19T09:22:19.6546710+02:00</vt:lpwstr>
  </property>
  <property fmtid="{D5CDD505-2E9C-101B-9397-08002B2CF9AE}" pid="6" name="MSIP_Label_ecd8dc4c-d546-4246-a6d7-53ea0bd0654f_Name">
    <vt:lpwstr>Public</vt:lpwstr>
  </property>
  <property fmtid="{D5CDD505-2E9C-101B-9397-08002B2CF9AE}" pid="7" name="MSIP_Label_ecd8dc4c-d546-4246-a6d7-53ea0bd0654f_Extended_MSFT_Method">
    <vt:lpwstr>Automatic</vt:lpwstr>
  </property>
  <property fmtid="{D5CDD505-2E9C-101B-9397-08002B2CF9AE}" pid="8" name="Sensitivity">
    <vt:lpwstr>Public</vt:lpwstr>
  </property>
</Properties>
</file>