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67" w:rsidRPr="00127E5B" w:rsidRDefault="00C14267" w:rsidP="00C14267">
      <w:pPr>
        <w:spacing w:line="240" w:lineRule="auto"/>
        <w:jc w:val="center"/>
        <w:rPr>
          <w:rFonts w:ascii="Times New Roman" w:hAnsi="Times New Roman" w:cs="Times New Roman"/>
          <w:b/>
          <w:sz w:val="22"/>
        </w:rPr>
      </w:pPr>
      <w:r w:rsidRPr="00127E5B">
        <w:rPr>
          <w:rFonts w:ascii="Times New Roman" w:hAnsi="Times New Roman" w:cs="Times New Roman"/>
          <w:b/>
          <w:sz w:val="22"/>
        </w:rPr>
        <w:t xml:space="preserve">SUMMARY OF SUBMISSION TO </w:t>
      </w:r>
      <w:r w:rsidR="005147A5">
        <w:rPr>
          <w:rFonts w:ascii="Times New Roman" w:hAnsi="Times New Roman" w:cs="Times New Roman"/>
          <w:b/>
          <w:sz w:val="22"/>
        </w:rPr>
        <w:t>THE SELECT COMMITTEE ON SECURITY AND JUSTICE</w:t>
      </w:r>
      <w:r w:rsidRPr="00127E5B">
        <w:rPr>
          <w:rFonts w:ascii="Times New Roman" w:hAnsi="Times New Roman" w:cs="Times New Roman"/>
          <w:b/>
          <w:sz w:val="22"/>
        </w:rPr>
        <w:t xml:space="preserve"> ON THE COURTS OF LAW AMENDMENT BILL, 2016 (BILL 8 OF 2016) AND RESPONSE BY DEPARTMENT OF JUSTICE AND CONSTITUTIONAL DEVELOPMENT</w:t>
      </w:r>
    </w:p>
    <w:p w:rsidR="00C14267" w:rsidRPr="00127E5B" w:rsidRDefault="00C14267" w:rsidP="00C14267">
      <w:pPr>
        <w:spacing w:line="240" w:lineRule="auto"/>
        <w:jc w:val="center"/>
        <w:rPr>
          <w:rFonts w:ascii="Times New Roman" w:hAnsi="Times New Roman" w:cs="Times New Roman"/>
          <w:b/>
          <w:sz w:val="20"/>
          <w:szCs w:val="20"/>
        </w:rPr>
      </w:pPr>
    </w:p>
    <w:p w:rsidR="00127E5B" w:rsidRPr="006C4DA5" w:rsidRDefault="00127E5B" w:rsidP="00127E5B">
      <w:pPr>
        <w:spacing w:line="240" w:lineRule="auto"/>
        <w:rPr>
          <w:rFonts w:ascii="Times New Roman" w:hAnsi="Times New Roman" w:cs="Times New Roman"/>
          <w:b/>
          <w:sz w:val="20"/>
          <w:szCs w:val="20"/>
        </w:rPr>
      </w:pPr>
    </w:p>
    <w:tbl>
      <w:tblPr>
        <w:tblStyle w:val="TableGrid"/>
        <w:tblW w:w="13475" w:type="dxa"/>
        <w:tblInd w:w="-326" w:type="dxa"/>
        <w:tblLook w:val="04A0"/>
      </w:tblPr>
      <w:tblGrid>
        <w:gridCol w:w="6813"/>
        <w:gridCol w:w="6662"/>
      </w:tblGrid>
      <w:tr w:rsidR="00761EEB" w:rsidTr="00761EEB">
        <w:tc>
          <w:tcPr>
            <w:tcW w:w="6813" w:type="dxa"/>
          </w:tcPr>
          <w:p w:rsidR="00F54C62" w:rsidRPr="00F54C62" w:rsidRDefault="00761EEB" w:rsidP="00F54C62">
            <w:pPr>
              <w:jc w:val="center"/>
              <w:rPr>
                <w:rFonts w:ascii="Times New Roman" w:hAnsi="Times New Roman" w:cs="Times New Roman"/>
                <w:b/>
                <w:sz w:val="20"/>
                <w:szCs w:val="20"/>
              </w:rPr>
            </w:pPr>
            <w:r>
              <w:rPr>
                <w:rFonts w:ascii="Times New Roman" w:hAnsi="Times New Roman" w:cs="Times New Roman"/>
                <w:b/>
                <w:sz w:val="20"/>
                <w:szCs w:val="20"/>
              </w:rPr>
              <w:t>COMMENTS</w:t>
            </w:r>
            <w:r w:rsidR="00F54C62">
              <w:rPr>
                <w:rFonts w:ascii="Times New Roman" w:hAnsi="Times New Roman" w:cs="Times New Roman"/>
                <w:b/>
                <w:sz w:val="20"/>
                <w:szCs w:val="20"/>
              </w:rPr>
              <w:t>/</w:t>
            </w:r>
            <w:r w:rsidRPr="004B41C1">
              <w:rPr>
                <w:rFonts w:ascii="Times New Roman" w:hAnsi="Times New Roman" w:cs="Times New Roman"/>
                <w:b/>
                <w:sz w:val="20"/>
                <w:szCs w:val="20"/>
              </w:rPr>
              <w:t xml:space="preserve"> RECOMMENDATIONS</w:t>
            </w:r>
            <w:r w:rsidR="00F54C62">
              <w:rPr>
                <w:rFonts w:ascii="Times New Roman" w:hAnsi="Times New Roman" w:cs="Times New Roman"/>
                <w:b/>
                <w:sz w:val="20"/>
                <w:szCs w:val="20"/>
              </w:rPr>
              <w:t>:</w:t>
            </w:r>
            <w:r>
              <w:rPr>
                <w:rFonts w:ascii="Times New Roman" w:hAnsi="Times New Roman" w:cs="Times New Roman"/>
                <w:b/>
                <w:sz w:val="20"/>
                <w:szCs w:val="20"/>
              </w:rPr>
              <w:t xml:space="preserve"> </w:t>
            </w:r>
            <w:r w:rsidR="00F54C62" w:rsidRPr="00F54C62">
              <w:rPr>
                <w:rFonts w:ascii="Times New Roman" w:hAnsi="Times New Roman" w:cs="Times New Roman"/>
                <w:b/>
                <w:sz w:val="20"/>
                <w:szCs w:val="20"/>
              </w:rPr>
              <w:t>LSSA</w:t>
            </w:r>
          </w:p>
          <w:p w:rsidR="00761EEB" w:rsidRPr="00520B28" w:rsidRDefault="00761EEB" w:rsidP="00F54C62">
            <w:pPr>
              <w:jc w:val="center"/>
              <w:rPr>
                <w:rFonts w:ascii="Times New Roman" w:hAnsi="Times New Roman" w:cs="Times New Roman"/>
                <w:b/>
                <w:sz w:val="20"/>
                <w:szCs w:val="20"/>
              </w:rPr>
            </w:pPr>
          </w:p>
        </w:tc>
        <w:tc>
          <w:tcPr>
            <w:tcW w:w="6662" w:type="dxa"/>
          </w:tcPr>
          <w:p w:rsidR="00761EEB" w:rsidRPr="00F2311E" w:rsidRDefault="00761EEB" w:rsidP="00641E9D">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 xml:space="preserve">DOJCD RESPONSE </w:t>
            </w:r>
          </w:p>
        </w:tc>
      </w:tr>
      <w:tr w:rsidR="00F54C62" w:rsidTr="00761EEB">
        <w:tc>
          <w:tcPr>
            <w:tcW w:w="6813" w:type="dxa"/>
          </w:tcPr>
          <w:p w:rsidR="00F54C62" w:rsidRDefault="00F54C62" w:rsidP="00F54C62">
            <w:pPr>
              <w:jc w:val="left"/>
              <w:rPr>
                <w:rFonts w:ascii="Times New Roman" w:hAnsi="Times New Roman" w:cs="Times New Roman"/>
                <w:b/>
                <w:sz w:val="20"/>
                <w:szCs w:val="20"/>
              </w:rPr>
            </w:pPr>
            <w:r>
              <w:rPr>
                <w:rFonts w:ascii="Times New Roman" w:hAnsi="Times New Roman" w:cs="Times New Roman"/>
                <w:b/>
                <w:sz w:val="20"/>
                <w:szCs w:val="20"/>
              </w:rPr>
              <w:t>CLAUSE 5 AND 6</w:t>
            </w:r>
          </w:p>
          <w:p w:rsidR="00F54C62" w:rsidRDefault="00F54C62" w:rsidP="00F54C62">
            <w:pPr>
              <w:jc w:val="left"/>
              <w:rPr>
                <w:rFonts w:ascii="Times New Roman" w:hAnsi="Times New Roman" w:cs="Times New Roman"/>
                <w:sz w:val="20"/>
                <w:szCs w:val="20"/>
              </w:rPr>
            </w:pPr>
            <w:r>
              <w:rPr>
                <w:rFonts w:ascii="Times New Roman" w:hAnsi="Times New Roman" w:cs="Times New Roman"/>
                <w:sz w:val="20"/>
                <w:szCs w:val="20"/>
              </w:rPr>
              <w:t>(a)</w:t>
            </w:r>
            <w:r w:rsidRPr="00F54C62">
              <w:rPr>
                <w:rFonts w:ascii="Times New Roman" w:hAnsi="Times New Roman" w:cs="Times New Roman"/>
                <w:sz w:val="20"/>
                <w:szCs w:val="20"/>
              </w:rPr>
              <w:t xml:space="preserve">The </w:t>
            </w:r>
            <w:r>
              <w:rPr>
                <w:rFonts w:ascii="Times New Roman" w:hAnsi="Times New Roman" w:cs="Times New Roman"/>
                <w:sz w:val="20"/>
                <w:szCs w:val="20"/>
              </w:rPr>
              <w:t>court will be in an invidious position as it will be unable to consider the circumstances of the judgment debtor at the time the credit agreement was entered into.</w:t>
            </w:r>
          </w:p>
          <w:p w:rsidR="00F54C62" w:rsidRDefault="00F54C62" w:rsidP="00F54C62">
            <w:pPr>
              <w:jc w:val="left"/>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Court is not in a position to effectively consider issues pertaining the financial position of the defendant at the time the judgment is requested.</w:t>
            </w:r>
          </w:p>
          <w:p w:rsidR="00F54C62" w:rsidRDefault="00F54C62" w:rsidP="00F54C62">
            <w:pPr>
              <w:jc w:val="left"/>
              <w:rPr>
                <w:rFonts w:ascii="Times New Roman" w:hAnsi="Times New Roman" w:cs="Times New Roman"/>
                <w:sz w:val="20"/>
                <w:szCs w:val="20"/>
              </w:rPr>
            </w:pPr>
          </w:p>
          <w:p w:rsidR="00F54C62" w:rsidRPr="00F54C62" w:rsidRDefault="00F54C62" w:rsidP="00F54C62">
            <w:pPr>
              <w:jc w:val="left"/>
              <w:rPr>
                <w:rFonts w:ascii="Times New Roman" w:hAnsi="Times New Roman" w:cs="Times New Roman"/>
                <w:sz w:val="20"/>
                <w:szCs w:val="20"/>
              </w:rPr>
            </w:pPr>
            <w:r>
              <w:rPr>
                <w:rFonts w:ascii="Times New Roman" w:hAnsi="Times New Roman" w:cs="Times New Roman"/>
                <w:sz w:val="20"/>
                <w:szCs w:val="20"/>
              </w:rPr>
              <w:t>Proposes that the proposed section 57(2B</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b) and 58(1(C)(c) be deleted.</w:t>
            </w:r>
          </w:p>
          <w:p w:rsidR="00F54C62" w:rsidRDefault="00F54C62" w:rsidP="00F54C62">
            <w:pPr>
              <w:jc w:val="left"/>
              <w:rPr>
                <w:rFonts w:ascii="Times New Roman" w:hAnsi="Times New Roman" w:cs="Times New Roman"/>
                <w:b/>
                <w:sz w:val="20"/>
                <w:szCs w:val="20"/>
              </w:rPr>
            </w:pPr>
          </w:p>
        </w:tc>
        <w:tc>
          <w:tcPr>
            <w:tcW w:w="6662" w:type="dxa"/>
          </w:tcPr>
          <w:p w:rsidR="00F54C62" w:rsidRDefault="007419F8" w:rsidP="007419F8">
            <w:pPr>
              <w:pStyle w:val="lg-section"/>
              <w:spacing w:before="0"/>
              <w:ind w:firstLine="0"/>
              <w:jc w:val="left"/>
              <w:rPr>
                <w:rFonts w:ascii="Times New Roman" w:hAnsi="Times New Roman"/>
                <w:b/>
                <w:sz w:val="20"/>
                <w:szCs w:val="20"/>
              </w:rPr>
            </w:pPr>
            <w:r>
              <w:rPr>
                <w:rFonts w:ascii="Times New Roman" w:hAnsi="Times New Roman"/>
                <w:b/>
                <w:sz w:val="20"/>
                <w:szCs w:val="20"/>
              </w:rPr>
              <w:t xml:space="preserve">These comments were submitted by the LSSA when the Portfolio </w:t>
            </w:r>
            <w:r w:rsidR="00A12B53">
              <w:rPr>
                <w:rFonts w:ascii="Times New Roman" w:hAnsi="Times New Roman"/>
                <w:b/>
                <w:sz w:val="20"/>
                <w:szCs w:val="20"/>
              </w:rPr>
              <w:t>C</w:t>
            </w:r>
            <w:r>
              <w:rPr>
                <w:rFonts w:ascii="Times New Roman" w:hAnsi="Times New Roman"/>
                <w:b/>
                <w:sz w:val="20"/>
                <w:szCs w:val="20"/>
              </w:rPr>
              <w:t xml:space="preserve">ommittee considered the Bill. The Department </w:t>
            </w:r>
            <w:r w:rsidR="00280592">
              <w:rPr>
                <w:rFonts w:ascii="Times New Roman" w:hAnsi="Times New Roman"/>
                <w:b/>
                <w:sz w:val="20"/>
                <w:szCs w:val="20"/>
              </w:rPr>
              <w:t>reiterates those responses</w:t>
            </w:r>
            <w:r w:rsidR="00280592" w:rsidRPr="00280592">
              <w:rPr>
                <w:rFonts w:ascii="Times New Roman" w:eastAsiaTheme="minorHAnsi" w:hAnsi="Times New Roman" w:cstheme="minorBidi"/>
                <w:b/>
                <w:color w:val="auto"/>
                <w:sz w:val="20"/>
                <w:szCs w:val="20"/>
              </w:rPr>
              <w:t xml:space="preserve"> </w:t>
            </w:r>
            <w:r w:rsidR="00280592">
              <w:rPr>
                <w:rFonts w:ascii="Times New Roman" w:eastAsiaTheme="minorHAnsi" w:hAnsi="Times New Roman" w:cstheme="minorBidi"/>
                <w:b/>
                <w:color w:val="auto"/>
                <w:sz w:val="20"/>
                <w:szCs w:val="20"/>
              </w:rPr>
              <w:t xml:space="preserve">which were made </w:t>
            </w:r>
            <w:r w:rsidR="00280592" w:rsidRPr="00280592">
              <w:rPr>
                <w:rFonts w:ascii="Times New Roman" w:hAnsi="Times New Roman"/>
                <w:b/>
                <w:sz w:val="20"/>
                <w:szCs w:val="20"/>
              </w:rPr>
              <w:t>during those deliberations</w:t>
            </w:r>
            <w:r w:rsidR="00280592">
              <w:rPr>
                <w:rFonts w:ascii="Times New Roman" w:hAnsi="Times New Roman"/>
                <w:b/>
                <w:sz w:val="20"/>
                <w:szCs w:val="20"/>
              </w:rPr>
              <w:t xml:space="preserve">, </w:t>
            </w:r>
            <w:r>
              <w:rPr>
                <w:rFonts w:ascii="Times New Roman" w:hAnsi="Times New Roman"/>
                <w:b/>
                <w:sz w:val="20"/>
                <w:szCs w:val="20"/>
              </w:rPr>
              <w:t>as follows:</w:t>
            </w:r>
          </w:p>
          <w:p w:rsidR="007419F8" w:rsidRPr="007419F8" w:rsidRDefault="007419F8" w:rsidP="007419F8">
            <w:pPr>
              <w:pStyle w:val="lg-section"/>
              <w:ind w:firstLine="0"/>
              <w:jc w:val="left"/>
              <w:rPr>
                <w:rFonts w:ascii="Times New Roman" w:hAnsi="Times New Roman"/>
                <w:b/>
                <w:sz w:val="20"/>
                <w:szCs w:val="20"/>
              </w:rPr>
            </w:pPr>
            <w:r>
              <w:rPr>
                <w:rFonts w:ascii="Times New Roman" w:hAnsi="Times New Roman"/>
                <w:b/>
                <w:sz w:val="20"/>
                <w:szCs w:val="20"/>
              </w:rPr>
              <w:t>“..</w:t>
            </w:r>
            <w:r w:rsidRPr="007419F8">
              <w:rPr>
                <w:rFonts w:ascii="Times New Roman" w:hAnsi="Times New Roman"/>
                <w:b/>
                <w:sz w:val="20"/>
                <w:szCs w:val="20"/>
              </w:rPr>
              <w:t xml:space="preserve">The provisions in question were inserted to provide substantive provisions in the Magistrates’ Courts Act, in line with what is already provided for in rule 12(5) of the Magistrates’ Courts Rules, namely, </w:t>
            </w:r>
            <w:bookmarkStart w:id="0" w:name="0-0-0-16339"/>
            <w:bookmarkEnd w:id="0"/>
            <w:r w:rsidRPr="007419F8">
              <w:rPr>
                <w:rFonts w:ascii="Times New Roman" w:hAnsi="Times New Roman"/>
                <w:b/>
                <w:sz w:val="20"/>
                <w:szCs w:val="20"/>
              </w:rPr>
              <w:t>that the registrar or clerk of the court must refer to the court any request for judgment on a claim founded on any cause of action arising out of or based on an agreement governed by the National Credit Act.  Due to different interpretations of the law, it appeared that rule 12(5) was not adhered to by all magistrates’ courts.  Sections 57 and 58 are amended further to provide that only a court may grant judgments in terms of these sections, as opposed to the current provisions that a clerk of the court must grant these judgments.</w:t>
            </w:r>
          </w:p>
          <w:p w:rsidR="007419F8" w:rsidRDefault="007419F8" w:rsidP="007419F8">
            <w:pPr>
              <w:pStyle w:val="lg-section"/>
              <w:jc w:val="left"/>
              <w:rPr>
                <w:rFonts w:ascii="Times New Roman" w:hAnsi="Times New Roman"/>
                <w:b/>
                <w:sz w:val="20"/>
                <w:szCs w:val="20"/>
              </w:rPr>
            </w:pPr>
            <w:r>
              <w:rPr>
                <w:rFonts w:ascii="Times New Roman" w:hAnsi="Times New Roman"/>
                <w:b/>
                <w:sz w:val="20"/>
                <w:szCs w:val="20"/>
              </w:rPr>
              <w:t>…</w:t>
            </w:r>
            <w:r w:rsidRPr="007419F8">
              <w:rPr>
                <w:rFonts w:ascii="Times New Roman" w:hAnsi="Times New Roman"/>
                <w:b/>
                <w:sz w:val="20"/>
                <w:szCs w:val="20"/>
              </w:rPr>
              <w:tab/>
              <w:t>It is uncertain as to why a court will not be in a position to consider the financial position of a debtor at the time the credit agreement was entered into.  The plaintiff will be in possession of the supporting documents necessary to conduct an affordability assessment before the credit agreement was entered into.  How will a court be able to consider whether there was reckless lending as is provided for in the National Credit Act?</w:t>
            </w:r>
            <w:r>
              <w:rPr>
                <w:rFonts w:ascii="Times New Roman" w:hAnsi="Times New Roman"/>
                <w:b/>
                <w:sz w:val="20"/>
                <w:szCs w:val="20"/>
              </w:rPr>
              <w:t>”</w:t>
            </w:r>
          </w:p>
          <w:p w:rsidR="007419F8" w:rsidRPr="007419F8" w:rsidRDefault="007419F8" w:rsidP="007419F8">
            <w:pPr>
              <w:pStyle w:val="lg-section"/>
              <w:ind w:firstLine="0"/>
              <w:jc w:val="left"/>
              <w:rPr>
                <w:rFonts w:ascii="Times New Roman" w:hAnsi="Times New Roman"/>
                <w:b/>
                <w:sz w:val="20"/>
                <w:szCs w:val="20"/>
              </w:rPr>
            </w:pPr>
            <w:r>
              <w:rPr>
                <w:rFonts w:ascii="Times New Roman" w:hAnsi="Times New Roman"/>
                <w:b/>
                <w:sz w:val="20"/>
                <w:szCs w:val="20"/>
              </w:rPr>
              <w:t>The Department stands by these responses as given above, and does not agree with the LSSA’s proposal.</w:t>
            </w:r>
          </w:p>
          <w:p w:rsidR="007419F8" w:rsidRPr="00C14267" w:rsidRDefault="007419F8" w:rsidP="007419F8">
            <w:pPr>
              <w:pStyle w:val="lg-section"/>
              <w:spacing w:before="0"/>
              <w:ind w:firstLine="0"/>
              <w:jc w:val="left"/>
              <w:rPr>
                <w:rFonts w:ascii="Times New Roman" w:hAnsi="Times New Roman"/>
                <w:b/>
                <w:sz w:val="20"/>
                <w:szCs w:val="20"/>
              </w:rPr>
            </w:pPr>
          </w:p>
        </w:tc>
      </w:tr>
      <w:tr w:rsidR="00F54C62" w:rsidTr="00761EEB">
        <w:tc>
          <w:tcPr>
            <w:tcW w:w="6813" w:type="dxa"/>
          </w:tcPr>
          <w:p w:rsidR="00F54C62" w:rsidRDefault="00F54C62" w:rsidP="00F54C62">
            <w:pPr>
              <w:jc w:val="left"/>
              <w:rPr>
                <w:rFonts w:ascii="Times New Roman" w:hAnsi="Times New Roman" w:cs="Times New Roman"/>
                <w:b/>
                <w:sz w:val="20"/>
                <w:szCs w:val="20"/>
              </w:rPr>
            </w:pPr>
            <w:r>
              <w:rPr>
                <w:rFonts w:ascii="Times New Roman" w:hAnsi="Times New Roman" w:cs="Times New Roman"/>
                <w:b/>
                <w:sz w:val="20"/>
                <w:szCs w:val="20"/>
              </w:rPr>
              <w:t>CLAUSE 9</w:t>
            </w:r>
          </w:p>
          <w:p w:rsidR="00F54C62" w:rsidRDefault="00F54C62"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F54C62" w:rsidRDefault="005B442A" w:rsidP="00F54C62">
            <w:pPr>
              <w:jc w:val="left"/>
              <w:rPr>
                <w:rFonts w:ascii="Times New Roman" w:hAnsi="Times New Roman" w:cs="Times New Roman"/>
                <w:b/>
                <w:sz w:val="20"/>
                <w:szCs w:val="20"/>
              </w:rPr>
            </w:pPr>
            <w:r>
              <w:rPr>
                <w:rFonts w:ascii="Times New Roman" w:hAnsi="Times New Roman" w:cs="Times New Roman"/>
                <w:b/>
                <w:sz w:val="20"/>
                <w:szCs w:val="20"/>
              </w:rPr>
              <w:t>(a) The proposed 25% cap</w:t>
            </w: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bookmarkStart w:id="1" w:name="_GoBack"/>
            <w:bookmarkEnd w:id="1"/>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p>
          <w:p w:rsidR="00525A53" w:rsidRDefault="00525A53" w:rsidP="00F54C62">
            <w:pPr>
              <w:jc w:val="left"/>
              <w:rPr>
                <w:rFonts w:ascii="Times New Roman" w:hAnsi="Times New Roman" w:cs="Times New Roman"/>
                <w:b/>
                <w:sz w:val="20"/>
                <w:szCs w:val="20"/>
              </w:rPr>
            </w:pPr>
          </w:p>
          <w:p w:rsidR="00525A53" w:rsidRDefault="00525A53" w:rsidP="00F54C62">
            <w:pPr>
              <w:jc w:val="left"/>
              <w:rPr>
                <w:rFonts w:ascii="Times New Roman" w:hAnsi="Times New Roman" w:cs="Times New Roman"/>
                <w:b/>
                <w:sz w:val="20"/>
                <w:szCs w:val="20"/>
              </w:rPr>
            </w:pPr>
          </w:p>
          <w:p w:rsidR="00525A53" w:rsidRDefault="00525A53" w:rsidP="00F54C62">
            <w:pPr>
              <w:jc w:val="left"/>
              <w:rPr>
                <w:rFonts w:ascii="Times New Roman" w:hAnsi="Times New Roman" w:cs="Times New Roman"/>
                <w:b/>
                <w:sz w:val="20"/>
                <w:szCs w:val="20"/>
              </w:rPr>
            </w:pPr>
          </w:p>
          <w:p w:rsidR="00525A53" w:rsidRDefault="00525A53" w:rsidP="00F54C62">
            <w:pPr>
              <w:jc w:val="left"/>
              <w:rPr>
                <w:rFonts w:ascii="Times New Roman" w:hAnsi="Times New Roman" w:cs="Times New Roman"/>
                <w:b/>
                <w:sz w:val="20"/>
                <w:szCs w:val="20"/>
              </w:rPr>
            </w:pPr>
          </w:p>
          <w:p w:rsidR="00525A53" w:rsidRDefault="00525A53" w:rsidP="00F54C62">
            <w:pPr>
              <w:jc w:val="left"/>
              <w:rPr>
                <w:rFonts w:ascii="Times New Roman" w:hAnsi="Times New Roman" w:cs="Times New Roman"/>
                <w:b/>
                <w:sz w:val="20"/>
                <w:szCs w:val="20"/>
              </w:rPr>
            </w:pPr>
          </w:p>
          <w:p w:rsidR="00525A53" w:rsidRDefault="00525A53" w:rsidP="00F54C62">
            <w:pPr>
              <w:jc w:val="left"/>
              <w:rPr>
                <w:rFonts w:ascii="Times New Roman" w:hAnsi="Times New Roman" w:cs="Times New Roman"/>
                <w:b/>
                <w:sz w:val="20"/>
                <w:szCs w:val="20"/>
              </w:rPr>
            </w:pPr>
          </w:p>
          <w:p w:rsidR="00525A53" w:rsidRDefault="00525A53" w:rsidP="00F54C62">
            <w:pPr>
              <w:jc w:val="left"/>
              <w:rPr>
                <w:rFonts w:ascii="Times New Roman" w:hAnsi="Times New Roman" w:cs="Times New Roman"/>
                <w:b/>
                <w:sz w:val="20"/>
                <w:szCs w:val="20"/>
              </w:rPr>
            </w:pPr>
          </w:p>
          <w:p w:rsidR="005B442A" w:rsidRDefault="005B442A" w:rsidP="00F54C62">
            <w:pPr>
              <w:jc w:val="left"/>
              <w:rPr>
                <w:rFonts w:ascii="Times New Roman" w:hAnsi="Times New Roman" w:cs="Times New Roman"/>
                <w:b/>
                <w:sz w:val="20"/>
                <w:szCs w:val="20"/>
              </w:rPr>
            </w:pPr>
            <w:r>
              <w:rPr>
                <w:rFonts w:ascii="Times New Roman" w:hAnsi="Times New Roman" w:cs="Times New Roman"/>
                <w:b/>
                <w:sz w:val="20"/>
                <w:szCs w:val="20"/>
              </w:rPr>
              <w:t>(b) The proposed 5% commission</w:t>
            </w:r>
          </w:p>
        </w:tc>
        <w:tc>
          <w:tcPr>
            <w:tcW w:w="6662" w:type="dxa"/>
          </w:tcPr>
          <w:p w:rsidR="00280592" w:rsidRPr="00280592" w:rsidRDefault="001C2A29" w:rsidP="00280592">
            <w:pPr>
              <w:pStyle w:val="lg-section"/>
              <w:spacing w:before="0"/>
              <w:ind w:firstLine="0"/>
              <w:jc w:val="left"/>
              <w:rPr>
                <w:rFonts w:ascii="Times New Roman" w:hAnsi="Times New Roman"/>
                <w:b/>
                <w:sz w:val="20"/>
                <w:szCs w:val="20"/>
              </w:rPr>
            </w:pPr>
            <w:r>
              <w:rPr>
                <w:rFonts w:ascii="Times New Roman" w:hAnsi="Times New Roman"/>
                <w:b/>
                <w:sz w:val="20"/>
                <w:szCs w:val="20"/>
              </w:rPr>
              <w:lastRenderedPageBreak/>
              <w:t xml:space="preserve">This was also considered by the Portfolio Committee when it considered the Bill. </w:t>
            </w:r>
            <w:r w:rsidR="00280592" w:rsidRPr="00280592">
              <w:rPr>
                <w:rFonts w:ascii="Times New Roman" w:hAnsi="Times New Roman"/>
                <w:b/>
                <w:sz w:val="20"/>
                <w:szCs w:val="20"/>
              </w:rPr>
              <w:t>The Department reiterates those responses which were made during those deliberations,  as follows:</w:t>
            </w:r>
          </w:p>
          <w:p w:rsidR="001C2A29" w:rsidRDefault="001C2A29" w:rsidP="001C2A29">
            <w:pPr>
              <w:pStyle w:val="lg-section"/>
              <w:spacing w:before="0"/>
              <w:ind w:firstLine="0"/>
              <w:jc w:val="left"/>
              <w:rPr>
                <w:rFonts w:ascii="Times New Roman" w:hAnsi="Times New Roman"/>
                <w:b/>
                <w:sz w:val="20"/>
                <w:szCs w:val="20"/>
              </w:rPr>
            </w:pPr>
          </w:p>
          <w:p w:rsidR="001C2A29" w:rsidRPr="001C2A29" w:rsidRDefault="001C2A29" w:rsidP="001C2A29">
            <w:pPr>
              <w:pStyle w:val="lg-section"/>
              <w:spacing w:before="0"/>
              <w:ind w:firstLine="0"/>
              <w:jc w:val="left"/>
              <w:rPr>
                <w:rFonts w:ascii="Times New Roman" w:hAnsi="Times New Roman"/>
                <w:b/>
                <w:sz w:val="20"/>
                <w:szCs w:val="20"/>
              </w:rPr>
            </w:pPr>
          </w:p>
          <w:p w:rsidR="00280592" w:rsidRPr="00280592" w:rsidRDefault="00280592" w:rsidP="00280592">
            <w:pPr>
              <w:pStyle w:val="lg-section"/>
              <w:ind w:firstLine="0"/>
              <w:jc w:val="left"/>
              <w:rPr>
                <w:rFonts w:ascii="Times New Roman" w:hAnsi="Times New Roman"/>
                <w:b/>
                <w:sz w:val="20"/>
                <w:szCs w:val="20"/>
              </w:rPr>
            </w:pPr>
            <w:r w:rsidRPr="00280592">
              <w:rPr>
                <w:rFonts w:ascii="Times New Roman" w:hAnsi="Times New Roman"/>
                <w:b/>
                <w:sz w:val="20"/>
                <w:szCs w:val="20"/>
              </w:rPr>
              <w:lastRenderedPageBreak/>
              <w:t xml:space="preserve"> “(</w:t>
            </w:r>
            <w:proofErr w:type="gramStart"/>
            <w:r w:rsidRPr="00280592">
              <w:rPr>
                <w:rFonts w:ascii="Times New Roman" w:hAnsi="Times New Roman"/>
                <w:b/>
                <w:sz w:val="20"/>
                <w:szCs w:val="20"/>
              </w:rPr>
              <w:t>a</w:t>
            </w:r>
            <w:proofErr w:type="gramEnd"/>
            <w:r w:rsidRPr="00280592">
              <w:rPr>
                <w:rFonts w:ascii="Times New Roman" w:hAnsi="Times New Roman"/>
                <w:b/>
                <w:sz w:val="20"/>
                <w:szCs w:val="20"/>
              </w:rPr>
              <w:t>) (</w:t>
            </w:r>
            <w:proofErr w:type="spellStart"/>
            <w:r w:rsidRPr="00280592">
              <w:rPr>
                <w:rFonts w:ascii="Times New Roman" w:hAnsi="Times New Roman"/>
                <w:b/>
                <w:sz w:val="20"/>
                <w:szCs w:val="20"/>
              </w:rPr>
              <w:t>i</w:t>
            </w:r>
            <w:proofErr w:type="spellEnd"/>
            <w:r w:rsidRPr="00280592">
              <w:rPr>
                <w:rFonts w:ascii="Times New Roman" w:hAnsi="Times New Roman"/>
                <w:b/>
                <w:sz w:val="20"/>
                <w:szCs w:val="20"/>
              </w:rPr>
              <w:t>)</w:t>
            </w:r>
            <w:r w:rsidRPr="00280592">
              <w:rPr>
                <w:rFonts w:ascii="Times New Roman" w:hAnsi="Times New Roman"/>
                <w:b/>
                <w:sz w:val="20"/>
                <w:szCs w:val="20"/>
              </w:rPr>
              <w:tab/>
              <w:t xml:space="preserve">The rationale behind the cap is the hardship caused to employees and their dependants when their take home salaries are reduced to minimal amounts.  </w:t>
            </w:r>
          </w:p>
          <w:p w:rsidR="00280592" w:rsidRDefault="00280592" w:rsidP="00280592">
            <w:pPr>
              <w:pStyle w:val="lg-section"/>
              <w:ind w:firstLine="0"/>
              <w:jc w:val="left"/>
              <w:rPr>
                <w:rFonts w:ascii="Times New Roman" w:hAnsi="Times New Roman"/>
                <w:b/>
                <w:sz w:val="20"/>
                <w:szCs w:val="20"/>
              </w:rPr>
            </w:pPr>
            <w:r w:rsidRPr="00280592">
              <w:rPr>
                <w:rFonts w:ascii="Times New Roman" w:hAnsi="Times New Roman"/>
                <w:b/>
                <w:sz w:val="20"/>
                <w:szCs w:val="20"/>
              </w:rPr>
              <w:t>(ii)</w:t>
            </w:r>
            <w:r w:rsidRPr="00280592">
              <w:rPr>
                <w:rFonts w:ascii="Times New Roman" w:hAnsi="Times New Roman"/>
                <w:b/>
                <w:sz w:val="20"/>
                <w:szCs w:val="20"/>
              </w:rPr>
              <w:tab/>
              <w:t xml:space="preserve">The </w:t>
            </w:r>
            <w:proofErr w:type="spellStart"/>
            <w:r w:rsidRPr="00280592">
              <w:rPr>
                <w:rFonts w:ascii="Times New Roman" w:hAnsi="Times New Roman"/>
                <w:b/>
                <w:sz w:val="20"/>
                <w:szCs w:val="20"/>
              </w:rPr>
              <w:t>dti</w:t>
            </w:r>
            <w:proofErr w:type="spellEnd"/>
            <w:r w:rsidRPr="00280592">
              <w:rPr>
                <w:rFonts w:ascii="Times New Roman" w:hAnsi="Times New Roman"/>
                <w:b/>
                <w:sz w:val="20"/>
                <w:szCs w:val="20"/>
              </w:rPr>
              <w:t xml:space="preserve"> contends that a cap can co-exist with a sufficient means-test.  Capping is done to prevent abuse and affordability is also done to ensure the debtor or consumer will be in a position to afford the garnishee.  Granting a garnishee order without checking if the consumer will afford the future garnishee will further put the already overburdened consumer in a very disadvantageous position. Affordability implies that a number of creditors will have to share on the 25% capped amount.  In essence, capping is part of the affordability assessment criteria because after having calculated the 25%, one still needs to determine how much a consumer will be left with, in order to determine affordability in relation to other financial commitments. Higher income earners are likely to have other assets that may be attached in execution to satisfy a debt. An EAO in these instances is not </w:t>
            </w:r>
            <w:r>
              <w:rPr>
                <w:rFonts w:ascii="Times New Roman" w:hAnsi="Times New Roman"/>
                <w:b/>
                <w:sz w:val="20"/>
                <w:szCs w:val="20"/>
              </w:rPr>
              <w:t>the only way to collect a debt.”</w:t>
            </w:r>
          </w:p>
          <w:p w:rsidR="00F54C62" w:rsidRDefault="00D91996" w:rsidP="00D91996">
            <w:pPr>
              <w:pStyle w:val="lg-section"/>
              <w:ind w:firstLine="0"/>
              <w:jc w:val="left"/>
              <w:rPr>
                <w:rFonts w:ascii="Times New Roman" w:hAnsi="Times New Roman"/>
                <w:b/>
                <w:sz w:val="20"/>
                <w:szCs w:val="20"/>
              </w:rPr>
            </w:pPr>
            <w:r>
              <w:rPr>
                <w:rFonts w:ascii="Times New Roman" w:hAnsi="Times New Roman"/>
                <w:b/>
                <w:sz w:val="20"/>
                <w:szCs w:val="20"/>
              </w:rPr>
              <w:t>The Department does not agree with the submission of the LSSA</w:t>
            </w:r>
            <w:r w:rsidR="005B442A">
              <w:rPr>
                <w:rFonts w:ascii="Times New Roman" w:hAnsi="Times New Roman"/>
                <w:b/>
                <w:sz w:val="20"/>
                <w:szCs w:val="20"/>
              </w:rPr>
              <w:t xml:space="preserve"> with regard to the 25% cap</w:t>
            </w:r>
            <w:r>
              <w:rPr>
                <w:rFonts w:ascii="Times New Roman" w:hAnsi="Times New Roman"/>
                <w:b/>
                <w:sz w:val="20"/>
                <w:szCs w:val="20"/>
              </w:rPr>
              <w:t xml:space="preserve">. </w:t>
            </w:r>
          </w:p>
          <w:p w:rsidR="00525A53" w:rsidRDefault="00525A53" w:rsidP="00D91996">
            <w:pPr>
              <w:pStyle w:val="lg-section"/>
              <w:ind w:firstLine="0"/>
              <w:jc w:val="left"/>
              <w:rPr>
                <w:rFonts w:ascii="Times New Roman" w:hAnsi="Times New Roman"/>
                <w:b/>
                <w:sz w:val="20"/>
                <w:szCs w:val="20"/>
              </w:rPr>
            </w:pPr>
            <w:r>
              <w:rPr>
                <w:rFonts w:ascii="Times New Roman" w:hAnsi="Times New Roman"/>
                <w:b/>
                <w:sz w:val="20"/>
                <w:szCs w:val="20"/>
              </w:rPr>
              <w:t xml:space="preserve">Further, it is noted that the cap is only in respect of emoluments as it impacts on the take-home salary of a debtor. There are other means to collect a debt from those who have the means to settle them, such as execution. Setting a cap on all means to collect a debt will have unintended consequences. </w:t>
            </w:r>
          </w:p>
          <w:p w:rsidR="00D91996" w:rsidRDefault="005B442A" w:rsidP="00D91996">
            <w:pPr>
              <w:pStyle w:val="lg-section"/>
              <w:ind w:firstLine="0"/>
              <w:jc w:val="left"/>
              <w:rPr>
                <w:rFonts w:ascii="Times New Roman" w:hAnsi="Times New Roman"/>
                <w:b/>
                <w:sz w:val="20"/>
                <w:szCs w:val="20"/>
              </w:rPr>
            </w:pPr>
            <w:r>
              <w:rPr>
                <w:rFonts w:ascii="Times New Roman" w:hAnsi="Times New Roman"/>
                <w:b/>
                <w:sz w:val="20"/>
                <w:szCs w:val="20"/>
              </w:rPr>
              <w:t>(b) the LSSA also made the submission with regard to the 5% commission to the Portfolio and the response of the Department was as follows:</w:t>
            </w:r>
          </w:p>
          <w:p w:rsidR="005B442A" w:rsidRPr="005B442A" w:rsidRDefault="002D4702" w:rsidP="005B442A">
            <w:pPr>
              <w:pStyle w:val="lg-section"/>
              <w:jc w:val="left"/>
              <w:rPr>
                <w:rFonts w:ascii="Times New Roman" w:hAnsi="Times New Roman"/>
                <w:b/>
                <w:sz w:val="20"/>
                <w:szCs w:val="20"/>
              </w:rPr>
            </w:pPr>
            <w:r>
              <w:rPr>
                <w:rFonts w:ascii="Times New Roman" w:hAnsi="Times New Roman"/>
                <w:b/>
                <w:sz w:val="20"/>
                <w:szCs w:val="20"/>
              </w:rPr>
              <w:t>“…</w:t>
            </w:r>
            <w:r w:rsidR="005B442A" w:rsidRPr="005B442A">
              <w:rPr>
                <w:rFonts w:ascii="Times New Roman" w:hAnsi="Times New Roman"/>
                <w:b/>
                <w:sz w:val="20"/>
                <w:szCs w:val="20"/>
              </w:rPr>
              <w:t>Section 65J(10)</w:t>
            </w:r>
            <w:r w:rsidR="005B442A" w:rsidRPr="005B442A">
              <w:rPr>
                <w:rFonts w:ascii="Times New Roman" w:hAnsi="Times New Roman"/>
                <w:b/>
                <w:i/>
                <w:sz w:val="20"/>
                <w:szCs w:val="20"/>
              </w:rPr>
              <w:t>(a)</w:t>
            </w:r>
            <w:r w:rsidR="005B442A" w:rsidRPr="005B442A">
              <w:rPr>
                <w:rFonts w:ascii="Times New Roman" w:hAnsi="Times New Roman"/>
                <w:b/>
                <w:sz w:val="20"/>
                <w:szCs w:val="20"/>
              </w:rPr>
              <w:t xml:space="preserve"> provides that a garnishee may recover from the judgment creditor a commission of up to five per cent of all amounts deducted from the debtor’s salary in respect of an EAO.  This is the current provision in section </w:t>
            </w:r>
            <w:proofErr w:type="gramStart"/>
            <w:r w:rsidR="005B442A" w:rsidRPr="005B442A">
              <w:rPr>
                <w:rFonts w:ascii="Times New Roman" w:hAnsi="Times New Roman"/>
                <w:b/>
                <w:sz w:val="20"/>
                <w:szCs w:val="20"/>
              </w:rPr>
              <w:t>65J(</w:t>
            </w:r>
            <w:proofErr w:type="gramEnd"/>
            <w:r w:rsidR="005B442A" w:rsidRPr="005B442A">
              <w:rPr>
                <w:rFonts w:ascii="Times New Roman" w:hAnsi="Times New Roman"/>
                <w:b/>
                <w:sz w:val="20"/>
                <w:szCs w:val="20"/>
              </w:rPr>
              <w:t>10).</w:t>
            </w:r>
          </w:p>
          <w:p w:rsidR="002D4702" w:rsidRDefault="002D4702" w:rsidP="005B442A">
            <w:pPr>
              <w:pStyle w:val="lg-section"/>
              <w:jc w:val="left"/>
              <w:rPr>
                <w:rFonts w:ascii="Times New Roman" w:hAnsi="Times New Roman"/>
                <w:b/>
                <w:sz w:val="20"/>
                <w:szCs w:val="20"/>
              </w:rPr>
            </w:pPr>
            <w:r>
              <w:rPr>
                <w:rFonts w:ascii="Times New Roman" w:hAnsi="Times New Roman"/>
                <w:b/>
                <w:sz w:val="20"/>
                <w:szCs w:val="20"/>
              </w:rPr>
              <w:t>…</w:t>
            </w:r>
            <w:r w:rsidR="005B442A" w:rsidRPr="005B442A">
              <w:rPr>
                <w:rFonts w:ascii="Times New Roman" w:hAnsi="Times New Roman"/>
                <w:b/>
                <w:sz w:val="20"/>
                <w:szCs w:val="20"/>
              </w:rPr>
              <w:tab/>
              <w:t xml:space="preserve">The Department has already responded to this issue by stating that the debtor already has to pay collection commission.  Furthermore, this provision, which is an existing provision, cannot simply be amended </w:t>
            </w:r>
            <w:r w:rsidR="005B442A" w:rsidRPr="005B442A">
              <w:rPr>
                <w:rFonts w:ascii="Times New Roman" w:hAnsi="Times New Roman"/>
                <w:b/>
                <w:sz w:val="20"/>
                <w:szCs w:val="20"/>
              </w:rPr>
              <w:lastRenderedPageBreak/>
              <w:t xml:space="preserve">without thorough </w:t>
            </w:r>
            <w:r>
              <w:rPr>
                <w:rFonts w:ascii="Times New Roman" w:hAnsi="Times New Roman"/>
                <w:b/>
                <w:sz w:val="20"/>
                <w:szCs w:val="20"/>
              </w:rPr>
              <w:t>investigation and consultation.”</w:t>
            </w:r>
          </w:p>
          <w:p w:rsidR="005B442A" w:rsidRDefault="002D4702" w:rsidP="002D4702">
            <w:pPr>
              <w:pStyle w:val="lg-section"/>
              <w:ind w:firstLine="0"/>
              <w:jc w:val="left"/>
              <w:rPr>
                <w:rFonts w:ascii="Times New Roman" w:hAnsi="Times New Roman"/>
                <w:b/>
                <w:sz w:val="20"/>
                <w:szCs w:val="20"/>
              </w:rPr>
            </w:pPr>
            <w:r>
              <w:rPr>
                <w:rFonts w:ascii="Times New Roman" w:hAnsi="Times New Roman"/>
                <w:b/>
                <w:sz w:val="20"/>
                <w:szCs w:val="20"/>
              </w:rPr>
              <w:t>We reiterate that the provision to recover 5% collection commission from the judgment creditor</w:t>
            </w:r>
            <w:r w:rsidR="005B442A" w:rsidRPr="005B442A">
              <w:rPr>
                <w:rFonts w:ascii="Times New Roman" w:hAnsi="Times New Roman"/>
                <w:b/>
                <w:sz w:val="20"/>
                <w:szCs w:val="20"/>
              </w:rPr>
              <w:t xml:space="preserve"> </w:t>
            </w:r>
            <w:r>
              <w:rPr>
                <w:rFonts w:ascii="Times New Roman" w:hAnsi="Times New Roman"/>
                <w:b/>
                <w:sz w:val="20"/>
                <w:szCs w:val="20"/>
              </w:rPr>
              <w:t xml:space="preserve">IS AN EXISTING PROVISION. </w:t>
            </w:r>
          </w:p>
          <w:p w:rsidR="002D4702" w:rsidRPr="005B442A" w:rsidRDefault="002D4702" w:rsidP="002D4702">
            <w:pPr>
              <w:pStyle w:val="lg-section"/>
              <w:ind w:firstLine="0"/>
              <w:jc w:val="left"/>
              <w:rPr>
                <w:rFonts w:ascii="Times New Roman" w:hAnsi="Times New Roman"/>
                <w:b/>
                <w:sz w:val="20"/>
                <w:szCs w:val="20"/>
              </w:rPr>
            </w:pPr>
            <w:r>
              <w:rPr>
                <w:rFonts w:ascii="Times New Roman" w:hAnsi="Times New Roman"/>
                <w:b/>
                <w:sz w:val="20"/>
                <w:szCs w:val="20"/>
              </w:rPr>
              <w:t xml:space="preserve">In any event, </w:t>
            </w:r>
            <w:r w:rsidR="00525A53">
              <w:rPr>
                <w:rFonts w:ascii="Times New Roman" w:hAnsi="Times New Roman"/>
                <w:b/>
                <w:sz w:val="20"/>
                <w:szCs w:val="20"/>
              </w:rPr>
              <w:t xml:space="preserve">suggesting that </w:t>
            </w:r>
            <w:r>
              <w:rPr>
                <w:rFonts w:ascii="Times New Roman" w:hAnsi="Times New Roman"/>
                <w:b/>
                <w:sz w:val="20"/>
                <w:szCs w:val="20"/>
              </w:rPr>
              <w:t>a debtor, who is already over-indebted</w:t>
            </w:r>
            <w:r w:rsidR="00525A53">
              <w:rPr>
                <w:rFonts w:ascii="Times New Roman" w:hAnsi="Times New Roman"/>
                <w:b/>
                <w:sz w:val="20"/>
                <w:szCs w:val="20"/>
              </w:rPr>
              <w:t>, pay an additional 5% will add 5% to an already growing debt (interest and other legal costs), which further exacerbates the cycle of debt.</w:t>
            </w:r>
          </w:p>
          <w:p w:rsidR="005B442A" w:rsidRPr="00C14267" w:rsidRDefault="00615463" w:rsidP="00D91996">
            <w:pPr>
              <w:pStyle w:val="lg-section"/>
              <w:ind w:firstLine="0"/>
              <w:jc w:val="left"/>
              <w:rPr>
                <w:rFonts w:ascii="Times New Roman" w:hAnsi="Times New Roman"/>
                <w:b/>
                <w:sz w:val="20"/>
                <w:szCs w:val="20"/>
              </w:rPr>
            </w:pPr>
            <w:r w:rsidRPr="00615463">
              <w:rPr>
                <w:rFonts w:ascii="Times New Roman" w:hAnsi="Times New Roman"/>
                <w:b/>
                <w:sz w:val="20"/>
                <w:szCs w:val="20"/>
              </w:rPr>
              <w:t>The Department does not agree with the submission of the LSSA</w:t>
            </w:r>
            <w:r>
              <w:rPr>
                <w:rFonts w:ascii="Times New Roman" w:hAnsi="Times New Roman"/>
                <w:b/>
                <w:sz w:val="20"/>
                <w:szCs w:val="20"/>
              </w:rPr>
              <w:t xml:space="preserve"> with regard to the </w:t>
            </w:r>
            <w:r w:rsidRPr="00615463">
              <w:rPr>
                <w:rFonts w:ascii="Times New Roman" w:hAnsi="Times New Roman"/>
                <w:b/>
                <w:sz w:val="20"/>
                <w:szCs w:val="20"/>
              </w:rPr>
              <w:t>5%</w:t>
            </w:r>
            <w:r>
              <w:rPr>
                <w:rFonts w:ascii="Times New Roman" w:hAnsi="Times New Roman"/>
                <w:b/>
                <w:sz w:val="20"/>
                <w:szCs w:val="20"/>
              </w:rPr>
              <w:t xml:space="preserve"> commission.</w:t>
            </w:r>
          </w:p>
        </w:tc>
      </w:tr>
      <w:tr w:rsidR="00F54C62" w:rsidTr="00761EEB">
        <w:tc>
          <w:tcPr>
            <w:tcW w:w="6813" w:type="dxa"/>
          </w:tcPr>
          <w:p w:rsidR="007463A8" w:rsidRPr="007463A8" w:rsidRDefault="007463A8" w:rsidP="007463A8">
            <w:pPr>
              <w:jc w:val="center"/>
              <w:rPr>
                <w:rFonts w:ascii="Times New Roman" w:hAnsi="Times New Roman" w:cs="Times New Roman"/>
                <w:b/>
                <w:sz w:val="20"/>
                <w:szCs w:val="20"/>
              </w:rPr>
            </w:pPr>
            <w:r w:rsidRPr="007463A8">
              <w:rPr>
                <w:rFonts w:ascii="Times New Roman" w:hAnsi="Times New Roman" w:cs="Times New Roman"/>
                <w:b/>
                <w:sz w:val="20"/>
                <w:szCs w:val="20"/>
              </w:rPr>
              <w:lastRenderedPageBreak/>
              <w:t xml:space="preserve">COMMENTS/ RECOMMENDATIONS: </w:t>
            </w:r>
            <w:r>
              <w:rPr>
                <w:rFonts w:ascii="Times New Roman" w:hAnsi="Times New Roman" w:cs="Times New Roman"/>
                <w:b/>
                <w:sz w:val="20"/>
                <w:szCs w:val="20"/>
              </w:rPr>
              <w:t>FIRST RAND BANK</w:t>
            </w:r>
            <w:r w:rsidR="0010397F">
              <w:rPr>
                <w:rFonts w:ascii="Times New Roman" w:hAnsi="Times New Roman" w:cs="Times New Roman"/>
                <w:b/>
                <w:sz w:val="20"/>
                <w:szCs w:val="20"/>
              </w:rPr>
              <w:t xml:space="preserve"> (FRB)</w:t>
            </w:r>
          </w:p>
          <w:p w:rsidR="00F54C62" w:rsidRDefault="00F54C62" w:rsidP="00641E9D">
            <w:pPr>
              <w:jc w:val="center"/>
              <w:rPr>
                <w:rFonts w:ascii="Times New Roman" w:hAnsi="Times New Roman" w:cs="Times New Roman"/>
                <w:b/>
                <w:sz w:val="20"/>
                <w:szCs w:val="20"/>
              </w:rPr>
            </w:pPr>
          </w:p>
        </w:tc>
        <w:tc>
          <w:tcPr>
            <w:tcW w:w="6662" w:type="dxa"/>
          </w:tcPr>
          <w:p w:rsidR="00F54C62" w:rsidRPr="00C14267" w:rsidRDefault="00F54C62" w:rsidP="00641E9D">
            <w:pPr>
              <w:pStyle w:val="lg-section"/>
              <w:spacing w:before="0"/>
              <w:ind w:firstLine="0"/>
              <w:jc w:val="center"/>
              <w:rPr>
                <w:rFonts w:ascii="Times New Roman" w:hAnsi="Times New Roman"/>
                <w:b/>
                <w:sz w:val="20"/>
                <w:szCs w:val="20"/>
              </w:rPr>
            </w:pPr>
          </w:p>
        </w:tc>
      </w:tr>
      <w:tr w:rsidR="00F54C62" w:rsidTr="00761EEB">
        <w:tc>
          <w:tcPr>
            <w:tcW w:w="6813" w:type="dxa"/>
          </w:tcPr>
          <w:p w:rsidR="00F54C62" w:rsidRDefault="007463A8" w:rsidP="007463A8">
            <w:pPr>
              <w:jc w:val="left"/>
              <w:rPr>
                <w:rFonts w:ascii="Times New Roman" w:hAnsi="Times New Roman" w:cs="Times New Roman"/>
                <w:b/>
                <w:sz w:val="20"/>
                <w:szCs w:val="20"/>
              </w:rPr>
            </w:pPr>
            <w:r w:rsidRPr="007463A8">
              <w:rPr>
                <w:rFonts w:ascii="Times New Roman" w:hAnsi="Times New Roman" w:cs="Times New Roman"/>
                <w:b/>
                <w:sz w:val="20"/>
                <w:szCs w:val="20"/>
              </w:rPr>
              <w:t>Proposed Insertion of Section 55A</w:t>
            </w:r>
          </w:p>
          <w:p w:rsidR="007463A8" w:rsidRDefault="007463A8" w:rsidP="007463A8">
            <w:pPr>
              <w:jc w:val="left"/>
              <w:rPr>
                <w:rFonts w:ascii="Times New Roman" w:hAnsi="Times New Roman" w:cs="Times New Roman"/>
                <w:b/>
                <w:sz w:val="20"/>
                <w:szCs w:val="20"/>
              </w:rPr>
            </w:pPr>
            <w:r>
              <w:rPr>
                <w:rFonts w:ascii="Times New Roman" w:hAnsi="Times New Roman" w:cs="Times New Roman"/>
                <w:b/>
                <w:sz w:val="20"/>
                <w:szCs w:val="20"/>
              </w:rPr>
              <w:t>Change “must” to “may”</w:t>
            </w:r>
          </w:p>
        </w:tc>
        <w:tc>
          <w:tcPr>
            <w:tcW w:w="6662" w:type="dxa"/>
          </w:tcPr>
          <w:p w:rsidR="00F54C62" w:rsidRPr="00C14267" w:rsidRDefault="007463A8" w:rsidP="00A22EF4">
            <w:pPr>
              <w:pStyle w:val="lg-section"/>
              <w:spacing w:before="0"/>
              <w:ind w:firstLine="0"/>
              <w:jc w:val="left"/>
              <w:rPr>
                <w:rFonts w:ascii="Times New Roman" w:hAnsi="Times New Roman"/>
                <w:b/>
                <w:sz w:val="20"/>
                <w:szCs w:val="20"/>
              </w:rPr>
            </w:pPr>
            <w:r>
              <w:rPr>
                <w:rFonts w:ascii="Times New Roman" w:hAnsi="Times New Roman"/>
                <w:b/>
                <w:sz w:val="20"/>
                <w:szCs w:val="20"/>
              </w:rPr>
              <w:t xml:space="preserve">The Department disagrees with the proposal. A magistrate has </w:t>
            </w:r>
            <w:proofErr w:type="gramStart"/>
            <w:r w:rsidR="0010397F">
              <w:rPr>
                <w:rFonts w:ascii="Times New Roman" w:hAnsi="Times New Roman"/>
                <w:b/>
                <w:sz w:val="20"/>
                <w:szCs w:val="20"/>
              </w:rPr>
              <w:t xml:space="preserve">a </w:t>
            </w:r>
            <w:r>
              <w:rPr>
                <w:rFonts w:ascii="Times New Roman" w:hAnsi="Times New Roman"/>
                <w:b/>
                <w:sz w:val="20"/>
                <w:szCs w:val="20"/>
              </w:rPr>
              <w:t>discretion</w:t>
            </w:r>
            <w:proofErr w:type="gramEnd"/>
            <w:r>
              <w:rPr>
                <w:rFonts w:ascii="Times New Roman" w:hAnsi="Times New Roman"/>
                <w:b/>
                <w:sz w:val="20"/>
                <w:szCs w:val="20"/>
              </w:rPr>
              <w:t xml:space="preserve"> in </w:t>
            </w:r>
            <w:r w:rsidR="0010397F">
              <w:rPr>
                <w:rFonts w:ascii="Times New Roman" w:hAnsi="Times New Roman"/>
                <w:b/>
                <w:sz w:val="20"/>
                <w:szCs w:val="20"/>
              </w:rPr>
              <w:t>c</w:t>
            </w:r>
            <w:r>
              <w:rPr>
                <w:rFonts w:ascii="Times New Roman" w:hAnsi="Times New Roman"/>
                <w:b/>
                <w:sz w:val="20"/>
                <w:szCs w:val="20"/>
              </w:rPr>
              <w:t>onsidering other relevant factors</w:t>
            </w:r>
            <w:r w:rsidR="0010397F">
              <w:rPr>
                <w:rFonts w:ascii="Times New Roman" w:hAnsi="Times New Roman"/>
                <w:b/>
                <w:sz w:val="20"/>
                <w:szCs w:val="20"/>
              </w:rPr>
              <w:t xml:space="preserve">. </w:t>
            </w:r>
            <w:r>
              <w:rPr>
                <w:rFonts w:ascii="Times New Roman" w:hAnsi="Times New Roman"/>
                <w:b/>
                <w:sz w:val="20"/>
                <w:szCs w:val="20"/>
              </w:rPr>
              <w:t xml:space="preserve"> The proposed amendment does not </w:t>
            </w:r>
            <w:r w:rsidRPr="00A22EF4">
              <w:rPr>
                <w:rFonts w:ascii="Times New Roman" w:hAnsi="Times New Roman"/>
                <w:b/>
                <w:sz w:val="20"/>
                <w:szCs w:val="20"/>
                <w:u w:val="single"/>
              </w:rPr>
              <w:t>limit</w:t>
            </w:r>
            <w:r>
              <w:rPr>
                <w:rFonts w:ascii="Times New Roman" w:hAnsi="Times New Roman"/>
                <w:b/>
                <w:sz w:val="20"/>
                <w:szCs w:val="20"/>
              </w:rPr>
              <w:t xml:space="preserve"> the factors to those grounds that have been listed. The factors that must be considered are those factors that will enable magistrates to arrive a just and equitable order. These are the bare minimum that must be considered, and it will lead to greater certainty</w:t>
            </w:r>
            <w:r w:rsidR="00A22EF4">
              <w:rPr>
                <w:rFonts w:ascii="Times New Roman" w:hAnsi="Times New Roman"/>
                <w:b/>
                <w:sz w:val="20"/>
                <w:szCs w:val="20"/>
              </w:rPr>
              <w:t xml:space="preserve"> and consistency</w:t>
            </w:r>
            <w:r>
              <w:rPr>
                <w:rFonts w:ascii="Times New Roman" w:hAnsi="Times New Roman"/>
                <w:b/>
                <w:sz w:val="20"/>
                <w:szCs w:val="20"/>
              </w:rPr>
              <w:t xml:space="preserve"> in arriving at just and equitable orders in the Magistrates’ </w:t>
            </w:r>
            <w:r w:rsidR="00A22EF4">
              <w:rPr>
                <w:rFonts w:ascii="Times New Roman" w:hAnsi="Times New Roman"/>
                <w:b/>
                <w:sz w:val="20"/>
                <w:szCs w:val="20"/>
              </w:rPr>
              <w:t>courts.</w:t>
            </w:r>
          </w:p>
        </w:tc>
      </w:tr>
      <w:tr w:rsidR="007463A8" w:rsidTr="00761EEB">
        <w:tc>
          <w:tcPr>
            <w:tcW w:w="6813" w:type="dxa"/>
          </w:tcPr>
          <w:p w:rsidR="007463A8" w:rsidRDefault="007463A8" w:rsidP="007463A8">
            <w:pPr>
              <w:jc w:val="left"/>
              <w:rPr>
                <w:rFonts w:ascii="Times New Roman" w:hAnsi="Times New Roman" w:cs="Times New Roman"/>
                <w:b/>
                <w:sz w:val="20"/>
                <w:szCs w:val="20"/>
                <w:lang w:val="en-ZA"/>
              </w:rPr>
            </w:pPr>
            <w:r w:rsidRPr="0086410F">
              <w:rPr>
                <w:rFonts w:ascii="Times New Roman" w:hAnsi="Times New Roman" w:cs="Times New Roman"/>
                <w:b/>
                <w:sz w:val="20"/>
                <w:szCs w:val="20"/>
                <w:lang w:val="en-ZA"/>
              </w:rPr>
              <w:t>Proposed Section 65J (2C)(c)(</w:t>
            </w:r>
            <w:proofErr w:type="spellStart"/>
            <w:r w:rsidRPr="0086410F">
              <w:rPr>
                <w:rFonts w:ascii="Times New Roman" w:hAnsi="Times New Roman" w:cs="Times New Roman"/>
                <w:b/>
                <w:sz w:val="20"/>
                <w:szCs w:val="20"/>
                <w:lang w:val="en-ZA"/>
              </w:rPr>
              <w:t>i</w:t>
            </w:r>
            <w:proofErr w:type="spellEnd"/>
            <w:r w:rsidRPr="0086410F">
              <w:rPr>
                <w:rFonts w:ascii="Times New Roman" w:hAnsi="Times New Roman" w:cs="Times New Roman"/>
                <w:b/>
                <w:sz w:val="20"/>
                <w:szCs w:val="20"/>
                <w:lang w:val="en-ZA"/>
              </w:rPr>
              <w:t>):</w:t>
            </w:r>
          </w:p>
          <w:p w:rsidR="0086410F" w:rsidRDefault="0086410F" w:rsidP="007463A8">
            <w:pPr>
              <w:jc w:val="left"/>
              <w:rPr>
                <w:rFonts w:ascii="Times New Roman" w:hAnsi="Times New Roman" w:cs="Times New Roman"/>
                <w:b/>
                <w:sz w:val="20"/>
                <w:szCs w:val="20"/>
                <w:lang w:val="en-ZA"/>
              </w:rPr>
            </w:pPr>
          </w:p>
          <w:p w:rsidR="0086410F" w:rsidRDefault="0086410F" w:rsidP="007463A8">
            <w:pPr>
              <w:jc w:val="left"/>
              <w:rPr>
                <w:rFonts w:ascii="Times New Roman" w:hAnsi="Times New Roman" w:cs="Times New Roman"/>
                <w:b/>
                <w:sz w:val="20"/>
                <w:szCs w:val="20"/>
              </w:rPr>
            </w:pPr>
            <w:r>
              <w:rPr>
                <w:rFonts w:ascii="Times New Roman" w:hAnsi="Times New Roman" w:cs="Times New Roman"/>
                <w:b/>
                <w:sz w:val="20"/>
                <w:szCs w:val="20"/>
              </w:rPr>
              <w:t>(a) C</w:t>
            </w:r>
            <w:r w:rsidRPr="0086410F">
              <w:rPr>
                <w:rFonts w:ascii="Times New Roman" w:hAnsi="Times New Roman" w:cs="Times New Roman"/>
                <w:b/>
                <w:sz w:val="20"/>
                <w:szCs w:val="20"/>
              </w:rPr>
              <w:t xml:space="preserve">oncern </w:t>
            </w:r>
            <w:r>
              <w:rPr>
                <w:rFonts w:ascii="Times New Roman" w:hAnsi="Times New Roman" w:cs="Times New Roman"/>
                <w:b/>
                <w:sz w:val="20"/>
                <w:szCs w:val="20"/>
              </w:rPr>
              <w:t xml:space="preserve">is expressed </w:t>
            </w:r>
            <w:r w:rsidRPr="0086410F">
              <w:rPr>
                <w:rFonts w:ascii="Times New Roman" w:hAnsi="Times New Roman" w:cs="Times New Roman"/>
                <w:b/>
                <w:sz w:val="20"/>
                <w:szCs w:val="20"/>
              </w:rPr>
              <w:t>that the employer of a judgment debtor will not be able to provide the certificate proposed</w:t>
            </w:r>
            <w:r>
              <w:rPr>
                <w:rFonts w:ascii="Times New Roman" w:hAnsi="Times New Roman" w:cs="Times New Roman"/>
                <w:b/>
                <w:sz w:val="20"/>
                <w:szCs w:val="20"/>
              </w:rPr>
              <w:t>.</w:t>
            </w:r>
          </w:p>
          <w:p w:rsidR="0086410F" w:rsidRDefault="0086410F" w:rsidP="007463A8">
            <w:pPr>
              <w:jc w:val="left"/>
              <w:rPr>
                <w:rFonts w:ascii="Times New Roman" w:hAnsi="Times New Roman" w:cs="Times New Roman"/>
                <w:b/>
                <w:sz w:val="20"/>
                <w:szCs w:val="20"/>
              </w:rPr>
            </w:pPr>
          </w:p>
          <w:p w:rsidR="0086410F" w:rsidRDefault="0086410F" w:rsidP="007463A8">
            <w:pPr>
              <w:jc w:val="left"/>
              <w:rPr>
                <w:rFonts w:ascii="Times New Roman" w:hAnsi="Times New Roman" w:cs="Times New Roman"/>
                <w:b/>
                <w:sz w:val="20"/>
                <w:szCs w:val="20"/>
              </w:rPr>
            </w:pPr>
          </w:p>
          <w:p w:rsidR="0086410F" w:rsidRDefault="0086410F" w:rsidP="007463A8">
            <w:pPr>
              <w:jc w:val="left"/>
              <w:rPr>
                <w:rFonts w:ascii="Times New Roman" w:hAnsi="Times New Roman" w:cs="Times New Roman"/>
                <w:b/>
                <w:sz w:val="20"/>
                <w:szCs w:val="20"/>
              </w:rPr>
            </w:pPr>
          </w:p>
          <w:p w:rsidR="0086410F" w:rsidRDefault="0086410F" w:rsidP="007463A8">
            <w:pPr>
              <w:jc w:val="left"/>
              <w:rPr>
                <w:rFonts w:ascii="Times New Roman" w:hAnsi="Times New Roman" w:cs="Times New Roman"/>
                <w:b/>
                <w:sz w:val="20"/>
                <w:szCs w:val="20"/>
              </w:rPr>
            </w:pPr>
          </w:p>
          <w:p w:rsidR="0086410F" w:rsidRDefault="0086410F" w:rsidP="007463A8">
            <w:pPr>
              <w:jc w:val="left"/>
              <w:rPr>
                <w:rFonts w:ascii="Times New Roman" w:hAnsi="Times New Roman" w:cs="Times New Roman"/>
                <w:b/>
                <w:sz w:val="20"/>
                <w:szCs w:val="20"/>
              </w:rPr>
            </w:pPr>
          </w:p>
          <w:p w:rsidR="00067C5C" w:rsidRPr="00067C5C" w:rsidRDefault="00067C5C" w:rsidP="00067C5C">
            <w:pPr>
              <w:jc w:val="left"/>
              <w:rPr>
                <w:rFonts w:ascii="Times New Roman" w:hAnsi="Times New Roman" w:cs="Times New Roman"/>
                <w:b/>
                <w:sz w:val="20"/>
                <w:szCs w:val="20"/>
                <w:lang w:val="en-ZA"/>
              </w:rPr>
            </w:pPr>
            <w:r w:rsidRPr="00067C5C">
              <w:rPr>
                <w:rFonts w:ascii="Times New Roman" w:hAnsi="Times New Roman" w:cs="Times New Roman"/>
                <w:b/>
                <w:sz w:val="20"/>
                <w:szCs w:val="20"/>
                <w:lang w:val="en-ZA"/>
              </w:rPr>
              <w:t>Proposed Section 65J(10)(b):</w:t>
            </w:r>
          </w:p>
          <w:p w:rsidR="0086410F" w:rsidRDefault="0086410F" w:rsidP="007463A8">
            <w:pPr>
              <w:jc w:val="left"/>
              <w:rPr>
                <w:rFonts w:ascii="Times New Roman" w:hAnsi="Times New Roman" w:cs="Times New Roman"/>
                <w:b/>
                <w:sz w:val="20"/>
                <w:szCs w:val="20"/>
              </w:rPr>
            </w:pPr>
          </w:p>
          <w:p w:rsidR="00067C5C" w:rsidRDefault="00067C5C" w:rsidP="007463A8">
            <w:pPr>
              <w:jc w:val="left"/>
              <w:rPr>
                <w:rFonts w:ascii="Times New Roman" w:hAnsi="Times New Roman" w:cs="Times New Roman"/>
                <w:b/>
                <w:sz w:val="20"/>
                <w:szCs w:val="20"/>
              </w:rPr>
            </w:pPr>
          </w:p>
          <w:p w:rsidR="0086410F" w:rsidRPr="0086410F" w:rsidRDefault="0086410F" w:rsidP="007463A8">
            <w:pPr>
              <w:jc w:val="left"/>
              <w:rPr>
                <w:rFonts w:ascii="Times New Roman" w:hAnsi="Times New Roman" w:cs="Times New Roman"/>
                <w:b/>
                <w:sz w:val="20"/>
                <w:szCs w:val="20"/>
                <w:lang w:val="en-ZA"/>
              </w:rPr>
            </w:pPr>
            <w:r>
              <w:rPr>
                <w:rFonts w:ascii="Times New Roman" w:hAnsi="Times New Roman" w:cs="Times New Roman"/>
                <w:b/>
                <w:sz w:val="20"/>
                <w:szCs w:val="20"/>
              </w:rPr>
              <w:t xml:space="preserve">(b) </w:t>
            </w:r>
            <w:r w:rsidR="00067C5C" w:rsidRPr="00067C5C">
              <w:rPr>
                <w:rFonts w:ascii="Times New Roman" w:hAnsi="Times New Roman" w:cs="Times New Roman"/>
                <w:b/>
                <w:sz w:val="20"/>
                <w:szCs w:val="20"/>
              </w:rPr>
              <w:t>Concern is expressed that the provision is onerous with regard to the garnishee / employer</w:t>
            </w:r>
            <w:r w:rsidR="00067C5C">
              <w:rPr>
                <w:rFonts w:ascii="Times New Roman" w:hAnsi="Times New Roman" w:cs="Times New Roman"/>
                <w:b/>
                <w:sz w:val="20"/>
                <w:szCs w:val="20"/>
              </w:rPr>
              <w:t xml:space="preserve"> in so far as the employer is liable to pay the debtor additional costs and interest, where the employer </w:t>
            </w:r>
            <w:r w:rsidR="00067C5C" w:rsidRPr="0010397F">
              <w:rPr>
                <w:rFonts w:ascii="Times New Roman" w:hAnsi="Times New Roman" w:cs="Times New Roman"/>
                <w:b/>
                <w:sz w:val="20"/>
                <w:szCs w:val="20"/>
                <w:u w:val="single"/>
              </w:rPr>
              <w:t>unreasonably</w:t>
            </w:r>
            <w:r w:rsidR="00A22EF4">
              <w:rPr>
                <w:rFonts w:ascii="Times New Roman" w:hAnsi="Times New Roman" w:cs="Times New Roman"/>
                <w:b/>
                <w:sz w:val="20"/>
                <w:szCs w:val="20"/>
                <w:u w:val="single"/>
              </w:rPr>
              <w:t xml:space="preserve"> </w:t>
            </w:r>
            <w:r w:rsidR="00A22EF4" w:rsidRPr="00A22EF4">
              <w:rPr>
                <w:rFonts w:ascii="Times New Roman" w:hAnsi="Times New Roman" w:cs="Times New Roman"/>
                <w:b/>
                <w:sz w:val="20"/>
                <w:szCs w:val="20"/>
              </w:rPr>
              <w:t>(</w:t>
            </w:r>
            <w:r w:rsidR="00A22EF4" w:rsidRPr="00A22EF4">
              <w:rPr>
                <w:rFonts w:ascii="Times New Roman" w:hAnsi="Times New Roman" w:cs="Times New Roman"/>
                <w:b/>
                <w:i/>
                <w:sz w:val="20"/>
                <w:szCs w:val="20"/>
              </w:rPr>
              <w:t>our emphasis</w:t>
            </w:r>
            <w:r w:rsidR="00A22EF4" w:rsidRPr="00A22EF4">
              <w:rPr>
                <w:rFonts w:ascii="Times New Roman" w:hAnsi="Times New Roman" w:cs="Times New Roman"/>
                <w:b/>
                <w:sz w:val="20"/>
                <w:szCs w:val="20"/>
              </w:rPr>
              <w:t>)</w:t>
            </w:r>
            <w:r w:rsidR="00067C5C">
              <w:rPr>
                <w:rFonts w:ascii="Times New Roman" w:hAnsi="Times New Roman" w:cs="Times New Roman"/>
                <w:b/>
                <w:sz w:val="20"/>
                <w:szCs w:val="20"/>
              </w:rPr>
              <w:t xml:space="preserve"> fails to deduct or stop an EAO.</w:t>
            </w:r>
            <w:r w:rsidR="0010397F" w:rsidRPr="0010397F">
              <w:rPr>
                <w:rFonts w:cs="Arial"/>
                <w:color w:val="000000"/>
                <w:sz w:val="20"/>
                <w:szCs w:val="20"/>
              </w:rPr>
              <w:t xml:space="preserve"> </w:t>
            </w:r>
            <w:r w:rsidR="0010397F" w:rsidRPr="0010397F">
              <w:rPr>
                <w:rFonts w:cs="Arial"/>
                <w:b/>
                <w:color w:val="000000"/>
                <w:sz w:val="20"/>
                <w:szCs w:val="20"/>
              </w:rPr>
              <w:t>It is</w:t>
            </w:r>
            <w:r w:rsidR="0010397F">
              <w:rPr>
                <w:rFonts w:cs="Arial"/>
                <w:color w:val="000000"/>
                <w:sz w:val="20"/>
                <w:szCs w:val="20"/>
              </w:rPr>
              <w:t xml:space="preserve"> </w:t>
            </w:r>
            <w:r w:rsidR="0010397F" w:rsidRPr="0010397F">
              <w:rPr>
                <w:rFonts w:ascii="Times New Roman" w:hAnsi="Times New Roman" w:cs="Times New Roman"/>
                <w:b/>
                <w:sz w:val="20"/>
                <w:szCs w:val="20"/>
              </w:rPr>
              <w:t>propose</w:t>
            </w:r>
            <w:r w:rsidR="0010397F">
              <w:rPr>
                <w:rFonts w:ascii="Times New Roman" w:hAnsi="Times New Roman" w:cs="Times New Roman"/>
                <w:b/>
                <w:sz w:val="20"/>
                <w:szCs w:val="20"/>
              </w:rPr>
              <w:t>d</w:t>
            </w:r>
            <w:r w:rsidR="0010397F" w:rsidRPr="0010397F">
              <w:rPr>
                <w:rFonts w:ascii="Times New Roman" w:hAnsi="Times New Roman" w:cs="Times New Roman"/>
                <w:b/>
                <w:sz w:val="20"/>
                <w:szCs w:val="20"/>
              </w:rPr>
              <w:t xml:space="preserve"> that the garnishee / employer should have the right to claim any amounts paid above the judgment debt and costs from the judgment creditor.</w:t>
            </w:r>
          </w:p>
          <w:p w:rsidR="007463A8" w:rsidRPr="007463A8" w:rsidRDefault="007463A8" w:rsidP="007463A8">
            <w:pPr>
              <w:jc w:val="left"/>
              <w:rPr>
                <w:rFonts w:ascii="Times New Roman" w:hAnsi="Times New Roman" w:cs="Times New Roman"/>
                <w:b/>
                <w:sz w:val="20"/>
                <w:szCs w:val="20"/>
              </w:rPr>
            </w:pPr>
          </w:p>
        </w:tc>
        <w:tc>
          <w:tcPr>
            <w:tcW w:w="6662" w:type="dxa"/>
          </w:tcPr>
          <w:p w:rsidR="007463A8" w:rsidRDefault="007463A8" w:rsidP="0086410F">
            <w:pPr>
              <w:pStyle w:val="lg-section"/>
              <w:spacing w:before="0"/>
              <w:ind w:firstLine="0"/>
              <w:jc w:val="left"/>
              <w:rPr>
                <w:rFonts w:ascii="Times New Roman" w:hAnsi="Times New Roman"/>
                <w:b/>
                <w:sz w:val="20"/>
                <w:szCs w:val="20"/>
              </w:rPr>
            </w:pPr>
          </w:p>
          <w:p w:rsidR="0086410F" w:rsidRDefault="0086410F" w:rsidP="0086410F">
            <w:pPr>
              <w:pStyle w:val="lg-section"/>
              <w:spacing w:before="0"/>
              <w:ind w:firstLine="0"/>
              <w:jc w:val="left"/>
              <w:rPr>
                <w:rFonts w:ascii="Times New Roman" w:hAnsi="Times New Roman"/>
                <w:b/>
                <w:sz w:val="20"/>
                <w:szCs w:val="20"/>
              </w:rPr>
            </w:pPr>
          </w:p>
          <w:p w:rsidR="0086410F" w:rsidRDefault="0086410F" w:rsidP="0086410F">
            <w:pPr>
              <w:pStyle w:val="lg-section"/>
              <w:spacing w:before="0"/>
              <w:ind w:firstLine="0"/>
              <w:jc w:val="left"/>
              <w:rPr>
                <w:rFonts w:ascii="Times New Roman" w:hAnsi="Times New Roman"/>
                <w:b/>
                <w:sz w:val="20"/>
                <w:szCs w:val="20"/>
              </w:rPr>
            </w:pPr>
            <w:r>
              <w:rPr>
                <w:rFonts w:ascii="Times New Roman" w:hAnsi="Times New Roman"/>
                <w:b/>
                <w:sz w:val="20"/>
                <w:szCs w:val="20"/>
              </w:rPr>
              <w:t>(a) Proposed s</w:t>
            </w:r>
            <w:r w:rsidR="00067C5C">
              <w:rPr>
                <w:rFonts w:ascii="Times New Roman" w:hAnsi="Times New Roman"/>
                <w:b/>
                <w:sz w:val="20"/>
                <w:szCs w:val="20"/>
              </w:rPr>
              <w:t xml:space="preserve">ection </w:t>
            </w:r>
            <w:proofErr w:type="gramStart"/>
            <w:r>
              <w:rPr>
                <w:rFonts w:ascii="Times New Roman" w:hAnsi="Times New Roman"/>
                <w:b/>
                <w:sz w:val="20"/>
                <w:szCs w:val="20"/>
              </w:rPr>
              <w:t>65J(</w:t>
            </w:r>
            <w:proofErr w:type="gramEnd"/>
            <w:r>
              <w:rPr>
                <w:rFonts w:ascii="Times New Roman" w:hAnsi="Times New Roman"/>
                <w:b/>
                <w:sz w:val="20"/>
                <w:szCs w:val="20"/>
              </w:rPr>
              <w:t>2C)(c)(</w:t>
            </w:r>
            <w:proofErr w:type="spellStart"/>
            <w:r>
              <w:rPr>
                <w:rFonts w:ascii="Times New Roman" w:hAnsi="Times New Roman"/>
                <w:b/>
                <w:sz w:val="20"/>
                <w:szCs w:val="20"/>
              </w:rPr>
              <w:t>i</w:t>
            </w:r>
            <w:proofErr w:type="spellEnd"/>
            <w:r>
              <w:rPr>
                <w:rFonts w:ascii="Times New Roman" w:hAnsi="Times New Roman"/>
                <w:b/>
                <w:sz w:val="20"/>
                <w:szCs w:val="20"/>
              </w:rPr>
              <w:t>) relates to a notice of opposition filed by the debtor or the employer against the granting of an EAO. The information required that led to the opposition of the granting of an EAO will be within the employers’ knowledge, as the employer is deducting money from the salary of an employee. The employer must therefore produce the necessary information to support an opposition.</w:t>
            </w:r>
          </w:p>
          <w:p w:rsidR="00067C5C" w:rsidRDefault="00067C5C" w:rsidP="0086410F">
            <w:pPr>
              <w:pStyle w:val="lg-section"/>
              <w:spacing w:before="0"/>
              <w:ind w:firstLine="0"/>
              <w:jc w:val="left"/>
              <w:rPr>
                <w:rFonts w:ascii="Times New Roman" w:hAnsi="Times New Roman"/>
                <w:b/>
                <w:sz w:val="20"/>
                <w:szCs w:val="20"/>
              </w:rPr>
            </w:pPr>
          </w:p>
          <w:p w:rsidR="0086410F" w:rsidRDefault="0086410F" w:rsidP="0086410F">
            <w:pPr>
              <w:pStyle w:val="lg-section"/>
              <w:spacing w:before="0"/>
              <w:ind w:firstLine="0"/>
              <w:jc w:val="left"/>
              <w:rPr>
                <w:rFonts w:ascii="Times New Roman" w:hAnsi="Times New Roman"/>
                <w:b/>
                <w:sz w:val="20"/>
                <w:szCs w:val="20"/>
              </w:rPr>
            </w:pPr>
            <w:r>
              <w:rPr>
                <w:rFonts w:ascii="Times New Roman" w:hAnsi="Times New Roman"/>
                <w:b/>
                <w:sz w:val="20"/>
                <w:szCs w:val="20"/>
              </w:rPr>
              <w:t>The Department does not agree that the proposal amendment is too onerous.</w:t>
            </w:r>
          </w:p>
          <w:p w:rsidR="00067C5C" w:rsidRDefault="00067C5C" w:rsidP="0086410F">
            <w:pPr>
              <w:pStyle w:val="lg-section"/>
              <w:spacing w:before="0"/>
              <w:ind w:firstLine="0"/>
              <w:jc w:val="left"/>
              <w:rPr>
                <w:rFonts w:ascii="Times New Roman" w:hAnsi="Times New Roman"/>
                <w:b/>
                <w:sz w:val="20"/>
                <w:szCs w:val="20"/>
              </w:rPr>
            </w:pPr>
          </w:p>
          <w:p w:rsidR="00067C5C" w:rsidRDefault="00067C5C" w:rsidP="00067C5C">
            <w:pPr>
              <w:pStyle w:val="lg-section"/>
              <w:spacing w:before="0"/>
              <w:ind w:firstLine="0"/>
              <w:jc w:val="left"/>
              <w:rPr>
                <w:rFonts w:ascii="Times New Roman" w:hAnsi="Times New Roman"/>
                <w:b/>
                <w:sz w:val="20"/>
                <w:szCs w:val="20"/>
              </w:rPr>
            </w:pPr>
            <w:r>
              <w:rPr>
                <w:rFonts w:ascii="Times New Roman" w:hAnsi="Times New Roman"/>
                <w:b/>
                <w:sz w:val="20"/>
                <w:szCs w:val="20"/>
              </w:rPr>
              <w:t>(b) The insertion of this provision must be seen in light of proposed amendment section 65 J (4) (b), which requires quarterly statements to be submitted</w:t>
            </w:r>
            <w:r w:rsidR="00514A44">
              <w:rPr>
                <w:rFonts w:ascii="Times New Roman" w:hAnsi="Times New Roman"/>
                <w:b/>
                <w:sz w:val="20"/>
                <w:szCs w:val="20"/>
              </w:rPr>
              <w:t xml:space="preserve"> by the judgment creditor to the employer, which sets out the payments received and the balance owing. This report puts the employer in a possession of the required information to enable the employer to continue deducting or to stop an EAO. </w:t>
            </w:r>
          </w:p>
          <w:p w:rsidR="00514A44" w:rsidRDefault="00514A44" w:rsidP="00067C5C">
            <w:pPr>
              <w:pStyle w:val="lg-section"/>
              <w:spacing w:before="0"/>
              <w:ind w:firstLine="0"/>
              <w:jc w:val="left"/>
              <w:rPr>
                <w:rFonts w:ascii="Times New Roman" w:hAnsi="Times New Roman"/>
                <w:b/>
                <w:sz w:val="20"/>
                <w:szCs w:val="20"/>
              </w:rPr>
            </w:pPr>
            <w:r>
              <w:rPr>
                <w:rFonts w:ascii="Times New Roman" w:hAnsi="Times New Roman"/>
                <w:b/>
                <w:sz w:val="20"/>
                <w:szCs w:val="20"/>
              </w:rPr>
              <w:t>Th</w:t>
            </w:r>
            <w:r w:rsidR="0010397F">
              <w:rPr>
                <w:rFonts w:ascii="Times New Roman" w:hAnsi="Times New Roman"/>
                <w:b/>
                <w:sz w:val="20"/>
                <w:szCs w:val="20"/>
              </w:rPr>
              <w:t xml:space="preserve">e proposed amendment </w:t>
            </w:r>
            <w:r>
              <w:rPr>
                <w:rFonts w:ascii="Times New Roman" w:hAnsi="Times New Roman"/>
                <w:b/>
                <w:sz w:val="20"/>
                <w:szCs w:val="20"/>
              </w:rPr>
              <w:t>is inserted to ensure accountability of the employer in so far as the making or stopping an EAO</w:t>
            </w:r>
            <w:r w:rsidR="00A22EF4">
              <w:rPr>
                <w:rFonts w:ascii="Times New Roman" w:hAnsi="Times New Roman"/>
                <w:b/>
                <w:sz w:val="20"/>
                <w:szCs w:val="20"/>
              </w:rPr>
              <w:t xml:space="preserve"> is concerned</w:t>
            </w:r>
            <w:r>
              <w:rPr>
                <w:rFonts w:ascii="Times New Roman" w:hAnsi="Times New Roman"/>
                <w:b/>
                <w:sz w:val="20"/>
                <w:szCs w:val="20"/>
              </w:rPr>
              <w:t>.</w:t>
            </w:r>
            <w:r w:rsidR="0010397F">
              <w:rPr>
                <w:rFonts w:ascii="Times New Roman" w:hAnsi="Times New Roman"/>
                <w:b/>
                <w:sz w:val="20"/>
                <w:szCs w:val="20"/>
              </w:rPr>
              <w:t xml:space="preserve"> It must </w:t>
            </w:r>
            <w:r w:rsidR="0010397F">
              <w:rPr>
                <w:rFonts w:ascii="Times New Roman" w:hAnsi="Times New Roman"/>
                <w:b/>
                <w:sz w:val="20"/>
                <w:szCs w:val="20"/>
              </w:rPr>
              <w:lastRenderedPageBreak/>
              <w:t xml:space="preserve">be reiterated that the provision will only apply where the employer “unreasonably” fails to deduct or stop an EAO. This implies that where an employer did not have the required information, the employer cannot be said to have acted unreasonably. </w:t>
            </w:r>
            <w:r w:rsidR="00A22EF4">
              <w:rPr>
                <w:rFonts w:ascii="Times New Roman" w:hAnsi="Times New Roman"/>
                <w:b/>
                <w:sz w:val="20"/>
                <w:szCs w:val="20"/>
              </w:rPr>
              <w:t>During the PC deliberation, a similar question was raised, and the word “unreasonably” was subsequently inserted.</w:t>
            </w:r>
          </w:p>
          <w:p w:rsidR="00514A44" w:rsidRDefault="00514A44" w:rsidP="00067C5C">
            <w:pPr>
              <w:pStyle w:val="lg-section"/>
              <w:spacing w:before="0"/>
              <w:ind w:firstLine="0"/>
              <w:jc w:val="left"/>
              <w:rPr>
                <w:rFonts w:ascii="Times New Roman" w:hAnsi="Times New Roman"/>
                <w:b/>
                <w:sz w:val="20"/>
                <w:szCs w:val="20"/>
              </w:rPr>
            </w:pPr>
          </w:p>
          <w:p w:rsidR="00514A44" w:rsidRPr="00514A44" w:rsidRDefault="00514A44" w:rsidP="00514A44">
            <w:pPr>
              <w:pStyle w:val="lg-section"/>
              <w:ind w:firstLine="0"/>
              <w:rPr>
                <w:rFonts w:ascii="Times New Roman" w:hAnsi="Times New Roman"/>
                <w:b/>
                <w:sz w:val="20"/>
                <w:szCs w:val="20"/>
              </w:rPr>
            </w:pPr>
            <w:r w:rsidRPr="00514A44">
              <w:rPr>
                <w:rFonts w:ascii="Times New Roman" w:hAnsi="Times New Roman"/>
                <w:b/>
                <w:sz w:val="20"/>
                <w:szCs w:val="20"/>
              </w:rPr>
              <w:t xml:space="preserve">The Department does not agree </w:t>
            </w:r>
            <w:r w:rsidR="0010397F">
              <w:rPr>
                <w:rFonts w:ascii="Times New Roman" w:hAnsi="Times New Roman"/>
                <w:b/>
                <w:sz w:val="20"/>
                <w:szCs w:val="20"/>
              </w:rPr>
              <w:t xml:space="preserve">that the </w:t>
            </w:r>
            <w:r w:rsidRPr="00514A44">
              <w:rPr>
                <w:rFonts w:ascii="Times New Roman" w:hAnsi="Times New Roman"/>
                <w:b/>
                <w:sz w:val="20"/>
                <w:szCs w:val="20"/>
              </w:rPr>
              <w:t>propos</w:t>
            </w:r>
            <w:r w:rsidR="0010397F">
              <w:rPr>
                <w:rFonts w:ascii="Times New Roman" w:hAnsi="Times New Roman"/>
                <w:b/>
                <w:sz w:val="20"/>
                <w:szCs w:val="20"/>
              </w:rPr>
              <w:t xml:space="preserve">ed </w:t>
            </w:r>
            <w:r w:rsidRPr="00514A44">
              <w:rPr>
                <w:rFonts w:ascii="Times New Roman" w:hAnsi="Times New Roman"/>
                <w:b/>
                <w:sz w:val="20"/>
                <w:szCs w:val="20"/>
              </w:rPr>
              <w:t xml:space="preserve">amendment </w:t>
            </w:r>
            <w:r w:rsidR="0010397F">
              <w:rPr>
                <w:rFonts w:ascii="Times New Roman" w:hAnsi="Times New Roman"/>
                <w:b/>
                <w:sz w:val="20"/>
                <w:szCs w:val="20"/>
              </w:rPr>
              <w:t>is too onerous, and does not agree with the suggestion of FRB.</w:t>
            </w:r>
          </w:p>
          <w:p w:rsidR="00514A44" w:rsidRPr="00C14267" w:rsidRDefault="00514A44" w:rsidP="00067C5C">
            <w:pPr>
              <w:pStyle w:val="lg-section"/>
              <w:spacing w:before="0"/>
              <w:ind w:firstLine="0"/>
              <w:jc w:val="left"/>
              <w:rPr>
                <w:rFonts w:ascii="Times New Roman" w:hAnsi="Times New Roman"/>
                <w:b/>
                <w:sz w:val="20"/>
                <w:szCs w:val="20"/>
              </w:rPr>
            </w:pPr>
          </w:p>
        </w:tc>
      </w:tr>
    </w:tbl>
    <w:p w:rsidR="00A003C9" w:rsidRPr="00A003C9" w:rsidRDefault="00A003C9" w:rsidP="00A003C9">
      <w:pPr>
        <w:rPr>
          <w:rFonts w:ascii="Times New Roman" w:hAnsi="Times New Roman" w:cs="Times New Roman"/>
          <w:sz w:val="22"/>
        </w:rPr>
      </w:pPr>
    </w:p>
    <w:sectPr w:rsidR="00A003C9" w:rsidRPr="00A003C9" w:rsidSect="003D1379">
      <w:headerReference w:type="default" r:id="rId8"/>
      <w:pgSz w:w="15840" w:h="12240" w:orient="landscape"/>
      <w:pgMar w:top="1080" w:right="99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41" w:rsidRDefault="009F7041" w:rsidP="00CE2F79">
      <w:pPr>
        <w:spacing w:line="240" w:lineRule="auto"/>
      </w:pPr>
      <w:r>
        <w:separator/>
      </w:r>
    </w:p>
  </w:endnote>
  <w:endnote w:type="continuationSeparator" w:id="0">
    <w:p w:rsidR="009F7041" w:rsidRDefault="009F7041" w:rsidP="00CE2F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41" w:rsidRDefault="009F7041" w:rsidP="00CE2F79">
      <w:pPr>
        <w:spacing w:line="240" w:lineRule="auto"/>
      </w:pPr>
      <w:r>
        <w:separator/>
      </w:r>
    </w:p>
  </w:footnote>
  <w:footnote w:type="continuationSeparator" w:id="0">
    <w:p w:rsidR="009F7041" w:rsidRDefault="009F7041" w:rsidP="00CE2F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6133"/>
      <w:docPartObj>
        <w:docPartGallery w:val="Page Numbers (Top of Page)"/>
        <w:docPartUnique/>
      </w:docPartObj>
    </w:sdtPr>
    <w:sdtEndPr>
      <w:rPr>
        <w:noProof/>
      </w:rPr>
    </w:sdtEndPr>
    <w:sdtContent>
      <w:p w:rsidR="005147A5" w:rsidRDefault="00CC1655">
        <w:pPr>
          <w:pStyle w:val="Header"/>
          <w:jc w:val="center"/>
        </w:pPr>
        <w:r>
          <w:fldChar w:fldCharType="begin"/>
        </w:r>
        <w:r w:rsidR="005147A5">
          <w:instrText xml:space="preserve"> PAGE   \* MERGEFORMAT </w:instrText>
        </w:r>
        <w:r>
          <w:fldChar w:fldCharType="separate"/>
        </w:r>
        <w:r w:rsidR="0000736E">
          <w:rPr>
            <w:noProof/>
          </w:rPr>
          <w:t>4</w:t>
        </w:r>
        <w:r>
          <w:rPr>
            <w:noProof/>
          </w:rPr>
          <w:fldChar w:fldCharType="end"/>
        </w:r>
      </w:p>
    </w:sdtContent>
  </w:sdt>
  <w:p w:rsidR="005147A5" w:rsidRDefault="00514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1C0F"/>
    <w:multiLevelType w:val="hybridMultilevel"/>
    <w:tmpl w:val="C46CEA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14267"/>
    <w:rsid w:val="0000736E"/>
    <w:rsid w:val="00066EAF"/>
    <w:rsid w:val="00067C5C"/>
    <w:rsid w:val="000B0740"/>
    <w:rsid w:val="000C58FE"/>
    <w:rsid w:val="000D7C69"/>
    <w:rsid w:val="000E11C6"/>
    <w:rsid w:val="000F25F6"/>
    <w:rsid w:val="00102BF8"/>
    <w:rsid w:val="0010397F"/>
    <w:rsid w:val="00127E5B"/>
    <w:rsid w:val="00157434"/>
    <w:rsid w:val="00174B31"/>
    <w:rsid w:val="001856DA"/>
    <w:rsid w:val="001902CD"/>
    <w:rsid w:val="001C2A29"/>
    <w:rsid w:val="0022291C"/>
    <w:rsid w:val="00236989"/>
    <w:rsid w:val="00256E1E"/>
    <w:rsid w:val="00260129"/>
    <w:rsid w:val="00261F7D"/>
    <w:rsid w:val="00280592"/>
    <w:rsid w:val="002B1446"/>
    <w:rsid w:val="002D05EB"/>
    <w:rsid w:val="002D4702"/>
    <w:rsid w:val="002E1F43"/>
    <w:rsid w:val="002E2944"/>
    <w:rsid w:val="003014AD"/>
    <w:rsid w:val="00323E9E"/>
    <w:rsid w:val="00357A7D"/>
    <w:rsid w:val="003D1379"/>
    <w:rsid w:val="003E2D2E"/>
    <w:rsid w:val="003F51E4"/>
    <w:rsid w:val="004026B4"/>
    <w:rsid w:val="00432449"/>
    <w:rsid w:val="00446DC3"/>
    <w:rsid w:val="00483826"/>
    <w:rsid w:val="00486157"/>
    <w:rsid w:val="004A5CBA"/>
    <w:rsid w:val="004B41C1"/>
    <w:rsid w:val="004C3851"/>
    <w:rsid w:val="004F5F13"/>
    <w:rsid w:val="005034C0"/>
    <w:rsid w:val="005105C2"/>
    <w:rsid w:val="005147A5"/>
    <w:rsid w:val="00514A44"/>
    <w:rsid w:val="00520B28"/>
    <w:rsid w:val="00525A53"/>
    <w:rsid w:val="00572426"/>
    <w:rsid w:val="005B442A"/>
    <w:rsid w:val="005C3CC6"/>
    <w:rsid w:val="005D5DD4"/>
    <w:rsid w:val="00614921"/>
    <w:rsid w:val="00615463"/>
    <w:rsid w:val="00623B59"/>
    <w:rsid w:val="00641E9D"/>
    <w:rsid w:val="0064217C"/>
    <w:rsid w:val="0066430D"/>
    <w:rsid w:val="00673A65"/>
    <w:rsid w:val="006769B3"/>
    <w:rsid w:val="006C4DA5"/>
    <w:rsid w:val="006E5C2D"/>
    <w:rsid w:val="006F6000"/>
    <w:rsid w:val="007141E6"/>
    <w:rsid w:val="00734B05"/>
    <w:rsid w:val="00735E3B"/>
    <w:rsid w:val="007419F8"/>
    <w:rsid w:val="00742555"/>
    <w:rsid w:val="00742ED8"/>
    <w:rsid w:val="007463A8"/>
    <w:rsid w:val="00761EEB"/>
    <w:rsid w:val="00793F29"/>
    <w:rsid w:val="00794D37"/>
    <w:rsid w:val="00811587"/>
    <w:rsid w:val="0081548F"/>
    <w:rsid w:val="0086410F"/>
    <w:rsid w:val="00872F8A"/>
    <w:rsid w:val="008E5D24"/>
    <w:rsid w:val="008F07EA"/>
    <w:rsid w:val="008F1F38"/>
    <w:rsid w:val="00913C00"/>
    <w:rsid w:val="00926FBB"/>
    <w:rsid w:val="00927883"/>
    <w:rsid w:val="009839EA"/>
    <w:rsid w:val="00995DF6"/>
    <w:rsid w:val="009B3DEA"/>
    <w:rsid w:val="009B412C"/>
    <w:rsid w:val="009B484A"/>
    <w:rsid w:val="009C7739"/>
    <w:rsid w:val="009E113F"/>
    <w:rsid w:val="009F7041"/>
    <w:rsid w:val="00A003C9"/>
    <w:rsid w:val="00A12B53"/>
    <w:rsid w:val="00A22EF4"/>
    <w:rsid w:val="00A31697"/>
    <w:rsid w:val="00A82B04"/>
    <w:rsid w:val="00A86DFD"/>
    <w:rsid w:val="00AF2A3D"/>
    <w:rsid w:val="00B045CB"/>
    <w:rsid w:val="00B13740"/>
    <w:rsid w:val="00B20E00"/>
    <w:rsid w:val="00B22F12"/>
    <w:rsid w:val="00B3009F"/>
    <w:rsid w:val="00B52DA1"/>
    <w:rsid w:val="00B56237"/>
    <w:rsid w:val="00BC2FCE"/>
    <w:rsid w:val="00C077A1"/>
    <w:rsid w:val="00C14267"/>
    <w:rsid w:val="00C860C6"/>
    <w:rsid w:val="00CA334C"/>
    <w:rsid w:val="00CC1655"/>
    <w:rsid w:val="00CD07C1"/>
    <w:rsid w:val="00CE1220"/>
    <w:rsid w:val="00CE2F79"/>
    <w:rsid w:val="00D21F5E"/>
    <w:rsid w:val="00D7218D"/>
    <w:rsid w:val="00D91996"/>
    <w:rsid w:val="00DF4E76"/>
    <w:rsid w:val="00E13A37"/>
    <w:rsid w:val="00E95CC3"/>
    <w:rsid w:val="00F05CEE"/>
    <w:rsid w:val="00F07424"/>
    <w:rsid w:val="00F32471"/>
    <w:rsid w:val="00F54C62"/>
    <w:rsid w:val="00F73050"/>
    <w:rsid w:val="00F76233"/>
    <w:rsid w:val="00FC1177"/>
    <w:rsid w:val="00FC6A7A"/>
    <w:rsid w:val="00FE3A03"/>
    <w:rsid w:val="00FF2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2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section">
    <w:name w:val="lg-section"/>
    <w:basedOn w:val="Normal"/>
    <w:rsid w:val="00C14267"/>
    <w:pPr>
      <w:spacing w:before="300" w:line="240" w:lineRule="auto"/>
      <w:ind w:firstLine="403"/>
    </w:pPr>
    <w:rPr>
      <w:rFonts w:ascii="Verdana" w:eastAsia="Times New Roman" w:hAnsi="Verdana" w:cs="Times New Roman"/>
      <w:color w:val="000000"/>
      <w:sz w:val="18"/>
      <w:szCs w:val="18"/>
    </w:rPr>
  </w:style>
  <w:style w:type="paragraph" w:styleId="ListParagraph">
    <w:name w:val="List Paragraph"/>
    <w:basedOn w:val="Normal"/>
    <w:uiPriority w:val="34"/>
    <w:qFormat/>
    <w:rsid w:val="002E2944"/>
    <w:pPr>
      <w:ind w:left="720"/>
      <w:contextualSpacing/>
    </w:pPr>
  </w:style>
  <w:style w:type="numbering" w:customStyle="1" w:styleId="ListNo">
    <w:name w:val="List No"/>
    <w:uiPriority w:val="99"/>
    <w:semiHidden/>
    <w:unhideWhenUsed/>
    <w:rsid w:val="00FC1177"/>
  </w:style>
  <w:style w:type="paragraph" w:styleId="FootnoteText">
    <w:name w:val="footnote text"/>
    <w:basedOn w:val="Normal"/>
    <w:link w:val="FootnoteTextChar"/>
    <w:uiPriority w:val="99"/>
    <w:semiHidden/>
    <w:unhideWhenUsed/>
    <w:rsid w:val="00CE2F79"/>
    <w:pPr>
      <w:spacing w:line="240" w:lineRule="auto"/>
    </w:pPr>
    <w:rPr>
      <w:sz w:val="20"/>
      <w:szCs w:val="20"/>
    </w:rPr>
  </w:style>
  <w:style w:type="character" w:customStyle="1" w:styleId="FootnoteTextChar">
    <w:name w:val="Footnote Text Char"/>
    <w:basedOn w:val="DefaultParagraphFont"/>
    <w:link w:val="FootnoteText"/>
    <w:uiPriority w:val="99"/>
    <w:semiHidden/>
    <w:rsid w:val="00CE2F79"/>
    <w:rPr>
      <w:sz w:val="20"/>
      <w:szCs w:val="20"/>
    </w:rPr>
  </w:style>
  <w:style w:type="character" w:styleId="FootnoteReference">
    <w:name w:val="footnote reference"/>
    <w:basedOn w:val="DefaultParagraphFont"/>
    <w:uiPriority w:val="99"/>
    <w:unhideWhenUsed/>
    <w:rsid w:val="00CE2F79"/>
    <w:rPr>
      <w:vertAlign w:val="superscript"/>
    </w:rPr>
  </w:style>
  <w:style w:type="paragraph" w:styleId="Header">
    <w:name w:val="header"/>
    <w:basedOn w:val="Normal"/>
    <w:link w:val="HeaderChar"/>
    <w:uiPriority w:val="99"/>
    <w:unhideWhenUsed/>
    <w:rsid w:val="00FF2703"/>
    <w:pPr>
      <w:tabs>
        <w:tab w:val="center" w:pos="4680"/>
        <w:tab w:val="right" w:pos="9360"/>
      </w:tabs>
      <w:spacing w:line="240" w:lineRule="auto"/>
    </w:pPr>
  </w:style>
  <w:style w:type="character" w:customStyle="1" w:styleId="HeaderChar">
    <w:name w:val="Header Char"/>
    <w:basedOn w:val="DefaultParagraphFont"/>
    <w:link w:val="Header"/>
    <w:uiPriority w:val="99"/>
    <w:rsid w:val="00FF2703"/>
  </w:style>
  <w:style w:type="paragraph" w:styleId="Footer">
    <w:name w:val="footer"/>
    <w:basedOn w:val="Normal"/>
    <w:link w:val="FooterChar"/>
    <w:uiPriority w:val="99"/>
    <w:unhideWhenUsed/>
    <w:rsid w:val="00FF2703"/>
    <w:pPr>
      <w:tabs>
        <w:tab w:val="center" w:pos="4680"/>
        <w:tab w:val="right" w:pos="9360"/>
      </w:tabs>
      <w:spacing w:line="240" w:lineRule="auto"/>
    </w:pPr>
  </w:style>
  <w:style w:type="character" w:customStyle="1" w:styleId="FooterChar">
    <w:name w:val="Footer Char"/>
    <w:basedOn w:val="DefaultParagraphFont"/>
    <w:link w:val="Footer"/>
    <w:uiPriority w:val="99"/>
    <w:rsid w:val="00FF2703"/>
  </w:style>
  <w:style w:type="paragraph" w:customStyle="1" w:styleId="Default">
    <w:name w:val="Default"/>
    <w:rsid w:val="00872F8A"/>
    <w:pPr>
      <w:autoSpaceDE w:val="0"/>
      <w:autoSpaceDN w:val="0"/>
      <w:adjustRightInd w:val="0"/>
      <w:spacing w:line="240" w:lineRule="auto"/>
      <w:jc w:val="left"/>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F05CEE"/>
    <w:rPr>
      <w:sz w:val="16"/>
      <w:szCs w:val="16"/>
    </w:rPr>
  </w:style>
  <w:style w:type="paragraph" w:styleId="CommentText">
    <w:name w:val="annotation text"/>
    <w:basedOn w:val="Normal"/>
    <w:link w:val="CommentTextChar"/>
    <w:uiPriority w:val="99"/>
    <w:semiHidden/>
    <w:unhideWhenUsed/>
    <w:rsid w:val="00F05CEE"/>
    <w:pPr>
      <w:spacing w:line="240" w:lineRule="auto"/>
    </w:pPr>
    <w:rPr>
      <w:sz w:val="20"/>
      <w:szCs w:val="20"/>
    </w:rPr>
  </w:style>
  <w:style w:type="character" w:customStyle="1" w:styleId="CommentTextChar">
    <w:name w:val="Comment Text Char"/>
    <w:basedOn w:val="DefaultParagraphFont"/>
    <w:link w:val="CommentText"/>
    <w:uiPriority w:val="99"/>
    <w:semiHidden/>
    <w:rsid w:val="00F05CEE"/>
    <w:rPr>
      <w:sz w:val="20"/>
      <w:szCs w:val="20"/>
    </w:rPr>
  </w:style>
  <w:style w:type="paragraph" w:styleId="BalloonText">
    <w:name w:val="Balloon Text"/>
    <w:basedOn w:val="Normal"/>
    <w:link w:val="BalloonTextChar"/>
    <w:uiPriority w:val="99"/>
    <w:semiHidden/>
    <w:unhideWhenUsed/>
    <w:rsid w:val="00F05C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583949">
      <w:bodyDiv w:val="1"/>
      <w:marLeft w:val="0"/>
      <w:marRight w:val="0"/>
      <w:marTop w:val="0"/>
      <w:marBottom w:val="0"/>
      <w:divBdr>
        <w:top w:val="none" w:sz="0" w:space="0" w:color="auto"/>
        <w:left w:val="none" w:sz="0" w:space="0" w:color="auto"/>
        <w:bottom w:val="none" w:sz="0" w:space="0" w:color="auto"/>
        <w:right w:val="none" w:sz="0" w:space="0" w:color="auto"/>
      </w:divBdr>
    </w:div>
    <w:div w:id="9081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1134-1EF1-4FEE-BC95-BDC5C642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cp:lastPrinted>2017-06-21T06:22:00Z</cp:lastPrinted>
  <dcterms:created xsi:type="dcterms:W3CDTF">2017-06-23T08:27:00Z</dcterms:created>
  <dcterms:modified xsi:type="dcterms:W3CDTF">2017-06-23T08:27:00Z</dcterms:modified>
</cp:coreProperties>
</file>