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ED" w:rsidRPr="00C8703C" w:rsidRDefault="00471C35" w:rsidP="00C8703C">
      <w:pPr>
        <w:spacing w:line="360" w:lineRule="auto"/>
        <w:jc w:val="both"/>
        <w:rPr>
          <w:rFonts w:ascii="Arial" w:hAnsi="Arial" w:cs="Arial"/>
          <w:b/>
        </w:rPr>
      </w:pPr>
      <w:bookmarkStart w:id="0" w:name="_GoBack"/>
      <w:bookmarkEnd w:id="0"/>
      <w:r w:rsidRPr="00C8703C">
        <w:rPr>
          <w:rFonts w:ascii="Arial" w:hAnsi="Arial" w:cs="Arial"/>
          <w:b/>
        </w:rPr>
        <w:t>TERMS OF REFERENCE FOR INQUIRY INTO ESKOM BOARD</w:t>
      </w:r>
    </w:p>
    <w:p w:rsidR="00F57A1C" w:rsidRDefault="00F57A1C" w:rsidP="00C8703C">
      <w:pPr>
        <w:spacing w:line="360" w:lineRule="auto"/>
        <w:jc w:val="both"/>
        <w:rPr>
          <w:rFonts w:ascii="Arial" w:hAnsi="Arial" w:cs="Arial"/>
          <w:b/>
        </w:rPr>
      </w:pPr>
    </w:p>
    <w:p w:rsidR="00F34B45" w:rsidRDefault="00F34B45" w:rsidP="00C8703C">
      <w:pPr>
        <w:spacing w:line="360" w:lineRule="auto"/>
        <w:jc w:val="both"/>
        <w:rPr>
          <w:rFonts w:ascii="Arial" w:hAnsi="Arial" w:cs="Arial"/>
          <w:b/>
        </w:rPr>
      </w:pPr>
      <w:r>
        <w:rPr>
          <w:rFonts w:ascii="Arial" w:hAnsi="Arial" w:cs="Arial"/>
          <w:b/>
        </w:rPr>
        <w:t>A. BACKGOUND</w:t>
      </w:r>
    </w:p>
    <w:p w:rsidR="00BA5E71" w:rsidRPr="00C8703C" w:rsidRDefault="00BA5E71" w:rsidP="00C8703C">
      <w:pPr>
        <w:spacing w:line="360" w:lineRule="auto"/>
        <w:jc w:val="both"/>
        <w:rPr>
          <w:rFonts w:ascii="Arial" w:hAnsi="Arial" w:cs="Arial"/>
          <w:b/>
        </w:rPr>
      </w:pPr>
    </w:p>
    <w:p w:rsidR="00F57A1C" w:rsidRPr="00C8703C" w:rsidRDefault="00F57A1C" w:rsidP="00C8703C">
      <w:pPr>
        <w:pStyle w:val="ListParagraph"/>
        <w:numPr>
          <w:ilvl w:val="0"/>
          <w:numId w:val="1"/>
        </w:numPr>
        <w:spacing w:line="360" w:lineRule="auto"/>
        <w:jc w:val="both"/>
        <w:rPr>
          <w:rFonts w:ascii="Arial" w:hAnsi="Arial" w:cs="Arial"/>
        </w:rPr>
      </w:pPr>
      <w:r w:rsidRPr="00C8703C">
        <w:rPr>
          <w:rFonts w:ascii="Arial" w:hAnsi="Arial" w:cs="Arial"/>
        </w:rPr>
        <w:t>Eskom is a pre-existing company as contemplated in Item 2 of Schedule 5 of the Companies Act and was incorporated in accordance with the Enabling Legislation to carry business of providing energy/electricity and related services, including the generation, transmission, distribution and retail thereof, it being recorded that the Company is also subject to the provisions of PFMA.</w:t>
      </w:r>
    </w:p>
    <w:p w:rsidR="00F57A1C" w:rsidRPr="00C8703C" w:rsidRDefault="00F57A1C" w:rsidP="00C8703C">
      <w:pPr>
        <w:pStyle w:val="ListParagraph"/>
        <w:numPr>
          <w:ilvl w:val="0"/>
          <w:numId w:val="1"/>
        </w:numPr>
        <w:spacing w:line="360" w:lineRule="auto"/>
        <w:jc w:val="both"/>
        <w:rPr>
          <w:rFonts w:ascii="Arial" w:hAnsi="Arial" w:cs="Arial"/>
        </w:rPr>
      </w:pPr>
      <w:r w:rsidRPr="00C8703C">
        <w:rPr>
          <w:rFonts w:ascii="Arial" w:hAnsi="Arial" w:cs="Arial"/>
        </w:rPr>
        <w:t>The Government is a sole Shareholder of the Shares in the Company and the rights attached to the Shares are exercised by the Minister. Eskom has adopted a Memorandum of Incorporation in order to bring its constitution in line with the Companies Act.</w:t>
      </w:r>
    </w:p>
    <w:p w:rsidR="00F57A1C" w:rsidRDefault="00962039" w:rsidP="00C8703C">
      <w:pPr>
        <w:pStyle w:val="ListParagraph"/>
        <w:numPr>
          <w:ilvl w:val="0"/>
          <w:numId w:val="1"/>
        </w:numPr>
        <w:spacing w:line="360" w:lineRule="auto"/>
        <w:jc w:val="both"/>
        <w:rPr>
          <w:rFonts w:ascii="Arial" w:hAnsi="Arial" w:cs="Arial"/>
        </w:rPr>
      </w:pPr>
      <w:r w:rsidRPr="00C8703C">
        <w:rPr>
          <w:rFonts w:ascii="Arial" w:hAnsi="Arial" w:cs="Arial"/>
        </w:rPr>
        <w:t>Section 13.1.4 of the Memorandum of Incorporation states that the Shareholder have the right to appoint a Director to the Board, who may be a Government official, whenever the Shareholder deems it necessary, subject always to the Companies Act and this MOI.</w:t>
      </w:r>
    </w:p>
    <w:p w:rsidR="00CC5AE0" w:rsidRPr="00C8703C" w:rsidRDefault="00CC5AE0" w:rsidP="00C8703C">
      <w:pPr>
        <w:pStyle w:val="ListParagraph"/>
        <w:numPr>
          <w:ilvl w:val="0"/>
          <w:numId w:val="1"/>
        </w:numPr>
        <w:spacing w:line="360" w:lineRule="auto"/>
        <w:jc w:val="both"/>
        <w:rPr>
          <w:rFonts w:ascii="Arial" w:hAnsi="Arial" w:cs="Arial"/>
        </w:rPr>
      </w:pPr>
      <w:r>
        <w:rPr>
          <w:rFonts w:ascii="Arial" w:hAnsi="Arial" w:cs="Arial"/>
        </w:rPr>
        <w:t>All SOCs registered in terms of the Companies Act and listed in schedule 2 of the PFMA must comply with the provisions of the Companies Act. In terms of section 71 of the Companies Act, a director may be removed either by an ordinary resolution at shareholders meeting (s71(1)  and (2) or by other board members (s71(3).</w:t>
      </w:r>
    </w:p>
    <w:p w:rsidR="00BA5E71" w:rsidRDefault="00BA5E71" w:rsidP="00C8703C">
      <w:pPr>
        <w:spacing w:after="200" w:line="360" w:lineRule="auto"/>
        <w:jc w:val="both"/>
        <w:rPr>
          <w:rFonts w:ascii="Arial" w:hAnsi="Arial" w:cs="Arial"/>
          <w:b/>
        </w:rPr>
      </w:pPr>
    </w:p>
    <w:p w:rsidR="003977A1" w:rsidRPr="00BA5E71" w:rsidRDefault="00F34B45" w:rsidP="00BA5E71">
      <w:pPr>
        <w:spacing w:after="200" w:line="360" w:lineRule="auto"/>
        <w:jc w:val="both"/>
        <w:rPr>
          <w:rFonts w:ascii="Arial" w:hAnsi="Arial" w:cs="Arial"/>
          <w:b/>
        </w:rPr>
      </w:pPr>
      <w:r>
        <w:rPr>
          <w:rFonts w:ascii="Arial" w:hAnsi="Arial" w:cs="Arial"/>
          <w:b/>
        </w:rPr>
        <w:t xml:space="preserve">B. </w:t>
      </w:r>
      <w:r w:rsidR="003977A1" w:rsidRPr="00C8703C">
        <w:rPr>
          <w:rFonts w:ascii="Arial" w:hAnsi="Arial" w:cs="Arial"/>
          <w:b/>
        </w:rPr>
        <w:t>RULES OF THE NATIONAL ASSEMBLY</w:t>
      </w:r>
      <w:r w:rsidR="003977A1" w:rsidRPr="00BA5E71">
        <w:rPr>
          <w:rFonts w:ascii="Arial" w:hAnsi="Arial" w:cs="Arial"/>
          <w:b/>
        </w:rPr>
        <w:tab/>
      </w:r>
    </w:p>
    <w:p w:rsidR="003977A1" w:rsidRPr="00C8703C" w:rsidRDefault="003977A1" w:rsidP="00C8703C">
      <w:pPr>
        <w:pStyle w:val="ListParagraph"/>
        <w:numPr>
          <w:ilvl w:val="0"/>
          <w:numId w:val="3"/>
        </w:numPr>
        <w:spacing w:after="200" w:line="360" w:lineRule="auto"/>
        <w:ind w:left="567" w:hanging="567"/>
        <w:jc w:val="both"/>
        <w:rPr>
          <w:rFonts w:ascii="Arial" w:hAnsi="Arial" w:cs="Arial"/>
        </w:rPr>
      </w:pPr>
      <w:r w:rsidRPr="00C8703C">
        <w:rPr>
          <w:rFonts w:ascii="Arial" w:hAnsi="Arial" w:cs="Arial"/>
        </w:rPr>
        <w:t xml:space="preserve">National Assembly Rule 227(1)(b)(iv) states that a portfolio committee must maintain oversight of, </w:t>
      </w:r>
      <w:r w:rsidRPr="00C8703C">
        <w:rPr>
          <w:rFonts w:ascii="Arial" w:hAnsi="Arial" w:cs="Arial"/>
          <w:i/>
        </w:rPr>
        <w:t>inter alia</w:t>
      </w:r>
      <w:r w:rsidRPr="00C8703C">
        <w:rPr>
          <w:rFonts w:ascii="Arial" w:hAnsi="Arial" w:cs="Arial"/>
        </w:rPr>
        <w:t xml:space="preserve">, any other body or institution in respect of which oversight is assigned to it. </w:t>
      </w:r>
    </w:p>
    <w:p w:rsidR="003977A1" w:rsidRPr="00C8703C" w:rsidRDefault="003977A1" w:rsidP="00C8703C">
      <w:pPr>
        <w:pStyle w:val="ListParagraph"/>
        <w:spacing w:line="360" w:lineRule="auto"/>
        <w:ind w:left="567"/>
        <w:jc w:val="both"/>
        <w:rPr>
          <w:rFonts w:ascii="Arial" w:hAnsi="Arial" w:cs="Arial"/>
        </w:rPr>
      </w:pPr>
    </w:p>
    <w:p w:rsidR="000C4603" w:rsidRDefault="003977A1" w:rsidP="00CC5AE0">
      <w:pPr>
        <w:pStyle w:val="ListParagraph"/>
        <w:numPr>
          <w:ilvl w:val="0"/>
          <w:numId w:val="3"/>
        </w:numPr>
        <w:spacing w:after="200" w:line="360" w:lineRule="auto"/>
        <w:ind w:left="567" w:hanging="567"/>
        <w:jc w:val="both"/>
        <w:rPr>
          <w:rFonts w:ascii="Arial" w:hAnsi="Arial" w:cs="Arial"/>
        </w:rPr>
      </w:pPr>
      <w:r w:rsidRPr="00C8703C">
        <w:rPr>
          <w:rFonts w:ascii="Arial" w:hAnsi="Arial" w:cs="Arial"/>
        </w:rPr>
        <w:t xml:space="preserve">Assembly Rule 227(1)(c) further states that a portfolio committee, may, </w:t>
      </w:r>
      <w:r w:rsidRPr="00C8703C">
        <w:rPr>
          <w:rFonts w:ascii="Arial" w:hAnsi="Arial" w:cs="Arial"/>
          <w:i/>
        </w:rPr>
        <w:t>inter alia</w:t>
      </w:r>
      <w:r w:rsidRPr="00C8703C">
        <w:rPr>
          <w:rFonts w:ascii="Arial" w:hAnsi="Arial" w:cs="Arial"/>
        </w:rPr>
        <w:t xml:space="preserve">: "monitor, investigate, </w:t>
      </w:r>
      <w:r w:rsidRPr="00C8703C">
        <w:rPr>
          <w:rFonts w:ascii="Arial" w:hAnsi="Arial" w:cs="Arial"/>
          <w:u w:val="single"/>
        </w:rPr>
        <w:t>enquire into and make recommendations</w:t>
      </w:r>
      <w:r w:rsidRPr="00C8703C">
        <w:rPr>
          <w:rFonts w:ascii="Arial" w:hAnsi="Arial" w:cs="Arial"/>
        </w:rPr>
        <w:t xml:space="preserve"> concerning any such executive organ of state (falling within its mandate) including the legislative programme, budget, rationalization, restructuring, functioning, organization, structure, staff and policies of such organ of state. In this regard the rules empower the Portfolio Committee on Public Enterprises to initiate an enquiry into the Eskom.</w:t>
      </w:r>
    </w:p>
    <w:p w:rsidR="003977A1" w:rsidRPr="00F34B45" w:rsidRDefault="00F34B45" w:rsidP="00F34B45">
      <w:pPr>
        <w:spacing w:after="200" w:line="360" w:lineRule="auto"/>
        <w:jc w:val="both"/>
        <w:rPr>
          <w:rFonts w:ascii="Arial" w:hAnsi="Arial" w:cs="Arial"/>
          <w:b/>
        </w:rPr>
      </w:pPr>
      <w:r>
        <w:rPr>
          <w:rFonts w:ascii="Arial" w:hAnsi="Arial" w:cs="Arial"/>
          <w:b/>
        </w:rPr>
        <w:lastRenderedPageBreak/>
        <w:t xml:space="preserve">C. </w:t>
      </w:r>
      <w:r w:rsidR="003977A1" w:rsidRPr="00F34B45">
        <w:rPr>
          <w:rFonts w:ascii="Arial" w:hAnsi="Arial" w:cs="Arial"/>
          <w:b/>
        </w:rPr>
        <w:t>THE INQUIRY</w:t>
      </w:r>
    </w:p>
    <w:p w:rsidR="003977A1" w:rsidRPr="00C8703C" w:rsidRDefault="003977A1" w:rsidP="00C8703C">
      <w:pPr>
        <w:pStyle w:val="ListParagraph"/>
        <w:spacing w:line="360" w:lineRule="auto"/>
        <w:ind w:left="567"/>
        <w:jc w:val="both"/>
        <w:rPr>
          <w:rFonts w:ascii="Arial" w:hAnsi="Arial" w:cs="Arial"/>
          <w:b/>
        </w:rPr>
      </w:pPr>
    </w:p>
    <w:p w:rsidR="003977A1" w:rsidRPr="00C8703C" w:rsidRDefault="003977A1" w:rsidP="00C8703C">
      <w:pPr>
        <w:pStyle w:val="ListParagraph"/>
        <w:numPr>
          <w:ilvl w:val="0"/>
          <w:numId w:val="4"/>
        </w:numPr>
        <w:spacing w:after="200" w:line="360" w:lineRule="auto"/>
        <w:ind w:left="567" w:hanging="567"/>
        <w:jc w:val="both"/>
        <w:rPr>
          <w:rFonts w:ascii="Arial" w:hAnsi="Arial" w:cs="Arial"/>
        </w:rPr>
      </w:pPr>
      <w:r w:rsidRPr="00C8703C">
        <w:rPr>
          <w:rFonts w:ascii="Arial" w:hAnsi="Arial" w:cs="Arial"/>
        </w:rPr>
        <w:t>The Portfolio Committee on Public Enterprises held a meeting with the Eskom Board on 23 May 2017 to receive a briefing on the following:</w:t>
      </w:r>
    </w:p>
    <w:p w:rsidR="003977A1" w:rsidRPr="00C8703C" w:rsidRDefault="003977A1" w:rsidP="00C8703C">
      <w:pPr>
        <w:pStyle w:val="ListParagraph"/>
        <w:spacing w:line="360" w:lineRule="auto"/>
        <w:ind w:left="567"/>
        <w:jc w:val="both"/>
        <w:rPr>
          <w:rFonts w:ascii="Arial" w:hAnsi="Arial" w:cs="Arial"/>
        </w:rPr>
      </w:pPr>
    </w:p>
    <w:p w:rsidR="003977A1" w:rsidRPr="00C8703C" w:rsidRDefault="003977A1" w:rsidP="00C8703C">
      <w:pPr>
        <w:pStyle w:val="ListParagraph"/>
        <w:numPr>
          <w:ilvl w:val="0"/>
          <w:numId w:val="5"/>
        </w:numPr>
        <w:spacing w:after="200" w:line="360" w:lineRule="auto"/>
        <w:jc w:val="both"/>
        <w:rPr>
          <w:rFonts w:ascii="Arial" w:hAnsi="Arial" w:cs="Arial"/>
        </w:rPr>
      </w:pPr>
      <w:r w:rsidRPr="00C8703C">
        <w:rPr>
          <w:rFonts w:ascii="Arial" w:hAnsi="Arial" w:cs="Arial"/>
        </w:rPr>
        <w:t xml:space="preserve">the process followed in the </w:t>
      </w:r>
      <w:r w:rsidR="00C8703C" w:rsidRPr="00C8703C">
        <w:rPr>
          <w:rFonts w:ascii="Arial" w:hAnsi="Arial" w:cs="Arial"/>
        </w:rPr>
        <w:t>re</w:t>
      </w:r>
      <w:r w:rsidRPr="00C8703C">
        <w:rPr>
          <w:rFonts w:ascii="Arial" w:hAnsi="Arial" w:cs="Arial"/>
        </w:rPr>
        <w:t>appointment of former Group Chief Executive Officer;</w:t>
      </w:r>
    </w:p>
    <w:p w:rsidR="00C8703C" w:rsidRPr="00C8703C" w:rsidRDefault="00C8703C" w:rsidP="00C8703C">
      <w:pPr>
        <w:pStyle w:val="ListParagraph"/>
        <w:numPr>
          <w:ilvl w:val="0"/>
          <w:numId w:val="5"/>
        </w:numPr>
        <w:spacing w:after="200" w:line="360" w:lineRule="auto"/>
        <w:jc w:val="both"/>
        <w:rPr>
          <w:rFonts w:ascii="Arial" w:hAnsi="Arial" w:cs="Arial"/>
        </w:rPr>
      </w:pPr>
      <w:r w:rsidRPr="00C8703C">
        <w:rPr>
          <w:rFonts w:ascii="Arial" w:hAnsi="Arial" w:cs="Arial"/>
        </w:rPr>
        <w:t>the determination of retirement package by the Board to the GCEO;</w:t>
      </w:r>
    </w:p>
    <w:p w:rsidR="003977A1" w:rsidRPr="00F34B45" w:rsidRDefault="003977A1" w:rsidP="00F34B45">
      <w:pPr>
        <w:spacing w:line="360" w:lineRule="auto"/>
        <w:jc w:val="both"/>
        <w:rPr>
          <w:rFonts w:ascii="Arial" w:hAnsi="Arial" w:cs="Arial"/>
        </w:rPr>
      </w:pPr>
    </w:p>
    <w:p w:rsidR="003977A1" w:rsidRDefault="003977A1" w:rsidP="00C8703C">
      <w:pPr>
        <w:pStyle w:val="ListParagraph"/>
        <w:numPr>
          <w:ilvl w:val="0"/>
          <w:numId w:val="4"/>
        </w:numPr>
        <w:spacing w:after="200" w:line="360" w:lineRule="auto"/>
        <w:ind w:left="567" w:hanging="567"/>
        <w:jc w:val="both"/>
        <w:rPr>
          <w:rFonts w:ascii="Arial" w:hAnsi="Arial" w:cs="Arial"/>
        </w:rPr>
      </w:pPr>
      <w:r w:rsidRPr="00C8703C">
        <w:rPr>
          <w:rFonts w:ascii="Arial" w:hAnsi="Arial" w:cs="Arial"/>
        </w:rPr>
        <w:t xml:space="preserve">The Committee agreed that there are serious challenges with the current Board that need </w:t>
      </w:r>
      <w:r w:rsidR="00C8703C" w:rsidRPr="00C8703C">
        <w:rPr>
          <w:rFonts w:ascii="Arial" w:hAnsi="Arial" w:cs="Arial"/>
        </w:rPr>
        <w:t>urgent intervention</w:t>
      </w:r>
      <w:r w:rsidRPr="00C8703C">
        <w:rPr>
          <w:rFonts w:ascii="Arial" w:hAnsi="Arial" w:cs="Arial"/>
        </w:rPr>
        <w:t xml:space="preserve">. The Committee consequently unanimously resolved to institute an </w:t>
      </w:r>
      <w:r w:rsidR="00B812FB">
        <w:rPr>
          <w:rFonts w:ascii="Arial" w:hAnsi="Arial" w:cs="Arial"/>
        </w:rPr>
        <w:t>inquiry in line with</w:t>
      </w:r>
      <w:r w:rsidR="007E6331">
        <w:rPr>
          <w:rFonts w:ascii="Arial" w:hAnsi="Arial" w:cs="Arial"/>
        </w:rPr>
        <w:t xml:space="preserve"> the mandate of Parliament as articulated in section 56 of the Constitution and </w:t>
      </w:r>
      <w:r w:rsidR="00B812FB">
        <w:rPr>
          <w:rFonts w:ascii="Arial" w:hAnsi="Arial" w:cs="Arial"/>
        </w:rPr>
        <w:t>rule 167 of the National Assembly</w:t>
      </w:r>
      <w:r w:rsidR="007E6331">
        <w:rPr>
          <w:rFonts w:ascii="Arial" w:hAnsi="Arial" w:cs="Arial"/>
        </w:rPr>
        <w:t>.</w:t>
      </w:r>
    </w:p>
    <w:p w:rsidR="007E6331" w:rsidRDefault="007E6331" w:rsidP="007E6331">
      <w:pPr>
        <w:pStyle w:val="ListParagraph"/>
        <w:spacing w:after="200" w:line="360" w:lineRule="auto"/>
        <w:ind w:left="567"/>
        <w:jc w:val="both"/>
        <w:rPr>
          <w:rFonts w:ascii="Arial" w:hAnsi="Arial" w:cs="Arial"/>
          <w:b/>
        </w:rPr>
      </w:pPr>
    </w:p>
    <w:p w:rsidR="000C4603" w:rsidRPr="00BA5E71" w:rsidRDefault="00F34B45" w:rsidP="00BA5E71">
      <w:pPr>
        <w:spacing w:after="200" w:line="360" w:lineRule="auto"/>
        <w:jc w:val="both"/>
        <w:rPr>
          <w:rFonts w:ascii="Arial" w:hAnsi="Arial" w:cs="Arial"/>
          <w:b/>
        </w:rPr>
      </w:pPr>
      <w:r>
        <w:rPr>
          <w:rFonts w:ascii="Arial" w:hAnsi="Arial" w:cs="Arial"/>
          <w:b/>
        </w:rPr>
        <w:t xml:space="preserve">D. </w:t>
      </w:r>
      <w:r w:rsidR="007E6331" w:rsidRPr="00780529">
        <w:rPr>
          <w:rFonts w:ascii="Arial" w:hAnsi="Arial" w:cs="Arial"/>
          <w:b/>
        </w:rPr>
        <w:t>TERMS OF REFERENCE</w:t>
      </w:r>
    </w:p>
    <w:p w:rsidR="007E6331" w:rsidRPr="00D329D4" w:rsidRDefault="007E6331" w:rsidP="007E6331">
      <w:pPr>
        <w:pStyle w:val="ListParagraph"/>
        <w:numPr>
          <w:ilvl w:val="0"/>
          <w:numId w:val="7"/>
        </w:numPr>
        <w:spacing w:after="200" w:line="360" w:lineRule="auto"/>
        <w:ind w:left="567" w:hanging="567"/>
        <w:jc w:val="both"/>
        <w:rPr>
          <w:rFonts w:ascii="Arial" w:hAnsi="Arial" w:cs="Arial"/>
        </w:rPr>
      </w:pPr>
      <w:r w:rsidRPr="007973FB">
        <w:rPr>
          <w:rFonts w:ascii="Arial" w:hAnsi="Arial" w:cs="Arial"/>
        </w:rPr>
        <w:t xml:space="preserve">The terms of reference of such an </w:t>
      </w:r>
      <w:r>
        <w:rPr>
          <w:rFonts w:ascii="Arial" w:hAnsi="Arial" w:cs="Arial"/>
        </w:rPr>
        <w:t>i</w:t>
      </w:r>
      <w:r w:rsidRPr="007973FB">
        <w:rPr>
          <w:rFonts w:ascii="Arial" w:hAnsi="Arial" w:cs="Arial"/>
        </w:rPr>
        <w:t>nquiry could be to assess</w:t>
      </w:r>
      <w:r>
        <w:rPr>
          <w:rFonts w:ascii="Arial" w:hAnsi="Arial" w:cs="Arial"/>
        </w:rPr>
        <w:t>, amongst others,</w:t>
      </w:r>
      <w:r w:rsidRPr="007973FB">
        <w:rPr>
          <w:rFonts w:ascii="Arial" w:hAnsi="Arial" w:cs="Arial"/>
        </w:rPr>
        <w:t xml:space="preserve"> </w:t>
      </w:r>
      <w:r>
        <w:rPr>
          <w:rFonts w:ascii="Arial" w:hAnsi="Arial" w:cs="Arial"/>
        </w:rPr>
        <w:t>the Board’s –</w:t>
      </w:r>
    </w:p>
    <w:p w:rsidR="007E6331" w:rsidRDefault="007E6331" w:rsidP="007E6331">
      <w:pPr>
        <w:pStyle w:val="ListParagraph"/>
        <w:spacing w:line="360" w:lineRule="auto"/>
        <w:ind w:left="927"/>
        <w:jc w:val="both"/>
        <w:rPr>
          <w:rFonts w:ascii="Arial" w:hAnsi="Arial" w:cs="Arial"/>
        </w:rPr>
      </w:pPr>
    </w:p>
    <w:p w:rsidR="007E6331" w:rsidRPr="00202CA8" w:rsidRDefault="007E6331" w:rsidP="007E6331">
      <w:pPr>
        <w:pStyle w:val="ListParagraph"/>
        <w:numPr>
          <w:ilvl w:val="0"/>
          <w:numId w:val="6"/>
        </w:numPr>
        <w:spacing w:after="200" w:line="360" w:lineRule="auto"/>
        <w:jc w:val="both"/>
        <w:rPr>
          <w:rFonts w:ascii="Arial" w:hAnsi="Arial" w:cs="Arial"/>
        </w:rPr>
      </w:pPr>
      <w:r w:rsidRPr="007973FB">
        <w:rPr>
          <w:rFonts w:ascii="Arial" w:hAnsi="Arial" w:cs="Arial"/>
        </w:rPr>
        <w:t xml:space="preserve">ability to </w:t>
      </w:r>
      <w:r w:rsidRPr="007973FB">
        <w:rPr>
          <w:rFonts w:ascii="Arial" w:hAnsi="Arial" w:cs="Arial"/>
          <w:color w:val="000000"/>
        </w:rPr>
        <w:t>discharge its fiduciary duties</w:t>
      </w:r>
      <w:r>
        <w:rPr>
          <w:rFonts w:ascii="Arial" w:hAnsi="Arial" w:cs="Arial"/>
          <w:color w:val="000000"/>
        </w:rPr>
        <w:t>, including:</w:t>
      </w:r>
    </w:p>
    <w:p w:rsidR="007E6331" w:rsidRPr="00D329D4" w:rsidRDefault="00472419" w:rsidP="007E6331">
      <w:pPr>
        <w:pStyle w:val="ListParagraph"/>
        <w:numPr>
          <w:ilvl w:val="1"/>
          <w:numId w:val="6"/>
        </w:numPr>
        <w:spacing w:after="200" w:line="360" w:lineRule="auto"/>
        <w:jc w:val="both"/>
        <w:rPr>
          <w:rFonts w:ascii="Arial" w:hAnsi="Arial" w:cs="Arial"/>
        </w:rPr>
      </w:pPr>
      <w:r>
        <w:rPr>
          <w:rFonts w:ascii="Arial" w:hAnsi="Arial" w:cs="Arial"/>
        </w:rPr>
        <w:t>looking into financial status and sustainability of</w:t>
      </w:r>
      <w:r w:rsidR="007E6331">
        <w:rPr>
          <w:rFonts w:ascii="Arial" w:hAnsi="Arial" w:cs="Arial"/>
        </w:rPr>
        <w:t xml:space="preserve"> Eskom</w:t>
      </w:r>
      <w:r w:rsidR="007E6331" w:rsidRPr="007973FB">
        <w:rPr>
          <w:rFonts w:ascii="Arial" w:hAnsi="Arial" w:cs="Arial"/>
        </w:rPr>
        <w:t xml:space="preserve">, </w:t>
      </w:r>
    </w:p>
    <w:p w:rsidR="001F6C34" w:rsidRPr="001F6C34" w:rsidRDefault="007E6331" w:rsidP="001F6C34">
      <w:pPr>
        <w:pStyle w:val="ListParagraph"/>
        <w:numPr>
          <w:ilvl w:val="1"/>
          <w:numId w:val="6"/>
        </w:numPr>
        <w:spacing w:after="200" w:line="360" w:lineRule="auto"/>
        <w:jc w:val="both"/>
        <w:rPr>
          <w:rFonts w:ascii="Arial" w:hAnsi="Arial" w:cs="Arial"/>
        </w:rPr>
      </w:pPr>
      <w:r w:rsidRPr="00B5531C">
        <w:rPr>
          <w:rFonts w:ascii="Arial" w:hAnsi="Arial" w:cs="Arial"/>
        </w:rPr>
        <w:t xml:space="preserve">the response by the Eskom to the Public Protector Report: </w:t>
      </w:r>
      <w:r w:rsidR="00780529" w:rsidRPr="00B5531C">
        <w:rPr>
          <w:rFonts w:ascii="Arial" w:hAnsi="Arial" w:cs="Arial"/>
          <w:i/>
        </w:rPr>
        <w:t>State of Capture</w:t>
      </w:r>
      <w:r w:rsidR="00F34B45" w:rsidRPr="00B5531C">
        <w:rPr>
          <w:rFonts w:ascii="Arial" w:hAnsi="Arial" w:cs="Arial"/>
          <w:i/>
        </w:rPr>
        <w:t xml:space="preserve"> </w:t>
      </w:r>
      <w:r w:rsidR="00F34B45" w:rsidRPr="00B5531C">
        <w:rPr>
          <w:rFonts w:ascii="Arial" w:hAnsi="Arial" w:cs="Arial"/>
        </w:rPr>
        <w:t>findings into the conduct of the former GCEO.</w:t>
      </w:r>
    </w:p>
    <w:p w:rsidR="00A63E62" w:rsidRDefault="00A63E62" w:rsidP="007E6331">
      <w:pPr>
        <w:pStyle w:val="ListParagraph"/>
        <w:numPr>
          <w:ilvl w:val="1"/>
          <w:numId w:val="6"/>
        </w:numPr>
        <w:spacing w:after="200" w:line="360" w:lineRule="auto"/>
        <w:jc w:val="both"/>
        <w:rPr>
          <w:rFonts w:ascii="Arial" w:hAnsi="Arial" w:cs="Arial"/>
        </w:rPr>
      </w:pPr>
      <w:r>
        <w:rPr>
          <w:rFonts w:ascii="Arial" w:hAnsi="Arial" w:cs="Arial"/>
        </w:rPr>
        <w:t>the reappointment of the former GCEO.</w:t>
      </w:r>
    </w:p>
    <w:p w:rsidR="007E6331" w:rsidRDefault="00F34B45" w:rsidP="00B5531C">
      <w:pPr>
        <w:pStyle w:val="ListParagraph"/>
        <w:numPr>
          <w:ilvl w:val="1"/>
          <w:numId w:val="6"/>
        </w:numPr>
        <w:spacing w:after="200" w:line="360" w:lineRule="auto"/>
        <w:jc w:val="both"/>
        <w:rPr>
          <w:rFonts w:ascii="Arial" w:hAnsi="Arial" w:cs="Arial"/>
        </w:rPr>
      </w:pPr>
      <w:r>
        <w:rPr>
          <w:rFonts w:ascii="Arial" w:hAnsi="Arial" w:cs="Arial"/>
        </w:rPr>
        <w:t>determination of the retirement package to the GCEO.</w:t>
      </w:r>
    </w:p>
    <w:p w:rsidR="001F6C34" w:rsidRPr="001F6C34" w:rsidRDefault="00DC48E6" w:rsidP="00B5531C">
      <w:pPr>
        <w:pStyle w:val="ListParagraph"/>
        <w:numPr>
          <w:ilvl w:val="1"/>
          <w:numId w:val="6"/>
        </w:numPr>
        <w:spacing w:after="200" w:line="360" w:lineRule="auto"/>
        <w:jc w:val="both"/>
        <w:rPr>
          <w:rFonts w:ascii="Arial" w:hAnsi="Arial" w:cs="Arial"/>
        </w:rPr>
      </w:pPr>
      <w:r>
        <w:rPr>
          <w:rFonts w:ascii="Arial" w:hAnsi="Arial" w:cs="Arial"/>
        </w:rPr>
        <w:t>allegations</w:t>
      </w:r>
      <w:r w:rsidR="001F6C34" w:rsidRPr="001F6C34">
        <w:rPr>
          <w:rFonts w:ascii="Arial" w:hAnsi="Arial" w:cs="Arial"/>
        </w:rPr>
        <w:t xml:space="preserve"> of state capture</w:t>
      </w:r>
      <w:r>
        <w:rPr>
          <w:rFonts w:ascii="Arial" w:hAnsi="Arial" w:cs="Arial"/>
        </w:rPr>
        <w:t xml:space="preserve"> contained in the leaked</w:t>
      </w:r>
      <w:r w:rsidR="001F6C34" w:rsidRPr="001F6C34">
        <w:rPr>
          <w:rFonts w:ascii="Arial" w:hAnsi="Arial" w:cs="Arial"/>
        </w:rPr>
        <w:t xml:space="preserve"> emails </w:t>
      </w:r>
      <w:r>
        <w:rPr>
          <w:rFonts w:ascii="Arial" w:hAnsi="Arial" w:cs="Arial"/>
        </w:rPr>
        <w:t xml:space="preserve">involving </w:t>
      </w:r>
      <w:r w:rsidR="00AC3E73">
        <w:rPr>
          <w:rFonts w:ascii="Arial" w:hAnsi="Arial" w:cs="Arial"/>
        </w:rPr>
        <w:t>the D</w:t>
      </w:r>
      <w:r>
        <w:rPr>
          <w:rFonts w:ascii="Arial" w:hAnsi="Arial" w:cs="Arial"/>
        </w:rPr>
        <w:t>epartment of P</w:t>
      </w:r>
      <w:r w:rsidR="00AC3E73">
        <w:rPr>
          <w:rFonts w:ascii="Arial" w:hAnsi="Arial" w:cs="Arial"/>
        </w:rPr>
        <w:t>ublic Enterprises and its affected state-owned companies</w:t>
      </w:r>
    </w:p>
    <w:p w:rsidR="000C4603" w:rsidRDefault="000C4603" w:rsidP="000C4603">
      <w:pPr>
        <w:pStyle w:val="ListParagraph"/>
        <w:spacing w:after="200" w:line="360" w:lineRule="auto"/>
        <w:ind w:left="1647"/>
        <w:jc w:val="both"/>
        <w:rPr>
          <w:rFonts w:ascii="Arial" w:hAnsi="Arial" w:cs="Arial"/>
        </w:rPr>
      </w:pPr>
    </w:p>
    <w:p w:rsidR="00630565" w:rsidRDefault="00630565" w:rsidP="00630565">
      <w:pPr>
        <w:pStyle w:val="ListParagraph"/>
        <w:numPr>
          <w:ilvl w:val="0"/>
          <w:numId w:val="6"/>
        </w:numPr>
        <w:spacing w:after="200" w:line="360" w:lineRule="auto"/>
        <w:jc w:val="both"/>
        <w:rPr>
          <w:rFonts w:ascii="Arial" w:hAnsi="Arial" w:cs="Arial"/>
        </w:rPr>
      </w:pPr>
      <w:r>
        <w:rPr>
          <w:rFonts w:ascii="Arial" w:hAnsi="Arial" w:cs="Arial"/>
        </w:rPr>
        <w:t>The findings and recommendations of the Committee inquiry must address and set out mechanism that can be employed to-</w:t>
      </w:r>
    </w:p>
    <w:p w:rsidR="00630565" w:rsidRDefault="00630565" w:rsidP="00630565">
      <w:pPr>
        <w:pStyle w:val="ListParagraph"/>
        <w:numPr>
          <w:ilvl w:val="1"/>
          <w:numId w:val="6"/>
        </w:numPr>
        <w:spacing w:after="200" w:line="360" w:lineRule="auto"/>
        <w:jc w:val="both"/>
        <w:rPr>
          <w:rFonts w:ascii="Arial" w:hAnsi="Arial" w:cs="Arial"/>
        </w:rPr>
      </w:pPr>
      <w:r>
        <w:rPr>
          <w:rFonts w:ascii="Arial" w:hAnsi="Arial" w:cs="Arial"/>
        </w:rPr>
        <w:t>Guarantee fiscal stability;</w:t>
      </w:r>
    </w:p>
    <w:p w:rsidR="00630565" w:rsidRDefault="00630565" w:rsidP="00630565">
      <w:pPr>
        <w:pStyle w:val="ListParagraph"/>
        <w:numPr>
          <w:ilvl w:val="1"/>
          <w:numId w:val="6"/>
        </w:numPr>
        <w:spacing w:after="200" w:line="360" w:lineRule="auto"/>
        <w:jc w:val="both"/>
        <w:rPr>
          <w:rFonts w:ascii="Arial" w:hAnsi="Arial" w:cs="Arial"/>
        </w:rPr>
      </w:pPr>
      <w:r>
        <w:rPr>
          <w:rFonts w:ascii="Arial" w:hAnsi="Arial" w:cs="Arial"/>
        </w:rPr>
        <w:t xml:space="preserve">Address governance and ethics challenges; </w:t>
      </w:r>
    </w:p>
    <w:p w:rsidR="00630565" w:rsidRDefault="00630565" w:rsidP="00630565">
      <w:pPr>
        <w:pStyle w:val="ListParagraph"/>
        <w:numPr>
          <w:ilvl w:val="1"/>
          <w:numId w:val="6"/>
        </w:numPr>
        <w:spacing w:after="200" w:line="360" w:lineRule="auto"/>
        <w:jc w:val="both"/>
        <w:rPr>
          <w:rFonts w:ascii="Arial" w:hAnsi="Arial" w:cs="Arial"/>
        </w:rPr>
      </w:pPr>
      <w:r>
        <w:rPr>
          <w:rFonts w:ascii="Arial" w:hAnsi="Arial" w:cs="Arial"/>
        </w:rPr>
        <w:t>Market-related remuneration levels;</w:t>
      </w:r>
    </w:p>
    <w:p w:rsidR="00630565" w:rsidRDefault="00630565" w:rsidP="00630565">
      <w:pPr>
        <w:pStyle w:val="ListParagraph"/>
        <w:numPr>
          <w:ilvl w:val="1"/>
          <w:numId w:val="6"/>
        </w:numPr>
        <w:spacing w:after="200" w:line="360" w:lineRule="auto"/>
        <w:jc w:val="both"/>
        <w:rPr>
          <w:rFonts w:ascii="Arial" w:hAnsi="Arial" w:cs="Arial"/>
        </w:rPr>
      </w:pPr>
      <w:r>
        <w:rPr>
          <w:rFonts w:ascii="Arial" w:hAnsi="Arial" w:cs="Arial"/>
        </w:rPr>
        <w:t>Ensure suitable job classification linked to remuneration;</w:t>
      </w:r>
    </w:p>
    <w:p w:rsidR="00630565" w:rsidRDefault="00630565" w:rsidP="00630565">
      <w:pPr>
        <w:pStyle w:val="ListParagraph"/>
        <w:numPr>
          <w:ilvl w:val="1"/>
          <w:numId w:val="6"/>
        </w:numPr>
        <w:spacing w:after="200" w:line="360" w:lineRule="auto"/>
        <w:jc w:val="both"/>
        <w:rPr>
          <w:rFonts w:ascii="Arial" w:hAnsi="Arial" w:cs="Arial"/>
        </w:rPr>
      </w:pPr>
      <w:r>
        <w:rPr>
          <w:rFonts w:ascii="Arial" w:hAnsi="Arial" w:cs="Arial"/>
        </w:rPr>
        <w:t>Determination of executive appointments and remuneration.</w:t>
      </w:r>
    </w:p>
    <w:p w:rsidR="00BA5E71" w:rsidRDefault="00BA5E71" w:rsidP="00BA5E71">
      <w:pPr>
        <w:spacing w:after="200" w:line="360" w:lineRule="auto"/>
        <w:jc w:val="both"/>
        <w:rPr>
          <w:rFonts w:ascii="Arial" w:hAnsi="Arial" w:cs="Arial"/>
        </w:rPr>
      </w:pPr>
    </w:p>
    <w:p w:rsidR="00630565" w:rsidRPr="00BA5E71" w:rsidRDefault="00B55104" w:rsidP="00BA5E71">
      <w:pPr>
        <w:pStyle w:val="ListParagraph"/>
        <w:numPr>
          <w:ilvl w:val="0"/>
          <w:numId w:val="7"/>
        </w:numPr>
        <w:spacing w:after="200" w:line="360" w:lineRule="auto"/>
        <w:jc w:val="both"/>
        <w:rPr>
          <w:rFonts w:ascii="Arial" w:hAnsi="Arial" w:cs="Arial"/>
        </w:rPr>
      </w:pPr>
      <w:r w:rsidRPr="00BA5E71">
        <w:rPr>
          <w:rFonts w:ascii="Arial" w:hAnsi="Arial" w:cs="Arial"/>
        </w:rPr>
        <w:t>The Committee inquiry must assess compliance into the following legislation-</w:t>
      </w:r>
    </w:p>
    <w:p w:rsidR="00B55104" w:rsidRDefault="00B55104" w:rsidP="00B55104">
      <w:pPr>
        <w:pStyle w:val="ListParagraph"/>
        <w:numPr>
          <w:ilvl w:val="1"/>
          <w:numId w:val="7"/>
        </w:numPr>
        <w:spacing w:after="200" w:line="360" w:lineRule="auto"/>
        <w:jc w:val="both"/>
        <w:rPr>
          <w:rFonts w:ascii="Arial" w:hAnsi="Arial" w:cs="Arial"/>
        </w:rPr>
      </w:pPr>
      <w:r>
        <w:rPr>
          <w:rFonts w:ascii="Arial" w:hAnsi="Arial" w:cs="Arial"/>
        </w:rPr>
        <w:t>Public Finance Management Act, 2002</w:t>
      </w:r>
    </w:p>
    <w:p w:rsidR="00B55104" w:rsidRDefault="00B55104" w:rsidP="00B55104">
      <w:pPr>
        <w:pStyle w:val="ListParagraph"/>
        <w:numPr>
          <w:ilvl w:val="1"/>
          <w:numId w:val="7"/>
        </w:numPr>
        <w:spacing w:after="200" w:line="360" w:lineRule="auto"/>
        <w:jc w:val="both"/>
        <w:rPr>
          <w:rFonts w:ascii="Arial" w:hAnsi="Arial" w:cs="Arial"/>
        </w:rPr>
      </w:pPr>
      <w:r>
        <w:rPr>
          <w:rFonts w:ascii="Arial" w:hAnsi="Arial" w:cs="Arial"/>
        </w:rPr>
        <w:t>Eskom Conversion Act, 2012</w:t>
      </w:r>
    </w:p>
    <w:p w:rsidR="00B55104" w:rsidRDefault="00B55104" w:rsidP="00B55104">
      <w:pPr>
        <w:pStyle w:val="ListParagraph"/>
        <w:numPr>
          <w:ilvl w:val="1"/>
          <w:numId w:val="7"/>
        </w:numPr>
        <w:spacing w:after="200" w:line="360" w:lineRule="auto"/>
        <w:jc w:val="both"/>
        <w:rPr>
          <w:rFonts w:ascii="Arial" w:hAnsi="Arial" w:cs="Arial"/>
        </w:rPr>
      </w:pPr>
      <w:r>
        <w:rPr>
          <w:rFonts w:ascii="Arial" w:hAnsi="Arial" w:cs="Arial"/>
        </w:rPr>
        <w:t>Companies Act, 2008</w:t>
      </w:r>
    </w:p>
    <w:p w:rsidR="00156F7D" w:rsidRDefault="00156F7D" w:rsidP="00B55104">
      <w:pPr>
        <w:pStyle w:val="ListParagraph"/>
        <w:numPr>
          <w:ilvl w:val="1"/>
          <w:numId w:val="7"/>
        </w:numPr>
        <w:spacing w:after="200" w:line="360" w:lineRule="auto"/>
        <w:jc w:val="both"/>
        <w:rPr>
          <w:rFonts w:ascii="Arial" w:hAnsi="Arial" w:cs="Arial"/>
        </w:rPr>
      </w:pPr>
      <w:r>
        <w:rPr>
          <w:rFonts w:ascii="Arial" w:hAnsi="Arial" w:cs="Arial"/>
        </w:rPr>
        <w:t>Pension Funds Act</w:t>
      </w:r>
    </w:p>
    <w:p w:rsidR="00156F7D" w:rsidRDefault="00B55104" w:rsidP="00BA5E71">
      <w:pPr>
        <w:pStyle w:val="ListParagraph"/>
        <w:numPr>
          <w:ilvl w:val="1"/>
          <w:numId w:val="7"/>
        </w:numPr>
        <w:spacing w:after="200" w:line="360" w:lineRule="auto"/>
        <w:jc w:val="both"/>
        <w:rPr>
          <w:rFonts w:ascii="Arial" w:hAnsi="Arial" w:cs="Arial"/>
        </w:rPr>
      </w:pPr>
      <w:r>
        <w:rPr>
          <w:rFonts w:ascii="Arial" w:hAnsi="Arial" w:cs="Arial"/>
        </w:rPr>
        <w:t xml:space="preserve">Any appropriate </w:t>
      </w:r>
      <w:r w:rsidR="001A2FD2">
        <w:rPr>
          <w:rFonts w:ascii="Arial" w:hAnsi="Arial" w:cs="Arial"/>
        </w:rPr>
        <w:t>legislation</w:t>
      </w:r>
      <w:r>
        <w:rPr>
          <w:rFonts w:ascii="Arial" w:hAnsi="Arial" w:cs="Arial"/>
        </w:rPr>
        <w:t xml:space="preserve"> applicable to the inqui</w:t>
      </w:r>
      <w:r w:rsidR="00156F7D">
        <w:rPr>
          <w:rFonts w:ascii="Arial" w:hAnsi="Arial" w:cs="Arial"/>
        </w:rPr>
        <w:t>ry</w:t>
      </w:r>
    </w:p>
    <w:p w:rsidR="00BA5E71" w:rsidRDefault="00BA5E71" w:rsidP="00BA5E71">
      <w:pPr>
        <w:pStyle w:val="ListParagraph"/>
        <w:spacing w:after="200" w:line="360" w:lineRule="auto"/>
        <w:ind w:left="1080"/>
        <w:jc w:val="both"/>
        <w:rPr>
          <w:rFonts w:ascii="Arial" w:hAnsi="Arial" w:cs="Arial"/>
        </w:rPr>
      </w:pPr>
    </w:p>
    <w:p w:rsidR="00BA5E71" w:rsidRDefault="00BA5E71" w:rsidP="00BA5E71">
      <w:pPr>
        <w:pStyle w:val="ListParagraph"/>
        <w:numPr>
          <w:ilvl w:val="0"/>
          <w:numId w:val="7"/>
        </w:numPr>
        <w:spacing w:after="200" w:line="360" w:lineRule="auto"/>
        <w:jc w:val="both"/>
        <w:rPr>
          <w:rFonts w:ascii="Arial" w:hAnsi="Arial" w:cs="Arial"/>
        </w:rPr>
      </w:pPr>
      <w:r>
        <w:rPr>
          <w:rFonts w:ascii="Arial" w:hAnsi="Arial" w:cs="Arial"/>
        </w:rPr>
        <w:t>The terms of reference may be amended at any time with the Committee members.</w:t>
      </w:r>
    </w:p>
    <w:p w:rsidR="00BA5E71" w:rsidRDefault="00BA5E71" w:rsidP="00780529">
      <w:pPr>
        <w:spacing w:after="200" w:line="360" w:lineRule="auto"/>
        <w:jc w:val="both"/>
        <w:rPr>
          <w:rFonts w:ascii="Arial" w:hAnsi="Arial" w:cs="Arial"/>
          <w:b/>
        </w:rPr>
      </w:pPr>
    </w:p>
    <w:p w:rsidR="007E6331" w:rsidRPr="00780529" w:rsidRDefault="00F34B45" w:rsidP="00780529">
      <w:pPr>
        <w:spacing w:after="200" w:line="360" w:lineRule="auto"/>
        <w:jc w:val="both"/>
        <w:rPr>
          <w:rFonts w:ascii="Arial" w:hAnsi="Arial" w:cs="Arial"/>
          <w:b/>
        </w:rPr>
      </w:pPr>
      <w:r>
        <w:rPr>
          <w:rFonts w:ascii="Arial" w:hAnsi="Arial" w:cs="Arial"/>
          <w:b/>
        </w:rPr>
        <w:t xml:space="preserve">E. </w:t>
      </w:r>
      <w:r w:rsidR="007E6331" w:rsidRPr="00780529">
        <w:rPr>
          <w:rFonts w:ascii="Arial" w:hAnsi="Arial" w:cs="Arial"/>
          <w:b/>
        </w:rPr>
        <w:t xml:space="preserve">PROCEDURE  </w:t>
      </w:r>
    </w:p>
    <w:p w:rsidR="007E6331" w:rsidRDefault="007E6331" w:rsidP="007E6331">
      <w:pPr>
        <w:pStyle w:val="ListParagraph"/>
        <w:spacing w:line="360" w:lineRule="auto"/>
        <w:ind w:left="567"/>
        <w:jc w:val="both"/>
        <w:rPr>
          <w:rFonts w:ascii="Arial" w:hAnsi="Arial" w:cs="Arial"/>
        </w:rPr>
      </w:pPr>
    </w:p>
    <w:p w:rsidR="007E6331" w:rsidRDefault="007E6331" w:rsidP="007E6331">
      <w:pPr>
        <w:pStyle w:val="ListParagraph"/>
        <w:numPr>
          <w:ilvl w:val="0"/>
          <w:numId w:val="8"/>
        </w:numPr>
        <w:spacing w:after="200" w:line="360" w:lineRule="auto"/>
        <w:ind w:left="567" w:hanging="567"/>
        <w:jc w:val="both"/>
        <w:rPr>
          <w:rFonts w:ascii="Arial" w:hAnsi="Arial" w:cs="Arial"/>
        </w:rPr>
      </w:pPr>
      <w:r>
        <w:rPr>
          <w:rFonts w:ascii="Arial" w:hAnsi="Arial" w:cs="Arial"/>
        </w:rPr>
        <w:t>Before proceeding with the inquiry, the Committee should firstly agree on, amongst others –</w:t>
      </w:r>
    </w:p>
    <w:p w:rsidR="007E6331" w:rsidRDefault="007E6331" w:rsidP="007E6331">
      <w:pPr>
        <w:pStyle w:val="ListParagraph"/>
        <w:spacing w:line="360" w:lineRule="auto"/>
        <w:ind w:left="1080"/>
        <w:jc w:val="both"/>
        <w:rPr>
          <w:rFonts w:ascii="Arial" w:hAnsi="Arial" w:cs="Arial"/>
        </w:rPr>
      </w:pPr>
    </w:p>
    <w:p w:rsidR="007E6331" w:rsidRDefault="007E6331" w:rsidP="007E6331">
      <w:pPr>
        <w:pStyle w:val="ListParagraph"/>
        <w:numPr>
          <w:ilvl w:val="1"/>
          <w:numId w:val="8"/>
        </w:numPr>
        <w:spacing w:after="200" w:line="360" w:lineRule="auto"/>
        <w:jc w:val="both"/>
        <w:rPr>
          <w:rFonts w:ascii="Arial" w:hAnsi="Arial" w:cs="Arial"/>
        </w:rPr>
      </w:pPr>
      <w:r>
        <w:rPr>
          <w:rFonts w:ascii="Arial" w:hAnsi="Arial" w:cs="Arial"/>
        </w:rPr>
        <w:t xml:space="preserve">the terms of reference for the inquiry; </w:t>
      </w:r>
    </w:p>
    <w:p w:rsidR="007E6331" w:rsidRPr="003F501E" w:rsidRDefault="007E6331" w:rsidP="007E6331">
      <w:pPr>
        <w:pStyle w:val="ListParagraph"/>
        <w:numPr>
          <w:ilvl w:val="1"/>
          <w:numId w:val="8"/>
        </w:numPr>
        <w:spacing w:after="200" w:line="360" w:lineRule="auto"/>
        <w:jc w:val="both"/>
        <w:rPr>
          <w:rFonts w:ascii="Arial" w:hAnsi="Arial" w:cs="Arial"/>
        </w:rPr>
      </w:pPr>
      <w:r w:rsidRPr="0072277A">
        <w:rPr>
          <w:rFonts w:ascii="Arial" w:hAnsi="Arial" w:cs="Arial"/>
        </w:rPr>
        <w:t>the form the inquiry should take</w:t>
      </w:r>
      <w:r>
        <w:rPr>
          <w:rFonts w:ascii="Arial" w:hAnsi="Arial" w:cs="Arial"/>
        </w:rPr>
        <w:t>;</w:t>
      </w:r>
    </w:p>
    <w:p w:rsidR="007E6331" w:rsidRDefault="007E6331" w:rsidP="007E6331">
      <w:pPr>
        <w:pStyle w:val="ListParagraph"/>
        <w:numPr>
          <w:ilvl w:val="1"/>
          <w:numId w:val="8"/>
        </w:numPr>
        <w:spacing w:after="200" w:line="360" w:lineRule="auto"/>
        <w:jc w:val="both"/>
        <w:rPr>
          <w:rFonts w:ascii="Arial" w:hAnsi="Arial" w:cs="Arial"/>
        </w:rPr>
      </w:pPr>
      <w:r>
        <w:rPr>
          <w:rFonts w:ascii="Arial" w:hAnsi="Arial" w:cs="Arial"/>
        </w:rPr>
        <w:t>whether the Committee will call witnesses, if so, which witnesses;</w:t>
      </w:r>
    </w:p>
    <w:p w:rsidR="007E6331" w:rsidRDefault="007E6331" w:rsidP="007E6331">
      <w:pPr>
        <w:pStyle w:val="ListParagraph"/>
        <w:numPr>
          <w:ilvl w:val="1"/>
          <w:numId w:val="8"/>
        </w:numPr>
        <w:spacing w:after="200" w:line="360" w:lineRule="auto"/>
        <w:jc w:val="both"/>
        <w:rPr>
          <w:rFonts w:ascii="Arial" w:hAnsi="Arial" w:cs="Arial"/>
        </w:rPr>
      </w:pPr>
      <w:r>
        <w:rPr>
          <w:rFonts w:ascii="Arial" w:hAnsi="Arial" w:cs="Arial"/>
        </w:rPr>
        <w:t>the form which representations by the Board</w:t>
      </w:r>
      <w:r w:rsidR="00561C0F">
        <w:rPr>
          <w:rFonts w:ascii="Arial" w:hAnsi="Arial" w:cs="Arial"/>
        </w:rPr>
        <w:t xml:space="preserve"> and any other person</w:t>
      </w:r>
      <w:r>
        <w:rPr>
          <w:rFonts w:ascii="Arial" w:hAnsi="Arial" w:cs="Arial"/>
        </w:rPr>
        <w:t xml:space="preserve"> should take in order to comply with the principle of natural justice.</w:t>
      </w:r>
    </w:p>
    <w:p w:rsidR="007E6331" w:rsidRDefault="007E6331" w:rsidP="007E6331">
      <w:pPr>
        <w:pStyle w:val="ListParagraph"/>
        <w:spacing w:line="360" w:lineRule="auto"/>
        <w:ind w:left="1080"/>
        <w:jc w:val="both"/>
        <w:rPr>
          <w:rFonts w:ascii="Arial" w:hAnsi="Arial" w:cs="Arial"/>
        </w:rPr>
      </w:pPr>
    </w:p>
    <w:p w:rsidR="007E6331" w:rsidRDefault="007E6331" w:rsidP="007E6331">
      <w:pPr>
        <w:pStyle w:val="ListParagraph"/>
        <w:numPr>
          <w:ilvl w:val="0"/>
          <w:numId w:val="8"/>
        </w:numPr>
        <w:spacing w:after="200" w:line="360" w:lineRule="auto"/>
        <w:ind w:left="567" w:hanging="567"/>
        <w:jc w:val="both"/>
        <w:rPr>
          <w:rFonts w:ascii="Arial" w:hAnsi="Arial" w:cs="Arial"/>
        </w:rPr>
      </w:pPr>
      <w:r w:rsidRPr="007973FB">
        <w:rPr>
          <w:rFonts w:ascii="Arial" w:hAnsi="Arial" w:cs="Arial"/>
        </w:rPr>
        <w:t>After deliberating on the issues,</w:t>
      </w:r>
      <w:r>
        <w:rPr>
          <w:rFonts w:ascii="Arial" w:hAnsi="Arial" w:cs="Arial"/>
        </w:rPr>
        <w:t xml:space="preserve"> but before the Committee report on its findings is published, the affected persons could be given a further opportunity to make representations on the Committee’s findings.</w:t>
      </w:r>
      <w:r w:rsidRPr="007973FB">
        <w:rPr>
          <w:rFonts w:ascii="Arial" w:hAnsi="Arial" w:cs="Arial"/>
        </w:rPr>
        <w:t xml:space="preserve"> </w:t>
      </w:r>
      <w:r>
        <w:rPr>
          <w:rFonts w:ascii="Arial" w:hAnsi="Arial" w:cs="Arial"/>
        </w:rPr>
        <w:t>The C</w:t>
      </w:r>
      <w:r w:rsidRPr="007973FB">
        <w:rPr>
          <w:rFonts w:ascii="Arial" w:hAnsi="Arial" w:cs="Arial"/>
        </w:rPr>
        <w:t>ommittee would</w:t>
      </w:r>
      <w:r>
        <w:rPr>
          <w:rFonts w:ascii="Arial" w:hAnsi="Arial" w:cs="Arial"/>
        </w:rPr>
        <w:t xml:space="preserve"> then </w:t>
      </w:r>
      <w:r w:rsidRPr="007973FB">
        <w:rPr>
          <w:rFonts w:ascii="Arial" w:hAnsi="Arial" w:cs="Arial"/>
        </w:rPr>
        <w:t>consider</w:t>
      </w:r>
      <w:r>
        <w:rPr>
          <w:rFonts w:ascii="Arial" w:hAnsi="Arial" w:cs="Arial"/>
        </w:rPr>
        <w:t xml:space="preserve"> the representations</w:t>
      </w:r>
      <w:r w:rsidRPr="007973FB">
        <w:rPr>
          <w:rFonts w:ascii="Arial" w:hAnsi="Arial" w:cs="Arial"/>
        </w:rPr>
        <w:t xml:space="preserve"> and adopt a report on the </w:t>
      </w:r>
      <w:r>
        <w:rPr>
          <w:rFonts w:ascii="Arial" w:hAnsi="Arial" w:cs="Arial"/>
        </w:rPr>
        <w:t>inquiry</w:t>
      </w:r>
      <w:r w:rsidRPr="007973FB">
        <w:rPr>
          <w:rFonts w:ascii="Arial" w:hAnsi="Arial" w:cs="Arial"/>
        </w:rPr>
        <w:t xml:space="preserve"> for consideration by the House.</w:t>
      </w:r>
    </w:p>
    <w:p w:rsidR="007E6331" w:rsidRDefault="007E6331" w:rsidP="007E6331">
      <w:pPr>
        <w:pStyle w:val="ListParagraph"/>
        <w:spacing w:line="360" w:lineRule="auto"/>
        <w:ind w:left="567"/>
        <w:jc w:val="both"/>
        <w:rPr>
          <w:rFonts w:ascii="Arial" w:hAnsi="Arial" w:cs="Arial"/>
        </w:rPr>
      </w:pPr>
    </w:p>
    <w:p w:rsidR="007E6331" w:rsidRPr="0045619B" w:rsidRDefault="007E6331" w:rsidP="007E6331">
      <w:pPr>
        <w:pBdr>
          <w:bottom w:val="single" w:sz="4" w:space="1" w:color="auto"/>
        </w:pBdr>
        <w:spacing w:line="360" w:lineRule="auto"/>
        <w:rPr>
          <w:rFonts w:ascii="Arial" w:hAnsi="Arial" w:cs="Arial"/>
        </w:rPr>
      </w:pPr>
    </w:p>
    <w:p w:rsidR="007E6331" w:rsidRPr="007E6331" w:rsidRDefault="007E6331" w:rsidP="007E6331">
      <w:pPr>
        <w:spacing w:after="200" w:line="360" w:lineRule="auto"/>
        <w:jc w:val="both"/>
        <w:rPr>
          <w:rFonts w:ascii="Arial" w:hAnsi="Arial" w:cs="Arial"/>
        </w:rPr>
      </w:pPr>
    </w:p>
    <w:p w:rsidR="003977A1" w:rsidRPr="00C8703C" w:rsidRDefault="003977A1" w:rsidP="00C8703C">
      <w:pPr>
        <w:spacing w:after="200" w:line="360" w:lineRule="auto"/>
        <w:jc w:val="both"/>
        <w:rPr>
          <w:rFonts w:ascii="Arial" w:hAnsi="Arial" w:cs="Arial"/>
        </w:rPr>
      </w:pPr>
    </w:p>
    <w:p w:rsidR="003977A1" w:rsidRPr="00C8703C" w:rsidRDefault="003977A1" w:rsidP="00C8703C">
      <w:pPr>
        <w:spacing w:line="360" w:lineRule="auto"/>
        <w:jc w:val="both"/>
        <w:rPr>
          <w:rFonts w:ascii="Arial" w:hAnsi="Arial" w:cs="Arial"/>
        </w:rPr>
      </w:pPr>
    </w:p>
    <w:p w:rsidR="00F57A1C" w:rsidRPr="00C8703C" w:rsidRDefault="00F57A1C" w:rsidP="00C8703C">
      <w:pPr>
        <w:spacing w:line="360" w:lineRule="auto"/>
        <w:jc w:val="both"/>
        <w:rPr>
          <w:rFonts w:ascii="Arial" w:hAnsi="Arial" w:cs="Arial"/>
        </w:rPr>
      </w:pPr>
    </w:p>
    <w:p w:rsidR="00471C35" w:rsidRPr="00C8703C" w:rsidRDefault="00471C35" w:rsidP="00C8703C">
      <w:pPr>
        <w:spacing w:line="360" w:lineRule="auto"/>
        <w:jc w:val="both"/>
        <w:rPr>
          <w:rFonts w:ascii="Arial" w:hAnsi="Arial" w:cs="Arial"/>
        </w:rPr>
      </w:pPr>
    </w:p>
    <w:sectPr w:rsidR="00471C35" w:rsidRPr="00C8703C" w:rsidSect="001650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D7C51"/>
    <w:multiLevelType w:val="hybridMultilevel"/>
    <w:tmpl w:val="1F2C25EA"/>
    <w:lvl w:ilvl="0" w:tplc="F24038CA">
      <w:start w:val="1"/>
      <w:numFmt w:val="lowerLetter"/>
      <w:lvlText w:val="(%1)"/>
      <w:lvlJc w:val="left"/>
      <w:pPr>
        <w:ind w:left="927" w:hanging="360"/>
      </w:pPr>
      <w:rPr>
        <w:rFonts w:hint="default"/>
      </w:rPr>
    </w:lvl>
    <w:lvl w:ilvl="1" w:tplc="1C09001B">
      <w:start w:val="1"/>
      <w:numFmt w:val="lowerRoman"/>
      <w:lvlText w:val="%2."/>
      <w:lvlJc w:val="righ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nsid w:val="370B5145"/>
    <w:multiLevelType w:val="hybridMultilevel"/>
    <w:tmpl w:val="22241E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76B0F6A"/>
    <w:multiLevelType w:val="hybridMultilevel"/>
    <w:tmpl w:val="D7D6ADB8"/>
    <w:lvl w:ilvl="0" w:tplc="1C090015">
      <w:start w:val="1"/>
      <w:numFmt w:val="upp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4D6C7B76"/>
    <w:multiLevelType w:val="hybridMultilevel"/>
    <w:tmpl w:val="C83C5BCC"/>
    <w:lvl w:ilvl="0" w:tplc="2938CFF0">
      <w:start w:val="1"/>
      <w:numFmt w:val="decimal"/>
      <w:lvlText w:val="%1."/>
      <w:lvlJc w:val="left"/>
      <w:pPr>
        <w:ind w:left="720" w:hanging="720"/>
      </w:pPr>
      <w:rPr>
        <w:rFonts w:hint="default"/>
      </w:rPr>
    </w:lvl>
    <w:lvl w:ilvl="1" w:tplc="F24038CA">
      <w:start w:val="1"/>
      <w:numFmt w:val="lowerLetter"/>
      <w:lvlText w:val="(%2)"/>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652330C1"/>
    <w:multiLevelType w:val="hybridMultilevel"/>
    <w:tmpl w:val="8A4CEA82"/>
    <w:lvl w:ilvl="0" w:tplc="2938CFF0">
      <w:start w:val="1"/>
      <w:numFmt w:val="decimal"/>
      <w:lvlText w:val="%1."/>
      <w:lvlJc w:val="left"/>
      <w:pPr>
        <w:ind w:left="720" w:hanging="72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6FFC70CF"/>
    <w:multiLevelType w:val="hybridMultilevel"/>
    <w:tmpl w:val="F7609EF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750F13C9"/>
    <w:multiLevelType w:val="hybridMultilevel"/>
    <w:tmpl w:val="8A4CEA82"/>
    <w:lvl w:ilvl="0" w:tplc="2938CFF0">
      <w:start w:val="1"/>
      <w:numFmt w:val="decimal"/>
      <w:lvlText w:val="%1."/>
      <w:lvlJc w:val="left"/>
      <w:pPr>
        <w:ind w:left="720" w:hanging="72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7E444B78"/>
    <w:multiLevelType w:val="hybridMultilevel"/>
    <w:tmpl w:val="8A4CEA82"/>
    <w:lvl w:ilvl="0" w:tplc="2938CFF0">
      <w:start w:val="1"/>
      <w:numFmt w:val="decimal"/>
      <w:lvlText w:val="%1."/>
      <w:lvlJc w:val="left"/>
      <w:pPr>
        <w:ind w:left="720" w:hanging="72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2"/>
  </w:num>
  <w:num w:numId="3">
    <w:abstractNumId w:val="7"/>
  </w:num>
  <w:num w:numId="4">
    <w:abstractNumId w:val="6"/>
  </w:num>
  <w:num w:numId="5">
    <w:abstractNumId w:val="5"/>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compat/>
  <w:rsids>
    <w:rsidRoot w:val="00471C35"/>
    <w:rsid w:val="000C4603"/>
    <w:rsid w:val="001400E3"/>
    <w:rsid w:val="00156F7D"/>
    <w:rsid w:val="0016506E"/>
    <w:rsid w:val="001A2FD2"/>
    <w:rsid w:val="001F6C34"/>
    <w:rsid w:val="00282D80"/>
    <w:rsid w:val="002D31E6"/>
    <w:rsid w:val="003204A8"/>
    <w:rsid w:val="003977A1"/>
    <w:rsid w:val="00471C35"/>
    <w:rsid w:val="00472419"/>
    <w:rsid w:val="00561C0F"/>
    <w:rsid w:val="00630565"/>
    <w:rsid w:val="00780529"/>
    <w:rsid w:val="007E588E"/>
    <w:rsid w:val="007E6331"/>
    <w:rsid w:val="00821221"/>
    <w:rsid w:val="008E0DEF"/>
    <w:rsid w:val="00962039"/>
    <w:rsid w:val="00981BE9"/>
    <w:rsid w:val="00A63E62"/>
    <w:rsid w:val="00AC3E73"/>
    <w:rsid w:val="00B55104"/>
    <w:rsid w:val="00B5531C"/>
    <w:rsid w:val="00B812FB"/>
    <w:rsid w:val="00BA5E71"/>
    <w:rsid w:val="00C8703C"/>
    <w:rsid w:val="00CC5AE0"/>
    <w:rsid w:val="00CD4CD9"/>
    <w:rsid w:val="00D96F8B"/>
    <w:rsid w:val="00DC48E6"/>
    <w:rsid w:val="00E54284"/>
    <w:rsid w:val="00EC377D"/>
    <w:rsid w:val="00F34B45"/>
    <w:rsid w:val="00F516B8"/>
    <w:rsid w:val="00F57A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0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A1C"/>
    <w:pPr>
      <w:ind w:left="720"/>
      <w:contextualSpacing/>
    </w:pPr>
  </w:style>
  <w:style w:type="paragraph" w:styleId="BalloonText">
    <w:name w:val="Balloon Text"/>
    <w:basedOn w:val="Normal"/>
    <w:link w:val="BalloonTextChar"/>
    <w:uiPriority w:val="99"/>
    <w:semiHidden/>
    <w:unhideWhenUsed/>
    <w:rsid w:val="00780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52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Mnisi</dc:creator>
  <cp:lastModifiedBy>PUMZA</cp:lastModifiedBy>
  <cp:revision>2</cp:revision>
  <cp:lastPrinted>2017-06-19T07:32:00Z</cp:lastPrinted>
  <dcterms:created xsi:type="dcterms:W3CDTF">2017-07-26T10:50:00Z</dcterms:created>
  <dcterms:modified xsi:type="dcterms:W3CDTF">2017-07-26T10:50:00Z</dcterms:modified>
</cp:coreProperties>
</file>