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6C0" w:rsidRDefault="008E36C0" w:rsidP="00DD642D">
      <w:pPr>
        <w:spacing w:line="276" w:lineRule="auto"/>
        <w:jc w:val="both"/>
        <w:rPr>
          <w:rFonts w:ascii="Arial" w:hAnsi="Arial" w:cs="Arial"/>
          <w:b/>
          <w:sz w:val="28"/>
          <w:szCs w:val="28"/>
        </w:rPr>
      </w:pPr>
      <w:bookmarkStart w:id="0" w:name="_GoBack"/>
      <w:bookmarkEnd w:id="0"/>
      <w:r w:rsidRPr="004329BA">
        <w:rPr>
          <w:rFonts w:ascii="Arial" w:hAnsi="Arial" w:cs="Arial"/>
          <w:b/>
          <w:sz w:val="28"/>
          <w:szCs w:val="28"/>
        </w:rPr>
        <w:t xml:space="preserve">RESPONSE TO </w:t>
      </w:r>
      <w:r w:rsidR="00D238E7">
        <w:rPr>
          <w:rFonts w:ascii="Arial" w:hAnsi="Arial" w:cs="Arial"/>
          <w:b/>
          <w:sz w:val="28"/>
          <w:szCs w:val="28"/>
        </w:rPr>
        <w:t>THE</w:t>
      </w:r>
      <w:r w:rsidR="00E36BBD" w:rsidRPr="004329BA">
        <w:rPr>
          <w:rFonts w:ascii="Arial" w:hAnsi="Arial" w:cs="Arial"/>
          <w:b/>
          <w:sz w:val="28"/>
          <w:szCs w:val="28"/>
        </w:rPr>
        <w:t xml:space="preserve"> SCOF </w:t>
      </w:r>
      <w:r w:rsidR="003208ED">
        <w:rPr>
          <w:rFonts w:ascii="Arial" w:hAnsi="Arial" w:cs="Arial"/>
          <w:b/>
          <w:sz w:val="28"/>
          <w:szCs w:val="28"/>
        </w:rPr>
        <w:t xml:space="preserve">QUESTIONS </w:t>
      </w:r>
      <w:r w:rsidRPr="004329BA">
        <w:rPr>
          <w:rFonts w:ascii="Arial" w:hAnsi="Arial" w:cs="Arial"/>
          <w:b/>
          <w:sz w:val="28"/>
          <w:szCs w:val="28"/>
        </w:rPr>
        <w:t xml:space="preserve">ARISING FROM NT </w:t>
      </w:r>
      <w:r w:rsidR="00E36BBD" w:rsidRPr="004329BA">
        <w:rPr>
          <w:rFonts w:ascii="Arial" w:hAnsi="Arial" w:cs="Arial"/>
          <w:b/>
          <w:sz w:val="28"/>
          <w:szCs w:val="28"/>
        </w:rPr>
        <w:t>2016/2017 QUARTER THREE (3) PRESENTATION</w:t>
      </w:r>
      <w:r w:rsidRPr="004329BA">
        <w:rPr>
          <w:rFonts w:ascii="Arial" w:hAnsi="Arial" w:cs="Arial"/>
          <w:b/>
          <w:sz w:val="28"/>
          <w:szCs w:val="28"/>
        </w:rPr>
        <w:t xml:space="preserve"> 28 MARCH 2017</w:t>
      </w:r>
    </w:p>
    <w:p w:rsidR="00DD642D" w:rsidRPr="004329BA" w:rsidRDefault="00DD642D" w:rsidP="00D238E7">
      <w:pPr>
        <w:spacing w:after="0" w:line="360" w:lineRule="auto"/>
        <w:jc w:val="both"/>
        <w:rPr>
          <w:rFonts w:ascii="Arial" w:hAnsi="Arial" w:cs="Arial"/>
          <w:b/>
          <w:sz w:val="28"/>
          <w:szCs w:val="28"/>
        </w:rPr>
      </w:pPr>
    </w:p>
    <w:p w:rsidR="00FA05FE" w:rsidRPr="00DD642D" w:rsidRDefault="00FA05FE" w:rsidP="00FA05FE">
      <w:pPr>
        <w:pStyle w:val="ListParagraph"/>
        <w:numPr>
          <w:ilvl w:val="0"/>
          <w:numId w:val="1"/>
        </w:numPr>
        <w:spacing w:line="276" w:lineRule="auto"/>
        <w:jc w:val="both"/>
        <w:rPr>
          <w:rFonts w:ascii="Arial" w:hAnsi="Arial" w:cs="Arial"/>
          <w:b/>
          <w:i/>
          <w:sz w:val="24"/>
        </w:rPr>
      </w:pPr>
      <w:r w:rsidRPr="00DD642D">
        <w:rPr>
          <w:rFonts w:ascii="Arial" w:hAnsi="Arial" w:cs="Arial"/>
          <w:b/>
          <w:i/>
          <w:sz w:val="24"/>
        </w:rPr>
        <w:t>EMOLUMENTS ATTACHMENT ORDERS – ASSESSMENT/ FEEDBACK ON THE VALUE FOR MONEY FOR EMBARKING ON THIS PROJECT AND HOW MUCH WOULD HAVE BEEN SPENT TO DATE ON THE PROJECT VS. SAVED (FOR EASE OF REFERENCE USE 31 MARCH 2017 CUT-OFF)</w:t>
      </w:r>
    </w:p>
    <w:p w:rsidR="00FA05FE" w:rsidRPr="00263C9E" w:rsidRDefault="00FA05FE" w:rsidP="00FA05FE">
      <w:pPr>
        <w:pStyle w:val="ListParagraph"/>
        <w:ind w:left="360"/>
        <w:jc w:val="both"/>
        <w:rPr>
          <w:rFonts w:ascii="Arial" w:hAnsi="Arial" w:cs="Arial"/>
          <w:b/>
          <w:sz w:val="24"/>
          <w:szCs w:val="24"/>
        </w:rPr>
      </w:pPr>
    </w:p>
    <w:p w:rsidR="00263C9E" w:rsidRPr="00263C9E" w:rsidRDefault="00263C9E" w:rsidP="00263C9E">
      <w:pPr>
        <w:pStyle w:val="Heading1"/>
        <w:spacing w:before="0" w:line="360" w:lineRule="auto"/>
        <w:ind w:firstLine="426"/>
        <w:jc w:val="both"/>
        <w:rPr>
          <w:rFonts w:ascii="Arial" w:hAnsi="Arial" w:cs="Arial"/>
          <w:b/>
          <w:color w:val="auto"/>
          <w:sz w:val="24"/>
          <w:szCs w:val="24"/>
        </w:rPr>
      </w:pPr>
      <w:r w:rsidRPr="00263C9E">
        <w:rPr>
          <w:rFonts w:ascii="Arial" w:hAnsi="Arial" w:cs="Arial"/>
          <w:b/>
          <w:color w:val="auto"/>
          <w:sz w:val="24"/>
          <w:szCs w:val="24"/>
        </w:rPr>
        <w:t>Background</w:t>
      </w:r>
    </w:p>
    <w:p w:rsidR="00263C9E" w:rsidRPr="00263C9E" w:rsidRDefault="00263C9E" w:rsidP="00263C9E">
      <w:pPr>
        <w:pStyle w:val="H1"/>
        <w:numPr>
          <w:ilvl w:val="0"/>
          <w:numId w:val="0"/>
        </w:numPr>
        <w:spacing w:before="0" w:line="276" w:lineRule="auto"/>
        <w:ind w:left="426"/>
      </w:pPr>
      <w:r w:rsidRPr="00263C9E">
        <w:t xml:space="preserve">In December 2013, Cabinet authorised the Ministers of Finance and Trade and Industry to take measures to assist over-indebted households and prevent further over-indebtedness. One of the measures identified was to address unlawful Emolument Attachment Orders (EAOs), particularly against public servant salaries. Government, through the National Treasury, appointed service provider Q LINK Holdings (Pty) Ltd for </w:t>
      </w:r>
      <w:r w:rsidR="0045029B">
        <w:t xml:space="preserve">a period of </w:t>
      </w:r>
      <w:r w:rsidRPr="00263C9E">
        <w:t>two years to:</w:t>
      </w:r>
    </w:p>
    <w:p w:rsidR="00263C9E" w:rsidRPr="00263C9E" w:rsidRDefault="00263C9E" w:rsidP="00263C9E">
      <w:pPr>
        <w:pStyle w:val="H2"/>
        <w:numPr>
          <w:ilvl w:val="1"/>
          <w:numId w:val="19"/>
        </w:numPr>
        <w:spacing w:line="276" w:lineRule="auto"/>
        <w:ind w:hanging="425"/>
      </w:pPr>
      <w:r w:rsidRPr="00263C9E">
        <w:t>Investigate EAOs granted against public servants (in the national and provincial spheres of government) and deducted from their salaries via PERSAL and address any abuse; and</w:t>
      </w:r>
    </w:p>
    <w:p w:rsidR="00263C9E" w:rsidRPr="00263C9E" w:rsidRDefault="00263C9E" w:rsidP="00263C9E">
      <w:pPr>
        <w:pStyle w:val="H2"/>
        <w:numPr>
          <w:ilvl w:val="1"/>
          <w:numId w:val="19"/>
        </w:numPr>
        <w:spacing w:line="276" w:lineRule="auto"/>
        <w:ind w:hanging="425"/>
      </w:pPr>
      <w:r w:rsidRPr="00263C9E">
        <w:t xml:space="preserve">Implement an on-going solution for managing EAOs to ensure that no illegally-issued EAOs are enforced against public servants. The solution was implemented in July 2016. </w:t>
      </w:r>
    </w:p>
    <w:p w:rsidR="00263C9E" w:rsidRDefault="00263C9E" w:rsidP="00263C9E">
      <w:pPr>
        <w:pStyle w:val="H1"/>
        <w:numPr>
          <w:ilvl w:val="0"/>
          <w:numId w:val="0"/>
        </w:numPr>
        <w:spacing w:line="276" w:lineRule="auto"/>
        <w:ind w:left="426"/>
      </w:pPr>
      <w:r w:rsidRPr="00263C9E">
        <w:t>The Department of Public Service Administration (DPSA) was also given a mandate by the Ministerial Committee on Public Service Bargaining Issues (Cabinet Mandate Committee) to implement a Public Service Debt Relief Programme to relieve public servants of their high level of indebtedness. This Programme has three components:</w:t>
      </w:r>
    </w:p>
    <w:p w:rsidR="00263C9E" w:rsidRPr="00263C9E" w:rsidRDefault="00263C9E" w:rsidP="00263C9E">
      <w:pPr>
        <w:pStyle w:val="H1"/>
        <w:numPr>
          <w:ilvl w:val="0"/>
          <w:numId w:val="0"/>
        </w:numPr>
        <w:spacing w:line="276" w:lineRule="auto"/>
        <w:ind w:left="426"/>
      </w:pPr>
    </w:p>
    <w:p w:rsidR="00263C9E" w:rsidRPr="00263C9E" w:rsidRDefault="00263C9E" w:rsidP="00263C9E">
      <w:pPr>
        <w:pStyle w:val="H2"/>
        <w:numPr>
          <w:ilvl w:val="0"/>
          <w:numId w:val="21"/>
        </w:numPr>
        <w:tabs>
          <w:tab w:val="clear" w:pos="1134"/>
        </w:tabs>
        <w:spacing w:before="0" w:line="276" w:lineRule="auto"/>
        <w:ind w:hanging="425"/>
      </w:pPr>
      <w:r w:rsidRPr="00263C9E">
        <w:t>Task 1: Escalation of existing Financial Wellness Management initiative</w:t>
      </w:r>
    </w:p>
    <w:p w:rsidR="00263C9E" w:rsidRPr="00263C9E" w:rsidRDefault="00263C9E" w:rsidP="00263C9E">
      <w:pPr>
        <w:pStyle w:val="H2"/>
        <w:numPr>
          <w:ilvl w:val="0"/>
          <w:numId w:val="21"/>
        </w:numPr>
        <w:tabs>
          <w:tab w:val="clear" w:pos="1134"/>
        </w:tabs>
        <w:spacing w:before="0" w:line="276" w:lineRule="auto"/>
        <w:ind w:hanging="425"/>
        <w:rPr>
          <w:b/>
        </w:rPr>
      </w:pPr>
      <w:r w:rsidRPr="00263C9E">
        <w:t>Task 2: PERSAL deductions (including EAOs) filtering and review</w:t>
      </w:r>
    </w:p>
    <w:p w:rsidR="00263C9E" w:rsidRPr="00263C9E" w:rsidRDefault="00263C9E" w:rsidP="00263C9E">
      <w:pPr>
        <w:pStyle w:val="H2"/>
        <w:numPr>
          <w:ilvl w:val="0"/>
          <w:numId w:val="21"/>
        </w:numPr>
        <w:tabs>
          <w:tab w:val="clear" w:pos="1134"/>
        </w:tabs>
        <w:spacing w:before="0" w:line="276" w:lineRule="auto"/>
        <w:ind w:hanging="425"/>
      </w:pPr>
      <w:r w:rsidRPr="00263C9E">
        <w:t>Task 3: Financial-based Interventions for debt relief and rescue</w:t>
      </w:r>
    </w:p>
    <w:p w:rsidR="00263C9E" w:rsidRPr="00263C9E" w:rsidRDefault="00263C9E" w:rsidP="00263C9E">
      <w:pPr>
        <w:pStyle w:val="H1"/>
        <w:numPr>
          <w:ilvl w:val="0"/>
          <w:numId w:val="0"/>
        </w:numPr>
        <w:spacing w:line="276" w:lineRule="auto"/>
        <w:ind w:left="426"/>
      </w:pPr>
      <w:r w:rsidRPr="00263C9E">
        <w:t xml:space="preserve">To ensure that there were no duplications of efforts, National Treasury and DPSA are coordinating their initiatives. To this end, the project in respect of PERSAL deductions is assisting in achieving Task 2 of the Debt Relief Programme and its implementation is fully supported by the DPSA. </w:t>
      </w:r>
    </w:p>
    <w:p w:rsidR="00263C9E" w:rsidRDefault="00263C9E" w:rsidP="00263C9E">
      <w:pPr>
        <w:pStyle w:val="H2"/>
        <w:numPr>
          <w:ilvl w:val="0"/>
          <w:numId w:val="0"/>
        </w:numPr>
        <w:tabs>
          <w:tab w:val="clear" w:pos="1134"/>
        </w:tabs>
        <w:spacing w:before="0"/>
        <w:rPr>
          <w:b/>
          <w:u w:val="single"/>
        </w:rPr>
      </w:pPr>
    </w:p>
    <w:p w:rsidR="00D238E7" w:rsidRDefault="00D238E7" w:rsidP="00263C9E">
      <w:pPr>
        <w:pStyle w:val="H2"/>
        <w:numPr>
          <w:ilvl w:val="0"/>
          <w:numId w:val="0"/>
        </w:numPr>
        <w:tabs>
          <w:tab w:val="clear" w:pos="1134"/>
        </w:tabs>
        <w:spacing w:before="0"/>
        <w:ind w:firstLine="426"/>
        <w:rPr>
          <w:b/>
        </w:rPr>
      </w:pPr>
    </w:p>
    <w:p w:rsidR="00D238E7" w:rsidRDefault="00D238E7" w:rsidP="00263C9E">
      <w:pPr>
        <w:pStyle w:val="H2"/>
        <w:numPr>
          <w:ilvl w:val="0"/>
          <w:numId w:val="0"/>
        </w:numPr>
        <w:tabs>
          <w:tab w:val="clear" w:pos="1134"/>
        </w:tabs>
        <w:spacing w:before="0"/>
        <w:ind w:firstLine="426"/>
        <w:rPr>
          <w:b/>
        </w:rPr>
      </w:pPr>
    </w:p>
    <w:p w:rsidR="00263C9E" w:rsidRPr="00263C9E" w:rsidRDefault="00263C9E" w:rsidP="00263C9E">
      <w:pPr>
        <w:pStyle w:val="H2"/>
        <w:numPr>
          <w:ilvl w:val="0"/>
          <w:numId w:val="0"/>
        </w:numPr>
        <w:tabs>
          <w:tab w:val="clear" w:pos="1134"/>
        </w:tabs>
        <w:spacing w:before="0"/>
        <w:ind w:firstLine="426"/>
        <w:rPr>
          <w:b/>
        </w:rPr>
      </w:pPr>
      <w:r w:rsidRPr="00263C9E">
        <w:rPr>
          <w:b/>
        </w:rPr>
        <w:lastRenderedPageBreak/>
        <w:t>Q Link’s fees</w:t>
      </w:r>
    </w:p>
    <w:p w:rsidR="00263C9E" w:rsidRPr="00263C9E" w:rsidRDefault="00263C9E" w:rsidP="00263C9E">
      <w:pPr>
        <w:pStyle w:val="H2"/>
        <w:numPr>
          <w:ilvl w:val="0"/>
          <w:numId w:val="0"/>
        </w:numPr>
        <w:tabs>
          <w:tab w:val="clear" w:pos="1134"/>
        </w:tabs>
        <w:spacing w:before="0" w:line="276" w:lineRule="auto"/>
        <w:ind w:left="426"/>
      </w:pPr>
      <w:r w:rsidRPr="00263C9E">
        <w:t>Section 65 (J)(10) of the Magistrates’ Courts Act 32 of 1944 (the Act) allows that an employer may recover a commission of up to 5 per cent of all amounts deducted and payable to credit providers in respect of services rendered in terms of EAOs.</w:t>
      </w:r>
    </w:p>
    <w:p w:rsidR="00D9558E" w:rsidRDefault="00D9558E" w:rsidP="00D9558E">
      <w:pPr>
        <w:pStyle w:val="H2"/>
        <w:numPr>
          <w:ilvl w:val="0"/>
          <w:numId w:val="0"/>
        </w:numPr>
        <w:tabs>
          <w:tab w:val="clear" w:pos="1134"/>
        </w:tabs>
        <w:spacing w:before="0" w:line="276" w:lineRule="auto"/>
        <w:ind w:left="426"/>
      </w:pPr>
    </w:p>
    <w:p w:rsidR="00263C9E" w:rsidRPr="00263C9E" w:rsidRDefault="00263C9E" w:rsidP="00D9558E">
      <w:pPr>
        <w:pStyle w:val="H2"/>
        <w:numPr>
          <w:ilvl w:val="0"/>
          <w:numId w:val="0"/>
        </w:numPr>
        <w:tabs>
          <w:tab w:val="clear" w:pos="1134"/>
        </w:tabs>
        <w:spacing w:before="0" w:line="276" w:lineRule="auto"/>
        <w:ind w:left="426"/>
      </w:pPr>
      <w:r w:rsidRPr="00263C9E">
        <w:t xml:space="preserve">The Q LINK contract stipulates that the 5 per cent deduction that government could have recovered under the Act would be forfeited to the service provider. While Q LINK does invoice the National Treasury, the amount that is paid to Q LINK equals the exact amount withheld by PERSAL from the credit provider/debt collector, in terms of the Act. The total cost of the project is therefore 5 per cent (inclusive of VAT) of the value of each EAO instalment as a monthly administration fee. There are no additional fees/charges to government. It is important to highlight that the 5 per cent commission is effectively paid by the judgement creditor, not the employee or the employer.  </w:t>
      </w:r>
    </w:p>
    <w:p w:rsidR="00D9558E" w:rsidRDefault="00D9558E" w:rsidP="00D9558E">
      <w:pPr>
        <w:pStyle w:val="H2"/>
        <w:numPr>
          <w:ilvl w:val="0"/>
          <w:numId w:val="0"/>
        </w:numPr>
        <w:tabs>
          <w:tab w:val="clear" w:pos="1134"/>
        </w:tabs>
        <w:spacing w:before="0" w:line="276" w:lineRule="auto"/>
        <w:ind w:left="426"/>
      </w:pPr>
    </w:p>
    <w:p w:rsidR="00D238E7" w:rsidRPr="00D238E7" w:rsidRDefault="00263C9E" w:rsidP="00D238E7">
      <w:pPr>
        <w:pStyle w:val="H2"/>
        <w:numPr>
          <w:ilvl w:val="0"/>
          <w:numId w:val="0"/>
        </w:numPr>
        <w:tabs>
          <w:tab w:val="clear" w:pos="1134"/>
        </w:tabs>
        <w:spacing w:before="0" w:line="276" w:lineRule="auto"/>
        <w:ind w:left="426"/>
      </w:pPr>
      <w:r w:rsidRPr="00263C9E">
        <w:t xml:space="preserve">The June 2016 commission figure was R2 667 217. Based on this monthly figure,  the estimated revenue for the period July 2016 to March 2017 would have been R24 004 953. However, the actual Q LINK cost for the period July 2016 to March 2017 was R23 068 616. This declining trend will continue due to paid-up EAOs, and the termination of certain deductions as a result of the audit of EAOs. </w:t>
      </w:r>
      <w:r w:rsidR="00D238E7">
        <w:t xml:space="preserve"> </w:t>
      </w:r>
    </w:p>
    <w:tbl>
      <w:tblPr>
        <w:tblStyle w:val="TableGrid"/>
        <w:tblW w:w="8335" w:type="dxa"/>
        <w:tblInd w:w="704" w:type="dxa"/>
        <w:tblLayout w:type="fixed"/>
        <w:tblLook w:val="04A0" w:firstRow="1" w:lastRow="0" w:firstColumn="1" w:lastColumn="0" w:noHBand="0" w:noVBand="1"/>
      </w:tblPr>
      <w:tblGrid>
        <w:gridCol w:w="2098"/>
        <w:gridCol w:w="2126"/>
        <w:gridCol w:w="1984"/>
        <w:gridCol w:w="2127"/>
      </w:tblGrid>
      <w:tr w:rsidR="00D9558E" w:rsidRPr="00263C9E" w:rsidTr="00D9558E">
        <w:trPr>
          <w:trHeight w:val="705"/>
        </w:trPr>
        <w:tc>
          <w:tcPr>
            <w:tcW w:w="2098" w:type="dxa"/>
            <w:shd w:val="clear" w:color="auto" w:fill="BFBFBF" w:themeFill="background1" w:themeFillShade="BF"/>
          </w:tcPr>
          <w:p w:rsidR="00D9558E" w:rsidRPr="00D9558E" w:rsidRDefault="00D9558E" w:rsidP="00FD14F8">
            <w:pPr>
              <w:pStyle w:val="H1"/>
              <w:numPr>
                <w:ilvl w:val="0"/>
                <w:numId w:val="0"/>
              </w:numPr>
              <w:spacing w:line="240" w:lineRule="auto"/>
              <w:rPr>
                <w:b/>
                <w:sz w:val="22"/>
                <w:szCs w:val="22"/>
              </w:rPr>
            </w:pPr>
            <w:r w:rsidRPr="00D9558E">
              <w:rPr>
                <w:b/>
                <w:sz w:val="22"/>
                <w:szCs w:val="22"/>
              </w:rPr>
              <w:lastRenderedPageBreak/>
              <w:t>Month</w:t>
            </w:r>
          </w:p>
        </w:tc>
        <w:tc>
          <w:tcPr>
            <w:tcW w:w="2126" w:type="dxa"/>
            <w:shd w:val="clear" w:color="auto" w:fill="BFBFBF" w:themeFill="background1" w:themeFillShade="BF"/>
          </w:tcPr>
          <w:p w:rsidR="00D9558E" w:rsidRPr="00D9558E" w:rsidRDefault="00D9558E" w:rsidP="00FD14F8">
            <w:pPr>
              <w:pStyle w:val="H1"/>
              <w:numPr>
                <w:ilvl w:val="0"/>
                <w:numId w:val="0"/>
              </w:numPr>
              <w:spacing w:line="240" w:lineRule="auto"/>
              <w:rPr>
                <w:b/>
                <w:sz w:val="22"/>
                <w:szCs w:val="22"/>
              </w:rPr>
            </w:pPr>
            <w:r w:rsidRPr="00D9558E">
              <w:rPr>
                <w:b/>
                <w:sz w:val="22"/>
                <w:szCs w:val="22"/>
              </w:rPr>
              <w:t>Deduction count</w:t>
            </w:r>
            <w:r w:rsidRPr="00D9558E">
              <w:rPr>
                <w:rStyle w:val="FootnoteReference"/>
                <w:b/>
                <w:sz w:val="22"/>
                <w:szCs w:val="22"/>
              </w:rPr>
              <w:footnoteReference w:id="1"/>
            </w:r>
          </w:p>
        </w:tc>
        <w:tc>
          <w:tcPr>
            <w:tcW w:w="1984" w:type="dxa"/>
            <w:shd w:val="clear" w:color="auto" w:fill="BFBFBF" w:themeFill="background1" w:themeFillShade="BF"/>
          </w:tcPr>
          <w:p w:rsidR="00D9558E" w:rsidRPr="00D9558E" w:rsidRDefault="00D9558E" w:rsidP="00FD14F8">
            <w:pPr>
              <w:pStyle w:val="H1"/>
              <w:numPr>
                <w:ilvl w:val="0"/>
                <w:numId w:val="0"/>
              </w:numPr>
              <w:spacing w:line="240" w:lineRule="auto"/>
              <w:rPr>
                <w:b/>
                <w:sz w:val="22"/>
                <w:szCs w:val="22"/>
              </w:rPr>
            </w:pPr>
            <w:r w:rsidRPr="00D9558E">
              <w:rPr>
                <w:b/>
                <w:sz w:val="22"/>
                <w:szCs w:val="22"/>
              </w:rPr>
              <w:t>Deduction value</w:t>
            </w:r>
          </w:p>
        </w:tc>
        <w:tc>
          <w:tcPr>
            <w:tcW w:w="2127" w:type="dxa"/>
            <w:shd w:val="clear" w:color="auto" w:fill="BFBFBF" w:themeFill="background1" w:themeFillShade="BF"/>
          </w:tcPr>
          <w:p w:rsidR="00D9558E" w:rsidRPr="00D9558E" w:rsidRDefault="00D9558E" w:rsidP="00FD14F8">
            <w:pPr>
              <w:pStyle w:val="H1"/>
              <w:numPr>
                <w:ilvl w:val="0"/>
                <w:numId w:val="0"/>
              </w:numPr>
              <w:spacing w:line="240" w:lineRule="auto"/>
              <w:rPr>
                <w:b/>
                <w:sz w:val="22"/>
                <w:szCs w:val="22"/>
              </w:rPr>
            </w:pPr>
            <w:r w:rsidRPr="00D9558E">
              <w:rPr>
                <w:b/>
                <w:sz w:val="22"/>
                <w:szCs w:val="22"/>
              </w:rPr>
              <w:t>Q LINK Invoice</w:t>
            </w:r>
          </w:p>
        </w:tc>
      </w:tr>
      <w:tr w:rsidR="00D9558E" w:rsidRPr="00263C9E" w:rsidTr="003208ED">
        <w:trPr>
          <w:trHeight w:val="411"/>
        </w:trPr>
        <w:tc>
          <w:tcPr>
            <w:tcW w:w="2098" w:type="dxa"/>
          </w:tcPr>
          <w:p w:rsidR="00D9558E" w:rsidRPr="00D9558E" w:rsidRDefault="00D9558E" w:rsidP="00FD14F8">
            <w:pPr>
              <w:pStyle w:val="H1"/>
              <w:numPr>
                <w:ilvl w:val="0"/>
                <w:numId w:val="0"/>
              </w:numPr>
              <w:rPr>
                <w:sz w:val="20"/>
                <w:szCs w:val="20"/>
              </w:rPr>
            </w:pPr>
            <w:r w:rsidRPr="00D9558E">
              <w:rPr>
                <w:sz w:val="20"/>
                <w:szCs w:val="20"/>
              </w:rPr>
              <w:t>July 2016</w:t>
            </w:r>
          </w:p>
        </w:tc>
        <w:tc>
          <w:tcPr>
            <w:tcW w:w="2126" w:type="dxa"/>
          </w:tcPr>
          <w:p w:rsidR="00D9558E" w:rsidRPr="00D9558E" w:rsidRDefault="00D9558E" w:rsidP="00FD14F8">
            <w:pPr>
              <w:pStyle w:val="H1"/>
              <w:numPr>
                <w:ilvl w:val="0"/>
                <w:numId w:val="0"/>
              </w:numPr>
              <w:rPr>
                <w:sz w:val="20"/>
                <w:szCs w:val="20"/>
              </w:rPr>
            </w:pPr>
            <w:r w:rsidRPr="00D9558E">
              <w:rPr>
                <w:sz w:val="20"/>
                <w:szCs w:val="20"/>
              </w:rPr>
              <w:t>109 120</w:t>
            </w:r>
          </w:p>
        </w:tc>
        <w:tc>
          <w:tcPr>
            <w:tcW w:w="1984" w:type="dxa"/>
          </w:tcPr>
          <w:p w:rsidR="00D9558E" w:rsidRPr="00D9558E" w:rsidRDefault="00D9558E" w:rsidP="00FD14F8">
            <w:pPr>
              <w:pStyle w:val="H1"/>
              <w:numPr>
                <w:ilvl w:val="0"/>
                <w:numId w:val="0"/>
              </w:numPr>
              <w:rPr>
                <w:sz w:val="20"/>
                <w:szCs w:val="20"/>
              </w:rPr>
            </w:pPr>
            <w:r w:rsidRPr="00D9558E">
              <w:rPr>
                <w:sz w:val="20"/>
                <w:szCs w:val="20"/>
              </w:rPr>
              <w:t>R61,917,354</w:t>
            </w:r>
          </w:p>
        </w:tc>
        <w:tc>
          <w:tcPr>
            <w:tcW w:w="2127" w:type="dxa"/>
          </w:tcPr>
          <w:p w:rsidR="00D9558E" w:rsidRPr="00D9558E" w:rsidRDefault="00D9558E" w:rsidP="00FD14F8">
            <w:pPr>
              <w:pStyle w:val="H1"/>
              <w:numPr>
                <w:ilvl w:val="0"/>
                <w:numId w:val="0"/>
              </w:numPr>
              <w:rPr>
                <w:sz w:val="20"/>
                <w:szCs w:val="20"/>
              </w:rPr>
            </w:pPr>
            <w:r w:rsidRPr="00D9558E">
              <w:rPr>
                <w:sz w:val="20"/>
                <w:szCs w:val="20"/>
              </w:rPr>
              <w:t>R3,095,867</w:t>
            </w:r>
          </w:p>
        </w:tc>
      </w:tr>
      <w:tr w:rsidR="00D9558E" w:rsidRPr="00263C9E" w:rsidTr="00D9558E">
        <w:trPr>
          <w:trHeight w:val="567"/>
        </w:trPr>
        <w:tc>
          <w:tcPr>
            <w:tcW w:w="2098" w:type="dxa"/>
          </w:tcPr>
          <w:p w:rsidR="00D9558E" w:rsidRPr="00D9558E" w:rsidRDefault="00D9558E" w:rsidP="00FD14F8">
            <w:pPr>
              <w:pStyle w:val="H1"/>
              <w:numPr>
                <w:ilvl w:val="0"/>
                <w:numId w:val="0"/>
              </w:numPr>
              <w:rPr>
                <w:sz w:val="20"/>
                <w:szCs w:val="20"/>
              </w:rPr>
            </w:pPr>
            <w:r w:rsidRPr="00D9558E">
              <w:rPr>
                <w:sz w:val="20"/>
                <w:szCs w:val="20"/>
              </w:rPr>
              <w:t>August 2016</w:t>
            </w:r>
          </w:p>
        </w:tc>
        <w:tc>
          <w:tcPr>
            <w:tcW w:w="2126" w:type="dxa"/>
          </w:tcPr>
          <w:p w:rsidR="00D9558E" w:rsidRPr="00D9558E" w:rsidRDefault="00D9558E" w:rsidP="00FD14F8">
            <w:pPr>
              <w:pStyle w:val="H1"/>
              <w:numPr>
                <w:ilvl w:val="0"/>
                <w:numId w:val="0"/>
              </w:numPr>
              <w:rPr>
                <w:sz w:val="20"/>
                <w:szCs w:val="20"/>
              </w:rPr>
            </w:pPr>
            <w:r w:rsidRPr="00D9558E">
              <w:rPr>
                <w:sz w:val="20"/>
                <w:szCs w:val="20"/>
              </w:rPr>
              <w:t>103 911</w:t>
            </w:r>
          </w:p>
        </w:tc>
        <w:tc>
          <w:tcPr>
            <w:tcW w:w="1984" w:type="dxa"/>
          </w:tcPr>
          <w:p w:rsidR="00D9558E" w:rsidRPr="00D9558E" w:rsidRDefault="00D9558E" w:rsidP="00FD14F8">
            <w:pPr>
              <w:pStyle w:val="H1"/>
              <w:numPr>
                <w:ilvl w:val="0"/>
                <w:numId w:val="0"/>
              </w:numPr>
              <w:rPr>
                <w:sz w:val="20"/>
                <w:szCs w:val="20"/>
              </w:rPr>
            </w:pPr>
            <w:r w:rsidRPr="00D9558E">
              <w:rPr>
                <w:sz w:val="20"/>
                <w:szCs w:val="20"/>
              </w:rPr>
              <w:t>R58,478,465</w:t>
            </w:r>
          </w:p>
        </w:tc>
        <w:tc>
          <w:tcPr>
            <w:tcW w:w="2127" w:type="dxa"/>
          </w:tcPr>
          <w:p w:rsidR="00D9558E" w:rsidRPr="00D9558E" w:rsidRDefault="00D9558E" w:rsidP="00FD14F8">
            <w:pPr>
              <w:pStyle w:val="H1"/>
              <w:numPr>
                <w:ilvl w:val="0"/>
                <w:numId w:val="0"/>
              </w:numPr>
              <w:rPr>
                <w:sz w:val="20"/>
                <w:szCs w:val="20"/>
              </w:rPr>
            </w:pPr>
            <w:r w:rsidRPr="00D9558E">
              <w:rPr>
                <w:sz w:val="20"/>
                <w:szCs w:val="20"/>
              </w:rPr>
              <w:t>R2,923,293</w:t>
            </w:r>
          </w:p>
        </w:tc>
      </w:tr>
      <w:tr w:rsidR="00D9558E" w:rsidRPr="00263C9E" w:rsidTr="00D9558E">
        <w:trPr>
          <w:trHeight w:val="567"/>
        </w:trPr>
        <w:tc>
          <w:tcPr>
            <w:tcW w:w="2098" w:type="dxa"/>
          </w:tcPr>
          <w:p w:rsidR="00D9558E" w:rsidRPr="00D9558E" w:rsidRDefault="00D9558E" w:rsidP="00FD14F8">
            <w:pPr>
              <w:pStyle w:val="H1"/>
              <w:numPr>
                <w:ilvl w:val="0"/>
                <w:numId w:val="0"/>
              </w:numPr>
              <w:rPr>
                <w:sz w:val="20"/>
                <w:szCs w:val="20"/>
              </w:rPr>
            </w:pPr>
            <w:r w:rsidRPr="00D9558E">
              <w:rPr>
                <w:sz w:val="20"/>
                <w:szCs w:val="20"/>
              </w:rPr>
              <w:t>September 2016</w:t>
            </w:r>
          </w:p>
        </w:tc>
        <w:tc>
          <w:tcPr>
            <w:tcW w:w="2126" w:type="dxa"/>
          </w:tcPr>
          <w:p w:rsidR="00D9558E" w:rsidRPr="00D9558E" w:rsidRDefault="00D9558E" w:rsidP="00FD14F8">
            <w:pPr>
              <w:pStyle w:val="H1"/>
              <w:numPr>
                <w:ilvl w:val="0"/>
                <w:numId w:val="0"/>
              </w:numPr>
              <w:rPr>
                <w:sz w:val="20"/>
                <w:szCs w:val="20"/>
              </w:rPr>
            </w:pPr>
            <w:r w:rsidRPr="00D9558E">
              <w:rPr>
                <w:sz w:val="20"/>
                <w:szCs w:val="20"/>
              </w:rPr>
              <w:t>97 197</w:t>
            </w:r>
          </w:p>
        </w:tc>
        <w:tc>
          <w:tcPr>
            <w:tcW w:w="1984" w:type="dxa"/>
          </w:tcPr>
          <w:p w:rsidR="00D9558E" w:rsidRPr="00D9558E" w:rsidRDefault="00D9558E" w:rsidP="00FD14F8">
            <w:pPr>
              <w:pStyle w:val="H1"/>
              <w:numPr>
                <w:ilvl w:val="0"/>
                <w:numId w:val="0"/>
              </w:numPr>
              <w:rPr>
                <w:sz w:val="20"/>
                <w:szCs w:val="20"/>
              </w:rPr>
            </w:pPr>
            <w:r w:rsidRPr="00D9558E">
              <w:rPr>
                <w:sz w:val="20"/>
                <w:szCs w:val="20"/>
              </w:rPr>
              <w:t>R54,789,820</w:t>
            </w:r>
          </w:p>
        </w:tc>
        <w:tc>
          <w:tcPr>
            <w:tcW w:w="2127" w:type="dxa"/>
          </w:tcPr>
          <w:p w:rsidR="00D9558E" w:rsidRPr="00D9558E" w:rsidRDefault="00D9558E" w:rsidP="00FD14F8">
            <w:pPr>
              <w:pStyle w:val="H1"/>
              <w:numPr>
                <w:ilvl w:val="0"/>
                <w:numId w:val="0"/>
              </w:numPr>
              <w:rPr>
                <w:sz w:val="20"/>
                <w:szCs w:val="20"/>
              </w:rPr>
            </w:pPr>
            <w:r w:rsidRPr="00D9558E">
              <w:rPr>
                <w:sz w:val="20"/>
                <w:szCs w:val="20"/>
              </w:rPr>
              <w:t>R2,739,491</w:t>
            </w:r>
          </w:p>
        </w:tc>
      </w:tr>
      <w:tr w:rsidR="00D9558E" w:rsidRPr="00263C9E" w:rsidTr="00D9558E">
        <w:trPr>
          <w:trHeight w:val="567"/>
        </w:trPr>
        <w:tc>
          <w:tcPr>
            <w:tcW w:w="2098" w:type="dxa"/>
          </w:tcPr>
          <w:p w:rsidR="00D9558E" w:rsidRPr="00D9558E" w:rsidRDefault="00D9558E" w:rsidP="00FD14F8">
            <w:pPr>
              <w:pStyle w:val="H1"/>
              <w:numPr>
                <w:ilvl w:val="0"/>
                <w:numId w:val="0"/>
              </w:numPr>
              <w:rPr>
                <w:sz w:val="20"/>
                <w:szCs w:val="20"/>
              </w:rPr>
            </w:pPr>
            <w:r w:rsidRPr="00D9558E">
              <w:rPr>
                <w:sz w:val="20"/>
                <w:szCs w:val="20"/>
              </w:rPr>
              <w:t>October 2016</w:t>
            </w:r>
          </w:p>
        </w:tc>
        <w:tc>
          <w:tcPr>
            <w:tcW w:w="2126" w:type="dxa"/>
          </w:tcPr>
          <w:p w:rsidR="00D9558E" w:rsidRPr="00D9558E" w:rsidRDefault="00D9558E" w:rsidP="00FD14F8">
            <w:pPr>
              <w:pStyle w:val="H1"/>
              <w:numPr>
                <w:ilvl w:val="0"/>
                <w:numId w:val="0"/>
              </w:numPr>
              <w:rPr>
                <w:sz w:val="20"/>
                <w:szCs w:val="20"/>
              </w:rPr>
            </w:pPr>
            <w:r w:rsidRPr="00D9558E">
              <w:rPr>
                <w:sz w:val="20"/>
                <w:szCs w:val="20"/>
              </w:rPr>
              <w:t>91 537</w:t>
            </w:r>
          </w:p>
        </w:tc>
        <w:tc>
          <w:tcPr>
            <w:tcW w:w="1984" w:type="dxa"/>
          </w:tcPr>
          <w:p w:rsidR="00D9558E" w:rsidRPr="00D9558E" w:rsidRDefault="00D9558E" w:rsidP="00FD14F8">
            <w:pPr>
              <w:pStyle w:val="H1"/>
              <w:numPr>
                <w:ilvl w:val="0"/>
                <w:numId w:val="0"/>
              </w:numPr>
              <w:rPr>
                <w:sz w:val="20"/>
                <w:szCs w:val="20"/>
              </w:rPr>
            </w:pPr>
            <w:r w:rsidRPr="00D9558E">
              <w:rPr>
                <w:sz w:val="20"/>
                <w:szCs w:val="20"/>
              </w:rPr>
              <w:t>R51,236,030</w:t>
            </w:r>
          </w:p>
        </w:tc>
        <w:tc>
          <w:tcPr>
            <w:tcW w:w="2127" w:type="dxa"/>
          </w:tcPr>
          <w:p w:rsidR="00D9558E" w:rsidRPr="00D9558E" w:rsidRDefault="00D9558E" w:rsidP="00FD14F8">
            <w:pPr>
              <w:pStyle w:val="H1"/>
              <w:numPr>
                <w:ilvl w:val="0"/>
                <w:numId w:val="0"/>
              </w:numPr>
              <w:rPr>
                <w:sz w:val="20"/>
                <w:szCs w:val="20"/>
              </w:rPr>
            </w:pPr>
            <w:r w:rsidRPr="00D9558E">
              <w:rPr>
                <w:sz w:val="20"/>
                <w:szCs w:val="20"/>
              </w:rPr>
              <w:t>R2,561,801</w:t>
            </w:r>
          </w:p>
        </w:tc>
      </w:tr>
      <w:tr w:rsidR="00D9558E" w:rsidRPr="00263C9E" w:rsidTr="00D9558E">
        <w:trPr>
          <w:trHeight w:val="567"/>
        </w:trPr>
        <w:tc>
          <w:tcPr>
            <w:tcW w:w="2098" w:type="dxa"/>
          </w:tcPr>
          <w:p w:rsidR="00D9558E" w:rsidRPr="00D9558E" w:rsidRDefault="00D9558E" w:rsidP="00FD14F8">
            <w:pPr>
              <w:pStyle w:val="H1"/>
              <w:numPr>
                <w:ilvl w:val="0"/>
                <w:numId w:val="0"/>
              </w:numPr>
              <w:rPr>
                <w:sz w:val="20"/>
                <w:szCs w:val="20"/>
              </w:rPr>
            </w:pPr>
            <w:r w:rsidRPr="00D9558E">
              <w:rPr>
                <w:sz w:val="20"/>
                <w:szCs w:val="20"/>
              </w:rPr>
              <w:t>November 2016</w:t>
            </w:r>
          </w:p>
        </w:tc>
        <w:tc>
          <w:tcPr>
            <w:tcW w:w="2126" w:type="dxa"/>
          </w:tcPr>
          <w:p w:rsidR="00D9558E" w:rsidRPr="00D9558E" w:rsidRDefault="00D9558E" w:rsidP="00FD14F8">
            <w:pPr>
              <w:pStyle w:val="H1"/>
              <w:numPr>
                <w:ilvl w:val="0"/>
                <w:numId w:val="0"/>
              </w:numPr>
              <w:rPr>
                <w:sz w:val="20"/>
                <w:szCs w:val="20"/>
              </w:rPr>
            </w:pPr>
            <w:r w:rsidRPr="00D9558E">
              <w:rPr>
                <w:sz w:val="20"/>
                <w:szCs w:val="20"/>
              </w:rPr>
              <w:t>88 326</w:t>
            </w:r>
          </w:p>
        </w:tc>
        <w:tc>
          <w:tcPr>
            <w:tcW w:w="1984" w:type="dxa"/>
          </w:tcPr>
          <w:p w:rsidR="00D9558E" w:rsidRPr="00D9558E" w:rsidRDefault="00D9558E" w:rsidP="00FD14F8">
            <w:pPr>
              <w:pStyle w:val="H1"/>
              <w:numPr>
                <w:ilvl w:val="0"/>
                <w:numId w:val="0"/>
              </w:numPr>
              <w:rPr>
                <w:sz w:val="20"/>
                <w:szCs w:val="20"/>
              </w:rPr>
            </w:pPr>
            <w:r w:rsidRPr="00D9558E">
              <w:rPr>
                <w:sz w:val="20"/>
                <w:szCs w:val="20"/>
              </w:rPr>
              <w:t>R49,039,969</w:t>
            </w:r>
          </w:p>
        </w:tc>
        <w:tc>
          <w:tcPr>
            <w:tcW w:w="2127" w:type="dxa"/>
          </w:tcPr>
          <w:p w:rsidR="00D9558E" w:rsidRPr="00D9558E" w:rsidRDefault="00D9558E" w:rsidP="00FD14F8">
            <w:pPr>
              <w:pStyle w:val="H1"/>
              <w:numPr>
                <w:ilvl w:val="0"/>
                <w:numId w:val="0"/>
              </w:numPr>
              <w:rPr>
                <w:sz w:val="20"/>
                <w:szCs w:val="20"/>
              </w:rPr>
            </w:pPr>
            <w:r w:rsidRPr="00D9558E">
              <w:rPr>
                <w:sz w:val="20"/>
                <w:szCs w:val="20"/>
              </w:rPr>
              <w:t>R2,451,998</w:t>
            </w:r>
          </w:p>
        </w:tc>
      </w:tr>
      <w:tr w:rsidR="00D9558E" w:rsidRPr="00263C9E" w:rsidTr="00D9558E">
        <w:trPr>
          <w:trHeight w:val="567"/>
        </w:trPr>
        <w:tc>
          <w:tcPr>
            <w:tcW w:w="2098" w:type="dxa"/>
          </w:tcPr>
          <w:p w:rsidR="00D9558E" w:rsidRPr="00D9558E" w:rsidRDefault="00D9558E" w:rsidP="00FD14F8">
            <w:pPr>
              <w:pStyle w:val="H1"/>
              <w:numPr>
                <w:ilvl w:val="0"/>
                <w:numId w:val="0"/>
              </w:numPr>
              <w:rPr>
                <w:sz w:val="20"/>
                <w:szCs w:val="20"/>
              </w:rPr>
            </w:pPr>
            <w:r w:rsidRPr="00D9558E">
              <w:rPr>
                <w:sz w:val="20"/>
                <w:szCs w:val="20"/>
              </w:rPr>
              <w:t>December 2016</w:t>
            </w:r>
          </w:p>
        </w:tc>
        <w:tc>
          <w:tcPr>
            <w:tcW w:w="2126" w:type="dxa"/>
          </w:tcPr>
          <w:p w:rsidR="00D9558E" w:rsidRPr="00D9558E" w:rsidRDefault="00D9558E" w:rsidP="00FD14F8">
            <w:pPr>
              <w:pStyle w:val="H1"/>
              <w:numPr>
                <w:ilvl w:val="0"/>
                <w:numId w:val="0"/>
              </w:numPr>
              <w:rPr>
                <w:sz w:val="20"/>
                <w:szCs w:val="20"/>
              </w:rPr>
            </w:pPr>
            <w:r w:rsidRPr="00D9558E">
              <w:rPr>
                <w:sz w:val="20"/>
                <w:szCs w:val="20"/>
              </w:rPr>
              <w:t>88 264</w:t>
            </w:r>
          </w:p>
        </w:tc>
        <w:tc>
          <w:tcPr>
            <w:tcW w:w="1984" w:type="dxa"/>
          </w:tcPr>
          <w:p w:rsidR="00D9558E" w:rsidRPr="00D9558E" w:rsidRDefault="00D9558E" w:rsidP="00FD14F8">
            <w:pPr>
              <w:pStyle w:val="H1"/>
              <w:numPr>
                <w:ilvl w:val="0"/>
                <w:numId w:val="0"/>
              </w:numPr>
              <w:rPr>
                <w:sz w:val="20"/>
                <w:szCs w:val="20"/>
              </w:rPr>
            </w:pPr>
            <w:r w:rsidRPr="00D9558E">
              <w:rPr>
                <w:sz w:val="20"/>
                <w:szCs w:val="20"/>
              </w:rPr>
              <w:t>R48,631,558</w:t>
            </w:r>
          </w:p>
        </w:tc>
        <w:tc>
          <w:tcPr>
            <w:tcW w:w="2127" w:type="dxa"/>
          </w:tcPr>
          <w:p w:rsidR="00D9558E" w:rsidRPr="00D9558E" w:rsidRDefault="00D9558E" w:rsidP="00FD14F8">
            <w:pPr>
              <w:pStyle w:val="H1"/>
              <w:numPr>
                <w:ilvl w:val="0"/>
                <w:numId w:val="0"/>
              </w:numPr>
              <w:rPr>
                <w:sz w:val="20"/>
                <w:szCs w:val="20"/>
              </w:rPr>
            </w:pPr>
            <w:r w:rsidRPr="00D9558E">
              <w:rPr>
                <w:sz w:val="20"/>
                <w:szCs w:val="20"/>
              </w:rPr>
              <w:t>R2,431,577</w:t>
            </w:r>
          </w:p>
        </w:tc>
      </w:tr>
      <w:tr w:rsidR="00D9558E" w:rsidRPr="00263C9E" w:rsidTr="00D9558E">
        <w:trPr>
          <w:trHeight w:val="567"/>
        </w:trPr>
        <w:tc>
          <w:tcPr>
            <w:tcW w:w="2098" w:type="dxa"/>
          </w:tcPr>
          <w:p w:rsidR="00D9558E" w:rsidRPr="00D9558E" w:rsidRDefault="00D9558E" w:rsidP="00FD14F8">
            <w:pPr>
              <w:pStyle w:val="H1"/>
              <w:numPr>
                <w:ilvl w:val="0"/>
                <w:numId w:val="0"/>
              </w:numPr>
              <w:rPr>
                <w:sz w:val="20"/>
                <w:szCs w:val="20"/>
              </w:rPr>
            </w:pPr>
            <w:r w:rsidRPr="00D9558E">
              <w:rPr>
                <w:sz w:val="20"/>
                <w:szCs w:val="20"/>
              </w:rPr>
              <w:t>January 2017</w:t>
            </w:r>
          </w:p>
        </w:tc>
        <w:tc>
          <w:tcPr>
            <w:tcW w:w="2126" w:type="dxa"/>
          </w:tcPr>
          <w:p w:rsidR="00D9558E" w:rsidRPr="00D9558E" w:rsidRDefault="00D9558E" w:rsidP="00FD14F8">
            <w:pPr>
              <w:pStyle w:val="H1"/>
              <w:numPr>
                <w:ilvl w:val="0"/>
                <w:numId w:val="0"/>
              </w:numPr>
              <w:rPr>
                <w:sz w:val="20"/>
                <w:szCs w:val="20"/>
              </w:rPr>
            </w:pPr>
            <w:r w:rsidRPr="00D9558E">
              <w:rPr>
                <w:sz w:val="20"/>
                <w:szCs w:val="20"/>
              </w:rPr>
              <w:t>85 675</w:t>
            </w:r>
          </w:p>
        </w:tc>
        <w:tc>
          <w:tcPr>
            <w:tcW w:w="1984" w:type="dxa"/>
          </w:tcPr>
          <w:p w:rsidR="00D9558E" w:rsidRPr="00D9558E" w:rsidRDefault="00D9558E" w:rsidP="00FD14F8">
            <w:pPr>
              <w:pStyle w:val="H1"/>
              <w:numPr>
                <w:ilvl w:val="0"/>
                <w:numId w:val="0"/>
              </w:numPr>
              <w:rPr>
                <w:sz w:val="20"/>
                <w:szCs w:val="20"/>
              </w:rPr>
            </w:pPr>
            <w:r w:rsidRPr="00D9558E">
              <w:rPr>
                <w:sz w:val="20"/>
                <w:szCs w:val="20"/>
              </w:rPr>
              <w:t>R47,443,249</w:t>
            </w:r>
          </w:p>
        </w:tc>
        <w:tc>
          <w:tcPr>
            <w:tcW w:w="2127" w:type="dxa"/>
          </w:tcPr>
          <w:p w:rsidR="00D9558E" w:rsidRPr="00D9558E" w:rsidRDefault="00D9558E" w:rsidP="00FD14F8">
            <w:pPr>
              <w:pStyle w:val="H1"/>
              <w:numPr>
                <w:ilvl w:val="0"/>
                <w:numId w:val="0"/>
              </w:numPr>
              <w:rPr>
                <w:sz w:val="20"/>
                <w:szCs w:val="20"/>
              </w:rPr>
            </w:pPr>
            <w:r w:rsidRPr="00D9558E">
              <w:rPr>
                <w:sz w:val="20"/>
                <w:szCs w:val="20"/>
              </w:rPr>
              <w:t>R2,372,162</w:t>
            </w:r>
          </w:p>
        </w:tc>
      </w:tr>
      <w:tr w:rsidR="00D9558E" w:rsidRPr="00263C9E" w:rsidTr="00D9558E">
        <w:trPr>
          <w:trHeight w:val="567"/>
        </w:trPr>
        <w:tc>
          <w:tcPr>
            <w:tcW w:w="2098" w:type="dxa"/>
          </w:tcPr>
          <w:p w:rsidR="00D9558E" w:rsidRPr="00D9558E" w:rsidRDefault="00D9558E" w:rsidP="00FD14F8">
            <w:pPr>
              <w:pStyle w:val="H1"/>
              <w:numPr>
                <w:ilvl w:val="0"/>
                <w:numId w:val="0"/>
              </w:numPr>
              <w:rPr>
                <w:sz w:val="20"/>
                <w:szCs w:val="20"/>
              </w:rPr>
            </w:pPr>
            <w:r w:rsidRPr="00D9558E">
              <w:rPr>
                <w:sz w:val="20"/>
                <w:szCs w:val="20"/>
              </w:rPr>
              <w:t>February 2017</w:t>
            </w:r>
          </w:p>
        </w:tc>
        <w:tc>
          <w:tcPr>
            <w:tcW w:w="2126" w:type="dxa"/>
          </w:tcPr>
          <w:p w:rsidR="00D9558E" w:rsidRPr="00D9558E" w:rsidRDefault="00D9558E" w:rsidP="00FD14F8">
            <w:pPr>
              <w:pStyle w:val="H1"/>
              <w:numPr>
                <w:ilvl w:val="0"/>
                <w:numId w:val="0"/>
              </w:numPr>
              <w:rPr>
                <w:sz w:val="20"/>
                <w:szCs w:val="20"/>
              </w:rPr>
            </w:pPr>
            <w:r w:rsidRPr="00D9558E">
              <w:rPr>
                <w:sz w:val="20"/>
                <w:szCs w:val="20"/>
              </w:rPr>
              <w:t>82 925</w:t>
            </w:r>
          </w:p>
        </w:tc>
        <w:tc>
          <w:tcPr>
            <w:tcW w:w="1984" w:type="dxa"/>
          </w:tcPr>
          <w:p w:rsidR="00D9558E" w:rsidRPr="00D9558E" w:rsidRDefault="00D9558E" w:rsidP="00FD14F8">
            <w:pPr>
              <w:pStyle w:val="H1"/>
              <w:numPr>
                <w:ilvl w:val="0"/>
                <w:numId w:val="0"/>
              </w:numPr>
              <w:rPr>
                <w:sz w:val="20"/>
                <w:szCs w:val="20"/>
              </w:rPr>
            </w:pPr>
            <w:r w:rsidRPr="00D9558E">
              <w:rPr>
                <w:sz w:val="20"/>
                <w:szCs w:val="20"/>
              </w:rPr>
              <w:t>R45,645,299</w:t>
            </w:r>
          </w:p>
        </w:tc>
        <w:tc>
          <w:tcPr>
            <w:tcW w:w="2127" w:type="dxa"/>
          </w:tcPr>
          <w:p w:rsidR="00D9558E" w:rsidRPr="00D9558E" w:rsidRDefault="00D9558E" w:rsidP="00FD14F8">
            <w:pPr>
              <w:pStyle w:val="H1"/>
              <w:numPr>
                <w:ilvl w:val="0"/>
                <w:numId w:val="0"/>
              </w:numPr>
              <w:rPr>
                <w:sz w:val="20"/>
                <w:szCs w:val="20"/>
              </w:rPr>
            </w:pPr>
            <w:r w:rsidRPr="00D9558E">
              <w:rPr>
                <w:sz w:val="20"/>
                <w:szCs w:val="20"/>
              </w:rPr>
              <w:t>R2,282,265</w:t>
            </w:r>
          </w:p>
        </w:tc>
      </w:tr>
      <w:tr w:rsidR="00D9558E" w:rsidRPr="00263C9E" w:rsidTr="00D9558E">
        <w:trPr>
          <w:trHeight w:val="567"/>
        </w:trPr>
        <w:tc>
          <w:tcPr>
            <w:tcW w:w="2098" w:type="dxa"/>
          </w:tcPr>
          <w:p w:rsidR="00D9558E" w:rsidRPr="00D9558E" w:rsidRDefault="00D9558E" w:rsidP="00FD14F8">
            <w:pPr>
              <w:pStyle w:val="H1"/>
              <w:numPr>
                <w:ilvl w:val="0"/>
                <w:numId w:val="0"/>
              </w:numPr>
              <w:rPr>
                <w:sz w:val="20"/>
                <w:szCs w:val="20"/>
              </w:rPr>
            </w:pPr>
            <w:r w:rsidRPr="00D9558E">
              <w:rPr>
                <w:sz w:val="20"/>
                <w:szCs w:val="20"/>
              </w:rPr>
              <w:t>March 2017</w:t>
            </w:r>
          </w:p>
        </w:tc>
        <w:tc>
          <w:tcPr>
            <w:tcW w:w="2126" w:type="dxa"/>
          </w:tcPr>
          <w:p w:rsidR="00D9558E" w:rsidRPr="00D9558E" w:rsidRDefault="00D9558E" w:rsidP="00FD14F8">
            <w:pPr>
              <w:pStyle w:val="H1"/>
              <w:numPr>
                <w:ilvl w:val="0"/>
                <w:numId w:val="0"/>
              </w:numPr>
              <w:rPr>
                <w:sz w:val="20"/>
                <w:szCs w:val="20"/>
              </w:rPr>
            </w:pPr>
            <w:r w:rsidRPr="00D9558E">
              <w:rPr>
                <w:sz w:val="20"/>
                <w:szCs w:val="20"/>
              </w:rPr>
              <w:t>80 375</w:t>
            </w:r>
          </w:p>
        </w:tc>
        <w:tc>
          <w:tcPr>
            <w:tcW w:w="1984" w:type="dxa"/>
          </w:tcPr>
          <w:p w:rsidR="00D9558E" w:rsidRPr="00D9558E" w:rsidRDefault="00D9558E" w:rsidP="00FD14F8">
            <w:pPr>
              <w:pStyle w:val="H1"/>
              <w:numPr>
                <w:ilvl w:val="0"/>
                <w:numId w:val="0"/>
              </w:numPr>
              <w:rPr>
                <w:sz w:val="20"/>
                <w:szCs w:val="20"/>
              </w:rPr>
            </w:pPr>
            <w:r w:rsidRPr="00D9558E">
              <w:rPr>
                <w:sz w:val="20"/>
                <w:szCs w:val="20"/>
              </w:rPr>
              <w:t>R44,203,251</w:t>
            </w:r>
          </w:p>
        </w:tc>
        <w:tc>
          <w:tcPr>
            <w:tcW w:w="2127" w:type="dxa"/>
          </w:tcPr>
          <w:p w:rsidR="00D9558E" w:rsidRPr="00D9558E" w:rsidRDefault="00D9558E" w:rsidP="00FD14F8">
            <w:pPr>
              <w:pStyle w:val="H1"/>
              <w:numPr>
                <w:ilvl w:val="0"/>
                <w:numId w:val="0"/>
              </w:numPr>
              <w:rPr>
                <w:sz w:val="20"/>
                <w:szCs w:val="20"/>
              </w:rPr>
            </w:pPr>
            <w:r w:rsidRPr="00D9558E">
              <w:rPr>
                <w:sz w:val="20"/>
                <w:szCs w:val="20"/>
              </w:rPr>
              <w:t>R2,210,162</w:t>
            </w:r>
          </w:p>
        </w:tc>
      </w:tr>
      <w:tr w:rsidR="00D9558E" w:rsidRPr="00263C9E" w:rsidTr="00D9558E">
        <w:trPr>
          <w:trHeight w:val="315"/>
        </w:trPr>
        <w:tc>
          <w:tcPr>
            <w:tcW w:w="2098" w:type="dxa"/>
            <w:shd w:val="clear" w:color="auto" w:fill="BFBFBF" w:themeFill="background1" w:themeFillShade="BF"/>
          </w:tcPr>
          <w:p w:rsidR="00D9558E" w:rsidRPr="00D9558E" w:rsidRDefault="00D9558E" w:rsidP="00FD14F8">
            <w:pPr>
              <w:pStyle w:val="H1"/>
              <w:numPr>
                <w:ilvl w:val="0"/>
                <w:numId w:val="0"/>
              </w:numPr>
              <w:spacing w:line="276" w:lineRule="auto"/>
              <w:rPr>
                <w:b/>
                <w:sz w:val="22"/>
                <w:szCs w:val="22"/>
              </w:rPr>
            </w:pPr>
            <w:r w:rsidRPr="00D9558E">
              <w:rPr>
                <w:b/>
                <w:sz w:val="22"/>
                <w:szCs w:val="22"/>
              </w:rPr>
              <w:t>TOTAL</w:t>
            </w:r>
          </w:p>
        </w:tc>
        <w:tc>
          <w:tcPr>
            <w:tcW w:w="2126" w:type="dxa"/>
            <w:shd w:val="clear" w:color="auto" w:fill="BFBFBF" w:themeFill="background1" w:themeFillShade="BF"/>
          </w:tcPr>
          <w:p w:rsidR="00D9558E" w:rsidRPr="00D9558E" w:rsidRDefault="00D9558E" w:rsidP="00FD14F8">
            <w:pPr>
              <w:pStyle w:val="H1"/>
              <w:numPr>
                <w:ilvl w:val="0"/>
                <w:numId w:val="0"/>
              </w:numPr>
              <w:spacing w:line="276" w:lineRule="auto"/>
              <w:rPr>
                <w:b/>
                <w:sz w:val="22"/>
                <w:szCs w:val="22"/>
              </w:rPr>
            </w:pPr>
          </w:p>
        </w:tc>
        <w:tc>
          <w:tcPr>
            <w:tcW w:w="1984" w:type="dxa"/>
            <w:shd w:val="clear" w:color="auto" w:fill="BFBFBF" w:themeFill="background1" w:themeFillShade="BF"/>
          </w:tcPr>
          <w:p w:rsidR="00D9558E" w:rsidRPr="00D9558E" w:rsidRDefault="00D9558E" w:rsidP="00FD14F8">
            <w:pPr>
              <w:pStyle w:val="H1"/>
              <w:numPr>
                <w:ilvl w:val="0"/>
                <w:numId w:val="0"/>
              </w:numPr>
              <w:spacing w:line="276" w:lineRule="auto"/>
              <w:rPr>
                <w:b/>
                <w:sz w:val="22"/>
                <w:szCs w:val="22"/>
              </w:rPr>
            </w:pPr>
          </w:p>
        </w:tc>
        <w:tc>
          <w:tcPr>
            <w:tcW w:w="2127" w:type="dxa"/>
            <w:shd w:val="clear" w:color="auto" w:fill="BFBFBF" w:themeFill="background1" w:themeFillShade="BF"/>
          </w:tcPr>
          <w:p w:rsidR="00D9558E" w:rsidRPr="00D9558E" w:rsidRDefault="00D9558E" w:rsidP="00FD14F8">
            <w:pPr>
              <w:pStyle w:val="H1"/>
              <w:numPr>
                <w:ilvl w:val="0"/>
                <w:numId w:val="0"/>
              </w:numPr>
              <w:spacing w:line="276" w:lineRule="auto"/>
              <w:rPr>
                <w:b/>
                <w:sz w:val="22"/>
                <w:szCs w:val="22"/>
              </w:rPr>
            </w:pPr>
            <w:r w:rsidRPr="00D9558E">
              <w:rPr>
                <w:b/>
                <w:sz w:val="22"/>
                <w:szCs w:val="22"/>
              </w:rPr>
              <w:t>R23,068,616</w:t>
            </w:r>
          </w:p>
        </w:tc>
      </w:tr>
    </w:tbl>
    <w:p w:rsidR="00263C9E" w:rsidRDefault="00263C9E" w:rsidP="00D9558E">
      <w:pPr>
        <w:pStyle w:val="H2"/>
        <w:numPr>
          <w:ilvl w:val="0"/>
          <w:numId w:val="0"/>
        </w:numPr>
        <w:tabs>
          <w:tab w:val="clear" w:pos="1134"/>
        </w:tabs>
        <w:spacing w:before="0" w:line="276" w:lineRule="auto"/>
        <w:ind w:left="851" w:hanging="851"/>
      </w:pPr>
    </w:p>
    <w:p w:rsidR="00263C9E" w:rsidRDefault="00263C9E" w:rsidP="00D9558E">
      <w:pPr>
        <w:pStyle w:val="H2"/>
        <w:numPr>
          <w:ilvl w:val="0"/>
          <w:numId w:val="0"/>
        </w:numPr>
        <w:tabs>
          <w:tab w:val="clear" w:pos="1134"/>
        </w:tabs>
        <w:spacing w:before="0" w:line="276" w:lineRule="auto"/>
        <w:ind w:left="567"/>
      </w:pPr>
      <w:r w:rsidRPr="00263C9E">
        <w:t xml:space="preserve">It must be noted that, before July 2016, the 5 per cent commission was inconsistently applied across government departments, as it was a departmental choice. The commission was only withheld from 62% of credit providers/debt collectors. </w:t>
      </w:r>
      <w:r w:rsidRPr="00263C9E">
        <w:br/>
        <w:t xml:space="preserve">Some departments did not deduct the 5 per cent, potentially in the mistaken belief that the forfeited commission would be applied by debt collectors to reduce employees’ debt. This is not the case; the 5 per cent is simply absorbed by the debt collectors, to the detriment of employees and the fiscus. </w:t>
      </w:r>
    </w:p>
    <w:p w:rsidR="00263C9E" w:rsidRPr="00263C9E" w:rsidRDefault="00263C9E" w:rsidP="00D9558E">
      <w:pPr>
        <w:pStyle w:val="H2"/>
        <w:numPr>
          <w:ilvl w:val="0"/>
          <w:numId w:val="0"/>
        </w:numPr>
        <w:tabs>
          <w:tab w:val="clear" w:pos="1134"/>
        </w:tabs>
        <w:spacing w:before="0" w:line="276" w:lineRule="auto"/>
        <w:ind w:left="567"/>
      </w:pPr>
      <w:r w:rsidRPr="00263C9E">
        <w:rPr>
          <w:bCs w:val="0"/>
          <w:iCs w:val="0"/>
        </w:rPr>
        <w:t>Q LINK has advised that as at the end of March 2017 it had realised over R140 million in savings for public servants. The savings are achieved mainly from EAOs against employees that have been terminated or amended due to irregularities.</w:t>
      </w:r>
      <w:r w:rsidRPr="00263C9E">
        <w:t> </w:t>
      </w:r>
    </w:p>
    <w:p w:rsidR="00263C9E" w:rsidRPr="00D9558E" w:rsidRDefault="00263C9E" w:rsidP="00D9558E">
      <w:pPr>
        <w:pStyle w:val="H1"/>
        <w:numPr>
          <w:ilvl w:val="0"/>
          <w:numId w:val="0"/>
        </w:numPr>
        <w:ind w:left="851" w:hanging="284"/>
        <w:rPr>
          <w:b/>
        </w:rPr>
      </w:pPr>
      <w:r w:rsidRPr="00D9558E">
        <w:rPr>
          <w:b/>
        </w:rPr>
        <w:t>Project value for money</w:t>
      </w:r>
    </w:p>
    <w:p w:rsidR="00263C9E" w:rsidRPr="00263C9E" w:rsidRDefault="00263C9E" w:rsidP="00893D9D">
      <w:pPr>
        <w:pStyle w:val="H2"/>
        <w:numPr>
          <w:ilvl w:val="0"/>
          <w:numId w:val="0"/>
        </w:numPr>
        <w:tabs>
          <w:tab w:val="clear" w:pos="1134"/>
        </w:tabs>
        <w:spacing w:before="0" w:line="276" w:lineRule="auto"/>
        <w:ind w:left="567"/>
        <w:rPr>
          <w:bCs w:val="0"/>
          <w:iCs w:val="0"/>
        </w:rPr>
      </w:pPr>
      <w:r w:rsidRPr="00263C9E">
        <w:rPr>
          <w:bCs w:val="0"/>
          <w:iCs w:val="0"/>
        </w:rPr>
        <w:t>The EAO service on offer from Q LINK comprises the following main components</w:t>
      </w:r>
      <w:r w:rsidR="00E070E2">
        <w:rPr>
          <w:bCs w:val="0"/>
          <w:iCs w:val="0"/>
        </w:rPr>
        <w:t>.</w:t>
      </w:r>
      <w:r w:rsidRPr="00263C9E">
        <w:rPr>
          <w:bCs w:val="0"/>
          <w:iCs w:val="0"/>
        </w:rPr>
        <w:br/>
      </w:r>
    </w:p>
    <w:p w:rsidR="00263C9E" w:rsidRPr="00263C9E" w:rsidRDefault="00263C9E" w:rsidP="00D9558E">
      <w:pPr>
        <w:pStyle w:val="H2"/>
        <w:numPr>
          <w:ilvl w:val="0"/>
          <w:numId w:val="0"/>
        </w:numPr>
        <w:tabs>
          <w:tab w:val="clear" w:pos="1134"/>
          <w:tab w:val="num" w:pos="2160"/>
        </w:tabs>
        <w:spacing w:before="0"/>
        <w:ind w:left="567"/>
        <w:rPr>
          <w:b/>
          <w:bCs w:val="0"/>
          <w:iCs w:val="0"/>
        </w:rPr>
      </w:pPr>
      <w:r w:rsidRPr="00263C9E">
        <w:rPr>
          <w:b/>
        </w:rPr>
        <w:t>Scrutinise and audit the following EAOs:</w:t>
      </w:r>
    </w:p>
    <w:p w:rsidR="00263C9E" w:rsidRPr="00263C9E" w:rsidRDefault="00263C9E" w:rsidP="00893D9D">
      <w:pPr>
        <w:pStyle w:val="H2"/>
        <w:numPr>
          <w:ilvl w:val="1"/>
          <w:numId w:val="24"/>
        </w:numPr>
        <w:spacing w:before="0" w:line="276" w:lineRule="auto"/>
        <w:ind w:hanging="873"/>
      </w:pPr>
      <w:r w:rsidRPr="00263C9E">
        <w:t>All EAOs currently on the payroll</w:t>
      </w:r>
    </w:p>
    <w:p w:rsidR="00263C9E" w:rsidRPr="00263C9E" w:rsidRDefault="00263C9E" w:rsidP="00D9558E">
      <w:pPr>
        <w:pStyle w:val="H2"/>
        <w:numPr>
          <w:ilvl w:val="1"/>
          <w:numId w:val="24"/>
        </w:numPr>
        <w:spacing w:line="276" w:lineRule="auto"/>
        <w:ind w:hanging="873"/>
      </w:pPr>
      <w:r w:rsidRPr="00263C9E">
        <w:lastRenderedPageBreak/>
        <w:t>All new EAOs received on an on-going basis</w:t>
      </w:r>
    </w:p>
    <w:p w:rsidR="00263C9E" w:rsidRPr="00263C9E" w:rsidRDefault="00263C9E" w:rsidP="00D9558E">
      <w:pPr>
        <w:pStyle w:val="H2"/>
        <w:numPr>
          <w:ilvl w:val="0"/>
          <w:numId w:val="23"/>
        </w:numPr>
        <w:tabs>
          <w:tab w:val="clear" w:pos="1134"/>
        </w:tabs>
        <w:spacing w:line="276" w:lineRule="auto"/>
        <w:ind w:left="1134" w:hanging="567"/>
      </w:pPr>
      <w:r w:rsidRPr="00263C9E">
        <w:t>Historical EAOs paid up in the past 5 years will be audited and all identified irregularities will be challenged.</w:t>
      </w:r>
    </w:p>
    <w:p w:rsidR="00263C9E" w:rsidRPr="00263C9E" w:rsidRDefault="00263C9E" w:rsidP="00263C9E">
      <w:pPr>
        <w:pStyle w:val="H1"/>
        <w:numPr>
          <w:ilvl w:val="0"/>
          <w:numId w:val="0"/>
        </w:numPr>
        <w:ind w:left="851"/>
      </w:pPr>
    </w:p>
    <w:p w:rsidR="00263C9E" w:rsidRPr="00263C9E" w:rsidRDefault="00263C9E" w:rsidP="00D9558E">
      <w:pPr>
        <w:pStyle w:val="H2"/>
        <w:numPr>
          <w:ilvl w:val="0"/>
          <w:numId w:val="0"/>
        </w:numPr>
        <w:tabs>
          <w:tab w:val="clear" w:pos="1134"/>
        </w:tabs>
        <w:spacing w:before="0"/>
        <w:ind w:left="851" w:hanging="284"/>
        <w:rPr>
          <w:b/>
        </w:rPr>
      </w:pPr>
      <w:r w:rsidRPr="00263C9E">
        <w:rPr>
          <w:b/>
        </w:rPr>
        <w:t xml:space="preserve">Establishment of a Central Collector Code File </w:t>
      </w:r>
    </w:p>
    <w:p w:rsidR="00263C9E" w:rsidRPr="00263C9E" w:rsidRDefault="00263C9E" w:rsidP="00D9558E">
      <w:pPr>
        <w:pStyle w:val="H2"/>
        <w:numPr>
          <w:ilvl w:val="0"/>
          <w:numId w:val="0"/>
        </w:numPr>
        <w:tabs>
          <w:tab w:val="clear" w:pos="1134"/>
        </w:tabs>
        <w:spacing w:line="276" w:lineRule="auto"/>
        <w:ind w:left="567"/>
      </w:pPr>
      <w:r w:rsidRPr="00263C9E">
        <w:t xml:space="preserve">To accurately manage EAO deductions, and reduce the opportunity for fraud through fictitious debt collector codes under the guise of EAOs, the deduction code file maintenance on PERSAL has been centralised. </w:t>
      </w:r>
      <w:r w:rsidRPr="00263C9E">
        <w:rPr>
          <w:lang w:eastAsia="en-ZA"/>
        </w:rPr>
        <w:t xml:space="preserve">Prior to this, the dedication code file maintenance was handled on a decentralised basis, implying that a collector could potentially have 176 different codes on PERSAL. </w:t>
      </w:r>
    </w:p>
    <w:p w:rsidR="00263C9E" w:rsidRPr="00263C9E" w:rsidRDefault="00263C9E" w:rsidP="00D9558E">
      <w:pPr>
        <w:pStyle w:val="H2"/>
        <w:numPr>
          <w:ilvl w:val="0"/>
          <w:numId w:val="0"/>
        </w:numPr>
        <w:spacing w:line="276" w:lineRule="auto"/>
        <w:ind w:left="567"/>
      </w:pPr>
      <w:r w:rsidRPr="00263C9E">
        <w:t>Through this exercise, the number of collectors codes were reduced from 138 449 to the current 2656 codes on PERSAL.</w:t>
      </w:r>
    </w:p>
    <w:p w:rsidR="00263C9E" w:rsidRPr="00263C9E" w:rsidRDefault="00263C9E" w:rsidP="00263C9E">
      <w:pPr>
        <w:pStyle w:val="H1"/>
        <w:numPr>
          <w:ilvl w:val="0"/>
          <w:numId w:val="0"/>
        </w:numPr>
        <w:ind w:left="851"/>
      </w:pPr>
    </w:p>
    <w:p w:rsidR="00263C9E" w:rsidRPr="00263C9E" w:rsidRDefault="00263C9E" w:rsidP="00893D9D">
      <w:pPr>
        <w:pStyle w:val="H2"/>
        <w:numPr>
          <w:ilvl w:val="0"/>
          <w:numId w:val="0"/>
        </w:numPr>
        <w:tabs>
          <w:tab w:val="clear" w:pos="1134"/>
        </w:tabs>
        <w:spacing w:before="0" w:line="276" w:lineRule="auto"/>
        <w:ind w:left="567"/>
        <w:rPr>
          <w:b/>
        </w:rPr>
      </w:pPr>
      <w:r w:rsidRPr="00263C9E">
        <w:rPr>
          <w:b/>
        </w:rPr>
        <w:t>Implementation of the correct practice in respect of the 5 per cent commission</w:t>
      </w:r>
    </w:p>
    <w:p w:rsidR="00263C9E" w:rsidRPr="00263C9E" w:rsidRDefault="00E070E2" w:rsidP="00893D9D">
      <w:pPr>
        <w:pStyle w:val="H2"/>
        <w:numPr>
          <w:ilvl w:val="0"/>
          <w:numId w:val="0"/>
        </w:numPr>
        <w:spacing w:line="276" w:lineRule="auto"/>
        <w:ind w:left="567" w:hanging="567"/>
      </w:pPr>
      <w:r>
        <w:tab/>
      </w:r>
      <w:r w:rsidR="00263C9E" w:rsidRPr="00263C9E">
        <w:t xml:space="preserve">The employer is entitled to deduct an administration fee of up to 5 per cent of each instalment they pay over to the debt collector. This 5 per cent must be deducted from the instalment payable to the judgment creditor. However, the judgment creditor must still credit the debtor’s balance with the full amount of the instalment.  This did not always happen, and consistent implementation is now being ensured. </w:t>
      </w:r>
    </w:p>
    <w:p w:rsidR="00263C9E" w:rsidRPr="00263C9E" w:rsidRDefault="00263C9E" w:rsidP="00263C9E">
      <w:pPr>
        <w:pStyle w:val="H2"/>
        <w:numPr>
          <w:ilvl w:val="0"/>
          <w:numId w:val="0"/>
        </w:numPr>
        <w:ind w:left="567"/>
        <w:rPr>
          <w:b/>
        </w:rPr>
      </w:pPr>
    </w:p>
    <w:p w:rsidR="00263C9E" w:rsidRPr="00263C9E" w:rsidRDefault="00263C9E" w:rsidP="00E070E2">
      <w:pPr>
        <w:pStyle w:val="H2"/>
        <w:numPr>
          <w:ilvl w:val="0"/>
          <w:numId w:val="0"/>
        </w:numPr>
        <w:tabs>
          <w:tab w:val="clear" w:pos="1134"/>
        </w:tabs>
        <w:spacing w:before="0"/>
        <w:ind w:left="851" w:hanging="284"/>
        <w:rPr>
          <w:b/>
        </w:rPr>
      </w:pPr>
      <w:r w:rsidRPr="00263C9E">
        <w:rPr>
          <w:b/>
        </w:rPr>
        <w:t xml:space="preserve">Training of payroll and HR personnel </w:t>
      </w:r>
    </w:p>
    <w:p w:rsidR="00263C9E" w:rsidRPr="00263C9E" w:rsidRDefault="00263C9E" w:rsidP="00893D9D">
      <w:pPr>
        <w:pStyle w:val="H2"/>
        <w:numPr>
          <w:ilvl w:val="0"/>
          <w:numId w:val="0"/>
        </w:numPr>
        <w:tabs>
          <w:tab w:val="clear" w:pos="1134"/>
        </w:tabs>
        <w:spacing w:before="0" w:line="276" w:lineRule="auto"/>
        <w:ind w:left="567"/>
      </w:pPr>
      <w:r w:rsidRPr="00263C9E">
        <w:t>Finally, to ensure knowledge and skills transfer, the Q LINK project involves the training of payroll administrators and HR personnel. The training will focus on increasing knowledge and understanding of the EAO process amongst HR officials and payroll administrators. Going forward, curbing these abusive practises will rely significantly on their diligence.</w:t>
      </w:r>
    </w:p>
    <w:p w:rsidR="00544702" w:rsidRPr="00263C9E" w:rsidRDefault="00544702" w:rsidP="00FA05FE">
      <w:pPr>
        <w:pStyle w:val="ListParagraph"/>
        <w:ind w:left="360"/>
        <w:jc w:val="both"/>
        <w:rPr>
          <w:rFonts w:ascii="Arial" w:hAnsi="Arial" w:cs="Arial"/>
          <w:b/>
          <w:sz w:val="24"/>
          <w:szCs w:val="24"/>
        </w:rPr>
      </w:pPr>
    </w:p>
    <w:p w:rsidR="00544702" w:rsidRDefault="00544702" w:rsidP="00FA05FE">
      <w:pPr>
        <w:pStyle w:val="ListParagraph"/>
        <w:ind w:left="360"/>
        <w:jc w:val="both"/>
        <w:rPr>
          <w:rFonts w:ascii="Arial" w:hAnsi="Arial" w:cs="Arial"/>
          <w:b/>
          <w:sz w:val="24"/>
        </w:rPr>
      </w:pPr>
    </w:p>
    <w:p w:rsidR="00FA05FE" w:rsidRPr="003208ED" w:rsidRDefault="00FA05FE" w:rsidP="00FA05FE">
      <w:pPr>
        <w:pStyle w:val="ListParagraph"/>
        <w:numPr>
          <w:ilvl w:val="0"/>
          <w:numId w:val="1"/>
        </w:numPr>
        <w:jc w:val="both"/>
        <w:rPr>
          <w:rFonts w:ascii="Arial" w:hAnsi="Arial" w:cs="Arial"/>
          <w:b/>
          <w:i/>
          <w:sz w:val="24"/>
          <w:szCs w:val="24"/>
        </w:rPr>
      </w:pPr>
      <w:r w:rsidRPr="003208ED">
        <w:rPr>
          <w:rFonts w:ascii="Arial" w:eastAsia="Times New Roman" w:hAnsi="Arial" w:cs="Arial"/>
          <w:b/>
          <w:i/>
          <w:sz w:val="24"/>
          <w:szCs w:val="24"/>
        </w:rPr>
        <w:t>WHEN IS THE NEW IFMS GOING TO BE IMPLEMENTED AND STATUS UPDATE</w:t>
      </w:r>
    </w:p>
    <w:p w:rsidR="00251493" w:rsidRPr="00810F60" w:rsidRDefault="00251493" w:rsidP="00263C9E">
      <w:pPr>
        <w:pStyle w:val="Heading1"/>
        <w:ind w:firstLine="357"/>
        <w:rPr>
          <w:rFonts w:ascii="Arial" w:eastAsia="Times New Roman" w:hAnsi="Arial" w:cs="Arial"/>
          <w:b/>
          <w:bCs/>
          <w:color w:val="auto"/>
          <w:sz w:val="24"/>
          <w:szCs w:val="24"/>
        </w:rPr>
      </w:pPr>
      <w:r w:rsidRPr="00810F60">
        <w:rPr>
          <w:rFonts w:ascii="Arial" w:eastAsia="Times New Roman" w:hAnsi="Arial" w:cs="Arial"/>
          <w:b/>
          <w:bCs/>
          <w:color w:val="auto"/>
          <w:sz w:val="24"/>
          <w:szCs w:val="24"/>
        </w:rPr>
        <w:t>Strategic Overview - status</w:t>
      </w:r>
    </w:p>
    <w:p w:rsidR="00251493" w:rsidRPr="00810F60" w:rsidRDefault="00251493" w:rsidP="009C1A98">
      <w:pPr>
        <w:pStyle w:val="ListParagraph"/>
        <w:numPr>
          <w:ilvl w:val="0"/>
          <w:numId w:val="13"/>
        </w:numPr>
        <w:tabs>
          <w:tab w:val="left" w:pos="851"/>
        </w:tabs>
        <w:spacing w:before="120" w:after="120" w:line="240" w:lineRule="auto"/>
        <w:ind w:left="357" w:firstLine="69"/>
        <w:contextualSpacing w:val="0"/>
        <w:jc w:val="both"/>
        <w:rPr>
          <w:rFonts w:ascii="Arial" w:hAnsi="Arial" w:cs="Arial"/>
          <w:sz w:val="24"/>
          <w:szCs w:val="24"/>
        </w:rPr>
      </w:pPr>
      <w:r w:rsidRPr="00810F60">
        <w:rPr>
          <w:rFonts w:ascii="Arial" w:hAnsi="Arial" w:cs="Arial"/>
          <w:sz w:val="24"/>
          <w:szCs w:val="24"/>
        </w:rPr>
        <w:t>Software licenses purchased and planning for implementation has begun</w:t>
      </w:r>
      <w:r>
        <w:rPr>
          <w:rFonts w:ascii="Arial" w:hAnsi="Arial" w:cs="Arial"/>
          <w:sz w:val="24"/>
          <w:szCs w:val="24"/>
        </w:rPr>
        <w:t>;</w:t>
      </w:r>
    </w:p>
    <w:p w:rsidR="00251493" w:rsidRPr="00810F60" w:rsidRDefault="00251493" w:rsidP="009C1A98">
      <w:pPr>
        <w:pStyle w:val="ListParagraph"/>
        <w:numPr>
          <w:ilvl w:val="0"/>
          <w:numId w:val="13"/>
        </w:numPr>
        <w:tabs>
          <w:tab w:val="left" w:pos="851"/>
        </w:tabs>
        <w:spacing w:before="120" w:after="120" w:line="240" w:lineRule="auto"/>
        <w:ind w:left="851" w:hanging="425"/>
        <w:contextualSpacing w:val="0"/>
        <w:jc w:val="both"/>
        <w:rPr>
          <w:rFonts w:ascii="Arial" w:hAnsi="Arial" w:cs="Arial"/>
          <w:sz w:val="24"/>
          <w:szCs w:val="24"/>
        </w:rPr>
      </w:pPr>
      <w:r w:rsidRPr="00810F60">
        <w:rPr>
          <w:rFonts w:ascii="Arial" w:hAnsi="Arial" w:cs="Arial"/>
          <w:sz w:val="24"/>
          <w:szCs w:val="24"/>
        </w:rPr>
        <w:t>Service providers for blueprinting have been contracted, with Oracle Corporation (South Africa) providing quality assurance for the design</w:t>
      </w:r>
      <w:r>
        <w:rPr>
          <w:rFonts w:ascii="Arial" w:hAnsi="Arial" w:cs="Arial"/>
          <w:sz w:val="24"/>
          <w:szCs w:val="24"/>
        </w:rPr>
        <w:t>;</w:t>
      </w:r>
    </w:p>
    <w:p w:rsidR="00251493" w:rsidRPr="00810F60" w:rsidRDefault="00251493" w:rsidP="009C1A98">
      <w:pPr>
        <w:pStyle w:val="ListParagraph"/>
        <w:numPr>
          <w:ilvl w:val="0"/>
          <w:numId w:val="13"/>
        </w:numPr>
        <w:tabs>
          <w:tab w:val="left" w:pos="851"/>
        </w:tabs>
        <w:spacing w:before="120" w:after="120" w:line="240" w:lineRule="auto"/>
        <w:ind w:left="851" w:hanging="425"/>
        <w:contextualSpacing w:val="0"/>
        <w:jc w:val="both"/>
        <w:rPr>
          <w:rFonts w:ascii="Arial" w:hAnsi="Arial" w:cs="Arial"/>
          <w:sz w:val="24"/>
          <w:szCs w:val="24"/>
        </w:rPr>
      </w:pPr>
      <w:r w:rsidRPr="00810F60">
        <w:rPr>
          <w:rFonts w:ascii="Arial" w:hAnsi="Arial" w:cs="Arial"/>
          <w:sz w:val="24"/>
          <w:szCs w:val="24"/>
        </w:rPr>
        <w:lastRenderedPageBreak/>
        <w:t>A Design Authority is presently being established by the IFMS team, to play the role of custodian for all intellectual products relating to solution design and compliance with the solution architecture endorsed by Cabine</w:t>
      </w:r>
      <w:r>
        <w:rPr>
          <w:rFonts w:ascii="Arial" w:hAnsi="Arial" w:cs="Arial"/>
          <w:sz w:val="24"/>
          <w:szCs w:val="24"/>
        </w:rPr>
        <w:t>t; and</w:t>
      </w:r>
    </w:p>
    <w:p w:rsidR="00251493" w:rsidRPr="00810F60" w:rsidRDefault="00251493" w:rsidP="009C1A98">
      <w:pPr>
        <w:pStyle w:val="ListParagraph"/>
        <w:numPr>
          <w:ilvl w:val="0"/>
          <w:numId w:val="13"/>
        </w:numPr>
        <w:tabs>
          <w:tab w:val="left" w:pos="851"/>
        </w:tabs>
        <w:spacing w:before="120" w:after="120" w:line="240" w:lineRule="auto"/>
        <w:ind w:left="851" w:hanging="425"/>
        <w:contextualSpacing w:val="0"/>
        <w:jc w:val="both"/>
        <w:rPr>
          <w:rFonts w:ascii="Arial" w:hAnsi="Arial" w:cs="Arial"/>
          <w:sz w:val="24"/>
          <w:szCs w:val="24"/>
        </w:rPr>
      </w:pPr>
      <w:r w:rsidRPr="00810F60">
        <w:rPr>
          <w:rFonts w:ascii="Arial" w:hAnsi="Arial" w:cs="Arial"/>
          <w:sz w:val="24"/>
          <w:szCs w:val="24"/>
        </w:rPr>
        <w:t>The baseline programme plan has been amended to include pilot sites (NT and DPSA) for conducting pre-implementations – for testing prior to condu</w:t>
      </w:r>
      <w:r>
        <w:rPr>
          <w:rFonts w:ascii="Arial" w:hAnsi="Arial" w:cs="Arial"/>
          <w:sz w:val="24"/>
          <w:szCs w:val="24"/>
        </w:rPr>
        <w:t>cting lead site implementations.</w:t>
      </w:r>
    </w:p>
    <w:p w:rsidR="00251493" w:rsidRPr="00810F60" w:rsidRDefault="00251493" w:rsidP="00497237">
      <w:pPr>
        <w:pStyle w:val="Heading1"/>
        <w:ind w:firstLine="426"/>
        <w:rPr>
          <w:rFonts w:ascii="Arial" w:eastAsia="Times New Roman" w:hAnsi="Arial" w:cs="Arial"/>
          <w:b/>
          <w:bCs/>
          <w:color w:val="auto"/>
          <w:sz w:val="24"/>
          <w:szCs w:val="24"/>
        </w:rPr>
      </w:pPr>
      <w:r w:rsidRPr="00810F60">
        <w:rPr>
          <w:rFonts w:ascii="Arial" w:eastAsia="Times New Roman" w:hAnsi="Arial" w:cs="Arial"/>
          <w:b/>
          <w:bCs/>
          <w:color w:val="auto"/>
          <w:sz w:val="24"/>
          <w:szCs w:val="24"/>
        </w:rPr>
        <w:t xml:space="preserve">Present Activities </w:t>
      </w:r>
    </w:p>
    <w:p w:rsidR="00251493" w:rsidRPr="00810F60" w:rsidRDefault="00251493" w:rsidP="008B64DF">
      <w:pPr>
        <w:pStyle w:val="ListParagraph"/>
        <w:numPr>
          <w:ilvl w:val="0"/>
          <w:numId w:val="13"/>
        </w:numPr>
        <w:spacing w:before="120" w:after="120" w:line="240" w:lineRule="auto"/>
        <w:ind w:left="851" w:hanging="425"/>
        <w:contextualSpacing w:val="0"/>
        <w:jc w:val="both"/>
        <w:rPr>
          <w:rFonts w:ascii="Arial" w:hAnsi="Arial" w:cs="Arial"/>
          <w:sz w:val="24"/>
          <w:szCs w:val="24"/>
        </w:rPr>
      </w:pPr>
      <w:r w:rsidRPr="00810F60">
        <w:rPr>
          <w:rFonts w:ascii="Arial" w:hAnsi="Arial" w:cs="Arial"/>
          <w:sz w:val="24"/>
          <w:szCs w:val="24"/>
        </w:rPr>
        <w:t xml:space="preserve">Consideration is being given to the hardware requirements for </w:t>
      </w:r>
      <w:r w:rsidR="00207051">
        <w:rPr>
          <w:rFonts w:ascii="Arial" w:hAnsi="Arial" w:cs="Arial"/>
          <w:sz w:val="24"/>
          <w:szCs w:val="24"/>
        </w:rPr>
        <w:t xml:space="preserve">completing blueprinting and </w:t>
      </w:r>
      <w:r w:rsidRPr="00810F60">
        <w:rPr>
          <w:rFonts w:ascii="Arial" w:hAnsi="Arial" w:cs="Arial"/>
          <w:sz w:val="24"/>
          <w:szCs w:val="24"/>
        </w:rPr>
        <w:t>possibly software deployment to pilot sites</w:t>
      </w:r>
      <w:r>
        <w:rPr>
          <w:rFonts w:ascii="Arial" w:hAnsi="Arial" w:cs="Arial"/>
          <w:sz w:val="24"/>
          <w:szCs w:val="24"/>
        </w:rPr>
        <w:t>;</w:t>
      </w:r>
    </w:p>
    <w:p w:rsidR="00251493" w:rsidRPr="00810F60" w:rsidRDefault="00251493" w:rsidP="008B64DF">
      <w:pPr>
        <w:pStyle w:val="ListParagraph"/>
        <w:numPr>
          <w:ilvl w:val="0"/>
          <w:numId w:val="13"/>
        </w:numPr>
        <w:spacing w:before="120" w:after="120" w:line="240" w:lineRule="auto"/>
        <w:ind w:left="851" w:hanging="425"/>
        <w:contextualSpacing w:val="0"/>
        <w:jc w:val="both"/>
        <w:rPr>
          <w:rFonts w:ascii="Arial" w:hAnsi="Arial" w:cs="Arial"/>
          <w:sz w:val="24"/>
          <w:szCs w:val="24"/>
        </w:rPr>
      </w:pPr>
      <w:r w:rsidRPr="00810F60">
        <w:rPr>
          <w:rFonts w:ascii="Arial" w:hAnsi="Arial" w:cs="Arial"/>
          <w:sz w:val="24"/>
          <w:szCs w:val="24"/>
        </w:rPr>
        <w:t>SITA, as the technology partner, is presently taking the necessary steps to ensure that the required cloud infrastructure will be available for deploying software to lead sites, in alignment with the adjusted programme plan</w:t>
      </w:r>
      <w:r>
        <w:rPr>
          <w:rFonts w:ascii="Arial" w:hAnsi="Arial" w:cs="Arial"/>
          <w:sz w:val="24"/>
          <w:szCs w:val="24"/>
        </w:rPr>
        <w:t>;</w:t>
      </w:r>
    </w:p>
    <w:p w:rsidR="00251493" w:rsidRPr="00810F60" w:rsidRDefault="00251493" w:rsidP="008B64DF">
      <w:pPr>
        <w:pStyle w:val="ListParagraph"/>
        <w:numPr>
          <w:ilvl w:val="0"/>
          <w:numId w:val="13"/>
        </w:numPr>
        <w:spacing w:before="120" w:after="120" w:line="240" w:lineRule="auto"/>
        <w:ind w:left="851" w:hanging="425"/>
        <w:contextualSpacing w:val="0"/>
        <w:jc w:val="both"/>
        <w:rPr>
          <w:rFonts w:ascii="Arial" w:hAnsi="Arial" w:cs="Arial"/>
          <w:sz w:val="24"/>
          <w:szCs w:val="24"/>
        </w:rPr>
      </w:pPr>
      <w:r w:rsidRPr="00810F60">
        <w:rPr>
          <w:rFonts w:ascii="Arial" w:hAnsi="Arial" w:cs="Arial"/>
          <w:sz w:val="24"/>
          <w:szCs w:val="24"/>
        </w:rPr>
        <w:t>The Business Owners Committee (BOC) has been established with the purpose of aligning HR, Financial Management and SCM policies and procedures with those of the software recently acquired. The product of these analyses will then be used as inputs to consult and make the necessary changes, in order to render the system ready to deploy. Direct consultations with the Office of the Auditor-General and other stakeholders will be necessary, in order to systematically conduct the transition of systems, with concomitant introduction of speci</w:t>
      </w:r>
      <w:r>
        <w:rPr>
          <w:rFonts w:ascii="Arial" w:hAnsi="Arial" w:cs="Arial"/>
          <w:sz w:val="24"/>
          <w:szCs w:val="24"/>
        </w:rPr>
        <w:t>fic financial management policy;</w:t>
      </w:r>
      <w:r w:rsidR="00CF4730">
        <w:rPr>
          <w:rFonts w:ascii="Arial" w:hAnsi="Arial" w:cs="Arial"/>
          <w:sz w:val="24"/>
          <w:szCs w:val="24"/>
        </w:rPr>
        <w:t xml:space="preserve"> </w:t>
      </w:r>
    </w:p>
    <w:p w:rsidR="00251493" w:rsidRPr="00810F60" w:rsidRDefault="00251493" w:rsidP="008B64DF">
      <w:pPr>
        <w:pStyle w:val="ListParagraph"/>
        <w:numPr>
          <w:ilvl w:val="0"/>
          <w:numId w:val="13"/>
        </w:numPr>
        <w:spacing w:before="120" w:after="120" w:line="240" w:lineRule="auto"/>
        <w:ind w:left="851" w:hanging="425"/>
        <w:contextualSpacing w:val="0"/>
        <w:jc w:val="both"/>
        <w:rPr>
          <w:rFonts w:ascii="Arial" w:hAnsi="Arial" w:cs="Arial"/>
          <w:sz w:val="24"/>
          <w:szCs w:val="24"/>
        </w:rPr>
      </w:pPr>
      <w:r w:rsidRPr="00810F60">
        <w:rPr>
          <w:rFonts w:ascii="Arial" w:hAnsi="Arial" w:cs="Arial"/>
          <w:sz w:val="24"/>
          <w:szCs w:val="24"/>
        </w:rPr>
        <w:t>Teams are being on-boarded for purposes of conducting the blueprinting exercise</w:t>
      </w:r>
      <w:r w:rsidR="009C1A98">
        <w:rPr>
          <w:rFonts w:ascii="Arial" w:hAnsi="Arial" w:cs="Arial"/>
          <w:sz w:val="24"/>
          <w:szCs w:val="24"/>
        </w:rPr>
        <w:t>;</w:t>
      </w:r>
    </w:p>
    <w:p w:rsidR="00251493" w:rsidRPr="00810F60" w:rsidRDefault="00251493" w:rsidP="008B64DF">
      <w:pPr>
        <w:pStyle w:val="ListParagraph"/>
        <w:numPr>
          <w:ilvl w:val="0"/>
          <w:numId w:val="13"/>
        </w:numPr>
        <w:spacing w:before="120" w:after="120" w:line="276" w:lineRule="auto"/>
        <w:ind w:left="851" w:hanging="425"/>
        <w:contextualSpacing w:val="0"/>
        <w:jc w:val="both"/>
        <w:rPr>
          <w:rFonts w:ascii="Arial" w:hAnsi="Arial" w:cs="Arial"/>
          <w:sz w:val="24"/>
          <w:szCs w:val="24"/>
        </w:rPr>
      </w:pPr>
      <w:r w:rsidRPr="00810F60">
        <w:rPr>
          <w:rFonts w:ascii="Arial" w:hAnsi="Arial" w:cs="Arial"/>
          <w:sz w:val="24"/>
          <w:szCs w:val="24"/>
        </w:rPr>
        <w:t>Preparatory workshops are being held to clarify the engagement between the range of service providers and to establish the appropriate governance procedures coordinated by the IFMS Programme Management Office (PMO)</w:t>
      </w:r>
      <w:r>
        <w:rPr>
          <w:rFonts w:ascii="Arial" w:hAnsi="Arial" w:cs="Arial"/>
          <w:sz w:val="24"/>
          <w:szCs w:val="24"/>
        </w:rPr>
        <w:t>;</w:t>
      </w:r>
    </w:p>
    <w:p w:rsidR="00251493" w:rsidRPr="00810F60" w:rsidRDefault="00251493" w:rsidP="008B64DF">
      <w:pPr>
        <w:pStyle w:val="ListParagraph"/>
        <w:numPr>
          <w:ilvl w:val="0"/>
          <w:numId w:val="13"/>
        </w:numPr>
        <w:spacing w:before="120" w:after="120" w:line="276" w:lineRule="auto"/>
        <w:ind w:left="851" w:hanging="425"/>
        <w:contextualSpacing w:val="0"/>
        <w:jc w:val="both"/>
        <w:rPr>
          <w:rFonts w:ascii="Arial" w:hAnsi="Arial" w:cs="Arial"/>
          <w:sz w:val="24"/>
          <w:szCs w:val="24"/>
        </w:rPr>
      </w:pPr>
      <w:r w:rsidRPr="00810F60">
        <w:rPr>
          <w:rFonts w:ascii="Arial" w:hAnsi="Arial" w:cs="Arial"/>
          <w:sz w:val="24"/>
          <w:szCs w:val="24"/>
        </w:rPr>
        <w:t>The team is presently considering the requirements for acquiring the services of software implementation partners, together with logistics relating to management of teams in the Eastern and Western Cape (location of current lead-site departments)</w:t>
      </w:r>
      <w:r>
        <w:rPr>
          <w:rFonts w:ascii="Arial" w:hAnsi="Arial" w:cs="Arial"/>
          <w:sz w:val="24"/>
          <w:szCs w:val="24"/>
        </w:rPr>
        <w:t>; and</w:t>
      </w:r>
    </w:p>
    <w:p w:rsidR="00251493" w:rsidRPr="00810F60" w:rsidRDefault="00251493" w:rsidP="008B64DF">
      <w:pPr>
        <w:pStyle w:val="ListParagraph"/>
        <w:numPr>
          <w:ilvl w:val="0"/>
          <w:numId w:val="13"/>
        </w:numPr>
        <w:spacing w:before="120" w:after="120" w:line="276" w:lineRule="auto"/>
        <w:ind w:left="851" w:hanging="425"/>
        <w:contextualSpacing w:val="0"/>
        <w:jc w:val="both"/>
        <w:rPr>
          <w:rFonts w:ascii="Arial" w:hAnsi="Arial" w:cs="Arial"/>
          <w:sz w:val="24"/>
          <w:szCs w:val="24"/>
        </w:rPr>
      </w:pPr>
      <w:r w:rsidRPr="00810F60">
        <w:rPr>
          <w:rFonts w:ascii="Arial" w:hAnsi="Arial" w:cs="Arial"/>
          <w:sz w:val="24"/>
          <w:szCs w:val="24"/>
        </w:rPr>
        <w:t>Final discussions with lead sites will be concluded over the next few months, to conclude arrangements relating to costs, infrastructure requirements and change management (both IT and financial management processes)</w:t>
      </w:r>
      <w:r>
        <w:rPr>
          <w:rFonts w:ascii="Arial" w:hAnsi="Arial" w:cs="Arial"/>
          <w:sz w:val="24"/>
          <w:szCs w:val="24"/>
        </w:rPr>
        <w:t>.</w:t>
      </w:r>
      <w:r w:rsidRPr="00810F60">
        <w:rPr>
          <w:rFonts w:ascii="Arial" w:hAnsi="Arial" w:cs="Arial"/>
          <w:sz w:val="24"/>
          <w:szCs w:val="24"/>
        </w:rPr>
        <w:t xml:space="preserve"> </w:t>
      </w:r>
    </w:p>
    <w:p w:rsidR="00251493" w:rsidRPr="00810F60" w:rsidRDefault="00251493" w:rsidP="009C1A98">
      <w:pPr>
        <w:pStyle w:val="Heading1"/>
        <w:spacing w:line="276" w:lineRule="auto"/>
        <w:ind w:firstLine="426"/>
        <w:rPr>
          <w:rFonts w:ascii="Arial" w:eastAsia="Times New Roman" w:hAnsi="Arial" w:cs="Arial"/>
          <w:b/>
          <w:bCs/>
          <w:color w:val="auto"/>
          <w:sz w:val="24"/>
          <w:szCs w:val="24"/>
        </w:rPr>
      </w:pPr>
      <w:r w:rsidRPr="00810F60">
        <w:rPr>
          <w:rFonts w:ascii="Arial" w:eastAsia="Times New Roman" w:hAnsi="Arial" w:cs="Arial"/>
          <w:b/>
          <w:bCs/>
          <w:color w:val="auto"/>
          <w:sz w:val="24"/>
          <w:szCs w:val="24"/>
        </w:rPr>
        <w:t>Key Dates</w:t>
      </w:r>
    </w:p>
    <w:p w:rsidR="00251493" w:rsidRPr="00810F60" w:rsidRDefault="00251493" w:rsidP="008B64DF">
      <w:pPr>
        <w:pStyle w:val="ListParagraph"/>
        <w:numPr>
          <w:ilvl w:val="0"/>
          <w:numId w:val="13"/>
        </w:numPr>
        <w:spacing w:before="120" w:after="120" w:line="240" w:lineRule="auto"/>
        <w:ind w:left="851" w:hanging="425"/>
        <w:contextualSpacing w:val="0"/>
        <w:jc w:val="both"/>
        <w:rPr>
          <w:rFonts w:ascii="Arial" w:hAnsi="Arial" w:cs="Arial"/>
          <w:sz w:val="24"/>
          <w:szCs w:val="24"/>
        </w:rPr>
      </w:pPr>
      <w:r w:rsidRPr="00810F60">
        <w:rPr>
          <w:rFonts w:ascii="Arial" w:hAnsi="Arial" w:cs="Arial"/>
          <w:sz w:val="24"/>
          <w:szCs w:val="24"/>
        </w:rPr>
        <w:t>Procurement of hosting environment for the IFMS development and testing environment (implemented end Q1 of 2017/2018)</w:t>
      </w:r>
      <w:r>
        <w:rPr>
          <w:rFonts w:ascii="Arial" w:hAnsi="Arial" w:cs="Arial"/>
          <w:sz w:val="24"/>
          <w:szCs w:val="24"/>
        </w:rPr>
        <w:t>;</w:t>
      </w:r>
    </w:p>
    <w:p w:rsidR="00251493" w:rsidRPr="00810F60" w:rsidRDefault="00251493" w:rsidP="008B64DF">
      <w:pPr>
        <w:pStyle w:val="ListParagraph"/>
        <w:numPr>
          <w:ilvl w:val="0"/>
          <w:numId w:val="13"/>
        </w:numPr>
        <w:spacing w:before="120" w:after="120" w:line="240" w:lineRule="auto"/>
        <w:ind w:left="851" w:hanging="425"/>
        <w:contextualSpacing w:val="0"/>
        <w:jc w:val="both"/>
        <w:rPr>
          <w:rFonts w:ascii="Arial" w:hAnsi="Arial" w:cs="Arial"/>
          <w:sz w:val="24"/>
          <w:szCs w:val="24"/>
        </w:rPr>
      </w:pPr>
      <w:r w:rsidRPr="00810F60">
        <w:rPr>
          <w:rFonts w:ascii="Arial" w:hAnsi="Arial" w:cs="Arial"/>
          <w:sz w:val="24"/>
          <w:szCs w:val="24"/>
        </w:rPr>
        <w:t>Procurement of System Implementers (published Q4 of 2017/2018, completed Q2 2018/19)</w:t>
      </w:r>
      <w:r>
        <w:rPr>
          <w:rFonts w:ascii="Arial" w:hAnsi="Arial" w:cs="Arial"/>
          <w:sz w:val="24"/>
          <w:szCs w:val="24"/>
        </w:rPr>
        <w:t>;</w:t>
      </w:r>
    </w:p>
    <w:p w:rsidR="00251493" w:rsidRPr="00810F60" w:rsidRDefault="00251493" w:rsidP="008B64DF">
      <w:pPr>
        <w:pStyle w:val="ListParagraph"/>
        <w:numPr>
          <w:ilvl w:val="0"/>
          <w:numId w:val="13"/>
        </w:numPr>
        <w:spacing w:before="120" w:after="120" w:line="240" w:lineRule="auto"/>
        <w:ind w:left="851" w:hanging="425"/>
        <w:contextualSpacing w:val="0"/>
        <w:jc w:val="both"/>
        <w:rPr>
          <w:rFonts w:ascii="Arial" w:hAnsi="Arial" w:cs="Arial"/>
          <w:sz w:val="24"/>
          <w:szCs w:val="24"/>
        </w:rPr>
      </w:pPr>
      <w:r w:rsidRPr="00810F60">
        <w:rPr>
          <w:rFonts w:ascii="Arial" w:hAnsi="Arial" w:cs="Arial"/>
          <w:sz w:val="24"/>
          <w:szCs w:val="24"/>
        </w:rPr>
        <w:t>Commencement of design and blueprinting (early Q2 of 2017/2018)</w:t>
      </w:r>
      <w:r>
        <w:rPr>
          <w:rFonts w:ascii="Arial" w:hAnsi="Arial" w:cs="Arial"/>
          <w:sz w:val="24"/>
          <w:szCs w:val="24"/>
        </w:rPr>
        <w:t>;</w:t>
      </w:r>
    </w:p>
    <w:p w:rsidR="00251493" w:rsidRPr="00810F60" w:rsidRDefault="00251493" w:rsidP="008B64DF">
      <w:pPr>
        <w:pStyle w:val="ListParagraph"/>
        <w:numPr>
          <w:ilvl w:val="0"/>
          <w:numId w:val="13"/>
        </w:numPr>
        <w:spacing w:before="120" w:after="120" w:line="240" w:lineRule="auto"/>
        <w:ind w:left="851" w:hanging="425"/>
        <w:contextualSpacing w:val="0"/>
        <w:jc w:val="both"/>
        <w:rPr>
          <w:rFonts w:ascii="Arial" w:hAnsi="Arial" w:cs="Arial"/>
          <w:sz w:val="24"/>
          <w:szCs w:val="24"/>
        </w:rPr>
      </w:pPr>
      <w:r w:rsidRPr="00810F60">
        <w:rPr>
          <w:rFonts w:ascii="Arial" w:hAnsi="Arial" w:cs="Arial"/>
          <w:sz w:val="24"/>
          <w:szCs w:val="24"/>
        </w:rPr>
        <w:t>Assessment of state of alignment between IFMS solution architecture and presently employed policies and procedures Business Owner’s Forum), (end Q2 of 2017/2018)</w:t>
      </w:r>
      <w:r>
        <w:rPr>
          <w:rFonts w:ascii="Arial" w:hAnsi="Arial" w:cs="Arial"/>
          <w:sz w:val="24"/>
          <w:szCs w:val="24"/>
        </w:rPr>
        <w:t>;</w:t>
      </w:r>
    </w:p>
    <w:p w:rsidR="00251493" w:rsidRPr="00810F60" w:rsidRDefault="00251493" w:rsidP="008B64DF">
      <w:pPr>
        <w:pStyle w:val="ListParagraph"/>
        <w:numPr>
          <w:ilvl w:val="0"/>
          <w:numId w:val="13"/>
        </w:numPr>
        <w:spacing w:before="120" w:after="120" w:line="240" w:lineRule="auto"/>
        <w:ind w:left="851" w:hanging="425"/>
        <w:contextualSpacing w:val="0"/>
        <w:jc w:val="both"/>
        <w:rPr>
          <w:rFonts w:ascii="Arial" w:hAnsi="Arial" w:cs="Arial"/>
          <w:sz w:val="24"/>
          <w:szCs w:val="24"/>
        </w:rPr>
      </w:pPr>
      <w:r w:rsidRPr="00810F60">
        <w:rPr>
          <w:rFonts w:ascii="Arial" w:hAnsi="Arial" w:cs="Arial"/>
          <w:sz w:val="24"/>
          <w:szCs w:val="24"/>
        </w:rPr>
        <w:lastRenderedPageBreak/>
        <w:t>SITA cloud infrastructure ready for IFMS deployment (Q2, 2018/2019)</w:t>
      </w:r>
      <w:r>
        <w:rPr>
          <w:rFonts w:ascii="Arial" w:hAnsi="Arial" w:cs="Arial"/>
          <w:sz w:val="24"/>
          <w:szCs w:val="24"/>
        </w:rPr>
        <w:t>; and</w:t>
      </w:r>
    </w:p>
    <w:p w:rsidR="00251493" w:rsidRPr="00810F60" w:rsidRDefault="00251493" w:rsidP="008B64DF">
      <w:pPr>
        <w:pStyle w:val="ListParagraph"/>
        <w:numPr>
          <w:ilvl w:val="0"/>
          <w:numId w:val="13"/>
        </w:numPr>
        <w:spacing w:before="120" w:after="120" w:line="240" w:lineRule="auto"/>
        <w:ind w:left="851" w:hanging="425"/>
        <w:contextualSpacing w:val="0"/>
        <w:jc w:val="both"/>
        <w:rPr>
          <w:rFonts w:ascii="Arial" w:hAnsi="Arial" w:cs="Arial"/>
          <w:sz w:val="24"/>
          <w:szCs w:val="24"/>
        </w:rPr>
      </w:pPr>
      <w:r w:rsidRPr="00810F60">
        <w:rPr>
          <w:rFonts w:ascii="Arial" w:hAnsi="Arial" w:cs="Arial"/>
          <w:sz w:val="24"/>
          <w:szCs w:val="24"/>
        </w:rPr>
        <w:t>Pilot site implementation and testing (Q2 of 2018/2019)</w:t>
      </w:r>
      <w:r>
        <w:rPr>
          <w:rFonts w:ascii="Arial" w:hAnsi="Arial" w:cs="Arial"/>
          <w:sz w:val="24"/>
          <w:szCs w:val="24"/>
        </w:rPr>
        <w:t>.</w:t>
      </w:r>
    </w:p>
    <w:p w:rsidR="00544702" w:rsidRPr="00FA05FE" w:rsidRDefault="00544702" w:rsidP="00FA05FE">
      <w:pPr>
        <w:pStyle w:val="ListParagraph"/>
        <w:jc w:val="both"/>
        <w:rPr>
          <w:rFonts w:ascii="Arial" w:hAnsi="Arial" w:cs="Arial"/>
          <w:b/>
          <w:sz w:val="24"/>
          <w:szCs w:val="24"/>
        </w:rPr>
      </w:pPr>
    </w:p>
    <w:p w:rsidR="00FA05FE" w:rsidRPr="003208ED" w:rsidRDefault="00FA05FE" w:rsidP="00FA05FE">
      <w:pPr>
        <w:numPr>
          <w:ilvl w:val="0"/>
          <w:numId w:val="1"/>
        </w:numPr>
        <w:spacing w:after="0" w:line="240" w:lineRule="auto"/>
        <w:jc w:val="both"/>
        <w:rPr>
          <w:rFonts w:ascii="Arial" w:eastAsia="Times New Roman" w:hAnsi="Arial" w:cs="Arial"/>
          <w:b/>
          <w:i/>
          <w:sz w:val="24"/>
          <w:szCs w:val="24"/>
        </w:rPr>
      </w:pPr>
      <w:r w:rsidRPr="003208ED">
        <w:rPr>
          <w:rFonts w:ascii="Arial" w:eastAsia="Times New Roman" w:hAnsi="Arial" w:cs="Arial"/>
          <w:b/>
          <w:i/>
          <w:sz w:val="24"/>
          <w:szCs w:val="24"/>
        </w:rPr>
        <w:t xml:space="preserve">WHAT IS THE RATIO OF EXTERNAL SOURCING IN NT VS. INTERNAL SKILLS, KEY FOCUS ON OCPO, I.E. AMOUNT SPEND ON EXTERNAL CONSULTANTS VS CAPACITATING THE </w:t>
      </w:r>
      <w:r w:rsidR="003208ED">
        <w:rPr>
          <w:rFonts w:ascii="Arial" w:eastAsia="Times New Roman" w:hAnsi="Arial" w:cs="Arial"/>
          <w:b/>
          <w:i/>
          <w:sz w:val="24"/>
          <w:szCs w:val="24"/>
        </w:rPr>
        <w:t>UNIT</w:t>
      </w:r>
    </w:p>
    <w:p w:rsidR="00FA05FE" w:rsidRDefault="00FA05FE" w:rsidP="00FA05FE">
      <w:pPr>
        <w:pStyle w:val="ListParagraph"/>
        <w:jc w:val="both"/>
        <w:rPr>
          <w:rFonts w:ascii="Arial" w:eastAsia="Times New Roman" w:hAnsi="Arial" w:cs="Arial"/>
          <w:b/>
          <w:sz w:val="24"/>
          <w:szCs w:val="24"/>
        </w:rPr>
      </w:pPr>
    </w:p>
    <w:p w:rsidR="000D187C" w:rsidRDefault="000D187C" w:rsidP="006C456E">
      <w:pPr>
        <w:pStyle w:val="ListParagraph"/>
        <w:spacing w:after="200" w:line="276" w:lineRule="auto"/>
        <w:ind w:left="360"/>
        <w:jc w:val="both"/>
        <w:rPr>
          <w:rFonts w:ascii="Arial" w:eastAsia="Calibri" w:hAnsi="Arial" w:cs="Arial"/>
          <w:lang w:eastAsia="en-GB"/>
        </w:rPr>
      </w:pPr>
      <w:r w:rsidRPr="0041551E">
        <w:rPr>
          <w:rFonts w:ascii="Arial" w:eastAsia="Calibri" w:hAnsi="Arial" w:cs="Arial"/>
          <w:lang w:eastAsia="en-GB"/>
        </w:rPr>
        <w:t>The OCPO operating model is focused on generating efficiency and effectiveness in procurement.  A procurement spent review was conducted in the early years of the establishment of the OCPO supporting the CPO and management to direct efforts towards high value and high impact commodities.  The sourcing model is a blend of commodity experts mostly sourced in and permanent staff institutionalising the procurement efforts of government. The OCPO consists of 92 full time staff appointed at the following levels:</w:t>
      </w:r>
    </w:p>
    <w:p w:rsidR="00765C4C" w:rsidRDefault="00765C4C" w:rsidP="000D187C">
      <w:pPr>
        <w:pStyle w:val="ListParagraph"/>
        <w:spacing w:after="200" w:line="276" w:lineRule="auto"/>
        <w:ind w:left="360"/>
        <w:jc w:val="both"/>
        <w:rPr>
          <w:rFonts w:ascii="Arial" w:eastAsia="Calibri" w:hAnsi="Arial" w:cs="Arial"/>
          <w:lang w:eastAsia="en-GB"/>
        </w:rPr>
      </w:pPr>
    </w:p>
    <w:tbl>
      <w:tblPr>
        <w:tblStyle w:val="TableGrid"/>
        <w:tblW w:w="0" w:type="auto"/>
        <w:tblInd w:w="846" w:type="dxa"/>
        <w:tblLook w:val="04A0" w:firstRow="1" w:lastRow="0" w:firstColumn="1" w:lastColumn="0" w:noHBand="0" w:noVBand="1"/>
      </w:tblPr>
      <w:tblGrid>
        <w:gridCol w:w="3829"/>
        <w:gridCol w:w="3684"/>
      </w:tblGrid>
      <w:tr w:rsidR="00765C4C" w:rsidRPr="00765C4C" w:rsidTr="00603355">
        <w:trPr>
          <w:trHeight w:val="491"/>
        </w:trPr>
        <w:tc>
          <w:tcPr>
            <w:tcW w:w="3829" w:type="dxa"/>
          </w:tcPr>
          <w:p w:rsidR="00765C4C" w:rsidRPr="00765C4C" w:rsidRDefault="00765C4C" w:rsidP="00765C4C">
            <w:pPr>
              <w:pStyle w:val="ListParagraph"/>
              <w:spacing w:after="200" w:line="276" w:lineRule="auto"/>
              <w:ind w:left="0"/>
              <w:jc w:val="center"/>
              <w:rPr>
                <w:rFonts w:ascii="Arial" w:eastAsia="Calibri" w:hAnsi="Arial" w:cs="Arial"/>
                <w:b/>
                <w:lang w:eastAsia="en-GB"/>
              </w:rPr>
            </w:pPr>
            <w:r w:rsidRPr="00765C4C">
              <w:rPr>
                <w:rFonts w:ascii="Arial" w:eastAsia="Calibri" w:hAnsi="Arial" w:cs="Arial"/>
                <w:b/>
                <w:lang w:eastAsia="en-GB"/>
              </w:rPr>
              <w:t>Salary Level</w:t>
            </w:r>
          </w:p>
        </w:tc>
        <w:tc>
          <w:tcPr>
            <w:tcW w:w="3684" w:type="dxa"/>
          </w:tcPr>
          <w:p w:rsidR="00765C4C" w:rsidRPr="00765C4C" w:rsidRDefault="00765C4C" w:rsidP="00765C4C">
            <w:pPr>
              <w:pStyle w:val="ListParagraph"/>
              <w:spacing w:after="200" w:line="276" w:lineRule="auto"/>
              <w:ind w:left="0"/>
              <w:jc w:val="center"/>
              <w:rPr>
                <w:rFonts w:ascii="Arial" w:eastAsia="Calibri" w:hAnsi="Arial" w:cs="Arial"/>
                <w:b/>
                <w:lang w:eastAsia="en-GB"/>
              </w:rPr>
            </w:pPr>
            <w:r w:rsidRPr="00765C4C">
              <w:rPr>
                <w:rFonts w:ascii="Arial" w:eastAsia="Calibri" w:hAnsi="Arial" w:cs="Arial"/>
                <w:b/>
                <w:lang w:eastAsia="en-GB"/>
              </w:rPr>
              <w:t>Number of employees</w:t>
            </w:r>
          </w:p>
        </w:tc>
      </w:tr>
      <w:tr w:rsidR="00765C4C" w:rsidTr="00603355">
        <w:trPr>
          <w:trHeight w:val="491"/>
        </w:trPr>
        <w:tc>
          <w:tcPr>
            <w:tcW w:w="3829" w:type="dxa"/>
          </w:tcPr>
          <w:p w:rsidR="00765C4C" w:rsidRDefault="00765C4C" w:rsidP="00603355">
            <w:pPr>
              <w:pStyle w:val="ListParagraph"/>
              <w:spacing w:after="200" w:line="276" w:lineRule="auto"/>
              <w:ind w:left="0"/>
              <w:jc w:val="center"/>
              <w:rPr>
                <w:rFonts w:ascii="Arial" w:eastAsia="Calibri" w:hAnsi="Arial" w:cs="Arial"/>
                <w:lang w:eastAsia="en-GB"/>
              </w:rPr>
            </w:pPr>
            <w:r>
              <w:rPr>
                <w:rFonts w:ascii="Arial" w:eastAsia="Calibri" w:hAnsi="Arial" w:cs="Arial"/>
                <w:lang w:eastAsia="en-GB"/>
              </w:rPr>
              <w:t>Level 15</w:t>
            </w:r>
          </w:p>
        </w:tc>
        <w:tc>
          <w:tcPr>
            <w:tcW w:w="3684" w:type="dxa"/>
          </w:tcPr>
          <w:p w:rsidR="00765C4C" w:rsidRDefault="00765C4C" w:rsidP="00603355">
            <w:pPr>
              <w:pStyle w:val="ListParagraph"/>
              <w:spacing w:after="200" w:line="276" w:lineRule="auto"/>
              <w:ind w:left="0"/>
              <w:jc w:val="center"/>
              <w:rPr>
                <w:rFonts w:ascii="Arial" w:eastAsia="Calibri" w:hAnsi="Arial" w:cs="Arial"/>
                <w:lang w:eastAsia="en-GB"/>
              </w:rPr>
            </w:pPr>
            <w:r>
              <w:rPr>
                <w:rFonts w:ascii="Arial" w:eastAsia="Calibri" w:hAnsi="Arial" w:cs="Arial"/>
                <w:lang w:eastAsia="en-GB"/>
              </w:rPr>
              <w:t>0</w:t>
            </w:r>
          </w:p>
        </w:tc>
      </w:tr>
      <w:tr w:rsidR="00765C4C" w:rsidTr="00603355">
        <w:trPr>
          <w:trHeight w:val="491"/>
        </w:trPr>
        <w:tc>
          <w:tcPr>
            <w:tcW w:w="3829" w:type="dxa"/>
          </w:tcPr>
          <w:p w:rsidR="00765C4C" w:rsidRDefault="00765C4C" w:rsidP="00603355">
            <w:pPr>
              <w:pStyle w:val="ListParagraph"/>
              <w:spacing w:after="200" w:line="276" w:lineRule="auto"/>
              <w:ind w:left="0"/>
              <w:jc w:val="center"/>
              <w:rPr>
                <w:rFonts w:ascii="Arial" w:eastAsia="Calibri" w:hAnsi="Arial" w:cs="Arial"/>
                <w:lang w:eastAsia="en-GB"/>
              </w:rPr>
            </w:pPr>
            <w:r>
              <w:rPr>
                <w:rFonts w:ascii="Arial" w:eastAsia="Calibri" w:hAnsi="Arial" w:cs="Arial"/>
                <w:lang w:eastAsia="en-GB"/>
              </w:rPr>
              <w:t>Level 14</w:t>
            </w:r>
          </w:p>
        </w:tc>
        <w:tc>
          <w:tcPr>
            <w:tcW w:w="3684" w:type="dxa"/>
          </w:tcPr>
          <w:p w:rsidR="00765C4C" w:rsidRDefault="00765C4C" w:rsidP="00603355">
            <w:pPr>
              <w:pStyle w:val="ListParagraph"/>
              <w:spacing w:after="200" w:line="276" w:lineRule="auto"/>
              <w:ind w:left="0"/>
              <w:jc w:val="center"/>
              <w:rPr>
                <w:rFonts w:ascii="Arial" w:eastAsia="Calibri" w:hAnsi="Arial" w:cs="Arial"/>
                <w:lang w:eastAsia="en-GB"/>
              </w:rPr>
            </w:pPr>
            <w:r>
              <w:rPr>
                <w:rFonts w:ascii="Arial" w:eastAsia="Calibri" w:hAnsi="Arial" w:cs="Arial"/>
                <w:lang w:eastAsia="en-GB"/>
              </w:rPr>
              <w:t>6</w:t>
            </w:r>
          </w:p>
        </w:tc>
      </w:tr>
      <w:tr w:rsidR="00765C4C" w:rsidTr="00603355">
        <w:trPr>
          <w:trHeight w:val="491"/>
        </w:trPr>
        <w:tc>
          <w:tcPr>
            <w:tcW w:w="3829" w:type="dxa"/>
          </w:tcPr>
          <w:p w:rsidR="00765C4C" w:rsidRDefault="00765C4C" w:rsidP="00603355">
            <w:pPr>
              <w:pStyle w:val="ListParagraph"/>
              <w:spacing w:after="200" w:line="276" w:lineRule="auto"/>
              <w:ind w:left="0"/>
              <w:jc w:val="center"/>
              <w:rPr>
                <w:rFonts w:ascii="Arial" w:eastAsia="Calibri" w:hAnsi="Arial" w:cs="Arial"/>
                <w:lang w:eastAsia="en-GB"/>
              </w:rPr>
            </w:pPr>
            <w:r>
              <w:rPr>
                <w:rFonts w:ascii="Arial" w:eastAsia="Calibri" w:hAnsi="Arial" w:cs="Arial"/>
                <w:lang w:eastAsia="en-GB"/>
              </w:rPr>
              <w:t>Level 13</w:t>
            </w:r>
          </w:p>
        </w:tc>
        <w:tc>
          <w:tcPr>
            <w:tcW w:w="3684" w:type="dxa"/>
          </w:tcPr>
          <w:p w:rsidR="00765C4C" w:rsidRDefault="00765C4C" w:rsidP="00603355">
            <w:pPr>
              <w:pStyle w:val="ListParagraph"/>
              <w:spacing w:after="200" w:line="276" w:lineRule="auto"/>
              <w:ind w:left="0"/>
              <w:jc w:val="center"/>
              <w:rPr>
                <w:rFonts w:ascii="Arial" w:eastAsia="Calibri" w:hAnsi="Arial" w:cs="Arial"/>
                <w:lang w:eastAsia="en-GB"/>
              </w:rPr>
            </w:pPr>
            <w:r>
              <w:rPr>
                <w:rFonts w:ascii="Arial" w:eastAsia="Calibri" w:hAnsi="Arial" w:cs="Arial"/>
                <w:lang w:eastAsia="en-GB"/>
              </w:rPr>
              <w:t>22</w:t>
            </w:r>
          </w:p>
        </w:tc>
      </w:tr>
      <w:tr w:rsidR="00765C4C" w:rsidTr="00603355">
        <w:trPr>
          <w:trHeight w:val="491"/>
        </w:trPr>
        <w:tc>
          <w:tcPr>
            <w:tcW w:w="3829" w:type="dxa"/>
          </w:tcPr>
          <w:p w:rsidR="00765C4C" w:rsidRDefault="00765C4C" w:rsidP="00603355">
            <w:pPr>
              <w:pStyle w:val="ListParagraph"/>
              <w:spacing w:after="200" w:line="276" w:lineRule="auto"/>
              <w:ind w:left="0"/>
              <w:jc w:val="center"/>
              <w:rPr>
                <w:rFonts w:ascii="Arial" w:eastAsia="Calibri" w:hAnsi="Arial" w:cs="Arial"/>
                <w:lang w:eastAsia="en-GB"/>
              </w:rPr>
            </w:pPr>
            <w:r>
              <w:rPr>
                <w:rFonts w:ascii="Arial" w:eastAsia="Calibri" w:hAnsi="Arial" w:cs="Arial"/>
                <w:lang w:eastAsia="en-GB"/>
              </w:rPr>
              <w:t>Level 12</w:t>
            </w:r>
          </w:p>
        </w:tc>
        <w:tc>
          <w:tcPr>
            <w:tcW w:w="3684" w:type="dxa"/>
          </w:tcPr>
          <w:p w:rsidR="00765C4C" w:rsidRDefault="00765C4C" w:rsidP="00603355">
            <w:pPr>
              <w:pStyle w:val="ListParagraph"/>
              <w:spacing w:after="200" w:line="276" w:lineRule="auto"/>
              <w:ind w:left="0"/>
              <w:jc w:val="center"/>
              <w:rPr>
                <w:rFonts w:ascii="Arial" w:eastAsia="Calibri" w:hAnsi="Arial" w:cs="Arial"/>
                <w:lang w:eastAsia="en-GB"/>
              </w:rPr>
            </w:pPr>
            <w:r>
              <w:rPr>
                <w:rFonts w:ascii="Arial" w:eastAsia="Calibri" w:hAnsi="Arial" w:cs="Arial"/>
                <w:lang w:eastAsia="en-GB"/>
              </w:rPr>
              <w:t>1</w:t>
            </w:r>
          </w:p>
        </w:tc>
      </w:tr>
      <w:tr w:rsidR="00765C4C" w:rsidTr="00603355">
        <w:trPr>
          <w:trHeight w:val="491"/>
        </w:trPr>
        <w:tc>
          <w:tcPr>
            <w:tcW w:w="3829" w:type="dxa"/>
          </w:tcPr>
          <w:p w:rsidR="00765C4C" w:rsidRDefault="00765C4C" w:rsidP="00603355">
            <w:pPr>
              <w:pStyle w:val="ListParagraph"/>
              <w:spacing w:after="200" w:line="276" w:lineRule="auto"/>
              <w:ind w:left="0"/>
              <w:jc w:val="center"/>
              <w:rPr>
                <w:rFonts w:ascii="Arial" w:eastAsia="Calibri" w:hAnsi="Arial" w:cs="Arial"/>
                <w:lang w:eastAsia="en-GB"/>
              </w:rPr>
            </w:pPr>
            <w:r>
              <w:rPr>
                <w:rFonts w:ascii="Arial" w:eastAsia="Calibri" w:hAnsi="Arial" w:cs="Arial"/>
                <w:lang w:eastAsia="en-GB"/>
              </w:rPr>
              <w:t>Level 11</w:t>
            </w:r>
          </w:p>
        </w:tc>
        <w:tc>
          <w:tcPr>
            <w:tcW w:w="3684" w:type="dxa"/>
          </w:tcPr>
          <w:p w:rsidR="00765C4C" w:rsidRDefault="00765C4C" w:rsidP="00603355">
            <w:pPr>
              <w:pStyle w:val="ListParagraph"/>
              <w:spacing w:after="200" w:line="276" w:lineRule="auto"/>
              <w:ind w:left="0"/>
              <w:jc w:val="center"/>
              <w:rPr>
                <w:rFonts w:ascii="Arial" w:eastAsia="Calibri" w:hAnsi="Arial" w:cs="Arial"/>
                <w:lang w:eastAsia="en-GB"/>
              </w:rPr>
            </w:pPr>
            <w:r>
              <w:rPr>
                <w:rFonts w:ascii="Arial" w:eastAsia="Calibri" w:hAnsi="Arial" w:cs="Arial"/>
                <w:lang w:eastAsia="en-GB"/>
              </w:rPr>
              <w:t>28</w:t>
            </w:r>
          </w:p>
        </w:tc>
      </w:tr>
      <w:tr w:rsidR="00765C4C" w:rsidTr="00603355">
        <w:trPr>
          <w:trHeight w:val="491"/>
        </w:trPr>
        <w:tc>
          <w:tcPr>
            <w:tcW w:w="3829" w:type="dxa"/>
          </w:tcPr>
          <w:p w:rsidR="00765C4C" w:rsidRDefault="00765C4C" w:rsidP="00603355">
            <w:pPr>
              <w:pStyle w:val="ListParagraph"/>
              <w:spacing w:after="200" w:line="276" w:lineRule="auto"/>
              <w:ind w:left="0"/>
              <w:jc w:val="center"/>
              <w:rPr>
                <w:rFonts w:ascii="Arial" w:eastAsia="Calibri" w:hAnsi="Arial" w:cs="Arial"/>
                <w:lang w:eastAsia="en-GB"/>
              </w:rPr>
            </w:pPr>
            <w:r>
              <w:rPr>
                <w:rFonts w:ascii="Arial" w:eastAsia="Calibri" w:hAnsi="Arial" w:cs="Arial"/>
                <w:lang w:eastAsia="en-GB"/>
              </w:rPr>
              <w:t>Level 10</w:t>
            </w:r>
          </w:p>
        </w:tc>
        <w:tc>
          <w:tcPr>
            <w:tcW w:w="3684" w:type="dxa"/>
          </w:tcPr>
          <w:p w:rsidR="00765C4C" w:rsidRDefault="00765C4C" w:rsidP="00603355">
            <w:pPr>
              <w:pStyle w:val="ListParagraph"/>
              <w:spacing w:after="200" w:line="276" w:lineRule="auto"/>
              <w:ind w:left="0"/>
              <w:jc w:val="center"/>
              <w:rPr>
                <w:rFonts w:ascii="Arial" w:eastAsia="Calibri" w:hAnsi="Arial" w:cs="Arial"/>
                <w:lang w:eastAsia="en-GB"/>
              </w:rPr>
            </w:pPr>
            <w:r>
              <w:rPr>
                <w:rFonts w:ascii="Arial" w:eastAsia="Calibri" w:hAnsi="Arial" w:cs="Arial"/>
                <w:lang w:eastAsia="en-GB"/>
              </w:rPr>
              <w:t>0</w:t>
            </w:r>
          </w:p>
        </w:tc>
      </w:tr>
      <w:tr w:rsidR="00765C4C" w:rsidTr="00603355">
        <w:trPr>
          <w:trHeight w:val="491"/>
        </w:trPr>
        <w:tc>
          <w:tcPr>
            <w:tcW w:w="3829" w:type="dxa"/>
          </w:tcPr>
          <w:p w:rsidR="00765C4C" w:rsidRDefault="00765C4C" w:rsidP="00603355">
            <w:pPr>
              <w:pStyle w:val="ListParagraph"/>
              <w:spacing w:after="200" w:line="276" w:lineRule="auto"/>
              <w:ind w:left="0"/>
              <w:jc w:val="center"/>
              <w:rPr>
                <w:rFonts w:ascii="Arial" w:eastAsia="Calibri" w:hAnsi="Arial" w:cs="Arial"/>
                <w:lang w:eastAsia="en-GB"/>
              </w:rPr>
            </w:pPr>
            <w:r>
              <w:rPr>
                <w:rFonts w:ascii="Arial" w:eastAsia="Calibri" w:hAnsi="Arial" w:cs="Arial"/>
                <w:lang w:eastAsia="en-GB"/>
              </w:rPr>
              <w:t>Level 9</w:t>
            </w:r>
          </w:p>
        </w:tc>
        <w:tc>
          <w:tcPr>
            <w:tcW w:w="3684" w:type="dxa"/>
          </w:tcPr>
          <w:p w:rsidR="00765C4C" w:rsidRDefault="00765C4C" w:rsidP="00603355">
            <w:pPr>
              <w:pStyle w:val="ListParagraph"/>
              <w:spacing w:after="200" w:line="276" w:lineRule="auto"/>
              <w:ind w:left="0"/>
              <w:jc w:val="center"/>
              <w:rPr>
                <w:rFonts w:ascii="Arial" w:eastAsia="Calibri" w:hAnsi="Arial" w:cs="Arial"/>
                <w:lang w:eastAsia="en-GB"/>
              </w:rPr>
            </w:pPr>
            <w:r>
              <w:rPr>
                <w:rFonts w:ascii="Arial" w:eastAsia="Calibri" w:hAnsi="Arial" w:cs="Arial"/>
                <w:lang w:eastAsia="en-GB"/>
              </w:rPr>
              <w:t>11</w:t>
            </w:r>
          </w:p>
        </w:tc>
      </w:tr>
      <w:tr w:rsidR="00765C4C" w:rsidTr="00603355">
        <w:trPr>
          <w:trHeight w:val="491"/>
        </w:trPr>
        <w:tc>
          <w:tcPr>
            <w:tcW w:w="3829" w:type="dxa"/>
          </w:tcPr>
          <w:p w:rsidR="00765C4C" w:rsidRDefault="00765C4C" w:rsidP="00603355">
            <w:pPr>
              <w:pStyle w:val="ListParagraph"/>
              <w:spacing w:after="200" w:line="276" w:lineRule="auto"/>
              <w:ind w:left="0"/>
              <w:jc w:val="center"/>
              <w:rPr>
                <w:rFonts w:ascii="Arial" w:eastAsia="Calibri" w:hAnsi="Arial" w:cs="Arial"/>
                <w:lang w:eastAsia="en-GB"/>
              </w:rPr>
            </w:pPr>
            <w:r>
              <w:rPr>
                <w:rFonts w:ascii="Arial" w:eastAsia="Calibri" w:hAnsi="Arial" w:cs="Arial"/>
                <w:lang w:eastAsia="en-GB"/>
              </w:rPr>
              <w:t>Level 8</w:t>
            </w:r>
          </w:p>
        </w:tc>
        <w:tc>
          <w:tcPr>
            <w:tcW w:w="3684" w:type="dxa"/>
          </w:tcPr>
          <w:p w:rsidR="00765C4C" w:rsidRDefault="00765C4C" w:rsidP="00603355">
            <w:pPr>
              <w:pStyle w:val="ListParagraph"/>
              <w:spacing w:after="200" w:line="276" w:lineRule="auto"/>
              <w:ind w:left="0"/>
              <w:jc w:val="center"/>
              <w:rPr>
                <w:rFonts w:ascii="Arial" w:eastAsia="Calibri" w:hAnsi="Arial" w:cs="Arial"/>
                <w:lang w:eastAsia="en-GB"/>
              </w:rPr>
            </w:pPr>
            <w:r>
              <w:rPr>
                <w:rFonts w:ascii="Arial" w:eastAsia="Calibri" w:hAnsi="Arial" w:cs="Arial"/>
                <w:lang w:eastAsia="en-GB"/>
              </w:rPr>
              <w:t>5</w:t>
            </w:r>
          </w:p>
        </w:tc>
      </w:tr>
      <w:tr w:rsidR="00765C4C" w:rsidTr="00603355">
        <w:trPr>
          <w:trHeight w:val="491"/>
        </w:trPr>
        <w:tc>
          <w:tcPr>
            <w:tcW w:w="3829" w:type="dxa"/>
          </w:tcPr>
          <w:p w:rsidR="00765C4C" w:rsidRDefault="00765C4C" w:rsidP="00603355">
            <w:pPr>
              <w:pStyle w:val="ListParagraph"/>
              <w:spacing w:after="200" w:line="276" w:lineRule="auto"/>
              <w:ind w:left="0"/>
              <w:jc w:val="center"/>
              <w:rPr>
                <w:rFonts w:ascii="Arial" w:eastAsia="Calibri" w:hAnsi="Arial" w:cs="Arial"/>
                <w:lang w:eastAsia="en-GB"/>
              </w:rPr>
            </w:pPr>
            <w:r>
              <w:rPr>
                <w:rFonts w:ascii="Arial" w:eastAsia="Calibri" w:hAnsi="Arial" w:cs="Arial"/>
                <w:lang w:eastAsia="en-GB"/>
              </w:rPr>
              <w:t>Level 7</w:t>
            </w:r>
          </w:p>
        </w:tc>
        <w:tc>
          <w:tcPr>
            <w:tcW w:w="3684" w:type="dxa"/>
          </w:tcPr>
          <w:p w:rsidR="00765C4C" w:rsidRDefault="00765C4C" w:rsidP="00603355">
            <w:pPr>
              <w:pStyle w:val="ListParagraph"/>
              <w:spacing w:after="200" w:line="276" w:lineRule="auto"/>
              <w:ind w:left="0"/>
              <w:jc w:val="center"/>
              <w:rPr>
                <w:rFonts w:ascii="Arial" w:eastAsia="Calibri" w:hAnsi="Arial" w:cs="Arial"/>
                <w:lang w:eastAsia="en-GB"/>
              </w:rPr>
            </w:pPr>
            <w:r>
              <w:rPr>
                <w:rFonts w:ascii="Arial" w:eastAsia="Calibri" w:hAnsi="Arial" w:cs="Arial"/>
                <w:lang w:eastAsia="en-GB"/>
              </w:rPr>
              <w:t>15</w:t>
            </w:r>
          </w:p>
        </w:tc>
      </w:tr>
      <w:tr w:rsidR="00765C4C" w:rsidTr="00603355">
        <w:trPr>
          <w:trHeight w:val="491"/>
        </w:trPr>
        <w:tc>
          <w:tcPr>
            <w:tcW w:w="3829" w:type="dxa"/>
          </w:tcPr>
          <w:p w:rsidR="00765C4C" w:rsidRDefault="00765C4C" w:rsidP="00603355">
            <w:pPr>
              <w:pStyle w:val="ListParagraph"/>
              <w:spacing w:after="200" w:line="276" w:lineRule="auto"/>
              <w:ind w:left="0"/>
              <w:jc w:val="center"/>
              <w:rPr>
                <w:rFonts w:ascii="Arial" w:eastAsia="Calibri" w:hAnsi="Arial" w:cs="Arial"/>
                <w:lang w:eastAsia="en-GB"/>
              </w:rPr>
            </w:pPr>
            <w:r>
              <w:rPr>
                <w:rFonts w:ascii="Arial" w:eastAsia="Calibri" w:hAnsi="Arial" w:cs="Arial"/>
                <w:lang w:eastAsia="en-GB"/>
              </w:rPr>
              <w:t>Level 6</w:t>
            </w:r>
          </w:p>
        </w:tc>
        <w:tc>
          <w:tcPr>
            <w:tcW w:w="3684" w:type="dxa"/>
          </w:tcPr>
          <w:p w:rsidR="00765C4C" w:rsidRDefault="00765C4C" w:rsidP="00603355">
            <w:pPr>
              <w:pStyle w:val="ListParagraph"/>
              <w:spacing w:after="200" w:line="276" w:lineRule="auto"/>
              <w:ind w:left="0"/>
              <w:jc w:val="center"/>
              <w:rPr>
                <w:rFonts w:ascii="Arial" w:eastAsia="Calibri" w:hAnsi="Arial" w:cs="Arial"/>
                <w:lang w:eastAsia="en-GB"/>
              </w:rPr>
            </w:pPr>
            <w:r>
              <w:rPr>
                <w:rFonts w:ascii="Arial" w:eastAsia="Calibri" w:hAnsi="Arial" w:cs="Arial"/>
                <w:lang w:eastAsia="en-GB"/>
              </w:rPr>
              <w:t>1</w:t>
            </w:r>
          </w:p>
        </w:tc>
      </w:tr>
      <w:tr w:rsidR="00765C4C" w:rsidTr="00603355">
        <w:trPr>
          <w:trHeight w:val="491"/>
        </w:trPr>
        <w:tc>
          <w:tcPr>
            <w:tcW w:w="3829" w:type="dxa"/>
          </w:tcPr>
          <w:p w:rsidR="00765C4C" w:rsidRDefault="00765C4C" w:rsidP="00603355">
            <w:pPr>
              <w:pStyle w:val="ListParagraph"/>
              <w:spacing w:after="200" w:line="276" w:lineRule="auto"/>
              <w:ind w:left="0"/>
              <w:jc w:val="center"/>
              <w:rPr>
                <w:rFonts w:ascii="Arial" w:eastAsia="Calibri" w:hAnsi="Arial" w:cs="Arial"/>
                <w:lang w:eastAsia="en-GB"/>
              </w:rPr>
            </w:pPr>
            <w:r>
              <w:rPr>
                <w:rFonts w:ascii="Arial" w:eastAsia="Calibri" w:hAnsi="Arial" w:cs="Arial"/>
                <w:lang w:eastAsia="en-GB"/>
              </w:rPr>
              <w:t>Level 5</w:t>
            </w:r>
          </w:p>
        </w:tc>
        <w:tc>
          <w:tcPr>
            <w:tcW w:w="3684" w:type="dxa"/>
          </w:tcPr>
          <w:p w:rsidR="00765C4C" w:rsidRDefault="00765C4C" w:rsidP="00603355">
            <w:pPr>
              <w:pStyle w:val="ListParagraph"/>
              <w:spacing w:after="200" w:line="276" w:lineRule="auto"/>
              <w:ind w:left="0"/>
              <w:jc w:val="center"/>
              <w:rPr>
                <w:rFonts w:ascii="Arial" w:eastAsia="Calibri" w:hAnsi="Arial" w:cs="Arial"/>
                <w:lang w:eastAsia="en-GB"/>
              </w:rPr>
            </w:pPr>
            <w:r>
              <w:rPr>
                <w:rFonts w:ascii="Arial" w:eastAsia="Calibri" w:hAnsi="Arial" w:cs="Arial"/>
                <w:lang w:eastAsia="en-GB"/>
              </w:rPr>
              <w:t>3</w:t>
            </w:r>
          </w:p>
        </w:tc>
      </w:tr>
    </w:tbl>
    <w:p w:rsidR="00765C4C" w:rsidRPr="0041551E" w:rsidRDefault="00765C4C" w:rsidP="000D187C">
      <w:pPr>
        <w:pStyle w:val="ListParagraph"/>
        <w:spacing w:after="200" w:line="276" w:lineRule="auto"/>
        <w:ind w:left="360"/>
        <w:jc w:val="both"/>
        <w:rPr>
          <w:rFonts w:ascii="Arial" w:eastAsia="Calibri" w:hAnsi="Arial" w:cs="Arial"/>
          <w:lang w:eastAsia="en-GB"/>
        </w:rPr>
      </w:pPr>
    </w:p>
    <w:p w:rsidR="00544702" w:rsidRPr="000D187C" w:rsidRDefault="000D187C" w:rsidP="001B6A47">
      <w:pPr>
        <w:ind w:left="284"/>
        <w:jc w:val="both"/>
        <w:rPr>
          <w:rFonts w:ascii="Arial" w:eastAsia="Times New Roman" w:hAnsi="Arial" w:cs="Arial"/>
          <w:b/>
          <w:sz w:val="24"/>
          <w:szCs w:val="24"/>
        </w:rPr>
      </w:pPr>
      <w:r w:rsidRPr="000D187C">
        <w:rPr>
          <w:rFonts w:ascii="Arial" w:eastAsia="Calibri" w:hAnsi="Arial" w:cs="Arial"/>
          <w:lang w:eastAsia="en-GB"/>
        </w:rPr>
        <w:t>Twenty-two (22) Consulting firms were insourced from 1 April 2016 to 31 March 2017 to execute the work of the OCPO</w:t>
      </w:r>
    </w:p>
    <w:p w:rsidR="00544702" w:rsidRDefault="00544702" w:rsidP="00FA05FE">
      <w:pPr>
        <w:pStyle w:val="ListParagraph"/>
        <w:jc w:val="both"/>
        <w:rPr>
          <w:rFonts w:ascii="Arial" w:eastAsia="Times New Roman" w:hAnsi="Arial" w:cs="Arial"/>
          <w:b/>
          <w:sz w:val="24"/>
          <w:szCs w:val="24"/>
        </w:rPr>
      </w:pPr>
    </w:p>
    <w:p w:rsidR="00FA05FE" w:rsidRPr="003208ED" w:rsidRDefault="00FA05FE" w:rsidP="00FA05FE">
      <w:pPr>
        <w:numPr>
          <w:ilvl w:val="0"/>
          <w:numId w:val="1"/>
        </w:numPr>
        <w:spacing w:after="0" w:line="240" w:lineRule="auto"/>
        <w:jc w:val="both"/>
        <w:rPr>
          <w:rFonts w:ascii="Arial" w:eastAsia="Times New Roman" w:hAnsi="Arial" w:cs="Arial"/>
          <w:b/>
          <w:i/>
          <w:sz w:val="24"/>
          <w:szCs w:val="24"/>
        </w:rPr>
      </w:pPr>
      <w:r w:rsidRPr="003208ED">
        <w:rPr>
          <w:rFonts w:ascii="Arial" w:eastAsia="Times New Roman" w:hAnsi="Arial" w:cs="Arial"/>
          <w:b/>
          <w:i/>
          <w:sz w:val="24"/>
          <w:szCs w:val="24"/>
        </w:rPr>
        <w:t>REPORT ON ESKOM INVESTIGATION – STATUS UPDATE – OCPO</w:t>
      </w:r>
    </w:p>
    <w:p w:rsidR="00544702" w:rsidRDefault="00544702" w:rsidP="00544702">
      <w:pPr>
        <w:spacing w:after="0" w:line="240" w:lineRule="auto"/>
        <w:jc w:val="both"/>
        <w:rPr>
          <w:rFonts w:ascii="Arial" w:eastAsia="Times New Roman" w:hAnsi="Arial" w:cs="Arial"/>
          <w:b/>
          <w:sz w:val="24"/>
          <w:szCs w:val="24"/>
        </w:rPr>
      </w:pPr>
    </w:p>
    <w:p w:rsidR="001B6A47" w:rsidRDefault="008F71C7" w:rsidP="001B6A47">
      <w:pPr>
        <w:pStyle w:val="ListParagraph"/>
        <w:spacing w:after="200" w:line="276" w:lineRule="auto"/>
        <w:ind w:left="360"/>
        <w:jc w:val="both"/>
        <w:rPr>
          <w:rFonts w:ascii="Arial" w:eastAsia="Calibri" w:hAnsi="Arial" w:cs="Arial"/>
          <w:lang w:eastAsia="en-GB"/>
        </w:rPr>
      </w:pPr>
      <w:r w:rsidRPr="0041551E">
        <w:rPr>
          <w:rFonts w:ascii="Arial" w:eastAsia="Calibri" w:hAnsi="Arial" w:cs="Arial"/>
          <w:lang w:eastAsia="en-GB"/>
        </w:rPr>
        <w:t>The OCPO received on average between 20 and 25 complaints/compliance rela</w:t>
      </w:r>
      <w:r>
        <w:rPr>
          <w:rFonts w:ascii="Arial" w:eastAsia="Calibri" w:hAnsi="Arial" w:cs="Arial"/>
          <w:lang w:eastAsia="en-GB"/>
        </w:rPr>
        <w:t xml:space="preserve">ted queries/orders from </w:t>
      </w:r>
      <w:r w:rsidR="00207051">
        <w:rPr>
          <w:rFonts w:ascii="Arial" w:eastAsia="Calibri" w:hAnsi="Arial" w:cs="Arial"/>
          <w:lang w:eastAsia="en-GB"/>
        </w:rPr>
        <w:t xml:space="preserve">inter alia the </w:t>
      </w:r>
      <w:r>
        <w:rPr>
          <w:rFonts w:ascii="Arial" w:eastAsia="Calibri" w:hAnsi="Arial" w:cs="Arial"/>
          <w:lang w:eastAsia="en-GB"/>
        </w:rPr>
        <w:t>Courts,</w:t>
      </w:r>
      <w:r w:rsidR="009C1A98">
        <w:rPr>
          <w:rFonts w:ascii="Arial" w:eastAsia="Calibri" w:hAnsi="Arial" w:cs="Arial"/>
          <w:lang w:eastAsia="en-GB"/>
        </w:rPr>
        <w:t xml:space="preserve"> </w:t>
      </w:r>
      <w:r w:rsidRPr="0041551E">
        <w:rPr>
          <w:rFonts w:ascii="Arial" w:eastAsia="Calibri" w:hAnsi="Arial" w:cs="Arial"/>
          <w:lang w:eastAsia="en-GB"/>
        </w:rPr>
        <w:t xml:space="preserve">Public Protector, Provincial Treasuries, Parliament </w:t>
      </w:r>
      <w:r w:rsidR="00207051">
        <w:rPr>
          <w:rFonts w:ascii="Arial" w:eastAsia="Calibri" w:hAnsi="Arial" w:cs="Arial"/>
          <w:lang w:eastAsia="en-GB"/>
        </w:rPr>
        <w:t>and others</w:t>
      </w:r>
      <w:r w:rsidRPr="0041551E">
        <w:rPr>
          <w:rFonts w:ascii="Arial" w:eastAsia="Calibri" w:hAnsi="Arial" w:cs="Arial"/>
          <w:lang w:eastAsia="en-GB"/>
        </w:rPr>
        <w:t xml:space="preserve"> per day.  </w:t>
      </w:r>
    </w:p>
    <w:p w:rsidR="008F71C7" w:rsidRPr="0041551E" w:rsidRDefault="008F71C7" w:rsidP="001B6A47">
      <w:pPr>
        <w:pStyle w:val="ListParagraph"/>
        <w:spacing w:after="200" w:line="276" w:lineRule="auto"/>
        <w:ind w:left="360"/>
        <w:jc w:val="both"/>
        <w:rPr>
          <w:rFonts w:ascii="Arial" w:eastAsia="Calibri" w:hAnsi="Arial" w:cs="Arial"/>
          <w:lang w:eastAsia="en-GB"/>
        </w:rPr>
      </w:pPr>
      <w:r w:rsidRPr="0041551E">
        <w:rPr>
          <w:rFonts w:ascii="Arial" w:eastAsia="Calibri" w:hAnsi="Arial" w:cs="Arial"/>
          <w:lang w:eastAsia="en-GB"/>
        </w:rPr>
        <w:t>The requests can be broadly categorised as follows:</w:t>
      </w:r>
    </w:p>
    <w:p w:rsidR="008F71C7" w:rsidRDefault="008F71C7" w:rsidP="009C1A98">
      <w:pPr>
        <w:pStyle w:val="ListParagraph"/>
        <w:numPr>
          <w:ilvl w:val="0"/>
          <w:numId w:val="10"/>
        </w:numPr>
        <w:spacing w:after="0" w:line="276" w:lineRule="auto"/>
        <w:contextualSpacing w:val="0"/>
        <w:jc w:val="both"/>
        <w:rPr>
          <w:rFonts w:ascii="Arial" w:hAnsi="Arial" w:cs="Arial"/>
        </w:rPr>
      </w:pPr>
      <w:r>
        <w:rPr>
          <w:rFonts w:ascii="Arial" w:hAnsi="Arial" w:cs="Arial"/>
        </w:rPr>
        <w:lastRenderedPageBreak/>
        <w:t>Compliance related requests to deviations from competitive procurement processes or expansion/variation of contracts</w:t>
      </w:r>
    </w:p>
    <w:p w:rsidR="008F71C7" w:rsidRDefault="008F71C7" w:rsidP="009C1A98">
      <w:pPr>
        <w:pStyle w:val="ListParagraph"/>
        <w:numPr>
          <w:ilvl w:val="0"/>
          <w:numId w:val="10"/>
        </w:numPr>
        <w:spacing w:after="0" w:line="276" w:lineRule="auto"/>
        <w:contextualSpacing w:val="0"/>
        <w:jc w:val="both"/>
        <w:rPr>
          <w:rFonts w:ascii="Arial" w:hAnsi="Arial" w:cs="Arial"/>
        </w:rPr>
      </w:pPr>
      <w:r>
        <w:rPr>
          <w:rFonts w:ascii="Arial" w:hAnsi="Arial" w:cs="Arial"/>
        </w:rPr>
        <w:t>Exemptions from procurement regulations eg PPPFA Regulations</w:t>
      </w:r>
    </w:p>
    <w:p w:rsidR="008F71C7" w:rsidRDefault="008F71C7" w:rsidP="009C1A98">
      <w:pPr>
        <w:pStyle w:val="ListParagraph"/>
        <w:numPr>
          <w:ilvl w:val="0"/>
          <w:numId w:val="10"/>
        </w:numPr>
        <w:spacing w:after="0" w:line="276" w:lineRule="auto"/>
        <w:contextualSpacing w:val="0"/>
        <w:jc w:val="both"/>
        <w:rPr>
          <w:rFonts w:ascii="Arial" w:hAnsi="Arial" w:cs="Arial"/>
        </w:rPr>
      </w:pPr>
      <w:r>
        <w:rPr>
          <w:rFonts w:ascii="Arial" w:hAnsi="Arial" w:cs="Arial"/>
        </w:rPr>
        <w:t>Complaints</w:t>
      </w:r>
    </w:p>
    <w:p w:rsidR="008F71C7" w:rsidRDefault="008F71C7" w:rsidP="009C1A98">
      <w:pPr>
        <w:pStyle w:val="ListParagraph"/>
        <w:numPr>
          <w:ilvl w:val="0"/>
          <w:numId w:val="10"/>
        </w:numPr>
        <w:spacing w:after="0" w:line="276" w:lineRule="auto"/>
        <w:contextualSpacing w:val="0"/>
        <w:jc w:val="both"/>
        <w:rPr>
          <w:rFonts w:ascii="Arial" w:hAnsi="Arial" w:cs="Arial"/>
        </w:rPr>
      </w:pPr>
      <w:r>
        <w:rPr>
          <w:rFonts w:ascii="Arial" w:hAnsi="Arial" w:cs="Arial"/>
        </w:rPr>
        <w:t>Court orders</w:t>
      </w:r>
    </w:p>
    <w:p w:rsidR="008F71C7" w:rsidRDefault="008F71C7" w:rsidP="009C1A98">
      <w:pPr>
        <w:pStyle w:val="ListParagraph"/>
        <w:numPr>
          <w:ilvl w:val="0"/>
          <w:numId w:val="10"/>
        </w:numPr>
        <w:spacing w:after="0" w:line="276" w:lineRule="auto"/>
        <w:contextualSpacing w:val="0"/>
        <w:jc w:val="both"/>
        <w:rPr>
          <w:rFonts w:ascii="Arial" w:hAnsi="Arial" w:cs="Arial"/>
        </w:rPr>
      </w:pPr>
      <w:r>
        <w:rPr>
          <w:rFonts w:ascii="Arial" w:hAnsi="Arial" w:cs="Arial"/>
        </w:rPr>
        <w:t>Condonations</w:t>
      </w:r>
      <w:r w:rsidR="009C1A98">
        <w:rPr>
          <w:rFonts w:ascii="Arial" w:hAnsi="Arial" w:cs="Arial"/>
        </w:rPr>
        <w:t>; and</w:t>
      </w:r>
    </w:p>
    <w:p w:rsidR="008F71C7" w:rsidRDefault="008F71C7" w:rsidP="009C1A98">
      <w:pPr>
        <w:pStyle w:val="ListParagraph"/>
        <w:numPr>
          <w:ilvl w:val="0"/>
          <w:numId w:val="10"/>
        </w:numPr>
        <w:spacing w:before="100" w:beforeAutospacing="1" w:after="100" w:afterAutospacing="1" w:line="276" w:lineRule="auto"/>
        <w:jc w:val="both"/>
        <w:rPr>
          <w:rFonts w:ascii="Arial" w:hAnsi="Arial" w:cs="Arial"/>
        </w:rPr>
      </w:pPr>
      <w:r>
        <w:rPr>
          <w:rFonts w:ascii="Arial" w:hAnsi="Arial" w:cs="Arial"/>
        </w:rPr>
        <w:t>Investigations</w:t>
      </w:r>
    </w:p>
    <w:p w:rsidR="00544702" w:rsidRDefault="008F71C7" w:rsidP="007404EA">
      <w:pPr>
        <w:spacing w:after="0" w:line="276" w:lineRule="auto"/>
        <w:ind w:left="426"/>
        <w:jc w:val="both"/>
        <w:rPr>
          <w:rFonts w:ascii="Arial" w:eastAsia="Times New Roman" w:hAnsi="Arial" w:cs="Arial"/>
          <w:b/>
          <w:sz w:val="24"/>
          <w:szCs w:val="24"/>
        </w:rPr>
      </w:pPr>
      <w:r w:rsidRPr="00A23AC9">
        <w:rPr>
          <w:rFonts w:ascii="Arial" w:hAnsi="Arial" w:cs="Arial"/>
        </w:rPr>
        <w:t>A number of investigations are currently conducted</w:t>
      </w:r>
      <w:r>
        <w:rPr>
          <w:rFonts w:ascii="Arial" w:hAnsi="Arial" w:cs="Arial"/>
        </w:rPr>
        <w:t xml:space="preserve"> at Eskom,</w:t>
      </w:r>
      <w:r w:rsidRPr="00A23AC9">
        <w:rPr>
          <w:rFonts w:ascii="Arial" w:hAnsi="Arial" w:cs="Arial"/>
        </w:rPr>
        <w:t xml:space="preserve"> PRASA, SABC and SAA.</w:t>
      </w:r>
      <w:r>
        <w:rPr>
          <w:rFonts w:ascii="Arial" w:hAnsi="Arial" w:cs="Arial"/>
        </w:rPr>
        <w:t xml:space="preserve"> </w:t>
      </w:r>
      <w:r w:rsidRPr="00A23AC9">
        <w:rPr>
          <w:rFonts w:ascii="Arial" w:hAnsi="Arial" w:cs="Arial"/>
        </w:rPr>
        <w:t>The investigations are conducted in accordance wit</w:t>
      </w:r>
      <w:r>
        <w:rPr>
          <w:rFonts w:ascii="Arial" w:hAnsi="Arial" w:cs="Arial"/>
        </w:rPr>
        <w:t xml:space="preserve">h accepted procedure.  Both Eskom </w:t>
      </w:r>
      <w:r w:rsidRPr="00A23AC9">
        <w:rPr>
          <w:rFonts w:ascii="Arial" w:hAnsi="Arial" w:cs="Arial"/>
        </w:rPr>
        <w:t>and PRASA were requested for management comments and once inputs were received, will be issued in the last week of April or beginning of May 2017.</w:t>
      </w:r>
    </w:p>
    <w:p w:rsidR="00544702" w:rsidRDefault="00544702" w:rsidP="00544702">
      <w:pPr>
        <w:spacing w:after="0" w:line="240" w:lineRule="auto"/>
        <w:jc w:val="both"/>
        <w:rPr>
          <w:rFonts w:ascii="Arial" w:eastAsia="Times New Roman" w:hAnsi="Arial" w:cs="Arial"/>
          <w:b/>
          <w:sz w:val="24"/>
          <w:szCs w:val="24"/>
        </w:rPr>
      </w:pPr>
    </w:p>
    <w:p w:rsidR="00FA05FE" w:rsidRPr="00FA05FE" w:rsidRDefault="00FA05FE" w:rsidP="00FA05FE">
      <w:pPr>
        <w:spacing w:after="0" w:line="240" w:lineRule="auto"/>
        <w:ind w:left="360"/>
        <w:jc w:val="both"/>
        <w:rPr>
          <w:rFonts w:ascii="Arial" w:eastAsia="Times New Roman" w:hAnsi="Arial" w:cs="Arial"/>
          <w:b/>
          <w:sz w:val="24"/>
          <w:szCs w:val="24"/>
        </w:rPr>
      </w:pPr>
    </w:p>
    <w:p w:rsidR="00FA05FE" w:rsidRPr="003208ED" w:rsidRDefault="00FA05FE" w:rsidP="00FA05FE">
      <w:pPr>
        <w:numPr>
          <w:ilvl w:val="0"/>
          <w:numId w:val="1"/>
        </w:numPr>
        <w:spacing w:after="0" w:line="240" w:lineRule="auto"/>
        <w:jc w:val="both"/>
        <w:rPr>
          <w:rFonts w:ascii="Arial" w:eastAsia="Times New Roman" w:hAnsi="Arial" w:cs="Arial"/>
          <w:b/>
          <w:i/>
          <w:sz w:val="24"/>
          <w:szCs w:val="24"/>
        </w:rPr>
      </w:pPr>
      <w:r w:rsidRPr="003208ED">
        <w:rPr>
          <w:rFonts w:ascii="Arial" w:eastAsia="Times New Roman" w:hAnsi="Arial" w:cs="Arial"/>
          <w:b/>
          <w:i/>
          <w:sz w:val="24"/>
          <w:szCs w:val="24"/>
        </w:rPr>
        <w:t xml:space="preserve">OCPO OPERATIONS – A PRESENTATION ON THE OPERATIONS OF OCPO WITH A PARTICULAR EMPHASIS ON HOW OCPO CAN DETERMINE PROCUREMENT ACROSS SUCH A WIDE RANGE OF HIGHLY SPECIALISED AREAS OF OPERATIONS (EXAMPLE GIVEN NUCLEAR) TO ALSO INCLUDE STATUS OF PROCESS TO APPOINT A CPO. </w:t>
      </w:r>
    </w:p>
    <w:p w:rsidR="00FA05FE" w:rsidRPr="00FA05FE" w:rsidRDefault="00FA05FE" w:rsidP="00FA05FE">
      <w:pPr>
        <w:pStyle w:val="ListParagraph"/>
        <w:ind w:left="360"/>
        <w:jc w:val="both"/>
        <w:rPr>
          <w:rFonts w:ascii="Arial" w:hAnsi="Arial" w:cs="Arial"/>
          <w:b/>
          <w:sz w:val="24"/>
        </w:rPr>
      </w:pPr>
    </w:p>
    <w:p w:rsidR="002B753C" w:rsidRPr="0041551E" w:rsidRDefault="002B753C" w:rsidP="00CC61C7">
      <w:pPr>
        <w:pStyle w:val="ListParagraph"/>
        <w:tabs>
          <w:tab w:val="left" w:pos="360"/>
        </w:tabs>
        <w:spacing w:after="0" w:line="276" w:lineRule="auto"/>
        <w:ind w:left="360"/>
        <w:jc w:val="both"/>
        <w:rPr>
          <w:rFonts w:ascii="Arial" w:eastAsia="Calibri" w:hAnsi="Arial" w:cs="Arial"/>
          <w:lang w:eastAsia="en-GB"/>
        </w:rPr>
      </w:pPr>
      <w:r w:rsidRPr="0041551E">
        <w:rPr>
          <w:rFonts w:ascii="Arial" w:eastAsia="Calibri" w:hAnsi="Arial" w:cs="Arial"/>
          <w:lang w:eastAsia="en-GB"/>
        </w:rPr>
        <w:t>OCPO operates in terms of the PFMA and MFMA vest procurement decisions in the Accounting Officer or Accounting Authority (Sec 38 (1) (a) (iii) and Sec 51 (1) (a) (iii) of PFMA as well as sec 65 (2) (j) of the MFMA).</w:t>
      </w:r>
    </w:p>
    <w:p w:rsidR="002B753C" w:rsidRDefault="002B753C" w:rsidP="00CC61C7">
      <w:pPr>
        <w:pStyle w:val="ListParagraph"/>
        <w:spacing w:after="0" w:line="276" w:lineRule="auto"/>
        <w:ind w:left="360"/>
        <w:jc w:val="both"/>
        <w:rPr>
          <w:rFonts w:ascii="Arial" w:eastAsia="Calibri" w:hAnsi="Arial" w:cs="Arial"/>
          <w:lang w:eastAsia="en-GB"/>
        </w:rPr>
      </w:pPr>
    </w:p>
    <w:p w:rsidR="002B753C" w:rsidRDefault="002B753C" w:rsidP="00CC61C7">
      <w:pPr>
        <w:pStyle w:val="ListParagraph"/>
        <w:spacing w:after="0" w:line="276" w:lineRule="auto"/>
        <w:ind w:left="360"/>
        <w:jc w:val="both"/>
        <w:rPr>
          <w:rFonts w:ascii="Arial" w:eastAsia="Calibri" w:hAnsi="Arial" w:cs="Arial"/>
          <w:lang w:eastAsia="en-GB"/>
        </w:rPr>
      </w:pPr>
      <w:r w:rsidRPr="00233016">
        <w:rPr>
          <w:rFonts w:ascii="Arial" w:eastAsia="Calibri" w:hAnsi="Arial" w:cs="Arial"/>
          <w:lang w:eastAsia="en-GB"/>
        </w:rPr>
        <w:t>The OCPO provides policy guidance, advice and support on a daily basis to enable Accounting Officers and practitioners to ex</w:t>
      </w:r>
      <w:r>
        <w:rPr>
          <w:rFonts w:ascii="Arial" w:eastAsia="Calibri" w:hAnsi="Arial" w:cs="Arial"/>
          <w:lang w:eastAsia="en-GB"/>
        </w:rPr>
        <w:t>ecute their mandate accordingly.</w:t>
      </w:r>
    </w:p>
    <w:p w:rsidR="00CC61C7" w:rsidRDefault="00CC61C7" w:rsidP="00CC61C7">
      <w:pPr>
        <w:pStyle w:val="ListParagraph"/>
        <w:spacing w:after="0" w:line="276" w:lineRule="auto"/>
        <w:ind w:left="360"/>
        <w:jc w:val="both"/>
        <w:rPr>
          <w:rFonts w:ascii="Arial" w:eastAsia="Calibri" w:hAnsi="Arial" w:cs="Arial"/>
          <w:lang w:eastAsia="en-GB"/>
        </w:rPr>
      </w:pPr>
    </w:p>
    <w:p w:rsidR="00CC61C7" w:rsidRDefault="00CC61C7" w:rsidP="00CC61C7">
      <w:pPr>
        <w:spacing w:line="276" w:lineRule="auto"/>
        <w:ind w:left="426"/>
        <w:jc w:val="both"/>
        <w:rPr>
          <w:rFonts w:ascii="Arial" w:hAnsi="Arial" w:cs="Arial"/>
          <w:b/>
        </w:rPr>
      </w:pPr>
      <w:r>
        <w:rPr>
          <w:rFonts w:ascii="Arial" w:eastAsia="Calibri" w:hAnsi="Arial" w:cs="Arial"/>
          <w:lang w:eastAsia="en-GB"/>
        </w:rPr>
        <w:t>In terms of the appointment of CPO, t</w:t>
      </w:r>
      <w:r w:rsidRPr="00233016">
        <w:rPr>
          <w:rFonts w:ascii="Arial" w:eastAsia="Calibri" w:hAnsi="Arial" w:cs="Arial"/>
          <w:lang w:eastAsia="en-GB"/>
        </w:rPr>
        <w:t>he position was advertised on 16 April 2017.  Normal recruitment and selection processes will be followed and a recommendation from the Minister of Finance to Cabinet for endorsement will ratify the appointment.</w:t>
      </w:r>
    </w:p>
    <w:p w:rsidR="00CC61C7" w:rsidRDefault="00CC61C7" w:rsidP="00CC61C7">
      <w:pPr>
        <w:pStyle w:val="ListParagraph"/>
        <w:spacing w:after="0" w:line="276" w:lineRule="auto"/>
        <w:ind w:left="360"/>
        <w:jc w:val="both"/>
        <w:rPr>
          <w:rFonts w:ascii="Arial" w:eastAsia="Calibri" w:hAnsi="Arial" w:cs="Arial"/>
          <w:lang w:eastAsia="en-GB"/>
        </w:rPr>
      </w:pPr>
    </w:p>
    <w:p w:rsidR="00454A3D" w:rsidRPr="004A20D0" w:rsidRDefault="00454A3D" w:rsidP="004A20D0">
      <w:pPr>
        <w:spacing w:line="360" w:lineRule="auto"/>
        <w:rPr>
          <w:rFonts w:ascii="Arial" w:hAnsi="Arial" w:cs="Arial"/>
        </w:rPr>
      </w:pPr>
    </w:p>
    <w:sectPr w:rsidR="00454A3D" w:rsidRPr="004A20D0" w:rsidSect="004329BA">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42A" w:rsidRDefault="00EB042A" w:rsidP="000C0B96">
      <w:pPr>
        <w:spacing w:after="0" w:line="240" w:lineRule="auto"/>
      </w:pPr>
      <w:r>
        <w:separator/>
      </w:r>
    </w:p>
  </w:endnote>
  <w:endnote w:type="continuationSeparator" w:id="0">
    <w:p w:rsidR="00EB042A" w:rsidRDefault="00EB042A" w:rsidP="000C0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42A" w:rsidRDefault="00EB042A" w:rsidP="000C0B96">
      <w:pPr>
        <w:spacing w:after="0" w:line="240" w:lineRule="auto"/>
      </w:pPr>
      <w:r>
        <w:separator/>
      </w:r>
    </w:p>
  </w:footnote>
  <w:footnote w:type="continuationSeparator" w:id="0">
    <w:p w:rsidR="00EB042A" w:rsidRDefault="00EB042A" w:rsidP="000C0B96">
      <w:pPr>
        <w:spacing w:after="0" w:line="240" w:lineRule="auto"/>
      </w:pPr>
      <w:r>
        <w:continuationSeparator/>
      </w:r>
    </w:p>
  </w:footnote>
  <w:footnote w:id="1">
    <w:p w:rsidR="00D9558E" w:rsidRPr="00D238E7" w:rsidRDefault="00D9558E" w:rsidP="00D238E7">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9BA" w:rsidRPr="003208ED" w:rsidRDefault="003208ED" w:rsidP="003208ED">
    <w:pPr>
      <w:spacing w:line="276" w:lineRule="auto"/>
      <w:jc w:val="center"/>
      <w:rPr>
        <w:sz w:val="18"/>
        <w:szCs w:val="18"/>
      </w:rPr>
    </w:pPr>
    <w:r w:rsidRPr="003208ED">
      <w:rPr>
        <w:rFonts w:ascii="Arial" w:hAnsi="Arial" w:cs="Arial"/>
        <w:sz w:val="18"/>
        <w:szCs w:val="18"/>
      </w:rPr>
      <w:t>RESPONSE TO THE SCOF QUESTIONS ARISING FROM NT 2016/2017 QUARTER THREE (3) PRESENTATION 28 MARCH 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5F5"/>
    <w:multiLevelType w:val="multilevel"/>
    <w:tmpl w:val="8AAC90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DD705E"/>
    <w:multiLevelType w:val="multilevel"/>
    <w:tmpl w:val="3B6E6C22"/>
    <w:lvl w:ilvl="0">
      <w:start w:val="1"/>
      <w:numFmt w:val="decimal"/>
      <w:lvlText w:val="%1."/>
      <w:lvlJc w:val="left"/>
      <w:pPr>
        <w:tabs>
          <w:tab w:val="num" w:pos="851"/>
        </w:tabs>
        <w:ind w:left="851" w:hanging="851"/>
      </w:pPr>
      <w:rPr>
        <w:b w:val="0"/>
        <w:i w:val="0"/>
        <w:sz w:val="24"/>
        <w:szCs w:val="24"/>
      </w:rPr>
    </w:lvl>
    <w:lvl w:ilvl="1">
      <w:start w:val="1"/>
      <w:numFmt w:val="bullet"/>
      <w:lvlText w:val=""/>
      <w:lvlJc w:val="left"/>
      <w:pPr>
        <w:tabs>
          <w:tab w:val="num" w:pos="851"/>
        </w:tabs>
        <w:ind w:left="851" w:hanging="851"/>
      </w:pPr>
      <w:rPr>
        <w:rFonts w:ascii="Symbol" w:hAnsi="Symbol" w:hint="default"/>
        <w:b w:val="0"/>
        <w:i w:val="0"/>
        <w:sz w:val="24"/>
        <w:szCs w:val="24"/>
      </w:rPr>
    </w:lvl>
    <w:lvl w:ilvl="2">
      <w:start w:val="1"/>
      <w:numFmt w:val="decimal"/>
      <w:lvlText w:val="%1.%2.%3"/>
      <w:lvlJc w:val="left"/>
      <w:pPr>
        <w:tabs>
          <w:tab w:val="num" w:pos="851"/>
        </w:tabs>
        <w:ind w:left="851" w:hanging="851"/>
      </w:pPr>
      <w:rPr>
        <w:b w:val="0"/>
        <w:i w:val="0"/>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49F6700"/>
    <w:multiLevelType w:val="hybridMultilevel"/>
    <w:tmpl w:val="89E0EDA2"/>
    <w:lvl w:ilvl="0" w:tplc="04090017">
      <w:start w:val="1"/>
      <w:numFmt w:val="lowerLetter"/>
      <w:lvlText w:val="%1)"/>
      <w:lvlJc w:val="left"/>
      <w:pPr>
        <w:ind w:left="1440" w:hanging="360"/>
      </w:pPr>
      <w:rPr>
        <w:rFont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4B2614E"/>
    <w:multiLevelType w:val="hybridMultilevel"/>
    <w:tmpl w:val="571E6EE0"/>
    <w:lvl w:ilvl="0" w:tplc="99500B74">
      <w:numFmt w:val="bullet"/>
      <w:lvlText w:val="-"/>
      <w:lvlJc w:val="left"/>
      <w:pPr>
        <w:ind w:left="720" w:hanging="360"/>
      </w:pPr>
      <w:rPr>
        <w:rFonts w:ascii="Calibri" w:eastAsiaTheme="minorHAnsi" w:hAnsi="Calibri"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6DA0589"/>
    <w:multiLevelType w:val="hybridMultilevel"/>
    <w:tmpl w:val="0908FB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8956036"/>
    <w:multiLevelType w:val="multilevel"/>
    <w:tmpl w:val="F2B6E490"/>
    <w:lvl w:ilvl="0">
      <w:start w:val="1"/>
      <w:numFmt w:val="decimal"/>
      <w:lvlText w:val="%1."/>
      <w:lvlJc w:val="left"/>
      <w:pPr>
        <w:tabs>
          <w:tab w:val="num" w:pos="851"/>
        </w:tabs>
        <w:ind w:left="851" w:hanging="851"/>
      </w:pPr>
      <w:rPr>
        <w:rFonts w:hint="default"/>
        <w:b w:val="0"/>
        <w:i w:val="0"/>
        <w:sz w:val="24"/>
        <w:szCs w:val="24"/>
      </w:rPr>
    </w:lvl>
    <w:lvl w:ilvl="1">
      <w:numFmt w:val="bullet"/>
      <w:lvlText w:val="-"/>
      <w:lvlJc w:val="left"/>
      <w:pPr>
        <w:tabs>
          <w:tab w:val="num" w:pos="851"/>
        </w:tabs>
        <w:ind w:left="851" w:hanging="851"/>
      </w:pPr>
      <w:rPr>
        <w:rFonts w:ascii="Calibri" w:eastAsiaTheme="minorHAnsi" w:hAnsi="Calibri" w:cstheme="minorBidi" w:hint="default"/>
        <w:b w:val="0"/>
        <w:i w:val="0"/>
        <w:sz w:val="24"/>
        <w:szCs w:val="24"/>
      </w:rPr>
    </w:lvl>
    <w:lvl w:ilvl="2">
      <w:start w:val="1"/>
      <w:numFmt w:val="decimal"/>
      <w:lvlText w:val="%1.%2.%3"/>
      <w:lvlJc w:val="left"/>
      <w:pPr>
        <w:tabs>
          <w:tab w:val="num" w:pos="851"/>
        </w:tabs>
        <w:ind w:left="851" w:hanging="851"/>
      </w:pPr>
      <w:rPr>
        <w:rFonts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A1C7F3B"/>
    <w:multiLevelType w:val="multilevel"/>
    <w:tmpl w:val="F89ADDF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B6256B9"/>
    <w:multiLevelType w:val="multilevel"/>
    <w:tmpl w:val="5DC0FFEA"/>
    <w:lvl w:ilvl="0">
      <w:numFmt w:val="bullet"/>
      <w:lvlText w:val="-"/>
      <w:lvlJc w:val="left"/>
      <w:pPr>
        <w:tabs>
          <w:tab w:val="num" w:pos="851"/>
        </w:tabs>
        <w:ind w:left="851" w:hanging="851"/>
      </w:pPr>
      <w:rPr>
        <w:rFonts w:ascii="Calibri" w:eastAsiaTheme="minorHAnsi" w:hAnsi="Calibri" w:cstheme="minorBidi" w:hint="default"/>
        <w:b w:val="0"/>
        <w:i w:val="0"/>
        <w:sz w:val="24"/>
        <w:szCs w:val="24"/>
      </w:rPr>
    </w:lvl>
    <w:lvl w:ilvl="1">
      <w:numFmt w:val="bullet"/>
      <w:lvlText w:val="-"/>
      <w:lvlJc w:val="left"/>
      <w:pPr>
        <w:tabs>
          <w:tab w:val="num" w:pos="851"/>
        </w:tabs>
        <w:ind w:left="851" w:hanging="851"/>
      </w:pPr>
      <w:rPr>
        <w:rFonts w:ascii="Calibri" w:eastAsiaTheme="minorHAnsi" w:hAnsi="Calibri" w:cstheme="minorBidi" w:hint="default"/>
        <w:b w:val="0"/>
        <w:i w:val="0"/>
        <w:sz w:val="24"/>
        <w:szCs w:val="24"/>
      </w:rPr>
    </w:lvl>
    <w:lvl w:ilvl="2">
      <w:start w:val="1"/>
      <w:numFmt w:val="decimal"/>
      <w:lvlText w:val="%1.%2.%3"/>
      <w:lvlJc w:val="left"/>
      <w:pPr>
        <w:tabs>
          <w:tab w:val="num" w:pos="851"/>
        </w:tabs>
        <w:ind w:left="851" w:hanging="851"/>
      </w:pPr>
      <w:rPr>
        <w:rFonts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B80685C"/>
    <w:multiLevelType w:val="multilevel"/>
    <w:tmpl w:val="C18A72C6"/>
    <w:lvl w:ilvl="0">
      <w:start w:val="1"/>
      <w:numFmt w:val="decimal"/>
      <w:lvlText w:val="%1."/>
      <w:lvlJc w:val="left"/>
      <w:pPr>
        <w:tabs>
          <w:tab w:val="num" w:pos="851"/>
        </w:tabs>
        <w:ind w:left="851" w:hanging="851"/>
      </w:pPr>
      <w:rPr>
        <w:b w:val="0"/>
        <w:i w:val="0"/>
        <w:sz w:val="24"/>
        <w:szCs w:val="24"/>
      </w:rPr>
    </w:lvl>
    <w:lvl w:ilvl="1">
      <w:start w:val="1"/>
      <w:numFmt w:val="bullet"/>
      <w:lvlText w:val=""/>
      <w:lvlJc w:val="left"/>
      <w:pPr>
        <w:tabs>
          <w:tab w:val="num" w:pos="851"/>
        </w:tabs>
        <w:ind w:left="851" w:hanging="851"/>
      </w:pPr>
      <w:rPr>
        <w:rFonts w:ascii="Symbol" w:hAnsi="Symbol" w:hint="default"/>
        <w:b w:val="0"/>
        <w:i w:val="0"/>
        <w:sz w:val="24"/>
        <w:szCs w:val="24"/>
      </w:rPr>
    </w:lvl>
    <w:lvl w:ilvl="2">
      <w:start w:val="1"/>
      <w:numFmt w:val="decimal"/>
      <w:lvlText w:val="%1.%2.%3"/>
      <w:lvlJc w:val="left"/>
      <w:pPr>
        <w:tabs>
          <w:tab w:val="num" w:pos="851"/>
        </w:tabs>
        <w:ind w:left="851" w:hanging="851"/>
      </w:pPr>
      <w:rPr>
        <w:b w:val="0"/>
        <w:i w:val="0"/>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52278A4"/>
    <w:multiLevelType w:val="multilevel"/>
    <w:tmpl w:val="F2B6E490"/>
    <w:lvl w:ilvl="0">
      <w:start w:val="1"/>
      <w:numFmt w:val="decimal"/>
      <w:lvlText w:val="%1."/>
      <w:lvlJc w:val="left"/>
      <w:pPr>
        <w:tabs>
          <w:tab w:val="num" w:pos="851"/>
        </w:tabs>
        <w:ind w:left="851" w:hanging="851"/>
      </w:pPr>
      <w:rPr>
        <w:rFonts w:hint="default"/>
        <w:b w:val="0"/>
        <w:i w:val="0"/>
        <w:sz w:val="24"/>
        <w:szCs w:val="24"/>
      </w:rPr>
    </w:lvl>
    <w:lvl w:ilvl="1">
      <w:numFmt w:val="bullet"/>
      <w:lvlText w:val="-"/>
      <w:lvlJc w:val="left"/>
      <w:pPr>
        <w:tabs>
          <w:tab w:val="num" w:pos="851"/>
        </w:tabs>
        <w:ind w:left="851" w:hanging="851"/>
      </w:pPr>
      <w:rPr>
        <w:rFonts w:ascii="Calibri" w:eastAsiaTheme="minorHAnsi" w:hAnsi="Calibri" w:cstheme="minorBidi" w:hint="default"/>
        <w:b w:val="0"/>
        <w:i w:val="0"/>
        <w:sz w:val="24"/>
        <w:szCs w:val="24"/>
      </w:rPr>
    </w:lvl>
    <w:lvl w:ilvl="2">
      <w:start w:val="1"/>
      <w:numFmt w:val="decimal"/>
      <w:lvlText w:val="%1.%2.%3"/>
      <w:lvlJc w:val="left"/>
      <w:pPr>
        <w:tabs>
          <w:tab w:val="num" w:pos="851"/>
        </w:tabs>
        <w:ind w:left="851" w:hanging="851"/>
      </w:pPr>
      <w:rPr>
        <w:rFonts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81500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2278D1"/>
    <w:multiLevelType w:val="hybridMultilevel"/>
    <w:tmpl w:val="61EAA854"/>
    <w:lvl w:ilvl="0" w:tplc="1C090019">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1C0F2715"/>
    <w:multiLevelType w:val="multilevel"/>
    <w:tmpl w:val="0A1E8EF8"/>
    <w:lvl w:ilvl="0">
      <w:start w:val="5"/>
      <w:numFmt w:val="decimal"/>
      <w:lvlText w:val="%1."/>
      <w:lvlJc w:val="left"/>
      <w:pPr>
        <w:tabs>
          <w:tab w:val="num" w:pos="851"/>
        </w:tabs>
        <w:ind w:left="851" w:hanging="851"/>
      </w:pPr>
      <w:rPr>
        <w:rFonts w:hint="default"/>
        <w:b w:val="0"/>
        <w:i w:val="0"/>
        <w:sz w:val="24"/>
        <w:szCs w:val="24"/>
      </w:rPr>
    </w:lvl>
    <w:lvl w:ilvl="1">
      <w:start w:val="1"/>
      <w:numFmt w:val="bullet"/>
      <w:lvlText w:val=""/>
      <w:lvlJc w:val="left"/>
      <w:pPr>
        <w:tabs>
          <w:tab w:val="num" w:pos="851"/>
        </w:tabs>
        <w:ind w:left="851" w:hanging="851"/>
      </w:pPr>
      <w:rPr>
        <w:rFonts w:ascii="Symbol" w:hAnsi="Symbol" w:hint="default"/>
        <w:b w:val="0"/>
        <w:i w:val="0"/>
        <w:sz w:val="24"/>
        <w:szCs w:val="24"/>
      </w:rPr>
    </w:lvl>
    <w:lvl w:ilvl="2">
      <w:start w:val="1"/>
      <w:numFmt w:val="decimal"/>
      <w:lvlText w:val="%1.%2.%3"/>
      <w:lvlJc w:val="left"/>
      <w:pPr>
        <w:tabs>
          <w:tab w:val="num" w:pos="851"/>
        </w:tabs>
        <w:ind w:left="851" w:hanging="851"/>
      </w:pPr>
      <w:rPr>
        <w:rFonts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CFC2F81"/>
    <w:multiLevelType w:val="hybridMultilevel"/>
    <w:tmpl w:val="3AE6134A"/>
    <w:lvl w:ilvl="0" w:tplc="99500B74">
      <w:numFmt w:val="bullet"/>
      <w:lvlText w:val="-"/>
      <w:lvlJc w:val="left"/>
      <w:pPr>
        <w:ind w:left="720" w:hanging="360"/>
      </w:pPr>
      <w:rPr>
        <w:rFonts w:ascii="Calibri" w:eastAsiaTheme="minorHAnsi" w:hAnsi="Calibri" w:cstheme="minorBidi" w:hint="default"/>
      </w:rPr>
    </w:lvl>
    <w:lvl w:ilvl="1" w:tplc="99500B74">
      <w:numFmt w:val="bullet"/>
      <w:lvlText w:val="-"/>
      <w:lvlJc w:val="left"/>
      <w:pPr>
        <w:ind w:left="1440" w:hanging="360"/>
      </w:pPr>
      <w:rPr>
        <w:rFonts w:ascii="Calibri" w:eastAsiaTheme="minorHAnsi" w:hAnsi="Calibri" w:cstheme="minorBidi"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F557BA2"/>
    <w:multiLevelType w:val="hybridMultilevel"/>
    <w:tmpl w:val="902A1658"/>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5" w15:restartNumberingAfterBreak="0">
    <w:nsid w:val="39C44A82"/>
    <w:multiLevelType w:val="multilevel"/>
    <w:tmpl w:val="20F24A56"/>
    <w:lvl w:ilvl="0">
      <w:start w:val="1"/>
      <w:numFmt w:val="decimal"/>
      <w:lvlText w:val="%1."/>
      <w:lvlJc w:val="left"/>
      <w:pPr>
        <w:tabs>
          <w:tab w:val="num" w:pos="851"/>
        </w:tabs>
        <w:ind w:left="851" w:hanging="851"/>
      </w:pPr>
      <w:rPr>
        <w:b w:val="0"/>
        <w:i w:val="0"/>
        <w:sz w:val="24"/>
        <w:szCs w:val="24"/>
      </w:rPr>
    </w:lvl>
    <w:lvl w:ilvl="1">
      <w:numFmt w:val="bullet"/>
      <w:lvlText w:val="-"/>
      <w:lvlJc w:val="left"/>
      <w:pPr>
        <w:tabs>
          <w:tab w:val="num" w:pos="851"/>
        </w:tabs>
        <w:ind w:left="851" w:hanging="851"/>
      </w:pPr>
      <w:rPr>
        <w:rFonts w:ascii="Calibri" w:eastAsiaTheme="minorHAnsi" w:hAnsi="Calibri" w:cstheme="minorBidi" w:hint="default"/>
        <w:b w:val="0"/>
        <w:i w:val="0"/>
        <w:sz w:val="24"/>
        <w:szCs w:val="24"/>
      </w:rPr>
    </w:lvl>
    <w:lvl w:ilvl="2">
      <w:start w:val="1"/>
      <w:numFmt w:val="decimal"/>
      <w:lvlText w:val="%1.%2.%3"/>
      <w:lvlJc w:val="left"/>
      <w:pPr>
        <w:tabs>
          <w:tab w:val="num" w:pos="851"/>
        </w:tabs>
        <w:ind w:left="851" w:hanging="851"/>
      </w:pPr>
      <w:rPr>
        <w:b w:val="0"/>
        <w:i w:val="0"/>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00705EA"/>
    <w:multiLevelType w:val="multilevel"/>
    <w:tmpl w:val="F89ADDF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BEB4CA3"/>
    <w:multiLevelType w:val="multilevel"/>
    <w:tmpl w:val="F89ADDF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CB71FDD"/>
    <w:multiLevelType w:val="hybridMultilevel"/>
    <w:tmpl w:val="12467E0C"/>
    <w:lvl w:ilvl="0" w:tplc="99500B74">
      <w:numFmt w:val="bullet"/>
      <w:lvlText w:val="-"/>
      <w:lvlJc w:val="left"/>
      <w:pPr>
        <w:ind w:left="720" w:hanging="360"/>
      </w:pPr>
      <w:rPr>
        <w:rFonts w:ascii="Calibri" w:eastAsiaTheme="minorHAnsi" w:hAnsi="Calibri"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0DD5358"/>
    <w:multiLevelType w:val="multilevel"/>
    <w:tmpl w:val="931403DC"/>
    <w:lvl w:ilvl="0">
      <w:start w:val="1"/>
      <w:numFmt w:val="decimal"/>
      <w:pStyle w:val="H1"/>
      <w:lvlText w:val="%1."/>
      <w:lvlJc w:val="left"/>
      <w:pPr>
        <w:tabs>
          <w:tab w:val="num" w:pos="851"/>
        </w:tabs>
        <w:ind w:left="851" w:hanging="851"/>
      </w:pPr>
      <w:rPr>
        <w:rFonts w:hint="default"/>
        <w:b w:val="0"/>
        <w:i w:val="0"/>
        <w:sz w:val="24"/>
        <w:szCs w:val="24"/>
      </w:rPr>
    </w:lvl>
    <w:lvl w:ilvl="1">
      <w:start w:val="1"/>
      <w:numFmt w:val="decimal"/>
      <w:pStyle w:val="H2"/>
      <w:lvlText w:val="%1.%2"/>
      <w:lvlJc w:val="left"/>
      <w:pPr>
        <w:tabs>
          <w:tab w:val="num" w:pos="851"/>
        </w:tabs>
        <w:ind w:left="851" w:hanging="851"/>
      </w:pPr>
      <w:rPr>
        <w:rFonts w:hint="default"/>
        <w:b w:val="0"/>
        <w:i w:val="0"/>
        <w:sz w:val="24"/>
        <w:szCs w:val="24"/>
      </w:rPr>
    </w:lvl>
    <w:lvl w:ilvl="2">
      <w:start w:val="1"/>
      <w:numFmt w:val="decimal"/>
      <w:pStyle w:val="H3"/>
      <w:lvlText w:val="%1.%2.%3"/>
      <w:lvlJc w:val="left"/>
      <w:pPr>
        <w:tabs>
          <w:tab w:val="num" w:pos="851"/>
        </w:tabs>
        <w:ind w:left="851" w:hanging="851"/>
      </w:pPr>
      <w:rPr>
        <w:rFonts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19311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2D83DEF"/>
    <w:multiLevelType w:val="multilevel"/>
    <w:tmpl w:val="917855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91B6C93"/>
    <w:multiLevelType w:val="hybridMultilevel"/>
    <w:tmpl w:val="04ACBD22"/>
    <w:lvl w:ilvl="0" w:tplc="66204EB8">
      <w:start w:val="1"/>
      <w:numFmt w:val="bullet"/>
      <w:lvlText w:val=""/>
      <w:lvlJc w:val="left"/>
      <w:pPr>
        <w:ind w:left="720" w:hanging="360"/>
      </w:pPr>
      <w:rPr>
        <w:rFonts w:ascii="Wingdings" w:hAnsi="Wingdings" w:hint="default"/>
        <w:color w:val="000000" w:themeColor="text1"/>
        <w:sz w:val="28"/>
        <w:szCs w:val="2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C2142B8"/>
    <w:multiLevelType w:val="hybridMultilevel"/>
    <w:tmpl w:val="A4EEC5AA"/>
    <w:lvl w:ilvl="0" w:tplc="99500B74">
      <w:numFmt w:val="bullet"/>
      <w:lvlText w:val="-"/>
      <w:lvlJc w:val="left"/>
      <w:pPr>
        <w:ind w:left="498" w:hanging="360"/>
      </w:pPr>
      <w:rPr>
        <w:rFonts w:ascii="Calibri" w:eastAsiaTheme="minorHAnsi" w:hAnsi="Calibri" w:cstheme="minorBidi" w:hint="default"/>
      </w:rPr>
    </w:lvl>
    <w:lvl w:ilvl="1" w:tplc="1C090003">
      <w:start w:val="1"/>
      <w:numFmt w:val="bullet"/>
      <w:lvlText w:val="o"/>
      <w:lvlJc w:val="left"/>
      <w:pPr>
        <w:ind w:left="1218" w:hanging="360"/>
      </w:pPr>
      <w:rPr>
        <w:rFonts w:ascii="Courier New" w:hAnsi="Courier New" w:cs="Courier New" w:hint="default"/>
      </w:rPr>
    </w:lvl>
    <w:lvl w:ilvl="2" w:tplc="1C090005" w:tentative="1">
      <w:start w:val="1"/>
      <w:numFmt w:val="bullet"/>
      <w:lvlText w:val=""/>
      <w:lvlJc w:val="left"/>
      <w:pPr>
        <w:ind w:left="1938" w:hanging="360"/>
      </w:pPr>
      <w:rPr>
        <w:rFonts w:ascii="Wingdings" w:hAnsi="Wingdings" w:hint="default"/>
      </w:rPr>
    </w:lvl>
    <w:lvl w:ilvl="3" w:tplc="1C090001" w:tentative="1">
      <w:start w:val="1"/>
      <w:numFmt w:val="bullet"/>
      <w:lvlText w:val=""/>
      <w:lvlJc w:val="left"/>
      <w:pPr>
        <w:ind w:left="2658" w:hanging="360"/>
      </w:pPr>
      <w:rPr>
        <w:rFonts w:ascii="Symbol" w:hAnsi="Symbol" w:hint="default"/>
      </w:rPr>
    </w:lvl>
    <w:lvl w:ilvl="4" w:tplc="1C090003" w:tentative="1">
      <w:start w:val="1"/>
      <w:numFmt w:val="bullet"/>
      <w:lvlText w:val="o"/>
      <w:lvlJc w:val="left"/>
      <w:pPr>
        <w:ind w:left="3378" w:hanging="360"/>
      </w:pPr>
      <w:rPr>
        <w:rFonts w:ascii="Courier New" w:hAnsi="Courier New" w:cs="Courier New" w:hint="default"/>
      </w:rPr>
    </w:lvl>
    <w:lvl w:ilvl="5" w:tplc="1C090005" w:tentative="1">
      <w:start w:val="1"/>
      <w:numFmt w:val="bullet"/>
      <w:lvlText w:val=""/>
      <w:lvlJc w:val="left"/>
      <w:pPr>
        <w:ind w:left="4098" w:hanging="360"/>
      </w:pPr>
      <w:rPr>
        <w:rFonts w:ascii="Wingdings" w:hAnsi="Wingdings" w:hint="default"/>
      </w:rPr>
    </w:lvl>
    <w:lvl w:ilvl="6" w:tplc="1C090001" w:tentative="1">
      <w:start w:val="1"/>
      <w:numFmt w:val="bullet"/>
      <w:lvlText w:val=""/>
      <w:lvlJc w:val="left"/>
      <w:pPr>
        <w:ind w:left="4818" w:hanging="360"/>
      </w:pPr>
      <w:rPr>
        <w:rFonts w:ascii="Symbol" w:hAnsi="Symbol" w:hint="default"/>
      </w:rPr>
    </w:lvl>
    <w:lvl w:ilvl="7" w:tplc="1C090003" w:tentative="1">
      <w:start w:val="1"/>
      <w:numFmt w:val="bullet"/>
      <w:lvlText w:val="o"/>
      <w:lvlJc w:val="left"/>
      <w:pPr>
        <w:ind w:left="5538" w:hanging="360"/>
      </w:pPr>
      <w:rPr>
        <w:rFonts w:ascii="Courier New" w:hAnsi="Courier New" w:cs="Courier New" w:hint="default"/>
      </w:rPr>
    </w:lvl>
    <w:lvl w:ilvl="8" w:tplc="1C090005" w:tentative="1">
      <w:start w:val="1"/>
      <w:numFmt w:val="bullet"/>
      <w:lvlText w:val=""/>
      <w:lvlJc w:val="left"/>
      <w:pPr>
        <w:ind w:left="6258" w:hanging="360"/>
      </w:pPr>
      <w:rPr>
        <w:rFonts w:ascii="Wingdings" w:hAnsi="Wingdings" w:hint="default"/>
      </w:rPr>
    </w:lvl>
  </w:abstractNum>
  <w:abstractNum w:abstractNumId="24" w15:restartNumberingAfterBreak="0">
    <w:nsid w:val="7C9B2BD8"/>
    <w:multiLevelType w:val="hybridMultilevel"/>
    <w:tmpl w:val="74E2944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10"/>
  </w:num>
  <w:num w:numId="2">
    <w:abstractNumId w:val="22"/>
  </w:num>
  <w:num w:numId="3">
    <w:abstractNumId w:val="24"/>
  </w:num>
  <w:num w:numId="4">
    <w:abstractNumId w:val="11"/>
  </w:num>
  <w:num w:numId="5">
    <w:abstractNumId w:val="20"/>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17"/>
  </w:num>
  <w:num w:numId="10">
    <w:abstractNumId w:val="4"/>
  </w:num>
  <w:num w:numId="11">
    <w:abstractNumId w:val="16"/>
  </w:num>
  <w:num w:numId="12">
    <w:abstractNumId w:val="6"/>
  </w:num>
  <w:num w:numId="13">
    <w:abstractNumId w:val="23"/>
  </w:num>
  <w:num w:numId="14">
    <w:abstractNumId w:val="19"/>
  </w:num>
  <w:num w:numId="15">
    <w:abstractNumId w:val="1"/>
  </w:num>
  <w:num w:numId="16">
    <w:abstractNumId w:val="8"/>
  </w:num>
  <w:num w:numId="17">
    <w:abstractNumId w:val="14"/>
  </w:num>
  <w:num w:numId="18">
    <w:abstractNumId w:val="12"/>
  </w:num>
  <w:num w:numId="19">
    <w:abstractNumId w:val="9"/>
  </w:num>
  <w:num w:numId="20">
    <w:abstractNumId w:val="5"/>
  </w:num>
  <w:num w:numId="21">
    <w:abstractNumId w:val="7"/>
  </w:num>
  <w:num w:numId="22">
    <w:abstractNumId w:val="3"/>
  </w:num>
  <w:num w:numId="23">
    <w:abstractNumId w:val="18"/>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0D0"/>
    <w:rsid w:val="000C0B96"/>
    <w:rsid w:val="000D187C"/>
    <w:rsid w:val="00166E73"/>
    <w:rsid w:val="001B6A47"/>
    <w:rsid w:val="001D06BA"/>
    <w:rsid w:val="00207051"/>
    <w:rsid w:val="00251493"/>
    <w:rsid w:val="00263C9E"/>
    <w:rsid w:val="002B753C"/>
    <w:rsid w:val="003208ED"/>
    <w:rsid w:val="00375F54"/>
    <w:rsid w:val="00394CC5"/>
    <w:rsid w:val="003A18C7"/>
    <w:rsid w:val="00410B42"/>
    <w:rsid w:val="004329BA"/>
    <w:rsid w:val="0045029B"/>
    <w:rsid w:val="00454A3D"/>
    <w:rsid w:val="00497237"/>
    <w:rsid w:val="004A20D0"/>
    <w:rsid w:val="00544702"/>
    <w:rsid w:val="00596C6B"/>
    <w:rsid w:val="00603355"/>
    <w:rsid w:val="006311E6"/>
    <w:rsid w:val="006912ED"/>
    <w:rsid w:val="006A1F3E"/>
    <w:rsid w:val="006A2C84"/>
    <w:rsid w:val="006C456E"/>
    <w:rsid w:val="00726587"/>
    <w:rsid w:val="007404EA"/>
    <w:rsid w:val="00765C4C"/>
    <w:rsid w:val="008269B4"/>
    <w:rsid w:val="00893D9D"/>
    <w:rsid w:val="008B64DF"/>
    <w:rsid w:val="008E36C0"/>
    <w:rsid w:val="008F71C7"/>
    <w:rsid w:val="00944C5C"/>
    <w:rsid w:val="00962162"/>
    <w:rsid w:val="0098543E"/>
    <w:rsid w:val="009C1A98"/>
    <w:rsid w:val="00A2223B"/>
    <w:rsid w:val="00A625FF"/>
    <w:rsid w:val="00B536E4"/>
    <w:rsid w:val="00BB28DD"/>
    <w:rsid w:val="00BD4024"/>
    <w:rsid w:val="00BF5B24"/>
    <w:rsid w:val="00C31949"/>
    <w:rsid w:val="00C34365"/>
    <w:rsid w:val="00C50369"/>
    <w:rsid w:val="00CC61C7"/>
    <w:rsid w:val="00CD3738"/>
    <w:rsid w:val="00CF4730"/>
    <w:rsid w:val="00D205F4"/>
    <w:rsid w:val="00D238E7"/>
    <w:rsid w:val="00D656F8"/>
    <w:rsid w:val="00D9558E"/>
    <w:rsid w:val="00DD642D"/>
    <w:rsid w:val="00DF607B"/>
    <w:rsid w:val="00E070E2"/>
    <w:rsid w:val="00E36BBD"/>
    <w:rsid w:val="00E407B4"/>
    <w:rsid w:val="00E61B66"/>
    <w:rsid w:val="00EA4ACB"/>
    <w:rsid w:val="00EB042A"/>
    <w:rsid w:val="00FA05FE"/>
    <w:rsid w:val="00FB79C3"/>
    <w:rsid w:val="00FD7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A69E4-51F4-48F0-A02B-98F825AE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1493"/>
    <w:pPr>
      <w:keepNext/>
      <w:keepLines/>
      <w:spacing w:before="240" w:after="0"/>
      <w:outlineLvl w:val="0"/>
    </w:pPr>
    <w:rPr>
      <w:rFonts w:asciiTheme="majorHAnsi" w:eastAsiaTheme="majorEastAsia" w:hAnsiTheme="majorHAnsi" w:cstheme="majorBidi"/>
      <w:color w:val="2E74B5" w:themeColor="accent1" w:themeShade="BF"/>
      <w:sz w:val="32"/>
      <w:szCs w:val="3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0D0"/>
    <w:pPr>
      <w:ind w:left="720"/>
      <w:contextualSpacing/>
    </w:pPr>
  </w:style>
  <w:style w:type="table" w:customStyle="1" w:styleId="TableGrid2">
    <w:name w:val="Table Grid2"/>
    <w:basedOn w:val="TableNormal"/>
    <w:next w:val="TableGrid"/>
    <w:uiPriority w:val="59"/>
    <w:rsid w:val="001D06BA"/>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D0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96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96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0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B96"/>
  </w:style>
  <w:style w:type="paragraph" w:styleId="Footer">
    <w:name w:val="footer"/>
    <w:basedOn w:val="Normal"/>
    <w:link w:val="FooterChar"/>
    <w:uiPriority w:val="99"/>
    <w:unhideWhenUsed/>
    <w:rsid w:val="000C0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B96"/>
  </w:style>
  <w:style w:type="character" w:customStyle="1" w:styleId="Heading1Char">
    <w:name w:val="Heading 1 Char"/>
    <w:basedOn w:val="DefaultParagraphFont"/>
    <w:link w:val="Heading1"/>
    <w:uiPriority w:val="9"/>
    <w:rsid w:val="00251493"/>
    <w:rPr>
      <w:rFonts w:asciiTheme="majorHAnsi" w:eastAsiaTheme="majorEastAsia" w:hAnsiTheme="majorHAnsi" w:cstheme="majorBidi"/>
      <w:color w:val="2E74B5" w:themeColor="accent1" w:themeShade="BF"/>
      <w:sz w:val="32"/>
      <w:szCs w:val="32"/>
      <w:lang w:val="en-ZA"/>
    </w:rPr>
  </w:style>
  <w:style w:type="paragraph" w:customStyle="1" w:styleId="H1">
    <w:name w:val="H1"/>
    <w:link w:val="H1Char"/>
    <w:rsid w:val="00263C9E"/>
    <w:pPr>
      <w:keepNext/>
      <w:numPr>
        <w:numId w:val="14"/>
      </w:numPr>
      <w:spacing w:before="240" w:after="0" w:line="360" w:lineRule="auto"/>
      <w:jc w:val="both"/>
    </w:pPr>
    <w:rPr>
      <w:rFonts w:ascii="Arial" w:eastAsia="Times New Roman" w:hAnsi="Arial" w:cs="Arial"/>
      <w:sz w:val="24"/>
      <w:szCs w:val="24"/>
    </w:rPr>
  </w:style>
  <w:style w:type="paragraph" w:customStyle="1" w:styleId="H2">
    <w:name w:val="H2"/>
    <w:next w:val="H1"/>
    <w:rsid w:val="00263C9E"/>
    <w:pPr>
      <w:numPr>
        <w:ilvl w:val="1"/>
        <w:numId w:val="14"/>
      </w:numPr>
      <w:tabs>
        <w:tab w:val="left" w:pos="1134"/>
      </w:tabs>
      <w:spacing w:before="200" w:after="0" w:line="360" w:lineRule="auto"/>
      <w:jc w:val="both"/>
    </w:pPr>
    <w:rPr>
      <w:rFonts w:ascii="Arial" w:eastAsia="Times New Roman" w:hAnsi="Arial" w:cs="Arial"/>
      <w:bCs/>
      <w:iCs/>
      <w:sz w:val="24"/>
      <w:szCs w:val="24"/>
    </w:rPr>
  </w:style>
  <w:style w:type="paragraph" w:customStyle="1" w:styleId="H3">
    <w:name w:val="H3"/>
    <w:rsid w:val="00263C9E"/>
    <w:pPr>
      <w:numPr>
        <w:ilvl w:val="2"/>
        <w:numId w:val="14"/>
      </w:numPr>
      <w:snapToGrid w:val="0"/>
      <w:spacing w:before="240" w:after="120" w:line="360" w:lineRule="auto"/>
      <w:contextualSpacing/>
      <w:jc w:val="both"/>
      <w:outlineLvl w:val="2"/>
    </w:pPr>
    <w:rPr>
      <w:rFonts w:ascii="Arial" w:eastAsia="Times New Roman" w:hAnsi="Arial" w:cs="Times New Roman"/>
      <w:sz w:val="24"/>
      <w:szCs w:val="24"/>
    </w:rPr>
  </w:style>
  <w:style w:type="character" w:customStyle="1" w:styleId="H1Char">
    <w:name w:val="H1 Char"/>
    <w:basedOn w:val="DefaultParagraphFont"/>
    <w:link w:val="H1"/>
    <w:rsid w:val="00263C9E"/>
    <w:rPr>
      <w:rFonts w:ascii="Arial" w:eastAsia="Times New Roman" w:hAnsi="Arial" w:cs="Arial"/>
      <w:sz w:val="24"/>
      <w:szCs w:val="24"/>
    </w:rPr>
  </w:style>
  <w:style w:type="paragraph" w:styleId="FootnoteText">
    <w:name w:val="footnote text"/>
    <w:basedOn w:val="Normal"/>
    <w:link w:val="FootnoteTextChar"/>
    <w:uiPriority w:val="99"/>
    <w:semiHidden/>
    <w:unhideWhenUsed/>
    <w:rsid w:val="00263C9E"/>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263C9E"/>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263C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67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7485E-A76D-4654-ACE0-C454B356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Mseme</dc:creator>
  <cp:keywords/>
  <dc:description/>
  <cp:lastModifiedBy>Laura Mseme</cp:lastModifiedBy>
  <cp:revision>2</cp:revision>
  <dcterms:created xsi:type="dcterms:W3CDTF">2017-06-15T11:35:00Z</dcterms:created>
  <dcterms:modified xsi:type="dcterms:W3CDTF">2017-06-15T11:35:00Z</dcterms:modified>
</cp:coreProperties>
</file>