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74" w:rsidRDefault="009C6974" w:rsidP="007867CB">
      <w:pPr>
        <w:pStyle w:val="Heading1"/>
        <w:sectPr w:rsidR="009C6974" w:rsidSect="00002CDA">
          <w:headerReference w:type="first" r:id="rId8"/>
          <w:pgSz w:w="11906" w:h="16838"/>
          <w:pgMar w:top="1440" w:right="1440" w:bottom="1440" w:left="1440" w:header="708" w:footer="708" w:gutter="0"/>
          <w:cols w:space="708"/>
          <w:titlePg/>
          <w:docGrid w:linePitch="360"/>
        </w:sectPr>
      </w:pPr>
      <w:bookmarkStart w:id="0" w:name="_GoBack"/>
      <w:bookmarkEnd w:id="0"/>
    </w:p>
    <w:p w:rsidR="006F4E2D" w:rsidRDefault="006F4E2D" w:rsidP="006F4E2D">
      <w:pPr>
        <w:jc w:val="both"/>
        <w:rPr>
          <w:b/>
        </w:rPr>
      </w:pPr>
      <w:r>
        <w:rPr>
          <w:b/>
        </w:rPr>
        <w:lastRenderedPageBreak/>
        <w:t>Executive Summary</w:t>
      </w:r>
    </w:p>
    <w:p w:rsidR="006F4E2D" w:rsidRDefault="006F4E2D" w:rsidP="006F4E2D">
      <w:pPr>
        <w:jc w:val="both"/>
        <w:rPr>
          <w:b/>
        </w:rPr>
      </w:pPr>
    </w:p>
    <w:tbl>
      <w:tblPr>
        <w:tblStyle w:val="TableGrid"/>
        <w:tblW w:w="0" w:type="auto"/>
        <w:tblLook w:val="04A0"/>
      </w:tblPr>
      <w:tblGrid>
        <w:gridCol w:w="8290"/>
      </w:tblGrid>
      <w:tr w:rsidR="006F4E2D" w:rsidTr="00AA4604">
        <w:tc>
          <w:tcPr>
            <w:tcW w:w="8290" w:type="dxa"/>
          </w:tcPr>
          <w:p w:rsidR="006F4E2D" w:rsidRPr="00521DCC" w:rsidRDefault="00DF792B" w:rsidP="00BF5F1E">
            <w:pPr>
              <w:jc w:val="both"/>
              <w:rPr>
                <w:b/>
                <w:i/>
              </w:rPr>
            </w:pPr>
            <w:r>
              <w:rPr>
                <w:b/>
                <w:i/>
              </w:rPr>
              <w:t>The DA will propose 405</w:t>
            </w:r>
            <w:r w:rsidR="006F4E2D" w:rsidRPr="00521DCC">
              <w:rPr>
                <w:b/>
                <w:i/>
              </w:rPr>
              <w:t xml:space="preserve"> amendments to the Appropriations Bill [B5-2017], in the amoun</w:t>
            </w:r>
            <w:r>
              <w:rPr>
                <w:b/>
                <w:i/>
              </w:rPr>
              <w:t>t of R10.8</w:t>
            </w:r>
            <w:r w:rsidR="006F4E2D">
              <w:rPr>
                <w:b/>
                <w:i/>
              </w:rPr>
              <w:t xml:space="preserve"> billion, to fund six</w:t>
            </w:r>
            <w:r w:rsidR="006F4E2D" w:rsidRPr="00521DCC">
              <w:rPr>
                <w:b/>
                <w:i/>
              </w:rPr>
              <w:t xml:space="preserve"> proposals in 2017/18. The budget proposals for 2017/18 are aimed at: creating jobs by allocating an additional R1.5 billion </w:t>
            </w:r>
            <w:r w:rsidR="006F4E2D">
              <w:rPr>
                <w:b/>
                <w:i/>
              </w:rPr>
              <w:t>to provide</w:t>
            </w:r>
            <w:r w:rsidR="006F4E2D" w:rsidRPr="00521DCC">
              <w:rPr>
                <w:b/>
                <w:i/>
              </w:rPr>
              <w:t xml:space="preserve"> </w:t>
            </w:r>
            <w:r w:rsidR="006F4E2D" w:rsidRPr="00521DCC">
              <w:rPr>
                <w:b/>
                <w:i/>
                <w:lang w:val="en-GB"/>
              </w:rPr>
              <w:t>213 602</w:t>
            </w:r>
            <w:r w:rsidR="006F4E2D" w:rsidRPr="00521DCC">
              <w:rPr>
                <w:b/>
                <w:i/>
              </w:rPr>
              <w:t xml:space="preserve"> more work opportunities in the Expanded Public Works Programme; fighting crime by allocating an additional </w:t>
            </w:r>
            <w:r w:rsidR="006F4E2D" w:rsidRPr="00521DCC">
              <w:rPr>
                <w:b/>
                <w:i/>
                <w:lang w:val="en-GB"/>
              </w:rPr>
              <w:t>R688 million</w:t>
            </w:r>
            <w:r w:rsidR="006F4E2D" w:rsidRPr="00521DCC">
              <w:rPr>
                <w:b/>
                <w:i/>
              </w:rPr>
              <w:t xml:space="preserve"> to e</w:t>
            </w:r>
            <w:r w:rsidR="00122769">
              <w:rPr>
                <w:b/>
                <w:i/>
              </w:rPr>
              <w:t>stablish a stand-alone specialis</w:t>
            </w:r>
            <w:r w:rsidR="006F4E2D" w:rsidRPr="00521DCC">
              <w:rPr>
                <w:b/>
                <w:i/>
              </w:rPr>
              <w:t>ed unit to fig</w:t>
            </w:r>
            <w:r w:rsidR="00BA7B77">
              <w:rPr>
                <w:b/>
                <w:i/>
              </w:rPr>
              <w:t>ht drug-related crime; supporting</w:t>
            </w:r>
            <w:r w:rsidR="006F4E2D" w:rsidRPr="00521DCC">
              <w:rPr>
                <w:b/>
                <w:i/>
              </w:rPr>
              <w:t xml:space="preserve"> </w:t>
            </w:r>
            <w:r w:rsidR="006F4E2D">
              <w:rPr>
                <w:b/>
                <w:i/>
              </w:rPr>
              <w:t xml:space="preserve">poor </w:t>
            </w:r>
            <w:r w:rsidR="006F4E2D" w:rsidRPr="00521DCC">
              <w:rPr>
                <w:b/>
                <w:i/>
              </w:rPr>
              <w:t xml:space="preserve">students by allocating an additional </w:t>
            </w:r>
            <w:r w:rsidR="005613D7">
              <w:rPr>
                <w:b/>
                <w:i/>
                <w:lang w:val="en-GB"/>
              </w:rPr>
              <w:t>R3.5</w:t>
            </w:r>
            <w:r w:rsidR="006F4E2D" w:rsidRPr="00521DCC">
              <w:rPr>
                <w:b/>
                <w:i/>
                <w:lang w:val="en-GB"/>
              </w:rPr>
              <w:t xml:space="preserve"> billion</w:t>
            </w:r>
            <w:r w:rsidR="006F4E2D">
              <w:rPr>
                <w:b/>
                <w:i/>
              </w:rPr>
              <w:t xml:space="preserve"> to provide financial assistance to </w:t>
            </w:r>
            <w:r w:rsidR="005613D7">
              <w:rPr>
                <w:b/>
                <w:i/>
                <w:lang w:val="en-GB"/>
              </w:rPr>
              <w:t>63 331</w:t>
            </w:r>
            <w:r w:rsidR="006F4E2D" w:rsidRPr="00521DCC">
              <w:rPr>
                <w:b/>
                <w:i/>
              </w:rPr>
              <w:t xml:space="preserve"> </w:t>
            </w:r>
            <w:r w:rsidR="006F4E2D">
              <w:rPr>
                <w:b/>
                <w:i/>
              </w:rPr>
              <w:t>more</w:t>
            </w:r>
            <w:r w:rsidR="006F4E2D" w:rsidRPr="00521DCC">
              <w:rPr>
                <w:b/>
                <w:i/>
              </w:rPr>
              <w:t xml:space="preserve"> students who are enrolled, or who would like to enroll,</w:t>
            </w:r>
            <w:r w:rsidR="006F4E2D">
              <w:rPr>
                <w:b/>
                <w:i/>
              </w:rPr>
              <w:t xml:space="preserve"> </w:t>
            </w:r>
            <w:r w:rsidR="006F4E2D" w:rsidRPr="00521DCC">
              <w:rPr>
                <w:b/>
                <w:i/>
              </w:rPr>
              <w:t xml:space="preserve">at </w:t>
            </w:r>
            <w:r w:rsidR="000C090A">
              <w:rPr>
                <w:b/>
                <w:i/>
              </w:rPr>
              <w:t>technical and vocational training</w:t>
            </w:r>
            <w:r w:rsidR="00BF5F1E">
              <w:rPr>
                <w:b/>
                <w:i/>
              </w:rPr>
              <w:t xml:space="preserve"> </w:t>
            </w:r>
            <w:r w:rsidR="006F4E2D" w:rsidRPr="00521DCC">
              <w:rPr>
                <w:b/>
                <w:i/>
              </w:rPr>
              <w:t xml:space="preserve">colleges; fighting corruption by allocating an additional </w:t>
            </w:r>
            <w:r w:rsidR="006F4E2D" w:rsidRPr="00521DCC">
              <w:rPr>
                <w:b/>
                <w:i/>
                <w:lang w:val="en-GB"/>
              </w:rPr>
              <w:t>R174 million</w:t>
            </w:r>
            <w:r w:rsidR="006F4E2D" w:rsidRPr="00521DCC">
              <w:rPr>
                <w:b/>
                <w:i/>
              </w:rPr>
              <w:t xml:space="preserve"> to boost the investigative capacity of the Pub</w:t>
            </w:r>
            <w:r w:rsidR="00C15444">
              <w:rPr>
                <w:b/>
                <w:i/>
              </w:rPr>
              <w:t>l</w:t>
            </w:r>
            <w:r w:rsidR="006F4E2D" w:rsidRPr="00521DCC">
              <w:rPr>
                <w:b/>
                <w:i/>
              </w:rPr>
              <w:t xml:space="preserve">ic Protector; assisting the poor by allocating an additional </w:t>
            </w:r>
            <w:r w:rsidR="006F4E2D" w:rsidRPr="00521DCC">
              <w:rPr>
                <w:b/>
                <w:i/>
                <w:lang w:val="en-GB"/>
              </w:rPr>
              <w:t>R4.5 billion</w:t>
            </w:r>
            <w:r w:rsidR="006F4E2D" w:rsidRPr="00521DCC">
              <w:rPr>
                <w:b/>
                <w:i/>
              </w:rPr>
              <w:t xml:space="preserve"> to prevent malnutrition among children and assist people battling high food prices; and combatting cross border crime by allocating an additional </w:t>
            </w:r>
            <w:r w:rsidR="006F4E2D" w:rsidRPr="00521DCC">
              <w:rPr>
                <w:b/>
                <w:i/>
                <w:lang w:val="en-GB"/>
              </w:rPr>
              <w:t>R483 million</w:t>
            </w:r>
            <w:r w:rsidR="006F4E2D" w:rsidRPr="00521DCC">
              <w:rPr>
                <w:b/>
                <w:i/>
              </w:rPr>
              <w:t xml:space="preserve"> to fund 7 more sub-units (+/- 945 soldiers) to safeguard the landward borders of South Africa. The DA’s proposed amendments are “budget neutral” a</w:t>
            </w:r>
            <w:r w:rsidR="00122769">
              <w:rPr>
                <w:b/>
                <w:i/>
              </w:rPr>
              <w:t>nd will be funded by reprioritis</w:t>
            </w:r>
            <w:r w:rsidR="006F4E2D" w:rsidRPr="00521DCC">
              <w:rPr>
                <w:b/>
                <w:i/>
              </w:rPr>
              <w:t>ing expenditure, within the existing budget, and will have no effect on the fiscal deficit, which is estimated to be R149 billion, or -3.1% of GDP, in 2017/18.</w:t>
            </w:r>
          </w:p>
        </w:tc>
      </w:tr>
    </w:tbl>
    <w:p w:rsidR="006F4E2D" w:rsidRDefault="006F4E2D" w:rsidP="006F4E2D">
      <w:pPr>
        <w:jc w:val="both"/>
        <w:rPr>
          <w:b/>
        </w:rPr>
      </w:pPr>
    </w:p>
    <w:p w:rsidR="006F4E2D" w:rsidRPr="00334E3C" w:rsidRDefault="006F4E2D" w:rsidP="006F4E2D">
      <w:pPr>
        <w:jc w:val="both"/>
        <w:rPr>
          <w:b/>
        </w:rPr>
      </w:pPr>
      <w:r w:rsidRPr="00334E3C">
        <w:rPr>
          <w:b/>
        </w:rPr>
        <w:t>1. Introduction</w:t>
      </w:r>
    </w:p>
    <w:p w:rsidR="006F4E2D" w:rsidRPr="00561511" w:rsidRDefault="006F4E2D" w:rsidP="006F4E2D">
      <w:pPr>
        <w:jc w:val="both"/>
      </w:pPr>
    </w:p>
    <w:p w:rsidR="006F4E2D" w:rsidRPr="00521DCC" w:rsidRDefault="006F4E2D" w:rsidP="006F4E2D">
      <w:pPr>
        <w:jc w:val="both"/>
      </w:pPr>
      <w:r w:rsidRPr="00521DCC">
        <w:t>On 22 February 2017 the former Minister of Finance, Pravin Gordhan, tabled the budget in Parliament.  The Fiscal Framework was passed on 08 March 2017 and the Division of Revenue Bill [B4-2017] was passed on 15 March 2017 in Parliament. What remains is the Appropriations Bill [B5-2017], which provides for an appropriation of R767 billion, from the N</w:t>
      </w:r>
      <w:r w:rsidR="00CB1CE1">
        <w:t>ational Revenue Fund, to fund fourty</w:t>
      </w:r>
      <w:r w:rsidRPr="00521DCC">
        <w:t xml:space="preserve"> national departments, in 2017/18. The Money Bills Amendment Procedure and Related Matters Act (No. 9 of 2009) outlines the procedure to amend the Fiscal Framework, the Division of Revenue Bill and the Appropriations Bill in Parliament. The Appropriations Bill may be amended, in terms of Section 10 of the Money Bills Amendment Procedure and Related Matters Act (No. 9 of 2009), within four months of the beginning of 2017/18. </w:t>
      </w:r>
    </w:p>
    <w:p w:rsidR="006F4E2D" w:rsidRPr="00521DCC" w:rsidRDefault="005613D7" w:rsidP="006F4E2D">
      <w:pPr>
        <w:jc w:val="both"/>
      </w:pPr>
      <w:r>
        <w:t>We will therefore propose 405</w:t>
      </w:r>
      <w:r w:rsidR="006F4E2D" w:rsidRPr="00521DCC">
        <w:t xml:space="preserve"> amendments to the Appropriat</w:t>
      </w:r>
      <w:r w:rsidR="00CB1CE1">
        <w:t>ions Bill, in the amount of R10.8</w:t>
      </w:r>
      <w:r w:rsidR="006F4E2D" w:rsidRPr="00521DCC">
        <w:t xml:space="preserve"> billion, to fund </w:t>
      </w:r>
      <w:r w:rsidR="006F4E2D">
        <w:t xml:space="preserve">six </w:t>
      </w:r>
      <w:r w:rsidR="006F4E2D" w:rsidRPr="00521DCC">
        <w:t>proposals in 2017/18, which are aimed at: creating jobs; fighting drug-related crime; supporting poor students; combatting corruption; providing relief to the poor; and fighting cross border crime. The amendments we propose are “budget neutral” a</w:t>
      </w:r>
      <w:r w:rsidR="00122769">
        <w:t>nd will be funded by reprioritis</w:t>
      </w:r>
      <w:r w:rsidR="006F4E2D" w:rsidRPr="00521DCC">
        <w:t>ing expenditure, within the existing budget, and will have no effect on the fiscal deficit, which is estimated to be R149 billion, or -3.1% of GDP, in 2017/18.</w:t>
      </w:r>
    </w:p>
    <w:p w:rsidR="006F4E2D" w:rsidRPr="00F01B6F" w:rsidRDefault="006F4E2D" w:rsidP="006F4E2D">
      <w:pPr>
        <w:jc w:val="both"/>
      </w:pPr>
    </w:p>
    <w:p w:rsidR="006F4E2D" w:rsidRPr="00F01B6F" w:rsidRDefault="006F4E2D" w:rsidP="006F4E2D">
      <w:pPr>
        <w:jc w:val="both"/>
        <w:rPr>
          <w:b/>
        </w:rPr>
      </w:pPr>
      <w:r w:rsidRPr="00F01B6F">
        <w:rPr>
          <w:b/>
        </w:rPr>
        <w:t>2. Proposals</w:t>
      </w:r>
    </w:p>
    <w:p w:rsidR="006F4E2D" w:rsidRPr="00F01B6F" w:rsidRDefault="006F4E2D" w:rsidP="006F4E2D">
      <w:pPr>
        <w:jc w:val="both"/>
      </w:pPr>
    </w:p>
    <w:p w:rsidR="006F4E2D" w:rsidRPr="002C4D68" w:rsidRDefault="006F4E2D" w:rsidP="006F4E2D">
      <w:pPr>
        <w:jc w:val="both"/>
        <w:rPr>
          <w:lang w:val="en-GB"/>
        </w:rPr>
      </w:pPr>
      <w:r w:rsidRPr="000D49A3">
        <w:rPr>
          <w:i/>
          <w:lang w:val="en-GB"/>
        </w:rPr>
        <w:t>2.1 Creating Jobs</w:t>
      </w:r>
    </w:p>
    <w:p w:rsidR="006F4E2D" w:rsidRPr="002C4D68" w:rsidRDefault="006F4E2D" w:rsidP="006F4E2D">
      <w:pPr>
        <w:jc w:val="both"/>
        <w:rPr>
          <w:lang w:val="en-GB"/>
        </w:rPr>
      </w:pPr>
    </w:p>
    <w:p w:rsidR="006F4E2D" w:rsidRPr="002C4D68" w:rsidRDefault="006F4E2D" w:rsidP="006F4E2D">
      <w:pPr>
        <w:jc w:val="both"/>
        <w:rPr>
          <w:lang w:val="en-GB"/>
        </w:rPr>
      </w:pPr>
      <w:r w:rsidRPr="002C4D68">
        <w:rPr>
          <w:lang w:val="en-GB"/>
        </w:rPr>
        <w:t xml:space="preserve">We have 8.9 million people who do not have jobs, or who have given up looking for jobs, who live without dignity, without independence, and without freedom in South Africa. The real solution to the “jobs crisis” is to implement the structural reforms necessary to boost economic growth and create jobs. However, work opportunities, provided through the Expanded Public Works Programme, can make a difference to </w:t>
      </w:r>
      <w:r w:rsidRPr="002C4D68">
        <w:rPr>
          <w:lang w:val="en-GB"/>
        </w:rPr>
        <w:lastRenderedPageBreak/>
        <w:t xml:space="preserve">the lives of people who do not have jobs, or have given up looking for jobs. We have implemented a very successful programme in the City of Cape Town, which leverages the Expanded Public Works Programme to provide training for future employment. We can use the Expanded Public Works Programme to give dignity and opportunity to people who do not have jobs, or have given up looking for jobs, in South Africa. </w:t>
      </w:r>
    </w:p>
    <w:p w:rsidR="006F4E2D" w:rsidRPr="002C4D68" w:rsidRDefault="006F4E2D" w:rsidP="006F4E2D">
      <w:pPr>
        <w:jc w:val="both"/>
        <w:rPr>
          <w:lang w:val="en-GB"/>
        </w:rPr>
      </w:pPr>
    </w:p>
    <w:tbl>
      <w:tblPr>
        <w:tblStyle w:val="TableGrid"/>
        <w:tblW w:w="0" w:type="auto"/>
        <w:tblLook w:val="04A0"/>
      </w:tblPr>
      <w:tblGrid>
        <w:gridCol w:w="8516"/>
      </w:tblGrid>
      <w:tr w:rsidR="006F4E2D" w:rsidRPr="002C4D68" w:rsidTr="00AA4604">
        <w:tc>
          <w:tcPr>
            <w:tcW w:w="8516" w:type="dxa"/>
          </w:tcPr>
          <w:p w:rsidR="006F4E2D" w:rsidRPr="002C4D68" w:rsidRDefault="006F4E2D" w:rsidP="00AA4604">
            <w:pPr>
              <w:jc w:val="both"/>
              <w:rPr>
                <w:lang w:val="en-GB"/>
              </w:rPr>
            </w:pPr>
          </w:p>
          <w:p w:rsidR="006F4E2D" w:rsidRPr="00521DCC" w:rsidRDefault="006F4E2D" w:rsidP="00AA4604">
            <w:pPr>
              <w:jc w:val="both"/>
              <w:rPr>
                <w:b/>
                <w:lang w:val="en-GB"/>
              </w:rPr>
            </w:pPr>
            <w:r w:rsidRPr="00521DCC">
              <w:rPr>
                <w:b/>
                <w:lang w:val="en-GB"/>
              </w:rPr>
              <w:t>We will therefore propose an amendment to the Appropriations Bill [B5-2017], to increase the appropriation of Vote 11: Public Works, by R1.5 billion to provide 213 602 more work opportunities in 2017/18.</w:t>
            </w:r>
          </w:p>
          <w:p w:rsidR="006F4E2D" w:rsidRPr="002C4D68" w:rsidRDefault="006F4E2D" w:rsidP="00AA4604">
            <w:pPr>
              <w:jc w:val="both"/>
              <w:rPr>
                <w:lang w:val="en-GB"/>
              </w:rPr>
            </w:pPr>
          </w:p>
        </w:tc>
      </w:tr>
    </w:tbl>
    <w:p w:rsidR="006F4E2D" w:rsidRPr="002C4D68" w:rsidRDefault="006F4E2D" w:rsidP="006F4E2D">
      <w:pPr>
        <w:jc w:val="both"/>
      </w:pPr>
    </w:p>
    <w:p w:rsidR="006F4E2D" w:rsidRPr="00F01B6F" w:rsidRDefault="006F4E2D" w:rsidP="006F4E2D">
      <w:pPr>
        <w:jc w:val="both"/>
        <w:rPr>
          <w:i/>
        </w:rPr>
      </w:pPr>
      <w:r w:rsidRPr="00F01B6F">
        <w:rPr>
          <w:i/>
        </w:rPr>
        <w:t>2.2 Fighting Crime</w:t>
      </w:r>
    </w:p>
    <w:p w:rsidR="006F4E2D" w:rsidRPr="00F01B6F" w:rsidRDefault="006F4E2D" w:rsidP="006F4E2D">
      <w:pPr>
        <w:jc w:val="both"/>
        <w:rPr>
          <w:lang w:val="en-GB"/>
        </w:rPr>
      </w:pPr>
    </w:p>
    <w:p w:rsidR="006F4E2D" w:rsidRPr="00F01B6F" w:rsidRDefault="006F4E2D" w:rsidP="006F4E2D">
      <w:pPr>
        <w:jc w:val="both"/>
        <w:rPr>
          <w:lang w:val="en-GB"/>
        </w:rPr>
      </w:pPr>
      <w:r w:rsidRPr="00F01B6F">
        <w:rPr>
          <w:lang w:val="en-GB"/>
        </w:rPr>
        <w:t>The South African Police Service is responsible for preventing, combatting and investigating crime</w:t>
      </w:r>
      <w:r>
        <w:rPr>
          <w:lang w:val="en-GB"/>
        </w:rPr>
        <w:t xml:space="preserve"> in South Africa</w:t>
      </w:r>
      <w:r w:rsidRPr="00F01B6F">
        <w:rPr>
          <w:lang w:val="en-GB"/>
        </w:rPr>
        <w:t>.</w:t>
      </w:r>
      <w:r>
        <w:rPr>
          <w:lang w:val="en-GB"/>
        </w:rPr>
        <w:t xml:space="preserve"> </w:t>
      </w:r>
      <w:r w:rsidRPr="00F01B6F">
        <w:rPr>
          <w:lang w:val="en-GB"/>
        </w:rPr>
        <w:t>However, the police seem to be losing the fight against drug-</w:t>
      </w:r>
      <w:r>
        <w:rPr>
          <w:lang w:val="en-GB"/>
        </w:rPr>
        <w:t>related crime, which is rampant with 314 502 cases of unlawful possession of, and dealing in drugs, reported in 2016/17.</w:t>
      </w:r>
      <w:r w:rsidRPr="00F01B6F">
        <w:rPr>
          <w:lang w:val="en-GB"/>
        </w:rPr>
        <w:t xml:space="preserve"> </w:t>
      </w:r>
      <w:r>
        <w:rPr>
          <w:lang w:val="en-GB"/>
        </w:rPr>
        <w:t xml:space="preserve">The Hawks </w:t>
      </w:r>
      <w:r w:rsidRPr="00F01B6F">
        <w:rPr>
          <w:lang w:val="en-GB"/>
        </w:rPr>
        <w:t>are responsible for the investigation of a wide range of organized crime activity, including organized crime syndic</w:t>
      </w:r>
      <w:r>
        <w:rPr>
          <w:lang w:val="en-GB"/>
        </w:rPr>
        <w:t>ates, serious and violent crime,</w:t>
      </w:r>
      <w:r w:rsidRPr="00F01B6F">
        <w:rPr>
          <w:lang w:val="en-GB"/>
        </w:rPr>
        <w:t xml:space="preserve"> commercial crime</w:t>
      </w:r>
      <w:r>
        <w:rPr>
          <w:lang w:val="en-GB"/>
        </w:rPr>
        <w:t xml:space="preserve"> and corruption. With drug-related crime skyrocketing a unit, called the South African Narcotics Enforcement Bureau, was established within the Hawks. However, the unit is grossly under-resourced and comprises of only 106 police officers s</w:t>
      </w:r>
      <w:r w:rsidR="00CB1CE1">
        <w:rPr>
          <w:lang w:val="en-GB"/>
        </w:rPr>
        <w:t>erving the whole country</w:t>
      </w:r>
      <w:r>
        <w:rPr>
          <w:lang w:val="en-GB"/>
        </w:rPr>
        <w:t xml:space="preserve">. </w:t>
      </w:r>
      <w:r w:rsidRPr="00F01B6F">
        <w:rPr>
          <w:lang w:val="en-GB"/>
        </w:rPr>
        <w:t xml:space="preserve">We propose the establishment of a </w:t>
      </w:r>
      <w:r>
        <w:rPr>
          <w:lang w:val="en-GB"/>
        </w:rPr>
        <w:t xml:space="preserve">stand-alone </w:t>
      </w:r>
      <w:r w:rsidRPr="00F01B6F">
        <w:rPr>
          <w:lang w:val="en-GB"/>
        </w:rPr>
        <w:t xml:space="preserve">specialized unit, dedicated to preventing, combatting and investigating drug-related crime, within the South African Police Service. We believe that a </w:t>
      </w:r>
      <w:r>
        <w:rPr>
          <w:lang w:val="en-GB"/>
        </w:rPr>
        <w:t xml:space="preserve">stand-alone </w:t>
      </w:r>
      <w:r w:rsidRPr="00F01B6F">
        <w:rPr>
          <w:lang w:val="en-GB"/>
        </w:rPr>
        <w:t xml:space="preserve">specialized unit, dedicated to the fight against drug-related crime, will turn the tide </w:t>
      </w:r>
      <w:r>
        <w:rPr>
          <w:lang w:val="en-GB"/>
        </w:rPr>
        <w:t xml:space="preserve">in the fight against drugs </w:t>
      </w:r>
      <w:r w:rsidRPr="00F01B6F">
        <w:rPr>
          <w:lang w:val="en-GB"/>
        </w:rPr>
        <w:t>in South Africa.</w:t>
      </w:r>
    </w:p>
    <w:p w:rsidR="006F4E2D" w:rsidRPr="00F01B6F" w:rsidRDefault="006F4E2D" w:rsidP="006F4E2D">
      <w:pPr>
        <w:jc w:val="both"/>
        <w:rPr>
          <w:lang w:val="en-GB"/>
        </w:rPr>
      </w:pPr>
    </w:p>
    <w:tbl>
      <w:tblPr>
        <w:tblStyle w:val="TableGrid"/>
        <w:tblW w:w="0" w:type="auto"/>
        <w:tblLook w:val="04A0"/>
      </w:tblPr>
      <w:tblGrid>
        <w:gridCol w:w="8516"/>
      </w:tblGrid>
      <w:tr w:rsidR="006F4E2D" w:rsidRPr="00F01B6F" w:rsidTr="00AA4604">
        <w:tc>
          <w:tcPr>
            <w:tcW w:w="8516" w:type="dxa"/>
          </w:tcPr>
          <w:p w:rsidR="006F4E2D" w:rsidRPr="00F01B6F" w:rsidRDefault="006F4E2D" w:rsidP="00AA4604">
            <w:pPr>
              <w:jc w:val="both"/>
              <w:rPr>
                <w:i/>
                <w:lang w:val="en-GB"/>
              </w:rPr>
            </w:pPr>
          </w:p>
          <w:p w:rsidR="006F4E2D" w:rsidRPr="00637F32" w:rsidRDefault="006F4E2D" w:rsidP="00AA4604">
            <w:pPr>
              <w:jc w:val="both"/>
              <w:rPr>
                <w:b/>
                <w:i/>
                <w:lang w:val="en-GB"/>
              </w:rPr>
            </w:pPr>
            <w:r w:rsidRPr="00521DCC">
              <w:rPr>
                <w:b/>
                <w:i/>
                <w:lang w:val="en-GB"/>
              </w:rPr>
              <w:t>We will therefore propose an amendment to the Appropriations Bill [B5-2017], to increase the appropriation of Vote 23: Police, by</w:t>
            </w:r>
            <w:r>
              <w:rPr>
                <w:b/>
                <w:i/>
                <w:lang w:val="en-GB"/>
              </w:rPr>
              <w:t xml:space="preserve"> R</w:t>
            </w:r>
            <w:r w:rsidRPr="00521DCC">
              <w:rPr>
                <w:b/>
                <w:i/>
                <w:lang w:val="en-GB"/>
              </w:rPr>
              <w:t>688 million, to provide for the establishment of a stand-alone specialized unit, within the South African Police Service, dedicated to the fight against drug-related crime in 2017/18</w:t>
            </w:r>
            <w:r w:rsidRPr="00521DCC">
              <w:rPr>
                <w:b/>
                <w:lang w:val="en-GB"/>
              </w:rPr>
              <w:t>.</w:t>
            </w:r>
          </w:p>
          <w:p w:rsidR="006F4E2D" w:rsidRPr="00F01B6F" w:rsidRDefault="006F4E2D" w:rsidP="00AA4604">
            <w:pPr>
              <w:jc w:val="both"/>
              <w:rPr>
                <w:lang w:val="en-GB"/>
              </w:rPr>
            </w:pPr>
          </w:p>
        </w:tc>
      </w:tr>
    </w:tbl>
    <w:p w:rsidR="006F4E2D" w:rsidRPr="00F01B6F" w:rsidRDefault="006F4E2D" w:rsidP="006F4E2D">
      <w:pPr>
        <w:jc w:val="both"/>
      </w:pPr>
    </w:p>
    <w:p w:rsidR="006F4E2D" w:rsidRPr="00F966FE" w:rsidRDefault="006F4E2D" w:rsidP="00EF50BB">
      <w:pPr>
        <w:pStyle w:val="ListParagraph"/>
        <w:numPr>
          <w:ilvl w:val="1"/>
          <w:numId w:val="3"/>
        </w:numPr>
        <w:jc w:val="both"/>
        <w:rPr>
          <w:i/>
        </w:rPr>
      </w:pPr>
      <w:r>
        <w:rPr>
          <w:i/>
        </w:rPr>
        <w:t xml:space="preserve">Supporting </w:t>
      </w:r>
      <w:r w:rsidRPr="00F966FE">
        <w:rPr>
          <w:i/>
        </w:rPr>
        <w:t>Students</w:t>
      </w:r>
    </w:p>
    <w:p w:rsidR="006F4E2D" w:rsidRDefault="006F4E2D" w:rsidP="006F4E2D">
      <w:pPr>
        <w:jc w:val="both"/>
        <w:rPr>
          <w:lang w:val="en-GB"/>
        </w:rPr>
      </w:pPr>
    </w:p>
    <w:p w:rsidR="006F4E2D" w:rsidRPr="00AD7FB7" w:rsidRDefault="006F4E2D" w:rsidP="006F4E2D">
      <w:pPr>
        <w:jc w:val="both"/>
        <w:rPr>
          <w:lang w:val="en-GB"/>
        </w:rPr>
      </w:pPr>
      <w:r w:rsidRPr="00AD7FB7">
        <w:rPr>
          <w:lang w:val="en-GB"/>
        </w:rPr>
        <w:t xml:space="preserve">There has been persistent underfunding of higher education institutions, </w:t>
      </w:r>
      <w:r w:rsidR="00362D0A">
        <w:rPr>
          <w:lang w:val="en-GB"/>
        </w:rPr>
        <w:t>including Technical and V</w:t>
      </w:r>
      <w:r w:rsidRPr="00AD7FB7">
        <w:rPr>
          <w:lang w:val="en-GB"/>
        </w:rPr>
        <w:t xml:space="preserve">ocational </w:t>
      </w:r>
      <w:r w:rsidR="00362D0A">
        <w:rPr>
          <w:lang w:val="en-GB"/>
        </w:rPr>
        <w:t>Education and Training C</w:t>
      </w:r>
      <w:r w:rsidRPr="00AD7FB7">
        <w:rPr>
          <w:lang w:val="en-GB"/>
        </w:rPr>
        <w:t xml:space="preserve">olleges, in South Africa. </w:t>
      </w:r>
      <w:r w:rsidR="00276A87">
        <w:rPr>
          <w:lang w:val="en-GB"/>
        </w:rPr>
        <w:t xml:space="preserve">Of the </w:t>
      </w:r>
      <w:r w:rsidR="00362D0A">
        <w:rPr>
          <w:lang w:val="en-GB"/>
        </w:rPr>
        <w:t>370 000 full-time students</w:t>
      </w:r>
      <w:r w:rsidR="000C090A">
        <w:rPr>
          <w:lang w:val="en-GB"/>
        </w:rPr>
        <w:t xml:space="preserve"> attending technical and vocational training </w:t>
      </w:r>
      <w:r w:rsidR="00362D0A">
        <w:rPr>
          <w:lang w:val="en-GB"/>
        </w:rPr>
        <w:t>colleges</w:t>
      </w:r>
      <w:r w:rsidR="00276A87">
        <w:rPr>
          <w:lang w:val="en-GB"/>
        </w:rPr>
        <w:t xml:space="preserve">, 298 457 received financial assistance from the </w:t>
      </w:r>
      <w:r w:rsidR="00362D0A">
        <w:rPr>
          <w:lang w:val="en-GB"/>
        </w:rPr>
        <w:t>Nationa</w:t>
      </w:r>
      <w:r w:rsidR="00276A87">
        <w:rPr>
          <w:lang w:val="en-GB"/>
        </w:rPr>
        <w:t xml:space="preserve">l Student Financial Aid Scheme. </w:t>
      </w:r>
      <w:r w:rsidR="00A66746">
        <w:rPr>
          <w:lang w:val="en-GB"/>
        </w:rPr>
        <w:t>Moreover, the number of students attending</w:t>
      </w:r>
      <w:r w:rsidR="000C090A">
        <w:rPr>
          <w:lang w:val="en-GB"/>
        </w:rPr>
        <w:t xml:space="preserve"> technical and vocational training</w:t>
      </w:r>
      <w:r w:rsidR="00A66746">
        <w:rPr>
          <w:lang w:val="en-GB"/>
        </w:rPr>
        <w:t xml:space="preserve"> colleges has been capped at 710 535 over the medium-term due</w:t>
      </w:r>
      <w:r w:rsidR="006B6B80">
        <w:rPr>
          <w:lang w:val="en-GB"/>
        </w:rPr>
        <w:t xml:space="preserve"> to</w:t>
      </w:r>
      <w:r w:rsidR="00A66746">
        <w:rPr>
          <w:lang w:val="en-GB"/>
        </w:rPr>
        <w:t xml:space="preserve"> funding </w:t>
      </w:r>
      <w:r w:rsidR="002A62A7">
        <w:rPr>
          <w:lang w:val="en-GB"/>
        </w:rPr>
        <w:t>shortfalls</w:t>
      </w:r>
      <w:r w:rsidR="00CB1CE1">
        <w:rPr>
          <w:lang w:val="en-GB"/>
        </w:rPr>
        <w:t>,</w:t>
      </w:r>
      <w:r w:rsidR="00A66746">
        <w:rPr>
          <w:lang w:val="en-GB"/>
        </w:rPr>
        <w:t xml:space="preserve"> despite the shortage of skills in South Africa. </w:t>
      </w:r>
      <w:r w:rsidRPr="00AD7FB7">
        <w:rPr>
          <w:lang w:val="en-GB"/>
        </w:rPr>
        <w:t>We have to</w:t>
      </w:r>
      <w:r w:rsidR="00861DC4">
        <w:rPr>
          <w:lang w:val="en-GB"/>
        </w:rPr>
        <w:t xml:space="preserve"> ensure that the c</w:t>
      </w:r>
      <w:r w:rsidR="00572FCD">
        <w:rPr>
          <w:lang w:val="en-GB"/>
        </w:rPr>
        <w:t xml:space="preserve">ap on student numbers is lifted, </w:t>
      </w:r>
      <w:r w:rsidR="00861DC4">
        <w:rPr>
          <w:lang w:val="en-GB"/>
        </w:rPr>
        <w:t>and that more</w:t>
      </w:r>
      <w:r w:rsidRPr="00AD7FB7">
        <w:rPr>
          <w:lang w:val="en-GB"/>
        </w:rPr>
        <w:t xml:space="preserve"> </w:t>
      </w:r>
      <w:r w:rsidR="000C090A">
        <w:rPr>
          <w:lang w:val="en-GB"/>
        </w:rPr>
        <w:t xml:space="preserve">poor </w:t>
      </w:r>
      <w:r w:rsidRPr="00AD7FB7">
        <w:rPr>
          <w:lang w:val="en-GB"/>
        </w:rPr>
        <w:t>studen</w:t>
      </w:r>
      <w:r w:rsidR="00861DC4">
        <w:rPr>
          <w:lang w:val="en-GB"/>
        </w:rPr>
        <w:t>ts</w:t>
      </w:r>
      <w:r w:rsidR="00572FCD">
        <w:rPr>
          <w:lang w:val="en-GB"/>
        </w:rPr>
        <w:t>,</w:t>
      </w:r>
      <w:r w:rsidR="00861DC4">
        <w:rPr>
          <w:lang w:val="en-GB"/>
        </w:rPr>
        <w:t xml:space="preserve"> who cannot afford </w:t>
      </w:r>
      <w:r w:rsidR="00861DC4">
        <w:rPr>
          <w:lang w:val="en-GB"/>
        </w:rPr>
        <w:lastRenderedPageBreak/>
        <w:t>the fees</w:t>
      </w:r>
      <w:r w:rsidR="00572FCD">
        <w:rPr>
          <w:lang w:val="en-GB"/>
        </w:rPr>
        <w:t>,</w:t>
      </w:r>
      <w:r w:rsidR="00861DC4">
        <w:rPr>
          <w:lang w:val="en-GB"/>
        </w:rPr>
        <w:t xml:space="preserve"> are able to study at </w:t>
      </w:r>
      <w:r w:rsidR="000C090A">
        <w:rPr>
          <w:lang w:val="en-GB"/>
        </w:rPr>
        <w:t xml:space="preserve">technical and vocational training </w:t>
      </w:r>
      <w:r w:rsidR="00861DC4">
        <w:rPr>
          <w:lang w:val="en-GB"/>
        </w:rPr>
        <w:t xml:space="preserve">colleges in </w:t>
      </w:r>
      <w:r w:rsidRPr="00AD7FB7">
        <w:rPr>
          <w:lang w:val="en-GB"/>
        </w:rPr>
        <w:t>South Africa.</w:t>
      </w:r>
    </w:p>
    <w:p w:rsidR="006F4E2D" w:rsidRPr="00AD7FB7" w:rsidRDefault="006F4E2D" w:rsidP="006F4E2D">
      <w:pPr>
        <w:jc w:val="both"/>
        <w:rPr>
          <w:b/>
          <w:lang w:val="en-GB"/>
        </w:rPr>
      </w:pPr>
    </w:p>
    <w:tbl>
      <w:tblPr>
        <w:tblStyle w:val="TableGrid"/>
        <w:tblW w:w="0" w:type="auto"/>
        <w:tblLook w:val="04A0"/>
      </w:tblPr>
      <w:tblGrid>
        <w:gridCol w:w="8516"/>
      </w:tblGrid>
      <w:tr w:rsidR="006F4E2D" w:rsidRPr="006A26A5" w:rsidTr="00AA4604">
        <w:tc>
          <w:tcPr>
            <w:tcW w:w="8516" w:type="dxa"/>
          </w:tcPr>
          <w:p w:rsidR="006F4E2D" w:rsidRPr="006A26A5" w:rsidRDefault="006F4E2D" w:rsidP="00AA4604">
            <w:pPr>
              <w:jc w:val="both"/>
              <w:rPr>
                <w:b/>
                <w:i/>
                <w:lang w:val="en-GB"/>
              </w:rPr>
            </w:pPr>
          </w:p>
          <w:p w:rsidR="006F4E2D" w:rsidRPr="006A26A5" w:rsidRDefault="006F4E2D" w:rsidP="00AA4604">
            <w:pPr>
              <w:jc w:val="both"/>
              <w:rPr>
                <w:b/>
                <w:i/>
                <w:lang w:val="en-GB"/>
              </w:rPr>
            </w:pPr>
            <w:r w:rsidRPr="00521DCC">
              <w:rPr>
                <w:b/>
                <w:i/>
                <w:lang w:val="en-GB"/>
              </w:rPr>
              <w:t>We will therefore propose an amendment to the Appropriations Bill [B5-2017], to increase the appropriation of Vote 15: Higher Education and Traini</w:t>
            </w:r>
            <w:r w:rsidR="005613D7">
              <w:rPr>
                <w:b/>
                <w:i/>
                <w:lang w:val="en-GB"/>
              </w:rPr>
              <w:t>ng, by R3.5</w:t>
            </w:r>
            <w:r w:rsidRPr="00521DCC">
              <w:rPr>
                <w:b/>
                <w:i/>
                <w:lang w:val="en-GB"/>
              </w:rPr>
              <w:t xml:space="preserve"> billion, to provide </w:t>
            </w:r>
            <w:r>
              <w:rPr>
                <w:b/>
                <w:i/>
                <w:lang w:val="en-GB"/>
              </w:rPr>
              <w:t xml:space="preserve">financial assistance </w:t>
            </w:r>
            <w:r w:rsidRPr="00521DCC">
              <w:rPr>
                <w:b/>
                <w:i/>
                <w:lang w:val="en-GB"/>
              </w:rPr>
              <w:t>to</w:t>
            </w:r>
            <w:r w:rsidRPr="00521DCC">
              <w:rPr>
                <w:rFonts w:ascii="Calibri" w:hAnsi="Calibri"/>
                <w:color w:val="000000"/>
              </w:rPr>
              <w:t xml:space="preserve"> </w:t>
            </w:r>
            <w:r w:rsidR="005613D7">
              <w:rPr>
                <w:b/>
                <w:i/>
                <w:lang w:val="en-GB"/>
              </w:rPr>
              <w:t>63 331</w:t>
            </w:r>
            <w:r w:rsidRPr="00521DCC">
              <w:rPr>
                <w:rFonts w:ascii="Calibri" w:hAnsi="Calibri"/>
                <w:color w:val="000000"/>
              </w:rPr>
              <w:t xml:space="preserve"> </w:t>
            </w:r>
            <w:r w:rsidRPr="00521DCC">
              <w:rPr>
                <w:b/>
                <w:i/>
                <w:lang w:val="en-GB"/>
              </w:rPr>
              <w:t>more poor students who are enrol</w:t>
            </w:r>
            <w:r w:rsidR="000C090A">
              <w:rPr>
                <w:b/>
                <w:i/>
                <w:lang w:val="en-GB"/>
              </w:rPr>
              <w:t>led, or would like to enrol, at technical and vocational training</w:t>
            </w:r>
            <w:r w:rsidR="00BF5F1E">
              <w:rPr>
                <w:b/>
                <w:i/>
                <w:lang w:val="en-GB"/>
              </w:rPr>
              <w:t xml:space="preserve"> </w:t>
            </w:r>
            <w:r w:rsidRPr="00521DCC">
              <w:rPr>
                <w:b/>
                <w:i/>
                <w:lang w:val="en-GB"/>
              </w:rPr>
              <w:t>colleges in 2017/18.</w:t>
            </w:r>
          </w:p>
          <w:p w:rsidR="006F4E2D" w:rsidRPr="006A26A5" w:rsidRDefault="006F4E2D" w:rsidP="00AA4604">
            <w:pPr>
              <w:jc w:val="both"/>
              <w:rPr>
                <w:b/>
                <w:i/>
                <w:lang w:val="en-GB"/>
              </w:rPr>
            </w:pPr>
          </w:p>
        </w:tc>
      </w:tr>
    </w:tbl>
    <w:p w:rsidR="006F4E2D" w:rsidRPr="00F01B6F" w:rsidRDefault="006F4E2D" w:rsidP="006F4E2D">
      <w:pPr>
        <w:jc w:val="both"/>
      </w:pPr>
    </w:p>
    <w:p w:rsidR="006F4E2D" w:rsidRPr="00F01B6F" w:rsidRDefault="006F4E2D" w:rsidP="006F4E2D">
      <w:pPr>
        <w:jc w:val="both"/>
        <w:rPr>
          <w:i/>
        </w:rPr>
      </w:pPr>
      <w:r w:rsidRPr="00F01B6F">
        <w:rPr>
          <w:i/>
        </w:rPr>
        <w:t>2.4 Combatting Corruption</w:t>
      </w:r>
    </w:p>
    <w:p w:rsidR="006F4E2D" w:rsidRPr="00F01B6F" w:rsidRDefault="006F4E2D" w:rsidP="006F4E2D">
      <w:pPr>
        <w:jc w:val="both"/>
        <w:rPr>
          <w:lang w:val="en-GB"/>
        </w:rPr>
      </w:pPr>
    </w:p>
    <w:p w:rsidR="006F4E2D" w:rsidRPr="00F01B6F" w:rsidRDefault="006F4E2D" w:rsidP="006F4E2D">
      <w:pPr>
        <w:jc w:val="both"/>
        <w:rPr>
          <w:lang w:val="en-GB"/>
        </w:rPr>
      </w:pPr>
      <w:r>
        <w:rPr>
          <w:lang w:val="en-GB"/>
        </w:rPr>
        <w:t xml:space="preserve">The </w:t>
      </w:r>
      <w:r w:rsidRPr="00F01B6F">
        <w:rPr>
          <w:lang w:val="en-GB"/>
        </w:rPr>
        <w:t>Public Protector</w:t>
      </w:r>
      <w:r>
        <w:rPr>
          <w:lang w:val="en-GB"/>
        </w:rPr>
        <w:t xml:space="preserve"> is responsible for investigating improper conduct in all spheres of government in South Africa. However, the severe underfunding has compromised the fight against corruption and maladministration by the Public Protector. The new Public Protector, Advocate Busisiwe Mkhwebane, tells us the budget is a “</w:t>
      </w:r>
      <w:r w:rsidRPr="008402DD">
        <w:rPr>
          <w:i/>
          <w:lang w:val="en-GB"/>
        </w:rPr>
        <w:t>drop in the ocean</w:t>
      </w:r>
      <w:r>
        <w:rPr>
          <w:lang w:val="en-GB"/>
        </w:rPr>
        <w:t>” and that she needs R1 billion just “</w:t>
      </w:r>
      <w:r w:rsidRPr="008402DD">
        <w:rPr>
          <w:i/>
          <w:lang w:val="en-GB"/>
        </w:rPr>
        <w:t>to stay afloat</w:t>
      </w:r>
      <w:r>
        <w:rPr>
          <w:lang w:val="en-GB"/>
        </w:rPr>
        <w:t xml:space="preserve">”. Remarkably, the Public Protector, which was handling 17 374 cases, had 36 </w:t>
      </w:r>
      <w:r w:rsidRPr="00F01B6F">
        <w:rPr>
          <w:lang w:val="en-GB"/>
        </w:rPr>
        <w:t>vacancies</w:t>
      </w:r>
      <w:r>
        <w:rPr>
          <w:lang w:val="en-GB"/>
        </w:rPr>
        <w:t>, including 20 vacancies for investigators,</w:t>
      </w:r>
      <w:r w:rsidRPr="00F01B6F">
        <w:rPr>
          <w:lang w:val="en-GB"/>
        </w:rPr>
        <w:t xml:space="preserve"> </w:t>
      </w:r>
      <w:r w:rsidR="00CB1CE1">
        <w:rPr>
          <w:lang w:val="en-GB"/>
        </w:rPr>
        <w:t>in 2015/16. D</w:t>
      </w:r>
      <w:r>
        <w:rPr>
          <w:lang w:val="en-GB"/>
        </w:rPr>
        <w:t xml:space="preserve">espite the heavy case load only R174 million has been allocated for investigations by the Public Protector in 2017/18. </w:t>
      </w:r>
      <w:r w:rsidRPr="00F01B6F">
        <w:rPr>
          <w:lang w:val="en-GB"/>
        </w:rPr>
        <w:t xml:space="preserve">We cannot allow </w:t>
      </w:r>
      <w:r>
        <w:rPr>
          <w:lang w:val="en-GB"/>
        </w:rPr>
        <w:t xml:space="preserve">a funding constraint to undermine the Public Protector’s </w:t>
      </w:r>
      <w:r w:rsidRPr="00F01B6F">
        <w:rPr>
          <w:lang w:val="en-GB"/>
        </w:rPr>
        <w:t xml:space="preserve">fight against corruption and maladministration </w:t>
      </w:r>
      <w:r>
        <w:rPr>
          <w:lang w:val="en-GB"/>
        </w:rPr>
        <w:t xml:space="preserve">in </w:t>
      </w:r>
      <w:r w:rsidRPr="00F01B6F">
        <w:rPr>
          <w:lang w:val="en-GB"/>
        </w:rPr>
        <w:t>South Africa.</w:t>
      </w:r>
    </w:p>
    <w:p w:rsidR="006F4E2D" w:rsidRPr="00F01B6F" w:rsidRDefault="006F4E2D" w:rsidP="006F4E2D">
      <w:pPr>
        <w:jc w:val="both"/>
        <w:rPr>
          <w:lang w:val="en-GB"/>
        </w:rPr>
      </w:pPr>
    </w:p>
    <w:tbl>
      <w:tblPr>
        <w:tblStyle w:val="TableGrid"/>
        <w:tblW w:w="0" w:type="auto"/>
        <w:tblLook w:val="04A0"/>
      </w:tblPr>
      <w:tblGrid>
        <w:gridCol w:w="8516"/>
      </w:tblGrid>
      <w:tr w:rsidR="006F4E2D" w:rsidRPr="00F01B6F" w:rsidTr="00AA4604">
        <w:tc>
          <w:tcPr>
            <w:tcW w:w="8516" w:type="dxa"/>
          </w:tcPr>
          <w:p w:rsidR="006F4E2D" w:rsidRPr="00F01B6F" w:rsidRDefault="006F4E2D" w:rsidP="00AA4604">
            <w:pPr>
              <w:jc w:val="both"/>
              <w:rPr>
                <w:i/>
                <w:lang w:val="en-GB"/>
              </w:rPr>
            </w:pPr>
          </w:p>
          <w:p w:rsidR="006F4E2D" w:rsidRPr="00F01B6F" w:rsidRDefault="006F4E2D" w:rsidP="00AA4604">
            <w:pPr>
              <w:jc w:val="both"/>
              <w:rPr>
                <w:lang w:val="en-GB"/>
              </w:rPr>
            </w:pPr>
            <w:r w:rsidRPr="00F01B6F">
              <w:rPr>
                <w:b/>
                <w:lang w:val="en-GB"/>
              </w:rPr>
              <w:t>We will therefore propose an amendmen</w:t>
            </w:r>
            <w:r>
              <w:rPr>
                <w:b/>
                <w:lang w:val="en-GB"/>
              </w:rPr>
              <w:t>t to the Appropriations Bill [B5-2017</w:t>
            </w:r>
            <w:r w:rsidRPr="00F01B6F">
              <w:rPr>
                <w:b/>
                <w:lang w:val="en-GB"/>
              </w:rPr>
              <w:t>], to increase the appropriation of Vote 21: Justice and Constitutional Development, by</w:t>
            </w:r>
            <w:r>
              <w:rPr>
                <w:b/>
                <w:lang w:val="en-GB"/>
              </w:rPr>
              <w:t xml:space="preserve"> R174 million</w:t>
            </w:r>
            <w:r w:rsidRPr="00F01B6F">
              <w:rPr>
                <w:b/>
                <w:lang w:val="en-GB"/>
              </w:rPr>
              <w:t xml:space="preserve">, </w:t>
            </w:r>
            <w:r>
              <w:rPr>
                <w:b/>
                <w:lang w:val="en-GB"/>
              </w:rPr>
              <w:t>to boost the investigative capacity of the Public Protector in 2017</w:t>
            </w:r>
            <w:r w:rsidRPr="00F01B6F">
              <w:rPr>
                <w:b/>
                <w:lang w:val="en-GB"/>
              </w:rPr>
              <w:t>/1</w:t>
            </w:r>
            <w:r>
              <w:rPr>
                <w:b/>
                <w:lang w:val="en-GB"/>
              </w:rPr>
              <w:t>8</w:t>
            </w:r>
            <w:r w:rsidRPr="00F01B6F">
              <w:rPr>
                <w:lang w:val="en-GB"/>
              </w:rPr>
              <w:t>.</w:t>
            </w:r>
          </w:p>
          <w:p w:rsidR="006F4E2D" w:rsidRPr="00F01B6F" w:rsidRDefault="006F4E2D" w:rsidP="00AA4604">
            <w:pPr>
              <w:jc w:val="both"/>
              <w:rPr>
                <w:lang w:val="en-GB"/>
              </w:rPr>
            </w:pPr>
          </w:p>
        </w:tc>
      </w:tr>
    </w:tbl>
    <w:p w:rsidR="006F4E2D" w:rsidRPr="00F01B6F" w:rsidRDefault="006F4E2D" w:rsidP="006F4E2D">
      <w:pPr>
        <w:jc w:val="both"/>
      </w:pPr>
    </w:p>
    <w:p w:rsidR="006F4E2D" w:rsidRPr="002E275C" w:rsidRDefault="006F4E2D" w:rsidP="006F4E2D">
      <w:pPr>
        <w:jc w:val="both"/>
        <w:rPr>
          <w:i/>
        </w:rPr>
      </w:pPr>
      <w:r w:rsidRPr="002E275C">
        <w:rPr>
          <w:i/>
        </w:rPr>
        <w:t>2.5 Supporting the Poor</w:t>
      </w:r>
    </w:p>
    <w:p w:rsidR="006F4E2D" w:rsidRDefault="006F4E2D" w:rsidP="006F4E2D">
      <w:pPr>
        <w:jc w:val="both"/>
        <w:rPr>
          <w:lang w:val="en-GB"/>
        </w:rPr>
      </w:pPr>
    </w:p>
    <w:p w:rsidR="006F4E2D" w:rsidRDefault="006F4E2D" w:rsidP="006F4E2D">
      <w:pPr>
        <w:jc w:val="both"/>
        <w:rPr>
          <w:lang w:val="en-GB"/>
        </w:rPr>
      </w:pPr>
      <w:r w:rsidRPr="002E275C">
        <w:rPr>
          <w:lang w:val="en-GB"/>
        </w:rPr>
        <w:t>We have approximately 17.3 million people who are currently receiving a wide variety of social grants in South Africa.</w:t>
      </w:r>
      <w:r w:rsidR="00AA4604">
        <w:rPr>
          <w:lang w:val="en-GB"/>
        </w:rPr>
        <w:t xml:space="preserve"> The</w:t>
      </w:r>
      <w:r w:rsidRPr="002E275C">
        <w:rPr>
          <w:lang w:val="en-GB"/>
        </w:rPr>
        <w:t xml:space="preserve"> reality is that social grants are a “lifeline” to millions of people who do not have jobs, or have given up looking for jobs. </w:t>
      </w:r>
    </w:p>
    <w:p w:rsidR="006F4E2D" w:rsidRDefault="006F4E2D" w:rsidP="006F4E2D">
      <w:pPr>
        <w:jc w:val="both"/>
        <w:rPr>
          <w:lang w:val="en-GB"/>
        </w:rPr>
      </w:pPr>
    </w:p>
    <w:p w:rsidR="006F4E2D" w:rsidRPr="00290464" w:rsidRDefault="006F4E2D" w:rsidP="006F4E2D">
      <w:pPr>
        <w:jc w:val="both"/>
        <w:rPr>
          <w:i/>
          <w:lang w:val="en-GB"/>
        </w:rPr>
      </w:pPr>
      <w:r>
        <w:rPr>
          <w:i/>
          <w:lang w:val="en-GB"/>
        </w:rPr>
        <w:t>2.5.1</w:t>
      </w:r>
      <w:r w:rsidRPr="00290464">
        <w:rPr>
          <w:i/>
          <w:lang w:val="en-GB"/>
        </w:rPr>
        <w:t xml:space="preserve"> Malnutrition</w:t>
      </w:r>
    </w:p>
    <w:p w:rsidR="006F4E2D" w:rsidRPr="002E275C" w:rsidRDefault="006F4E2D" w:rsidP="006F4E2D">
      <w:pPr>
        <w:jc w:val="both"/>
        <w:rPr>
          <w:lang w:val="en-GB"/>
        </w:rPr>
      </w:pPr>
      <w:r>
        <w:rPr>
          <w:lang w:val="en-GB"/>
        </w:rPr>
        <w:t xml:space="preserve">Staggeringly, we have had 46 294 children admitted to hospital suffering from malnutrition and we have lost 4 903 children, between the ages of zero and five years old, to malnutrition in the last three years between 2013/14 and 2016/17.   </w:t>
      </w:r>
    </w:p>
    <w:p w:rsidR="006F4E2D" w:rsidRDefault="006F4E2D" w:rsidP="006F4E2D">
      <w:pPr>
        <w:jc w:val="both"/>
        <w:rPr>
          <w:lang w:val="en-GB"/>
        </w:rPr>
      </w:pPr>
    </w:p>
    <w:p w:rsidR="006F4E2D" w:rsidRPr="007624F9" w:rsidRDefault="006F4E2D" w:rsidP="006F4E2D">
      <w:pPr>
        <w:jc w:val="both"/>
        <w:rPr>
          <w:i/>
          <w:lang w:val="en-GB"/>
        </w:rPr>
      </w:pPr>
      <w:r>
        <w:rPr>
          <w:i/>
          <w:lang w:val="en-GB"/>
        </w:rPr>
        <w:t>2.5.2 Food Inflation</w:t>
      </w:r>
    </w:p>
    <w:p w:rsidR="006F4E2D" w:rsidRDefault="006F4E2D" w:rsidP="006F4E2D">
      <w:pPr>
        <w:jc w:val="both"/>
        <w:rPr>
          <w:lang w:val="en-GB"/>
        </w:rPr>
      </w:pPr>
      <w:r>
        <w:rPr>
          <w:lang w:val="en-GB"/>
        </w:rPr>
        <w:t>Moreover, the</w:t>
      </w:r>
      <w:r w:rsidRPr="002E275C">
        <w:rPr>
          <w:lang w:val="en-GB"/>
        </w:rPr>
        <w:t xml:space="preserve"> average increase in </w:t>
      </w:r>
      <w:r>
        <w:rPr>
          <w:lang w:val="en-GB"/>
        </w:rPr>
        <w:t xml:space="preserve">social grants is 6.3%, which is more-or-less in line with inflation in 2017/18. </w:t>
      </w:r>
      <w:r w:rsidRPr="002E275C">
        <w:rPr>
          <w:lang w:val="en-GB"/>
        </w:rPr>
        <w:t>However, food price inflation is expec</w:t>
      </w:r>
      <w:r>
        <w:rPr>
          <w:lang w:val="en-GB"/>
        </w:rPr>
        <w:t>ted to be at least 7.7% in 2017/18.</w:t>
      </w:r>
      <w:r w:rsidRPr="002E275C">
        <w:rPr>
          <w:lang w:val="en-GB"/>
        </w:rPr>
        <w:t xml:space="preserve"> T</w:t>
      </w:r>
      <w:r>
        <w:rPr>
          <w:lang w:val="en-GB"/>
        </w:rPr>
        <w:t xml:space="preserve">he increase in social grants is, therefore, </w:t>
      </w:r>
      <w:r w:rsidRPr="002E275C">
        <w:rPr>
          <w:lang w:val="en-GB"/>
        </w:rPr>
        <w:t xml:space="preserve">simply not sufficient to deal with </w:t>
      </w:r>
      <w:r>
        <w:rPr>
          <w:lang w:val="en-GB"/>
        </w:rPr>
        <w:t>food price inflation, resulting in widespread malnutrition and hunger in South Africa.</w:t>
      </w:r>
    </w:p>
    <w:p w:rsidR="006F4E2D" w:rsidRDefault="006F4E2D" w:rsidP="006F4E2D">
      <w:pPr>
        <w:jc w:val="both"/>
        <w:rPr>
          <w:lang w:val="en-GB"/>
        </w:rPr>
      </w:pPr>
    </w:p>
    <w:p w:rsidR="006F4E2D" w:rsidRDefault="006F4E2D" w:rsidP="006F4E2D">
      <w:pPr>
        <w:jc w:val="both"/>
        <w:rPr>
          <w:lang w:val="en-GB"/>
        </w:rPr>
      </w:pPr>
      <w:r w:rsidRPr="002E275C">
        <w:rPr>
          <w:lang w:val="en-GB"/>
        </w:rPr>
        <w:lastRenderedPageBreak/>
        <w:t>We cannot allow the most vulnerable people</w:t>
      </w:r>
      <w:r>
        <w:rPr>
          <w:lang w:val="en-GB"/>
        </w:rPr>
        <w:t xml:space="preserve"> in society, especially our children,</w:t>
      </w:r>
      <w:r w:rsidRPr="002E275C">
        <w:rPr>
          <w:lang w:val="en-GB"/>
        </w:rPr>
        <w:t xml:space="preserve"> to suffer in South Africa.</w:t>
      </w:r>
    </w:p>
    <w:p w:rsidR="006F4E2D" w:rsidRPr="002E275C" w:rsidRDefault="006F4E2D" w:rsidP="006F4E2D">
      <w:pPr>
        <w:jc w:val="both"/>
        <w:rPr>
          <w:lang w:val="en-GB"/>
        </w:rPr>
      </w:pPr>
    </w:p>
    <w:tbl>
      <w:tblPr>
        <w:tblStyle w:val="TableGrid"/>
        <w:tblW w:w="0" w:type="auto"/>
        <w:tblLook w:val="04A0"/>
      </w:tblPr>
      <w:tblGrid>
        <w:gridCol w:w="8516"/>
      </w:tblGrid>
      <w:tr w:rsidR="006F4E2D" w:rsidRPr="00F01B6F" w:rsidTr="00AA4604">
        <w:tc>
          <w:tcPr>
            <w:tcW w:w="8516" w:type="dxa"/>
          </w:tcPr>
          <w:p w:rsidR="006F4E2D" w:rsidRPr="00F01B6F" w:rsidRDefault="006F4E2D" w:rsidP="00AA4604">
            <w:pPr>
              <w:jc w:val="both"/>
              <w:rPr>
                <w:i/>
                <w:lang w:val="en-GB"/>
              </w:rPr>
            </w:pPr>
          </w:p>
          <w:p w:rsidR="006F4E2D" w:rsidRPr="00521DCC" w:rsidRDefault="006F4E2D" w:rsidP="00AA4604">
            <w:pPr>
              <w:jc w:val="both"/>
              <w:rPr>
                <w:b/>
                <w:lang w:val="en-GB"/>
              </w:rPr>
            </w:pPr>
            <w:r w:rsidRPr="00521DCC">
              <w:rPr>
                <w:b/>
                <w:lang w:val="en-GB"/>
              </w:rPr>
              <w:t xml:space="preserve">We therefore propose an amendment to the Appropriations Bill [B5-2017], to increase the appropriation of Vote 17: Social Development, by R4.5 billion as follows:  </w:t>
            </w:r>
          </w:p>
          <w:p w:rsidR="006F4E2D" w:rsidRPr="00521DCC" w:rsidRDefault="006F4E2D" w:rsidP="00AA4604">
            <w:pPr>
              <w:jc w:val="both"/>
              <w:rPr>
                <w:b/>
                <w:lang w:val="en-GB"/>
              </w:rPr>
            </w:pPr>
          </w:p>
          <w:p w:rsidR="006F4E2D" w:rsidRPr="00521DCC" w:rsidRDefault="006F4E2D" w:rsidP="00EF50BB">
            <w:pPr>
              <w:pStyle w:val="ListParagraph"/>
              <w:numPr>
                <w:ilvl w:val="0"/>
                <w:numId w:val="1"/>
              </w:numPr>
              <w:jc w:val="both"/>
              <w:rPr>
                <w:b/>
                <w:lang w:val="en-GB"/>
              </w:rPr>
            </w:pPr>
            <w:r w:rsidRPr="00521DCC">
              <w:rPr>
                <w:b/>
                <w:lang w:val="en-GB"/>
              </w:rPr>
              <w:t>increase the child grant</w:t>
            </w:r>
            <w:r>
              <w:rPr>
                <w:b/>
                <w:lang w:val="en-GB"/>
              </w:rPr>
              <w:t xml:space="preserve"> by R2.8 billion </w:t>
            </w:r>
            <w:r w:rsidRPr="00521DCC">
              <w:rPr>
                <w:b/>
                <w:lang w:val="en-GB"/>
              </w:rPr>
              <w:t xml:space="preserve">to prevent malnutrition among children between the ages of zero and two years; and </w:t>
            </w:r>
          </w:p>
          <w:p w:rsidR="006F4E2D" w:rsidRPr="00521DCC" w:rsidRDefault="006F4E2D" w:rsidP="00EF50BB">
            <w:pPr>
              <w:pStyle w:val="ListParagraph"/>
              <w:numPr>
                <w:ilvl w:val="0"/>
                <w:numId w:val="1"/>
              </w:numPr>
              <w:jc w:val="both"/>
              <w:rPr>
                <w:b/>
                <w:lang w:val="en-GB"/>
              </w:rPr>
            </w:pPr>
            <w:r w:rsidRPr="00521DCC">
              <w:rPr>
                <w:b/>
                <w:lang w:val="en-GB"/>
              </w:rPr>
              <w:t xml:space="preserve">increase </w:t>
            </w:r>
            <w:r>
              <w:rPr>
                <w:b/>
                <w:lang w:val="en-GB"/>
              </w:rPr>
              <w:t xml:space="preserve">all </w:t>
            </w:r>
            <w:r w:rsidRPr="00521DCC">
              <w:rPr>
                <w:b/>
                <w:lang w:val="en-GB"/>
              </w:rPr>
              <w:t>social grants by R1.7 billion</w:t>
            </w:r>
            <w:r>
              <w:rPr>
                <w:b/>
                <w:lang w:val="en-GB"/>
              </w:rPr>
              <w:t xml:space="preserve"> </w:t>
            </w:r>
            <w:r w:rsidRPr="00521DCC">
              <w:rPr>
                <w:b/>
                <w:lang w:val="en-GB"/>
              </w:rPr>
              <w:t>to assist people battling high food prices in 2017/18.</w:t>
            </w:r>
          </w:p>
          <w:p w:rsidR="006F4E2D" w:rsidRPr="00F01B6F" w:rsidRDefault="006F4E2D" w:rsidP="00AA4604">
            <w:pPr>
              <w:jc w:val="both"/>
              <w:rPr>
                <w:lang w:val="en-GB"/>
              </w:rPr>
            </w:pPr>
          </w:p>
        </w:tc>
      </w:tr>
    </w:tbl>
    <w:p w:rsidR="006F4E2D" w:rsidRPr="00F01B6F" w:rsidRDefault="006F4E2D" w:rsidP="006F4E2D">
      <w:pPr>
        <w:jc w:val="both"/>
      </w:pPr>
    </w:p>
    <w:p w:rsidR="006F4E2D" w:rsidRDefault="006F4E2D" w:rsidP="006F4E2D">
      <w:pPr>
        <w:jc w:val="both"/>
        <w:rPr>
          <w:i/>
        </w:rPr>
      </w:pPr>
      <w:r>
        <w:rPr>
          <w:i/>
        </w:rPr>
        <w:t>2.6 Border Control</w:t>
      </w:r>
    </w:p>
    <w:p w:rsidR="00E2361A" w:rsidRDefault="00E2361A" w:rsidP="006F4E2D">
      <w:pPr>
        <w:jc w:val="both"/>
      </w:pPr>
    </w:p>
    <w:p w:rsidR="006F4E2D" w:rsidRPr="00A45EEB" w:rsidRDefault="006F4E2D" w:rsidP="006F4E2D">
      <w:pPr>
        <w:jc w:val="both"/>
      </w:pPr>
      <w:r>
        <w:t>We are vulnerable to organized crime syndicates, illegal immigration and stock theft because our 46</w:t>
      </w:r>
      <w:r w:rsidR="00D231C6">
        <w:t xml:space="preserve"> </w:t>
      </w:r>
      <w:r>
        <w:t>8</w:t>
      </w:r>
      <w:r w:rsidR="00CB1CE1">
        <w:t>6</w:t>
      </w:r>
      <w:r>
        <w:t>2 kilometer landward border is a wide open door. The South African National Defence Force aims to maintain 15 sub-units (+/- 2025 soldiers) on our landward borders, which is well below the 22 sub-units (+/- 2970 soldiers) required to protect our landward borders. We have simply not prioritized border safeguarding sufficiently and will spend more on “VIP Protection Services” (R1.4 billion), protecting ministers, than we will spend on border safeguarding (R1.0 billion), protecting our borders, in 2017/18. We have to ensure that out landward borders are properly protected so that we are no</w:t>
      </w:r>
      <w:r w:rsidR="002169FA">
        <w:t>t</w:t>
      </w:r>
      <w:r>
        <w:t xml:space="preserve"> vulnerable to organized crime syndicates, illegal immigrants and stock thieves.</w:t>
      </w:r>
    </w:p>
    <w:p w:rsidR="006F4E2D" w:rsidRPr="000C2715" w:rsidRDefault="006F4E2D" w:rsidP="006F4E2D">
      <w:pPr>
        <w:jc w:val="center"/>
      </w:pPr>
    </w:p>
    <w:tbl>
      <w:tblPr>
        <w:tblStyle w:val="TableGrid"/>
        <w:tblW w:w="0" w:type="auto"/>
        <w:tblLook w:val="04A0"/>
      </w:tblPr>
      <w:tblGrid>
        <w:gridCol w:w="8516"/>
      </w:tblGrid>
      <w:tr w:rsidR="006F4E2D" w:rsidRPr="000C2715" w:rsidTr="00AA4604">
        <w:tc>
          <w:tcPr>
            <w:tcW w:w="8516" w:type="dxa"/>
          </w:tcPr>
          <w:p w:rsidR="006F4E2D" w:rsidRPr="000C2715" w:rsidRDefault="006F4E2D" w:rsidP="00AA4604">
            <w:pPr>
              <w:jc w:val="both"/>
              <w:rPr>
                <w:lang w:val="en-GB"/>
              </w:rPr>
            </w:pPr>
          </w:p>
          <w:p w:rsidR="006F4E2D" w:rsidRPr="000C2715" w:rsidRDefault="006F4E2D" w:rsidP="00AA4604">
            <w:pPr>
              <w:jc w:val="both"/>
              <w:rPr>
                <w:b/>
                <w:lang w:val="en-GB"/>
              </w:rPr>
            </w:pPr>
            <w:r w:rsidRPr="00521DCC">
              <w:rPr>
                <w:b/>
                <w:lang w:val="en-GB"/>
              </w:rPr>
              <w:t>We therefore propose an amendment to the Appropriations Bill [B5-2017], to increase the appropriation of Vote 19: Defence and Military Veterans, by R483 million, to provide 7 more sub-units (+/-945 soldiers) for border safeguarding in 2017/18.</w:t>
            </w:r>
          </w:p>
          <w:p w:rsidR="006F4E2D" w:rsidRPr="000C2715" w:rsidRDefault="006F4E2D" w:rsidP="00AA4604">
            <w:pPr>
              <w:jc w:val="both"/>
              <w:rPr>
                <w:lang w:val="en-GB"/>
              </w:rPr>
            </w:pPr>
          </w:p>
        </w:tc>
      </w:tr>
    </w:tbl>
    <w:p w:rsidR="006F4E2D" w:rsidRDefault="006F4E2D" w:rsidP="006F4E2D">
      <w:pPr>
        <w:jc w:val="both"/>
        <w:rPr>
          <w:i/>
        </w:rPr>
      </w:pPr>
    </w:p>
    <w:p w:rsidR="006F4E2D" w:rsidRPr="003B1EF7" w:rsidRDefault="006F4E2D" w:rsidP="006F4E2D">
      <w:pPr>
        <w:jc w:val="both"/>
        <w:rPr>
          <w:i/>
        </w:rPr>
      </w:pPr>
      <w:r w:rsidRPr="003B1EF7">
        <w:rPr>
          <w:i/>
        </w:rPr>
        <w:t>2.7 Summary</w:t>
      </w:r>
    </w:p>
    <w:p w:rsidR="006F4E2D" w:rsidRDefault="006F4E2D" w:rsidP="006F4E2D">
      <w:pPr>
        <w:jc w:val="both"/>
      </w:pPr>
    </w:p>
    <w:p w:rsidR="006F4E2D" w:rsidRDefault="006F4E2D" w:rsidP="006F4E2D">
      <w:pPr>
        <w:jc w:val="both"/>
      </w:pPr>
      <w:r>
        <w:t>We, in summary</w:t>
      </w:r>
      <w:r w:rsidR="005613D7">
        <w:t>, will propose 405</w:t>
      </w:r>
      <w:r w:rsidRPr="00C54752">
        <w:t xml:space="preserve"> amendments to the Appropriat</w:t>
      </w:r>
      <w:r w:rsidR="00CB1CE1">
        <w:t>ions Bill, in the amount of R10.8</w:t>
      </w:r>
      <w:r w:rsidRPr="00C54752">
        <w:t xml:space="preserve"> billion, to</w:t>
      </w:r>
      <w:r w:rsidRPr="00F01B6F">
        <w:t xml:space="preserve"> fund six proposals in 2016/17, as follows: </w:t>
      </w:r>
    </w:p>
    <w:tbl>
      <w:tblPr>
        <w:tblW w:w="9455" w:type="dxa"/>
        <w:tblInd w:w="-20" w:type="dxa"/>
        <w:tblLook w:val="04A0"/>
      </w:tblPr>
      <w:tblGrid>
        <w:gridCol w:w="8290"/>
        <w:gridCol w:w="1165"/>
      </w:tblGrid>
      <w:tr w:rsidR="006F4E2D" w:rsidRPr="00C646D7" w:rsidTr="00B35692">
        <w:trPr>
          <w:trHeight w:val="144"/>
        </w:trPr>
        <w:tc>
          <w:tcPr>
            <w:tcW w:w="82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rsidR="006F4E2D" w:rsidRPr="00C646D7" w:rsidRDefault="006F4E2D" w:rsidP="00AA4604">
            <w:pPr>
              <w:rPr>
                <w:rFonts w:ascii="Calibri" w:eastAsia="Times New Roman" w:hAnsi="Calibri" w:cs="Times New Roman"/>
                <w:b/>
                <w:bCs/>
                <w:color w:val="000000"/>
              </w:rPr>
            </w:pPr>
            <w:r w:rsidRPr="00C646D7">
              <w:rPr>
                <w:rFonts w:ascii="Calibri" w:eastAsia="Times New Roman" w:hAnsi="Calibri" w:cs="Times New Roman"/>
                <w:b/>
                <w:bCs/>
                <w:color w:val="000000"/>
                <w:sz w:val="22"/>
                <w:szCs w:val="22"/>
              </w:rPr>
              <w:t>Proposals</w:t>
            </w:r>
          </w:p>
        </w:tc>
        <w:tc>
          <w:tcPr>
            <w:tcW w:w="1165" w:type="dxa"/>
            <w:tcBorders>
              <w:top w:val="single" w:sz="4" w:space="0" w:color="auto"/>
              <w:left w:val="nil"/>
              <w:bottom w:val="single" w:sz="4" w:space="0" w:color="auto"/>
              <w:right w:val="single" w:sz="4" w:space="0" w:color="auto"/>
            </w:tcBorders>
            <w:shd w:val="clear" w:color="000000" w:fill="4472C4"/>
            <w:noWrap/>
            <w:vAlign w:val="bottom"/>
            <w:hideMark/>
          </w:tcPr>
          <w:p w:rsidR="006F4E2D" w:rsidRPr="00C646D7" w:rsidRDefault="006F4E2D" w:rsidP="00AA4604">
            <w:pPr>
              <w:rPr>
                <w:rFonts w:ascii="Calibri" w:eastAsia="Times New Roman" w:hAnsi="Calibri" w:cs="Times New Roman"/>
                <w:b/>
                <w:bCs/>
                <w:color w:val="000000"/>
              </w:rPr>
            </w:pPr>
            <w:r w:rsidRPr="00C646D7">
              <w:rPr>
                <w:rFonts w:ascii="Calibri" w:eastAsia="Times New Roman" w:hAnsi="Calibri" w:cs="Times New Roman"/>
                <w:b/>
                <w:bCs/>
                <w:color w:val="000000"/>
                <w:sz w:val="22"/>
                <w:szCs w:val="22"/>
              </w:rPr>
              <w:t>R'000</w:t>
            </w:r>
          </w:p>
        </w:tc>
      </w:tr>
      <w:tr w:rsidR="006F4E2D" w:rsidRPr="00C646D7" w:rsidTr="00AA4604">
        <w:trPr>
          <w:trHeight w:val="144"/>
        </w:trPr>
        <w:tc>
          <w:tcPr>
            <w:tcW w:w="8290" w:type="dxa"/>
            <w:tcBorders>
              <w:top w:val="nil"/>
              <w:left w:val="single" w:sz="4" w:space="0" w:color="auto"/>
              <w:bottom w:val="single" w:sz="4" w:space="0" w:color="auto"/>
              <w:right w:val="single" w:sz="4" w:space="0" w:color="auto"/>
            </w:tcBorders>
            <w:shd w:val="clear" w:color="auto" w:fill="auto"/>
            <w:noWrap/>
            <w:vAlign w:val="bottom"/>
            <w:hideMark/>
          </w:tcPr>
          <w:p w:rsidR="006F4E2D" w:rsidRPr="00C646D7" w:rsidRDefault="006F4E2D"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Department of </w:t>
            </w:r>
            <w:r w:rsidRPr="00C646D7">
              <w:rPr>
                <w:rFonts w:ascii="Calibri" w:eastAsia="Times New Roman" w:hAnsi="Calibri" w:cs="Times New Roman"/>
                <w:color w:val="000000"/>
                <w:sz w:val="20"/>
                <w:szCs w:val="20"/>
                <w:lang w:eastAsia="en-ZA"/>
              </w:rPr>
              <w:t>Public Works</w:t>
            </w:r>
          </w:p>
        </w:tc>
        <w:tc>
          <w:tcPr>
            <w:tcW w:w="1165" w:type="dxa"/>
            <w:tcBorders>
              <w:top w:val="nil"/>
              <w:left w:val="nil"/>
              <w:bottom w:val="single" w:sz="4" w:space="0" w:color="auto"/>
              <w:right w:val="single" w:sz="4" w:space="0" w:color="auto"/>
            </w:tcBorders>
            <w:shd w:val="clear" w:color="auto" w:fill="auto"/>
            <w:noWrap/>
            <w:vAlign w:val="bottom"/>
            <w:hideMark/>
          </w:tcPr>
          <w:p w:rsidR="006F4E2D" w:rsidRPr="00C646D7" w:rsidRDefault="006F4E2D" w:rsidP="00AA4604">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C646D7">
              <w:rPr>
                <w:rFonts w:ascii="Calibri" w:eastAsia="Times New Roman" w:hAnsi="Calibri" w:cs="Times New Roman"/>
                <w:color w:val="000000"/>
                <w:sz w:val="20"/>
                <w:szCs w:val="20"/>
                <w:lang w:eastAsia="en-ZA"/>
              </w:rPr>
              <w:t xml:space="preserve">1,500,000 </w:t>
            </w:r>
          </w:p>
        </w:tc>
      </w:tr>
      <w:tr w:rsidR="006F4E2D" w:rsidRPr="008673AA" w:rsidTr="00AA4604">
        <w:trPr>
          <w:trHeight w:val="144"/>
        </w:trPr>
        <w:tc>
          <w:tcPr>
            <w:tcW w:w="8290" w:type="dxa"/>
            <w:tcBorders>
              <w:top w:val="nil"/>
              <w:left w:val="single" w:sz="4" w:space="0" w:color="auto"/>
              <w:bottom w:val="single" w:sz="4" w:space="0" w:color="auto"/>
              <w:right w:val="single" w:sz="4" w:space="0" w:color="auto"/>
            </w:tcBorders>
            <w:shd w:val="clear" w:color="auto" w:fill="auto"/>
            <w:noWrap/>
            <w:vAlign w:val="bottom"/>
            <w:hideMark/>
          </w:tcPr>
          <w:p w:rsidR="006F4E2D" w:rsidRPr="00C646D7" w:rsidRDefault="006F4E2D"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Department of </w:t>
            </w:r>
            <w:r w:rsidRPr="00C646D7">
              <w:rPr>
                <w:rFonts w:ascii="Calibri" w:eastAsia="Times New Roman" w:hAnsi="Calibri" w:cs="Times New Roman"/>
                <w:color w:val="000000"/>
                <w:sz w:val="20"/>
                <w:szCs w:val="20"/>
                <w:lang w:eastAsia="en-ZA"/>
              </w:rPr>
              <w:t>Higher Education and Training</w:t>
            </w:r>
          </w:p>
        </w:tc>
        <w:tc>
          <w:tcPr>
            <w:tcW w:w="1165" w:type="dxa"/>
            <w:tcBorders>
              <w:top w:val="nil"/>
              <w:left w:val="nil"/>
              <w:bottom w:val="single" w:sz="4" w:space="0" w:color="auto"/>
              <w:right w:val="single" w:sz="4" w:space="0" w:color="auto"/>
            </w:tcBorders>
            <w:shd w:val="clear" w:color="auto" w:fill="auto"/>
            <w:noWrap/>
            <w:vAlign w:val="bottom"/>
            <w:hideMark/>
          </w:tcPr>
          <w:p w:rsidR="006F4E2D" w:rsidRPr="00C646D7" w:rsidRDefault="008673AA" w:rsidP="008673AA">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3,483,247 </w:t>
            </w:r>
          </w:p>
        </w:tc>
      </w:tr>
      <w:tr w:rsidR="006F4E2D" w:rsidRPr="00C646D7" w:rsidTr="00AA4604">
        <w:trPr>
          <w:trHeight w:val="144"/>
        </w:trPr>
        <w:tc>
          <w:tcPr>
            <w:tcW w:w="8290" w:type="dxa"/>
            <w:tcBorders>
              <w:top w:val="nil"/>
              <w:left w:val="single" w:sz="4" w:space="0" w:color="auto"/>
              <w:bottom w:val="single" w:sz="4" w:space="0" w:color="auto"/>
              <w:right w:val="single" w:sz="4" w:space="0" w:color="auto"/>
            </w:tcBorders>
            <w:shd w:val="clear" w:color="auto" w:fill="auto"/>
            <w:noWrap/>
            <w:vAlign w:val="bottom"/>
            <w:hideMark/>
          </w:tcPr>
          <w:p w:rsidR="006F4E2D" w:rsidRPr="00C646D7" w:rsidRDefault="006F4E2D"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Department of </w:t>
            </w:r>
            <w:r w:rsidRPr="00C646D7">
              <w:rPr>
                <w:rFonts w:ascii="Calibri" w:eastAsia="Times New Roman" w:hAnsi="Calibri" w:cs="Times New Roman"/>
                <w:color w:val="000000"/>
                <w:sz w:val="20"/>
                <w:szCs w:val="20"/>
                <w:lang w:eastAsia="en-ZA"/>
              </w:rPr>
              <w:t>Social Development</w:t>
            </w:r>
          </w:p>
        </w:tc>
        <w:tc>
          <w:tcPr>
            <w:tcW w:w="1165" w:type="dxa"/>
            <w:tcBorders>
              <w:top w:val="nil"/>
              <w:left w:val="nil"/>
              <w:bottom w:val="single" w:sz="4" w:space="0" w:color="auto"/>
              <w:right w:val="single" w:sz="4" w:space="0" w:color="auto"/>
            </w:tcBorders>
            <w:shd w:val="clear" w:color="auto" w:fill="auto"/>
            <w:noWrap/>
            <w:vAlign w:val="bottom"/>
            <w:hideMark/>
          </w:tcPr>
          <w:p w:rsidR="006F4E2D" w:rsidRPr="00C646D7" w:rsidRDefault="006F4E2D" w:rsidP="00AA4604">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C646D7">
              <w:rPr>
                <w:rFonts w:ascii="Calibri" w:eastAsia="Times New Roman" w:hAnsi="Calibri" w:cs="Times New Roman"/>
                <w:color w:val="000000"/>
                <w:sz w:val="20"/>
                <w:szCs w:val="20"/>
                <w:lang w:eastAsia="en-ZA"/>
              </w:rPr>
              <w:t xml:space="preserve">4,496,883 </w:t>
            </w:r>
          </w:p>
        </w:tc>
      </w:tr>
      <w:tr w:rsidR="006F4E2D" w:rsidRPr="00C646D7" w:rsidTr="00AA4604">
        <w:trPr>
          <w:trHeight w:val="144"/>
        </w:trPr>
        <w:tc>
          <w:tcPr>
            <w:tcW w:w="8290" w:type="dxa"/>
            <w:tcBorders>
              <w:top w:val="nil"/>
              <w:left w:val="single" w:sz="4" w:space="0" w:color="auto"/>
              <w:bottom w:val="single" w:sz="4" w:space="0" w:color="auto"/>
              <w:right w:val="single" w:sz="4" w:space="0" w:color="auto"/>
            </w:tcBorders>
            <w:shd w:val="clear" w:color="auto" w:fill="auto"/>
            <w:noWrap/>
            <w:vAlign w:val="bottom"/>
            <w:hideMark/>
          </w:tcPr>
          <w:p w:rsidR="006F4E2D" w:rsidRPr="00C646D7" w:rsidRDefault="006F4E2D"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Department of </w:t>
            </w:r>
            <w:r w:rsidRPr="00C646D7">
              <w:rPr>
                <w:rFonts w:ascii="Calibri" w:eastAsia="Times New Roman" w:hAnsi="Calibri" w:cs="Times New Roman"/>
                <w:color w:val="000000"/>
                <w:sz w:val="20"/>
                <w:szCs w:val="20"/>
                <w:lang w:eastAsia="en-ZA"/>
              </w:rPr>
              <w:t>Police</w:t>
            </w:r>
          </w:p>
        </w:tc>
        <w:tc>
          <w:tcPr>
            <w:tcW w:w="1165" w:type="dxa"/>
            <w:tcBorders>
              <w:top w:val="nil"/>
              <w:left w:val="nil"/>
              <w:bottom w:val="single" w:sz="4" w:space="0" w:color="auto"/>
              <w:right w:val="single" w:sz="4" w:space="0" w:color="auto"/>
            </w:tcBorders>
            <w:shd w:val="clear" w:color="auto" w:fill="auto"/>
            <w:noWrap/>
            <w:vAlign w:val="bottom"/>
            <w:hideMark/>
          </w:tcPr>
          <w:p w:rsidR="006F4E2D" w:rsidRPr="00C646D7" w:rsidRDefault="006F4E2D" w:rsidP="00AA4604">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C646D7">
              <w:rPr>
                <w:rFonts w:ascii="Calibri" w:eastAsia="Times New Roman" w:hAnsi="Calibri" w:cs="Times New Roman"/>
                <w:color w:val="000000"/>
                <w:sz w:val="20"/>
                <w:szCs w:val="20"/>
                <w:lang w:eastAsia="en-ZA"/>
              </w:rPr>
              <w:t xml:space="preserve">688,020 </w:t>
            </w:r>
          </w:p>
        </w:tc>
      </w:tr>
      <w:tr w:rsidR="006F4E2D" w:rsidRPr="00C646D7" w:rsidTr="00AA4604">
        <w:trPr>
          <w:trHeight w:val="144"/>
        </w:trPr>
        <w:tc>
          <w:tcPr>
            <w:tcW w:w="8290" w:type="dxa"/>
            <w:tcBorders>
              <w:top w:val="nil"/>
              <w:left w:val="single" w:sz="4" w:space="0" w:color="auto"/>
              <w:bottom w:val="single" w:sz="4" w:space="0" w:color="auto"/>
              <w:right w:val="single" w:sz="4" w:space="0" w:color="auto"/>
            </w:tcBorders>
            <w:shd w:val="clear" w:color="auto" w:fill="auto"/>
            <w:noWrap/>
            <w:vAlign w:val="bottom"/>
            <w:hideMark/>
          </w:tcPr>
          <w:p w:rsidR="006F4E2D" w:rsidRPr="00C646D7" w:rsidRDefault="006F4E2D"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Department of </w:t>
            </w:r>
            <w:r w:rsidRPr="00C646D7">
              <w:rPr>
                <w:rFonts w:ascii="Calibri" w:eastAsia="Times New Roman" w:hAnsi="Calibri" w:cs="Times New Roman"/>
                <w:color w:val="000000"/>
                <w:sz w:val="20"/>
                <w:szCs w:val="20"/>
                <w:lang w:eastAsia="en-ZA"/>
              </w:rPr>
              <w:t>Defence</w:t>
            </w:r>
          </w:p>
        </w:tc>
        <w:tc>
          <w:tcPr>
            <w:tcW w:w="1165" w:type="dxa"/>
            <w:tcBorders>
              <w:top w:val="nil"/>
              <w:left w:val="nil"/>
              <w:bottom w:val="single" w:sz="4" w:space="0" w:color="auto"/>
              <w:right w:val="single" w:sz="4" w:space="0" w:color="auto"/>
            </w:tcBorders>
            <w:shd w:val="clear" w:color="auto" w:fill="auto"/>
            <w:noWrap/>
            <w:vAlign w:val="bottom"/>
            <w:hideMark/>
          </w:tcPr>
          <w:p w:rsidR="006F4E2D" w:rsidRPr="00C646D7" w:rsidRDefault="006F4E2D" w:rsidP="00AA4604">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C646D7">
              <w:rPr>
                <w:rFonts w:ascii="Calibri" w:eastAsia="Times New Roman" w:hAnsi="Calibri" w:cs="Times New Roman"/>
                <w:color w:val="000000"/>
                <w:sz w:val="20"/>
                <w:szCs w:val="20"/>
                <w:lang w:eastAsia="en-ZA"/>
              </w:rPr>
              <w:t xml:space="preserve">483,220 </w:t>
            </w:r>
          </w:p>
        </w:tc>
      </w:tr>
      <w:tr w:rsidR="006F4E2D" w:rsidRPr="00C646D7" w:rsidTr="00AA4604">
        <w:trPr>
          <w:trHeight w:val="144"/>
        </w:trPr>
        <w:tc>
          <w:tcPr>
            <w:tcW w:w="8290" w:type="dxa"/>
            <w:tcBorders>
              <w:top w:val="nil"/>
              <w:left w:val="single" w:sz="4" w:space="0" w:color="auto"/>
              <w:bottom w:val="single" w:sz="4" w:space="0" w:color="auto"/>
              <w:right w:val="single" w:sz="4" w:space="0" w:color="auto"/>
            </w:tcBorders>
            <w:shd w:val="clear" w:color="auto" w:fill="auto"/>
            <w:noWrap/>
            <w:vAlign w:val="bottom"/>
            <w:hideMark/>
          </w:tcPr>
          <w:p w:rsidR="006F4E2D" w:rsidRPr="00C646D7" w:rsidRDefault="006F4E2D" w:rsidP="00AA4604">
            <w:pPr>
              <w:contextualSpacing/>
              <w:rPr>
                <w:rFonts w:ascii="Calibri" w:eastAsia="Times New Roman" w:hAnsi="Calibri" w:cs="Times New Roman"/>
                <w:color w:val="000000"/>
                <w:sz w:val="20"/>
                <w:szCs w:val="20"/>
                <w:lang w:eastAsia="en-ZA"/>
              </w:rPr>
            </w:pPr>
            <w:r w:rsidRPr="00C646D7">
              <w:rPr>
                <w:rFonts w:ascii="Calibri" w:eastAsia="Times New Roman" w:hAnsi="Calibri" w:cs="Times New Roman"/>
                <w:color w:val="000000"/>
                <w:sz w:val="20"/>
                <w:szCs w:val="20"/>
                <w:lang w:eastAsia="en-ZA"/>
              </w:rPr>
              <w:t>Justice and Constitutional Development</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6F4E2D" w:rsidRPr="00C646D7" w:rsidRDefault="006F4E2D" w:rsidP="00AA4604">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C646D7">
              <w:rPr>
                <w:rFonts w:ascii="Calibri" w:eastAsia="Times New Roman" w:hAnsi="Calibri" w:cs="Times New Roman"/>
                <w:color w:val="000000"/>
                <w:sz w:val="20"/>
                <w:szCs w:val="20"/>
                <w:lang w:eastAsia="en-ZA"/>
              </w:rPr>
              <w:t xml:space="preserve">174,000 </w:t>
            </w:r>
          </w:p>
        </w:tc>
      </w:tr>
      <w:tr w:rsidR="006F4E2D" w:rsidRPr="00C646D7" w:rsidTr="00B35692">
        <w:trPr>
          <w:trHeight w:val="144"/>
        </w:trPr>
        <w:tc>
          <w:tcPr>
            <w:tcW w:w="82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rsidR="006F4E2D" w:rsidRPr="00C646D7" w:rsidRDefault="006F4E2D" w:rsidP="00AA4604">
            <w:pPr>
              <w:contextualSpacing/>
              <w:rPr>
                <w:rFonts w:ascii="Calibri" w:eastAsia="Times New Roman" w:hAnsi="Calibri" w:cs="Times New Roman"/>
                <w:b/>
                <w:color w:val="000000"/>
                <w:sz w:val="20"/>
                <w:szCs w:val="20"/>
                <w:lang w:eastAsia="en-ZA"/>
              </w:rPr>
            </w:pPr>
            <w:r w:rsidRPr="00C646D7">
              <w:rPr>
                <w:rFonts w:ascii="Calibri" w:eastAsia="Times New Roman" w:hAnsi="Calibri" w:cs="Times New Roman"/>
                <w:b/>
                <w:color w:val="000000"/>
                <w:sz w:val="20"/>
                <w:szCs w:val="20"/>
                <w:lang w:eastAsia="en-ZA"/>
              </w:rPr>
              <w:t>Total</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E2D" w:rsidRPr="00C646D7" w:rsidRDefault="00CB1CE1" w:rsidP="00AA4604">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10,825,370</w:t>
            </w:r>
            <w:r w:rsidR="006F4E2D" w:rsidRPr="003A3951">
              <w:rPr>
                <w:rFonts w:ascii="Calibri" w:eastAsia="Times New Roman" w:hAnsi="Calibri" w:cs="Times New Roman"/>
                <w:color w:val="000000"/>
                <w:sz w:val="20"/>
                <w:szCs w:val="20"/>
                <w:lang w:eastAsia="en-ZA"/>
              </w:rPr>
              <w:t xml:space="preserve"> </w:t>
            </w:r>
          </w:p>
        </w:tc>
      </w:tr>
    </w:tbl>
    <w:p w:rsidR="006F4E2D" w:rsidRDefault="006F4E2D" w:rsidP="006F4E2D">
      <w:pPr>
        <w:jc w:val="center"/>
      </w:pPr>
    </w:p>
    <w:p w:rsidR="006F4E2D" w:rsidRPr="00F01B6F" w:rsidRDefault="006F4E2D" w:rsidP="006F4E2D">
      <w:pPr>
        <w:jc w:val="both"/>
      </w:pPr>
    </w:p>
    <w:p w:rsidR="006F4E2D" w:rsidRDefault="006F4E2D" w:rsidP="006F4E2D">
      <w:pPr>
        <w:jc w:val="both"/>
      </w:pPr>
      <w:r>
        <w:t>Our budget proposals for 2017/18</w:t>
      </w:r>
      <w:r w:rsidRPr="00F01B6F">
        <w:t xml:space="preserve"> are aimed at: </w:t>
      </w:r>
    </w:p>
    <w:p w:rsidR="006F4E2D" w:rsidRDefault="006F4E2D" w:rsidP="006F4E2D">
      <w:pPr>
        <w:jc w:val="both"/>
      </w:pPr>
    </w:p>
    <w:p w:rsidR="006F4E2D" w:rsidRPr="00521DCC" w:rsidRDefault="006F4E2D" w:rsidP="00EF50BB">
      <w:pPr>
        <w:pStyle w:val="ListParagraph"/>
        <w:numPr>
          <w:ilvl w:val="0"/>
          <w:numId w:val="2"/>
        </w:numPr>
        <w:jc w:val="both"/>
      </w:pPr>
      <w:r w:rsidRPr="00B97F00">
        <w:rPr>
          <w:b/>
        </w:rPr>
        <w:lastRenderedPageBreak/>
        <w:t>creating jobs</w:t>
      </w:r>
      <w:r>
        <w:t xml:space="preserve"> by allocating an </w:t>
      </w:r>
      <w:r w:rsidRPr="00521DCC">
        <w:t xml:space="preserve">additional </w:t>
      </w:r>
      <w:r w:rsidRPr="00521DCC">
        <w:rPr>
          <w:lang w:val="en-GB"/>
        </w:rPr>
        <w:t xml:space="preserve">R1.5 </w:t>
      </w:r>
      <w:r w:rsidR="00CB1CE1">
        <w:t>billion to provid</w:t>
      </w:r>
      <w:r w:rsidR="002169FA">
        <w:t>e</w:t>
      </w:r>
      <w:r w:rsidRPr="00521DCC">
        <w:t xml:space="preserve"> </w:t>
      </w:r>
      <w:r w:rsidRPr="00521DCC">
        <w:rPr>
          <w:lang w:val="en-GB"/>
        </w:rPr>
        <w:t>213 602</w:t>
      </w:r>
      <w:r w:rsidRPr="00521DCC">
        <w:t xml:space="preserve"> more work opportunities in the Expanded Public Works Programme; </w:t>
      </w:r>
    </w:p>
    <w:p w:rsidR="006F4E2D" w:rsidRDefault="006F4E2D" w:rsidP="00EF50BB">
      <w:pPr>
        <w:pStyle w:val="ListParagraph"/>
        <w:numPr>
          <w:ilvl w:val="0"/>
          <w:numId w:val="2"/>
        </w:numPr>
        <w:jc w:val="both"/>
      </w:pPr>
      <w:r w:rsidRPr="00B97F00">
        <w:rPr>
          <w:b/>
        </w:rPr>
        <w:t>fighting crime</w:t>
      </w:r>
      <w:r w:rsidRPr="00F01B6F">
        <w:t xml:space="preserve"> by allocating an </w:t>
      </w:r>
      <w:r w:rsidRPr="00521DCC">
        <w:t xml:space="preserve">additional </w:t>
      </w:r>
      <w:r w:rsidRPr="00521DCC">
        <w:rPr>
          <w:lang w:val="en-GB"/>
        </w:rPr>
        <w:t>R 688 million</w:t>
      </w:r>
      <w:r w:rsidRPr="00521DCC">
        <w:t xml:space="preserve"> to</w:t>
      </w:r>
      <w:r w:rsidRPr="00F01B6F">
        <w:t xml:space="preserve"> establish a </w:t>
      </w:r>
      <w:r>
        <w:t xml:space="preserve">stand-alone </w:t>
      </w:r>
      <w:r w:rsidRPr="00F01B6F">
        <w:t xml:space="preserve">specialized unit to fight drug-related crime; </w:t>
      </w:r>
    </w:p>
    <w:p w:rsidR="006F4E2D" w:rsidRDefault="00B90AC2" w:rsidP="00EF50BB">
      <w:pPr>
        <w:pStyle w:val="ListParagraph"/>
        <w:numPr>
          <w:ilvl w:val="0"/>
          <w:numId w:val="2"/>
        </w:numPr>
        <w:jc w:val="both"/>
      </w:pPr>
      <w:r>
        <w:rPr>
          <w:b/>
        </w:rPr>
        <w:t>supporting</w:t>
      </w:r>
      <w:r w:rsidR="006F4E2D" w:rsidRPr="00F966FE">
        <w:rPr>
          <w:b/>
        </w:rPr>
        <w:t xml:space="preserve"> </w:t>
      </w:r>
      <w:r w:rsidR="006F4E2D">
        <w:rPr>
          <w:b/>
        </w:rPr>
        <w:t xml:space="preserve">poor </w:t>
      </w:r>
      <w:r w:rsidR="006F4E2D" w:rsidRPr="00F966FE">
        <w:rPr>
          <w:b/>
        </w:rPr>
        <w:t>students</w:t>
      </w:r>
      <w:r w:rsidR="006F4E2D" w:rsidRPr="00F01B6F">
        <w:t xml:space="preserve"> by allocating</w:t>
      </w:r>
      <w:r w:rsidR="006F4E2D">
        <w:t xml:space="preserve"> an </w:t>
      </w:r>
      <w:r w:rsidR="005613D7">
        <w:t>additional R3.5</w:t>
      </w:r>
      <w:r w:rsidR="006F4E2D" w:rsidRPr="00521DCC">
        <w:t xml:space="preserve"> billion </w:t>
      </w:r>
      <w:r w:rsidR="006F4E2D">
        <w:t xml:space="preserve">to provide  financial assistance to </w:t>
      </w:r>
      <w:r w:rsidR="005613D7">
        <w:t>63 331</w:t>
      </w:r>
      <w:r w:rsidR="006F4E2D">
        <w:t xml:space="preserve"> more students who are enrolled, or who would like to enroll, at </w:t>
      </w:r>
      <w:r w:rsidR="000C090A">
        <w:t>technical and vocational training</w:t>
      </w:r>
      <w:r w:rsidR="00BF5F1E">
        <w:t xml:space="preserve"> </w:t>
      </w:r>
      <w:r w:rsidR="006F4E2D">
        <w:t>colleges;</w:t>
      </w:r>
    </w:p>
    <w:p w:rsidR="006F4E2D" w:rsidRDefault="006F4E2D" w:rsidP="00EF50BB">
      <w:pPr>
        <w:pStyle w:val="ListParagraph"/>
        <w:numPr>
          <w:ilvl w:val="0"/>
          <w:numId w:val="2"/>
        </w:numPr>
        <w:jc w:val="both"/>
      </w:pPr>
      <w:r w:rsidRPr="00F966FE">
        <w:rPr>
          <w:b/>
        </w:rPr>
        <w:t>fighting corruption</w:t>
      </w:r>
      <w:r w:rsidRPr="00F01B6F">
        <w:t xml:space="preserve"> by allocating an additional </w:t>
      </w:r>
      <w:r w:rsidRPr="00521DCC">
        <w:rPr>
          <w:lang w:val="en-GB"/>
        </w:rPr>
        <w:t>R174 million</w:t>
      </w:r>
      <w:r w:rsidRPr="00521DCC">
        <w:t xml:space="preserve"> to boost</w:t>
      </w:r>
      <w:r>
        <w:t xml:space="preserve"> the investigative capacity of the </w:t>
      </w:r>
      <w:r w:rsidRPr="00F01B6F">
        <w:t>Pub</w:t>
      </w:r>
      <w:r w:rsidR="00C15444">
        <w:t>l</w:t>
      </w:r>
      <w:r w:rsidRPr="00F01B6F">
        <w:t xml:space="preserve">ic Protector; </w:t>
      </w:r>
    </w:p>
    <w:p w:rsidR="006F4E2D" w:rsidRDefault="006F4E2D" w:rsidP="00EF50BB">
      <w:pPr>
        <w:pStyle w:val="ListParagraph"/>
        <w:numPr>
          <w:ilvl w:val="0"/>
          <w:numId w:val="2"/>
        </w:numPr>
        <w:jc w:val="both"/>
      </w:pPr>
      <w:r w:rsidRPr="00F966FE">
        <w:rPr>
          <w:b/>
        </w:rPr>
        <w:t>assisting the poor</w:t>
      </w:r>
      <w:r>
        <w:t xml:space="preserve"> by allocating an additional </w:t>
      </w:r>
      <w:r w:rsidRPr="00521DCC">
        <w:rPr>
          <w:lang w:val="en-GB"/>
        </w:rPr>
        <w:t>R4.5 billion</w:t>
      </w:r>
      <w:r w:rsidRPr="00521DCC">
        <w:t xml:space="preserve"> to</w:t>
      </w:r>
      <w:r>
        <w:t xml:space="preserve"> prevent malnutrition among children and assist people battling high food prices</w:t>
      </w:r>
      <w:r w:rsidRPr="00F01B6F">
        <w:t xml:space="preserve">; </w:t>
      </w:r>
      <w:r>
        <w:t xml:space="preserve">and </w:t>
      </w:r>
    </w:p>
    <w:p w:rsidR="006F4E2D" w:rsidRPr="00F01B6F" w:rsidRDefault="006F4E2D" w:rsidP="00EF50BB">
      <w:pPr>
        <w:pStyle w:val="ListParagraph"/>
        <w:numPr>
          <w:ilvl w:val="0"/>
          <w:numId w:val="2"/>
        </w:numPr>
        <w:jc w:val="both"/>
      </w:pPr>
      <w:r>
        <w:rPr>
          <w:b/>
        </w:rPr>
        <w:t xml:space="preserve">combatting </w:t>
      </w:r>
      <w:r w:rsidRPr="0045170F">
        <w:rPr>
          <w:b/>
        </w:rPr>
        <w:t>cross border crime</w:t>
      </w:r>
      <w:r>
        <w:t xml:space="preserve"> by allocating an additional </w:t>
      </w:r>
      <w:r w:rsidRPr="00521DCC">
        <w:rPr>
          <w:lang w:val="en-GB"/>
        </w:rPr>
        <w:t>R483 million</w:t>
      </w:r>
      <w:r>
        <w:t xml:space="preserve"> to fund 7 more sub-units (+/- 945 soldiers) to safeguard the landward borders of South Africa.</w:t>
      </w:r>
    </w:p>
    <w:p w:rsidR="006F4E2D" w:rsidRDefault="006F4E2D" w:rsidP="006F4E2D">
      <w:pPr>
        <w:tabs>
          <w:tab w:val="left" w:pos="1335"/>
        </w:tabs>
        <w:jc w:val="both"/>
      </w:pPr>
    </w:p>
    <w:p w:rsidR="006F4E2D" w:rsidRPr="00F01B6F" w:rsidRDefault="006F4E2D" w:rsidP="006F4E2D">
      <w:pPr>
        <w:jc w:val="both"/>
        <w:rPr>
          <w:b/>
        </w:rPr>
      </w:pPr>
      <w:r w:rsidRPr="00F01B6F">
        <w:rPr>
          <w:b/>
        </w:rPr>
        <w:t xml:space="preserve">3. Savings </w:t>
      </w:r>
    </w:p>
    <w:p w:rsidR="006F4E2D" w:rsidRPr="00F01B6F" w:rsidRDefault="006F4E2D" w:rsidP="006F4E2D">
      <w:pPr>
        <w:jc w:val="both"/>
      </w:pPr>
    </w:p>
    <w:p w:rsidR="006F4E2D" w:rsidRPr="0050218E" w:rsidRDefault="006F4E2D" w:rsidP="006F4E2D">
      <w:pPr>
        <w:jc w:val="both"/>
        <w:rPr>
          <w:rFonts w:ascii="Calibri" w:eastAsia="Times New Roman" w:hAnsi="Calibri" w:cs="Times New Roman"/>
          <w:color w:val="000000"/>
          <w:sz w:val="22"/>
          <w:szCs w:val="22"/>
        </w:rPr>
      </w:pPr>
      <w:r w:rsidRPr="00F01B6F">
        <w:t>To fund the p</w:t>
      </w:r>
      <w:r w:rsidR="002169FA">
        <w:t>roposal will require reprioritis</w:t>
      </w:r>
      <w:r w:rsidRPr="00F01B6F">
        <w:t>ing expenditure, with</w:t>
      </w:r>
      <w:r>
        <w:t>in the existing budget, for 2017/18</w:t>
      </w:r>
      <w:r w:rsidRPr="00F01B6F">
        <w:t xml:space="preserve">. </w:t>
      </w:r>
      <w:r>
        <w:t xml:space="preserve"> </w:t>
      </w:r>
      <w:r w:rsidRPr="00F01B6F">
        <w:t xml:space="preserve">We </w:t>
      </w:r>
      <w:r w:rsidR="005613D7">
        <w:t>have identified a total of R10.8</w:t>
      </w:r>
      <w:r w:rsidRPr="00521DCC">
        <w:t xml:space="preserve"> billion in savings, which can be used to fund our budget</w:t>
      </w:r>
      <w:r w:rsidRPr="00F01B6F">
        <w:t xml:space="preserve"> </w:t>
      </w:r>
      <w:r>
        <w:t>proposals for 2017/18</w:t>
      </w:r>
      <w:r w:rsidRPr="00F01B6F">
        <w:t>.</w:t>
      </w:r>
    </w:p>
    <w:p w:rsidR="006F4E2D" w:rsidRPr="00F01B6F" w:rsidRDefault="006F4E2D" w:rsidP="006F4E2D">
      <w:pPr>
        <w:jc w:val="both"/>
      </w:pPr>
    </w:p>
    <w:p w:rsidR="006F4E2D" w:rsidRPr="00F01B6F" w:rsidRDefault="006F4E2D" w:rsidP="006F4E2D">
      <w:pPr>
        <w:jc w:val="both"/>
        <w:rPr>
          <w:i/>
        </w:rPr>
      </w:pPr>
      <w:r>
        <w:rPr>
          <w:i/>
        </w:rPr>
        <w:t>3.1 Firewalling</w:t>
      </w:r>
    </w:p>
    <w:p w:rsidR="006F4E2D" w:rsidRPr="00F01B6F" w:rsidRDefault="006F4E2D" w:rsidP="006F4E2D">
      <w:pPr>
        <w:jc w:val="both"/>
      </w:pPr>
    </w:p>
    <w:p w:rsidR="006F4E2D" w:rsidRDefault="006F4E2D" w:rsidP="006F4E2D">
      <w:pPr>
        <w:jc w:val="both"/>
      </w:pPr>
      <w:r>
        <w:t xml:space="preserve">We have “firewalled” thirteen </w:t>
      </w:r>
      <w:r w:rsidRPr="00F01B6F">
        <w:t>national dep</w:t>
      </w:r>
      <w:r>
        <w:t>artments from any spending cuts,</w:t>
      </w:r>
      <w:r w:rsidRPr="00F01B6F">
        <w:t xml:space="preserve"> including: the Department of Basic Education; Department of Higher Education and Training; Department of Health; Department of Social Development; Department of Correctional Services; Independent Police Investigative Division; Department of Justice and Constitutional Development; Office of the Chief Justice and Judicial Administration; Department of Police; Department of Agriculture, Forestry and Fisheries; Department of Water and Sanitation; Department of Human Settlements; and the Department of Rural Developmen</w:t>
      </w:r>
      <w:r>
        <w:t>t and Land Reform. We have also “firewalled” six</w:t>
      </w:r>
      <w:r w:rsidRPr="00F01B6F">
        <w:t xml:space="preserve"> programmes within national </w:t>
      </w:r>
      <w:r>
        <w:t xml:space="preserve">departments </w:t>
      </w:r>
      <w:r w:rsidRPr="00F01B6F">
        <w:t>from any spending cuts, including: the Department of Cooperative Governance and Traditional Affairs (</w:t>
      </w:r>
      <w:r w:rsidRPr="00982514">
        <w:rPr>
          <w:i/>
        </w:rPr>
        <w:t>National Disaster Management, Community Work Programme</w:t>
      </w:r>
      <w:r w:rsidRPr="00F01B6F">
        <w:t>); Department of Home Affairs (</w:t>
      </w:r>
      <w:r w:rsidRPr="00982514">
        <w:rPr>
          <w:i/>
        </w:rPr>
        <w:t>Citizens Affairs</w:t>
      </w:r>
      <w:r w:rsidRPr="00F01B6F">
        <w:t>); Department of Public Works (</w:t>
      </w:r>
      <w:r w:rsidRPr="00982514">
        <w:rPr>
          <w:i/>
        </w:rPr>
        <w:t>Expanded Public Works Programme</w:t>
      </w:r>
      <w:r w:rsidRPr="00F01B6F">
        <w:t>); Department of Energy (</w:t>
      </w:r>
      <w:r w:rsidRPr="00982514">
        <w:rPr>
          <w:i/>
        </w:rPr>
        <w:t>Electrification</w:t>
      </w:r>
      <w:r w:rsidRPr="00F01B6F">
        <w:t>); and the Department of Mineral Resources (</w:t>
      </w:r>
      <w:r w:rsidRPr="00982514">
        <w:rPr>
          <w:i/>
        </w:rPr>
        <w:t>Mine Health and Safety</w:t>
      </w:r>
      <w:r w:rsidRPr="00F01B6F">
        <w:t xml:space="preserve">). </w:t>
      </w:r>
    </w:p>
    <w:p w:rsidR="00B35692" w:rsidRDefault="00B35692" w:rsidP="006F4E2D">
      <w:pPr>
        <w:jc w:val="both"/>
      </w:pPr>
    </w:p>
    <w:p w:rsidR="006F4E2D" w:rsidRPr="00F01B6F" w:rsidRDefault="006F4E2D" w:rsidP="006F4E2D">
      <w:pPr>
        <w:jc w:val="both"/>
        <w:rPr>
          <w:i/>
        </w:rPr>
      </w:pPr>
      <w:r w:rsidRPr="00F01B6F">
        <w:rPr>
          <w:i/>
        </w:rPr>
        <w:t xml:space="preserve">3.2 Current </w:t>
      </w:r>
      <w:r>
        <w:rPr>
          <w:i/>
        </w:rPr>
        <w:t xml:space="preserve">Savings </w:t>
      </w:r>
    </w:p>
    <w:p w:rsidR="006F4E2D" w:rsidRPr="00F01B6F" w:rsidRDefault="006F4E2D" w:rsidP="006F4E2D">
      <w:pPr>
        <w:jc w:val="both"/>
      </w:pPr>
    </w:p>
    <w:p w:rsidR="006F4E2D" w:rsidRPr="00F01B6F" w:rsidRDefault="006F4E2D" w:rsidP="006F4E2D">
      <w:pPr>
        <w:jc w:val="both"/>
      </w:pPr>
      <w:r w:rsidRPr="00F01B6F">
        <w:t xml:space="preserve">We have </w:t>
      </w:r>
      <w:r w:rsidR="00092F44">
        <w:t>saved R1.2</w:t>
      </w:r>
      <w:r w:rsidRPr="00521DCC">
        <w:t xml:space="preserve"> billion by simulating a “hiring freeze” and cutting spending on any new empl</w:t>
      </w:r>
      <w:r>
        <w:t xml:space="preserve">oyees in the twenty seven </w:t>
      </w:r>
      <w:r w:rsidRPr="00521DCC">
        <w:t>national departments, which have not been “firewalled” against spending cuts in 2017/18.  We have also saved R4 billion</w:t>
      </w:r>
      <w:r>
        <w:t xml:space="preserve"> </w:t>
      </w:r>
      <w:r w:rsidRPr="00F01B6F">
        <w:t>by cutting the increase</w:t>
      </w:r>
      <w:r>
        <w:t xml:space="preserve"> in current spending across twenty four </w:t>
      </w:r>
      <w:r w:rsidRPr="00F01B6F">
        <w:t>economic classificatio</w:t>
      </w:r>
      <w:r>
        <w:t>n items in national departments</w:t>
      </w:r>
      <w:r w:rsidRPr="00F01B6F">
        <w:t xml:space="preserve"> including</w:t>
      </w:r>
      <w:r>
        <w:t xml:space="preserve">, for example, advertising, catering, communication, consultants, fleet services, consumable supplies, consumables, travel and subsistence, venues and facilities </w:t>
      </w:r>
      <w:r w:rsidRPr="00F01B6F">
        <w:t xml:space="preserve">and entertainment. </w:t>
      </w:r>
    </w:p>
    <w:p w:rsidR="006F4E2D" w:rsidRDefault="006F4E2D" w:rsidP="006F4E2D">
      <w:pPr>
        <w:jc w:val="both"/>
      </w:pPr>
    </w:p>
    <w:tbl>
      <w:tblPr>
        <w:tblW w:w="9455" w:type="dxa"/>
        <w:tblInd w:w="-10" w:type="dxa"/>
        <w:tblLook w:val="04A0"/>
      </w:tblPr>
      <w:tblGrid>
        <w:gridCol w:w="6125"/>
        <w:gridCol w:w="3330"/>
      </w:tblGrid>
      <w:tr w:rsidR="006C7ACE" w:rsidRPr="00875E86" w:rsidTr="00E34DBA">
        <w:trPr>
          <w:trHeight w:val="144"/>
        </w:trPr>
        <w:tc>
          <w:tcPr>
            <w:tcW w:w="612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6C7ACE" w:rsidRPr="00875E86" w:rsidRDefault="006C7ACE" w:rsidP="00E34DBA">
            <w:pPr>
              <w:rPr>
                <w:rFonts w:ascii="Calibri" w:eastAsia="Times New Roman" w:hAnsi="Calibri" w:cs="Times New Roman"/>
                <w:b/>
                <w:bCs/>
                <w:color w:val="000000"/>
              </w:rPr>
            </w:pPr>
            <w:r w:rsidRPr="00875E86">
              <w:rPr>
                <w:rFonts w:ascii="Calibri" w:eastAsia="Times New Roman" w:hAnsi="Calibri" w:cs="Times New Roman"/>
                <w:b/>
                <w:bCs/>
                <w:color w:val="000000"/>
                <w:sz w:val="22"/>
                <w:szCs w:val="22"/>
              </w:rPr>
              <w:t xml:space="preserve">Economic Classification </w:t>
            </w:r>
          </w:p>
        </w:tc>
        <w:tc>
          <w:tcPr>
            <w:tcW w:w="333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6C7ACE" w:rsidRPr="00875E86" w:rsidRDefault="006C7ACE" w:rsidP="00E34DBA">
            <w:pPr>
              <w:jc w:val="right"/>
              <w:rPr>
                <w:rFonts w:ascii="Calibri" w:eastAsia="Times New Roman" w:hAnsi="Calibri" w:cs="Times New Roman"/>
                <w:b/>
                <w:bCs/>
                <w:color w:val="000000"/>
              </w:rPr>
            </w:pPr>
            <w:r w:rsidRPr="00875E86">
              <w:rPr>
                <w:rFonts w:ascii="Calibri" w:eastAsia="Times New Roman" w:hAnsi="Calibri" w:cs="Times New Roman"/>
                <w:b/>
                <w:bCs/>
                <w:color w:val="000000"/>
                <w:sz w:val="22"/>
                <w:szCs w:val="22"/>
              </w:rPr>
              <w:t>Saving (R'000)</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Administrative fees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6C7ACE">
              <w:rPr>
                <w:rFonts w:ascii="Calibri" w:eastAsia="Times New Roman" w:hAnsi="Calibri" w:cs="Times New Roman"/>
                <w:color w:val="000000"/>
                <w:sz w:val="20"/>
                <w:szCs w:val="20"/>
                <w:lang w:eastAsia="en-ZA"/>
              </w:rPr>
              <w:t xml:space="preserve"> </w:t>
            </w: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(17,064)</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Advertising</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w:t>
            </w: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(48,276)</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Agency and support/outsourced services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(334,839)</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Catering: Departmental activities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(32,965)</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Communication (G&amp;S)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(52,441)</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Consultants: Business and advisory services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(907,984)</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Consumable supplies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(47,291)</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Consumables: Stationery, printing and office supplies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(56,629)</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Contractors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(529,999)</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Entertainment</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(2,655)</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Fleet services (including government motor transport)</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(19,923)</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Inventory: Clothing material and accessories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(39,686)</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Inventory: Farming supplies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(5,048)</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Inventory: Fuel, oil and gas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(159,868)</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Inventory: Materials and supplies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(37,032)</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Inventory: Other supplies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092F44">
            <w:pPr>
              <w:contextualSpacing/>
              <w:rPr>
                <w:rFonts w:ascii="Calibri" w:eastAsia="Times New Roman" w:hAnsi="Calibri" w:cs="Times New Roman"/>
                <w:color w:val="000000"/>
                <w:sz w:val="20"/>
                <w:szCs w:val="20"/>
                <w:lang w:eastAsia="en-ZA"/>
              </w:rPr>
            </w:pPr>
            <w:r w:rsidRPr="006C7ACE">
              <w:rPr>
                <w:rFonts w:ascii="Calibri" w:eastAsia="Times New Roman" w:hAnsi="Calibri" w:cs="Times New Roman"/>
                <w:color w:val="000000"/>
                <w:sz w:val="20"/>
                <w:szCs w:val="20"/>
                <w:lang w:eastAsia="en-ZA"/>
              </w:rPr>
              <w:t xml:space="preserve">                                                     (32,198)</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Legal services (G&amp;S)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092F44">
            <w:pPr>
              <w:contextualSpacing/>
              <w:rPr>
                <w:rFonts w:ascii="Calibri" w:eastAsia="Times New Roman" w:hAnsi="Calibri" w:cs="Times New Roman"/>
                <w:color w:val="000000"/>
                <w:sz w:val="20"/>
                <w:szCs w:val="20"/>
                <w:lang w:eastAsia="en-ZA"/>
              </w:rPr>
            </w:pPr>
            <w:r w:rsidRPr="006C7ACE">
              <w:rPr>
                <w:rFonts w:ascii="Calibri" w:eastAsia="Times New Roman" w:hAnsi="Calibri" w:cs="Times New Roman"/>
                <w:color w:val="000000"/>
                <w:sz w:val="20"/>
                <w:szCs w:val="20"/>
                <w:lang w:eastAsia="en-ZA"/>
              </w:rPr>
              <w:t xml:space="preserve"> </w:t>
            </w:r>
            <w:r w:rsidR="00092F44">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(29,071)</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Minor Assets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(81,125)</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Operating leases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092F44" w:rsidP="00092F4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(261,785)</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Property payments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(165,313)</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Rental and hiring</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6C7ACE">
              <w:rPr>
                <w:rFonts w:ascii="Calibri" w:eastAsia="Times New Roman" w:hAnsi="Calibri" w:cs="Times New Roman"/>
                <w:color w:val="000000"/>
                <w:sz w:val="20"/>
                <w:szCs w:val="20"/>
                <w:lang w:eastAsia="en-ZA"/>
              </w:rPr>
              <w:t xml:space="preserve">                   </w:t>
            </w: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(4,949)</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Salaries and wages</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(1,282,943)</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Transport provided: Departmental activity</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6C7ACE">
              <w:rPr>
                <w:rFonts w:ascii="Calibri" w:eastAsia="Times New Roman" w:hAnsi="Calibri" w:cs="Times New Roman"/>
                <w:color w:val="000000"/>
                <w:sz w:val="20"/>
                <w:szCs w:val="20"/>
                <w:lang w:eastAsia="en-ZA"/>
              </w:rPr>
              <w:t xml:space="preserve">           </w:t>
            </w: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w:t>
            </w: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(2,240)</w:t>
            </w:r>
          </w:p>
        </w:tc>
      </w:tr>
      <w:tr w:rsidR="006C7ACE" w:rsidRPr="00875E86" w:rsidTr="00E34DBA">
        <w:trPr>
          <w:trHeight w:val="144"/>
        </w:trPr>
        <w:tc>
          <w:tcPr>
            <w:tcW w:w="6125" w:type="dxa"/>
            <w:tcBorders>
              <w:top w:val="nil"/>
              <w:left w:val="single" w:sz="4" w:space="0" w:color="auto"/>
              <w:bottom w:val="single" w:sz="4" w:space="0" w:color="auto"/>
              <w:right w:val="nil"/>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Travel and subsistence</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 xml:space="preserve">          </w:t>
            </w: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(449,576)</w:t>
            </w:r>
          </w:p>
        </w:tc>
      </w:tr>
      <w:tr w:rsidR="006C7ACE" w:rsidRPr="00875E86" w:rsidTr="00E34DBA">
        <w:trPr>
          <w:trHeight w:val="144"/>
        </w:trPr>
        <w:tc>
          <w:tcPr>
            <w:tcW w:w="6125" w:type="dxa"/>
            <w:tcBorders>
              <w:top w:val="nil"/>
              <w:left w:val="single" w:sz="4" w:space="0" w:color="auto"/>
              <w:bottom w:val="single" w:sz="4" w:space="0" w:color="auto"/>
              <w:right w:val="single" w:sz="4" w:space="0" w:color="auto"/>
            </w:tcBorders>
            <w:shd w:val="clear" w:color="auto" w:fill="auto"/>
            <w:noWrap/>
            <w:vAlign w:val="bottom"/>
            <w:hideMark/>
          </w:tcPr>
          <w:p w:rsidR="006C7ACE" w:rsidRPr="002F73E9" w:rsidRDefault="006C7ACE" w:rsidP="006C7ACE">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Venues and facilities</w:t>
            </w:r>
          </w:p>
        </w:tc>
        <w:tc>
          <w:tcPr>
            <w:tcW w:w="3330" w:type="dxa"/>
            <w:tcBorders>
              <w:top w:val="nil"/>
              <w:left w:val="nil"/>
              <w:bottom w:val="single" w:sz="4" w:space="0" w:color="auto"/>
              <w:right w:val="single" w:sz="4" w:space="0" w:color="auto"/>
            </w:tcBorders>
            <w:shd w:val="clear" w:color="auto" w:fill="auto"/>
            <w:noWrap/>
            <w:vAlign w:val="bottom"/>
            <w:hideMark/>
          </w:tcPr>
          <w:p w:rsidR="006C7ACE" w:rsidRPr="002F73E9" w:rsidRDefault="006C7ACE" w:rsidP="006C7ACE">
            <w:pPr>
              <w:contextualSpacing/>
              <w:jc w:val="right"/>
              <w:rPr>
                <w:rFonts w:ascii="Calibri" w:eastAsia="Times New Roman" w:hAnsi="Calibri" w:cs="Times New Roman"/>
                <w:color w:val="000000"/>
                <w:sz w:val="20"/>
                <w:szCs w:val="20"/>
                <w:lang w:eastAsia="en-ZA"/>
              </w:rPr>
            </w:pPr>
            <w:r w:rsidRPr="006C7ACE">
              <w:rPr>
                <w:rFonts w:ascii="Calibri" w:eastAsia="Times New Roman" w:hAnsi="Calibri" w:cs="Times New Roman"/>
                <w:color w:val="000000"/>
                <w:sz w:val="20"/>
                <w:szCs w:val="20"/>
                <w:lang w:eastAsia="en-ZA"/>
              </w:rPr>
              <w:t xml:space="preserve">                               </w:t>
            </w:r>
            <w:r>
              <w:rPr>
                <w:rFonts w:ascii="Calibri" w:eastAsia="Times New Roman" w:hAnsi="Calibri" w:cs="Times New Roman"/>
                <w:color w:val="000000"/>
                <w:sz w:val="20"/>
                <w:szCs w:val="20"/>
                <w:lang w:eastAsia="en-ZA"/>
              </w:rPr>
              <w:t xml:space="preserve">                      </w:t>
            </w:r>
            <w:r w:rsidRPr="006C7ACE">
              <w:rPr>
                <w:rFonts w:ascii="Calibri" w:eastAsia="Times New Roman" w:hAnsi="Calibri" w:cs="Times New Roman"/>
                <w:color w:val="000000"/>
                <w:sz w:val="20"/>
                <w:szCs w:val="20"/>
                <w:lang w:eastAsia="en-ZA"/>
              </w:rPr>
              <w:t>(65,676)</w:t>
            </w:r>
          </w:p>
        </w:tc>
      </w:tr>
      <w:tr w:rsidR="006C7ACE" w:rsidRPr="00875E86" w:rsidTr="00E34DBA">
        <w:trPr>
          <w:trHeight w:val="144"/>
        </w:trPr>
        <w:tc>
          <w:tcPr>
            <w:tcW w:w="612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6C7ACE" w:rsidRPr="002F73E9" w:rsidRDefault="006C7ACE" w:rsidP="006C7ACE">
            <w:pPr>
              <w:contextualSpacing/>
              <w:rPr>
                <w:rFonts w:ascii="Calibri" w:eastAsia="Times New Roman" w:hAnsi="Calibri" w:cs="Times New Roman"/>
                <w:b/>
                <w:color w:val="000000"/>
                <w:sz w:val="20"/>
                <w:szCs w:val="20"/>
                <w:lang w:eastAsia="en-ZA"/>
              </w:rPr>
            </w:pPr>
            <w:r w:rsidRPr="002F73E9">
              <w:rPr>
                <w:rFonts w:ascii="Calibri" w:eastAsia="Times New Roman" w:hAnsi="Calibri" w:cs="Times New Roman"/>
                <w:b/>
                <w:color w:val="000000"/>
                <w:sz w:val="20"/>
                <w:szCs w:val="20"/>
                <w:lang w:eastAsia="en-ZA"/>
              </w:rPr>
              <w:t>Total</w:t>
            </w:r>
          </w:p>
        </w:tc>
        <w:tc>
          <w:tcPr>
            <w:tcW w:w="333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C7ACE" w:rsidRPr="00092F44" w:rsidRDefault="00092F44" w:rsidP="00092F44">
            <w:pPr>
              <w:contextualSpacing/>
              <w:rPr>
                <w:rFonts w:ascii="Calibri" w:eastAsia="Times New Roman" w:hAnsi="Calibri" w:cs="Times New Roman"/>
                <w:b/>
                <w:color w:val="000000"/>
                <w:sz w:val="20"/>
                <w:szCs w:val="20"/>
                <w:lang w:eastAsia="en-ZA"/>
              </w:rPr>
            </w:pPr>
            <w:r>
              <w:rPr>
                <w:rFonts w:ascii="Calibri" w:eastAsia="Times New Roman" w:hAnsi="Calibri" w:cs="Times New Roman"/>
                <w:color w:val="000000"/>
                <w:sz w:val="20"/>
                <w:szCs w:val="20"/>
                <w:lang w:eastAsia="en-ZA"/>
              </w:rPr>
              <w:t xml:space="preserve">     </w:t>
            </w:r>
            <w:r w:rsidR="006C7ACE" w:rsidRPr="006C7ACE">
              <w:rPr>
                <w:rFonts w:ascii="Calibri" w:eastAsia="Times New Roman" w:hAnsi="Calibri" w:cs="Times New Roman"/>
                <w:color w:val="000000"/>
                <w:sz w:val="20"/>
                <w:szCs w:val="20"/>
                <w:lang w:eastAsia="en-ZA"/>
              </w:rPr>
              <w:t xml:space="preserve">                                           </w:t>
            </w:r>
            <w:r w:rsidR="006C7ACE" w:rsidRPr="00092F44">
              <w:rPr>
                <w:rFonts w:ascii="Calibri" w:eastAsia="Times New Roman" w:hAnsi="Calibri" w:cs="Times New Roman"/>
                <w:b/>
                <w:color w:val="000000"/>
                <w:sz w:val="20"/>
                <w:szCs w:val="20"/>
                <w:lang w:eastAsia="en-ZA"/>
              </w:rPr>
              <w:t>(4,666,576)</w:t>
            </w:r>
          </w:p>
        </w:tc>
      </w:tr>
    </w:tbl>
    <w:p w:rsidR="006F4E2D" w:rsidRPr="00F01B6F" w:rsidRDefault="006F4E2D" w:rsidP="006F4E2D">
      <w:pPr>
        <w:jc w:val="both"/>
      </w:pPr>
    </w:p>
    <w:p w:rsidR="006F4E2D" w:rsidRPr="00F01B6F" w:rsidRDefault="006F4E2D" w:rsidP="006F4E2D">
      <w:pPr>
        <w:jc w:val="both"/>
        <w:rPr>
          <w:i/>
        </w:rPr>
      </w:pPr>
      <w:r>
        <w:rPr>
          <w:i/>
        </w:rPr>
        <w:t xml:space="preserve">3.3 Discretionary Savings </w:t>
      </w:r>
    </w:p>
    <w:p w:rsidR="006F4E2D" w:rsidRPr="00F01B6F" w:rsidRDefault="006F4E2D" w:rsidP="006F4E2D">
      <w:pPr>
        <w:jc w:val="both"/>
      </w:pPr>
    </w:p>
    <w:p w:rsidR="006F4E2D" w:rsidRDefault="006F4E2D" w:rsidP="006F4E2D">
      <w:pPr>
        <w:jc w:val="both"/>
      </w:pPr>
      <w:r w:rsidRPr="00F01B6F">
        <w:t xml:space="preserve">We have </w:t>
      </w:r>
      <w:r w:rsidRPr="00521DCC">
        <w:t>saved R368 million by making discretionary cuts to the increase in spending in 2016/17</w:t>
      </w:r>
      <w:r>
        <w:t>,</w:t>
      </w:r>
      <w:r w:rsidR="00CB1CE1">
        <w:t xml:space="preserve"> compared with</w:t>
      </w:r>
      <w:r w:rsidRPr="00521DCC">
        <w:t xml:space="preserve"> 2017/18</w:t>
      </w:r>
      <w:r>
        <w:t>,</w:t>
      </w:r>
      <w:r w:rsidRPr="00521DCC">
        <w:t xml:space="preserve"> in the Department of Public Works (</w:t>
      </w:r>
      <w:r w:rsidRPr="00521DCC">
        <w:rPr>
          <w:i/>
        </w:rPr>
        <w:t>Prestige Programme</w:t>
      </w:r>
      <w:r w:rsidRPr="00521DCC">
        <w:t>), Department of Police (</w:t>
      </w:r>
      <w:r w:rsidRPr="00521DCC">
        <w:rPr>
          <w:i/>
        </w:rPr>
        <w:t>VIP Security</w:t>
      </w:r>
      <w:r w:rsidRPr="00521DCC">
        <w:t>) and the National Treasury (</w:t>
      </w:r>
      <w:r w:rsidRPr="00521DCC">
        <w:rPr>
          <w:i/>
        </w:rPr>
        <w:t>Secret Service</w:t>
      </w:r>
      <w:r w:rsidR="00C753F5">
        <w:t>).  We have also saved R5.8</w:t>
      </w:r>
      <w:r w:rsidRPr="00521DCC">
        <w:t xml:space="preserve"> billion</w:t>
      </w:r>
      <w:r>
        <w:t xml:space="preserve"> </w:t>
      </w:r>
      <w:r w:rsidRPr="00F01B6F">
        <w:t xml:space="preserve">by making discretionary spending cuts </w:t>
      </w:r>
      <w:r>
        <w:t>in the National Treasury (</w:t>
      </w:r>
      <w:r w:rsidRPr="0077761E">
        <w:rPr>
          <w:i/>
        </w:rPr>
        <w:t>New Development Bank</w:t>
      </w:r>
      <w:r>
        <w:t>)</w:t>
      </w:r>
      <w:r w:rsidR="00CB1CE1">
        <w:t xml:space="preserve"> and the Department of Defence (</w:t>
      </w:r>
      <w:r w:rsidR="00CB1CE1" w:rsidRPr="002169FA">
        <w:rPr>
          <w:i/>
        </w:rPr>
        <w:t>VIP Regional Jet</w:t>
      </w:r>
      <w:r w:rsidR="002169FA">
        <w:t>)</w:t>
      </w:r>
      <w:r w:rsidR="000B6B1A">
        <w:t>, bringing</w:t>
      </w:r>
      <w:r w:rsidR="00C753F5">
        <w:t xml:space="preserve"> the to</w:t>
      </w:r>
      <w:r w:rsidR="000B6B1A">
        <w:t>tal discretionary savings to R6.2 billion</w:t>
      </w:r>
      <w:r w:rsidR="00C753F5">
        <w:t>.</w:t>
      </w:r>
    </w:p>
    <w:p w:rsidR="002169FA" w:rsidRDefault="002169FA" w:rsidP="006F4E2D"/>
    <w:tbl>
      <w:tblPr>
        <w:tblW w:w="9450" w:type="dxa"/>
        <w:tblInd w:w="-5" w:type="dxa"/>
        <w:tblLook w:val="04A0"/>
      </w:tblPr>
      <w:tblGrid>
        <w:gridCol w:w="3020"/>
        <w:gridCol w:w="3820"/>
        <w:gridCol w:w="2610"/>
      </w:tblGrid>
      <w:tr w:rsidR="006F4E2D" w:rsidRPr="002F73E9" w:rsidTr="00AA4604">
        <w:trPr>
          <w:trHeight w:val="20"/>
        </w:trPr>
        <w:tc>
          <w:tcPr>
            <w:tcW w:w="302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6F4E2D" w:rsidRPr="002F73E9" w:rsidRDefault="006F4E2D" w:rsidP="00AA4604">
            <w:pPr>
              <w:contextualSpacing/>
              <w:rPr>
                <w:rFonts w:ascii="Calibri" w:eastAsia="Times New Roman" w:hAnsi="Calibri" w:cs="Times New Roman"/>
                <w:b/>
                <w:color w:val="000000"/>
                <w:sz w:val="20"/>
                <w:szCs w:val="20"/>
                <w:lang w:eastAsia="en-ZA"/>
              </w:rPr>
            </w:pPr>
            <w:r w:rsidRPr="002F73E9">
              <w:rPr>
                <w:rFonts w:ascii="Calibri" w:eastAsia="Times New Roman" w:hAnsi="Calibri" w:cs="Times New Roman"/>
                <w:b/>
                <w:color w:val="000000"/>
                <w:sz w:val="20"/>
                <w:szCs w:val="20"/>
                <w:lang w:eastAsia="en-ZA"/>
              </w:rPr>
              <w:t>Department</w:t>
            </w:r>
          </w:p>
        </w:tc>
        <w:tc>
          <w:tcPr>
            <w:tcW w:w="382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F4E2D" w:rsidRPr="002F73E9" w:rsidRDefault="006F4E2D" w:rsidP="00AA4604">
            <w:pPr>
              <w:contextualSpacing/>
              <w:rPr>
                <w:rFonts w:ascii="Calibri" w:eastAsia="Times New Roman" w:hAnsi="Calibri" w:cs="Times New Roman"/>
                <w:b/>
                <w:color w:val="000000"/>
                <w:sz w:val="20"/>
                <w:szCs w:val="20"/>
                <w:lang w:eastAsia="en-ZA"/>
              </w:rPr>
            </w:pPr>
            <w:r w:rsidRPr="002F73E9">
              <w:rPr>
                <w:rFonts w:ascii="Calibri" w:eastAsia="Times New Roman" w:hAnsi="Calibri" w:cs="Times New Roman"/>
                <w:b/>
                <w:color w:val="000000"/>
                <w:sz w:val="20"/>
                <w:szCs w:val="20"/>
                <w:lang w:eastAsia="en-ZA"/>
              </w:rPr>
              <w:t>Programme/Detail</w:t>
            </w:r>
          </w:p>
        </w:tc>
        <w:tc>
          <w:tcPr>
            <w:tcW w:w="261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F4E2D" w:rsidRPr="002F73E9" w:rsidRDefault="006F4E2D" w:rsidP="00AA4604">
            <w:pPr>
              <w:contextualSpacing/>
              <w:jc w:val="right"/>
              <w:rPr>
                <w:rFonts w:ascii="Calibri" w:eastAsia="Times New Roman" w:hAnsi="Calibri" w:cs="Times New Roman"/>
                <w:b/>
                <w:color w:val="000000"/>
                <w:sz w:val="20"/>
                <w:szCs w:val="20"/>
                <w:lang w:eastAsia="en-ZA"/>
              </w:rPr>
            </w:pPr>
            <w:r w:rsidRPr="002F73E9">
              <w:rPr>
                <w:rFonts w:ascii="Calibri" w:eastAsia="Times New Roman" w:hAnsi="Calibri" w:cs="Times New Roman"/>
                <w:b/>
                <w:color w:val="000000"/>
                <w:sz w:val="20"/>
                <w:szCs w:val="20"/>
                <w:lang w:eastAsia="en-ZA"/>
              </w:rPr>
              <w:t>Saving (R'000)</w:t>
            </w:r>
          </w:p>
        </w:tc>
      </w:tr>
      <w:tr w:rsidR="006F4E2D" w:rsidRPr="00C22849" w:rsidTr="00AA4604">
        <w:trPr>
          <w:trHeight w:val="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 xml:space="preserve">National Treasury </w:t>
            </w:r>
          </w:p>
        </w:tc>
        <w:tc>
          <w:tcPr>
            <w:tcW w:w="3820" w:type="dxa"/>
            <w:tcBorders>
              <w:top w:val="nil"/>
              <w:left w:val="nil"/>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Secret Services</w:t>
            </w:r>
          </w:p>
        </w:tc>
        <w:tc>
          <w:tcPr>
            <w:tcW w:w="2610" w:type="dxa"/>
            <w:tcBorders>
              <w:top w:val="nil"/>
              <w:left w:val="nil"/>
              <w:bottom w:val="single" w:sz="4" w:space="0" w:color="auto"/>
              <w:right w:val="single" w:sz="4" w:space="0" w:color="auto"/>
            </w:tcBorders>
            <w:shd w:val="clear" w:color="auto" w:fill="auto"/>
            <w:noWrap/>
            <w:vAlign w:val="center"/>
            <w:hideMark/>
          </w:tcPr>
          <w:p w:rsidR="006F4E2D" w:rsidRPr="002F73E9" w:rsidRDefault="006F4E2D" w:rsidP="00AA4604">
            <w:pPr>
              <w:contextualSpacing/>
              <w:jc w:val="right"/>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 xml:space="preserve">                (188,604)</w:t>
            </w:r>
          </w:p>
        </w:tc>
      </w:tr>
      <w:tr w:rsidR="006F4E2D" w:rsidRPr="00C22849" w:rsidTr="00AA4604">
        <w:trPr>
          <w:trHeight w:val="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 xml:space="preserve">National Treasury </w:t>
            </w:r>
          </w:p>
        </w:tc>
        <w:tc>
          <w:tcPr>
            <w:tcW w:w="3820" w:type="dxa"/>
            <w:tcBorders>
              <w:top w:val="nil"/>
              <w:left w:val="nil"/>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New Development Bank (BRICS BANK)</w:t>
            </w:r>
          </w:p>
        </w:tc>
        <w:tc>
          <w:tcPr>
            <w:tcW w:w="2610" w:type="dxa"/>
            <w:tcBorders>
              <w:top w:val="nil"/>
              <w:left w:val="nil"/>
              <w:bottom w:val="nil"/>
              <w:right w:val="single" w:sz="4" w:space="0" w:color="auto"/>
            </w:tcBorders>
            <w:shd w:val="clear" w:color="auto" w:fill="auto"/>
            <w:noWrap/>
            <w:vAlign w:val="center"/>
            <w:hideMark/>
          </w:tcPr>
          <w:p w:rsidR="006F4E2D" w:rsidRPr="002F73E9" w:rsidRDefault="006F4E2D" w:rsidP="00AA4604">
            <w:pPr>
              <w:contextualSpacing/>
              <w:jc w:val="right"/>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 xml:space="preserve">             (4,500,000)</w:t>
            </w:r>
          </w:p>
        </w:tc>
      </w:tr>
      <w:tr w:rsidR="006F4E2D" w:rsidRPr="00C22849" w:rsidTr="00AA4604">
        <w:trPr>
          <w:trHeight w:val="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Public Works</w:t>
            </w:r>
          </w:p>
        </w:tc>
        <w:tc>
          <w:tcPr>
            <w:tcW w:w="3820" w:type="dxa"/>
            <w:tcBorders>
              <w:top w:val="nil"/>
              <w:left w:val="nil"/>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 xml:space="preserve">Prestige Programme </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6F4E2D" w:rsidRPr="002F73E9" w:rsidRDefault="006F4E2D" w:rsidP="00AA4604">
            <w:pPr>
              <w:contextualSpacing/>
              <w:jc w:val="right"/>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 xml:space="preserve">                   (10,667)</w:t>
            </w:r>
          </w:p>
        </w:tc>
      </w:tr>
      <w:tr w:rsidR="006F4E2D" w:rsidRPr="00C22849" w:rsidTr="00AA4604">
        <w:trPr>
          <w:trHeight w:val="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Police</w:t>
            </w:r>
          </w:p>
        </w:tc>
        <w:tc>
          <w:tcPr>
            <w:tcW w:w="3820" w:type="dxa"/>
            <w:tcBorders>
              <w:top w:val="nil"/>
              <w:left w:val="nil"/>
              <w:bottom w:val="single" w:sz="4" w:space="0" w:color="auto"/>
              <w:right w:val="single" w:sz="4" w:space="0" w:color="auto"/>
            </w:tcBorders>
            <w:shd w:val="clear" w:color="auto" w:fill="auto"/>
            <w:noWrap/>
            <w:vAlign w:val="center"/>
            <w:hideMark/>
          </w:tcPr>
          <w:p w:rsidR="006F4E2D" w:rsidRPr="002F73E9" w:rsidRDefault="006F4E2D" w:rsidP="00AA4604">
            <w:pPr>
              <w:contextualSpacing/>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VIP Protection Services</w:t>
            </w:r>
          </w:p>
        </w:tc>
        <w:tc>
          <w:tcPr>
            <w:tcW w:w="2610" w:type="dxa"/>
            <w:tcBorders>
              <w:top w:val="nil"/>
              <w:left w:val="nil"/>
              <w:bottom w:val="single" w:sz="4" w:space="0" w:color="auto"/>
              <w:right w:val="single" w:sz="4" w:space="0" w:color="auto"/>
            </w:tcBorders>
            <w:shd w:val="clear" w:color="auto" w:fill="auto"/>
            <w:noWrap/>
            <w:vAlign w:val="center"/>
            <w:hideMark/>
          </w:tcPr>
          <w:p w:rsidR="006F4E2D" w:rsidRPr="002F73E9" w:rsidRDefault="006F4E2D" w:rsidP="00AA4604">
            <w:pPr>
              <w:contextualSpacing/>
              <w:jc w:val="right"/>
              <w:rPr>
                <w:rFonts w:ascii="Calibri" w:eastAsia="Times New Roman" w:hAnsi="Calibri" w:cs="Times New Roman"/>
                <w:color w:val="000000"/>
                <w:sz w:val="20"/>
                <w:szCs w:val="20"/>
                <w:lang w:eastAsia="en-ZA"/>
              </w:rPr>
            </w:pPr>
            <w:r w:rsidRPr="002F73E9">
              <w:rPr>
                <w:rFonts w:ascii="Calibri" w:eastAsia="Times New Roman" w:hAnsi="Calibri" w:cs="Times New Roman"/>
                <w:color w:val="000000"/>
                <w:sz w:val="20"/>
                <w:szCs w:val="20"/>
                <w:lang w:eastAsia="en-ZA"/>
              </w:rPr>
              <w:t xml:space="preserve">                 (169,678)</w:t>
            </w:r>
          </w:p>
        </w:tc>
      </w:tr>
      <w:tr w:rsidR="00DF792B" w:rsidRPr="00C22849" w:rsidTr="00AA4604">
        <w:trPr>
          <w:trHeight w:val="20"/>
        </w:trPr>
        <w:tc>
          <w:tcPr>
            <w:tcW w:w="3020" w:type="dxa"/>
            <w:tcBorders>
              <w:top w:val="nil"/>
              <w:left w:val="single" w:sz="4" w:space="0" w:color="auto"/>
              <w:bottom w:val="single" w:sz="4" w:space="0" w:color="auto"/>
              <w:right w:val="single" w:sz="4" w:space="0" w:color="auto"/>
            </w:tcBorders>
            <w:shd w:val="clear" w:color="auto" w:fill="auto"/>
            <w:noWrap/>
            <w:vAlign w:val="center"/>
          </w:tcPr>
          <w:p w:rsidR="00DF792B" w:rsidRPr="002F73E9" w:rsidRDefault="00DF792B"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Defence</w:t>
            </w:r>
          </w:p>
        </w:tc>
        <w:tc>
          <w:tcPr>
            <w:tcW w:w="3820" w:type="dxa"/>
            <w:tcBorders>
              <w:top w:val="nil"/>
              <w:left w:val="nil"/>
              <w:bottom w:val="single" w:sz="4" w:space="0" w:color="auto"/>
              <w:right w:val="single" w:sz="4" w:space="0" w:color="auto"/>
            </w:tcBorders>
            <w:shd w:val="clear" w:color="auto" w:fill="auto"/>
            <w:noWrap/>
            <w:vAlign w:val="center"/>
          </w:tcPr>
          <w:p w:rsidR="00DF792B" w:rsidRPr="002F73E9" w:rsidRDefault="00DF792B"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VIP Regional JET</w:t>
            </w:r>
          </w:p>
        </w:tc>
        <w:tc>
          <w:tcPr>
            <w:tcW w:w="2610" w:type="dxa"/>
            <w:tcBorders>
              <w:top w:val="nil"/>
              <w:left w:val="nil"/>
              <w:bottom w:val="single" w:sz="4" w:space="0" w:color="auto"/>
              <w:right w:val="single" w:sz="4" w:space="0" w:color="auto"/>
            </w:tcBorders>
            <w:shd w:val="clear" w:color="auto" w:fill="auto"/>
            <w:noWrap/>
            <w:vAlign w:val="center"/>
          </w:tcPr>
          <w:p w:rsidR="00DF792B" w:rsidRPr="002F73E9" w:rsidRDefault="00DF792B" w:rsidP="00AA4604">
            <w:pPr>
              <w:contextualSpacing/>
              <w:jc w:val="right"/>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(1,300,000)</w:t>
            </w:r>
          </w:p>
        </w:tc>
      </w:tr>
      <w:tr w:rsidR="006F4E2D" w:rsidRPr="00C22849" w:rsidTr="00AA4604">
        <w:trPr>
          <w:trHeight w:val="20"/>
        </w:trPr>
        <w:tc>
          <w:tcPr>
            <w:tcW w:w="684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6F4E2D" w:rsidRPr="002F73E9" w:rsidRDefault="006F4E2D" w:rsidP="00AA4604">
            <w:pPr>
              <w:contextualSpacing/>
              <w:rPr>
                <w:rFonts w:ascii="Calibri" w:eastAsia="Times New Roman" w:hAnsi="Calibri" w:cs="Times New Roman"/>
                <w:b/>
                <w:color w:val="000000"/>
                <w:sz w:val="20"/>
                <w:szCs w:val="20"/>
                <w:lang w:eastAsia="en-ZA"/>
              </w:rPr>
            </w:pPr>
            <w:r w:rsidRPr="002F73E9">
              <w:rPr>
                <w:rFonts w:ascii="Calibri" w:eastAsia="Times New Roman" w:hAnsi="Calibri" w:cs="Times New Roman"/>
                <w:b/>
                <w:color w:val="000000"/>
                <w:sz w:val="20"/>
                <w:szCs w:val="20"/>
                <w:lang w:eastAsia="en-ZA"/>
              </w:rPr>
              <w:t>Total</w:t>
            </w:r>
          </w:p>
        </w:tc>
        <w:tc>
          <w:tcPr>
            <w:tcW w:w="2610" w:type="dxa"/>
            <w:tcBorders>
              <w:top w:val="nil"/>
              <w:left w:val="nil"/>
              <w:bottom w:val="double" w:sz="6" w:space="0" w:color="auto"/>
              <w:right w:val="single" w:sz="4" w:space="0" w:color="auto"/>
            </w:tcBorders>
            <w:shd w:val="clear" w:color="auto" w:fill="auto"/>
            <w:noWrap/>
            <w:vAlign w:val="center"/>
            <w:hideMark/>
          </w:tcPr>
          <w:p w:rsidR="006F4E2D" w:rsidRPr="002F73E9" w:rsidRDefault="006F4E2D" w:rsidP="00DF792B">
            <w:pPr>
              <w:contextualSpacing/>
              <w:jc w:val="right"/>
              <w:rPr>
                <w:rFonts w:ascii="Calibri" w:eastAsia="Times New Roman" w:hAnsi="Calibri" w:cs="Times New Roman"/>
                <w:b/>
                <w:color w:val="000000"/>
                <w:sz w:val="20"/>
                <w:szCs w:val="20"/>
                <w:lang w:eastAsia="en-ZA"/>
              </w:rPr>
            </w:pPr>
            <w:r w:rsidRPr="002F73E9">
              <w:rPr>
                <w:rFonts w:ascii="Calibri" w:eastAsia="Times New Roman" w:hAnsi="Calibri" w:cs="Times New Roman"/>
                <w:b/>
                <w:color w:val="000000"/>
                <w:sz w:val="20"/>
                <w:szCs w:val="20"/>
                <w:lang w:eastAsia="en-ZA"/>
              </w:rPr>
              <w:t xml:space="preserve">             </w:t>
            </w:r>
            <w:r w:rsidR="00DF792B">
              <w:rPr>
                <w:rFonts w:ascii="Calibri" w:hAnsi="Calibri"/>
                <w:b/>
                <w:bCs/>
                <w:color w:val="000000"/>
                <w:sz w:val="20"/>
                <w:szCs w:val="20"/>
              </w:rPr>
              <w:t xml:space="preserve">  (6,168,949)</w:t>
            </w:r>
          </w:p>
        </w:tc>
      </w:tr>
    </w:tbl>
    <w:p w:rsidR="006F4E2D" w:rsidRDefault="006F4E2D" w:rsidP="006F4E2D">
      <w:pPr>
        <w:jc w:val="both"/>
        <w:rPr>
          <w:i/>
        </w:rPr>
      </w:pPr>
    </w:p>
    <w:p w:rsidR="00092F44" w:rsidRDefault="00092F44" w:rsidP="006F4E2D">
      <w:pPr>
        <w:jc w:val="both"/>
        <w:rPr>
          <w:i/>
        </w:rPr>
      </w:pPr>
    </w:p>
    <w:p w:rsidR="00092F44" w:rsidRDefault="00092F44" w:rsidP="006F4E2D">
      <w:pPr>
        <w:jc w:val="both"/>
        <w:rPr>
          <w:i/>
        </w:rPr>
      </w:pPr>
    </w:p>
    <w:p w:rsidR="006F4E2D" w:rsidRPr="003B62A9" w:rsidRDefault="006F4E2D" w:rsidP="006F4E2D">
      <w:pPr>
        <w:jc w:val="both"/>
        <w:rPr>
          <w:i/>
        </w:rPr>
      </w:pPr>
      <w:r w:rsidRPr="003B62A9">
        <w:rPr>
          <w:i/>
        </w:rPr>
        <w:t>3.4 Total Savings</w:t>
      </w:r>
    </w:p>
    <w:p w:rsidR="006F4E2D" w:rsidRDefault="006F4E2D" w:rsidP="006F4E2D">
      <w:pPr>
        <w:jc w:val="both"/>
      </w:pPr>
    </w:p>
    <w:p w:rsidR="006F4E2D" w:rsidRPr="008809CC" w:rsidRDefault="006F4E2D" w:rsidP="006F4E2D">
      <w:pPr>
        <w:jc w:val="both"/>
        <w:rPr>
          <w:rFonts w:ascii="Calibri" w:eastAsia="Times New Roman" w:hAnsi="Calibri" w:cs="Times New Roman"/>
          <w:color w:val="000000"/>
          <w:sz w:val="22"/>
          <w:szCs w:val="22"/>
        </w:rPr>
      </w:pPr>
      <w:r>
        <w:lastRenderedPageBreak/>
        <w:t xml:space="preserve">We have therefore </w:t>
      </w:r>
      <w:r w:rsidRPr="00F01B6F">
        <w:t xml:space="preserve">identified total savings in the amount of </w:t>
      </w:r>
      <w:r w:rsidR="005613D7">
        <w:t>R10.8</w:t>
      </w:r>
      <w:r>
        <w:t xml:space="preserve"> billion within the budget for 2017/18</w:t>
      </w:r>
      <w:r w:rsidRPr="00F01B6F">
        <w:t>.</w:t>
      </w:r>
      <w:r>
        <w:rPr>
          <w:rFonts w:ascii="Calibri" w:eastAsia="Times New Roman" w:hAnsi="Calibri" w:cs="Times New Roman"/>
          <w:color w:val="000000"/>
          <w:sz w:val="22"/>
          <w:szCs w:val="22"/>
        </w:rPr>
        <w:t xml:space="preserve"> </w:t>
      </w:r>
      <w:r>
        <w:t xml:space="preserve">What this means is that the amendments we propose are </w:t>
      </w:r>
      <w:r w:rsidRPr="00F01B6F">
        <w:t xml:space="preserve">“budget neutral” and can be funded </w:t>
      </w:r>
      <w:r>
        <w:t>from within the existing budget,</w:t>
      </w:r>
      <w:r w:rsidRPr="00F01B6F">
        <w:t xml:space="preserve"> and will have no effect on the fiscal defici</w:t>
      </w:r>
      <w:r>
        <w:t>t, which is estimated to be R149 billion, or -3.1% of GDP, in 2017/18</w:t>
      </w:r>
      <w:r w:rsidRPr="00F01B6F">
        <w:t>.</w:t>
      </w:r>
    </w:p>
    <w:p w:rsidR="006F4E2D" w:rsidRPr="00F01B6F" w:rsidRDefault="006F4E2D" w:rsidP="006F4E2D">
      <w:pPr>
        <w:jc w:val="both"/>
      </w:pPr>
    </w:p>
    <w:p w:rsidR="006F4E2D" w:rsidRPr="00F01B6F" w:rsidRDefault="006F4E2D" w:rsidP="006F4E2D">
      <w:pPr>
        <w:jc w:val="both"/>
        <w:rPr>
          <w:b/>
        </w:rPr>
      </w:pPr>
      <w:r w:rsidRPr="00F01B6F">
        <w:rPr>
          <w:b/>
        </w:rPr>
        <w:t>4. Conclusion</w:t>
      </w:r>
    </w:p>
    <w:p w:rsidR="006F4E2D" w:rsidRDefault="006F4E2D" w:rsidP="006F4E2D">
      <w:pPr>
        <w:jc w:val="both"/>
      </w:pPr>
    </w:p>
    <w:p w:rsidR="006F4E2D" w:rsidRDefault="006F4E2D" w:rsidP="006F4E2D">
      <w:pPr>
        <w:jc w:val="both"/>
      </w:pPr>
      <w:r w:rsidRPr="00F01B6F">
        <w:t xml:space="preserve">We </w:t>
      </w:r>
      <w:r>
        <w:t>are</w:t>
      </w:r>
      <w:r w:rsidR="00CB1CE1">
        <w:t xml:space="preserve"> busy</w:t>
      </w:r>
      <w:r>
        <w:t xml:space="preserve"> debating</w:t>
      </w:r>
      <w:r w:rsidRPr="00F01B6F">
        <w:t xml:space="preserve"> the Appropriations</w:t>
      </w:r>
      <w:r>
        <w:t xml:space="preserve"> Bill in the budget debates, which take </w:t>
      </w:r>
      <w:r w:rsidRPr="00F01B6F">
        <w:t>place in</w:t>
      </w:r>
      <w:r>
        <w:t xml:space="preserve"> “mini-plenary sessions” between 16 May 2017 and 01 June 2017</w:t>
      </w:r>
      <w:r w:rsidRPr="00F01B6F">
        <w:t xml:space="preserve"> in Parliament. </w:t>
      </w:r>
      <w:r>
        <w:t xml:space="preserve"> </w:t>
      </w:r>
      <w:r w:rsidRPr="00F01B6F">
        <w:t xml:space="preserve">We will formally table our proposals in the form of </w:t>
      </w:r>
      <w:r w:rsidR="00CB1CE1">
        <w:t>405</w:t>
      </w:r>
      <w:r w:rsidRPr="00F01B6F">
        <w:t xml:space="preserve"> amendments to the Appropriations Bill, in the amount </w:t>
      </w:r>
      <w:r w:rsidR="005613D7">
        <w:t>of R10.8</w:t>
      </w:r>
      <w:r w:rsidRPr="00521DCC">
        <w:t xml:space="preserve"> billion,</w:t>
      </w:r>
      <w:r w:rsidRPr="00F01B6F">
        <w:t xml:space="preserve"> at </w:t>
      </w:r>
      <w:r>
        <w:t>a meeting</w:t>
      </w:r>
      <w:r w:rsidRPr="00F01B6F">
        <w:t xml:space="preserve"> of the Standing C</w:t>
      </w:r>
      <w:r>
        <w:t>ommittee on Appropriations on 31 May 2017</w:t>
      </w:r>
      <w:r w:rsidRPr="00F01B6F">
        <w:t xml:space="preserve"> in Parliament. </w:t>
      </w:r>
      <w:r>
        <w:t>We</w:t>
      </w:r>
      <w:r w:rsidRPr="00F01B6F">
        <w:t xml:space="preserve"> will finally </w:t>
      </w:r>
      <w:r>
        <w:t xml:space="preserve">debate and </w:t>
      </w:r>
      <w:r w:rsidRPr="00F01B6F">
        <w:t>vote on the Appr</w:t>
      </w:r>
      <w:r>
        <w:t>opriations Bill on 08 June 2017</w:t>
      </w:r>
      <w:r w:rsidRPr="00F01B6F">
        <w:t xml:space="preserve"> in Parliament.</w:t>
      </w: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6F4E2D" w:rsidRDefault="006F4E2D" w:rsidP="006F4E2D">
      <w:pPr>
        <w:jc w:val="both"/>
        <w:rPr>
          <w:i/>
        </w:rPr>
      </w:pPr>
    </w:p>
    <w:p w:rsidR="00B35692" w:rsidRDefault="00B35692" w:rsidP="006F4E2D">
      <w:pPr>
        <w:jc w:val="both"/>
        <w:rPr>
          <w:i/>
        </w:rPr>
      </w:pPr>
    </w:p>
    <w:p w:rsidR="00B35692" w:rsidRDefault="00B35692" w:rsidP="006F4E2D">
      <w:pPr>
        <w:jc w:val="both"/>
        <w:rPr>
          <w:i/>
        </w:rPr>
      </w:pPr>
    </w:p>
    <w:p w:rsidR="00B35692" w:rsidRDefault="00B35692" w:rsidP="006F4E2D">
      <w:pPr>
        <w:jc w:val="both"/>
        <w:rPr>
          <w:i/>
        </w:rPr>
      </w:pPr>
    </w:p>
    <w:p w:rsidR="00B35692" w:rsidRDefault="00B35692" w:rsidP="006F4E2D">
      <w:pPr>
        <w:jc w:val="both"/>
        <w:rPr>
          <w:i/>
        </w:rPr>
      </w:pPr>
    </w:p>
    <w:p w:rsidR="00B35692" w:rsidRDefault="00B35692" w:rsidP="006F4E2D">
      <w:pPr>
        <w:jc w:val="both"/>
        <w:rPr>
          <w:i/>
        </w:rPr>
      </w:pPr>
    </w:p>
    <w:p w:rsidR="00B35692" w:rsidRDefault="00B35692" w:rsidP="006F4E2D">
      <w:pPr>
        <w:jc w:val="both"/>
        <w:rPr>
          <w:i/>
        </w:rPr>
      </w:pPr>
    </w:p>
    <w:p w:rsidR="00E2361A" w:rsidRDefault="00E2361A" w:rsidP="006F4E2D">
      <w:pPr>
        <w:jc w:val="both"/>
        <w:rPr>
          <w:i/>
        </w:rPr>
      </w:pPr>
    </w:p>
    <w:p w:rsidR="00E2361A" w:rsidRDefault="00E2361A" w:rsidP="006F4E2D">
      <w:pPr>
        <w:jc w:val="both"/>
        <w:rPr>
          <w:i/>
        </w:rPr>
      </w:pPr>
    </w:p>
    <w:p w:rsidR="00E2361A" w:rsidRDefault="00E2361A" w:rsidP="006F4E2D">
      <w:pPr>
        <w:jc w:val="both"/>
        <w:rPr>
          <w:i/>
        </w:rPr>
      </w:pPr>
    </w:p>
    <w:p w:rsidR="00E2361A" w:rsidRDefault="00E2361A" w:rsidP="006F4E2D">
      <w:pPr>
        <w:jc w:val="both"/>
        <w:rPr>
          <w:i/>
        </w:rPr>
      </w:pPr>
    </w:p>
    <w:p w:rsidR="00E2361A" w:rsidRDefault="00E2361A" w:rsidP="006F4E2D">
      <w:pPr>
        <w:jc w:val="both"/>
        <w:rPr>
          <w:i/>
        </w:rPr>
      </w:pPr>
    </w:p>
    <w:p w:rsidR="00E2361A" w:rsidRDefault="00E2361A" w:rsidP="006F4E2D">
      <w:pPr>
        <w:jc w:val="both"/>
        <w:rPr>
          <w:i/>
        </w:rPr>
      </w:pPr>
    </w:p>
    <w:p w:rsidR="006F4E2D" w:rsidRDefault="006F4E2D" w:rsidP="006F4E2D">
      <w:pPr>
        <w:jc w:val="both"/>
        <w:rPr>
          <w:i/>
        </w:rPr>
      </w:pPr>
    </w:p>
    <w:p w:rsidR="00092F44" w:rsidRDefault="00092F44" w:rsidP="006F4E2D">
      <w:pPr>
        <w:jc w:val="both"/>
        <w:rPr>
          <w:i/>
        </w:rPr>
      </w:pPr>
    </w:p>
    <w:p w:rsidR="00092F44" w:rsidRDefault="00092F44" w:rsidP="006F4E2D">
      <w:pPr>
        <w:jc w:val="both"/>
        <w:rPr>
          <w:i/>
        </w:rPr>
      </w:pPr>
    </w:p>
    <w:p w:rsidR="00092F44" w:rsidRDefault="00092F44" w:rsidP="006F4E2D">
      <w:pPr>
        <w:jc w:val="both"/>
        <w:rPr>
          <w:i/>
        </w:rPr>
      </w:pPr>
    </w:p>
    <w:p w:rsidR="00092F44" w:rsidRDefault="00092F44" w:rsidP="006F4E2D">
      <w:pPr>
        <w:jc w:val="both"/>
        <w:rPr>
          <w:i/>
        </w:rPr>
      </w:pPr>
    </w:p>
    <w:p w:rsidR="00092F44" w:rsidRDefault="00092F44" w:rsidP="006F4E2D">
      <w:pPr>
        <w:jc w:val="both"/>
        <w:rPr>
          <w:i/>
        </w:rPr>
      </w:pPr>
    </w:p>
    <w:p w:rsidR="006F4E2D" w:rsidRDefault="006F4E2D" w:rsidP="006F4E2D">
      <w:pPr>
        <w:jc w:val="both"/>
        <w:rPr>
          <w:i/>
        </w:rPr>
      </w:pPr>
      <w:r w:rsidRPr="00F01B6F">
        <w:rPr>
          <w:i/>
        </w:rPr>
        <w:t>Appendix 1– Breakdown of Savings by National Budget Vote</w:t>
      </w:r>
    </w:p>
    <w:tbl>
      <w:tblPr>
        <w:tblW w:w="9360" w:type="dxa"/>
        <w:tblInd w:w="90" w:type="dxa"/>
        <w:tblLook w:val="04A0"/>
      </w:tblPr>
      <w:tblGrid>
        <w:gridCol w:w="602"/>
        <w:gridCol w:w="4593"/>
        <w:gridCol w:w="1795"/>
        <w:gridCol w:w="2370"/>
      </w:tblGrid>
      <w:tr w:rsidR="006F4E2D" w:rsidRPr="00140CDA" w:rsidTr="005613D7">
        <w:trPr>
          <w:trHeight w:val="20"/>
        </w:trPr>
        <w:tc>
          <w:tcPr>
            <w:tcW w:w="6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F4E2D" w:rsidRPr="00140CDA" w:rsidRDefault="006F4E2D" w:rsidP="00AA4604">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lastRenderedPageBreak/>
              <w:t xml:space="preserve">Vote </w:t>
            </w:r>
          </w:p>
        </w:tc>
        <w:tc>
          <w:tcPr>
            <w:tcW w:w="4593" w:type="dxa"/>
            <w:tcBorders>
              <w:top w:val="single" w:sz="4" w:space="0" w:color="auto"/>
              <w:left w:val="nil"/>
              <w:bottom w:val="single" w:sz="4" w:space="0" w:color="auto"/>
              <w:right w:val="single" w:sz="4" w:space="0" w:color="auto"/>
            </w:tcBorders>
            <w:shd w:val="clear" w:color="000000" w:fill="D9D9D9"/>
            <w:noWrap/>
            <w:vAlign w:val="bottom"/>
            <w:hideMark/>
          </w:tcPr>
          <w:p w:rsidR="006F4E2D" w:rsidRPr="00140CDA" w:rsidRDefault="006F4E2D" w:rsidP="00AA4604">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Department</w:t>
            </w:r>
          </w:p>
        </w:tc>
        <w:tc>
          <w:tcPr>
            <w:tcW w:w="1795" w:type="dxa"/>
            <w:tcBorders>
              <w:top w:val="single" w:sz="4" w:space="0" w:color="auto"/>
              <w:left w:val="nil"/>
              <w:bottom w:val="single" w:sz="4" w:space="0" w:color="auto"/>
              <w:right w:val="single" w:sz="4" w:space="0" w:color="auto"/>
            </w:tcBorders>
            <w:shd w:val="clear" w:color="000000" w:fill="D9D9D9"/>
            <w:noWrap/>
            <w:vAlign w:val="bottom"/>
            <w:hideMark/>
          </w:tcPr>
          <w:p w:rsidR="006F4E2D" w:rsidRPr="00140CDA" w:rsidRDefault="006F4E2D" w:rsidP="00AA4604">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 of Total Savings</w:t>
            </w:r>
          </w:p>
        </w:tc>
        <w:tc>
          <w:tcPr>
            <w:tcW w:w="2370" w:type="dxa"/>
            <w:tcBorders>
              <w:top w:val="single" w:sz="4" w:space="0" w:color="auto"/>
              <w:left w:val="nil"/>
              <w:bottom w:val="single" w:sz="4" w:space="0" w:color="auto"/>
              <w:right w:val="single" w:sz="4" w:space="0" w:color="auto"/>
            </w:tcBorders>
            <w:shd w:val="clear" w:color="000000" w:fill="D9D9D9"/>
            <w:noWrap/>
            <w:vAlign w:val="bottom"/>
            <w:hideMark/>
          </w:tcPr>
          <w:p w:rsidR="006F4E2D" w:rsidRPr="00140CDA" w:rsidRDefault="006F4E2D" w:rsidP="00AA4604">
            <w:pPr>
              <w:contextualSpacing/>
              <w:rPr>
                <w:rFonts w:ascii="Calibri" w:eastAsia="Times New Roman" w:hAnsi="Calibri" w:cs="Times New Roman"/>
                <w:color w:val="000000"/>
                <w:sz w:val="20"/>
                <w:szCs w:val="20"/>
                <w:lang w:eastAsia="en-ZA"/>
              </w:rPr>
            </w:pPr>
            <w:r>
              <w:rPr>
                <w:rFonts w:ascii="Calibri" w:eastAsia="Times New Roman" w:hAnsi="Calibri" w:cs="Times New Roman"/>
                <w:color w:val="000000"/>
                <w:sz w:val="20"/>
                <w:szCs w:val="20"/>
                <w:lang w:eastAsia="en-ZA"/>
              </w:rPr>
              <w:t xml:space="preserve">                      </w:t>
            </w:r>
            <w:r w:rsidRPr="00140CDA">
              <w:rPr>
                <w:rFonts w:ascii="Calibri" w:eastAsia="Times New Roman" w:hAnsi="Calibri" w:cs="Times New Roman"/>
                <w:color w:val="000000"/>
                <w:sz w:val="20"/>
                <w:szCs w:val="20"/>
                <w:lang w:eastAsia="en-ZA"/>
              </w:rPr>
              <w:t>Saving (R'000)</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The Presidency</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0.16%</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(17,308)</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Parliament</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0.70%</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(75,321)</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Communications</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0.17%</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(18,523)</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4</w:t>
            </w:r>
          </w:p>
        </w:tc>
        <w:tc>
          <w:tcPr>
            <w:tcW w:w="4593"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Cooperative Governance And Traditional Affairs</w:t>
            </w:r>
            <w:r w:rsidRPr="00140CDA">
              <w:rPr>
                <w:rStyle w:val="FootnoteReference"/>
                <w:rFonts w:ascii="Calibri" w:eastAsia="Times New Roman" w:hAnsi="Calibri" w:cs="Times New Roman"/>
                <w:color w:val="000000"/>
                <w:sz w:val="20"/>
                <w:szCs w:val="20"/>
                <w:lang w:eastAsia="en-ZA"/>
              </w:rPr>
              <w:footnoteReference w:id="1"/>
            </w:r>
          </w:p>
        </w:tc>
        <w:tc>
          <w:tcPr>
            <w:tcW w:w="1795" w:type="dxa"/>
            <w:tcBorders>
              <w:top w:val="nil"/>
              <w:left w:val="nil"/>
              <w:bottom w:val="single" w:sz="4" w:space="0" w:color="auto"/>
              <w:right w:val="single" w:sz="4" w:space="0" w:color="auto"/>
            </w:tcBorders>
            <w:shd w:val="clear" w:color="000000" w:fill="FFE699"/>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1.09%</w:t>
            </w:r>
          </w:p>
        </w:tc>
        <w:tc>
          <w:tcPr>
            <w:tcW w:w="2370"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(118,372)</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5</w:t>
            </w:r>
          </w:p>
        </w:tc>
        <w:tc>
          <w:tcPr>
            <w:tcW w:w="4593"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Home Affairs</w:t>
            </w:r>
            <w:r w:rsidRPr="00140CDA">
              <w:rPr>
                <w:rStyle w:val="FootnoteReference"/>
                <w:rFonts w:ascii="Calibri" w:eastAsia="Times New Roman" w:hAnsi="Calibri" w:cs="Times New Roman"/>
                <w:color w:val="000000"/>
                <w:sz w:val="20"/>
                <w:szCs w:val="20"/>
                <w:lang w:eastAsia="en-ZA"/>
              </w:rPr>
              <w:footnoteReference w:id="2"/>
            </w:r>
          </w:p>
        </w:tc>
        <w:tc>
          <w:tcPr>
            <w:tcW w:w="1795" w:type="dxa"/>
            <w:tcBorders>
              <w:top w:val="nil"/>
              <w:left w:val="nil"/>
              <w:bottom w:val="single" w:sz="4" w:space="0" w:color="auto"/>
              <w:right w:val="single" w:sz="4" w:space="0" w:color="auto"/>
            </w:tcBorders>
            <w:shd w:val="clear" w:color="000000" w:fill="FFE699"/>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2.49%</w:t>
            </w:r>
          </w:p>
        </w:tc>
        <w:tc>
          <w:tcPr>
            <w:tcW w:w="2370"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(269,070)</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6</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International Relations and Cooperation</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1.66%</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(179,838)</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7</w:t>
            </w:r>
          </w:p>
        </w:tc>
        <w:tc>
          <w:tcPr>
            <w:tcW w:w="4593"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National Treasury</w:t>
            </w:r>
            <w:r>
              <w:rPr>
                <w:rStyle w:val="FootnoteReference"/>
                <w:rFonts w:ascii="Calibri" w:eastAsia="Times New Roman" w:hAnsi="Calibri" w:cs="Times New Roman"/>
                <w:color w:val="000000"/>
                <w:sz w:val="20"/>
                <w:szCs w:val="20"/>
                <w:lang w:eastAsia="en-ZA"/>
              </w:rPr>
              <w:footnoteReference w:id="3"/>
            </w:r>
          </w:p>
        </w:tc>
        <w:tc>
          <w:tcPr>
            <w:tcW w:w="1795" w:type="dxa"/>
            <w:tcBorders>
              <w:top w:val="nil"/>
              <w:left w:val="nil"/>
              <w:bottom w:val="single" w:sz="4" w:space="0" w:color="auto"/>
              <w:right w:val="single" w:sz="4" w:space="0" w:color="auto"/>
            </w:tcBorders>
            <w:shd w:val="clear" w:color="000000" w:fill="FFE699"/>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44.78%</w:t>
            </w:r>
          </w:p>
        </w:tc>
        <w:tc>
          <w:tcPr>
            <w:tcW w:w="2370"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(4,847,060)</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8</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Planning, Monitoring and Evaluation</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1.40%</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(151,155)</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9</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Public Enterprises</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0.27%</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 xml:space="preserve">  (29,231)</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10</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Public Service and Administration</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0.50%</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(53,857)</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11</w:t>
            </w:r>
          </w:p>
        </w:tc>
        <w:tc>
          <w:tcPr>
            <w:tcW w:w="4593"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Public Works</w:t>
            </w:r>
            <w:r w:rsidRPr="00140CDA">
              <w:rPr>
                <w:rStyle w:val="FootnoteReference"/>
                <w:rFonts w:ascii="Calibri" w:eastAsia="Times New Roman" w:hAnsi="Calibri" w:cs="Times New Roman"/>
                <w:color w:val="000000"/>
                <w:sz w:val="20"/>
                <w:szCs w:val="20"/>
                <w:lang w:eastAsia="en-ZA"/>
              </w:rPr>
              <w:footnoteReference w:id="4"/>
            </w:r>
          </w:p>
        </w:tc>
        <w:tc>
          <w:tcPr>
            <w:tcW w:w="1795" w:type="dxa"/>
            <w:tcBorders>
              <w:top w:val="nil"/>
              <w:left w:val="nil"/>
              <w:bottom w:val="single" w:sz="4" w:space="0" w:color="auto"/>
              <w:right w:val="single" w:sz="4" w:space="0" w:color="auto"/>
            </w:tcBorders>
            <w:shd w:val="clear" w:color="000000" w:fill="FFE699"/>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0.69%</w:t>
            </w:r>
          </w:p>
        </w:tc>
        <w:tc>
          <w:tcPr>
            <w:tcW w:w="2370"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(74,896)</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12</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Statistics South Africa</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0.57%</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(61,613)</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13</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Women</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0.20%</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(21,660)</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14</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Basic Education</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 xml:space="preserve">-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15</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Higher Education and Training</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16</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Health</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17</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Social Development</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18</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Correctional Services</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FFE599" w:themeFill="accent4" w:themeFillTint="66"/>
            <w:noWrap/>
            <w:vAlign w:val="bottom"/>
            <w:hideMark/>
          </w:tcPr>
          <w:p w:rsidR="005613D7" w:rsidRPr="002C3F23" w:rsidRDefault="005613D7" w:rsidP="005613D7">
            <w:pPr>
              <w:contextualSpacing/>
              <w:jc w:val="right"/>
              <w:rPr>
                <w:rFonts w:ascii="Calibri" w:eastAsia="Times New Roman" w:hAnsi="Calibri" w:cs="Times New Roman"/>
                <w:color w:val="000000"/>
                <w:sz w:val="20"/>
                <w:szCs w:val="20"/>
                <w:lang w:eastAsia="en-ZA"/>
              </w:rPr>
            </w:pPr>
            <w:r w:rsidRPr="002C3F23">
              <w:rPr>
                <w:rFonts w:ascii="Calibri" w:eastAsia="Times New Roman" w:hAnsi="Calibri" w:cs="Times New Roman"/>
                <w:color w:val="000000"/>
                <w:sz w:val="20"/>
                <w:szCs w:val="20"/>
                <w:lang w:eastAsia="en-ZA"/>
              </w:rPr>
              <w:t>19</w:t>
            </w:r>
          </w:p>
        </w:tc>
        <w:tc>
          <w:tcPr>
            <w:tcW w:w="4593" w:type="dxa"/>
            <w:tcBorders>
              <w:top w:val="nil"/>
              <w:left w:val="nil"/>
              <w:bottom w:val="single" w:sz="4" w:space="0" w:color="auto"/>
              <w:right w:val="single" w:sz="4" w:space="0" w:color="auto"/>
            </w:tcBorders>
            <w:shd w:val="clear" w:color="auto" w:fill="FFE599" w:themeFill="accent4" w:themeFillTint="66"/>
            <w:noWrap/>
            <w:vAlign w:val="bottom"/>
            <w:hideMark/>
          </w:tcPr>
          <w:p w:rsidR="005613D7" w:rsidRPr="002C3F23" w:rsidRDefault="005613D7" w:rsidP="005613D7">
            <w:pPr>
              <w:contextualSpacing/>
              <w:rPr>
                <w:rFonts w:ascii="Calibri" w:eastAsia="Times New Roman" w:hAnsi="Calibri" w:cs="Times New Roman"/>
                <w:color w:val="000000"/>
                <w:sz w:val="20"/>
                <w:szCs w:val="20"/>
                <w:lang w:eastAsia="en-ZA"/>
              </w:rPr>
            </w:pPr>
            <w:r w:rsidRPr="002C3F23">
              <w:rPr>
                <w:rFonts w:ascii="Calibri" w:eastAsia="Times New Roman" w:hAnsi="Calibri" w:cs="Times New Roman"/>
                <w:color w:val="000000"/>
                <w:sz w:val="20"/>
                <w:szCs w:val="20"/>
                <w:lang w:eastAsia="en-ZA"/>
              </w:rPr>
              <w:t>Defence And Military Veterans</w:t>
            </w:r>
            <w:r>
              <w:rPr>
                <w:rStyle w:val="FootnoteReference"/>
                <w:rFonts w:ascii="Calibri" w:eastAsia="Times New Roman" w:hAnsi="Calibri" w:cs="Times New Roman"/>
                <w:color w:val="000000"/>
                <w:sz w:val="20"/>
                <w:szCs w:val="20"/>
                <w:lang w:eastAsia="en-ZA"/>
              </w:rPr>
              <w:footnoteReference w:id="5"/>
            </w:r>
          </w:p>
        </w:tc>
        <w:tc>
          <w:tcPr>
            <w:tcW w:w="1795" w:type="dxa"/>
            <w:tcBorders>
              <w:top w:val="nil"/>
              <w:left w:val="nil"/>
              <w:bottom w:val="single" w:sz="4" w:space="0" w:color="auto"/>
              <w:right w:val="single" w:sz="4" w:space="0" w:color="auto"/>
            </w:tcBorders>
            <w:shd w:val="clear" w:color="auto" w:fill="FFE599" w:themeFill="accent4" w:themeFillTint="66"/>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28.17%</w:t>
            </w:r>
          </w:p>
        </w:tc>
        <w:tc>
          <w:tcPr>
            <w:tcW w:w="2370" w:type="dxa"/>
            <w:tcBorders>
              <w:top w:val="nil"/>
              <w:left w:val="nil"/>
              <w:bottom w:val="single" w:sz="4" w:space="0" w:color="auto"/>
              <w:right w:val="single" w:sz="4" w:space="0" w:color="auto"/>
            </w:tcBorders>
            <w:shd w:val="clear" w:color="auto" w:fill="FFE599" w:themeFill="accent4" w:themeFillTint="66"/>
            <w:noWrap/>
            <w:vAlign w:val="bottom"/>
            <w:hideMark/>
          </w:tcPr>
          <w:p w:rsidR="005613D7" w:rsidRPr="002C3F23" w:rsidRDefault="005613D7" w:rsidP="005613D7">
            <w:pPr>
              <w:contextualSpacing/>
              <w:jc w:val="right"/>
              <w:rPr>
                <w:rFonts w:ascii="Calibri" w:eastAsia="Times New Roman" w:hAnsi="Calibri" w:cs="Times New Roman"/>
                <w:color w:val="000000"/>
                <w:sz w:val="20"/>
                <w:szCs w:val="20"/>
                <w:lang w:eastAsia="en-ZA"/>
              </w:rPr>
            </w:pPr>
            <w:r w:rsidRPr="002C3F23">
              <w:rPr>
                <w:rFonts w:ascii="Calibri" w:hAnsi="Calibri"/>
                <w:color w:val="000000"/>
                <w:sz w:val="20"/>
                <w:szCs w:val="20"/>
              </w:rPr>
              <w:t xml:space="preserve">     </w:t>
            </w:r>
            <w:r>
              <w:rPr>
                <w:rFonts w:ascii="Calibri" w:hAnsi="Calibri"/>
                <w:color w:val="000000"/>
                <w:sz w:val="20"/>
                <w:szCs w:val="20"/>
              </w:rPr>
              <w:t xml:space="preserve">                      (3,049,087</w:t>
            </w:r>
            <w:r w:rsidRPr="002C3F23">
              <w:rPr>
                <w:rFonts w:ascii="Calibri" w:hAnsi="Calibri"/>
                <w:color w:val="000000"/>
                <w:sz w:val="20"/>
                <w:szCs w:val="20"/>
              </w:rPr>
              <w:t>)</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20</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Independent Police Investigative Directorate</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21</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Justice and Constitutional Development</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22</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Office of the Chief Justice and Judicial Administration</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w:t>
            </w:r>
            <w:r>
              <w:rPr>
                <w:rFonts w:ascii="Calibri" w:hAnsi="Calibri"/>
                <w:color w:val="000000"/>
                <w:sz w:val="20"/>
                <w:szCs w:val="20"/>
              </w:rPr>
              <w:t xml:space="preserve">                    </w:t>
            </w:r>
            <w:r w:rsidRPr="00140CDA">
              <w:rPr>
                <w:rFonts w:ascii="Calibri" w:hAnsi="Calibri"/>
                <w:color w:val="000000"/>
                <w:sz w:val="20"/>
                <w:szCs w:val="20"/>
              </w:rPr>
              <w:t xml:space="preserve">-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23</w:t>
            </w:r>
          </w:p>
        </w:tc>
        <w:tc>
          <w:tcPr>
            <w:tcW w:w="4593"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Police</w:t>
            </w:r>
            <w:r w:rsidRPr="00140CDA">
              <w:rPr>
                <w:rStyle w:val="FootnoteReference"/>
                <w:rFonts w:ascii="Calibri" w:eastAsia="Times New Roman" w:hAnsi="Calibri" w:cs="Times New Roman"/>
                <w:color w:val="000000"/>
                <w:sz w:val="20"/>
                <w:szCs w:val="20"/>
                <w:lang w:eastAsia="en-ZA"/>
              </w:rPr>
              <w:footnoteReference w:id="6"/>
            </w:r>
          </w:p>
        </w:tc>
        <w:tc>
          <w:tcPr>
            <w:tcW w:w="1795" w:type="dxa"/>
            <w:tcBorders>
              <w:top w:val="nil"/>
              <w:left w:val="nil"/>
              <w:bottom w:val="single" w:sz="4" w:space="0" w:color="auto"/>
              <w:right w:val="single" w:sz="4" w:space="0" w:color="auto"/>
            </w:tcBorders>
            <w:shd w:val="clear" w:color="000000" w:fill="FFE699"/>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1.57%</w:t>
            </w:r>
          </w:p>
        </w:tc>
        <w:tc>
          <w:tcPr>
            <w:tcW w:w="2370"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(169,678)</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24</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Agriculture, Forestry and Fisheries</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25</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Economic Development</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0.26%</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(27,897)</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26</w:t>
            </w:r>
          </w:p>
        </w:tc>
        <w:tc>
          <w:tcPr>
            <w:tcW w:w="4593"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Energy</w:t>
            </w:r>
            <w:r w:rsidRPr="00140CDA">
              <w:rPr>
                <w:rStyle w:val="FootnoteReference"/>
                <w:rFonts w:ascii="Calibri" w:eastAsia="Times New Roman" w:hAnsi="Calibri" w:cs="Times New Roman"/>
                <w:color w:val="000000"/>
                <w:sz w:val="20"/>
                <w:szCs w:val="20"/>
                <w:lang w:eastAsia="en-ZA"/>
              </w:rPr>
              <w:footnoteReference w:id="7"/>
            </w:r>
          </w:p>
        </w:tc>
        <w:tc>
          <w:tcPr>
            <w:tcW w:w="1795" w:type="dxa"/>
            <w:tcBorders>
              <w:top w:val="nil"/>
              <w:left w:val="nil"/>
              <w:bottom w:val="single" w:sz="4" w:space="0" w:color="auto"/>
              <w:right w:val="single" w:sz="4" w:space="0" w:color="auto"/>
            </w:tcBorders>
            <w:shd w:val="clear" w:color="000000" w:fill="FFE699"/>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0.58%</w:t>
            </w:r>
          </w:p>
        </w:tc>
        <w:tc>
          <w:tcPr>
            <w:tcW w:w="2370"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(62,604)</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27</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Environmental Affairs</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2.48%</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(268,516)</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28</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Labour</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1.60%</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(172,688)</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29</w:t>
            </w:r>
          </w:p>
        </w:tc>
        <w:tc>
          <w:tcPr>
            <w:tcW w:w="4593"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Mineral Resources</w:t>
            </w:r>
            <w:r w:rsidRPr="00140CDA">
              <w:rPr>
                <w:rStyle w:val="FootnoteReference"/>
                <w:rFonts w:ascii="Calibri" w:eastAsia="Times New Roman" w:hAnsi="Calibri" w:cs="Times New Roman"/>
                <w:color w:val="000000"/>
                <w:sz w:val="20"/>
                <w:szCs w:val="20"/>
                <w:lang w:eastAsia="en-ZA"/>
              </w:rPr>
              <w:footnoteReference w:id="8"/>
            </w:r>
          </w:p>
        </w:tc>
        <w:tc>
          <w:tcPr>
            <w:tcW w:w="1795" w:type="dxa"/>
            <w:tcBorders>
              <w:top w:val="nil"/>
              <w:left w:val="nil"/>
              <w:bottom w:val="single" w:sz="4" w:space="0" w:color="auto"/>
              <w:right w:val="single" w:sz="4" w:space="0" w:color="auto"/>
            </w:tcBorders>
            <w:shd w:val="clear" w:color="000000" w:fill="FFE699"/>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0.51%</w:t>
            </w:r>
          </w:p>
        </w:tc>
        <w:tc>
          <w:tcPr>
            <w:tcW w:w="2370" w:type="dxa"/>
            <w:tcBorders>
              <w:top w:val="nil"/>
              <w:left w:val="nil"/>
              <w:bottom w:val="single" w:sz="4" w:space="0" w:color="auto"/>
              <w:right w:val="single" w:sz="4" w:space="0" w:color="auto"/>
            </w:tcBorders>
            <w:shd w:val="clear" w:color="000000" w:fill="FFE699"/>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(55,636)</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30</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Science and Technology</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0.53%</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(57,841)</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31</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Small Business Development</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0.41%</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(44,074)</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32</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Telecommunications and Postal Services</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4.14%</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(448,583)</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33</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Tourism</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2.08%</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(225,215)</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34</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Trade and Industry</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1.08%</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(117,160)</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35</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Transport</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0.55%</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hAnsi="Calibri"/>
                <w:color w:val="000000"/>
                <w:sz w:val="20"/>
                <w:szCs w:val="20"/>
              </w:rPr>
              <w:t xml:space="preserve">            (59,802)</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36</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Water and Sanitation</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37</w:t>
            </w:r>
          </w:p>
        </w:tc>
        <w:tc>
          <w:tcPr>
            <w:tcW w:w="4593"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Arts and Culture</w:t>
            </w:r>
          </w:p>
        </w:tc>
        <w:tc>
          <w:tcPr>
            <w:tcW w:w="1795" w:type="dxa"/>
            <w:tcBorders>
              <w:top w:val="nil"/>
              <w:left w:val="nil"/>
              <w:bottom w:val="single" w:sz="4" w:space="0" w:color="auto"/>
              <w:right w:val="single" w:sz="4" w:space="0" w:color="auto"/>
            </w:tcBorders>
            <w:shd w:val="clear" w:color="auto" w:fill="auto"/>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1.06%</w:t>
            </w:r>
          </w:p>
        </w:tc>
        <w:tc>
          <w:tcPr>
            <w:tcW w:w="2370" w:type="dxa"/>
            <w:tcBorders>
              <w:top w:val="nil"/>
              <w:left w:val="nil"/>
              <w:bottom w:val="single" w:sz="4" w:space="0" w:color="auto"/>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(114,425)</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38</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Human Settlements</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39</w:t>
            </w:r>
          </w:p>
        </w:tc>
        <w:tc>
          <w:tcPr>
            <w:tcW w:w="4593"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Rural Development and Land Reform</w:t>
            </w:r>
          </w:p>
        </w:tc>
        <w:tc>
          <w:tcPr>
            <w:tcW w:w="1795" w:type="dxa"/>
            <w:tcBorders>
              <w:top w:val="nil"/>
              <w:left w:val="nil"/>
              <w:bottom w:val="single" w:sz="4" w:space="0" w:color="auto"/>
              <w:right w:val="single" w:sz="4" w:space="0" w:color="auto"/>
            </w:tcBorders>
            <w:shd w:val="clear" w:color="000000" w:fill="BDD7EE"/>
            <w:noWrap/>
            <w:vAlign w:val="bottom"/>
            <w:hideMark/>
          </w:tcPr>
          <w:p w:rsidR="005613D7" w:rsidRPr="005613D7" w:rsidRDefault="005613D7" w:rsidP="005613D7">
            <w:pPr>
              <w:contextualSpacing/>
              <w:jc w:val="right"/>
              <w:rPr>
                <w:rFonts w:ascii="Calibri" w:hAnsi="Calibri"/>
                <w:color w:val="000000"/>
                <w:sz w:val="20"/>
                <w:szCs w:val="20"/>
              </w:rPr>
            </w:pPr>
            <w:r w:rsidRPr="005613D7">
              <w:rPr>
                <w:rFonts w:ascii="Calibri" w:hAnsi="Calibri"/>
                <w:color w:val="000000"/>
                <w:sz w:val="20"/>
                <w:szCs w:val="20"/>
              </w:rPr>
              <w:t>0.00%</w:t>
            </w:r>
          </w:p>
        </w:tc>
        <w:tc>
          <w:tcPr>
            <w:tcW w:w="2370" w:type="dxa"/>
            <w:tcBorders>
              <w:top w:val="nil"/>
              <w:left w:val="nil"/>
              <w:bottom w:val="single" w:sz="4" w:space="0" w:color="auto"/>
              <w:right w:val="single" w:sz="4" w:space="0" w:color="auto"/>
            </w:tcBorders>
            <w:shd w:val="clear" w:color="000000" w:fill="BDD7EE"/>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 </w:t>
            </w:r>
          </w:p>
        </w:tc>
      </w:tr>
      <w:tr w:rsidR="005613D7" w:rsidRPr="00140CDA" w:rsidTr="005613D7">
        <w:trPr>
          <w:trHeight w:val="20"/>
        </w:trPr>
        <w:tc>
          <w:tcPr>
            <w:tcW w:w="602" w:type="dxa"/>
            <w:tcBorders>
              <w:top w:val="nil"/>
              <w:left w:val="single" w:sz="4" w:space="0" w:color="auto"/>
              <w:bottom w:val="nil"/>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40</w:t>
            </w:r>
          </w:p>
        </w:tc>
        <w:tc>
          <w:tcPr>
            <w:tcW w:w="4593" w:type="dxa"/>
            <w:tcBorders>
              <w:top w:val="nil"/>
              <w:left w:val="nil"/>
              <w:bottom w:val="nil"/>
              <w:right w:val="single" w:sz="4" w:space="0" w:color="auto"/>
            </w:tcBorders>
            <w:shd w:val="clear" w:color="auto" w:fill="auto"/>
            <w:noWrap/>
            <w:vAlign w:val="bottom"/>
            <w:hideMark/>
          </w:tcPr>
          <w:p w:rsidR="005613D7" w:rsidRPr="00140CDA" w:rsidRDefault="005613D7" w:rsidP="005613D7">
            <w:pPr>
              <w:contextualSpacing/>
              <w:rPr>
                <w:rFonts w:ascii="Calibri" w:eastAsia="Times New Roman" w:hAnsi="Calibri" w:cs="Times New Roman"/>
                <w:color w:val="000000"/>
                <w:sz w:val="20"/>
                <w:szCs w:val="20"/>
                <w:lang w:eastAsia="en-ZA"/>
              </w:rPr>
            </w:pPr>
            <w:r w:rsidRPr="00140CDA">
              <w:rPr>
                <w:rFonts w:ascii="Calibri" w:eastAsia="Times New Roman" w:hAnsi="Calibri" w:cs="Times New Roman"/>
                <w:color w:val="000000"/>
                <w:sz w:val="20"/>
                <w:szCs w:val="20"/>
                <w:lang w:eastAsia="en-ZA"/>
              </w:rPr>
              <w:t>Sport and Recreation South Africa</w:t>
            </w:r>
          </w:p>
        </w:tc>
        <w:tc>
          <w:tcPr>
            <w:tcW w:w="1795" w:type="dxa"/>
            <w:tcBorders>
              <w:top w:val="nil"/>
              <w:left w:val="nil"/>
              <w:bottom w:val="nil"/>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sidRPr="005613D7">
              <w:rPr>
                <w:rFonts w:ascii="Calibri" w:hAnsi="Calibri"/>
                <w:color w:val="000000"/>
                <w:sz w:val="20"/>
                <w:szCs w:val="20"/>
              </w:rPr>
              <w:t>0.32%</w:t>
            </w:r>
          </w:p>
        </w:tc>
        <w:tc>
          <w:tcPr>
            <w:tcW w:w="2370" w:type="dxa"/>
            <w:tcBorders>
              <w:top w:val="nil"/>
              <w:left w:val="nil"/>
              <w:bottom w:val="nil"/>
              <w:right w:val="single" w:sz="4" w:space="0" w:color="auto"/>
            </w:tcBorders>
            <w:shd w:val="clear" w:color="auto" w:fill="auto"/>
            <w:noWrap/>
            <w:vAlign w:val="bottom"/>
            <w:hideMark/>
          </w:tcPr>
          <w:p w:rsidR="005613D7" w:rsidRPr="00140CDA" w:rsidRDefault="005613D7" w:rsidP="005613D7">
            <w:pPr>
              <w:contextualSpacing/>
              <w:jc w:val="right"/>
              <w:rPr>
                <w:rFonts w:ascii="Calibri" w:eastAsia="Times New Roman" w:hAnsi="Calibri" w:cs="Times New Roman"/>
                <w:color w:val="000000"/>
                <w:sz w:val="20"/>
                <w:szCs w:val="20"/>
                <w:lang w:eastAsia="en-ZA"/>
              </w:rPr>
            </w:pPr>
            <w:r>
              <w:rPr>
                <w:rFonts w:ascii="Calibri" w:hAnsi="Calibri"/>
                <w:color w:val="000000"/>
                <w:sz w:val="20"/>
                <w:szCs w:val="20"/>
              </w:rPr>
              <w:t xml:space="preserve">                         </w:t>
            </w:r>
            <w:r w:rsidRPr="00140CDA">
              <w:rPr>
                <w:rFonts w:ascii="Calibri" w:hAnsi="Calibri"/>
                <w:color w:val="000000"/>
                <w:sz w:val="20"/>
                <w:szCs w:val="20"/>
              </w:rPr>
              <w:t xml:space="preserve">       (34,261)</w:t>
            </w:r>
          </w:p>
        </w:tc>
      </w:tr>
      <w:tr w:rsidR="006F4E2D" w:rsidRPr="00140CDA" w:rsidTr="005613D7">
        <w:trPr>
          <w:trHeight w:val="20"/>
        </w:trPr>
        <w:tc>
          <w:tcPr>
            <w:tcW w:w="6990"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6F4E2D" w:rsidRPr="00140CDA" w:rsidRDefault="006F4E2D" w:rsidP="00AA4604">
            <w:pPr>
              <w:jc w:val="center"/>
              <w:rPr>
                <w:rFonts w:ascii="Calibri" w:eastAsia="Times New Roman" w:hAnsi="Calibri" w:cs="Times New Roman"/>
                <w:b/>
                <w:bCs/>
                <w:color w:val="000000"/>
                <w:sz w:val="20"/>
                <w:szCs w:val="20"/>
                <w:lang w:eastAsia="en-ZA"/>
              </w:rPr>
            </w:pPr>
            <w:r w:rsidRPr="00140CDA">
              <w:rPr>
                <w:rFonts w:ascii="Calibri" w:eastAsia="Times New Roman" w:hAnsi="Calibri" w:cs="Times New Roman"/>
                <w:b/>
                <w:bCs/>
                <w:color w:val="000000"/>
                <w:sz w:val="20"/>
                <w:szCs w:val="20"/>
                <w:lang w:eastAsia="en-ZA"/>
              </w:rPr>
              <w:t xml:space="preserve">Total </w:t>
            </w:r>
          </w:p>
        </w:tc>
        <w:tc>
          <w:tcPr>
            <w:tcW w:w="2370" w:type="dxa"/>
            <w:tcBorders>
              <w:top w:val="single" w:sz="8" w:space="0" w:color="auto"/>
              <w:left w:val="nil"/>
              <w:bottom w:val="single" w:sz="8" w:space="0" w:color="auto"/>
              <w:right w:val="single" w:sz="8" w:space="0" w:color="auto"/>
            </w:tcBorders>
            <w:shd w:val="clear" w:color="000000" w:fill="D9D9D9"/>
            <w:noWrap/>
            <w:vAlign w:val="bottom"/>
            <w:hideMark/>
          </w:tcPr>
          <w:p w:rsidR="006F4E2D" w:rsidRPr="002F73E9" w:rsidRDefault="006F4E2D" w:rsidP="000C3DCF">
            <w:pPr>
              <w:rPr>
                <w:rFonts w:ascii="Calibri" w:eastAsia="Times New Roman" w:hAnsi="Calibri"/>
                <w:b/>
                <w:color w:val="000000"/>
                <w:sz w:val="20"/>
                <w:szCs w:val="20"/>
              </w:rPr>
            </w:pPr>
            <w:r w:rsidRPr="002F73E9">
              <w:rPr>
                <w:rFonts w:ascii="Calibri" w:hAnsi="Calibri"/>
                <w:b/>
                <w:color w:val="000000"/>
                <w:sz w:val="20"/>
                <w:szCs w:val="20"/>
              </w:rPr>
              <w:t xml:space="preserve">                        </w:t>
            </w:r>
            <w:r w:rsidR="000C3DCF">
              <w:rPr>
                <w:rFonts w:ascii="Calibri" w:hAnsi="Calibri"/>
                <w:b/>
                <w:color w:val="000000"/>
                <w:sz w:val="20"/>
                <w:szCs w:val="20"/>
              </w:rPr>
              <w:t>(10,825,370</w:t>
            </w:r>
            <w:r w:rsidRPr="002F73E9">
              <w:rPr>
                <w:rFonts w:ascii="Calibri" w:hAnsi="Calibri"/>
                <w:b/>
                <w:color w:val="000000"/>
                <w:sz w:val="20"/>
                <w:szCs w:val="20"/>
              </w:rPr>
              <w:t>)</w:t>
            </w:r>
          </w:p>
        </w:tc>
      </w:tr>
    </w:tbl>
    <w:p w:rsidR="006F4E2D" w:rsidRPr="00F01B6F" w:rsidRDefault="006F4E2D" w:rsidP="006F4E2D">
      <w:pPr>
        <w:jc w:val="both"/>
        <w:rPr>
          <w:i/>
        </w:rPr>
      </w:pPr>
    </w:p>
    <w:p w:rsidR="006F4E2D" w:rsidRDefault="006F4E2D" w:rsidP="006F4E2D">
      <w:pPr>
        <w:pStyle w:val="Headerorfooter20"/>
        <w:framePr w:wrap="none" w:vAnchor="page" w:hAnchor="page" w:x="5838" w:y="15861"/>
        <w:shd w:val="clear" w:color="auto" w:fill="auto"/>
        <w:spacing w:line="240" w:lineRule="exact"/>
      </w:pPr>
      <w:r>
        <w:t>13</w:t>
      </w:r>
    </w:p>
    <w:p w:rsidR="006F4E2D" w:rsidRDefault="006F4E2D" w:rsidP="006F4E2D">
      <w:pPr>
        <w:pStyle w:val="Bodytext90"/>
        <w:shd w:val="clear" w:color="auto" w:fill="auto"/>
        <w:spacing w:after="523" w:line="240" w:lineRule="exact"/>
      </w:pPr>
      <w:r>
        <w:t>Appendix 2 - Amended Appropriations Bill [B5-2017] Schedule</w:t>
      </w:r>
    </w:p>
    <w:p w:rsidR="006F4E2D" w:rsidRDefault="006F4E2D" w:rsidP="006F4E2D">
      <w:pPr>
        <w:pStyle w:val="Bodytext100"/>
        <w:shd w:val="clear" w:color="auto" w:fill="auto"/>
        <w:spacing w:before="0" w:after="0" w:line="240" w:lineRule="exact"/>
        <w:ind w:right="180"/>
      </w:pPr>
      <w:r>
        <w:lastRenderedPageBreak/>
        <w:t>REPUBLIC OF SOUTH AFRICA</w:t>
      </w: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10"/>
        <w:framePr w:w="8189" w:h="2087" w:hRule="exact" w:wrap="none" w:vAnchor="page" w:hAnchor="page" w:x="1787" w:y="4074"/>
        <w:shd w:val="clear" w:color="auto" w:fill="auto"/>
        <w:spacing w:before="0" w:after="0"/>
        <w:ind w:right="20"/>
      </w:pPr>
      <w:r>
        <w:t>APPROPRIATION AMENDMENT BILL</w:t>
      </w:r>
      <w:r>
        <w:br/>
        <w:t>Democratic Alliance</w:t>
      </w: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90"/>
        <w:framePr w:w="8189" w:h="298" w:hRule="exact" w:wrap="none" w:vAnchor="page" w:hAnchor="page" w:x="1787" w:y="7062"/>
        <w:shd w:val="clear" w:color="auto" w:fill="auto"/>
        <w:spacing w:line="240" w:lineRule="exact"/>
        <w:ind w:right="180"/>
        <w:jc w:val="center"/>
      </w:pPr>
      <w:r>
        <w:t>Proposed Amendments</w:t>
      </w: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00"/>
        <w:shd w:val="clear" w:color="auto" w:fill="auto"/>
        <w:spacing w:before="0" w:after="0" w:line="240" w:lineRule="exact"/>
        <w:ind w:right="180"/>
      </w:pPr>
    </w:p>
    <w:p w:rsidR="006F4E2D" w:rsidRDefault="006F4E2D" w:rsidP="006F4E2D">
      <w:pPr>
        <w:pStyle w:val="Bodytext120"/>
        <w:framePr w:wrap="none" w:vAnchor="page" w:hAnchor="page" w:x="1787" w:y="14852"/>
        <w:shd w:val="clear" w:color="auto" w:fill="auto"/>
        <w:spacing w:before="0" w:line="320" w:lineRule="exact"/>
      </w:pPr>
      <w:r>
        <w:t>Proposed Amendments to [B5-2017]</w:t>
      </w:r>
    </w:p>
    <w:p w:rsidR="006F4E2D" w:rsidRDefault="006F4E2D" w:rsidP="006F4E2D">
      <w:pPr>
        <w:pStyle w:val="Bodytext100"/>
        <w:shd w:val="clear" w:color="auto" w:fill="auto"/>
        <w:spacing w:before="0" w:after="0" w:line="240" w:lineRule="exact"/>
        <w:ind w:right="180"/>
      </w:pPr>
    </w:p>
    <w:p w:rsidR="006F4E2D" w:rsidRDefault="006F4E2D" w:rsidP="006F4E2D">
      <w:pPr>
        <w:jc w:val="both"/>
        <w:rPr>
          <w:i/>
        </w:rPr>
      </w:pPr>
    </w:p>
    <w:p w:rsidR="006F4E2D" w:rsidRPr="00EC0D4A" w:rsidRDefault="006F4E2D" w:rsidP="006F4E2D">
      <w:pPr>
        <w:jc w:val="both"/>
        <w:rPr>
          <w:i/>
        </w:rPr>
        <w:sectPr w:rsidR="006F4E2D" w:rsidRPr="00EC0D4A" w:rsidSect="006F4E2D">
          <w:footerReference w:type="even" r:id="rId9"/>
          <w:footerReference w:type="default" r:id="rId10"/>
          <w:pgSz w:w="11900" w:h="16840"/>
          <w:pgMar w:top="1440" w:right="1800" w:bottom="1440" w:left="1800" w:header="708" w:footer="708" w:gutter="0"/>
          <w:pgNumType w:start="1"/>
          <w:cols w:space="708"/>
          <w:docGrid w:linePitch="360"/>
        </w:sectPr>
      </w:pPr>
    </w:p>
    <w:p w:rsidR="006F4E2D" w:rsidRDefault="006F4E2D" w:rsidP="006F4E2D">
      <w:pPr>
        <w:jc w:val="center"/>
      </w:pPr>
      <w:r>
        <w:lastRenderedPageBreak/>
        <w:t>Schedule</w:t>
      </w:r>
    </w:p>
    <w:tbl>
      <w:tblPr>
        <w:tblW w:w="9985" w:type="dxa"/>
        <w:tblLook w:val="04A0"/>
      </w:tblPr>
      <w:tblGrid>
        <w:gridCol w:w="680"/>
        <w:gridCol w:w="338"/>
        <w:gridCol w:w="3837"/>
        <w:gridCol w:w="876"/>
        <w:gridCol w:w="924"/>
        <w:gridCol w:w="900"/>
        <w:gridCol w:w="810"/>
        <w:gridCol w:w="720"/>
        <w:gridCol w:w="900"/>
      </w:tblGrid>
      <w:tr w:rsidR="006F4E2D" w:rsidRPr="00D40632" w:rsidTr="00AA4604">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Vote</w:t>
            </w:r>
          </w:p>
        </w:tc>
        <w:tc>
          <w:tcPr>
            <w:tcW w:w="41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Total</w:t>
            </w:r>
          </w:p>
        </w:tc>
        <w:tc>
          <w:tcPr>
            <w:tcW w:w="1824"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Current Payments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Transfers and</w:t>
            </w:r>
            <w:r w:rsidRPr="00D40632">
              <w:rPr>
                <w:rFonts w:ascii="Calibri" w:eastAsia="Times New Roman" w:hAnsi="Calibri" w:cs="Times New Roman"/>
                <w:color w:val="000000"/>
                <w:sz w:val="12"/>
                <w:szCs w:val="12"/>
              </w:rPr>
              <w:br/>
              <w:t>Subsidies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Payments for</w:t>
            </w:r>
            <w:r w:rsidRPr="00D40632">
              <w:rPr>
                <w:rFonts w:ascii="Calibri" w:eastAsia="Times New Roman" w:hAnsi="Calibri" w:cs="Times New Roman"/>
                <w:color w:val="000000"/>
                <w:sz w:val="12"/>
                <w:szCs w:val="12"/>
              </w:rPr>
              <w:br/>
              <w:t>Capital Assets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Payments for</w:t>
            </w:r>
            <w:r w:rsidRPr="00D40632">
              <w:rPr>
                <w:rFonts w:ascii="Calibri" w:eastAsia="Times New Roman" w:hAnsi="Calibri" w:cs="Times New Roman"/>
                <w:color w:val="000000"/>
                <w:sz w:val="12"/>
                <w:szCs w:val="12"/>
              </w:rPr>
              <w:br/>
              <w:t>Financial</w:t>
            </w:r>
            <w:r w:rsidRPr="00D40632">
              <w:rPr>
                <w:rFonts w:ascii="Calibri" w:eastAsia="Times New Roman" w:hAnsi="Calibri" w:cs="Times New Roman"/>
                <w:color w:val="000000"/>
                <w:sz w:val="12"/>
                <w:szCs w:val="12"/>
              </w:rPr>
              <w:br/>
              <w:t>Assets</w:t>
            </w:r>
          </w:p>
        </w:tc>
      </w:tr>
      <w:tr w:rsidR="006F4E2D" w:rsidRPr="00D40632" w:rsidTr="00AA4604">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F4E2D" w:rsidRPr="00D40632" w:rsidRDefault="006F4E2D" w:rsidP="00AA4604">
            <w:pPr>
              <w:rPr>
                <w:rFonts w:ascii="Calibri" w:eastAsia="Times New Roman" w:hAnsi="Calibri" w:cs="Times New Roman"/>
                <w:color w:val="000000"/>
                <w:sz w:val="12"/>
                <w:szCs w:val="12"/>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6F4E2D" w:rsidRPr="00D40632" w:rsidRDefault="006F4E2D" w:rsidP="00AA4604">
            <w:pPr>
              <w:rPr>
                <w:rFonts w:ascii="Calibri" w:eastAsia="Times New Roman" w:hAnsi="Calibri" w:cs="Times New Roman"/>
                <w:color w:val="000000"/>
                <w:sz w:val="12"/>
                <w:szCs w:val="1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6F4E2D" w:rsidRPr="00D40632" w:rsidRDefault="006F4E2D" w:rsidP="00AA4604">
            <w:pPr>
              <w:rPr>
                <w:rFonts w:ascii="Calibri" w:eastAsia="Times New Roman" w:hAnsi="Calibri" w:cs="Times New Roman"/>
                <w:color w:val="000000"/>
                <w:sz w:val="12"/>
                <w:szCs w:val="12"/>
              </w:rPr>
            </w:pPr>
          </w:p>
        </w:tc>
        <w:tc>
          <w:tcPr>
            <w:tcW w:w="924" w:type="dxa"/>
            <w:tcBorders>
              <w:top w:val="nil"/>
              <w:left w:val="nil"/>
              <w:bottom w:val="single" w:sz="4" w:space="0" w:color="auto"/>
              <w:right w:val="single" w:sz="4" w:space="0" w:color="auto"/>
            </w:tcBorders>
            <w:shd w:val="clear" w:color="auto" w:fill="auto"/>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Compensation of employees</w:t>
            </w:r>
          </w:p>
        </w:tc>
        <w:tc>
          <w:tcPr>
            <w:tcW w:w="900" w:type="dxa"/>
            <w:tcBorders>
              <w:top w:val="nil"/>
              <w:left w:val="nil"/>
              <w:bottom w:val="single" w:sz="4" w:space="0" w:color="auto"/>
              <w:right w:val="single" w:sz="4" w:space="0" w:color="auto"/>
            </w:tcBorders>
            <w:shd w:val="clear" w:color="auto" w:fill="auto"/>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Goods and Services</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4E2D" w:rsidRPr="00D40632" w:rsidRDefault="006F4E2D" w:rsidP="00AA4604">
            <w:pPr>
              <w:rPr>
                <w:rFonts w:ascii="Calibri" w:eastAsia="Times New Roman" w:hAnsi="Calibri" w:cs="Times New Roman"/>
                <w:color w:val="00000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F4E2D" w:rsidRPr="00D40632" w:rsidRDefault="006F4E2D" w:rsidP="00AA4604">
            <w:pPr>
              <w:rPr>
                <w:rFonts w:ascii="Calibri" w:eastAsia="Times New Roman" w:hAnsi="Calibri" w:cs="Times New Roman"/>
                <w:color w:val="000000"/>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F4E2D" w:rsidRPr="00D40632" w:rsidRDefault="006F4E2D" w:rsidP="00AA4604">
            <w:pPr>
              <w:rPr>
                <w:rFonts w:ascii="Calibri" w:eastAsia="Times New Roman" w:hAnsi="Calibri" w:cs="Times New Roman"/>
                <w:color w:val="000000"/>
                <w:sz w:val="12"/>
                <w:szCs w:val="12"/>
              </w:rPr>
            </w:pP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876"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R'000</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R'000</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R'000</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R'000</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R'000</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cente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R'000</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The Presidency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(17,308)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(9,084)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(8,224)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(15,885)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(8,746)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(7,139)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Executive Support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(1,085)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(1,085)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16</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Direct charge against the National Revenue Fund</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(338)</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(338)</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Parliament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(75,321)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(46,686)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(28,635)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Strategic Leadership and Governance </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(1,424)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(1,424)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Administration </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(1,678)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(1,496)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Core Business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(31,417)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(20,014)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(11,403)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Support Services </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(4,466)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(4,466)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Associated Services </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(9,846)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(9,846)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16</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Direct charge against the National Revenue Fund</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(26,490)</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(26,490)</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Communications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(18,523)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(11,686)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(6,837)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(10,084)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(7,826)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(2,258)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Communications Policy, Research and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(1,794)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(588)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(1,206)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Industry and Capacity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(4,406)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(2,063)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(2,343)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Entity Oversight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(2,239)</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(1,209)</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(1,030)</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Cooperative Governance And Traditional Affairs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(118,372)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(37,513)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(80,859)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(23,398)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(16,234)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(7,164)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Regional and Urban Development and Legislative Support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(10,054)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(7,249)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(2,805)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Institutional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(74,332)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(4,920)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(69,412)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Local Government Support and Intervention Management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(10,588)</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(9,110)</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(1,478)</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5</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Home Affairs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(269,070)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(139,507)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(129,563)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(135,116)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(49,695)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(85,421)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Immigration Affairs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(133,954)</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(89,812)</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(44,142)</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6</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International Relations and Cooperation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(179,838)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(63,826)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(116,012)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(57,956)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(31,122)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(26,834)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International Relations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(54,647)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(54,647)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International Cooperation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(54,800)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(26,858)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(27,942)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Public Diplomacy and Protocol Services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(12,435)</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(5,846)</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(6,589)</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7</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National Treasury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(4,847,060)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(12,985)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(145,471)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(188,604)</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(4,500,000)</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(32,324)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(5,575)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(26,749)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Economic Policy, Tax, Financial Regulation and Research</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(5,579)</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(801)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(4,778)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Public Finance and Budget Management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(6,250)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(1,054)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(5,196)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Asset and Liability Management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(1,885)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(1,742)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Financial Accounting and Supply Chain Management Systems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(54,794)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(2,184)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(52,610)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International Financial Relations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(4,505,664)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(3,228)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(2,436)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(4,500,000)</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7</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Civil and Military Pensions, Contributions to Funds and Other Benefits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(3,770)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(3,770)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8</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Technical Support and Development Finance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(48,190)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(48,190)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10</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Financial Intelligence and State Security</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(188,604)</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(188,604)</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8</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Planning, Monitoring and Evaluation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(151,155)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(64,507)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(86,648)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(33,390)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(18,445)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(14,945)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National Planning Coordination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(10,672)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(10,357)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Sector Planning and Monitoring</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(13,091)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(12,736)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(355)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Public Sector Monitoring and Capacity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(10,591)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(8,299)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(2,292)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Frontline and Citizen-Based Service Delivery and Monitoring</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(3,717)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(2,135)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(1,582)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Evidence and Knowledge Systems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(75,680)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(8,747)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(66,933)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7</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National Youth Development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(4,014)</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(3,788)</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(226)</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9</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Public Enterprises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(29,231)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(16,036)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(13,195)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(15,602)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(8,324)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(7,278)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Legal and Governance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(1,509)</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(888)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(621)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Portfolio Management and Strategic Partnerships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(12,120)</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(6,824)</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(5,296)</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10</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Public Service and 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(53,857)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(17,681)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(36,176)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(27,132)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(7,593)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(19,539)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Policy Development, Research and Analysis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(7,213)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(4,733)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(2,480)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Labour Relations and Human Resource Management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(5,260)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(884)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(4,376)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Government Chief Information Officer</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(2,758)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(1,155)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(1,603)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Service Delivery Support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(8,717)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(2,482)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(6,235)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Governance of Public Administration</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(2,777)</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(834)</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(1,943)</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11</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Public Works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1,425,104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(21,101)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1,446,684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(479)</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(32,642)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(3,668)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(28,974)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Intergovernmental Coordination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(25,156)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(17,066)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(8,090)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Expanded Public Works Programme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1,500,000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1,500,000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Property and Construction Industry Policy and Research</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(6,431)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(367)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(6,064)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Prestige Policy</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(10,667)</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(10,188)</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(479)</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12</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Statistics South Africa</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(61,613)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(20,598)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(41,015)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(6,321)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(6,321)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Economic Statistics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(8,043)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(570)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(7,473)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Population and Social Statistics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(14,827)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(6,343)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(8,484)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Methodology, Standards and Research</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(1,828)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(1,828)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Statistical Support and Informatics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(15,726)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(7,039)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(8,687)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Statistical Collection and Outreach</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(7,623)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(3,133)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(4,490)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7</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Survey Operations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(7,245)</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(3,513)</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(3,732)</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13</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Women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(21,660)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(7,415)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(14,245)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(5,454)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(3,249)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(2,205)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Social Transformation and Economic Empowerment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(5,213)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(2,070)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(3,143)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Policy, Stakeholder Coordination and Knowledge Management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(10,993)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(2,096)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(8,897)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15</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Higher Education and Training</w:t>
            </w:r>
          </w:p>
        </w:tc>
        <w:tc>
          <w:tcPr>
            <w:tcW w:w="876" w:type="dxa"/>
            <w:tcBorders>
              <w:top w:val="single" w:sz="4" w:space="0" w:color="auto"/>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w:t>
            </w:r>
            <w:r w:rsidR="00C17E9E">
              <w:rPr>
                <w:rFonts w:ascii="Calibri" w:eastAsia="Times New Roman" w:hAnsi="Calibri" w:cs="Times New Roman"/>
                <w:b/>
                <w:bCs/>
                <w:color w:val="000000"/>
                <w:sz w:val="12"/>
                <w:szCs w:val="12"/>
              </w:rPr>
              <w:t>3,483,247</w:t>
            </w:r>
            <w:r w:rsidRPr="00D40632">
              <w:rPr>
                <w:rFonts w:ascii="Calibri" w:eastAsia="Times New Roman" w:hAnsi="Calibri" w:cs="Times New Roman"/>
                <w:b/>
                <w:bCs/>
                <w:color w:val="000000"/>
                <w:sz w:val="12"/>
                <w:szCs w:val="12"/>
              </w:rPr>
              <w:t xml:space="preserve"> </w:t>
            </w:r>
          </w:p>
        </w:tc>
        <w:tc>
          <w:tcPr>
            <w:tcW w:w="924" w:type="dxa"/>
            <w:tcBorders>
              <w:top w:val="single" w:sz="4" w:space="0" w:color="auto"/>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single" w:sz="4" w:space="0" w:color="auto"/>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w:t>
            </w:r>
            <w:r w:rsidR="00AF2163">
              <w:rPr>
                <w:rFonts w:ascii="Calibri" w:eastAsia="Times New Roman" w:hAnsi="Calibri" w:cs="Times New Roman"/>
                <w:b/>
                <w:bCs/>
                <w:color w:val="000000"/>
                <w:sz w:val="12"/>
                <w:szCs w:val="12"/>
              </w:rPr>
              <w:t>-</w:t>
            </w:r>
          </w:p>
        </w:tc>
        <w:tc>
          <w:tcPr>
            <w:tcW w:w="810" w:type="dxa"/>
            <w:tcBorders>
              <w:top w:val="single" w:sz="4" w:space="0" w:color="auto"/>
              <w:left w:val="nil"/>
              <w:bottom w:val="nil"/>
              <w:right w:val="nil"/>
            </w:tcBorders>
            <w:shd w:val="clear" w:color="auto" w:fill="auto"/>
            <w:noWrap/>
            <w:vAlign w:val="bottom"/>
            <w:hideMark/>
          </w:tcPr>
          <w:p w:rsidR="006F4E2D" w:rsidRPr="00D40632" w:rsidRDefault="006F4E2D" w:rsidP="00AF2163">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w:t>
            </w:r>
            <w:r w:rsidR="00AF2163">
              <w:rPr>
                <w:rFonts w:ascii="Calibri" w:eastAsia="Times New Roman" w:hAnsi="Calibri" w:cs="Times New Roman"/>
                <w:b/>
                <w:bCs/>
                <w:color w:val="000000"/>
                <w:sz w:val="12"/>
                <w:szCs w:val="12"/>
              </w:rPr>
              <w:t>3,483,247</w:t>
            </w:r>
            <w:r w:rsidRPr="00D40632">
              <w:rPr>
                <w:rFonts w:ascii="Calibri" w:eastAsia="Times New Roman" w:hAnsi="Calibri" w:cs="Times New Roman"/>
                <w:b/>
                <w:bCs/>
                <w:color w:val="000000"/>
                <w:sz w:val="12"/>
                <w:szCs w:val="12"/>
              </w:rPr>
              <w:t xml:space="preserve"> </w:t>
            </w:r>
          </w:p>
        </w:tc>
        <w:tc>
          <w:tcPr>
            <w:tcW w:w="720" w:type="dxa"/>
            <w:tcBorders>
              <w:top w:val="single" w:sz="4" w:space="0" w:color="auto"/>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single" w:sz="4" w:space="0" w:color="auto"/>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Technical and Vocational Education and Training</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w:t>
            </w:r>
            <w:r w:rsidR="00C17E9E">
              <w:rPr>
                <w:rFonts w:ascii="Calibri" w:eastAsia="Times New Roman" w:hAnsi="Calibri" w:cs="Times New Roman"/>
                <w:color w:val="000000"/>
                <w:sz w:val="12"/>
                <w:szCs w:val="12"/>
              </w:rPr>
              <w:t>3,4</w:t>
            </w:r>
            <w:r w:rsidRPr="00D40632">
              <w:rPr>
                <w:rFonts w:ascii="Calibri" w:eastAsia="Times New Roman" w:hAnsi="Calibri" w:cs="Times New Roman"/>
                <w:color w:val="000000"/>
                <w:sz w:val="12"/>
                <w:szCs w:val="12"/>
              </w:rPr>
              <w:t xml:space="preserve">83,247 </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AF2163" w:rsidP="00AF2163">
            <w:pPr>
              <w:jc w:val="right"/>
              <w:rPr>
                <w:rFonts w:ascii="Calibri" w:eastAsia="Times New Roman" w:hAnsi="Calibri" w:cs="Times New Roman"/>
                <w:color w:val="000000"/>
                <w:sz w:val="12"/>
                <w:szCs w:val="12"/>
              </w:rPr>
            </w:pPr>
            <w:r>
              <w:rPr>
                <w:rFonts w:ascii="Calibri" w:eastAsia="Times New Roman" w:hAnsi="Calibri" w:cs="Times New Roman"/>
                <w:color w:val="000000"/>
                <w:sz w:val="12"/>
                <w:szCs w:val="12"/>
              </w:rPr>
              <w:t>-</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F2163">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w:t>
            </w:r>
            <w:r w:rsidR="00AF2163">
              <w:rPr>
                <w:rFonts w:ascii="Calibri" w:eastAsia="Times New Roman" w:hAnsi="Calibri" w:cs="Times New Roman"/>
                <w:b/>
                <w:bCs/>
                <w:color w:val="000000"/>
                <w:sz w:val="12"/>
                <w:szCs w:val="12"/>
              </w:rPr>
              <w:t>3,483,247</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17</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Social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E36CDF" w:rsidP="00AA4604">
            <w:pPr>
              <w:jc w:val="right"/>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 xml:space="preserve">    4,496,883</w:t>
            </w:r>
            <w:r w:rsidR="006F4E2D" w:rsidRPr="00D40632">
              <w:rPr>
                <w:rFonts w:ascii="Calibri" w:eastAsia="Times New Roman" w:hAnsi="Calibri" w:cs="Times New Roman"/>
                <w:b/>
                <w:bCs/>
                <w:color w:val="000000"/>
                <w:sz w:val="12"/>
                <w:szCs w:val="12"/>
              </w:rPr>
              <w:t xml:space="preserve">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single" w:sz="4" w:space="0" w:color="auto"/>
              <w:left w:val="nil"/>
              <w:bottom w:val="nil"/>
              <w:right w:val="nil"/>
            </w:tcBorders>
            <w:shd w:val="clear" w:color="auto" w:fill="auto"/>
            <w:noWrap/>
            <w:vAlign w:val="bottom"/>
            <w:hideMark/>
          </w:tcPr>
          <w:p w:rsidR="006F4E2D" w:rsidRPr="00D40632" w:rsidRDefault="00E36CDF" w:rsidP="00AA4604">
            <w:pPr>
              <w:jc w:val="right"/>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 xml:space="preserve">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4,496,883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Social Assistance</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w:t>
            </w:r>
            <w:r w:rsidR="00E36CDF">
              <w:rPr>
                <w:rFonts w:ascii="Calibri" w:eastAsia="Times New Roman" w:hAnsi="Calibri" w:cs="Times New Roman"/>
                <w:color w:val="000000"/>
                <w:sz w:val="12"/>
                <w:szCs w:val="12"/>
              </w:rPr>
              <w:t xml:space="preserve">  </w:t>
            </w:r>
            <w:r w:rsidR="00A612FB">
              <w:rPr>
                <w:rFonts w:ascii="Calibri" w:eastAsia="Times New Roman" w:hAnsi="Calibri" w:cs="Times New Roman"/>
                <w:color w:val="000000"/>
                <w:sz w:val="12"/>
                <w:szCs w:val="12"/>
              </w:rPr>
              <w:t>4,496,883</w:t>
            </w:r>
            <w:r w:rsidRPr="00D40632">
              <w:rPr>
                <w:rFonts w:ascii="Calibri" w:eastAsia="Times New Roman" w:hAnsi="Calibri" w:cs="Times New Roman"/>
                <w:color w:val="000000"/>
                <w:sz w:val="12"/>
                <w:szCs w:val="12"/>
              </w:rPr>
              <w:t xml:space="preserve"> </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nil"/>
            </w:tcBorders>
            <w:shd w:val="clear" w:color="auto" w:fill="auto"/>
            <w:noWrap/>
            <w:vAlign w:val="bottom"/>
            <w:hideMark/>
          </w:tcPr>
          <w:p w:rsidR="006F4E2D" w:rsidRPr="00D40632" w:rsidRDefault="00E36CDF" w:rsidP="00AA4604">
            <w:pPr>
              <w:jc w:val="right"/>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4,496,883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19</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Defence And Military Veterans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E36CDF" w:rsidRDefault="00E36CDF" w:rsidP="00E36CDF">
            <w:pPr>
              <w:jc w:val="right"/>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 xml:space="preserve">   </w:t>
            </w:r>
            <w:r>
              <w:rPr>
                <w:rFonts w:ascii="Calibri" w:hAnsi="Calibri"/>
                <w:b/>
                <w:bCs/>
                <w:color w:val="000000"/>
                <w:sz w:val="12"/>
                <w:szCs w:val="12"/>
              </w:rPr>
              <w:t>(2,565,867)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(230,438)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(1,035,429)</w:t>
            </w:r>
          </w:p>
        </w:tc>
        <w:tc>
          <w:tcPr>
            <w:tcW w:w="810" w:type="dxa"/>
            <w:tcBorders>
              <w:top w:val="nil"/>
              <w:left w:val="nil"/>
              <w:bottom w:val="nil"/>
              <w:right w:val="nil"/>
            </w:tcBorders>
            <w:shd w:val="clear" w:color="auto" w:fill="auto"/>
            <w:noWrap/>
            <w:vAlign w:val="bottom"/>
            <w:hideMark/>
          </w:tcPr>
          <w:p w:rsidR="006F4E2D" w:rsidRPr="00D40632" w:rsidRDefault="006F4E2D" w:rsidP="006B4523">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w:t>
            </w:r>
            <w:r w:rsidR="006B4523">
              <w:rPr>
                <w:rFonts w:ascii="Calibri" w:eastAsia="Times New Roman" w:hAnsi="Calibri" w:cs="Times New Roman"/>
                <w:b/>
                <w:bCs/>
                <w:color w:val="000000"/>
                <w:sz w:val="12"/>
                <w:szCs w:val="12"/>
              </w:rPr>
              <w:t xml:space="preserve">  1,300,000</w:t>
            </w:r>
            <w:r w:rsidRPr="00D40632">
              <w:rPr>
                <w:rFonts w:ascii="Calibri" w:eastAsia="Times New Roman" w:hAnsi="Calibri" w:cs="Times New Roman"/>
                <w:b/>
                <w:bCs/>
                <w:color w:val="000000"/>
                <w:sz w:val="12"/>
                <w:szCs w:val="12"/>
              </w:rPr>
              <w:t xml:space="preserve">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E36CDF">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(222,372)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(1,682)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(220,690)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Force Employment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E36CDF">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39,786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(31,062)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70,847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Landward Defence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E36CDF">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(237,383)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9,231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(246,614)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Air Defence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E36CDF">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(283,861)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(37,802)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(246,058)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Maritime Defence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E36CDF">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(105,345)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(12,673)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(92,672)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Military Health Support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E36CDF">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(371,168)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(147,301)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(223,867)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lastRenderedPageBreak/>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7</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Defence Intelligence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(20,301)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(20,160)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8</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General Support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(65,223)</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(9,008)</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(56,215)</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21</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Justice and Constitutional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174,000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174,000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Auxiliary and Associated Services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174,000 </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174,000 </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23</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Police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518,342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(114,202)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650,907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(18,330)</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(33)</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Detective Services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688,020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688,020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Protection and Security Services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(169,678)</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(114,202)</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(37,113)</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(18,330)</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(33)</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25</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Economic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(27,897)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(16,106)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(11,791)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(12,766)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(8,410)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(4,356)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Growth Path and Social Dialogue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(4,957)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(4,126)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(831)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Investment, Competition and Trade</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(10,174)</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(3,570)</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(6,604)</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26</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Energy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(62,604)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(12,145)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(50,459)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(10,650)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(4,363)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(6,287)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Energy Policy and Planning</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(5,908)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(1,284)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(4,624)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Petroleum and Petroleum Products Regulation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(6,002)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(4,012)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(1,990)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Electrification and Energy Programme and Project Management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Nuclear Energy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(5,682)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(1,596)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(4,086)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Clean Energy</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(34,362)</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(890)</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(33,472)</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27</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Environmental Affairs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(268,516)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(47,068)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(221,448)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(43,737)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(13,051)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(30,686)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Legal, Authorisations and Compliance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(7,348)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(2,433)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(4,915)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Oceans and Coasts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(24,406)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(10,469)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(13,937)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Climate Change and Air Quality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(2,617)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(1,713)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(904)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Biodiversity and Conservation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(7,609)</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(3,489)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(4,120)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Environmental Programmes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(116,196)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(13,336)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(102,860)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7</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Chemicals and Waste Management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(66,603)</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(2,577)</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(64,026)</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28</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Labour</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(172,688)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(108,599)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(64,089)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(65,859)</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(26,150)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(39,709)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Inspection and Enforcement Services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(29,165)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(17,615)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(11,550)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Public Employment Services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(57,029)</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(51,062)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(5,967)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Labour Policy and Industrial Relations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(20,635)</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(13,772)</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(6,863)</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29</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Mineral Resources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(55,636)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(21,261)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(34,375)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(22,171)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(10,183)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(11,988)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Mine Health and Safety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Mineral Regulation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(14,190)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(8,893)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(5,297)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Mineral Policy and Promotion</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(19,275)</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(2,185)</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(17,090)</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30</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Science and Technology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(57,841)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(3,030)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(54,811)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(52,871)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(1,147)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(51,724)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Technology Innovation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(1,991)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(413)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(1,578)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International Cooperation and Resources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(1,395)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(751)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(644)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Research, Development and Support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(848)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Socioeconomic Innovation Partnerships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(736)</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(394)</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(342)</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31</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Small Business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(44,074)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(30,054)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(14,020)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(28,891)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(19,199)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(9,692)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Pr>
                <w:rFonts w:ascii="Calibri" w:eastAsia="Times New Roman" w:hAnsi="Calibri" w:cs="Times New Roman"/>
                <w:color w:val="000000"/>
                <w:sz w:val="12"/>
                <w:szCs w:val="12"/>
              </w:rPr>
              <w:t>SMME</w:t>
            </w:r>
            <w:r w:rsidRPr="00D40632">
              <w:rPr>
                <w:rFonts w:ascii="Calibri" w:eastAsia="Times New Roman" w:hAnsi="Calibri" w:cs="Times New Roman"/>
                <w:color w:val="000000"/>
                <w:sz w:val="12"/>
                <w:szCs w:val="12"/>
              </w:rPr>
              <w:t xml:space="preserve"> and Cooperatives Policy and Research </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(6,826)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(4,839)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(1,987)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Pr>
                <w:rFonts w:ascii="Calibri" w:eastAsia="Times New Roman" w:hAnsi="Calibri" w:cs="Times New Roman"/>
                <w:color w:val="000000"/>
                <w:sz w:val="12"/>
                <w:szCs w:val="12"/>
              </w:rPr>
              <w:t>SMME</w:t>
            </w:r>
            <w:r w:rsidRPr="00D40632">
              <w:rPr>
                <w:rFonts w:ascii="Calibri" w:eastAsia="Times New Roman" w:hAnsi="Calibri" w:cs="Times New Roman"/>
                <w:color w:val="000000"/>
                <w:sz w:val="12"/>
                <w:szCs w:val="12"/>
              </w:rPr>
              <w:t xml:space="preserve"> and Cooperatives Programme Design and Support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(8,357)</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(6,016)</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(2,341)</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32</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Telecommunications and Postal Services</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(448,583)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(6,111)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(442,472)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(13,302)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(448)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(12,854)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International Affairs and Trade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(3,299)</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(528)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(2,771)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Policy, Research and Capacity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(17,536)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(3,175)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(14,361)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ICT Enterprise Development and Oversight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(1,061)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(509)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(552)</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ICT Infrastructure Support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(413,385)</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(1,451)</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(411,934)</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33</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Tourism</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(225,215)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(44,114)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(181,101)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(31,958)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(11,681)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(20,277)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Tourism Policy and Planning</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(21,360)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(10,937)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(10,423)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Destination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(55,864)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(8,433)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(47,431)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Enterprise and Visitor Support Services</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(116,033)</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(13,063)</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(102,970)</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34</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Trade and Industry</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(117,160)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(21,399)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(95,761)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(53,190)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(1,516)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(51,674)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International Trade and Economic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(4,884)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(1,644)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(3,240)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Special Economic Zones and Economic Transformation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(6,953)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(5,078)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(1,875)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Industrial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(10,037)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(3,520)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(6,517)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Consumer and Corporate Regulation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(10,023)</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(10,023)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Incentive Development and 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(22,399)</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(4,025)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(18,374)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7</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Trade and Investment South Africa </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(5,460)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(2,417)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(3,043)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8</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Investment South Africa</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(4,214)</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(3,199)</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(1,015)</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35</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Transport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(59,802)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(19,471)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(40,331)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(22,628)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(4,341)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(18,287)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Integrated Transport Planning</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(3,908)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(1,573)</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(2,335)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Rail Transport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(6,291)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(3,080)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(3,211)</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Road Transport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(7,892)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(3,275)</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(4,617)</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Civil Aviation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(2,347)</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(1,034)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(1,313)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6</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Maritime Transport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(7,364)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(4,848)</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(2,516)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7</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Public Transport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(9,372)</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(1,320)</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(8,052)</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37</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Arts and Culture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(114,425)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(3,940)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(110,485)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(38,246)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(260)</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(37,986)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Institutional Governance</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(30,134)</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(1,026)</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(29,108)</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Arts and Culture Promotion and Development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(25,340)</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(25,340)</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Heritage Promotion and Preservation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(19,285)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(2,519)</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(16,766)</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Arts and Culture Promotion and Development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(1,420)</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(135)</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(1,285)</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40</w:t>
            </w:r>
          </w:p>
        </w:tc>
        <w:tc>
          <w:tcPr>
            <w:tcW w:w="4175" w:type="dxa"/>
            <w:gridSpan w:val="2"/>
            <w:tcBorders>
              <w:top w:val="single" w:sz="4" w:space="0" w:color="auto"/>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Sport and Recreation South Africa</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(34,261)</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(8,972)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(25,289)</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1</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Administration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(12,955)</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(5,682)</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(7,273)</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2</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Active Nation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(5,148)</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(794)</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(4,354)</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3</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Winning Nation</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(13,332)</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(1,177)</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(12,155)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4</w:t>
            </w:r>
          </w:p>
        </w:tc>
        <w:tc>
          <w:tcPr>
            <w:tcW w:w="3837" w:type="dxa"/>
            <w:tcBorders>
              <w:top w:val="nil"/>
              <w:left w:val="nil"/>
              <w:bottom w:val="nil"/>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Sport Support</w:t>
            </w:r>
          </w:p>
        </w:tc>
        <w:tc>
          <w:tcPr>
            <w:tcW w:w="876" w:type="dxa"/>
            <w:tcBorders>
              <w:top w:val="nil"/>
              <w:left w:val="single" w:sz="4" w:space="0" w:color="auto"/>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(2,286)</w:t>
            </w:r>
          </w:p>
        </w:tc>
        <w:tc>
          <w:tcPr>
            <w:tcW w:w="924"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(1,201)</w:t>
            </w:r>
          </w:p>
        </w:tc>
        <w:tc>
          <w:tcPr>
            <w:tcW w:w="90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(1,085)</w:t>
            </w:r>
          </w:p>
        </w:tc>
        <w:tc>
          <w:tcPr>
            <w:tcW w:w="81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nil"/>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nil"/>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6F4E2D" w:rsidRPr="00D40632" w:rsidTr="00AA460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w:t>
            </w:r>
          </w:p>
        </w:tc>
        <w:tc>
          <w:tcPr>
            <w:tcW w:w="338"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5</w:t>
            </w:r>
          </w:p>
        </w:tc>
        <w:tc>
          <w:tcPr>
            <w:tcW w:w="3837" w:type="dxa"/>
            <w:tcBorders>
              <w:top w:val="nil"/>
              <w:left w:val="nil"/>
              <w:bottom w:val="single" w:sz="4" w:space="0" w:color="auto"/>
              <w:right w:val="nil"/>
            </w:tcBorders>
            <w:shd w:val="clear" w:color="auto" w:fill="auto"/>
            <w:noWrap/>
            <w:vAlign w:val="bottom"/>
            <w:hideMark/>
          </w:tcPr>
          <w:p w:rsidR="006F4E2D" w:rsidRPr="00D40632" w:rsidRDefault="006F4E2D" w:rsidP="00AA4604">
            <w:pPr>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Sport Infrastructure Support</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(540)</w:t>
            </w:r>
          </w:p>
        </w:tc>
        <w:tc>
          <w:tcPr>
            <w:tcW w:w="924"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(118)</w:t>
            </w:r>
          </w:p>
        </w:tc>
        <w:tc>
          <w:tcPr>
            <w:tcW w:w="90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(422)</w:t>
            </w:r>
          </w:p>
        </w:tc>
        <w:tc>
          <w:tcPr>
            <w:tcW w:w="81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720" w:type="dxa"/>
            <w:tcBorders>
              <w:top w:val="nil"/>
              <w:left w:val="nil"/>
              <w:bottom w:val="single" w:sz="4" w:space="0" w:color="auto"/>
              <w:right w:val="nil"/>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rsidR="006F4E2D" w:rsidRPr="00D40632" w:rsidRDefault="006F4E2D" w:rsidP="00AA4604">
            <w:pPr>
              <w:jc w:val="right"/>
              <w:rPr>
                <w:rFonts w:ascii="Calibri" w:eastAsia="Times New Roman" w:hAnsi="Calibri" w:cs="Times New Roman"/>
                <w:color w:val="000000"/>
                <w:sz w:val="12"/>
                <w:szCs w:val="12"/>
              </w:rPr>
            </w:pPr>
            <w:r w:rsidRPr="00D40632">
              <w:rPr>
                <w:rFonts w:ascii="Calibri" w:eastAsia="Times New Roman" w:hAnsi="Calibri" w:cs="Times New Roman"/>
                <w:color w:val="000000"/>
                <w:sz w:val="12"/>
                <w:szCs w:val="12"/>
              </w:rPr>
              <w:t xml:space="preserve">                      - </w:t>
            </w:r>
          </w:p>
        </w:tc>
      </w:tr>
      <w:tr w:rsidR="001430F8" w:rsidRPr="00D40632" w:rsidTr="000D63F9">
        <w:trPr>
          <w:trHeight w:val="20"/>
        </w:trPr>
        <w:tc>
          <w:tcPr>
            <w:tcW w:w="48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0F8" w:rsidRPr="00D40632" w:rsidRDefault="001430F8" w:rsidP="001430F8">
            <w:pPr>
              <w:rPr>
                <w:rFonts w:ascii="Calibri" w:eastAsia="Times New Roman" w:hAnsi="Calibri" w:cs="Times New Roman"/>
                <w:b/>
                <w:bCs/>
                <w:color w:val="000000"/>
                <w:sz w:val="12"/>
                <w:szCs w:val="12"/>
              </w:rPr>
            </w:pPr>
            <w:r w:rsidRPr="00D40632">
              <w:rPr>
                <w:rFonts w:ascii="Calibri" w:eastAsia="Times New Roman" w:hAnsi="Calibri" w:cs="Times New Roman"/>
                <w:b/>
                <w:bCs/>
                <w:color w:val="000000"/>
                <w:sz w:val="12"/>
                <w:szCs w:val="12"/>
              </w:rPr>
              <w:t xml:space="preserve">Total </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1430F8" w:rsidRPr="00D40632" w:rsidRDefault="001430F8" w:rsidP="001430F8">
            <w:pPr>
              <w:jc w:val="right"/>
              <w:rPr>
                <w:rFonts w:ascii="Calibri" w:eastAsia="Times New Roman" w:hAnsi="Calibri" w:cs="Times New Roman"/>
                <w:b/>
                <w:bCs/>
                <w:color w:val="000000"/>
                <w:sz w:val="12"/>
                <w:szCs w:val="12"/>
              </w:rPr>
            </w:pPr>
            <w:r>
              <w:rPr>
                <w:rFonts w:ascii="Calibri" w:hAnsi="Calibri"/>
                <w:b/>
                <w:bCs/>
                <w:color w:val="000000"/>
                <w:sz w:val="12"/>
                <w:szCs w:val="12"/>
              </w:rPr>
              <w:t>0</w:t>
            </w:r>
          </w:p>
        </w:tc>
        <w:tc>
          <w:tcPr>
            <w:tcW w:w="924" w:type="dxa"/>
            <w:tcBorders>
              <w:top w:val="nil"/>
              <w:left w:val="nil"/>
              <w:bottom w:val="single" w:sz="4" w:space="0" w:color="auto"/>
              <w:right w:val="single" w:sz="4" w:space="0" w:color="auto"/>
            </w:tcBorders>
            <w:shd w:val="clear" w:color="auto" w:fill="auto"/>
            <w:noWrap/>
            <w:vAlign w:val="center"/>
            <w:hideMark/>
          </w:tcPr>
          <w:p w:rsidR="001430F8" w:rsidRPr="00D40632" w:rsidRDefault="001430F8" w:rsidP="001430F8">
            <w:pPr>
              <w:jc w:val="right"/>
              <w:rPr>
                <w:rFonts w:ascii="Calibri" w:eastAsia="Times New Roman" w:hAnsi="Calibri" w:cs="Times New Roman"/>
                <w:b/>
                <w:bCs/>
                <w:color w:val="000000"/>
                <w:sz w:val="12"/>
                <w:szCs w:val="12"/>
              </w:rPr>
            </w:pPr>
            <w:r>
              <w:rPr>
                <w:rFonts w:ascii="Calibri" w:hAnsi="Calibri"/>
                <w:b/>
                <w:bCs/>
                <w:color w:val="000000"/>
                <w:sz w:val="12"/>
                <w:szCs w:val="12"/>
              </w:rPr>
              <w:t xml:space="preserve">   (1,155,535)</w:t>
            </w:r>
          </w:p>
        </w:tc>
        <w:tc>
          <w:tcPr>
            <w:tcW w:w="900" w:type="dxa"/>
            <w:tcBorders>
              <w:top w:val="nil"/>
              <w:left w:val="nil"/>
              <w:bottom w:val="single" w:sz="4" w:space="0" w:color="auto"/>
              <w:right w:val="single" w:sz="4" w:space="0" w:color="auto"/>
            </w:tcBorders>
            <w:shd w:val="clear" w:color="auto" w:fill="auto"/>
            <w:noWrap/>
            <w:vAlign w:val="center"/>
            <w:hideMark/>
          </w:tcPr>
          <w:p w:rsidR="001430F8" w:rsidRPr="00D40632" w:rsidRDefault="001430F8" w:rsidP="001430F8">
            <w:pPr>
              <w:jc w:val="right"/>
              <w:rPr>
                <w:rFonts w:ascii="Calibri" w:eastAsia="Times New Roman" w:hAnsi="Calibri" w:cs="Times New Roman"/>
                <w:b/>
                <w:bCs/>
                <w:color w:val="000000"/>
                <w:sz w:val="12"/>
                <w:szCs w:val="12"/>
              </w:rPr>
            </w:pPr>
            <w:r>
              <w:rPr>
                <w:rFonts w:ascii="Calibri" w:hAnsi="Calibri"/>
                <w:b/>
                <w:bCs/>
                <w:color w:val="000000"/>
                <w:sz w:val="12"/>
                <w:szCs w:val="12"/>
              </w:rPr>
              <w:t xml:space="preserve">      (817,149)</w:t>
            </w:r>
          </w:p>
        </w:tc>
        <w:tc>
          <w:tcPr>
            <w:tcW w:w="810" w:type="dxa"/>
            <w:tcBorders>
              <w:top w:val="nil"/>
              <w:left w:val="nil"/>
              <w:bottom w:val="single" w:sz="4" w:space="0" w:color="auto"/>
              <w:right w:val="single" w:sz="4" w:space="0" w:color="auto"/>
            </w:tcBorders>
            <w:shd w:val="clear" w:color="auto" w:fill="auto"/>
            <w:noWrap/>
            <w:vAlign w:val="center"/>
            <w:hideMark/>
          </w:tcPr>
          <w:p w:rsidR="001430F8" w:rsidRPr="00D40632" w:rsidRDefault="00AF2163" w:rsidP="001430F8">
            <w:pPr>
              <w:jc w:val="right"/>
              <w:rPr>
                <w:rFonts w:ascii="Calibri" w:eastAsia="Times New Roman" w:hAnsi="Calibri" w:cs="Times New Roman"/>
                <w:b/>
                <w:bCs/>
                <w:color w:val="000000"/>
                <w:sz w:val="12"/>
                <w:szCs w:val="12"/>
              </w:rPr>
            </w:pPr>
            <w:r>
              <w:rPr>
                <w:rFonts w:ascii="Calibri" w:hAnsi="Calibri"/>
                <w:b/>
                <w:bCs/>
                <w:color w:val="000000"/>
                <w:sz w:val="12"/>
                <w:szCs w:val="12"/>
              </w:rPr>
              <w:t xml:space="preserve">   6,491,047</w:t>
            </w:r>
            <w:r w:rsidR="001430F8">
              <w:rPr>
                <w:rFonts w:ascii="Calibri" w:hAnsi="Calibri"/>
                <w:b/>
                <w:bCs/>
                <w:color w:val="000000"/>
                <w:sz w:val="12"/>
                <w:szCs w:val="1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1430F8" w:rsidRPr="00D40632" w:rsidRDefault="00AF2163" w:rsidP="001430F8">
            <w:pPr>
              <w:jc w:val="right"/>
              <w:rPr>
                <w:rFonts w:ascii="Calibri" w:eastAsia="Times New Roman" w:hAnsi="Calibri" w:cs="Times New Roman"/>
                <w:b/>
                <w:bCs/>
                <w:color w:val="000000"/>
                <w:sz w:val="12"/>
                <w:szCs w:val="12"/>
              </w:rPr>
            </w:pPr>
            <w:r>
              <w:rPr>
                <w:rFonts w:ascii="Calibri" w:hAnsi="Calibri"/>
                <w:b/>
                <w:bCs/>
                <w:color w:val="000000"/>
                <w:sz w:val="12"/>
                <w:szCs w:val="12"/>
              </w:rPr>
              <w:t>(18,330)</w:t>
            </w:r>
            <w:r w:rsidR="001430F8">
              <w:rPr>
                <w:rFonts w:ascii="Calibri" w:hAnsi="Calibri"/>
                <w:b/>
                <w:bCs/>
                <w:color w:val="000000"/>
                <w:sz w:val="12"/>
                <w:szCs w:val="1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430F8" w:rsidRPr="00D40632" w:rsidRDefault="001430F8" w:rsidP="001430F8">
            <w:pPr>
              <w:rPr>
                <w:rFonts w:ascii="Calibri" w:eastAsia="Times New Roman" w:hAnsi="Calibri" w:cs="Times New Roman"/>
                <w:b/>
                <w:bCs/>
                <w:color w:val="000000"/>
                <w:sz w:val="12"/>
                <w:szCs w:val="12"/>
              </w:rPr>
            </w:pPr>
            <w:r>
              <w:rPr>
                <w:rFonts w:ascii="Calibri" w:hAnsi="Calibri"/>
                <w:b/>
                <w:bCs/>
                <w:color w:val="000000"/>
                <w:sz w:val="12"/>
                <w:szCs w:val="12"/>
              </w:rPr>
              <w:t xml:space="preserve">    (4,500,033)</w:t>
            </w:r>
          </w:p>
        </w:tc>
      </w:tr>
    </w:tbl>
    <w:p w:rsidR="006F4E2D" w:rsidRDefault="006F4E2D" w:rsidP="006F4E2D"/>
    <w:p w:rsidR="001430F8" w:rsidRDefault="001430F8" w:rsidP="006F4E2D"/>
    <w:p w:rsidR="00594B6F" w:rsidRPr="001864E5" w:rsidRDefault="00594B6F" w:rsidP="001864E5">
      <w:pPr>
        <w:tabs>
          <w:tab w:val="left" w:pos="1880"/>
        </w:tabs>
        <w:rPr>
          <w:lang w:val="en-GB"/>
        </w:rPr>
      </w:pPr>
    </w:p>
    <w:sectPr w:rsidR="00594B6F" w:rsidRPr="001864E5" w:rsidSect="00AA460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83" w:rsidRDefault="004E7983" w:rsidP="009C6974">
      <w:r>
        <w:separator/>
      </w:r>
    </w:p>
  </w:endnote>
  <w:endnote w:type="continuationSeparator" w:id="0">
    <w:p w:rsidR="004E7983" w:rsidRDefault="004E7983" w:rsidP="009C6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utura XBlk BT">
    <w:altName w:val="Times New Roman"/>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BA" w:rsidRDefault="0050301A" w:rsidP="00AA4604">
    <w:pPr>
      <w:pStyle w:val="Footer"/>
      <w:framePr w:wrap="around" w:vAnchor="text" w:hAnchor="margin" w:xAlign="center" w:y="1"/>
      <w:rPr>
        <w:rStyle w:val="PageNumber"/>
      </w:rPr>
    </w:pPr>
    <w:r>
      <w:rPr>
        <w:rStyle w:val="PageNumber"/>
      </w:rPr>
      <w:fldChar w:fldCharType="begin"/>
    </w:r>
    <w:r w:rsidR="00E34DBA">
      <w:rPr>
        <w:rStyle w:val="PageNumber"/>
      </w:rPr>
      <w:instrText xml:space="preserve">PAGE  </w:instrText>
    </w:r>
    <w:r>
      <w:rPr>
        <w:rStyle w:val="PageNumber"/>
      </w:rPr>
      <w:fldChar w:fldCharType="end"/>
    </w:r>
  </w:p>
  <w:p w:rsidR="00E34DBA" w:rsidRDefault="00E34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BA" w:rsidRPr="0094102E" w:rsidRDefault="0050301A" w:rsidP="00AA4604">
    <w:pPr>
      <w:pStyle w:val="Footer"/>
      <w:framePr w:wrap="around" w:vAnchor="text" w:hAnchor="margin" w:xAlign="center" w:y="1"/>
      <w:rPr>
        <w:rStyle w:val="PageNumber"/>
      </w:rPr>
    </w:pPr>
    <w:r w:rsidRPr="0094102E">
      <w:rPr>
        <w:rStyle w:val="PageNumber"/>
      </w:rPr>
      <w:fldChar w:fldCharType="begin"/>
    </w:r>
    <w:r w:rsidR="00E34DBA" w:rsidRPr="0094102E">
      <w:rPr>
        <w:rStyle w:val="PageNumber"/>
      </w:rPr>
      <w:instrText xml:space="preserve">PAGE  </w:instrText>
    </w:r>
    <w:r w:rsidRPr="0094102E">
      <w:rPr>
        <w:rStyle w:val="PageNumber"/>
      </w:rPr>
      <w:fldChar w:fldCharType="separate"/>
    </w:r>
    <w:r w:rsidR="00DA34CD">
      <w:rPr>
        <w:rStyle w:val="PageNumber"/>
        <w:noProof/>
      </w:rPr>
      <w:t>1</w:t>
    </w:r>
    <w:r w:rsidRPr="0094102E">
      <w:rPr>
        <w:rStyle w:val="PageNumber"/>
      </w:rPr>
      <w:fldChar w:fldCharType="end"/>
    </w:r>
  </w:p>
  <w:p w:rsidR="00E34DBA" w:rsidRDefault="00E34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83" w:rsidRDefault="004E7983" w:rsidP="009C6974">
      <w:r>
        <w:separator/>
      </w:r>
    </w:p>
  </w:footnote>
  <w:footnote w:type="continuationSeparator" w:id="0">
    <w:p w:rsidR="004E7983" w:rsidRDefault="004E7983" w:rsidP="009C6974">
      <w:r>
        <w:continuationSeparator/>
      </w:r>
    </w:p>
  </w:footnote>
  <w:footnote w:id="1">
    <w:p w:rsidR="00E34DBA" w:rsidRDefault="00E34DBA" w:rsidP="006F4E2D">
      <w:pPr>
        <w:pStyle w:val="FootnoteText"/>
        <w:rPr>
          <w:sz w:val="16"/>
          <w:szCs w:val="16"/>
        </w:rPr>
      </w:pPr>
      <w:r>
        <w:rPr>
          <w:rStyle w:val="FootnoteReference"/>
        </w:rPr>
        <w:footnoteRef/>
      </w:r>
      <w:r>
        <w:t xml:space="preserve"> </w:t>
      </w:r>
      <w:r>
        <w:rPr>
          <w:sz w:val="16"/>
          <w:szCs w:val="16"/>
        </w:rPr>
        <w:t>Programme 4: National Disaster Management Centre exempt from freeze</w:t>
      </w:r>
    </w:p>
    <w:p w:rsidR="00E34DBA" w:rsidRDefault="00E34DBA" w:rsidP="006F4E2D">
      <w:pPr>
        <w:pStyle w:val="FootnoteText"/>
      </w:pPr>
      <w:r>
        <w:rPr>
          <w:sz w:val="16"/>
          <w:szCs w:val="16"/>
        </w:rPr>
        <w:t xml:space="preserve">   Programme 6: Community Work Programme exempt from freeze</w:t>
      </w:r>
      <w:r>
        <w:t xml:space="preserve">  </w:t>
      </w:r>
    </w:p>
  </w:footnote>
  <w:footnote w:id="2">
    <w:p w:rsidR="00E34DBA" w:rsidRDefault="00E34DBA" w:rsidP="006F4E2D">
      <w:pPr>
        <w:pStyle w:val="FootnoteText"/>
      </w:pPr>
      <w:r>
        <w:rPr>
          <w:rStyle w:val="FootnoteReference"/>
        </w:rPr>
        <w:footnoteRef/>
      </w:r>
      <w:r>
        <w:t xml:space="preserve"> </w:t>
      </w:r>
      <w:r>
        <w:rPr>
          <w:sz w:val="16"/>
          <w:szCs w:val="16"/>
        </w:rPr>
        <w:t>Programme 2: Citizens Affairs exempt from freeze</w:t>
      </w:r>
    </w:p>
  </w:footnote>
  <w:footnote w:id="3">
    <w:p w:rsidR="00E34DBA" w:rsidRDefault="00E34DBA" w:rsidP="005619AB">
      <w:pPr>
        <w:pStyle w:val="FootnoteText"/>
      </w:pPr>
      <w:r>
        <w:rPr>
          <w:rStyle w:val="FootnoteReference"/>
        </w:rPr>
        <w:footnoteRef/>
      </w:r>
      <w:r>
        <w:t xml:space="preserve"> </w:t>
      </w:r>
      <w:r>
        <w:rPr>
          <w:sz w:val="16"/>
          <w:szCs w:val="16"/>
        </w:rPr>
        <w:t>Programme 6, Sub-Programme 4: The entire budget for New Development Bank has been cut</w:t>
      </w:r>
    </w:p>
  </w:footnote>
  <w:footnote w:id="4">
    <w:p w:rsidR="00E34DBA" w:rsidRDefault="00E34DBA" w:rsidP="006F4E2D">
      <w:pPr>
        <w:pStyle w:val="FootnoteText"/>
      </w:pPr>
      <w:r>
        <w:rPr>
          <w:rStyle w:val="FootnoteReference"/>
        </w:rPr>
        <w:footnoteRef/>
      </w:r>
      <w:r>
        <w:t xml:space="preserve"> </w:t>
      </w:r>
      <w:r>
        <w:rPr>
          <w:sz w:val="16"/>
          <w:szCs w:val="16"/>
        </w:rPr>
        <w:t>Programme 3: Expanded Public Works Programme exempted from freeze</w:t>
      </w:r>
    </w:p>
  </w:footnote>
  <w:footnote w:id="5">
    <w:p w:rsidR="00E34DBA" w:rsidRDefault="00E34DBA">
      <w:pPr>
        <w:pStyle w:val="FootnoteText"/>
      </w:pPr>
      <w:r>
        <w:rPr>
          <w:rStyle w:val="FootnoteReference"/>
        </w:rPr>
        <w:footnoteRef/>
      </w:r>
      <w:r>
        <w:t xml:space="preserve"> </w:t>
      </w:r>
      <w:r w:rsidRPr="000C3DCF">
        <w:rPr>
          <w:sz w:val="16"/>
          <w:szCs w:val="16"/>
        </w:rPr>
        <w:t>Subject to the freeze and a cut to the VIP Jet</w:t>
      </w:r>
      <w:r>
        <w:rPr>
          <w:sz w:val="16"/>
          <w:szCs w:val="16"/>
        </w:rPr>
        <w:t xml:space="preserve"> in the Special Defence Account</w:t>
      </w:r>
    </w:p>
  </w:footnote>
  <w:footnote w:id="6">
    <w:p w:rsidR="00E34DBA" w:rsidRDefault="00E34DBA" w:rsidP="006F4E2D">
      <w:pPr>
        <w:pStyle w:val="FootnoteText"/>
      </w:pPr>
      <w:r>
        <w:rPr>
          <w:rStyle w:val="FootnoteReference"/>
        </w:rPr>
        <w:footnoteRef/>
      </w:r>
      <w:r>
        <w:rPr>
          <w:sz w:val="16"/>
          <w:szCs w:val="16"/>
        </w:rPr>
        <w:t xml:space="preserve"> Programme 5; sub-programme 1:</w:t>
      </w:r>
      <w:r w:rsidRPr="00BB5FEB">
        <w:rPr>
          <w:sz w:val="16"/>
          <w:szCs w:val="16"/>
        </w:rPr>
        <w:t>VIP Protection Services</w:t>
      </w:r>
      <w:r>
        <w:rPr>
          <w:sz w:val="16"/>
          <w:szCs w:val="16"/>
        </w:rPr>
        <w:t xml:space="preserve"> Programme freeze (entire programme)</w:t>
      </w:r>
    </w:p>
  </w:footnote>
  <w:footnote w:id="7">
    <w:p w:rsidR="00E34DBA" w:rsidRDefault="00E34DBA" w:rsidP="006F4E2D">
      <w:pPr>
        <w:pStyle w:val="FootnoteText"/>
      </w:pPr>
      <w:r>
        <w:rPr>
          <w:rStyle w:val="FootnoteReference"/>
        </w:rPr>
        <w:footnoteRef/>
      </w:r>
      <w:r>
        <w:t xml:space="preserve"> </w:t>
      </w:r>
      <w:r>
        <w:rPr>
          <w:sz w:val="16"/>
          <w:szCs w:val="16"/>
        </w:rPr>
        <w:t xml:space="preserve">Programme 4: </w:t>
      </w:r>
      <w:r w:rsidRPr="003E32CC">
        <w:rPr>
          <w:sz w:val="16"/>
          <w:szCs w:val="16"/>
        </w:rPr>
        <w:t>Electrification and Energy Programme and Project Management</w:t>
      </w:r>
      <w:r>
        <w:rPr>
          <w:sz w:val="16"/>
          <w:szCs w:val="16"/>
        </w:rPr>
        <w:t xml:space="preserve"> exempt from freeze</w:t>
      </w:r>
    </w:p>
  </w:footnote>
  <w:footnote w:id="8">
    <w:p w:rsidR="00E34DBA" w:rsidRDefault="00E34DBA" w:rsidP="006F4E2D">
      <w:pPr>
        <w:pStyle w:val="FootnoteText"/>
      </w:pPr>
      <w:r>
        <w:rPr>
          <w:rStyle w:val="FootnoteReference"/>
        </w:rPr>
        <w:footnoteRef/>
      </w:r>
      <w:r>
        <w:t xml:space="preserve"> </w:t>
      </w:r>
      <w:r w:rsidRPr="003E32CC">
        <w:rPr>
          <w:sz w:val="16"/>
          <w:szCs w:val="16"/>
        </w:rPr>
        <w:t>Programme 2:</w:t>
      </w:r>
      <w:r>
        <w:t xml:space="preserve"> </w:t>
      </w:r>
      <w:r w:rsidRPr="00BB5FEB">
        <w:rPr>
          <w:sz w:val="16"/>
          <w:szCs w:val="16"/>
        </w:rPr>
        <w:t>Mine Heal</w:t>
      </w:r>
      <w:r>
        <w:rPr>
          <w:sz w:val="16"/>
          <w:szCs w:val="16"/>
        </w:rPr>
        <w:t>th and Safety programme exempt</w:t>
      </w:r>
      <w:r w:rsidRPr="00BB5FEB">
        <w:rPr>
          <w:sz w:val="16"/>
          <w:szCs w:val="16"/>
        </w:rPr>
        <w:t xml:space="preserve"> from freeze</w:t>
      </w:r>
      <w:r>
        <w:rPr>
          <w:rFonts w:ascii="Calibri" w:eastAsia="Times New Roman" w:hAnsi="Calibri" w:cs="Times New Roman"/>
          <w:color w:val="000000"/>
          <w:lang w:eastAsia="en-Z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BA" w:rsidRPr="00AF55F6" w:rsidRDefault="0050301A" w:rsidP="00002CDA">
    <w:pPr>
      <w:pStyle w:val="Header"/>
    </w:pPr>
    <w:r w:rsidRPr="0050301A">
      <w:rPr>
        <w:noProof/>
      </w:rPr>
      <w:pict>
        <v:shapetype id="_x0000_t202" coordsize="21600,21600" o:spt="202" path="m,l,21600r21600,l21600,xe">
          <v:stroke joinstyle="miter"/>
          <v:path gradientshapeok="t" o:connecttype="rect"/>
        </v:shapetype>
        <v:shape id="Text Box 9" o:spid="_x0000_s4097" type="#_x0000_t202" style="position:absolute;margin-left:-52.05pt;margin-top:235.95pt;width:555pt;height:29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" filled="f" stroked="f">
          <v:textbox>
            <w:txbxContent>
              <w:p w:rsidR="00E34DBA" w:rsidRPr="00521F0F" w:rsidRDefault="00E34DBA" w:rsidP="00002CDA">
                <w:pPr>
                  <w:spacing w:after="200"/>
                  <w:jc w:val="center"/>
                  <w:rPr>
                    <w:rFonts w:ascii="Futura XBlk BT" w:hAnsi="Futura XBlk BT"/>
                    <w:sz w:val="96"/>
                  </w:rPr>
                </w:pPr>
                <w:r w:rsidRPr="00521F0F">
                  <w:rPr>
                    <w:rFonts w:ascii="Futura XBlk BT" w:hAnsi="Futura XBlk BT"/>
                    <w:sz w:val="96"/>
                  </w:rPr>
                  <w:t>Main Budget Proposals 2017</w:t>
                </w:r>
              </w:p>
              <w:p w:rsidR="00DF4D50" w:rsidRPr="00521F0F" w:rsidRDefault="00DF4D50" w:rsidP="00DF4D50">
                <w:pPr>
                  <w:jc w:val="center"/>
                  <w:rPr>
                    <w:b/>
                    <w:sz w:val="44"/>
                    <w:lang w:val="en-GB"/>
                  </w:rPr>
                </w:pPr>
              </w:p>
              <w:p w:rsidR="00DF4D50" w:rsidRPr="00521F0F" w:rsidRDefault="00DF4D50" w:rsidP="00DF4D50">
                <w:pPr>
                  <w:jc w:val="center"/>
                  <w:rPr>
                    <w:b/>
                    <w:sz w:val="44"/>
                    <w:lang w:val="en-GB"/>
                  </w:rPr>
                </w:pPr>
                <w:r w:rsidRPr="00521F0F">
                  <w:rPr>
                    <w:b/>
                    <w:sz w:val="44"/>
                    <w:lang w:val="en-GB"/>
                  </w:rPr>
                  <w:t>David Maynier MP, Shadow Minister of Finance</w:t>
                </w:r>
              </w:p>
              <w:p w:rsidR="00DF4D50" w:rsidRPr="00521F0F" w:rsidRDefault="00DF4D50" w:rsidP="00DF4D50">
                <w:pPr>
                  <w:jc w:val="center"/>
                  <w:rPr>
                    <w:b/>
                    <w:sz w:val="44"/>
                    <w:lang w:val="en-GB"/>
                  </w:rPr>
                </w:pPr>
                <w:r w:rsidRPr="00521F0F">
                  <w:rPr>
                    <w:b/>
                    <w:sz w:val="44"/>
                    <w:lang w:val="en-GB"/>
                  </w:rPr>
                  <w:t>&amp;</w:t>
                </w:r>
              </w:p>
              <w:p w:rsidR="00DF4D50" w:rsidRPr="00521F0F" w:rsidRDefault="00DF4D50" w:rsidP="00DF4D50">
                <w:pPr>
                  <w:jc w:val="center"/>
                  <w:rPr>
                    <w:b/>
                    <w:sz w:val="44"/>
                    <w:lang w:val="en-GB"/>
                  </w:rPr>
                </w:pPr>
                <w:r w:rsidRPr="00521F0F">
                  <w:rPr>
                    <w:b/>
                    <w:sz w:val="44"/>
                    <w:lang w:val="en-GB"/>
                  </w:rPr>
                  <w:t>Malcolm Figg MP, Shadow Minister of Appropriations</w:t>
                </w:r>
              </w:p>
              <w:p w:rsidR="00DF4D50" w:rsidRPr="00521F0F" w:rsidRDefault="00DF4D50" w:rsidP="00DF4D50">
                <w:pPr>
                  <w:jc w:val="center"/>
                  <w:rPr>
                    <w:b/>
                    <w:sz w:val="44"/>
                    <w:lang w:val="en-GB"/>
                  </w:rPr>
                </w:pPr>
                <w:r w:rsidRPr="00521F0F">
                  <w:rPr>
                    <w:b/>
                    <w:sz w:val="44"/>
                    <w:lang w:val="en-GB"/>
                  </w:rPr>
                  <w:t>&amp;</w:t>
                </w:r>
              </w:p>
              <w:p w:rsidR="00DF4D50" w:rsidRPr="00521F0F" w:rsidRDefault="00DF4D50" w:rsidP="00DF4D50">
                <w:pPr>
                  <w:jc w:val="center"/>
                  <w:rPr>
                    <w:b/>
                    <w:sz w:val="44"/>
                    <w:lang w:val="en-GB"/>
                  </w:rPr>
                </w:pPr>
                <w:r w:rsidRPr="00521F0F">
                  <w:rPr>
                    <w:b/>
                    <w:sz w:val="44"/>
                    <w:lang w:val="en-GB"/>
                  </w:rPr>
                  <w:t>Alf Lees MP, Deputy Shadow Finance Minister</w:t>
                </w:r>
              </w:p>
              <w:p w:rsidR="00E34DBA" w:rsidRPr="006B5C3C" w:rsidRDefault="00E34DBA" w:rsidP="006B5C3C">
                <w:pPr>
                  <w:spacing w:after="200"/>
                  <w:rPr>
                    <w:rFonts w:ascii="Futura XBlk BT" w:hAnsi="Futura XBlk BT"/>
                    <w:color w:val="FFFFFF" w:themeColor="background1"/>
                    <w:sz w:val="26"/>
                  </w:rPr>
                </w:pPr>
              </w:p>
              <w:p w:rsidR="00E34DBA" w:rsidRPr="00E34DBA" w:rsidRDefault="00E34DBA" w:rsidP="00E34DBA">
                <w:pPr>
                  <w:jc w:val="center"/>
                  <w:rPr>
                    <w:b/>
                    <w:color w:val="FFFFFF" w:themeColor="background1"/>
                    <w:sz w:val="44"/>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2D1D"/>
    <w:multiLevelType w:val="hybridMultilevel"/>
    <w:tmpl w:val="C13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D69DB"/>
    <w:multiLevelType w:val="hybridMultilevel"/>
    <w:tmpl w:val="786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E4D0E"/>
    <w:multiLevelType w:val="multilevel"/>
    <w:tmpl w:val="B1CA0F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C6974"/>
    <w:rsid w:val="00002CDA"/>
    <w:rsid w:val="00021FEB"/>
    <w:rsid w:val="00024291"/>
    <w:rsid w:val="00031F3B"/>
    <w:rsid w:val="00051553"/>
    <w:rsid w:val="000903EF"/>
    <w:rsid w:val="00092F44"/>
    <w:rsid w:val="000A0317"/>
    <w:rsid w:val="000A5C64"/>
    <w:rsid w:val="000B1BB6"/>
    <w:rsid w:val="000B6B1A"/>
    <w:rsid w:val="000C090A"/>
    <w:rsid w:val="000C3583"/>
    <w:rsid w:val="000C3DCF"/>
    <w:rsid w:val="000D63F9"/>
    <w:rsid w:val="000E7D06"/>
    <w:rsid w:val="000F45C9"/>
    <w:rsid w:val="00122769"/>
    <w:rsid w:val="001430F8"/>
    <w:rsid w:val="0014419F"/>
    <w:rsid w:val="001554B0"/>
    <w:rsid w:val="00172956"/>
    <w:rsid w:val="00183375"/>
    <w:rsid w:val="00185E27"/>
    <w:rsid w:val="001864E5"/>
    <w:rsid w:val="001957DF"/>
    <w:rsid w:val="001A3C6A"/>
    <w:rsid w:val="001B6C3E"/>
    <w:rsid w:val="001C0C0F"/>
    <w:rsid w:val="001C675E"/>
    <w:rsid w:val="001F2843"/>
    <w:rsid w:val="001F652C"/>
    <w:rsid w:val="00201303"/>
    <w:rsid w:val="00206FBA"/>
    <w:rsid w:val="002169FA"/>
    <w:rsid w:val="002320F0"/>
    <w:rsid w:val="00236022"/>
    <w:rsid w:val="00236B12"/>
    <w:rsid w:val="002474A2"/>
    <w:rsid w:val="00276A87"/>
    <w:rsid w:val="00281C19"/>
    <w:rsid w:val="00295B48"/>
    <w:rsid w:val="002A62A7"/>
    <w:rsid w:val="002E3883"/>
    <w:rsid w:val="002F0B71"/>
    <w:rsid w:val="00312E38"/>
    <w:rsid w:val="00320A94"/>
    <w:rsid w:val="00327D40"/>
    <w:rsid w:val="00352251"/>
    <w:rsid w:val="00362D0A"/>
    <w:rsid w:val="003B6E41"/>
    <w:rsid w:val="003D2E34"/>
    <w:rsid w:val="003F7B63"/>
    <w:rsid w:val="00401959"/>
    <w:rsid w:val="00443332"/>
    <w:rsid w:val="00471652"/>
    <w:rsid w:val="00481A25"/>
    <w:rsid w:val="004906C4"/>
    <w:rsid w:val="00491BFF"/>
    <w:rsid w:val="004B4FB7"/>
    <w:rsid w:val="004E5BAA"/>
    <w:rsid w:val="004E7983"/>
    <w:rsid w:val="004F2B90"/>
    <w:rsid w:val="0050301A"/>
    <w:rsid w:val="00521F0F"/>
    <w:rsid w:val="005244D9"/>
    <w:rsid w:val="00551BDE"/>
    <w:rsid w:val="00553F83"/>
    <w:rsid w:val="005613D7"/>
    <w:rsid w:val="005619AB"/>
    <w:rsid w:val="00572FCD"/>
    <w:rsid w:val="005801B8"/>
    <w:rsid w:val="00594B6F"/>
    <w:rsid w:val="005E4341"/>
    <w:rsid w:val="005F735E"/>
    <w:rsid w:val="00601939"/>
    <w:rsid w:val="00643162"/>
    <w:rsid w:val="00663368"/>
    <w:rsid w:val="00664713"/>
    <w:rsid w:val="00666571"/>
    <w:rsid w:val="00674AE5"/>
    <w:rsid w:val="0068389B"/>
    <w:rsid w:val="006B4523"/>
    <w:rsid w:val="006B5C3C"/>
    <w:rsid w:val="006B6B80"/>
    <w:rsid w:val="006C7ACE"/>
    <w:rsid w:val="006E0FF4"/>
    <w:rsid w:val="006E540B"/>
    <w:rsid w:val="006F4E2D"/>
    <w:rsid w:val="007170E1"/>
    <w:rsid w:val="00723007"/>
    <w:rsid w:val="00744D83"/>
    <w:rsid w:val="00762EA0"/>
    <w:rsid w:val="007817B7"/>
    <w:rsid w:val="007867CB"/>
    <w:rsid w:val="007A720E"/>
    <w:rsid w:val="007B26ED"/>
    <w:rsid w:val="007D5EDB"/>
    <w:rsid w:val="007D7B16"/>
    <w:rsid w:val="007E74D4"/>
    <w:rsid w:val="007F4C35"/>
    <w:rsid w:val="00812A81"/>
    <w:rsid w:val="00861DC4"/>
    <w:rsid w:val="008673AA"/>
    <w:rsid w:val="0088006B"/>
    <w:rsid w:val="008B1903"/>
    <w:rsid w:val="008D002F"/>
    <w:rsid w:val="008D374C"/>
    <w:rsid w:val="008F3A2D"/>
    <w:rsid w:val="00905F5B"/>
    <w:rsid w:val="00947FFC"/>
    <w:rsid w:val="00955166"/>
    <w:rsid w:val="009753BE"/>
    <w:rsid w:val="009A4967"/>
    <w:rsid w:val="009A53D2"/>
    <w:rsid w:val="009B23BD"/>
    <w:rsid w:val="009C2980"/>
    <w:rsid w:val="009C6974"/>
    <w:rsid w:val="009E6F2B"/>
    <w:rsid w:val="00A30455"/>
    <w:rsid w:val="00A45AB0"/>
    <w:rsid w:val="00A612FB"/>
    <w:rsid w:val="00A66746"/>
    <w:rsid w:val="00A93FF6"/>
    <w:rsid w:val="00AA4604"/>
    <w:rsid w:val="00AC6F80"/>
    <w:rsid w:val="00AD33FF"/>
    <w:rsid w:val="00AE1427"/>
    <w:rsid w:val="00AF2163"/>
    <w:rsid w:val="00AF73BE"/>
    <w:rsid w:val="00B123E1"/>
    <w:rsid w:val="00B14467"/>
    <w:rsid w:val="00B35692"/>
    <w:rsid w:val="00B57B1A"/>
    <w:rsid w:val="00B90AC2"/>
    <w:rsid w:val="00B910C9"/>
    <w:rsid w:val="00BA7B77"/>
    <w:rsid w:val="00BC2ABE"/>
    <w:rsid w:val="00BE7E04"/>
    <w:rsid w:val="00BF5F1E"/>
    <w:rsid w:val="00C06A8B"/>
    <w:rsid w:val="00C15444"/>
    <w:rsid w:val="00C17E9E"/>
    <w:rsid w:val="00C37786"/>
    <w:rsid w:val="00C41ED3"/>
    <w:rsid w:val="00C543AD"/>
    <w:rsid w:val="00C553B0"/>
    <w:rsid w:val="00C63508"/>
    <w:rsid w:val="00C753F5"/>
    <w:rsid w:val="00C80646"/>
    <w:rsid w:val="00C858A7"/>
    <w:rsid w:val="00C92D89"/>
    <w:rsid w:val="00C9711C"/>
    <w:rsid w:val="00CA781D"/>
    <w:rsid w:val="00CB1CE1"/>
    <w:rsid w:val="00D13515"/>
    <w:rsid w:val="00D231C6"/>
    <w:rsid w:val="00D264E5"/>
    <w:rsid w:val="00D270B9"/>
    <w:rsid w:val="00D418A6"/>
    <w:rsid w:val="00D50384"/>
    <w:rsid w:val="00D51376"/>
    <w:rsid w:val="00D532D7"/>
    <w:rsid w:val="00D56893"/>
    <w:rsid w:val="00D60384"/>
    <w:rsid w:val="00D66F7E"/>
    <w:rsid w:val="00D74519"/>
    <w:rsid w:val="00D84BBD"/>
    <w:rsid w:val="00DA34CD"/>
    <w:rsid w:val="00DC52EE"/>
    <w:rsid w:val="00DF4D50"/>
    <w:rsid w:val="00DF5650"/>
    <w:rsid w:val="00DF792B"/>
    <w:rsid w:val="00E2361A"/>
    <w:rsid w:val="00E34DBA"/>
    <w:rsid w:val="00E36CDF"/>
    <w:rsid w:val="00E567DC"/>
    <w:rsid w:val="00E62E11"/>
    <w:rsid w:val="00EB6CE8"/>
    <w:rsid w:val="00ED60E8"/>
    <w:rsid w:val="00EE099E"/>
    <w:rsid w:val="00EF4905"/>
    <w:rsid w:val="00EF50BB"/>
    <w:rsid w:val="00F04DC7"/>
    <w:rsid w:val="00F13816"/>
    <w:rsid w:val="00F2291F"/>
    <w:rsid w:val="00F27449"/>
    <w:rsid w:val="00F33A00"/>
    <w:rsid w:val="00F579A3"/>
    <w:rsid w:val="00F825F4"/>
    <w:rsid w:val="00F82A35"/>
    <w:rsid w:val="00FA01AA"/>
    <w:rsid w:val="00FA3AAC"/>
    <w:rsid w:val="00FD2243"/>
    <w:rsid w:val="00FD569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6F"/>
    <w:pPr>
      <w:spacing w:after="0" w:line="240" w:lineRule="auto"/>
    </w:pPr>
    <w:rPr>
      <w:sz w:val="24"/>
      <w:szCs w:val="24"/>
      <w:lang w:val="en-US"/>
    </w:rPr>
  </w:style>
  <w:style w:type="paragraph" w:styleId="Heading1">
    <w:name w:val="heading 1"/>
    <w:basedOn w:val="Normal"/>
    <w:next w:val="Normal"/>
    <w:link w:val="Heading1Char"/>
    <w:uiPriority w:val="9"/>
    <w:qFormat/>
    <w:rsid w:val="009C69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9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697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74"/>
    <w:rPr>
      <w:rFonts w:asciiTheme="majorHAnsi" w:eastAsiaTheme="majorEastAsia" w:hAnsiTheme="majorHAnsi" w:cstheme="majorBidi"/>
      <w:color w:val="2E74B5" w:themeColor="accent1" w:themeShade="BF"/>
      <w:sz w:val="32"/>
      <w:szCs w:val="32"/>
      <w:lang w:val="en-ZA"/>
    </w:rPr>
  </w:style>
  <w:style w:type="character" w:customStyle="1" w:styleId="Heading2Char">
    <w:name w:val="Heading 2 Char"/>
    <w:basedOn w:val="DefaultParagraphFont"/>
    <w:link w:val="Heading2"/>
    <w:uiPriority w:val="9"/>
    <w:rsid w:val="009C6974"/>
    <w:rPr>
      <w:rFonts w:asciiTheme="majorHAnsi" w:eastAsiaTheme="majorEastAsia" w:hAnsiTheme="majorHAnsi" w:cstheme="majorBidi"/>
      <w:color w:val="2E74B5" w:themeColor="accent1" w:themeShade="BF"/>
      <w:sz w:val="26"/>
      <w:szCs w:val="26"/>
      <w:lang w:val="en-ZA"/>
    </w:rPr>
  </w:style>
  <w:style w:type="character" w:customStyle="1" w:styleId="Heading3Char">
    <w:name w:val="Heading 3 Char"/>
    <w:basedOn w:val="DefaultParagraphFont"/>
    <w:link w:val="Heading3"/>
    <w:uiPriority w:val="9"/>
    <w:rsid w:val="009C6974"/>
    <w:rPr>
      <w:rFonts w:asciiTheme="majorHAnsi" w:eastAsiaTheme="majorEastAsia" w:hAnsiTheme="majorHAnsi" w:cstheme="majorBidi"/>
      <w:color w:val="1F4D78" w:themeColor="accent1" w:themeShade="7F"/>
      <w:sz w:val="24"/>
      <w:szCs w:val="24"/>
      <w:lang w:val="en-ZA"/>
    </w:rPr>
  </w:style>
  <w:style w:type="table" w:styleId="TableGrid">
    <w:name w:val="Table Grid"/>
    <w:basedOn w:val="TableNormal"/>
    <w:uiPriority w:val="59"/>
    <w:rsid w:val="009C6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974"/>
    <w:pPr>
      <w:ind w:left="720"/>
      <w:contextualSpacing/>
    </w:pPr>
  </w:style>
  <w:style w:type="paragraph" w:styleId="TOCHeading">
    <w:name w:val="TOC Heading"/>
    <w:basedOn w:val="Heading1"/>
    <w:next w:val="Normal"/>
    <w:uiPriority w:val="39"/>
    <w:unhideWhenUsed/>
    <w:qFormat/>
    <w:rsid w:val="009C6974"/>
    <w:pPr>
      <w:outlineLvl w:val="9"/>
    </w:pPr>
  </w:style>
  <w:style w:type="paragraph" w:styleId="TOC1">
    <w:name w:val="toc 1"/>
    <w:basedOn w:val="Normal"/>
    <w:next w:val="Normal"/>
    <w:autoRedefine/>
    <w:uiPriority w:val="39"/>
    <w:unhideWhenUsed/>
    <w:rsid w:val="009C6974"/>
    <w:pPr>
      <w:spacing w:after="100"/>
    </w:pPr>
  </w:style>
  <w:style w:type="paragraph" w:styleId="TOC2">
    <w:name w:val="toc 2"/>
    <w:basedOn w:val="Normal"/>
    <w:next w:val="Normal"/>
    <w:autoRedefine/>
    <w:uiPriority w:val="39"/>
    <w:unhideWhenUsed/>
    <w:rsid w:val="009C6974"/>
    <w:pPr>
      <w:spacing w:after="100"/>
      <w:ind w:left="220"/>
    </w:pPr>
  </w:style>
  <w:style w:type="character" w:styleId="Hyperlink">
    <w:name w:val="Hyperlink"/>
    <w:basedOn w:val="DefaultParagraphFont"/>
    <w:uiPriority w:val="99"/>
    <w:unhideWhenUsed/>
    <w:rsid w:val="009C6974"/>
    <w:rPr>
      <w:color w:val="0563C1" w:themeColor="hyperlink"/>
      <w:u w:val="single"/>
    </w:rPr>
  </w:style>
  <w:style w:type="paragraph" w:styleId="TOC3">
    <w:name w:val="toc 3"/>
    <w:basedOn w:val="Normal"/>
    <w:next w:val="Normal"/>
    <w:autoRedefine/>
    <w:uiPriority w:val="39"/>
    <w:unhideWhenUsed/>
    <w:rsid w:val="009C6974"/>
    <w:pPr>
      <w:spacing w:after="100"/>
      <w:ind w:left="440"/>
    </w:pPr>
  </w:style>
  <w:style w:type="paragraph" w:styleId="Header">
    <w:name w:val="header"/>
    <w:basedOn w:val="Normal"/>
    <w:link w:val="HeaderChar"/>
    <w:uiPriority w:val="99"/>
    <w:unhideWhenUsed/>
    <w:rsid w:val="009C6974"/>
    <w:pPr>
      <w:tabs>
        <w:tab w:val="center" w:pos="4513"/>
        <w:tab w:val="right" w:pos="9026"/>
      </w:tabs>
    </w:pPr>
  </w:style>
  <w:style w:type="character" w:customStyle="1" w:styleId="HeaderChar">
    <w:name w:val="Header Char"/>
    <w:basedOn w:val="DefaultParagraphFont"/>
    <w:link w:val="Header"/>
    <w:uiPriority w:val="99"/>
    <w:rsid w:val="009C6974"/>
    <w:rPr>
      <w:lang w:val="en-ZA"/>
    </w:rPr>
  </w:style>
  <w:style w:type="paragraph" w:styleId="Footer">
    <w:name w:val="footer"/>
    <w:basedOn w:val="Normal"/>
    <w:link w:val="FooterChar"/>
    <w:uiPriority w:val="99"/>
    <w:unhideWhenUsed/>
    <w:rsid w:val="009C6974"/>
    <w:pPr>
      <w:tabs>
        <w:tab w:val="center" w:pos="4513"/>
        <w:tab w:val="right" w:pos="9026"/>
      </w:tabs>
    </w:pPr>
  </w:style>
  <w:style w:type="character" w:customStyle="1" w:styleId="FooterChar">
    <w:name w:val="Footer Char"/>
    <w:basedOn w:val="DefaultParagraphFont"/>
    <w:link w:val="Footer"/>
    <w:uiPriority w:val="99"/>
    <w:rsid w:val="009C6974"/>
    <w:rPr>
      <w:lang w:val="en-ZA"/>
    </w:rPr>
  </w:style>
  <w:style w:type="character" w:styleId="CommentReference">
    <w:name w:val="annotation reference"/>
    <w:basedOn w:val="DefaultParagraphFont"/>
    <w:uiPriority w:val="99"/>
    <w:semiHidden/>
    <w:unhideWhenUsed/>
    <w:rsid w:val="00024291"/>
    <w:rPr>
      <w:sz w:val="16"/>
      <w:szCs w:val="16"/>
    </w:rPr>
  </w:style>
  <w:style w:type="paragraph" w:styleId="CommentText">
    <w:name w:val="annotation text"/>
    <w:basedOn w:val="Normal"/>
    <w:link w:val="CommentTextChar"/>
    <w:uiPriority w:val="99"/>
    <w:semiHidden/>
    <w:unhideWhenUsed/>
    <w:rsid w:val="00024291"/>
    <w:rPr>
      <w:sz w:val="20"/>
      <w:szCs w:val="20"/>
    </w:rPr>
  </w:style>
  <w:style w:type="character" w:customStyle="1" w:styleId="CommentTextChar">
    <w:name w:val="Comment Text Char"/>
    <w:basedOn w:val="DefaultParagraphFont"/>
    <w:link w:val="CommentText"/>
    <w:uiPriority w:val="99"/>
    <w:semiHidden/>
    <w:rsid w:val="00024291"/>
    <w:rPr>
      <w:sz w:val="20"/>
      <w:szCs w:val="20"/>
      <w:lang w:val="en-ZA"/>
    </w:rPr>
  </w:style>
  <w:style w:type="paragraph" w:styleId="CommentSubject">
    <w:name w:val="annotation subject"/>
    <w:basedOn w:val="CommentText"/>
    <w:next w:val="CommentText"/>
    <w:link w:val="CommentSubjectChar"/>
    <w:uiPriority w:val="99"/>
    <w:semiHidden/>
    <w:unhideWhenUsed/>
    <w:rsid w:val="00024291"/>
    <w:rPr>
      <w:b/>
      <w:bCs/>
    </w:rPr>
  </w:style>
  <w:style w:type="character" w:customStyle="1" w:styleId="CommentSubjectChar">
    <w:name w:val="Comment Subject Char"/>
    <w:basedOn w:val="CommentTextChar"/>
    <w:link w:val="CommentSubject"/>
    <w:uiPriority w:val="99"/>
    <w:semiHidden/>
    <w:rsid w:val="00024291"/>
    <w:rPr>
      <w:b/>
      <w:bCs/>
      <w:sz w:val="20"/>
      <w:szCs w:val="20"/>
      <w:lang w:val="en-ZA"/>
    </w:rPr>
  </w:style>
  <w:style w:type="paragraph" w:styleId="BalloonText">
    <w:name w:val="Balloon Text"/>
    <w:basedOn w:val="Normal"/>
    <w:link w:val="BalloonTextChar"/>
    <w:uiPriority w:val="99"/>
    <w:semiHidden/>
    <w:unhideWhenUsed/>
    <w:rsid w:val="00024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91"/>
    <w:rPr>
      <w:rFonts w:ascii="Segoe UI" w:hAnsi="Segoe UI" w:cs="Segoe UI"/>
      <w:sz w:val="18"/>
      <w:szCs w:val="18"/>
      <w:lang w:val="en-ZA"/>
    </w:rPr>
  </w:style>
  <w:style w:type="character" w:styleId="PageNumber">
    <w:name w:val="page number"/>
    <w:basedOn w:val="DefaultParagraphFont"/>
    <w:uiPriority w:val="99"/>
    <w:semiHidden/>
    <w:unhideWhenUsed/>
    <w:rsid w:val="00594B6F"/>
  </w:style>
  <w:style w:type="paragraph" w:styleId="FootnoteText">
    <w:name w:val="footnote text"/>
    <w:basedOn w:val="Normal"/>
    <w:link w:val="FootnoteTextChar"/>
    <w:uiPriority w:val="99"/>
    <w:semiHidden/>
    <w:unhideWhenUsed/>
    <w:rsid w:val="006F4E2D"/>
    <w:rPr>
      <w:rFonts w:eastAsiaTheme="minorEastAsia"/>
      <w:sz w:val="20"/>
      <w:szCs w:val="20"/>
    </w:rPr>
  </w:style>
  <w:style w:type="character" w:customStyle="1" w:styleId="FootnoteTextChar">
    <w:name w:val="Footnote Text Char"/>
    <w:basedOn w:val="DefaultParagraphFont"/>
    <w:link w:val="FootnoteText"/>
    <w:uiPriority w:val="99"/>
    <w:semiHidden/>
    <w:rsid w:val="006F4E2D"/>
    <w:rPr>
      <w:rFonts w:eastAsiaTheme="minorEastAsia"/>
      <w:sz w:val="20"/>
      <w:szCs w:val="20"/>
      <w:lang w:val="en-US"/>
    </w:rPr>
  </w:style>
  <w:style w:type="character" w:styleId="FootnoteReference">
    <w:name w:val="footnote reference"/>
    <w:basedOn w:val="DefaultParagraphFont"/>
    <w:uiPriority w:val="99"/>
    <w:semiHidden/>
    <w:unhideWhenUsed/>
    <w:rsid w:val="006F4E2D"/>
    <w:rPr>
      <w:vertAlign w:val="superscript"/>
    </w:rPr>
  </w:style>
  <w:style w:type="character" w:customStyle="1" w:styleId="Headerorfooter2">
    <w:name w:val="Header or footer (2)_"/>
    <w:basedOn w:val="DefaultParagraphFont"/>
    <w:link w:val="Headerorfooter20"/>
    <w:rsid w:val="006F4E2D"/>
    <w:rPr>
      <w:rFonts w:ascii="Calibri" w:eastAsia="Calibri" w:hAnsi="Calibri" w:cs="Calibri"/>
      <w:shd w:val="clear" w:color="auto" w:fill="FFFFFF"/>
    </w:rPr>
  </w:style>
  <w:style w:type="paragraph" w:customStyle="1" w:styleId="Headerorfooter20">
    <w:name w:val="Header or footer (2)"/>
    <w:basedOn w:val="Normal"/>
    <w:link w:val="Headerorfooter2"/>
    <w:rsid w:val="006F4E2D"/>
    <w:pPr>
      <w:widowControl w:val="0"/>
      <w:shd w:val="clear" w:color="auto" w:fill="FFFFFF"/>
      <w:spacing w:line="0" w:lineRule="atLeast"/>
    </w:pPr>
    <w:rPr>
      <w:rFonts w:ascii="Calibri" w:eastAsia="Calibri" w:hAnsi="Calibri" w:cs="Calibri"/>
      <w:sz w:val="22"/>
      <w:szCs w:val="22"/>
      <w:lang w:val="en-GB"/>
    </w:rPr>
  </w:style>
  <w:style w:type="character" w:customStyle="1" w:styleId="Bodytext9">
    <w:name w:val="Body text (9)_"/>
    <w:basedOn w:val="DefaultParagraphFont"/>
    <w:link w:val="Bodytext90"/>
    <w:rsid w:val="006F4E2D"/>
    <w:rPr>
      <w:rFonts w:ascii="Verdana" w:eastAsia="Verdana" w:hAnsi="Verdana" w:cs="Verdana"/>
      <w:i/>
      <w:iCs/>
      <w:shd w:val="clear" w:color="auto" w:fill="FFFFFF"/>
    </w:rPr>
  </w:style>
  <w:style w:type="paragraph" w:customStyle="1" w:styleId="Bodytext90">
    <w:name w:val="Body text (9)"/>
    <w:basedOn w:val="Normal"/>
    <w:link w:val="Bodytext9"/>
    <w:rsid w:val="006F4E2D"/>
    <w:pPr>
      <w:widowControl w:val="0"/>
      <w:shd w:val="clear" w:color="auto" w:fill="FFFFFF"/>
      <w:spacing w:line="581" w:lineRule="exact"/>
    </w:pPr>
    <w:rPr>
      <w:rFonts w:ascii="Verdana" w:eastAsia="Verdana" w:hAnsi="Verdana" w:cs="Verdana"/>
      <w:i/>
      <w:iCs/>
      <w:sz w:val="22"/>
      <w:szCs w:val="22"/>
      <w:lang w:val="en-GB"/>
    </w:rPr>
  </w:style>
  <w:style w:type="character" w:customStyle="1" w:styleId="Bodytext10">
    <w:name w:val="Body text (10)_"/>
    <w:basedOn w:val="DefaultParagraphFont"/>
    <w:link w:val="Bodytext100"/>
    <w:rsid w:val="006F4E2D"/>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6F4E2D"/>
    <w:pPr>
      <w:widowControl w:val="0"/>
      <w:shd w:val="clear" w:color="auto" w:fill="FFFFFF"/>
      <w:spacing w:before="600" w:after="2040" w:line="0" w:lineRule="atLeast"/>
      <w:jc w:val="center"/>
    </w:pPr>
    <w:rPr>
      <w:rFonts w:ascii="Times New Roman" w:eastAsia="Times New Roman" w:hAnsi="Times New Roman" w:cs="Times New Roman"/>
      <w:sz w:val="22"/>
      <w:szCs w:val="22"/>
      <w:lang w:val="en-GB"/>
    </w:rPr>
  </w:style>
  <w:style w:type="character" w:customStyle="1" w:styleId="Bodytext11">
    <w:name w:val="Body text (11)_"/>
    <w:basedOn w:val="DefaultParagraphFont"/>
    <w:link w:val="Bodytext110"/>
    <w:rsid w:val="006F4E2D"/>
    <w:rPr>
      <w:rFonts w:ascii="Times New Roman" w:eastAsia="Times New Roman" w:hAnsi="Times New Roman" w:cs="Times New Roman"/>
      <w:b/>
      <w:bCs/>
      <w:sz w:val="44"/>
      <w:szCs w:val="44"/>
      <w:shd w:val="clear" w:color="auto" w:fill="FFFFFF"/>
    </w:rPr>
  </w:style>
  <w:style w:type="paragraph" w:customStyle="1" w:styleId="Bodytext110">
    <w:name w:val="Body text (11)"/>
    <w:basedOn w:val="Normal"/>
    <w:link w:val="Bodytext11"/>
    <w:rsid w:val="006F4E2D"/>
    <w:pPr>
      <w:widowControl w:val="0"/>
      <w:shd w:val="clear" w:color="auto" w:fill="FFFFFF"/>
      <w:spacing w:before="2040" w:after="300" w:line="1013" w:lineRule="exact"/>
      <w:jc w:val="center"/>
    </w:pPr>
    <w:rPr>
      <w:rFonts w:ascii="Times New Roman" w:eastAsia="Times New Roman" w:hAnsi="Times New Roman" w:cs="Times New Roman"/>
      <w:b/>
      <w:bCs/>
      <w:sz w:val="44"/>
      <w:szCs w:val="44"/>
      <w:lang w:val="en-GB"/>
    </w:rPr>
  </w:style>
  <w:style w:type="character" w:customStyle="1" w:styleId="Bodytext12">
    <w:name w:val="Body text (12)_"/>
    <w:basedOn w:val="DefaultParagraphFont"/>
    <w:link w:val="Bodytext120"/>
    <w:rsid w:val="006F4E2D"/>
    <w:rPr>
      <w:rFonts w:ascii="Times New Roman" w:eastAsia="Times New Roman" w:hAnsi="Times New Roman" w:cs="Times New Roman"/>
      <w:b/>
      <w:bCs/>
      <w:sz w:val="32"/>
      <w:szCs w:val="32"/>
      <w:shd w:val="clear" w:color="auto" w:fill="FFFFFF"/>
    </w:rPr>
  </w:style>
  <w:style w:type="paragraph" w:customStyle="1" w:styleId="Bodytext120">
    <w:name w:val="Body text (12)"/>
    <w:basedOn w:val="Normal"/>
    <w:link w:val="Bodytext12"/>
    <w:rsid w:val="006F4E2D"/>
    <w:pPr>
      <w:widowControl w:val="0"/>
      <w:shd w:val="clear" w:color="auto" w:fill="FFFFFF"/>
      <w:spacing w:before="7560" w:line="0" w:lineRule="atLeast"/>
    </w:pPr>
    <w:rPr>
      <w:rFonts w:ascii="Times New Roman" w:eastAsia="Times New Roman" w:hAnsi="Times New Roman" w:cs="Times New Roman"/>
      <w:b/>
      <w:bCs/>
      <w:sz w:val="32"/>
      <w:szCs w:val="32"/>
      <w:lang w:val="en-GB"/>
    </w:rPr>
  </w:style>
  <w:style w:type="character" w:styleId="FollowedHyperlink">
    <w:name w:val="FollowedHyperlink"/>
    <w:basedOn w:val="DefaultParagraphFont"/>
    <w:uiPriority w:val="99"/>
    <w:semiHidden/>
    <w:unhideWhenUsed/>
    <w:rsid w:val="001430F8"/>
    <w:rPr>
      <w:color w:val="954F72"/>
      <w:u w:val="single"/>
    </w:rPr>
  </w:style>
  <w:style w:type="paragraph" w:customStyle="1" w:styleId="xl65">
    <w:name w:val="xl65"/>
    <w:basedOn w:val="Normal"/>
    <w:rsid w:val="001430F8"/>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66">
    <w:name w:val="xl66"/>
    <w:basedOn w:val="Normal"/>
    <w:rsid w:val="001430F8"/>
    <w:pPr>
      <w:pBdr>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67">
    <w:name w:val="xl67"/>
    <w:basedOn w:val="Normal"/>
    <w:rsid w:val="001430F8"/>
    <w:pPr>
      <w:pBdr>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1430F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69">
    <w:name w:val="xl69"/>
    <w:basedOn w:val="Normal"/>
    <w:rsid w:val="001430F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2"/>
      <w:szCs w:val="12"/>
    </w:rPr>
  </w:style>
  <w:style w:type="paragraph" w:customStyle="1" w:styleId="xl70">
    <w:name w:val="xl70"/>
    <w:basedOn w:val="Normal"/>
    <w:rsid w:val="001430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71">
    <w:name w:val="xl71"/>
    <w:basedOn w:val="Normal"/>
    <w:rsid w:val="001430F8"/>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72">
    <w:name w:val="xl72"/>
    <w:basedOn w:val="Normal"/>
    <w:rsid w:val="001430F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73">
    <w:name w:val="xl73"/>
    <w:basedOn w:val="Normal"/>
    <w:rsid w:val="001430F8"/>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74">
    <w:name w:val="xl74"/>
    <w:basedOn w:val="Normal"/>
    <w:rsid w:val="001430F8"/>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2"/>
      <w:szCs w:val="12"/>
    </w:rPr>
  </w:style>
  <w:style w:type="paragraph" w:customStyle="1" w:styleId="xl75">
    <w:name w:val="xl75"/>
    <w:basedOn w:val="Normal"/>
    <w:rsid w:val="001430F8"/>
    <w:pP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76">
    <w:name w:val="xl76"/>
    <w:basedOn w:val="Normal"/>
    <w:rsid w:val="001430F8"/>
    <w:pPr>
      <w:spacing w:before="100" w:beforeAutospacing="1" w:after="100" w:afterAutospacing="1"/>
      <w:textAlignment w:val="center"/>
    </w:pPr>
    <w:rPr>
      <w:rFonts w:ascii="Times New Roman" w:eastAsia="Times New Roman" w:hAnsi="Times New Roman" w:cs="Times New Roman"/>
      <w:color w:val="000000"/>
      <w:sz w:val="12"/>
      <w:szCs w:val="12"/>
    </w:rPr>
  </w:style>
  <w:style w:type="paragraph" w:customStyle="1" w:styleId="xl77">
    <w:name w:val="xl77"/>
    <w:basedOn w:val="Normal"/>
    <w:rsid w:val="001430F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2"/>
      <w:szCs w:val="12"/>
    </w:rPr>
  </w:style>
  <w:style w:type="paragraph" w:customStyle="1" w:styleId="xl78">
    <w:name w:val="xl78"/>
    <w:basedOn w:val="Normal"/>
    <w:rsid w:val="001430F8"/>
    <w:pPr>
      <w:pBdr>
        <w:bottom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79">
    <w:name w:val="xl79"/>
    <w:basedOn w:val="Normal"/>
    <w:rsid w:val="001430F8"/>
    <w:pPr>
      <w:pBdr>
        <w:bottom w:val="single" w:sz="8" w:space="0" w:color="auto"/>
      </w:pBdr>
      <w:spacing w:before="100" w:beforeAutospacing="1" w:after="100" w:afterAutospacing="1"/>
      <w:textAlignment w:val="center"/>
    </w:pPr>
    <w:rPr>
      <w:rFonts w:ascii="Times New Roman" w:eastAsia="Times New Roman" w:hAnsi="Times New Roman" w:cs="Times New Roman"/>
      <w:color w:val="000000"/>
      <w:sz w:val="12"/>
      <w:szCs w:val="12"/>
    </w:rPr>
  </w:style>
  <w:style w:type="paragraph" w:customStyle="1" w:styleId="xl80">
    <w:name w:val="xl80"/>
    <w:basedOn w:val="Normal"/>
    <w:rsid w:val="001430F8"/>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81">
    <w:name w:val="xl81"/>
    <w:basedOn w:val="Normal"/>
    <w:rsid w:val="001430F8"/>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82">
    <w:name w:val="xl82"/>
    <w:basedOn w:val="Normal"/>
    <w:rsid w:val="001430F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83">
    <w:name w:val="xl83"/>
    <w:basedOn w:val="Normal"/>
    <w:rsid w:val="001430F8"/>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84">
    <w:name w:val="xl84"/>
    <w:basedOn w:val="Normal"/>
    <w:rsid w:val="001430F8"/>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85">
    <w:name w:val="xl85"/>
    <w:basedOn w:val="Normal"/>
    <w:rsid w:val="001430F8"/>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86">
    <w:name w:val="xl86"/>
    <w:basedOn w:val="Normal"/>
    <w:rsid w:val="001430F8"/>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87">
    <w:name w:val="xl87"/>
    <w:basedOn w:val="Normal"/>
    <w:rsid w:val="001430F8"/>
    <w:pPr>
      <w:pBdr>
        <w:lef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88">
    <w:name w:val="xl88"/>
    <w:basedOn w:val="Normal"/>
    <w:rsid w:val="001430F8"/>
    <w:pPr>
      <w:pBdr>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89">
    <w:name w:val="xl89"/>
    <w:basedOn w:val="Normal"/>
    <w:rsid w:val="001430F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rPr>
  </w:style>
  <w:style w:type="paragraph" w:customStyle="1" w:styleId="xl90">
    <w:name w:val="xl90"/>
    <w:basedOn w:val="Normal"/>
    <w:rsid w:val="001430F8"/>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color w:val="000000"/>
      <w:sz w:val="12"/>
      <w:szCs w:val="12"/>
    </w:rPr>
  </w:style>
  <w:style w:type="paragraph" w:customStyle="1" w:styleId="xl91">
    <w:name w:val="xl91"/>
    <w:basedOn w:val="Normal"/>
    <w:rsid w:val="001430F8"/>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2"/>
      <w:szCs w:val="12"/>
    </w:rPr>
  </w:style>
  <w:style w:type="paragraph" w:customStyle="1" w:styleId="xl92">
    <w:name w:val="xl92"/>
    <w:basedOn w:val="Normal"/>
    <w:rsid w:val="001430F8"/>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color w:val="000000"/>
      <w:sz w:val="12"/>
      <w:szCs w:val="12"/>
    </w:rPr>
  </w:style>
  <w:style w:type="paragraph" w:customStyle="1" w:styleId="xl93">
    <w:name w:val="xl93"/>
    <w:basedOn w:val="Normal"/>
    <w:rsid w:val="001430F8"/>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color w:val="000000"/>
      <w:sz w:val="12"/>
      <w:szCs w:val="12"/>
    </w:rPr>
  </w:style>
  <w:style w:type="paragraph" w:customStyle="1" w:styleId="xl94">
    <w:name w:val="xl94"/>
    <w:basedOn w:val="Normal"/>
    <w:rsid w:val="001430F8"/>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2"/>
      <w:szCs w:val="12"/>
    </w:rPr>
  </w:style>
  <w:style w:type="paragraph" w:customStyle="1" w:styleId="xl95">
    <w:name w:val="xl95"/>
    <w:basedOn w:val="Normal"/>
    <w:rsid w:val="001430F8"/>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96">
    <w:name w:val="xl96"/>
    <w:basedOn w:val="Normal"/>
    <w:rsid w:val="001430F8"/>
    <w:pP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97">
    <w:name w:val="xl97"/>
    <w:basedOn w:val="Normal"/>
    <w:rsid w:val="001430F8"/>
    <w:pPr>
      <w:pBdr>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98">
    <w:name w:val="xl98"/>
    <w:basedOn w:val="Normal"/>
    <w:rsid w:val="001430F8"/>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99">
    <w:name w:val="xl99"/>
    <w:basedOn w:val="Normal"/>
    <w:rsid w:val="001430F8"/>
    <w:pP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100">
    <w:name w:val="xl100"/>
    <w:basedOn w:val="Normal"/>
    <w:rsid w:val="001430F8"/>
    <w:pPr>
      <w:pBdr>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101">
    <w:name w:val="xl101"/>
    <w:basedOn w:val="Normal"/>
    <w:rsid w:val="001430F8"/>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102">
    <w:name w:val="xl102"/>
    <w:basedOn w:val="Normal"/>
    <w:rsid w:val="001430F8"/>
    <w:pPr>
      <w:pBdr>
        <w:bottom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103">
    <w:name w:val="xl103"/>
    <w:basedOn w:val="Normal"/>
    <w:rsid w:val="001430F8"/>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2"/>
      <w:szCs w:val="12"/>
    </w:rPr>
  </w:style>
  <w:style w:type="paragraph" w:customStyle="1" w:styleId="xl104">
    <w:name w:val="xl104"/>
    <w:basedOn w:val="Normal"/>
    <w:rsid w:val="001430F8"/>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105">
    <w:name w:val="xl105"/>
    <w:basedOn w:val="Normal"/>
    <w:rsid w:val="001430F8"/>
    <w:pPr>
      <w:pBdr>
        <w:top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106">
    <w:name w:val="xl106"/>
    <w:basedOn w:val="Normal"/>
    <w:rsid w:val="001430F8"/>
    <w:pPr>
      <w:pBdr>
        <w:top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107">
    <w:name w:val="xl107"/>
    <w:basedOn w:val="Normal"/>
    <w:rsid w:val="001430F8"/>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108">
    <w:name w:val="xl108"/>
    <w:basedOn w:val="Normal"/>
    <w:rsid w:val="001430F8"/>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 w:type="paragraph" w:customStyle="1" w:styleId="xl109">
    <w:name w:val="xl109"/>
    <w:basedOn w:val="Normal"/>
    <w:rsid w:val="001430F8"/>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color w:val="000000"/>
      <w:sz w:val="12"/>
      <w:szCs w:val="12"/>
    </w:rPr>
  </w:style>
</w:styles>
</file>

<file path=word/webSettings.xml><?xml version="1.0" encoding="utf-8"?>
<w:webSettings xmlns:r="http://schemas.openxmlformats.org/officeDocument/2006/relationships" xmlns:w="http://schemas.openxmlformats.org/wordprocessingml/2006/main">
  <w:divs>
    <w:div w:id="430931777">
      <w:bodyDiv w:val="1"/>
      <w:marLeft w:val="0"/>
      <w:marRight w:val="0"/>
      <w:marTop w:val="0"/>
      <w:marBottom w:val="0"/>
      <w:divBdr>
        <w:top w:val="none" w:sz="0" w:space="0" w:color="auto"/>
        <w:left w:val="none" w:sz="0" w:space="0" w:color="auto"/>
        <w:bottom w:val="none" w:sz="0" w:space="0" w:color="auto"/>
        <w:right w:val="none" w:sz="0" w:space="0" w:color="auto"/>
      </w:divBdr>
    </w:div>
    <w:div w:id="788234100">
      <w:bodyDiv w:val="1"/>
      <w:marLeft w:val="0"/>
      <w:marRight w:val="0"/>
      <w:marTop w:val="0"/>
      <w:marBottom w:val="0"/>
      <w:divBdr>
        <w:top w:val="none" w:sz="0" w:space="0" w:color="auto"/>
        <w:left w:val="none" w:sz="0" w:space="0" w:color="auto"/>
        <w:bottom w:val="none" w:sz="0" w:space="0" w:color="auto"/>
        <w:right w:val="none" w:sz="0" w:space="0" w:color="auto"/>
      </w:divBdr>
    </w:div>
    <w:div w:id="1296062952">
      <w:bodyDiv w:val="1"/>
      <w:marLeft w:val="0"/>
      <w:marRight w:val="0"/>
      <w:marTop w:val="0"/>
      <w:marBottom w:val="0"/>
      <w:divBdr>
        <w:top w:val="none" w:sz="0" w:space="0" w:color="auto"/>
        <w:left w:val="none" w:sz="0" w:space="0" w:color="auto"/>
        <w:bottom w:val="none" w:sz="0" w:space="0" w:color="auto"/>
        <w:right w:val="none" w:sz="0" w:space="0" w:color="auto"/>
      </w:divBdr>
    </w:div>
    <w:div w:id="1688173617">
      <w:bodyDiv w:val="1"/>
      <w:marLeft w:val="0"/>
      <w:marRight w:val="0"/>
      <w:marTop w:val="0"/>
      <w:marBottom w:val="0"/>
      <w:divBdr>
        <w:top w:val="none" w:sz="0" w:space="0" w:color="auto"/>
        <w:left w:val="none" w:sz="0" w:space="0" w:color="auto"/>
        <w:bottom w:val="none" w:sz="0" w:space="0" w:color="auto"/>
        <w:right w:val="none" w:sz="0" w:space="0" w:color="auto"/>
      </w:divBdr>
    </w:div>
    <w:div w:id="1922568972">
      <w:bodyDiv w:val="1"/>
      <w:marLeft w:val="0"/>
      <w:marRight w:val="0"/>
      <w:marTop w:val="0"/>
      <w:marBottom w:val="0"/>
      <w:divBdr>
        <w:top w:val="none" w:sz="0" w:space="0" w:color="auto"/>
        <w:left w:val="none" w:sz="0" w:space="0" w:color="auto"/>
        <w:bottom w:val="none" w:sz="0" w:space="0" w:color="auto"/>
        <w:right w:val="none" w:sz="0" w:space="0" w:color="auto"/>
      </w:divBdr>
    </w:div>
    <w:div w:id="1986087420">
      <w:bodyDiv w:val="1"/>
      <w:marLeft w:val="0"/>
      <w:marRight w:val="0"/>
      <w:marTop w:val="0"/>
      <w:marBottom w:val="0"/>
      <w:divBdr>
        <w:top w:val="none" w:sz="0" w:space="0" w:color="auto"/>
        <w:left w:val="none" w:sz="0" w:space="0" w:color="auto"/>
        <w:bottom w:val="none" w:sz="0" w:space="0" w:color="auto"/>
        <w:right w:val="none" w:sz="0" w:space="0" w:color="auto"/>
      </w:divBdr>
    </w:div>
    <w:div w:id="2008704010">
      <w:bodyDiv w:val="1"/>
      <w:marLeft w:val="0"/>
      <w:marRight w:val="0"/>
      <w:marTop w:val="0"/>
      <w:marBottom w:val="0"/>
      <w:divBdr>
        <w:top w:val="none" w:sz="0" w:space="0" w:color="auto"/>
        <w:left w:val="none" w:sz="0" w:space="0" w:color="auto"/>
        <w:bottom w:val="none" w:sz="0" w:space="0" w:color="auto"/>
        <w:right w:val="none" w:sz="0" w:space="0" w:color="auto"/>
      </w:divBdr>
    </w:div>
    <w:div w:id="21347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0625-9ED8-4282-80DF-C1305801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7028</Words>
  <Characters>40063</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Alexander</dc:creator>
  <cp:lastModifiedBy>PUMZA</cp:lastModifiedBy>
  <cp:revision>2</cp:revision>
  <cp:lastPrinted>2017-05-29T12:36:00Z</cp:lastPrinted>
  <dcterms:created xsi:type="dcterms:W3CDTF">2017-06-02T09:38:00Z</dcterms:created>
  <dcterms:modified xsi:type="dcterms:W3CDTF">2017-06-02T09:38:00Z</dcterms:modified>
</cp:coreProperties>
</file>