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86" w:rsidRPr="0027083E" w:rsidRDefault="008C0A86" w:rsidP="00B02FE6">
      <w:pPr>
        <w:pStyle w:val="Default"/>
        <w:jc w:val="center"/>
        <w:rPr>
          <w:rFonts w:ascii="Times New Roman" w:hAnsi="Times New Roman" w:cs="Times New Roman"/>
          <w:b/>
          <w:bCs/>
          <w:sz w:val="40"/>
          <w:szCs w:val="32"/>
        </w:rPr>
      </w:pPr>
      <w:r w:rsidRPr="0027083E">
        <w:rPr>
          <w:noProof/>
          <w:lang w:val="en-ZA" w:eastAsia="en-ZA"/>
        </w:rPr>
        <w:drawing>
          <wp:inline distT="0" distB="0" distL="0" distR="0">
            <wp:extent cx="2201140" cy="7810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1140" cy="781050"/>
                    </a:xfrm>
                    <a:prstGeom prst="rect">
                      <a:avLst/>
                    </a:prstGeom>
                    <a:noFill/>
                    <a:ln>
                      <a:noFill/>
                    </a:ln>
                  </pic:spPr>
                </pic:pic>
              </a:graphicData>
            </a:graphic>
          </wp:inline>
        </w:drawing>
      </w:r>
    </w:p>
    <w:p w:rsidR="008C0A86" w:rsidRPr="0027083E" w:rsidRDefault="008C0A86" w:rsidP="00B02FE6">
      <w:pPr>
        <w:pStyle w:val="Default"/>
        <w:jc w:val="center"/>
        <w:rPr>
          <w:rFonts w:ascii="Times New Roman" w:hAnsi="Times New Roman" w:cs="Times New Roman"/>
          <w:b/>
          <w:bCs/>
          <w:sz w:val="40"/>
          <w:szCs w:val="32"/>
        </w:rPr>
      </w:pPr>
    </w:p>
    <w:p w:rsidR="00B02FE6" w:rsidRPr="0027083E" w:rsidRDefault="0095347B" w:rsidP="00B02FE6">
      <w:pPr>
        <w:pStyle w:val="Default"/>
        <w:jc w:val="center"/>
        <w:rPr>
          <w:rFonts w:asciiTheme="minorHAnsi" w:hAnsiTheme="minorHAnsi" w:cs="Times New Roman"/>
          <w:sz w:val="32"/>
          <w:szCs w:val="32"/>
        </w:rPr>
      </w:pPr>
      <w:r w:rsidRPr="0027083E">
        <w:rPr>
          <w:rFonts w:asciiTheme="minorHAnsi" w:hAnsiTheme="minorHAnsi" w:cs="Times New Roman"/>
          <w:b/>
          <w:bCs/>
          <w:sz w:val="40"/>
          <w:szCs w:val="32"/>
        </w:rPr>
        <w:t>TRANSFORMATION OF THE FINANCIAL SECTOR</w:t>
      </w:r>
    </w:p>
    <w:p w:rsidR="00B02FE6" w:rsidRPr="0027083E" w:rsidRDefault="00B02FE6" w:rsidP="00B02FE6">
      <w:pPr>
        <w:pStyle w:val="Default"/>
        <w:jc w:val="center"/>
        <w:rPr>
          <w:rFonts w:asciiTheme="minorHAnsi" w:hAnsiTheme="minorHAnsi" w:cs="Times New Roman"/>
          <w:sz w:val="32"/>
          <w:szCs w:val="32"/>
        </w:rPr>
      </w:pPr>
    </w:p>
    <w:p w:rsidR="00B02FE6" w:rsidRPr="0027083E" w:rsidRDefault="00B02FE6" w:rsidP="00B02FE6">
      <w:pPr>
        <w:pStyle w:val="Default"/>
        <w:jc w:val="center"/>
        <w:rPr>
          <w:rFonts w:asciiTheme="minorHAnsi" w:hAnsiTheme="minorHAnsi" w:cs="Times New Roman"/>
          <w:sz w:val="36"/>
          <w:szCs w:val="32"/>
        </w:rPr>
      </w:pPr>
    </w:p>
    <w:p w:rsidR="00B02FE6" w:rsidRPr="0027083E" w:rsidRDefault="00421E3B" w:rsidP="00B02FE6">
      <w:pPr>
        <w:pStyle w:val="Default"/>
        <w:jc w:val="center"/>
        <w:rPr>
          <w:rFonts w:asciiTheme="minorHAnsi" w:hAnsiTheme="minorHAnsi" w:cs="Times New Roman"/>
          <w:szCs w:val="23"/>
        </w:rPr>
      </w:pPr>
      <w:r>
        <w:rPr>
          <w:rFonts w:asciiTheme="minorHAnsi" w:hAnsiTheme="minorHAnsi" w:cs="Times New Roman"/>
          <w:b/>
          <w:bCs/>
          <w:szCs w:val="23"/>
        </w:rPr>
        <w:t>SUMMARY OF</w:t>
      </w:r>
      <w:r w:rsidR="00BB600F" w:rsidRPr="0027083E">
        <w:rPr>
          <w:rFonts w:asciiTheme="minorHAnsi" w:hAnsiTheme="minorHAnsi" w:cs="Times New Roman"/>
          <w:b/>
          <w:bCs/>
          <w:szCs w:val="23"/>
        </w:rPr>
        <w:t xml:space="preserve"> ISSUES RAISED DURING THE PUBLIC </w:t>
      </w:r>
      <w:r w:rsidR="0095347B" w:rsidRPr="0027083E">
        <w:rPr>
          <w:rFonts w:asciiTheme="minorHAnsi" w:hAnsiTheme="minorHAnsi" w:cs="Times New Roman"/>
          <w:b/>
          <w:bCs/>
          <w:szCs w:val="23"/>
        </w:rPr>
        <w:t xml:space="preserve">HEARINGS ON TRANSFORMATION OF THE FINANCIAL SECTOR </w:t>
      </w:r>
    </w:p>
    <w:p w:rsidR="002062C2" w:rsidRPr="0027083E" w:rsidRDefault="002062C2" w:rsidP="00B02FE6">
      <w:pPr>
        <w:pStyle w:val="Default"/>
        <w:jc w:val="center"/>
        <w:rPr>
          <w:rFonts w:asciiTheme="minorHAnsi" w:hAnsiTheme="minorHAnsi" w:cs="Times New Roman"/>
          <w:szCs w:val="23"/>
        </w:rPr>
      </w:pPr>
    </w:p>
    <w:p w:rsidR="000B1238" w:rsidRPr="0027083E" w:rsidRDefault="00205B6C" w:rsidP="00B02FE6">
      <w:pPr>
        <w:jc w:val="center"/>
        <w:rPr>
          <w:rFonts w:cs="Times New Roman"/>
          <w:b/>
          <w:bCs/>
          <w:sz w:val="24"/>
          <w:szCs w:val="23"/>
        </w:rPr>
      </w:pPr>
      <w:r w:rsidRPr="0027083E">
        <w:rPr>
          <w:rFonts w:cs="Times New Roman"/>
          <w:b/>
          <w:bCs/>
          <w:sz w:val="24"/>
          <w:szCs w:val="23"/>
        </w:rPr>
        <w:t>(</w:t>
      </w:r>
      <w:r w:rsidR="0095347B" w:rsidRPr="0027083E">
        <w:rPr>
          <w:rFonts w:cs="Times New Roman"/>
          <w:b/>
          <w:bCs/>
          <w:sz w:val="24"/>
          <w:szCs w:val="23"/>
        </w:rPr>
        <w:t>HEARINGS</w:t>
      </w:r>
      <w:r w:rsidR="00546B44" w:rsidRPr="0027083E">
        <w:rPr>
          <w:rFonts w:cs="Times New Roman"/>
          <w:b/>
          <w:bCs/>
          <w:sz w:val="24"/>
          <w:szCs w:val="23"/>
        </w:rPr>
        <w:t xml:space="preserve"> </w:t>
      </w:r>
      <w:r w:rsidR="0095347B" w:rsidRPr="0027083E">
        <w:rPr>
          <w:rFonts w:cs="Times New Roman"/>
          <w:b/>
          <w:bCs/>
          <w:sz w:val="24"/>
          <w:szCs w:val="23"/>
        </w:rPr>
        <w:t>HELD ON</w:t>
      </w:r>
      <w:r w:rsidRPr="0027083E">
        <w:rPr>
          <w:rFonts w:cs="Times New Roman"/>
          <w:b/>
          <w:bCs/>
          <w:sz w:val="24"/>
          <w:szCs w:val="23"/>
        </w:rPr>
        <w:t xml:space="preserve">: </w:t>
      </w:r>
      <w:r w:rsidR="0095347B" w:rsidRPr="0027083E">
        <w:rPr>
          <w:rFonts w:cs="Times New Roman"/>
          <w:b/>
          <w:bCs/>
          <w:sz w:val="24"/>
          <w:szCs w:val="23"/>
        </w:rPr>
        <w:t xml:space="preserve">14 MARCH </w:t>
      </w:r>
      <w:r w:rsidR="00B02FE6" w:rsidRPr="0027083E">
        <w:rPr>
          <w:rFonts w:cs="Times New Roman"/>
          <w:b/>
          <w:bCs/>
          <w:sz w:val="24"/>
          <w:szCs w:val="23"/>
        </w:rPr>
        <w:t>201</w:t>
      </w:r>
      <w:r w:rsidR="0095347B" w:rsidRPr="0027083E">
        <w:rPr>
          <w:rFonts w:cs="Times New Roman"/>
          <w:b/>
          <w:bCs/>
          <w:sz w:val="24"/>
          <w:szCs w:val="23"/>
        </w:rPr>
        <w:t>; 22 MARCH 2017; 3 MAY 2017</w:t>
      </w:r>
      <w:r w:rsidR="00BD5B13" w:rsidRPr="0027083E">
        <w:rPr>
          <w:rFonts w:cs="Times New Roman"/>
          <w:b/>
          <w:bCs/>
          <w:sz w:val="24"/>
          <w:szCs w:val="23"/>
        </w:rPr>
        <w:t>)</w:t>
      </w:r>
    </w:p>
    <w:p w:rsidR="00BB600F" w:rsidRPr="0027083E" w:rsidRDefault="00BB600F" w:rsidP="00B02FE6">
      <w:pPr>
        <w:jc w:val="center"/>
        <w:rPr>
          <w:rFonts w:cs="Times New Roman"/>
          <w:b/>
          <w:bCs/>
          <w:sz w:val="24"/>
          <w:szCs w:val="23"/>
        </w:rPr>
      </w:pPr>
    </w:p>
    <w:p w:rsidR="00BB600F" w:rsidRPr="0027083E" w:rsidRDefault="00BB600F" w:rsidP="00B02FE6">
      <w:pPr>
        <w:jc w:val="center"/>
        <w:rPr>
          <w:rFonts w:cs="Times New Roman"/>
          <w:b/>
          <w:bCs/>
          <w:sz w:val="28"/>
          <w:szCs w:val="23"/>
        </w:rPr>
      </w:pPr>
      <w:r w:rsidRPr="0027083E">
        <w:rPr>
          <w:rFonts w:cs="Times New Roman"/>
          <w:b/>
          <w:bCs/>
          <w:sz w:val="28"/>
          <w:szCs w:val="23"/>
        </w:rPr>
        <w:t>DRAFT FOR DISCUSSION PURPOSES ONLY</w:t>
      </w:r>
    </w:p>
    <w:p w:rsidR="00FE63BA" w:rsidRPr="0027083E" w:rsidRDefault="00277D04" w:rsidP="00B02FE6">
      <w:pPr>
        <w:jc w:val="center"/>
        <w:rPr>
          <w:rFonts w:cs="Times New Roman"/>
          <w:b/>
          <w:bCs/>
          <w:sz w:val="24"/>
          <w:szCs w:val="23"/>
        </w:rPr>
      </w:pPr>
      <w:r w:rsidRPr="00277D04">
        <w:rPr>
          <w:rFonts w:cs="Times New Roman"/>
          <w:b/>
          <w:bCs/>
          <w:noProof/>
          <w:sz w:val="24"/>
          <w:szCs w:val="23"/>
        </w:rPr>
        <w:pict>
          <v:line id="Straight Connector 6"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7.3pt" to="658.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" strokecolor="black [3213]" strokeweight="1.5pt">
            <o:lock v:ext="edit" shapetype="f"/>
          </v:line>
        </w:pict>
      </w:r>
    </w:p>
    <w:p w:rsidR="00FE63BA" w:rsidRPr="0027083E" w:rsidRDefault="00FE63BA" w:rsidP="00F40525">
      <w:pPr>
        <w:pStyle w:val="NoSpacing"/>
        <w:numPr>
          <w:ilvl w:val="0"/>
          <w:numId w:val="2"/>
        </w:numPr>
        <w:jc w:val="both"/>
        <w:rPr>
          <w:rFonts w:cs="Times New Roman"/>
        </w:rPr>
      </w:pPr>
      <w:r w:rsidRPr="0027083E">
        <w:rPr>
          <w:rFonts w:cs="Times New Roman"/>
        </w:rPr>
        <w:t xml:space="preserve">This document </w:t>
      </w:r>
      <w:r w:rsidR="002F4CD1">
        <w:rPr>
          <w:rFonts w:cs="Times New Roman"/>
        </w:rPr>
        <w:t>summarises</w:t>
      </w:r>
      <w:r w:rsidR="0095347B" w:rsidRPr="0027083E">
        <w:rPr>
          <w:rFonts w:cs="Times New Roman"/>
        </w:rPr>
        <w:t xml:space="preserve"> issues that were raised by stakeholders </w:t>
      </w:r>
      <w:r w:rsidR="00FB4210">
        <w:rPr>
          <w:rFonts w:cs="Times New Roman"/>
        </w:rPr>
        <w:t>(</w:t>
      </w:r>
      <w:r w:rsidR="0095347B" w:rsidRPr="0027083E">
        <w:rPr>
          <w:rFonts w:cs="Times New Roman"/>
        </w:rPr>
        <w:t>including individuals</w:t>
      </w:r>
      <w:r w:rsidR="00FB4210">
        <w:rPr>
          <w:rFonts w:cs="Times New Roman"/>
        </w:rPr>
        <w:t>)</w:t>
      </w:r>
      <w:r w:rsidR="0095347B" w:rsidRPr="0027083E">
        <w:rPr>
          <w:rFonts w:cs="Times New Roman"/>
        </w:rPr>
        <w:t xml:space="preserve"> during the public hearings on transformation of the financial sector. </w:t>
      </w:r>
      <w:r w:rsidR="00142063">
        <w:rPr>
          <w:rFonts w:cs="Times New Roman"/>
        </w:rPr>
        <w:t>The input reflects the views of the respective presenter and not necessarily</w:t>
      </w:r>
      <w:r w:rsidR="00AA2971">
        <w:rPr>
          <w:rFonts w:cs="Times New Roman"/>
        </w:rPr>
        <w:t xml:space="preserve"> those of National Treasury or G</w:t>
      </w:r>
      <w:bookmarkStart w:id="0" w:name="_GoBack"/>
      <w:bookmarkEnd w:id="0"/>
      <w:r w:rsidR="00142063">
        <w:rPr>
          <w:rFonts w:cs="Times New Roman"/>
        </w:rPr>
        <w:t xml:space="preserve">overnment. </w:t>
      </w:r>
    </w:p>
    <w:p w:rsidR="00FE63BA" w:rsidRPr="0027083E" w:rsidRDefault="00FE63BA" w:rsidP="00FE63BA">
      <w:pPr>
        <w:pStyle w:val="NoSpacing"/>
        <w:ind w:left="720"/>
        <w:jc w:val="both"/>
        <w:rPr>
          <w:rFonts w:cs="Times New Roman"/>
          <w:sz w:val="8"/>
        </w:rPr>
      </w:pPr>
    </w:p>
    <w:p w:rsidR="00FE63BA" w:rsidRPr="0027083E" w:rsidRDefault="00FE63BA" w:rsidP="00F40525">
      <w:pPr>
        <w:pStyle w:val="NoSpacing"/>
        <w:numPr>
          <w:ilvl w:val="0"/>
          <w:numId w:val="2"/>
        </w:numPr>
        <w:jc w:val="both"/>
        <w:rPr>
          <w:rFonts w:cs="Times New Roman"/>
        </w:rPr>
      </w:pPr>
      <w:r w:rsidRPr="0027083E">
        <w:rPr>
          <w:rFonts w:cs="Times New Roman"/>
        </w:rPr>
        <w:t>The document contains two sections:</w:t>
      </w:r>
    </w:p>
    <w:p w:rsidR="00FE63BA" w:rsidRPr="0027083E" w:rsidRDefault="00FE63BA" w:rsidP="00FE63BA">
      <w:pPr>
        <w:pStyle w:val="NoSpacing"/>
        <w:ind w:left="720"/>
        <w:jc w:val="both"/>
        <w:rPr>
          <w:rFonts w:cs="Times New Roman"/>
          <w:sz w:val="8"/>
        </w:rPr>
      </w:pPr>
    </w:p>
    <w:p w:rsidR="00FE63BA" w:rsidRPr="0027083E" w:rsidRDefault="00FE63BA" w:rsidP="00F40525">
      <w:pPr>
        <w:pStyle w:val="NoSpacing"/>
        <w:numPr>
          <w:ilvl w:val="0"/>
          <w:numId w:val="3"/>
        </w:numPr>
        <w:jc w:val="both"/>
        <w:rPr>
          <w:rFonts w:cs="Times New Roman"/>
        </w:rPr>
      </w:pPr>
      <w:r w:rsidRPr="0027083E">
        <w:rPr>
          <w:rFonts w:cs="Times New Roman"/>
        </w:rPr>
        <w:t>Section A outlines the major issues that were raised during the process, and National Treasury’s</w:t>
      </w:r>
      <w:r w:rsidR="00142063" w:rsidRPr="00142063">
        <w:rPr>
          <w:rFonts w:cs="Times New Roman"/>
        </w:rPr>
        <w:t xml:space="preserve"> </w:t>
      </w:r>
      <w:r w:rsidR="00142063" w:rsidRPr="0027083E">
        <w:rPr>
          <w:rFonts w:cs="Times New Roman"/>
        </w:rPr>
        <w:t>preliminary</w:t>
      </w:r>
      <w:r w:rsidRPr="0027083E">
        <w:rPr>
          <w:rFonts w:cs="Times New Roman"/>
        </w:rPr>
        <w:t xml:space="preserve"> response.</w:t>
      </w:r>
    </w:p>
    <w:p w:rsidR="00FE63BA" w:rsidRPr="00421E3B" w:rsidRDefault="00FE63BA" w:rsidP="00F40525">
      <w:pPr>
        <w:pStyle w:val="ListParagraph"/>
        <w:numPr>
          <w:ilvl w:val="0"/>
          <w:numId w:val="3"/>
        </w:numPr>
        <w:jc w:val="both"/>
        <w:rPr>
          <w:rFonts w:cs="Times New Roman"/>
          <w:b/>
          <w:bCs/>
          <w:sz w:val="24"/>
          <w:szCs w:val="23"/>
        </w:rPr>
      </w:pPr>
      <w:r w:rsidRPr="0027083E">
        <w:rPr>
          <w:rFonts w:cs="Times New Roman"/>
        </w:rPr>
        <w:t xml:space="preserve">Section B sets out in table form </w:t>
      </w:r>
      <w:r w:rsidR="00B60469" w:rsidRPr="0027083E">
        <w:rPr>
          <w:rFonts w:cs="Times New Roman"/>
        </w:rPr>
        <w:t>a summary</w:t>
      </w:r>
      <w:r w:rsidR="00546B44" w:rsidRPr="0027083E">
        <w:rPr>
          <w:rFonts w:cs="Times New Roman"/>
        </w:rPr>
        <w:t xml:space="preserve"> </w:t>
      </w:r>
      <w:r w:rsidR="00D07E98" w:rsidRPr="0027083E">
        <w:rPr>
          <w:rFonts w:cs="Times New Roman"/>
        </w:rPr>
        <w:t>of all submissions/presentations</w:t>
      </w:r>
      <w:r w:rsidR="00142063">
        <w:rPr>
          <w:rFonts w:cs="Times New Roman"/>
        </w:rPr>
        <w:t xml:space="preserve">. </w:t>
      </w:r>
      <w:r w:rsidR="00B60469" w:rsidRPr="0027083E">
        <w:rPr>
          <w:rFonts w:cs="Times New Roman"/>
        </w:rPr>
        <w:t>National Treasury’s response</w:t>
      </w:r>
      <w:r w:rsidR="00142063">
        <w:rPr>
          <w:rFonts w:cs="Times New Roman"/>
        </w:rPr>
        <w:t xml:space="preserve"> to</w:t>
      </w:r>
      <w:r w:rsidRPr="0027083E">
        <w:rPr>
          <w:rFonts w:cs="Times New Roman"/>
        </w:rPr>
        <w:t xml:space="preserve"> each </w:t>
      </w:r>
      <w:r w:rsidR="00142063">
        <w:rPr>
          <w:rFonts w:cs="Times New Roman"/>
        </w:rPr>
        <w:t>presentation will follow shortly</w:t>
      </w:r>
      <w:r w:rsidR="00B60469" w:rsidRPr="0027083E">
        <w:rPr>
          <w:rFonts w:cs="Times New Roman"/>
        </w:rPr>
        <w:t xml:space="preserve">. </w:t>
      </w:r>
    </w:p>
    <w:p w:rsidR="001E0958" w:rsidRPr="001E0958" w:rsidRDefault="00421E3B" w:rsidP="00D0311F">
      <w:pPr>
        <w:pStyle w:val="NoSpacing"/>
        <w:numPr>
          <w:ilvl w:val="0"/>
          <w:numId w:val="2"/>
        </w:numPr>
        <w:jc w:val="both"/>
        <w:rPr>
          <w:rFonts w:cs="Times New Roman"/>
        </w:rPr>
      </w:pPr>
      <w:r>
        <w:rPr>
          <w:rFonts w:cs="Times New Roman"/>
        </w:rPr>
        <w:t xml:space="preserve">It should be noted that several </w:t>
      </w:r>
      <w:r w:rsidR="00D0311F">
        <w:rPr>
          <w:rFonts w:cs="Times New Roman"/>
        </w:rPr>
        <w:t>submissions</w:t>
      </w:r>
      <w:r>
        <w:rPr>
          <w:rFonts w:cs="Times New Roman"/>
        </w:rPr>
        <w:t xml:space="preserve"> have not been included in this summary, as they were not available at the time of writing. Every effort will be made to include all submissions in the </w:t>
      </w:r>
      <w:r w:rsidR="00D0311F">
        <w:rPr>
          <w:rFonts w:cs="Times New Roman"/>
        </w:rPr>
        <w:t>follow up document in which National Treasury will respond.</w:t>
      </w:r>
      <w:r w:rsidR="00466C00">
        <w:rPr>
          <w:rFonts w:cs="Times New Roman"/>
        </w:rPr>
        <w:t xml:space="preserve">  These include</w:t>
      </w:r>
      <w:r w:rsidR="00431B1C">
        <w:rPr>
          <w:rFonts w:cs="Times New Roman"/>
        </w:rPr>
        <w:t xml:space="preserve"> the</w:t>
      </w:r>
      <w:r w:rsidR="00466C00">
        <w:rPr>
          <w:rFonts w:cs="Times New Roman"/>
        </w:rPr>
        <w:t xml:space="preserve"> submissions by </w:t>
      </w:r>
      <w:r w:rsidR="00466C00">
        <w:t xml:space="preserve">Black First Land First, CASISA, 27four Investment Managers </w:t>
      </w:r>
      <w:r w:rsidR="00431B1C">
        <w:t>and</w:t>
      </w:r>
      <w:r w:rsidR="00466C00">
        <w:t xml:space="preserve"> the policy proposals </w:t>
      </w:r>
      <w:r w:rsidR="00FB4210">
        <w:t>put forward by the EFF during the session held on the 24</w:t>
      </w:r>
      <w:r w:rsidR="00FB4210" w:rsidRPr="00FB4210">
        <w:rPr>
          <w:vertAlign w:val="superscript"/>
        </w:rPr>
        <w:t>th</w:t>
      </w:r>
      <w:r w:rsidR="00FB4210">
        <w:t xml:space="preserve"> of May</w:t>
      </w:r>
      <w:r w:rsidR="001E0958">
        <w:t>.</w:t>
      </w:r>
    </w:p>
    <w:p w:rsidR="005D47BC" w:rsidRPr="00421E3B" w:rsidRDefault="00466C00" w:rsidP="001E0958">
      <w:pPr>
        <w:pStyle w:val="NoSpacing"/>
        <w:ind w:left="720"/>
        <w:jc w:val="both"/>
        <w:rPr>
          <w:rFonts w:cs="Times New Roman"/>
        </w:rPr>
        <w:sectPr w:rsidR="005D47BC" w:rsidRPr="00421E3B" w:rsidSect="004024BA">
          <w:headerReference w:type="default" r:id="rId9"/>
          <w:footerReference w:type="default" r:id="rId10"/>
          <w:pgSz w:w="15840" w:h="12240" w:orient="landscape"/>
          <w:pgMar w:top="1440" w:right="1440" w:bottom="1440" w:left="990" w:header="720" w:footer="720" w:gutter="0"/>
          <w:pgBorders w:display="firstPage" w:offsetFrom="page">
            <w:top w:val="thinThickThinMediumGap" w:sz="24" w:space="24" w:color="943634" w:themeColor="accent2" w:themeShade="BF"/>
            <w:left w:val="thinThickThinMediumGap" w:sz="24" w:space="24" w:color="943634" w:themeColor="accent2" w:themeShade="BF"/>
            <w:bottom w:val="thinThickThinMediumGap" w:sz="24" w:space="24" w:color="943634" w:themeColor="accent2" w:themeShade="BF"/>
            <w:right w:val="thinThickThinMediumGap" w:sz="24" w:space="24" w:color="943634" w:themeColor="accent2" w:themeShade="BF"/>
          </w:pgBorders>
          <w:pgNumType w:start="0"/>
          <w:cols w:space="720"/>
          <w:titlePg/>
          <w:docGrid w:linePitch="360"/>
        </w:sectPr>
      </w:pPr>
      <w:r>
        <w:rPr>
          <w:rFonts w:cs="Times New Roman"/>
        </w:rPr>
        <w:t xml:space="preserve">  </w:t>
      </w:r>
    </w:p>
    <w:sdt>
      <w:sdtPr>
        <w:rPr>
          <w:rFonts w:asciiTheme="minorHAnsi" w:hAnsiTheme="minorHAnsi" w:cstheme="minorBidi"/>
          <w:b w:val="0"/>
          <w:sz w:val="22"/>
          <w:szCs w:val="22"/>
        </w:rPr>
        <w:id w:val="1221560551"/>
        <w:docPartObj>
          <w:docPartGallery w:val="Table of Contents"/>
          <w:docPartUnique/>
        </w:docPartObj>
      </w:sdtPr>
      <w:sdtEndPr>
        <w:rPr>
          <w:bCs/>
          <w:noProof/>
        </w:rPr>
      </w:sdtEndPr>
      <w:sdtContent>
        <w:p w:rsidR="005D47BC" w:rsidRPr="0027083E" w:rsidRDefault="00F05549" w:rsidP="002E59A9">
          <w:pPr>
            <w:pStyle w:val="TOCHeading"/>
            <w:rPr>
              <w:rStyle w:val="Heading1Char"/>
              <w:rFonts w:asciiTheme="minorHAnsi" w:hAnsiTheme="minorHAnsi"/>
              <w:b/>
            </w:rPr>
          </w:pPr>
          <w:r w:rsidRPr="0027083E">
            <w:rPr>
              <w:rStyle w:val="Heading1Char"/>
              <w:rFonts w:asciiTheme="minorHAnsi" w:hAnsiTheme="minorHAnsi"/>
              <w:b/>
            </w:rPr>
            <w:t>TABLE OF CONTENTS</w:t>
          </w:r>
        </w:p>
        <w:p w:rsidR="007267AD" w:rsidRPr="00983325" w:rsidRDefault="00277D04">
          <w:pPr>
            <w:pStyle w:val="TOC1"/>
            <w:rPr>
              <w:rFonts w:ascii="Calibri" w:eastAsiaTheme="minorEastAsia" w:hAnsi="Calibri" w:cstheme="minorBidi"/>
              <w:sz w:val="22"/>
            </w:rPr>
          </w:pPr>
          <w:r w:rsidRPr="00277D04">
            <w:rPr>
              <w:rFonts w:asciiTheme="minorHAnsi" w:hAnsiTheme="minorHAnsi"/>
              <w:b/>
              <w:sz w:val="20"/>
              <w:szCs w:val="20"/>
            </w:rPr>
            <w:fldChar w:fldCharType="begin"/>
          </w:r>
          <w:r w:rsidR="005D47BC" w:rsidRPr="0027083E">
            <w:rPr>
              <w:rFonts w:asciiTheme="minorHAnsi" w:hAnsiTheme="minorHAnsi"/>
              <w:b/>
              <w:sz w:val="20"/>
              <w:szCs w:val="20"/>
            </w:rPr>
            <w:instrText xml:space="preserve"> TOC \o "1-3" \h \z \u </w:instrText>
          </w:r>
          <w:r w:rsidRPr="00277D04">
            <w:rPr>
              <w:rFonts w:asciiTheme="minorHAnsi" w:hAnsiTheme="minorHAnsi"/>
              <w:b/>
              <w:sz w:val="20"/>
              <w:szCs w:val="20"/>
            </w:rPr>
            <w:fldChar w:fldCharType="separate"/>
          </w:r>
          <w:hyperlink w:anchor="_Toc483828796" w:history="1">
            <w:r w:rsidR="007267AD" w:rsidRPr="00983325">
              <w:rPr>
                <w:rStyle w:val="Hyperlink"/>
                <w:rFonts w:ascii="Calibri" w:hAnsi="Calibri"/>
                <w:sz w:val="22"/>
              </w:rPr>
              <w:t>LIST OF SUBMITTERS</w:t>
            </w:r>
            <w:r w:rsidR="007267AD" w:rsidRPr="00983325">
              <w:rPr>
                <w:rFonts w:ascii="Calibri" w:hAnsi="Calibri"/>
                <w:webHidden/>
                <w:sz w:val="22"/>
              </w:rPr>
              <w:tab/>
            </w:r>
            <w:r w:rsidRPr="00983325">
              <w:rPr>
                <w:rFonts w:ascii="Calibri" w:hAnsi="Calibri"/>
                <w:webHidden/>
                <w:sz w:val="22"/>
              </w:rPr>
              <w:fldChar w:fldCharType="begin"/>
            </w:r>
            <w:r w:rsidR="007267AD" w:rsidRPr="00983325">
              <w:rPr>
                <w:rFonts w:ascii="Calibri" w:hAnsi="Calibri"/>
                <w:webHidden/>
                <w:sz w:val="22"/>
              </w:rPr>
              <w:instrText xml:space="preserve"> PAGEREF _Toc483828796 \h </w:instrText>
            </w:r>
            <w:r w:rsidRPr="00983325">
              <w:rPr>
                <w:rFonts w:ascii="Calibri" w:hAnsi="Calibri"/>
                <w:webHidden/>
                <w:sz w:val="22"/>
              </w:rPr>
            </w:r>
            <w:r w:rsidRPr="00983325">
              <w:rPr>
                <w:rFonts w:ascii="Calibri" w:hAnsi="Calibri"/>
                <w:webHidden/>
                <w:sz w:val="22"/>
              </w:rPr>
              <w:fldChar w:fldCharType="separate"/>
            </w:r>
            <w:r w:rsidR="00B74391" w:rsidRPr="00983325">
              <w:rPr>
                <w:rFonts w:ascii="Calibri" w:hAnsi="Calibri"/>
                <w:webHidden/>
                <w:sz w:val="22"/>
              </w:rPr>
              <w:t>2</w:t>
            </w:r>
            <w:r w:rsidRPr="00983325">
              <w:rPr>
                <w:rFonts w:ascii="Calibri" w:hAnsi="Calibri"/>
                <w:webHidden/>
                <w:sz w:val="22"/>
              </w:rPr>
              <w:fldChar w:fldCharType="end"/>
            </w:r>
          </w:hyperlink>
        </w:p>
        <w:p w:rsidR="007267AD" w:rsidRPr="00983325" w:rsidRDefault="00277D04">
          <w:pPr>
            <w:pStyle w:val="TOC1"/>
            <w:rPr>
              <w:rFonts w:ascii="Calibri" w:eastAsiaTheme="minorEastAsia" w:hAnsi="Calibri" w:cstheme="minorBidi"/>
              <w:sz w:val="22"/>
            </w:rPr>
          </w:pPr>
          <w:hyperlink w:anchor="_Toc483828797" w:history="1">
            <w:r w:rsidR="007267AD" w:rsidRPr="00983325">
              <w:rPr>
                <w:rStyle w:val="Hyperlink"/>
                <w:rFonts w:ascii="Calibri" w:hAnsi="Calibri"/>
                <w:sz w:val="22"/>
              </w:rPr>
              <w:t>SECTION A: SUBSTANTIVE ISSUES RAISED</w:t>
            </w:r>
            <w:r w:rsidR="007267AD" w:rsidRPr="00983325">
              <w:rPr>
                <w:rFonts w:ascii="Calibri" w:hAnsi="Calibri"/>
                <w:webHidden/>
                <w:sz w:val="22"/>
              </w:rPr>
              <w:tab/>
            </w:r>
            <w:r w:rsidRPr="00983325">
              <w:rPr>
                <w:rFonts w:ascii="Calibri" w:hAnsi="Calibri"/>
                <w:webHidden/>
                <w:sz w:val="22"/>
              </w:rPr>
              <w:fldChar w:fldCharType="begin"/>
            </w:r>
            <w:r w:rsidR="007267AD" w:rsidRPr="00983325">
              <w:rPr>
                <w:rFonts w:ascii="Calibri" w:hAnsi="Calibri"/>
                <w:webHidden/>
                <w:sz w:val="22"/>
              </w:rPr>
              <w:instrText xml:space="preserve"> PAGEREF _Toc483828797 \h </w:instrText>
            </w:r>
            <w:r w:rsidRPr="00983325">
              <w:rPr>
                <w:rFonts w:ascii="Calibri" w:hAnsi="Calibri"/>
                <w:webHidden/>
                <w:sz w:val="22"/>
              </w:rPr>
            </w:r>
            <w:r w:rsidRPr="00983325">
              <w:rPr>
                <w:rFonts w:ascii="Calibri" w:hAnsi="Calibri"/>
                <w:webHidden/>
                <w:sz w:val="22"/>
              </w:rPr>
              <w:fldChar w:fldCharType="separate"/>
            </w:r>
            <w:r w:rsidR="00B74391" w:rsidRPr="00983325">
              <w:rPr>
                <w:rFonts w:ascii="Calibri" w:hAnsi="Calibri"/>
                <w:webHidden/>
                <w:sz w:val="22"/>
              </w:rPr>
              <w:t>5</w:t>
            </w:r>
            <w:r w:rsidRPr="00983325">
              <w:rPr>
                <w:rFonts w:ascii="Calibri" w:hAnsi="Calibri"/>
                <w:webHidden/>
                <w:sz w:val="22"/>
              </w:rPr>
              <w:fldChar w:fldCharType="end"/>
            </w:r>
          </w:hyperlink>
        </w:p>
        <w:p w:rsidR="007267AD" w:rsidRPr="00983325" w:rsidRDefault="00277D04">
          <w:pPr>
            <w:pStyle w:val="TOC2"/>
            <w:tabs>
              <w:tab w:val="left" w:pos="660"/>
              <w:tab w:val="right" w:leader="dot" w:pos="13400"/>
            </w:tabs>
            <w:rPr>
              <w:rFonts w:ascii="Calibri" w:eastAsiaTheme="minorEastAsia" w:hAnsi="Calibri"/>
              <w:noProof/>
            </w:rPr>
          </w:pPr>
          <w:hyperlink w:anchor="_Toc483828798" w:history="1">
            <w:r w:rsidR="007267AD" w:rsidRPr="00983325">
              <w:rPr>
                <w:rStyle w:val="Hyperlink"/>
                <w:rFonts w:ascii="Calibri" w:hAnsi="Calibri"/>
                <w:i/>
                <w:noProof/>
              </w:rPr>
              <w:t>a)</w:t>
            </w:r>
            <w:r w:rsidR="007267AD" w:rsidRPr="00983325">
              <w:rPr>
                <w:rFonts w:ascii="Calibri" w:eastAsiaTheme="minorEastAsia" w:hAnsi="Calibri"/>
                <w:noProof/>
              </w:rPr>
              <w:tab/>
            </w:r>
            <w:r w:rsidR="007267AD" w:rsidRPr="00983325">
              <w:rPr>
                <w:rStyle w:val="Hyperlink"/>
                <w:rFonts w:ascii="Calibri" w:hAnsi="Calibri"/>
                <w:i/>
                <w:noProof/>
              </w:rPr>
              <w:t>Financial Sector Codes (FSC)</w:t>
            </w:r>
            <w:r w:rsidR="007267AD" w:rsidRPr="00983325">
              <w:rPr>
                <w:rFonts w:ascii="Calibri" w:hAnsi="Calibri"/>
                <w:noProof/>
                <w:webHidden/>
              </w:rPr>
              <w:tab/>
            </w:r>
            <w:r w:rsidRPr="00983325">
              <w:rPr>
                <w:rFonts w:ascii="Calibri" w:hAnsi="Calibri"/>
                <w:noProof/>
                <w:webHidden/>
              </w:rPr>
              <w:fldChar w:fldCharType="begin"/>
            </w:r>
            <w:r w:rsidR="007267AD" w:rsidRPr="00983325">
              <w:rPr>
                <w:rFonts w:ascii="Calibri" w:hAnsi="Calibri"/>
                <w:noProof/>
                <w:webHidden/>
              </w:rPr>
              <w:instrText xml:space="preserve"> PAGEREF _Toc483828798 \h </w:instrText>
            </w:r>
            <w:r w:rsidRPr="00983325">
              <w:rPr>
                <w:rFonts w:ascii="Calibri" w:hAnsi="Calibri"/>
                <w:noProof/>
                <w:webHidden/>
              </w:rPr>
            </w:r>
            <w:r w:rsidRPr="00983325">
              <w:rPr>
                <w:rFonts w:ascii="Calibri" w:hAnsi="Calibri"/>
                <w:noProof/>
                <w:webHidden/>
              </w:rPr>
              <w:fldChar w:fldCharType="separate"/>
            </w:r>
            <w:r w:rsidR="00B74391" w:rsidRPr="00983325">
              <w:rPr>
                <w:rFonts w:ascii="Calibri" w:hAnsi="Calibri"/>
                <w:noProof/>
                <w:webHidden/>
              </w:rPr>
              <w:t>5</w:t>
            </w:r>
            <w:r w:rsidRPr="00983325">
              <w:rPr>
                <w:rFonts w:ascii="Calibri" w:hAnsi="Calibri"/>
                <w:noProof/>
                <w:webHidden/>
              </w:rPr>
              <w:fldChar w:fldCharType="end"/>
            </w:r>
          </w:hyperlink>
        </w:p>
        <w:p w:rsidR="007267AD" w:rsidRPr="00983325" w:rsidRDefault="00277D04">
          <w:pPr>
            <w:pStyle w:val="TOC2"/>
            <w:tabs>
              <w:tab w:val="left" w:pos="660"/>
              <w:tab w:val="right" w:leader="dot" w:pos="13400"/>
            </w:tabs>
            <w:rPr>
              <w:rFonts w:ascii="Calibri" w:eastAsiaTheme="minorEastAsia" w:hAnsi="Calibri"/>
              <w:noProof/>
            </w:rPr>
          </w:pPr>
          <w:hyperlink w:anchor="_Toc483828799" w:history="1">
            <w:r w:rsidR="007267AD" w:rsidRPr="00983325">
              <w:rPr>
                <w:rStyle w:val="Hyperlink"/>
                <w:rFonts w:ascii="Calibri" w:hAnsi="Calibri"/>
                <w:i/>
                <w:noProof/>
              </w:rPr>
              <w:t>b)</w:t>
            </w:r>
            <w:r w:rsidR="007267AD" w:rsidRPr="00983325">
              <w:rPr>
                <w:rFonts w:ascii="Calibri" w:eastAsiaTheme="minorEastAsia" w:hAnsi="Calibri"/>
                <w:noProof/>
              </w:rPr>
              <w:tab/>
            </w:r>
            <w:r w:rsidR="007267AD" w:rsidRPr="00983325">
              <w:rPr>
                <w:rStyle w:val="Hyperlink"/>
                <w:rFonts w:ascii="Calibri" w:hAnsi="Calibri"/>
                <w:i/>
                <w:noProof/>
              </w:rPr>
              <w:t>Lack of coherent data</w:t>
            </w:r>
            <w:r w:rsidR="007267AD" w:rsidRPr="00983325">
              <w:rPr>
                <w:rFonts w:ascii="Calibri" w:hAnsi="Calibri"/>
                <w:noProof/>
                <w:webHidden/>
              </w:rPr>
              <w:tab/>
            </w:r>
            <w:r w:rsidRPr="00983325">
              <w:rPr>
                <w:rFonts w:ascii="Calibri" w:hAnsi="Calibri"/>
                <w:noProof/>
                <w:webHidden/>
              </w:rPr>
              <w:fldChar w:fldCharType="begin"/>
            </w:r>
            <w:r w:rsidR="007267AD" w:rsidRPr="00983325">
              <w:rPr>
                <w:rFonts w:ascii="Calibri" w:hAnsi="Calibri"/>
                <w:noProof/>
                <w:webHidden/>
              </w:rPr>
              <w:instrText xml:space="preserve"> PAGEREF _Toc483828799 \h </w:instrText>
            </w:r>
            <w:r w:rsidRPr="00983325">
              <w:rPr>
                <w:rFonts w:ascii="Calibri" w:hAnsi="Calibri"/>
                <w:noProof/>
                <w:webHidden/>
              </w:rPr>
            </w:r>
            <w:r w:rsidRPr="00983325">
              <w:rPr>
                <w:rFonts w:ascii="Calibri" w:hAnsi="Calibri"/>
                <w:noProof/>
                <w:webHidden/>
              </w:rPr>
              <w:fldChar w:fldCharType="separate"/>
            </w:r>
            <w:r w:rsidR="00B74391" w:rsidRPr="00983325">
              <w:rPr>
                <w:rFonts w:ascii="Calibri" w:hAnsi="Calibri"/>
                <w:noProof/>
                <w:webHidden/>
              </w:rPr>
              <w:t>6</w:t>
            </w:r>
            <w:r w:rsidRPr="00983325">
              <w:rPr>
                <w:rFonts w:ascii="Calibri" w:hAnsi="Calibri"/>
                <w:noProof/>
                <w:webHidden/>
              </w:rPr>
              <w:fldChar w:fldCharType="end"/>
            </w:r>
          </w:hyperlink>
        </w:p>
        <w:p w:rsidR="007267AD" w:rsidRPr="00983325" w:rsidRDefault="00277D04">
          <w:pPr>
            <w:pStyle w:val="TOC2"/>
            <w:tabs>
              <w:tab w:val="left" w:pos="660"/>
              <w:tab w:val="right" w:leader="dot" w:pos="13400"/>
            </w:tabs>
            <w:rPr>
              <w:rFonts w:ascii="Calibri" w:eastAsiaTheme="minorEastAsia" w:hAnsi="Calibri"/>
              <w:noProof/>
            </w:rPr>
          </w:pPr>
          <w:hyperlink w:anchor="_Toc483828800" w:history="1">
            <w:r w:rsidR="007267AD" w:rsidRPr="00983325">
              <w:rPr>
                <w:rStyle w:val="Hyperlink"/>
                <w:rFonts w:ascii="Calibri" w:hAnsi="Calibri"/>
                <w:i/>
                <w:noProof/>
              </w:rPr>
              <w:t>c)</w:t>
            </w:r>
            <w:r w:rsidR="007267AD" w:rsidRPr="00983325">
              <w:rPr>
                <w:rFonts w:ascii="Calibri" w:eastAsiaTheme="minorEastAsia" w:hAnsi="Calibri"/>
                <w:noProof/>
              </w:rPr>
              <w:tab/>
            </w:r>
            <w:r w:rsidR="007267AD" w:rsidRPr="00983325">
              <w:rPr>
                <w:rStyle w:val="Hyperlink"/>
                <w:rFonts w:ascii="Calibri" w:hAnsi="Calibri"/>
                <w:i/>
                <w:noProof/>
              </w:rPr>
              <w:t>Need higher targets, industry performing poorly against current FSC targets</w:t>
            </w:r>
            <w:r w:rsidR="007267AD" w:rsidRPr="00983325">
              <w:rPr>
                <w:rFonts w:ascii="Calibri" w:hAnsi="Calibri"/>
                <w:noProof/>
                <w:webHidden/>
              </w:rPr>
              <w:tab/>
            </w:r>
            <w:r w:rsidRPr="00983325">
              <w:rPr>
                <w:rFonts w:ascii="Calibri" w:hAnsi="Calibri"/>
                <w:noProof/>
                <w:webHidden/>
              </w:rPr>
              <w:fldChar w:fldCharType="begin"/>
            </w:r>
            <w:r w:rsidR="007267AD" w:rsidRPr="00983325">
              <w:rPr>
                <w:rFonts w:ascii="Calibri" w:hAnsi="Calibri"/>
                <w:noProof/>
                <w:webHidden/>
              </w:rPr>
              <w:instrText xml:space="preserve"> PAGEREF _Toc483828800 \h </w:instrText>
            </w:r>
            <w:r w:rsidRPr="00983325">
              <w:rPr>
                <w:rFonts w:ascii="Calibri" w:hAnsi="Calibri"/>
                <w:noProof/>
                <w:webHidden/>
              </w:rPr>
            </w:r>
            <w:r w:rsidRPr="00983325">
              <w:rPr>
                <w:rFonts w:ascii="Calibri" w:hAnsi="Calibri"/>
                <w:noProof/>
                <w:webHidden/>
              </w:rPr>
              <w:fldChar w:fldCharType="separate"/>
            </w:r>
            <w:r w:rsidR="00B74391" w:rsidRPr="00983325">
              <w:rPr>
                <w:rFonts w:ascii="Calibri" w:hAnsi="Calibri"/>
                <w:noProof/>
                <w:webHidden/>
              </w:rPr>
              <w:t>6</w:t>
            </w:r>
            <w:r w:rsidRPr="00983325">
              <w:rPr>
                <w:rFonts w:ascii="Calibri" w:hAnsi="Calibri"/>
                <w:noProof/>
                <w:webHidden/>
              </w:rPr>
              <w:fldChar w:fldCharType="end"/>
            </w:r>
          </w:hyperlink>
        </w:p>
        <w:p w:rsidR="007267AD" w:rsidRPr="00983325" w:rsidRDefault="00277D04">
          <w:pPr>
            <w:pStyle w:val="TOC2"/>
            <w:tabs>
              <w:tab w:val="left" w:pos="660"/>
              <w:tab w:val="right" w:leader="dot" w:pos="13400"/>
            </w:tabs>
            <w:rPr>
              <w:rFonts w:ascii="Calibri" w:eastAsiaTheme="minorEastAsia" w:hAnsi="Calibri"/>
              <w:noProof/>
            </w:rPr>
          </w:pPr>
          <w:hyperlink w:anchor="_Toc483828801" w:history="1">
            <w:r w:rsidR="007267AD" w:rsidRPr="00983325">
              <w:rPr>
                <w:rStyle w:val="Hyperlink"/>
                <w:rFonts w:ascii="Calibri" w:hAnsi="Calibri"/>
                <w:i/>
                <w:noProof/>
              </w:rPr>
              <w:t>d)</w:t>
            </w:r>
            <w:r w:rsidR="007267AD" w:rsidRPr="00983325">
              <w:rPr>
                <w:rFonts w:ascii="Calibri" w:eastAsiaTheme="minorEastAsia" w:hAnsi="Calibri"/>
                <w:noProof/>
              </w:rPr>
              <w:tab/>
            </w:r>
            <w:r w:rsidR="007267AD" w:rsidRPr="00983325">
              <w:rPr>
                <w:rStyle w:val="Hyperlink"/>
                <w:rFonts w:ascii="Calibri" w:hAnsi="Calibri"/>
                <w:i/>
                <w:noProof/>
              </w:rPr>
              <w:t>Enterprise Development</w:t>
            </w:r>
            <w:r w:rsidR="007267AD" w:rsidRPr="00983325">
              <w:rPr>
                <w:rFonts w:ascii="Calibri" w:hAnsi="Calibri"/>
                <w:noProof/>
                <w:webHidden/>
              </w:rPr>
              <w:tab/>
            </w:r>
            <w:r w:rsidRPr="00983325">
              <w:rPr>
                <w:rFonts w:ascii="Calibri" w:hAnsi="Calibri"/>
                <w:noProof/>
                <w:webHidden/>
              </w:rPr>
              <w:fldChar w:fldCharType="begin"/>
            </w:r>
            <w:r w:rsidR="007267AD" w:rsidRPr="00983325">
              <w:rPr>
                <w:rFonts w:ascii="Calibri" w:hAnsi="Calibri"/>
                <w:noProof/>
                <w:webHidden/>
              </w:rPr>
              <w:instrText xml:space="preserve"> PAGEREF _Toc483828801 \h </w:instrText>
            </w:r>
            <w:r w:rsidRPr="00983325">
              <w:rPr>
                <w:rFonts w:ascii="Calibri" w:hAnsi="Calibri"/>
                <w:noProof/>
                <w:webHidden/>
              </w:rPr>
            </w:r>
            <w:r w:rsidRPr="00983325">
              <w:rPr>
                <w:rFonts w:ascii="Calibri" w:hAnsi="Calibri"/>
                <w:noProof/>
                <w:webHidden/>
              </w:rPr>
              <w:fldChar w:fldCharType="separate"/>
            </w:r>
            <w:r w:rsidR="00B74391" w:rsidRPr="00983325">
              <w:rPr>
                <w:rFonts w:ascii="Calibri" w:hAnsi="Calibri"/>
                <w:noProof/>
                <w:webHidden/>
              </w:rPr>
              <w:t>7</w:t>
            </w:r>
            <w:r w:rsidRPr="00983325">
              <w:rPr>
                <w:rFonts w:ascii="Calibri" w:hAnsi="Calibri"/>
                <w:noProof/>
                <w:webHidden/>
              </w:rPr>
              <w:fldChar w:fldCharType="end"/>
            </w:r>
          </w:hyperlink>
        </w:p>
        <w:p w:rsidR="007267AD" w:rsidRPr="00983325" w:rsidRDefault="00277D04">
          <w:pPr>
            <w:pStyle w:val="TOC2"/>
            <w:tabs>
              <w:tab w:val="left" w:pos="660"/>
              <w:tab w:val="right" w:leader="dot" w:pos="13400"/>
            </w:tabs>
            <w:rPr>
              <w:rFonts w:ascii="Calibri" w:eastAsiaTheme="minorEastAsia" w:hAnsi="Calibri"/>
              <w:noProof/>
            </w:rPr>
          </w:pPr>
          <w:hyperlink w:anchor="_Toc483828802" w:history="1">
            <w:r w:rsidR="007267AD" w:rsidRPr="00983325">
              <w:rPr>
                <w:rStyle w:val="Hyperlink"/>
                <w:rFonts w:ascii="Calibri" w:hAnsi="Calibri"/>
                <w:i/>
                <w:noProof/>
              </w:rPr>
              <w:t>e)</w:t>
            </w:r>
            <w:r w:rsidR="007267AD" w:rsidRPr="00983325">
              <w:rPr>
                <w:rFonts w:ascii="Calibri" w:eastAsiaTheme="minorEastAsia" w:hAnsi="Calibri"/>
                <w:noProof/>
              </w:rPr>
              <w:tab/>
            </w:r>
            <w:r w:rsidR="007267AD" w:rsidRPr="00983325">
              <w:rPr>
                <w:rStyle w:val="Hyperlink"/>
                <w:rFonts w:ascii="Calibri" w:hAnsi="Calibri"/>
                <w:i/>
                <w:noProof/>
              </w:rPr>
              <w:t>Conduct of financial institutions and financial inclusion</w:t>
            </w:r>
            <w:r w:rsidR="007267AD" w:rsidRPr="00983325">
              <w:rPr>
                <w:rFonts w:ascii="Calibri" w:hAnsi="Calibri"/>
                <w:noProof/>
                <w:webHidden/>
              </w:rPr>
              <w:tab/>
            </w:r>
            <w:r w:rsidRPr="00983325">
              <w:rPr>
                <w:rFonts w:ascii="Calibri" w:hAnsi="Calibri"/>
                <w:noProof/>
                <w:webHidden/>
              </w:rPr>
              <w:fldChar w:fldCharType="begin"/>
            </w:r>
            <w:r w:rsidR="007267AD" w:rsidRPr="00983325">
              <w:rPr>
                <w:rFonts w:ascii="Calibri" w:hAnsi="Calibri"/>
                <w:noProof/>
                <w:webHidden/>
              </w:rPr>
              <w:instrText xml:space="preserve"> PAGEREF _Toc483828802 \h </w:instrText>
            </w:r>
            <w:r w:rsidRPr="00983325">
              <w:rPr>
                <w:rFonts w:ascii="Calibri" w:hAnsi="Calibri"/>
                <w:noProof/>
                <w:webHidden/>
              </w:rPr>
            </w:r>
            <w:r w:rsidRPr="00983325">
              <w:rPr>
                <w:rFonts w:ascii="Calibri" w:hAnsi="Calibri"/>
                <w:noProof/>
                <w:webHidden/>
              </w:rPr>
              <w:fldChar w:fldCharType="separate"/>
            </w:r>
            <w:r w:rsidR="00B74391" w:rsidRPr="00983325">
              <w:rPr>
                <w:rFonts w:ascii="Calibri" w:hAnsi="Calibri"/>
                <w:noProof/>
                <w:webHidden/>
              </w:rPr>
              <w:t>8</w:t>
            </w:r>
            <w:r w:rsidRPr="00983325">
              <w:rPr>
                <w:rFonts w:ascii="Calibri" w:hAnsi="Calibri"/>
                <w:noProof/>
                <w:webHidden/>
              </w:rPr>
              <w:fldChar w:fldCharType="end"/>
            </w:r>
          </w:hyperlink>
        </w:p>
        <w:p w:rsidR="007267AD" w:rsidRDefault="00277D04">
          <w:pPr>
            <w:pStyle w:val="TOC1"/>
            <w:rPr>
              <w:rFonts w:asciiTheme="minorHAnsi" w:eastAsiaTheme="minorEastAsia" w:hAnsiTheme="minorHAnsi" w:cstheme="minorBidi"/>
              <w:sz w:val="22"/>
            </w:rPr>
          </w:pPr>
          <w:hyperlink w:anchor="_Toc483828803" w:history="1">
            <w:r w:rsidR="007267AD" w:rsidRPr="00983325">
              <w:rPr>
                <w:rStyle w:val="Hyperlink"/>
                <w:rFonts w:ascii="Calibri" w:hAnsi="Calibri"/>
                <w:sz w:val="22"/>
              </w:rPr>
              <w:t>SECTION B: SUMMARY OF SUBMISSIONS</w:t>
            </w:r>
            <w:r w:rsidR="007267AD" w:rsidRPr="00983325">
              <w:rPr>
                <w:rFonts w:ascii="Calibri" w:hAnsi="Calibri"/>
                <w:webHidden/>
                <w:sz w:val="22"/>
              </w:rPr>
              <w:tab/>
            </w:r>
            <w:r w:rsidRPr="00983325">
              <w:rPr>
                <w:rFonts w:ascii="Calibri" w:hAnsi="Calibri"/>
                <w:webHidden/>
                <w:sz w:val="22"/>
              </w:rPr>
              <w:fldChar w:fldCharType="begin"/>
            </w:r>
            <w:r w:rsidR="007267AD" w:rsidRPr="00983325">
              <w:rPr>
                <w:rFonts w:ascii="Calibri" w:hAnsi="Calibri"/>
                <w:webHidden/>
                <w:sz w:val="22"/>
              </w:rPr>
              <w:instrText xml:space="preserve"> PAGEREF _Toc483828803 \h </w:instrText>
            </w:r>
            <w:r w:rsidRPr="00983325">
              <w:rPr>
                <w:rFonts w:ascii="Calibri" w:hAnsi="Calibri"/>
                <w:webHidden/>
                <w:sz w:val="22"/>
              </w:rPr>
            </w:r>
            <w:r w:rsidRPr="00983325">
              <w:rPr>
                <w:rFonts w:ascii="Calibri" w:hAnsi="Calibri"/>
                <w:webHidden/>
                <w:sz w:val="22"/>
              </w:rPr>
              <w:fldChar w:fldCharType="separate"/>
            </w:r>
            <w:r w:rsidR="00B74391" w:rsidRPr="00983325">
              <w:rPr>
                <w:rFonts w:ascii="Calibri" w:hAnsi="Calibri"/>
                <w:webHidden/>
                <w:sz w:val="22"/>
              </w:rPr>
              <w:t>10</w:t>
            </w:r>
            <w:r w:rsidRPr="00983325">
              <w:rPr>
                <w:rFonts w:ascii="Calibri" w:hAnsi="Calibri"/>
                <w:webHidden/>
                <w:sz w:val="22"/>
              </w:rPr>
              <w:fldChar w:fldCharType="end"/>
            </w:r>
          </w:hyperlink>
        </w:p>
        <w:p w:rsidR="005D47BC" w:rsidRPr="0027083E" w:rsidRDefault="00277D04" w:rsidP="004F66E3">
          <w:pPr>
            <w:spacing w:line="240" w:lineRule="auto"/>
          </w:pPr>
          <w:r w:rsidRPr="0027083E">
            <w:rPr>
              <w:bCs/>
              <w:noProof/>
              <w:sz w:val="20"/>
              <w:szCs w:val="20"/>
            </w:rPr>
            <w:fldChar w:fldCharType="end"/>
          </w:r>
        </w:p>
      </w:sdtContent>
    </w:sdt>
    <w:p w:rsidR="00E437A7" w:rsidRPr="0027083E" w:rsidRDefault="00E437A7" w:rsidP="002E59A9">
      <w:pPr>
        <w:pStyle w:val="Heading1"/>
        <w:rPr>
          <w:rFonts w:asciiTheme="minorHAnsi" w:hAnsiTheme="minorHAnsi"/>
        </w:rPr>
      </w:pPr>
      <w:bookmarkStart w:id="1" w:name="_Toc414013001"/>
    </w:p>
    <w:p w:rsidR="00E437A7" w:rsidRPr="0027083E" w:rsidRDefault="00E437A7" w:rsidP="002E59A9">
      <w:pPr>
        <w:pStyle w:val="Heading1"/>
        <w:rPr>
          <w:rFonts w:asciiTheme="minorHAnsi" w:hAnsiTheme="minorHAnsi"/>
        </w:rPr>
      </w:pPr>
    </w:p>
    <w:p w:rsidR="00E437A7" w:rsidRPr="0027083E" w:rsidRDefault="00E437A7" w:rsidP="002E59A9">
      <w:pPr>
        <w:pStyle w:val="Heading1"/>
        <w:rPr>
          <w:rFonts w:asciiTheme="minorHAnsi" w:hAnsiTheme="minorHAnsi"/>
        </w:rPr>
      </w:pPr>
    </w:p>
    <w:p w:rsidR="00E437A7" w:rsidRPr="0027083E" w:rsidRDefault="00E437A7" w:rsidP="002E59A9">
      <w:pPr>
        <w:pStyle w:val="Heading1"/>
        <w:rPr>
          <w:rFonts w:asciiTheme="minorHAnsi" w:hAnsiTheme="minorHAnsi"/>
        </w:rPr>
      </w:pPr>
    </w:p>
    <w:p w:rsidR="00E437A7" w:rsidRPr="0027083E" w:rsidRDefault="00E437A7" w:rsidP="002E59A9">
      <w:pPr>
        <w:pStyle w:val="Heading1"/>
        <w:rPr>
          <w:rFonts w:asciiTheme="minorHAnsi" w:hAnsiTheme="minorHAnsi"/>
        </w:rPr>
      </w:pPr>
    </w:p>
    <w:p w:rsidR="00E437A7" w:rsidRPr="0027083E" w:rsidRDefault="00E437A7" w:rsidP="002E59A9">
      <w:pPr>
        <w:pStyle w:val="Heading1"/>
        <w:rPr>
          <w:rFonts w:asciiTheme="minorHAnsi" w:hAnsiTheme="minorHAnsi"/>
        </w:rPr>
      </w:pPr>
    </w:p>
    <w:p w:rsidR="00E437A7" w:rsidRPr="0027083E" w:rsidRDefault="00E437A7" w:rsidP="002E59A9">
      <w:pPr>
        <w:pStyle w:val="Heading1"/>
        <w:rPr>
          <w:rFonts w:asciiTheme="minorHAnsi" w:hAnsiTheme="minorHAnsi"/>
        </w:rPr>
      </w:pPr>
    </w:p>
    <w:p w:rsidR="00E437A7" w:rsidRPr="0027083E" w:rsidRDefault="00E437A7" w:rsidP="002E59A9">
      <w:pPr>
        <w:pStyle w:val="Heading1"/>
        <w:rPr>
          <w:rFonts w:asciiTheme="minorHAnsi" w:hAnsiTheme="minorHAnsi"/>
        </w:rPr>
      </w:pPr>
    </w:p>
    <w:p w:rsidR="00E437A7" w:rsidRPr="0027083E" w:rsidRDefault="00E437A7" w:rsidP="002E59A9">
      <w:pPr>
        <w:pStyle w:val="Heading1"/>
        <w:rPr>
          <w:rFonts w:asciiTheme="minorHAnsi" w:hAnsiTheme="minorHAnsi"/>
        </w:rPr>
      </w:pPr>
    </w:p>
    <w:p w:rsidR="00E437A7" w:rsidRPr="0027083E" w:rsidRDefault="00E437A7" w:rsidP="002E59A9">
      <w:pPr>
        <w:pStyle w:val="Heading1"/>
        <w:rPr>
          <w:rFonts w:asciiTheme="minorHAnsi" w:hAnsiTheme="minorHAnsi"/>
        </w:rPr>
      </w:pPr>
    </w:p>
    <w:p w:rsidR="00E437A7" w:rsidRPr="0027083E" w:rsidRDefault="00E437A7" w:rsidP="002E59A9">
      <w:pPr>
        <w:pStyle w:val="Heading1"/>
        <w:rPr>
          <w:rFonts w:asciiTheme="minorHAnsi" w:hAnsiTheme="minorHAnsi"/>
        </w:rPr>
      </w:pPr>
    </w:p>
    <w:p w:rsidR="00E437A7" w:rsidRPr="0027083E" w:rsidRDefault="00E437A7" w:rsidP="002E59A9">
      <w:pPr>
        <w:pStyle w:val="Heading1"/>
        <w:rPr>
          <w:rFonts w:asciiTheme="minorHAnsi" w:hAnsiTheme="minorHAnsi"/>
        </w:rPr>
      </w:pPr>
    </w:p>
    <w:p w:rsidR="009F28AD" w:rsidRPr="0027083E" w:rsidRDefault="00F32BD0" w:rsidP="00EE20C3">
      <w:pPr>
        <w:pStyle w:val="Heading1"/>
        <w:rPr>
          <w:rFonts w:asciiTheme="minorHAnsi" w:hAnsiTheme="minorHAnsi"/>
          <w:sz w:val="10"/>
        </w:rPr>
      </w:pPr>
      <w:bookmarkStart w:id="2" w:name="_Toc483828796"/>
      <w:r w:rsidRPr="0027083E">
        <w:rPr>
          <w:rFonts w:asciiTheme="minorHAnsi" w:hAnsiTheme="minorHAnsi"/>
        </w:rPr>
        <w:lastRenderedPageBreak/>
        <w:t xml:space="preserve">LIST OF </w:t>
      </w:r>
      <w:bookmarkEnd w:id="1"/>
      <w:r w:rsidR="00D07E98" w:rsidRPr="0027083E">
        <w:rPr>
          <w:rFonts w:asciiTheme="minorHAnsi" w:hAnsiTheme="minorHAnsi"/>
        </w:rPr>
        <w:t>SUBMITTERS</w:t>
      </w:r>
      <w:bookmarkEnd w:id="2"/>
    </w:p>
    <w:tbl>
      <w:tblPr>
        <w:tblStyle w:val="TableGrid"/>
        <w:tblW w:w="1431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182"/>
        <w:gridCol w:w="990"/>
        <w:gridCol w:w="5418"/>
      </w:tblGrid>
      <w:tr w:rsidR="00444572" w:rsidRPr="00CE54A9" w:rsidTr="00421E3B">
        <w:trPr>
          <w:trHeight w:val="477"/>
        </w:trPr>
        <w:tc>
          <w:tcPr>
            <w:tcW w:w="720" w:type="dxa"/>
            <w:shd w:val="clear" w:color="auto" w:fill="943634" w:themeFill="accent2" w:themeFillShade="BF"/>
            <w:vAlign w:val="center"/>
          </w:tcPr>
          <w:p w:rsidR="00444572" w:rsidRPr="00421E3B" w:rsidRDefault="00444572" w:rsidP="004D202C">
            <w:pPr>
              <w:pStyle w:val="NoSpacing"/>
              <w:rPr>
                <w:rFonts w:cs="Times New Roman"/>
                <w:b/>
                <w:color w:val="FFFFFF" w:themeColor="background1"/>
              </w:rPr>
            </w:pPr>
          </w:p>
        </w:tc>
        <w:tc>
          <w:tcPr>
            <w:tcW w:w="7182" w:type="dxa"/>
            <w:shd w:val="clear" w:color="auto" w:fill="943634" w:themeFill="accent2" w:themeFillShade="BF"/>
            <w:vAlign w:val="center"/>
          </w:tcPr>
          <w:p w:rsidR="00444572" w:rsidRPr="00CE54A9" w:rsidRDefault="00444572" w:rsidP="004D202C">
            <w:pPr>
              <w:pStyle w:val="NoSpacing"/>
              <w:rPr>
                <w:rFonts w:cs="Times New Roman"/>
                <w:b/>
                <w:color w:val="FFFFFF" w:themeColor="background1"/>
                <w:sz w:val="24"/>
                <w:szCs w:val="24"/>
              </w:rPr>
            </w:pPr>
            <w:r w:rsidRPr="00CE54A9">
              <w:rPr>
                <w:rFonts w:cs="Times New Roman"/>
                <w:b/>
                <w:color w:val="FFFFFF" w:themeColor="background1"/>
                <w:sz w:val="24"/>
                <w:szCs w:val="24"/>
              </w:rPr>
              <w:t>Agency/ Organisation</w:t>
            </w:r>
          </w:p>
        </w:tc>
        <w:tc>
          <w:tcPr>
            <w:tcW w:w="990" w:type="dxa"/>
            <w:shd w:val="clear" w:color="auto" w:fill="943634" w:themeFill="accent2" w:themeFillShade="BF"/>
            <w:vAlign w:val="center"/>
          </w:tcPr>
          <w:p w:rsidR="00444572" w:rsidRPr="00CE54A9" w:rsidRDefault="00444572" w:rsidP="004D202C">
            <w:pPr>
              <w:pStyle w:val="NoSpacing"/>
              <w:rPr>
                <w:rFonts w:cs="Times New Roman"/>
                <w:b/>
                <w:color w:val="FFFFFF" w:themeColor="background1"/>
                <w:sz w:val="24"/>
                <w:szCs w:val="24"/>
              </w:rPr>
            </w:pPr>
            <w:r w:rsidRPr="00CE54A9">
              <w:rPr>
                <w:rFonts w:cs="Times New Roman"/>
                <w:b/>
                <w:color w:val="FFFFFF" w:themeColor="background1"/>
                <w:sz w:val="24"/>
                <w:szCs w:val="24"/>
              </w:rPr>
              <w:t>Page</w:t>
            </w:r>
          </w:p>
        </w:tc>
        <w:tc>
          <w:tcPr>
            <w:tcW w:w="5418" w:type="dxa"/>
            <w:shd w:val="clear" w:color="auto" w:fill="943634" w:themeFill="accent2" w:themeFillShade="BF"/>
            <w:vAlign w:val="center"/>
          </w:tcPr>
          <w:p w:rsidR="00444572" w:rsidRPr="00CE54A9" w:rsidRDefault="00444572" w:rsidP="004D202C">
            <w:pPr>
              <w:pStyle w:val="NoSpacing"/>
              <w:rPr>
                <w:rFonts w:cs="Times New Roman"/>
                <w:b/>
                <w:color w:val="FFFFFF" w:themeColor="background1"/>
                <w:sz w:val="24"/>
                <w:szCs w:val="24"/>
              </w:rPr>
            </w:pPr>
            <w:r w:rsidRPr="00CE54A9">
              <w:rPr>
                <w:rFonts w:cs="Times New Roman"/>
                <w:b/>
                <w:color w:val="FFFFFF" w:themeColor="background1"/>
                <w:sz w:val="24"/>
                <w:szCs w:val="24"/>
              </w:rPr>
              <w:t>Category of submission</w:t>
            </w:r>
          </w:p>
        </w:tc>
      </w:tr>
      <w:tr w:rsidR="00421E3B"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21E3B" w:rsidRPr="00431B1C" w:rsidRDefault="00421E3B" w:rsidP="00CE54A9">
            <w:pPr>
              <w:pStyle w:val="NoSpacing"/>
            </w:pPr>
            <w:r w:rsidRPr="00431B1C">
              <w:t>1.</w:t>
            </w:r>
          </w:p>
        </w:tc>
        <w:tc>
          <w:tcPr>
            <w:tcW w:w="7182" w:type="dxa"/>
            <w:tcBorders>
              <w:top w:val="nil"/>
              <w:left w:val="nil"/>
              <w:bottom w:val="nil"/>
              <w:right w:val="nil"/>
            </w:tcBorders>
            <w:vAlign w:val="center"/>
          </w:tcPr>
          <w:p w:rsidR="00421E3B" w:rsidRPr="00431B1C" w:rsidRDefault="00421E3B" w:rsidP="00CE54A9">
            <w:pPr>
              <w:pStyle w:val="NoSpacing"/>
            </w:pPr>
            <w:r w:rsidRPr="00431B1C">
              <w:rPr>
                <w:rFonts w:eastAsia="Times New Roman" w:cs="Times New Roman"/>
                <w:color w:val="000000"/>
              </w:rPr>
              <w:t>Actuaries Lekgotla</w:t>
            </w:r>
          </w:p>
        </w:tc>
        <w:tc>
          <w:tcPr>
            <w:tcW w:w="990" w:type="dxa"/>
            <w:tcBorders>
              <w:top w:val="nil"/>
              <w:left w:val="nil"/>
              <w:bottom w:val="nil"/>
              <w:right w:val="nil"/>
            </w:tcBorders>
            <w:vAlign w:val="center"/>
          </w:tcPr>
          <w:p w:rsidR="00421E3B" w:rsidRPr="00431B1C" w:rsidRDefault="001829B5" w:rsidP="00CE54A9">
            <w:pPr>
              <w:spacing w:line="276" w:lineRule="auto"/>
              <w:contextualSpacing/>
              <w:rPr>
                <w:rFonts w:cs="Times New Roman"/>
              </w:rPr>
            </w:pPr>
            <w:r w:rsidRPr="00431B1C">
              <w:rPr>
                <w:rFonts w:cs="Times New Roman"/>
              </w:rPr>
              <w:t>21</w:t>
            </w:r>
          </w:p>
        </w:tc>
        <w:tc>
          <w:tcPr>
            <w:tcW w:w="5418" w:type="dxa"/>
            <w:tcBorders>
              <w:top w:val="nil"/>
              <w:left w:val="nil"/>
              <w:bottom w:val="nil"/>
              <w:right w:val="nil"/>
            </w:tcBorders>
            <w:vAlign w:val="center"/>
          </w:tcPr>
          <w:p w:rsidR="00421E3B" w:rsidRPr="00431B1C" w:rsidRDefault="00421E3B" w:rsidP="00CE54A9">
            <w:pPr>
              <w:pStyle w:val="NoSpacing"/>
              <w:rPr>
                <w:rFonts w:cs="Times New Roman"/>
                <w:b/>
                <w:color w:val="FFFFFF" w:themeColor="background1"/>
              </w:rPr>
            </w:pPr>
            <w:r w:rsidRPr="00431B1C">
              <w:rPr>
                <w:rFonts w:cs="Times New Roman"/>
              </w:rPr>
              <w:t>Industry and industry representative bodies: sector-wide</w:t>
            </w:r>
          </w:p>
        </w:tc>
      </w:tr>
      <w:tr w:rsidR="00421E3B"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21E3B" w:rsidRPr="00431B1C" w:rsidRDefault="00421E3B" w:rsidP="00CE54A9">
            <w:pPr>
              <w:pStyle w:val="NoSpacing"/>
            </w:pPr>
            <w:r w:rsidRPr="00431B1C">
              <w:t>2.</w:t>
            </w:r>
          </w:p>
        </w:tc>
        <w:tc>
          <w:tcPr>
            <w:tcW w:w="7182" w:type="dxa"/>
            <w:tcBorders>
              <w:top w:val="nil"/>
              <w:left w:val="nil"/>
              <w:bottom w:val="nil"/>
              <w:right w:val="nil"/>
            </w:tcBorders>
            <w:vAlign w:val="center"/>
          </w:tcPr>
          <w:p w:rsidR="00421E3B" w:rsidRPr="00431B1C" w:rsidRDefault="00421E3B" w:rsidP="00CE54A9">
            <w:pPr>
              <w:pStyle w:val="NoSpacing"/>
            </w:pPr>
            <w:r w:rsidRPr="00431B1C">
              <w:rPr>
                <w:rFonts w:eastAsia="Times New Roman" w:cs="Times New Roman"/>
                <w:color w:val="000000"/>
              </w:rPr>
              <w:t>Association for Saving &amp; Investment South Africa (ASISA)</w:t>
            </w:r>
          </w:p>
        </w:tc>
        <w:tc>
          <w:tcPr>
            <w:tcW w:w="990" w:type="dxa"/>
            <w:tcBorders>
              <w:top w:val="nil"/>
              <w:left w:val="nil"/>
              <w:bottom w:val="nil"/>
              <w:right w:val="nil"/>
            </w:tcBorders>
            <w:vAlign w:val="center"/>
          </w:tcPr>
          <w:p w:rsidR="00421E3B" w:rsidRPr="00431B1C" w:rsidRDefault="001829B5" w:rsidP="00CE54A9">
            <w:pPr>
              <w:pStyle w:val="StewartMatrixStyle"/>
              <w:spacing w:line="276" w:lineRule="auto"/>
              <w:rPr>
                <w:rFonts w:asciiTheme="minorHAnsi" w:hAnsiTheme="minorHAnsi"/>
                <w:sz w:val="22"/>
                <w:szCs w:val="22"/>
              </w:rPr>
            </w:pPr>
            <w:r w:rsidRPr="00431B1C">
              <w:rPr>
                <w:rFonts w:asciiTheme="minorHAnsi" w:hAnsiTheme="minorHAnsi"/>
                <w:sz w:val="22"/>
                <w:szCs w:val="22"/>
              </w:rPr>
              <w:t>28</w:t>
            </w:r>
          </w:p>
        </w:tc>
        <w:tc>
          <w:tcPr>
            <w:tcW w:w="5418" w:type="dxa"/>
            <w:tcBorders>
              <w:top w:val="nil"/>
              <w:left w:val="nil"/>
              <w:bottom w:val="nil"/>
              <w:right w:val="nil"/>
            </w:tcBorders>
            <w:vAlign w:val="center"/>
          </w:tcPr>
          <w:p w:rsidR="00421E3B" w:rsidRPr="00431B1C" w:rsidRDefault="00421E3B" w:rsidP="00CE54A9">
            <w:pPr>
              <w:pStyle w:val="StewartMatrixStyle"/>
              <w:spacing w:line="276" w:lineRule="auto"/>
              <w:rPr>
                <w:rFonts w:asciiTheme="minorHAnsi" w:hAnsiTheme="minorHAnsi"/>
                <w:sz w:val="22"/>
                <w:szCs w:val="22"/>
              </w:rPr>
            </w:pPr>
            <w:r w:rsidRPr="00431B1C">
              <w:rPr>
                <w:rFonts w:asciiTheme="minorHAnsi" w:hAnsiTheme="minorHAnsi"/>
                <w:sz w:val="22"/>
                <w:szCs w:val="22"/>
              </w:rPr>
              <w:t>Industry and industry representative bodies: insurance, asset management and intermediaries</w:t>
            </w:r>
          </w:p>
        </w:tc>
      </w:tr>
      <w:tr w:rsidR="00421E3B"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21E3B" w:rsidRPr="00431B1C" w:rsidRDefault="00421E3B" w:rsidP="00CE54A9">
            <w:pPr>
              <w:pStyle w:val="NoSpacing"/>
            </w:pPr>
            <w:r w:rsidRPr="00431B1C">
              <w:t>3.</w:t>
            </w:r>
          </w:p>
        </w:tc>
        <w:tc>
          <w:tcPr>
            <w:tcW w:w="7182" w:type="dxa"/>
            <w:tcBorders>
              <w:top w:val="nil"/>
              <w:left w:val="nil"/>
              <w:bottom w:val="nil"/>
              <w:right w:val="nil"/>
            </w:tcBorders>
            <w:vAlign w:val="center"/>
          </w:tcPr>
          <w:p w:rsidR="00421E3B" w:rsidRPr="00431B1C" w:rsidRDefault="00421E3B" w:rsidP="00CE54A9">
            <w:pPr>
              <w:pStyle w:val="NoSpacing"/>
            </w:pPr>
            <w:r w:rsidRPr="00431B1C">
              <w:rPr>
                <w:rFonts w:eastAsia="Times New Roman" w:cs="Times New Roman"/>
                <w:color w:val="000000"/>
              </w:rPr>
              <w:t>Association of Black Securities and Investment Professionals (ABSIP)</w:t>
            </w:r>
          </w:p>
        </w:tc>
        <w:tc>
          <w:tcPr>
            <w:tcW w:w="990" w:type="dxa"/>
            <w:tcBorders>
              <w:top w:val="nil"/>
              <w:left w:val="nil"/>
              <w:bottom w:val="nil"/>
              <w:right w:val="nil"/>
            </w:tcBorders>
            <w:vAlign w:val="center"/>
          </w:tcPr>
          <w:p w:rsidR="00421E3B" w:rsidRPr="00431B1C" w:rsidRDefault="001829B5" w:rsidP="00CE54A9">
            <w:pPr>
              <w:spacing w:line="276" w:lineRule="auto"/>
              <w:contextualSpacing/>
              <w:rPr>
                <w:rFonts w:cs="Times New Roman"/>
              </w:rPr>
            </w:pPr>
            <w:r w:rsidRPr="00431B1C">
              <w:rPr>
                <w:rFonts w:cs="Times New Roman"/>
              </w:rPr>
              <w:t>31</w:t>
            </w:r>
          </w:p>
        </w:tc>
        <w:tc>
          <w:tcPr>
            <w:tcW w:w="5418" w:type="dxa"/>
            <w:tcBorders>
              <w:top w:val="nil"/>
              <w:left w:val="nil"/>
              <w:bottom w:val="nil"/>
              <w:right w:val="nil"/>
            </w:tcBorders>
            <w:vAlign w:val="center"/>
          </w:tcPr>
          <w:p w:rsidR="00421E3B" w:rsidRPr="00431B1C" w:rsidRDefault="00421E3B" w:rsidP="00CE54A9">
            <w:pPr>
              <w:contextualSpacing/>
              <w:rPr>
                <w:rFonts w:cs="Times New Roman"/>
              </w:rPr>
            </w:pPr>
            <w:r w:rsidRPr="00431B1C">
              <w:rPr>
                <w:rFonts w:cs="Times New Roman"/>
              </w:rPr>
              <w:t>Industry and industry representative bodies: insurance, asset management and intermediaries</w:t>
            </w:r>
          </w:p>
        </w:tc>
      </w:tr>
      <w:tr w:rsidR="00421E3B"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21E3B" w:rsidRPr="00431B1C" w:rsidRDefault="00421E3B" w:rsidP="00CE54A9">
            <w:pPr>
              <w:pStyle w:val="NoSpacing"/>
            </w:pPr>
            <w:r w:rsidRPr="00431B1C">
              <w:t>4.</w:t>
            </w:r>
          </w:p>
        </w:tc>
        <w:tc>
          <w:tcPr>
            <w:tcW w:w="7182" w:type="dxa"/>
            <w:tcBorders>
              <w:top w:val="nil"/>
              <w:left w:val="nil"/>
              <w:bottom w:val="nil"/>
              <w:right w:val="nil"/>
            </w:tcBorders>
            <w:vAlign w:val="center"/>
          </w:tcPr>
          <w:p w:rsidR="00421E3B" w:rsidRPr="00431B1C" w:rsidRDefault="00421E3B" w:rsidP="00CE54A9">
            <w:pPr>
              <w:pStyle w:val="NoSpacing"/>
            </w:pPr>
            <w:r w:rsidRPr="00431B1C">
              <w:rPr>
                <w:rFonts w:eastAsia="Times New Roman" w:cs="Times New Roman"/>
                <w:color w:val="000000"/>
              </w:rPr>
              <w:t>Banking Association of South Africa (BASA)</w:t>
            </w:r>
          </w:p>
        </w:tc>
        <w:tc>
          <w:tcPr>
            <w:tcW w:w="990" w:type="dxa"/>
            <w:tcBorders>
              <w:top w:val="nil"/>
              <w:left w:val="nil"/>
              <w:bottom w:val="nil"/>
              <w:right w:val="nil"/>
            </w:tcBorders>
            <w:vAlign w:val="center"/>
          </w:tcPr>
          <w:p w:rsidR="00421E3B" w:rsidRPr="00431B1C" w:rsidRDefault="001829B5" w:rsidP="00CE54A9">
            <w:pPr>
              <w:spacing w:line="276" w:lineRule="auto"/>
              <w:contextualSpacing/>
              <w:rPr>
                <w:rFonts w:cs="Times New Roman"/>
              </w:rPr>
            </w:pPr>
            <w:r w:rsidRPr="00431B1C">
              <w:rPr>
                <w:rFonts w:cs="Times New Roman"/>
              </w:rPr>
              <w:t>24</w:t>
            </w:r>
          </w:p>
        </w:tc>
        <w:tc>
          <w:tcPr>
            <w:tcW w:w="5418" w:type="dxa"/>
            <w:tcBorders>
              <w:top w:val="nil"/>
              <w:left w:val="nil"/>
              <w:bottom w:val="nil"/>
              <w:right w:val="nil"/>
            </w:tcBorders>
            <w:vAlign w:val="center"/>
          </w:tcPr>
          <w:p w:rsidR="00421E3B" w:rsidRPr="00431B1C" w:rsidRDefault="00421E3B" w:rsidP="00CE54A9">
            <w:pPr>
              <w:contextualSpacing/>
              <w:rPr>
                <w:rFonts w:cs="Times New Roman"/>
              </w:rPr>
            </w:pPr>
            <w:r w:rsidRPr="00431B1C">
              <w:rPr>
                <w:rFonts w:cs="Times New Roman"/>
              </w:rPr>
              <w:t>Industry and industry representative bodies: banking</w:t>
            </w:r>
          </w:p>
        </w:tc>
      </w:tr>
      <w:tr w:rsidR="00421E3B"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21E3B" w:rsidRPr="00431B1C" w:rsidRDefault="00421E3B" w:rsidP="00CE54A9">
            <w:pPr>
              <w:pStyle w:val="NoSpacing"/>
            </w:pPr>
            <w:r w:rsidRPr="00431B1C">
              <w:t>5.</w:t>
            </w:r>
          </w:p>
        </w:tc>
        <w:tc>
          <w:tcPr>
            <w:tcW w:w="7182" w:type="dxa"/>
            <w:tcBorders>
              <w:top w:val="nil"/>
              <w:left w:val="nil"/>
              <w:bottom w:val="nil"/>
              <w:right w:val="nil"/>
            </w:tcBorders>
            <w:vAlign w:val="center"/>
          </w:tcPr>
          <w:p w:rsidR="00421E3B" w:rsidRPr="00431B1C" w:rsidRDefault="00421E3B" w:rsidP="00CE54A9">
            <w:pPr>
              <w:pStyle w:val="NoSpacing"/>
            </w:pPr>
            <w:r w:rsidRPr="00431B1C">
              <w:rPr>
                <w:rFonts w:eastAsia="Times New Roman" w:cs="Times New Roman"/>
                <w:color w:val="000000"/>
              </w:rPr>
              <w:t>Barclays</w:t>
            </w:r>
          </w:p>
        </w:tc>
        <w:tc>
          <w:tcPr>
            <w:tcW w:w="990" w:type="dxa"/>
            <w:tcBorders>
              <w:top w:val="nil"/>
              <w:left w:val="nil"/>
              <w:bottom w:val="nil"/>
              <w:right w:val="nil"/>
            </w:tcBorders>
            <w:vAlign w:val="center"/>
          </w:tcPr>
          <w:p w:rsidR="00421E3B" w:rsidRPr="00431B1C" w:rsidRDefault="001829B5" w:rsidP="00CE54A9">
            <w:pPr>
              <w:spacing w:line="276" w:lineRule="auto"/>
              <w:contextualSpacing/>
              <w:rPr>
                <w:rFonts w:cs="Times New Roman"/>
              </w:rPr>
            </w:pPr>
            <w:r w:rsidRPr="00431B1C">
              <w:rPr>
                <w:rFonts w:cs="Times New Roman"/>
              </w:rPr>
              <w:t>25</w:t>
            </w:r>
          </w:p>
        </w:tc>
        <w:tc>
          <w:tcPr>
            <w:tcW w:w="5418" w:type="dxa"/>
            <w:tcBorders>
              <w:top w:val="nil"/>
              <w:left w:val="nil"/>
              <w:bottom w:val="nil"/>
              <w:right w:val="nil"/>
            </w:tcBorders>
            <w:vAlign w:val="center"/>
          </w:tcPr>
          <w:p w:rsidR="00421E3B" w:rsidRPr="00431B1C" w:rsidRDefault="00421E3B" w:rsidP="00CE54A9">
            <w:pPr>
              <w:contextualSpacing/>
              <w:rPr>
                <w:rFonts w:cs="Times New Roman"/>
              </w:rPr>
            </w:pPr>
            <w:r w:rsidRPr="00431B1C">
              <w:rPr>
                <w:rFonts w:cs="Times New Roman"/>
              </w:rPr>
              <w:t>Industry and industry representative bodies: banking</w:t>
            </w:r>
          </w:p>
        </w:tc>
      </w:tr>
      <w:tr w:rsidR="00421E3B"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21E3B" w:rsidRPr="00431B1C" w:rsidRDefault="00421E3B" w:rsidP="00CE54A9">
            <w:pPr>
              <w:pStyle w:val="NoSpacing"/>
            </w:pPr>
            <w:r w:rsidRPr="00431B1C">
              <w:t>6.</w:t>
            </w:r>
          </w:p>
        </w:tc>
        <w:tc>
          <w:tcPr>
            <w:tcW w:w="7182" w:type="dxa"/>
            <w:tcBorders>
              <w:top w:val="nil"/>
              <w:left w:val="nil"/>
              <w:bottom w:val="nil"/>
              <w:right w:val="nil"/>
            </w:tcBorders>
            <w:vAlign w:val="center"/>
          </w:tcPr>
          <w:p w:rsidR="00421E3B" w:rsidRPr="00431B1C" w:rsidRDefault="00421E3B" w:rsidP="00CE54A9">
            <w:pPr>
              <w:pStyle w:val="NoSpacing"/>
            </w:pPr>
            <w:r w:rsidRPr="00431B1C">
              <w:rPr>
                <w:rFonts w:eastAsia="Times New Roman" w:cs="Times New Roman"/>
                <w:color w:val="000000"/>
              </w:rPr>
              <w:t>B-BBEE Commission</w:t>
            </w:r>
          </w:p>
        </w:tc>
        <w:tc>
          <w:tcPr>
            <w:tcW w:w="990" w:type="dxa"/>
            <w:tcBorders>
              <w:top w:val="nil"/>
              <w:left w:val="nil"/>
              <w:bottom w:val="nil"/>
              <w:right w:val="nil"/>
            </w:tcBorders>
            <w:vAlign w:val="center"/>
          </w:tcPr>
          <w:p w:rsidR="00421E3B" w:rsidRPr="00431B1C" w:rsidRDefault="001829B5" w:rsidP="00CE54A9">
            <w:pPr>
              <w:spacing w:line="276" w:lineRule="auto"/>
              <w:contextualSpacing/>
              <w:rPr>
                <w:rFonts w:cs="Times New Roman"/>
              </w:rPr>
            </w:pPr>
            <w:r w:rsidRPr="00431B1C">
              <w:rPr>
                <w:rFonts w:cs="Times New Roman"/>
              </w:rPr>
              <w:t>12</w:t>
            </w:r>
          </w:p>
        </w:tc>
        <w:tc>
          <w:tcPr>
            <w:tcW w:w="5418" w:type="dxa"/>
            <w:tcBorders>
              <w:top w:val="nil"/>
              <w:left w:val="nil"/>
              <w:bottom w:val="nil"/>
              <w:right w:val="nil"/>
            </w:tcBorders>
            <w:vAlign w:val="center"/>
          </w:tcPr>
          <w:p w:rsidR="00421E3B" w:rsidRPr="00431B1C" w:rsidRDefault="00421E3B" w:rsidP="00CE54A9">
            <w:pPr>
              <w:contextualSpacing/>
              <w:rPr>
                <w:rFonts w:cs="Times New Roman"/>
              </w:rPr>
            </w:pPr>
            <w:r w:rsidRPr="00431B1C">
              <w:rPr>
                <w:rFonts w:eastAsia="Times New Roman" w:cs="Helvetica"/>
                <w:color w:val="333333"/>
              </w:rPr>
              <w:t>Government, government agencies and regulators</w:t>
            </w:r>
          </w:p>
        </w:tc>
      </w:tr>
      <w:tr w:rsidR="00421E3B"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21E3B" w:rsidRPr="00431B1C" w:rsidRDefault="00421E3B" w:rsidP="00CE54A9">
            <w:pPr>
              <w:pStyle w:val="NoSpacing"/>
            </w:pPr>
            <w:r w:rsidRPr="00431B1C">
              <w:t>7.</w:t>
            </w:r>
          </w:p>
        </w:tc>
        <w:tc>
          <w:tcPr>
            <w:tcW w:w="7182" w:type="dxa"/>
            <w:tcBorders>
              <w:top w:val="nil"/>
              <w:left w:val="nil"/>
              <w:bottom w:val="nil"/>
              <w:right w:val="nil"/>
            </w:tcBorders>
            <w:vAlign w:val="center"/>
          </w:tcPr>
          <w:p w:rsidR="00421E3B" w:rsidRPr="00431B1C" w:rsidRDefault="00421E3B" w:rsidP="00CE54A9">
            <w:pPr>
              <w:pStyle w:val="NoSpacing"/>
            </w:pPr>
            <w:r w:rsidRPr="00431B1C">
              <w:rPr>
                <w:rFonts w:eastAsia="Times New Roman" w:cs="Times New Roman"/>
                <w:color w:val="000000"/>
              </w:rPr>
              <w:t>Black Business Council</w:t>
            </w:r>
          </w:p>
        </w:tc>
        <w:tc>
          <w:tcPr>
            <w:tcW w:w="990" w:type="dxa"/>
            <w:tcBorders>
              <w:top w:val="nil"/>
              <w:left w:val="nil"/>
              <w:bottom w:val="nil"/>
              <w:right w:val="nil"/>
            </w:tcBorders>
            <w:vAlign w:val="center"/>
          </w:tcPr>
          <w:p w:rsidR="00421E3B" w:rsidRPr="00431B1C" w:rsidRDefault="001829B5" w:rsidP="00CE54A9">
            <w:pPr>
              <w:spacing w:line="276" w:lineRule="auto"/>
              <w:contextualSpacing/>
              <w:rPr>
                <w:rFonts w:cs="Times New Roman"/>
                <w:bCs/>
                <w:lang w:val="en-GB"/>
              </w:rPr>
            </w:pPr>
            <w:r w:rsidRPr="00431B1C">
              <w:rPr>
                <w:rFonts w:cs="Times New Roman"/>
                <w:bCs/>
                <w:lang w:val="en-GB"/>
              </w:rPr>
              <w:t>20</w:t>
            </w:r>
          </w:p>
        </w:tc>
        <w:tc>
          <w:tcPr>
            <w:tcW w:w="5418" w:type="dxa"/>
            <w:tcBorders>
              <w:top w:val="nil"/>
              <w:left w:val="nil"/>
              <w:bottom w:val="nil"/>
              <w:right w:val="nil"/>
            </w:tcBorders>
            <w:vAlign w:val="center"/>
          </w:tcPr>
          <w:p w:rsidR="00421E3B" w:rsidRPr="00431B1C" w:rsidRDefault="00421E3B" w:rsidP="00CE54A9">
            <w:pPr>
              <w:contextualSpacing/>
              <w:rPr>
                <w:rFonts w:cs="Times New Roman"/>
                <w:bCs/>
                <w:lang w:val="en-GB"/>
              </w:rPr>
            </w:pPr>
            <w:r w:rsidRPr="00431B1C">
              <w:rPr>
                <w:rFonts w:cs="Times New Roman"/>
              </w:rPr>
              <w:t>Industry and industry representative bodies: sector-wide</w:t>
            </w:r>
          </w:p>
        </w:tc>
      </w:tr>
      <w:tr w:rsidR="00421E3B"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21E3B" w:rsidRPr="00431B1C" w:rsidRDefault="00421E3B" w:rsidP="00CE54A9">
            <w:pPr>
              <w:pStyle w:val="NoSpacing"/>
            </w:pPr>
            <w:r w:rsidRPr="00431B1C">
              <w:t>8.</w:t>
            </w:r>
          </w:p>
        </w:tc>
        <w:tc>
          <w:tcPr>
            <w:tcW w:w="7182" w:type="dxa"/>
            <w:tcBorders>
              <w:top w:val="nil"/>
              <w:left w:val="nil"/>
              <w:bottom w:val="nil"/>
              <w:right w:val="nil"/>
            </w:tcBorders>
            <w:vAlign w:val="center"/>
          </w:tcPr>
          <w:p w:rsidR="00421E3B" w:rsidRPr="00431B1C" w:rsidRDefault="00421E3B" w:rsidP="00CE54A9">
            <w:pPr>
              <w:pStyle w:val="NoSpacing"/>
            </w:pPr>
            <w:r w:rsidRPr="00431B1C">
              <w:rPr>
                <w:rFonts w:eastAsia="Times New Roman" w:cs="Times New Roman"/>
                <w:color w:val="000000"/>
              </w:rPr>
              <w:t>Black Insurance Advisors Council</w:t>
            </w:r>
          </w:p>
        </w:tc>
        <w:tc>
          <w:tcPr>
            <w:tcW w:w="990" w:type="dxa"/>
            <w:tcBorders>
              <w:top w:val="nil"/>
              <w:left w:val="nil"/>
              <w:bottom w:val="nil"/>
              <w:right w:val="nil"/>
            </w:tcBorders>
            <w:vAlign w:val="center"/>
          </w:tcPr>
          <w:p w:rsidR="00421E3B" w:rsidRPr="00431B1C" w:rsidRDefault="001829B5" w:rsidP="00CE54A9">
            <w:pPr>
              <w:spacing w:line="276" w:lineRule="auto"/>
              <w:contextualSpacing/>
              <w:rPr>
                <w:rFonts w:cs="Times New Roman"/>
                <w:bCs/>
                <w:lang w:val="en-GB"/>
              </w:rPr>
            </w:pPr>
            <w:r w:rsidRPr="00431B1C">
              <w:rPr>
                <w:rFonts w:cs="Times New Roman"/>
                <w:bCs/>
                <w:lang w:val="en-GB"/>
              </w:rPr>
              <w:t>34</w:t>
            </w:r>
          </w:p>
        </w:tc>
        <w:tc>
          <w:tcPr>
            <w:tcW w:w="5418" w:type="dxa"/>
            <w:tcBorders>
              <w:top w:val="nil"/>
              <w:left w:val="nil"/>
              <w:bottom w:val="nil"/>
              <w:right w:val="nil"/>
            </w:tcBorders>
            <w:vAlign w:val="center"/>
          </w:tcPr>
          <w:p w:rsidR="00421E3B" w:rsidRPr="00431B1C" w:rsidRDefault="00421E3B" w:rsidP="00CE54A9">
            <w:pPr>
              <w:contextualSpacing/>
              <w:rPr>
                <w:rFonts w:cs="Times New Roman"/>
                <w:bCs/>
                <w:lang w:val="en-GB"/>
              </w:rPr>
            </w:pPr>
            <w:r w:rsidRPr="00431B1C">
              <w:rPr>
                <w:rFonts w:cs="Times New Roman"/>
              </w:rPr>
              <w:t>Industry and industry representative bodies: insurance, asset management and intermediaries</w:t>
            </w:r>
          </w:p>
        </w:tc>
      </w:tr>
      <w:tr w:rsidR="00421E3B"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21E3B" w:rsidRPr="00431B1C" w:rsidRDefault="00421E3B" w:rsidP="00CE54A9">
            <w:pPr>
              <w:pStyle w:val="NoSpacing"/>
            </w:pPr>
            <w:r w:rsidRPr="00431B1C">
              <w:t>9.</w:t>
            </w:r>
          </w:p>
        </w:tc>
        <w:tc>
          <w:tcPr>
            <w:tcW w:w="7182" w:type="dxa"/>
            <w:tcBorders>
              <w:top w:val="nil"/>
              <w:left w:val="nil"/>
              <w:bottom w:val="nil"/>
              <w:right w:val="nil"/>
            </w:tcBorders>
            <w:vAlign w:val="center"/>
          </w:tcPr>
          <w:p w:rsidR="00421E3B" w:rsidRPr="00431B1C" w:rsidRDefault="00421E3B" w:rsidP="00CE54A9">
            <w:pPr>
              <w:pStyle w:val="NoSpacing"/>
            </w:pPr>
            <w:r w:rsidRPr="00431B1C">
              <w:rPr>
                <w:rFonts w:eastAsia="Times New Roman" w:cs="Times New Roman"/>
                <w:color w:val="000000"/>
              </w:rPr>
              <w:t>Black Insurance Owners Association</w:t>
            </w:r>
          </w:p>
        </w:tc>
        <w:tc>
          <w:tcPr>
            <w:tcW w:w="990" w:type="dxa"/>
            <w:tcBorders>
              <w:top w:val="nil"/>
              <w:left w:val="nil"/>
              <w:bottom w:val="nil"/>
              <w:right w:val="nil"/>
            </w:tcBorders>
            <w:vAlign w:val="center"/>
          </w:tcPr>
          <w:p w:rsidR="00421E3B" w:rsidRPr="00431B1C" w:rsidRDefault="001829B5" w:rsidP="00CE54A9">
            <w:pPr>
              <w:spacing w:line="276" w:lineRule="auto"/>
              <w:contextualSpacing/>
              <w:rPr>
                <w:rFonts w:cs="Times New Roman"/>
              </w:rPr>
            </w:pPr>
            <w:r w:rsidRPr="00431B1C">
              <w:rPr>
                <w:rFonts w:cs="Times New Roman"/>
              </w:rPr>
              <w:t>34</w:t>
            </w:r>
          </w:p>
        </w:tc>
        <w:tc>
          <w:tcPr>
            <w:tcW w:w="5418" w:type="dxa"/>
            <w:tcBorders>
              <w:top w:val="nil"/>
              <w:left w:val="nil"/>
              <w:bottom w:val="nil"/>
              <w:right w:val="nil"/>
            </w:tcBorders>
            <w:vAlign w:val="center"/>
          </w:tcPr>
          <w:p w:rsidR="00421E3B" w:rsidRPr="00431B1C" w:rsidRDefault="00421E3B" w:rsidP="00CE54A9">
            <w:pPr>
              <w:contextualSpacing/>
              <w:rPr>
                <w:rFonts w:cs="Times New Roman"/>
              </w:rPr>
            </w:pPr>
            <w:r w:rsidRPr="00431B1C">
              <w:rPr>
                <w:rFonts w:cs="Times New Roman"/>
              </w:rPr>
              <w:t>Industry and industry representative bodies: insurance, asset management and intermediaries</w:t>
            </w:r>
          </w:p>
        </w:tc>
      </w:tr>
      <w:tr w:rsidR="00421E3B"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21E3B" w:rsidRPr="00431B1C" w:rsidRDefault="00421E3B" w:rsidP="00CE54A9">
            <w:pPr>
              <w:pStyle w:val="NoSpacing"/>
            </w:pPr>
            <w:r w:rsidRPr="00431B1C">
              <w:t>10.</w:t>
            </w:r>
          </w:p>
        </w:tc>
        <w:tc>
          <w:tcPr>
            <w:tcW w:w="7182" w:type="dxa"/>
            <w:tcBorders>
              <w:top w:val="nil"/>
              <w:left w:val="nil"/>
              <w:bottom w:val="nil"/>
              <w:right w:val="nil"/>
            </w:tcBorders>
            <w:vAlign w:val="center"/>
          </w:tcPr>
          <w:p w:rsidR="00421E3B" w:rsidRPr="00431B1C" w:rsidRDefault="00421E3B" w:rsidP="00CE54A9">
            <w:pPr>
              <w:pStyle w:val="NoSpacing"/>
            </w:pPr>
            <w:r w:rsidRPr="00431B1C">
              <w:rPr>
                <w:rFonts w:eastAsia="Times New Roman" w:cs="Times New Roman"/>
                <w:color w:val="000000"/>
              </w:rPr>
              <w:t>Black Management Forum (BMF)</w:t>
            </w:r>
          </w:p>
        </w:tc>
        <w:tc>
          <w:tcPr>
            <w:tcW w:w="990" w:type="dxa"/>
            <w:tcBorders>
              <w:top w:val="nil"/>
              <w:left w:val="nil"/>
              <w:bottom w:val="nil"/>
              <w:right w:val="nil"/>
            </w:tcBorders>
            <w:vAlign w:val="center"/>
          </w:tcPr>
          <w:p w:rsidR="00421E3B" w:rsidRPr="00431B1C" w:rsidRDefault="001829B5" w:rsidP="00CE54A9">
            <w:pPr>
              <w:pStyle w:val="NoSpacing"/>
              <w:rPr>
                <w:rFonts w:cs="Times New Roman"/>
              </w:rPr>
            </w:pPr>
            <w:r w:rsidRPr="00431B1C">
              <w:rPr>
                <w:rFonts w:cs="Times New Roman"/>
              </w:rPr>
              <w:t>22</w:t>
            </w:r>
          </w:p>
        </w:tc>
        <w:tc>
          <w:tcPr>
            <w:tcW w:w="5418" w:type="dxa"/>
            <w:tcBorders>
              <w:top w:val="nil"/>
              <w:left w:val="nil"/>
              <w:bottom w:val="nil"/>
              <w:right w:val="nil"/>
            </w:tcBorders>
            <w:vAlign w:val="center"/>
          </w:tcPr>
          <w:p w:rsidR="00421E3B" w:rsidRPr="00431B1C" w:rsidRDefault="00421E3B" w:rsidP="00CE54A9">
            <w:pPr>
              <w:pStyle w:val="NoSpacing"/>
              <w:rPr>
                <w:rFonts w:cs="Times New Roman"/>
              </w:rPr>
            </w:pPr>
            <w:r w:rsidRPr="00431B1C">
              <w:rPr>
                <w:rFonts w:cs="Times New Roman"/>
              </w:rPr>
              <w:t>Industry and industry representative bodies: sector-wide</w:t>
            </w:r>
          </w:p>
        </w:tc>
      </w:tr>
      <w:tr w:rsidR="00421E3B"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21E3B" w:rsidRPr="00431B1C" w:rsidRDefault="00421E3B" w:rsidP="00CE54A9">
            <w:pPr>
              <w:pStyle w:val="NoSpacing"/>
            </w:pPr>
            <w:r w:rsidRPr="00431B1C">
              <w:t>11.</w:t>
            </w:r>
          </w:p>
        </w:tc>
        <w:tc>
          <w:tcPr>
            <w:tcW w:w="7182" w:type="dxa"/>
            <w:tcBorders>
              <w:top w:val="nil"/>
              <w:left w:val="nil"/>
              <w:bottom w:val="nil"/>
              <w:right w:val="nil"/>
            </w:tcBorders>
            <w:vAlign w:val="center"/>
          </w:tcPr>
          <w:p w:rsidR="00421E3B" w:rsidRPr="00431B1C" w:rsidRDefault="00421E3B" w:rsidP="00CE54A9">
            <w:pPr>
              <w:pStyle w:val="NoSpacing"/>
            </w:pPr>
            <w:r w:rsidRPr="00431B1C">
              <w:t>Brigitte Brun</w:t>
            </w:r>
          </w:p>
        </w:tc>
        <w:tc>
          <w:tcPr>
            <w:tcW w:w="990" w:type="dxa"/>
            <w:tcBorders>
              <w:top w:val="nil"/>
              <w:left w:val="nil"/>
              <w:bottom w:val="nil"/>
              <w:right w:val="nil"/>
            </w:tcBorders>
            <w:vAlign w:val="center"/>
          </w:tcPr>
          <w:p w:rsidR="00421E3B" w:rsidRPr="00431B1C" w:rsidRDefault="001829B5" w:rsidP="00CE54A9">
            <w:pPr>
              <w:spacing w:line="276" w:lineRule="auto"/>
              <w:contextualSpacing/>
              <w:rPr>
                <w:rFonts w:cs="Times New Roman"/>
              </w:rPr>
            </w:pPr>
            <w:r w:rsidRPr="00431B1C">
              <w:rPr>
                <w:rFonts w:cs="Times New Roman"/>
              </w:rPr>
              <w:t>46</w:t>
            </w:r>
          </w:p>
        </w:tc>
        <w:tc>
          <w:tcPr>
            <w:tcW w:w="5418" w:type="dxa"/>
            <w:tcBorders>
              <w:top w:val="nil"/>
              <w:left w:val="nil"/>
              <w:bottom w:val="nil"/>
              <w:right w:val="nil"/>
            </w:tcBorders>
            <w:vAlign w:val="center"/>
          </w:tcPr>
          <w:p w:rsidR="00421E3B" w:rsidRPr="00431B1C" w:rsidRDefault="00421E3B" w:rsidP="00CE54A9">
            <w:pPr>
              <w:contextualSpacing/>
              <w:rPr>
                <w:rFonts w:cs="Times New Roman"/>
              </w:rPr>
            </w:pPr>
            <w:r w:rsidRPr="00431B1C">
              <w:rPr>
                <w:rFonts w:cs="Times New Roman"/>
              </w:rPr>
              <w:t>Civic Society</w:t>
            </w:r>
          </w:p>
        </w:tc>
      </w:tr>
      <w:tr w:rsidR="00421E3B"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21E3B" w:rsidRPr="00431B1C" w:rsidRDefault="00421E3B" w:rsidP="00CE54A9">
            <w:pPr>
              <w:pStyle w:val="NoSpacing"/>
            </w:pPr>
            <w:r w:rsidRPr="00431B1C">
              <w:t>12.</w:t>
            </w:r>
          </w:p>
        </w:tc>
        <w:tc>
          <w:tcPr>
            <w:tcW w:w="7182" w:type="dxa"/>
            <w:tcBorders>
              <w:top w:val="nil"/>
              <w:left w:val="nil"/>
              <w:bottom w:val="nil"/>
              <w:right w:val="nil"/>
            </w:tcBorders>
            <w:vAlign w:val="center"/>
          </w:tcPr>
          <w:p w:rsidR="00421E3B" w:rsidRPr="00431B1C" w:rsidRDefault="00421E3B" w:rsidP="00CE54A9">
            <w:pPr>
              <w:pStyle w:val="NoSpacing"/>
            </w:pPr>
            <w:r w:rsidRPr="00431B1C">
              <w:rPr>
                <w:rFonts w:eastAsia="Times New Roman" w:cs="Times New Roman"/>
                <w:color w:val="000000"/>
              </w:rPr>
              <w:t>Centre for Competition, Regulation and Economic Development</w:t>
            </w:r>
          </w:p>
        </w:tc>
        <w:tc>
          <w:tcPr>
            <w:tcW w:w="990" w:type="dxa"/>
            <w:tcBorders>
              <w:top w:val="nil"/>
              <w:left w:val="nil"/>
              <w:bottom w:val="nil"/>
              <w:right w:val="nil"/>
            </w:tcBorders>
            <w:vAlign w:val="center"/>
          </w:tcPr>
          <w:p w:rsidR="00421E3B" w:rsidRPr="00431B1C" w:rsidRDefault="001829B5" w:rsidP="00CE54A9">
            <w:pPr>
              <w:spacing w:line="276" w:lineRule="auto"/>
              <w:contextualSpacing/>
              <w:rPr>
                <w:rFonts w:cs="Times New Roman"/>
              </w:rPr>
            </w:pPr>
            <w:r w:rsidRPr="00431B1C">
              <w:rPr>
                <w:rFonts w:cs="Times New Roman"/>
              </w:rPr>
              <w:t>43</w:t>
            </w:r>
          </w:p>
        </w:tc>
        <w:tc>
          <w:tcPr>
            <w:tcW w:w="5418" w:type="dxa"/>
            <w:tcBorders>
              <w:top w:val="nil"/>
              <w:left w:val="nil"/>
              <w:bottom w:val="nil"/>
              <w:right w:val="nil"/>
            </w:tcBorders>
            <w:vAlign w:val="center"/>
          </w:tcPr>
          <w:p w:rsidR="00421E3B" w:rsidRPr="00431B1C" w:rsidRDefault="00421E3B" w:rsidP="00CE54A9">
            <w:pPr>
              <w:contextualSpacing/>
              <w:rPr>
                <w:rFonts w:cs="Times New Roman"/>
              </w:rPr>
            </w:pPr>
            <w:r w:rsidRPr="00431B1C">
              <w:rPr>
                <w:rFonts w:cs="Times New Roman"/>
              </w:rPr>
              <w:t>Civic Society</w:t>
            </w:r>
          </w:p>
        </w:tc>
      </w:tr>
      <w:tr w:rsidR="00421E3B"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21E3B" w:rsidRPr="00431B1C" w:rsidRDefault="00421E3B" w:rsidP="00CE54A9">
            <w:pPr>
              <w:pStyle w:val="NoSpacing"/>
            </w:pPr>
            <w:r w:rsidRPr="00431B1C">
              <w:t>13.</w:t>
            </w:r>
          </w:p>
        </w:tc>
        <w:tc>
          <w:tcPr>
            <w:tcW w:w="7182" w:type="dxa"/>
            <w:tcBorders>
              <w:top w:val="nil"/>
              <w:left w:val="nil"/>
              <w:bottom w:val="nil"/>
              <w:right w:val="nil"/>
            </w:tcBorders>
            <w:vAlign w:val="center"/>
          </w:tcPr>
          <w:p w:rsidR="00421E3B" w:rsidRPr="00431B1C" w:rsidRDefault="00421E3B" w:rsidP="00CE54A9">
            <w:pPr>
              <w:pStyle w:val="NoSpacing"/>
            </w:pPr>
            <w:r w:rsidRPr="00431B1C">
              <w:rPr>
                <w:rFonts w:eastAsia="Times New Roman" w:cs="Times New Roman"/>
                <w:color w:val="000000"/>
              </w:rPr>
              <w:t>Co-operative Banks Development Agency</w:t>
            </w:r>
          </w:p>
        </w:tc>
        <w:tc>
          <w:tcPr>
            <w:tcW w:w="990" w:type="dxa"/>
            <w:tcBorders>
              <w:top w:val="nil"/>
              <w:left w:val="nil"/>
              <w:bottom w:val="nil"/>
              <w:right w:val="nil"/>
            </w:tcBorders>
            <w:vAlign w:val="center"/>
          </w:tcPr>
          <w:p w:rsidR="00421E3B" w:rsidRPr="00431B1C" w:rsidRDefault="001829B5" w:rsidP="00CE54A9">
            <w:pPr>
              <w:spacing w:line="276" w:lineRule="auto"/>
              <w:contextualSpacing/>
              <w:rPr>
                <w:rFonts w:cs="Times New Roman"/>
              </w:rPr>
            </w:pPr>
            <w:r w:rsidRPr="00431B1C">
              <w:rPr>
                <w:rFonts w:cs="Times New Roman"/>
              </w:rPr>
              <w:t>37</w:t>
            </w:r>
          </w:p>
        </w:tc>
        <w:tc>
          <w:tcPr>
            <w:tcW w:w="5418" w:type="dxa"/>
            <w:tcBorders>
              <w:top w:val="nil"/>
              <w:left w:val="nil"/>
              <w:bottom w:val="nil"/>
              <w:right w:val="nil"/>
            </w:tcBorders>
            <w:vAlign w:val="center"/>
          </w:tcPr>
          <w:p w:rsidR="00421E3B" w:rsidRPr="00431B1C" w:rsidRDefault="00421E3B" w:rsidP="00CE54A9">
            <w:pPr>
              <w:contextualSpacing/>
              <w:rPr>
                <w:rFonts w:cs="Times New Roman"/>
              </w:rPr>
            </w:pPr>
            <w:r w:rsidRPr="00431B1C">
              <w:rPr>
                <w:rFonts w:cs="Times New Roman"/>
                <w:bCs/>
                <w:lang w:val="en-GB"/>
              </w:rPr>
              <w:t>Co-operative Bank Sector including development agency, banks and associations</w:t>
            </w:r>
          </w:p>
        </w:tc>
      </w:tr>
      <w:tr w:rsidR="00421E3B"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21E3B" w:rsidRPr="00431B1C" w:rsidRDefault="00421E3B" w:rsidP="00CE54A9">
            <w:pPr>
              <w:pStyle w:val="NoSpacing"/>
            </w:pPr>
            <w:r w:rsidRPr="00431B1C">
              <w:t>14.</w:t>
            </w:r>
          </w:p>
        </w:tc>
        <w:tc>
          <w:tcPr>
            <w:tcW w:w="7182" w:type="dxa"/>
            <w:tcBorders>
              <w:top w:val="nil"/>
              <w:left w:val="nil"/>
              <w:bottom w:val="nil"/>
              <w:right w:val="nil"/>
            </w:tcBorders>
            <w:vAlign w:val="center"/>
          </w:tcPr>
          <w:p w:rsidR="00421E3B" w:rsidRPr="00431B1C" w:rsidRDefault="00421E3B" w:rsidP="00CE54A9">
            <w:pPr>
              <w:pStyle w:val="NoSpacing"/>
            </w:pPr>
            <w:r w:rsidRPr="00431B1C">
              <w:rPr>
                <w:rFonts w:eastAsia="Times New Roman" w:cs="Times New Roman"/>
                <w:color w:val="000000"/>
              </w:rPr>
              <w:t>COSATU</w:t>
            </w:r>
          </w:p>
        </w:tc>
        <w:tc>
          <w:tcPr>
            <w:tcW w:w="990" w:type="dxa"/>
            <w:tcBorders>
              <w:top w:val="nil"/>
              <w:left w:val="nil"/>
              <w:bottom w:val="nil"/>
              <w:right w:val="nil"/>
            </w:tcBorders>
            <w:vAlign w:val="center"/>
          </w:tcPr>
          <w:p w:rsidR="00421E3B" w:rsidRPr="00431B1C" w:rsidRDefault="001829B5" w:rsidP="00CE54A9">
            <w:pPr>
              <w:pStyle w:val="StewartMatrixStyle"/>
              <w:spacing w:line="276" w:lineRule="auto"/>
              <w:rPr>
                <w:rFonts w:asciiTheme="minorHAnsi" w:hAnsiTheme="minorHAnsi"/>
                <w:sz w:val="22"/>
                <w:szCs w:val="22"/>
              </w:rPr>
            </w:pPr>
            <w:r w:rsidRPr="00431B1C">
              <w:rPr>
                <w:rFonts w:asciiTheme="minorHAnsi" w:hAnsiTheme="minorHAnsi"/>
                <w:sz w:val="22"/>
                <w:szCs w:val="22"/>
              </w:rPr>
              <w:t>19</w:t>
            </w:r>
          </w:p>
        </w:tc>
        <w:tc>
          <w:tcPr>
            <w:tcW w:w="5418" w:type="dxa"/>
            <w:tcBorders>
              <w:top w:val="nil"/>
              <w:left w:val="nil"/>
              <w:bottom w:val="nil"/>
              <w:right w:val="nil"/>
            </w:tcBorders>
            <w:vAlign w:val="center"/>
          </w:tcPr>
          <w:p w:rsidR="00421E3B" w:rsidRPr="00431B1C" w:rsidRDefault="00421E3B" w:rsidP="00CE54A9">
            <w:pPr>
              <w:pStyle w:val="StewartMatrixStyle"/>
              <w:spacing w:line="276" w:lineRule="auto"/>
              <w:rPr>
                <w:rFonts w:asciiTheme="minorHAnsi" w:hAnsiTheme="minorHAnsi"/>
                <w:sz w:val="22"/>
                <w:szCs w:val="22"/>
              </w:rPr>
            </w:pPr>
            <w:r w:rsidRPr="00431B1C">
              <w:rPr>
                <w:rFonts w:asciiTheme="minorHAnsi" w:hAnsiTheme="minorHAnsi"/>
                <w:sz w:val="22"/>
                <w:szCs w:val="22"/>
              </w:rPr>
              <w:t>Political Parties, or bodies with political association</w:t>
            </w:r>
          </w:p>
        </w:tc>
      </w:tr>
      <w:tr w:rsidR="00421E3B"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21E3B" w:rsidRPr="00431B1C" w:rsidRDefault="00421E3B" w:rsidP="00CE54A9">
            <w:pPr>
              <w:pStyle w:val="NoSpacing"/>
            </w:pPr>
            <w:r w:rsidRPr="00431B1C">
              <w:t>15.</w:t>
            </w:r>
          </w:p>
        </w:tc>
        <w:tc>
          <w:tcPr>
            <w:tcW w:w="7182" w:type="dxa"/>
            <w:tcBorders>
              <w:top w:val="nil"/>
              <w:left w:val="nil"/>
              <w:bottom w:val="nil"/>
              <w:right w:val="nil"/>
            </w:tcBorders>
            <w:vAlign w:val="center"/>
          </w:tcPr>
          <w:p w:rsidR="00421E3B" w:rsidRPr="00431B1C" w:rsidRDefault="00421E3B" w:rsidP="00CE54A9">
            <w:pPr>
              <w:pStyle w:val="NoSpacing"/>
            </w:pPr>
            <w:r w:rsidRPr="00431B1C">
              <w:rPr>
                <w:rFonts w:eastAsia="Times New Roman" w:cs="Times New Roman"/>
                <w:color w:val="000000"/>
              </w:rPr>
              <w:t>Department of Trade and Industry</w:t>
            </w:r>
          </w:p>
        </w:tc>
        <w:tc>
          <w:tcPr>
            <w:tcW w:w="990" w:type="dxa"/>
            <w:tcBorders>
              <w:top w:val="nil"/>
              <w:left w:val="nil"/>
              <w:bottom w:val="nil"/>
              <w:right w:val="nil"/>
            </w:tcBorders>
            <w:vAlign w:val="center"/>
          </w:tcPr>
          <w:p w:rsidR="00421E3B" w:rsidRPr="00431B1C" w:rsidRDefault="001829B5" w:rsidP="00CE54A9">
            <w:pPr>
              <w:spacing w:line="276" w:lineRule="auto"/>
              <w:contextualSpacing/>
              <w:rPr>
                <w:rFonts w:cs="Times New Roman"/>
              </w:rPr>
            </w:pPr>
            <w:r w:rsidRPr="00431B1C">
              <w:rPr>
                <w:rFonts w:cs="Times New Roman"/>
              </w:rPr>
              <w:t>19</w:t>
            </w:r>
          </w:p>
        </w:tc>
        <w:tc>
          <w:tcPr>
            <w:tcW w:w="5418" w:type="dxa"/>
            <w:tcBorders>
              <w:top w:val="nil"/>
              <w:left w:val="nil"/>
              <w:bottom w:val="nil"/>
              <w:right w:val="nil"/>
            </w:tcBorders>
            <w:vAlign w:val="center"/>
          </w:tcPr>
          <w:p w:rsidR="00421E3B" w:rsidRPr="00431B1C" w:rsidRDefault="00421E3B" w:rsidP="00CE54A9">
            <w:pPr>
              <w:contextualSpacing/>
              <w:rPr>
                <w:rFonts w:cs="Times New Roman"/>
              </w:rPr>
            </w:pPr>
            <w:r w:rsidRPr="00431B1C">
              <w:rPr>
                <w:rFonts w:eastAsia="Times New Roman" w:cs="Helvetica"/>
                <w:color w:val="333333"/>
              </w:rPr>
              <w:t>Government, government agencies and regulators</w:t>
            </w:r>
          </w:p>
        </w:tc>
      </w:tr>
      <w:tr w:rsidR="00421E3B"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21E3B" w:rsidRPr="00431B1C" w:rsidRDefault="00421E3B" w:rsidP="00CE54A9">
            <w:pPr>
              <w:pStyle w:val="NoSpacing"/>
            </w:pPr>
            <w:r w:rsidRPr="00431B1C">
              <w:t>16.</w:t>
            </w:r>
          </w:p>
        </w:tc>
        <w:tc>
          <w:tcPr>
            <w:tcW w:w="7182" w:type="dxa"/>
            <w:tcBorders>
              <w:top w:val="nil"/>
              <w:left w:val="nil"/>
              <w:bottom w:val="nil"/>
              <w:right w:val="nil"/>
            </w:tcBorders>
            <w:vAlign w:val="center"/>
          </w:tcPr>
          <w:p w:rsidR="00421E3B" w:rsidRPr="00431B1C" w:rsidRDefault="00421E3B" w:rsidP="00CE54A9">
            <w:pPr>
              <w:pStyle w:val="NoSpacing"/>
            </w:pPr>
            <w:r w:rsidRPr="00431B1C">
              <w:rPr>
                <w:rFonts w:eastAsia="Times New Roman" w:cs="Times New Roman"/>
                <w:color w:val="000000"/>
              </w:rPr>
              <w:t>DGRV - Ludwig Ehard  (German Cooperative and Raiffeisen Confederation)</w:t>
            </w:r>
          </w:p>
        </w:tc>
        <w:tc>
          <w:tcPr>
            <w:tcW w:w="990" w:type="dxa"/>
            <w:tcBorders>
              <w:top w:val="nil"/>
              <w:left w:val="nil"/>
              <w:bottom w:val="nil"/>
              <w:right w:val="nil"/>
            </w:tcBorders>
            <w:vAlign w:val="center"/>
          </w:tcPr>
          <w:p w:rsidR="00421E3B" w:rsidRPr="00431B1C" w:rsidRDefault="001829B5" w:rsidP="00CE54A9">
            <w:pPr>
              <w:spacing w:line="276" w:lineRule="auto"/>
              <w:contextualSpacing/>
              <w:rPr>
                <w:rFonts w:cs="Times New Roman"/>
              </w:rPr>
            </w:pPr>
            <w:r w:rsidRPr="00431B1C">
              <w:rPr>
                <w:rFonts w:cs="Times New Roman"/>
              </w:rPr>
              <w:t>41</w:t>
            </w:r>
          </w:p>
        </w:tc>
        <w:tc>
          <w:tcPr>
            <w:tcW w:w="5418" w:type="dxa"/>
            <w:tcBorders>
              <w:top w:val="nil"/>
              <w:left w:val="nil"/>
              <w:bottom w:val="nil"/>
              <w:right w:val="nil"/>
            </w:tcBorders>
            <w:vAlign w:val="center"/>
          </w:tcPr>
          <w:p w:rsidR="00421E3B" w:rsidRPr="00431B1C" w:rsidRDefault="00421E3B" w:rsidP="00CE54A9">
            <w:pPr>
              <w:contextualSpacing/>
              <w:rPr>
                <w:rFonts w:cs="Times New Roman"/>
              </w:rPr>
            </w:pPr>
            <w:r w:rsidRPr="00431B1C">
              <w:rPr>
                <w:rFonts w:cs="Times New Roman"/>
                <w:bCs/>
                <w:lang w:val="en-GB"/>
              </w:rPr>
              <w:t>Co-operative Bank Sector including development agency, banks and associations</w:t>
            </w:r>
          </w:p>
        </w:tc>
      </w:tr>
      <w:tr w:rsidR="00421E3B"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21E3B" w:rsidRPr="00431B1C" w:rsidRDefault="00421E3B" w:rsidP="00CE54A9">
            <w:pPr>
              <w:pStyle w:val="NoSpacing"/>
            </w:pPr>
            <w:r w:rsidRPr="00431B1C">
              <w:t>17.</w:t>
            </w:r>
          </w:p>
        </w:tc>
        <w:tc>
          <w:tcPr>
            <w:tcW w:w="7182" w:type="dxa"/>
            <w:tcBorders>
              <w:top w:val="nil"/>
              <w:left w:val="nil"/>
              <w:bottom w:val="nil"/>
              <w:right w:val="nil"/>
            </w:tcBorders>
            <w:vAlign w:val="center"/>
          </w:tcPr>
          <w:p w:rsidR="00421E3B" w:rsidRPr="00431B1C" w:rsidRDefault="00421E3B" w:rsidP="00CE54A9">
            <w:pPr>
              <w:pStyle w:val="NoSpacing"/>
            </w:pPr>
            <w:r w:rsidRPr="00431B1C">
              <w:rPr>
                <w:rFonts w:eastAsia="Times New Roman" w:cs="Times New Roman"/>
                <w:color w:val="000000"/>
              </w:rPr>
              <w:t>Financial Sector Campaign Coalition</w:t>
            </w:r>
          </w:p>
        </w:tc>
        <w:tc>
          <w:tcPr>
            <w:tcW w:w="990" w:type="dxa"/>
            <w:tcBorders>
              <w:top w:val="nil"/>
              <w:left w:val="nil"/>
              <w:bottom w:val="nil"/>
              <w:right w:val="nil"/>
            </w:tcBorders>
            <w:vAlign w:val="center"/>
          </w:tcPr>
          <w:p w:rsidR="00421E3B" w:rsidRPr="00431B1C" w:rsidRDefault="001829B5" w:rsidP="00CE54A9">
            <w:pPr>
              <w:spacing w:line="276" w:lineRule="auto"/>
              <w:contextualSpacing/>
              <w:rPr>
                <w:rFonts w:cs="Times New Roman"/>
              </w:rPr>
            </w:pPr>
            <w:r w:rsidRPr="00431B1C">
              <w:rPr>
                <w:rFonts w:cs="Times New Roman"/>
              </w:rPr>
              <w:t>18</w:t>
            </w:r>
          </w:p>
        </w:tc>
        <w:tc>
          <w:tcPr>
            <w:tcW w:w="5418" w:type="dxa"/>
            <w:tcBorders>
              <w:top w:val="nil"/>
              <w:left w:val="nil"/>
              <w:bottom w:val="nil"/>
              <w:right w:val="nil"/>
            </w:tcBorders>
            <w:vAlign w:val="center"/>
          </w:tcPr>
          <w:p w:rsidR="00421E3B" w:rsidRPr="00431B1C" w:rsidRDefault="00421E3B" w:rsidP="00CE54A9">
            <w:pPr>
              <w:contextualSpacing/>
              <w:rPr>
                <w:rFonts w:cs="Times New Roman"/>
              </w:rPr>
            </w:pPr>
            <w:r w:rsidRPr="00431B1C">
              <w:rPr>
                <w:rFonts w:cs="Times New Roman"/>
              </w:rPr>
              <w:t>Political Parties, or bodies with political association</w:t>
            </w:r>
          </w:p>
        </w:tc>
      </w:tr>
      <w:tr w:rsidR="00421E3B"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21E3B" w:rsidRPr="00431B1C" w:rsidRDefault="00421E3B" w:rsidP="00CE54A9">
            <w:pPr>
              <w:pStyle w:val="NoSpacing"/>
            </w:pPr>
            <w:r w:rsidRPr="00431B1C">
              <w:t>18.</w:t>
            </w:r>
          </w:p>
        </w:tc>
        <w:tc>
          <w:tcPr>
            <w:tcW w:w="7182" w:type="dxa"/>
            <w:tcBorders>
              <w:top w:val="nil"/>
              <w:left w:val="nil"/>
              <w:bottom w:val="nil"/>
              <w:right w:val="nil"/>
            </w:tcBorders>
            <w:vAlign w:val="center"/>
          </w:tcPr>
          <w:p w:rsidR="00421E3B" w:rsidRPr="00431B1C" w:rsidRDefault="00421E3B" w:rsidP="00CE54A9">
            <w:pPr>
              <w:pStyle w:val="NoSpacing"/>
            </w:pPr>
            <w:r w:rsidRPr="00431B1C">
              <w:rPr>
                <w:rFonts w:eastAsia="Times New Roman" w:cs="Times New Roman"/>
                <w:color w:val="000000"/>
              </w:rPr>
              <w:t>Financial Sector Charter Council</w:t>
            </w:r>
          </w:p>
        </w:tc>
        <w:tc>
          <w:tcPr>
            <w:tcW w:w="990" w:type="dxa"/>
            <w:tcBorders>
              <w:top w:val="nil"/>
              <w:left w:val="nil"/>
              <w:bottom w:val="nil"/>
              <w:right w:val="nil"/>
            </w:tcBorders>
            <w:vAlign w:val="center"/>
          </w:tcPr>
          <w:p w:rsidR="00421E3B" w:rsidRPr="00431B1C" w:rsidRDefault="001829B5" w:rsidP="00CE54A9">
            <w:pPr>
              <w:spacing w:line="276" w:lineRule="auto"/>
              <w:contextualSpacing/>
              <w:rPr>
                <w:rFonts w:cs="Times New Roman"/>
              </w:rPr>
            </w:pPr>
            <w:r w:rsidRPr="00431B1C">
              <w:rPr>
                <w:rFonts w:cs="Times New Roman"/>
              </w:rPr>
              <w:t>16</w:t>
            </w:r>
          </w:p>
        </w:tc>
        <w:tc>
          <w:tcPr>
            <w:tcW w:w="5418" w:type="dxa"/>
            <w:tcBorders>
              <w:top w:val="nil"/>
              <w:left w:val="nil"/>
              <w:bottom w:val="nil"/>
              <w:right w:val="nil"/>
            </w:tcBorders>
            <w:vAlign w:val="center"/>
          </w:tcPr>
          <w:p w:rsidR="00421E3B" w:rsidRPr="00431B1C" w:rsidRDefault="00421E3B" w:rsidP="00CE54A9">
            <w:pPr>
              <w:contextualSpacing/>
              <w:rPr>
                <w:rFonts w:cs="Times New Roman"/>
              </w:rPr>
            </w:pPr>
            <w:r w:rsidRPr="00431B1C">
              <w:t>Bodies for constituency negotiation and agreement</w:t>
            </w:r>
          </w:p>
        </w:tc>
      </w:tr>
      <w:tr w:rsidR="00983325" w:rsidRPr="00B74391"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983325" w:rsidRPr="00431B1C" w:rsidRDefault="00983325" w:rsidP="0010663D">
            <w:pPr>
              <w:pStyle w:val="NoSpacing"/>
            </w:pPr>
            <w:r w:rsidRPr="00431B1C">
              <w:t>19.</w:t>
            </w:r>
          </w:p>
        </w:tc>
        <w:tc>
          <w:tcPr>
            <w:tcW w:w="7182" w:type="dxa"/>
            <w:tcBorders>
              <w:top w:val="nil"/>
              <w:left w:val="nil"/>
              <w:bottom w:val="nil"/>
              <w:right w:val="nil"/>
            </w:tcBorders>
            <w:vAlign w:val="center"/>
          </w:tcPr>
          <w:p w:rsidR="00983325" w:rsidRPr="00431B1C" w:rsidRDefault="00983325" w:rsidP="0010663D">
            <w:pPr>
              <w:pStyle w:val="NoSpacing"/>
            </w:pPr>
            <w:r w:rsidRPr="00431B1C">
              <w:rPr>
                <w:rFonts w:eastAsia="Times New Roman" w:cs="Times New Roman"/>
                <w:color w:val="000000"/>
              </w:rPr>
              <w:t>Finmark Trust</w:t>
            </w:r>
          </w:p>
        </w:tc>
        <w:tc>
          <w:tcPr>
            <w:tcW w:w="990" w:type="dxa"/>
            <w:tcBorders>
              <w:top w:val="nil"/>
              <w:left w:val="nil"/>
              <w:bottom w:val="nil"/>
              <w:right w:val="nil"/>
            </w:tcBorders>
            <w:vAlign w:val="center"/>
          </w:tcPr>
          <w:p w:rsidR="00983325" w:rsidRPr="00431B1C" w:rsidRDefault="00431B1C" w:rsidP="0010663D">
            <w:pPr>
              <w:spacing w:line="276" w:lineRule="auto"/>
              <w:contextualSpacing/>
              <w:rPr>
                <w:rFonts w:cs="Times New Roman"/>
                <w:bCs/>
                <w:lang w:val="en-GB"/>
              </w:rPr>
            </w:pPr>
            <w:r w:rsidRPr="00431B1C">
              <w:rPr>
                <w:rFonts w:cs="Times New Roman"/>
                <w:bCs/>
                <w:lang w:val="en-GB"/>
              </w:rPr>
              <w:t>44</w:t>
            </w:r>
          </w:p>
        </w:tc>
        <w:tc>
          <w:tcPr>
            <w:tcW w:w="5418" w:type="dxa"/>
            <w:tcBorders>
              <w:top w:val="nil"/>
              <w:left w:val="nil"/>
              <w:bottom w:val="nil"/>
              <w:right w:val="nil"/>
            </w:tcBorders>
            <w:vAlign w:val="center"/>
          </w:tcPr>
          <w:p w:rsidR="00983325" w:rsidRPr="00431B1C" w:rsidRDefault="00983325" w:rsidP="0010663D">
            <w:pPr>
              <w:contextualSpacing/>
              <w:rPr>
                <w:rFonts w:cs="Times New Roman"/>
                <w:bCs/>
                <w:lang w:val="en-GB"/>
              </w:rPr>
            </w:pPr>
            <w:r w:rsidRPr="00431B1C">
              <w:rPr>
                <w:rFonts w:cs="Times New Roman"/>
              </w:rPr>
              <w:t>Civic Society</w:t>
            </w:r>
          </w:p>
        </w:tc>
      </w:tr>
      <w:tr w:rsidR="00983325"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983325" w:rsidRPr="00431B1C" w:rsidRDefault="00983325" w:rsidP="00983325">
            <w:pPr>
              <w:pStyle w:val="NoSpacing"/>
            </w:pPr>
            <w:r w:rsidRPr="00431B1C">
              <w:t>20.</w:t>
            </w:r>
          </w:p>
        </w:tc>
        <w:tc>
          <w:tcPr>
            <w:tcW w:w="7182" w:type="dxa"/>
            <w:tcBorders>
              <w:top w:val="nil"/>
              <w:left w:val="nil"/>
              <w:bottom w:val="nil"/>
              <w:right w:val="nil"/>
            </w:tcBorders>
            <w:vAlign w:val="center"/>
          </w:tcPr>
          <w:p w:rsidR="00983325" w:rsidRPr="00431B1C" w:rsidRDefault="00983325" w:rsidP="00983325">
            <w:pPr>
              <w:pStyle w:val="NoSpacing"/>
            </w:pPr>
            <w:r w:rsidRPr="00431B1C">
              <w:rPr>
                <w:rFonts w:eastAsia="Times New Roman" w:cs="Times New Roman"/>
                <w:color w:val="000000"/>
              </w:rPr>
              <w:t>First Rand</w:t>
            </w:r>
          </w:p>
        </w:tc>
        <w:tc>
          <w:tcPr>
            <w:tcW w:w="990" w:type="dxa"/>
            <w:tcBorders>
              <w:top w:val="nil"/>
              <w:left w:val="nil"/>
              <w:bottom w:val="nil"/>
              <w:right w:val="nil"/>
            </w:tcBorders>
            <w:vAlign w:val="center"/>
          </w:tcPr>
          <w:p w:rsidR="00983325" w:rsidRPr="00431B1C" w:rsidRDefault="00431B1C" w:rsidP="00983325">
            <w:pPr>
              <w:contextualSpacing/>
              <w:rPr>
                <w:rFonts w:cs="Times New Roman"/>
                <w:bCs/>
                <w:lang w:val="en-GB"/>
              </w:rPr>
            </w:pPr>
            <w:r w:rsidRPr="00431B1C">
              <w:rPr>
                <w:rFonts w:cs="Times New Roman"/>
                <w:bCs/>
                <w:lang w:val="en-GB"/>
              </w:rPr>
              <w:t>26</w:t>
            </w:r>
          </w:p>
        </w:tc>
        <w:tc>
          <w:tcPr>
            <w:tcW w:w="5418" w:type="dxa"/>
            <w:tcBorders>
              <w:top w:val="nil"/>
              <w:left w:val="nil"/>
              <w:bottom w:val="nil"/>
              <w:right w:val="nil"/>
            </w:tcBorders>
            <w:vAlign w:val="center"/>
          </w:tcPr>
          <w:p w:rsidR="00983325" w:rsidRPr="00431B1C" w:rsidRDefault="00983325" w:rsidP="00983325">
            <w:pPr>
              <w:contextualSpacing/>
              <w:rPr>
                <w:rFonts w:cs="Times New Roman"/>
                <w:bCs/>
                <w:lang w:val="en-GB"/>
              </w:rPr>
            </w:pPr>
            <w:r w:rsidRPr="00431B1C">
              <w:rPr>
                <w:rFonts w:cs="Times New Roman"/>
              </w:rPr>
              <w:t>Industry and industry representative bodies: banking</w:t>
            </w:r>
          </w:p>
        </w:tc>
      </w:tr>
      <w:tr w:rsidR="00983325" w:rsidRPr="00CE54A9" w:rsidTr="00431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983325" w:rsidRPr="00431B1C" w:rsidRDefault="00983325" w:rsidP="00983325">
            <w:pPr>
              <w:pStyle w:val="NoSpacing"/>
            </w:pPr>
          </w:p>
        </w:tc>
        <w:tc>
          <w:tcPr>
            <w:tcW w:w="7182" w:type="dxa"/>
            <w:tcBorders>
              <w:top w:val="nil"/>
              <w:left w:val="nil"/>
              <w:bottom w:val="nil"/>
              <w:right w:val="nil"/>
            </w:tcBorders>
            <w:vAlign w:val="center"/>
          </w:tcPr>
          <w:p w:rsidR="00983325" w:rsidRPr="00431B1C" w:rsidRDefault="00983325" w:rsidP="00983325">
            <w:pPr>
              <w:pStyle w:val="NoSpacing"/>
            </w:pPr>
          </w:p>
        </w:tc>
        <w:tc>
          <w:tcPr>
            <w:tcW w:w="990" w:type="dxa"/>
            <w:tcBorders>
              <w:top w:val="nil"/>
              <w:left w:val="nil"/>
              <w:bottom w:val="nil"/>
              <w:right w:val="nil"/>
            </w:tcBorders>
            <w:vAlign w:val="center"/>
          </w:tcPr>
          <w:p w:rsidR="00983325" w:rsidRPr="00431B1C" w:rsidRDefault="00983325" w:rsidP="00983325">
            <w:pPr>
              <w:contextualSpacing/>
              <w:rPr>
                <w:rFonts w:cs="Times New Roman"/>
                <w:bCs/>
                <w:lang w:val="en-GB"/>
              </w:rPr>
            </w:pPr>
          </w:p>
        </w:tc>
        <w:tc>
          <w:tcPr>
            <w:tcW w:w="5418" w:type="dxa"/>
            <w:tcBorders>
              <w:top w:val="nil"/>
              <w:left w:val="nil"/>
              <w:bottom w:val="nil"/>
              <w:right w:val="nil"/>
            </w:tcBorders>
            <w:vAlign w:val="center"/>
          </w:tcPr>
          <w:p w:rsidR="00983325" w:rsidRPr="00431B1C" w:rsidRDefault="00983325" w:rsidP="00983325">
            <w:pPr>
              <w:contextualSpacing/>
              <w:rPr>
                <w:rFonts w:cs="Times New Roman"/>
                <w:bCs/>
                <w:lang w:val="en-GB"/>
              </w:rPr>
            </w:pPr>
          </w:p>
        </w:tc>
      </w:tr>
      <w:tr w:rsidR="00983325" w:rsidRPr="00CE54A9" w:rsidTr="0042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983325" w:rsidRPr="00421E3B" w:rsidRDefault="00983325" w:rsidP="00983325">
            <w:pPr>
              <w:pStyle w:val="NoSpacing"/>
            </w:pPr>
          </w:p>
        </w:tc>
        <w:tc>
          <w:tcPr>
            <w:tcW w:w="7182" w:type="dxa"/>
            <w:tcBorders>
              <w:top w:val="nil"/>
              <w:left w:val="nil"/>
              <w:bottom w:val="nil"/>
              <w:right w:val="nil"/>
            </w:tcBorders>
            <w:vAlign w:val="center"/>
          </w:tcPr>
          <w:p w:rsidR="00983325" w:rsidRPr="00CE54A9" w:rsidRDefault="00983325" w:rsidP="00983325">
            <w:pPr>
              <w:pStyle w:val="NoSpacing"/>
              <w:rPr>
                <w:sz w:val="21"/>
                <w:szCs w:val="21"/>
              </w:rPr>
            </w:pPr>
          </w:p>
        </w:tc>
        <w:tc>
          <w:tcPr>
            <w:tcW w:w="990" w:type="dxa"/>
            <w:tcBorders>
              <w:top w:val="nil"/>
              <w:left w:val="nil"/>
              <w:bottom w:val="nil"/>
              <w:right w:val="nil"/>
            </w:tcBorders>
            <w:vAlign w:val="center"/>
          </w:tcPr>
          <w:p w:rsidR="00983325" w:rsidRPr="00CE54A9" w:rsidRDefault="00983325" w:rsidP="00983325">
            <w:pPr>
              <w:contextualSpacing/>
              <w:rPr>
                <w:rFonts w:cs="Times New Roman"/>
                <w:bCs/>
                <w:sz w:val="21"/>
                <w:szCs w:val="21"/>
                <w:lang w:val="en-GB"/>
              </w:rPr>
            </w:pPr>
          </w:p>
        </w:tc>
        <w:tc>
          <w:tcPr>
            <w:tcW w:w="5418" w:type="dxa"/>
            <w:tcBorders>
              <w:top w:val="nil"/>
              <w:left w:val="nil"/>
              <w:bottom w:val="nil"/>
              <w:right w:val="nil"/>
            </w:tcBorders>
            <w:vAlign w:val="center"/>
          </w:tcPr>
          <w:p w:rsidR="00983325" w:rsidRPr="00CE54A9" w:rsidRDefault="00983325" w:rsidP="00983325">
            <w:pPr>
              <w:contextualSpacing/>
              <w:rPr>
                <w:rFonts w:cs="Times New Roman"/>
                <w:bCs/>
                <w:sz w:val="21"/>
                <w:szCs w:val="21"/>
                <w:lang w:val="en-GB"/>
              </w:rPr>
            </w:pPr>
          </w:p>
        </w:tc>
      </w:tr>
      <w:tr w:rsidR="00983325" w:rsidRPr="00CE54A9" w:rsidTr="0042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983325" w:rsidRPr="00421E3B" w:rsidRDefault="00983325" w:rsidP="00983325">
            <w:pPr>
              <w:pStyle w:val="NoSpacing"/>
            </w:pPr>
          </w:p>
        </w:tc>
        <w:tc>
          <w:tcPr>
            <w:tcW w:w="7182" w:type="dxa"/>
            <w:tcBorders>
              <w:top w:val="nil"/>
              <w:left w:val="nil"/>
              <w:bottom w:val="nil"/>
              <w:right w:val="nil"/>
            </w:tcBorders>
            <w:vAlign w:val="center"/>
          </w:tcPr>
          <w:p w:rsidR="00983325" w:rsidRPr="00CE54A9" w:rsidRDefault="00983325" w:rsidP="00983325">
            <w:pPr>
              <w:pStyle w:val="NoSpacing"/>
              <w:rPr>
                <w:sz w:val="21"/>
                <w:szCs w:val="21"/>
              </w:rPr>
            </w:pPr>
          </w:p>
        </w:tc>
        <w:tc>
          <w:tcPr>
            <w:tcW w:w="990" w:type="dxa"/>
            <w:tcBorders>
              <w:top w:val="nil"/>
              <w:left w:val="nil"/>
              <w:bottom w:val="nil"/>
              <w:right w:val="nil"/>
            </w:tcBorders>
            <w:vAlign w:val="center"/>
          </w:tcPr>
          <w:p w:rsidR="00983325" w:rsidRPr="00CE54A9" w:rsidRDefault="00983325" w:rsidP="00983325">
            <w:pPr>
              <w:contextualSpacing/>
              <w:rPr>
                <w:rFonts w:cs="Times New Roman"/>
                <w:bCs/>
                <w:sz w:val="21"/>
                <w:szCs w:val="21"/>
                <w:lang w:val="en-GB"/>
              </w:rPr>
            </w:pPr>
          </w:p>
        </w:tc>
        <w:tc>
          <w:tcPr>
            <w:tcW w:w="5418" w:type="dxa"/>
            <w:tcBorders>
              <w:top w:val="nil"/>
              <w:left w:val="nil"/>
              <w:bottom w:val="nil"/>
              <w:right w:val="nil"/>
            </w:tcBorders>
            <w:vAlign w:val="center"/>
          </w:tcPr>
          <w:p w:rsidR="00983325" w:rsidRPr="00CE54A9" w:rsidRDefault="00983325" w:rsidP="00983325">
            <w:pPr>
              <w:contextualSpacing/>
              <w:rPr>
                <w:rFonts w:cs="Times New Roman"/>
                <w:bCs/>
                <w:sz w:val="21"/>
                <w:szCs w:val="21"/>
                <w:lang w:val="en-GB"/>
              </w:rPr>
            </w:pPr>
          </w:p>
        </w:tc>
      </w:tr>
      <w:tr w:rsidR="00983325" w:rsidRPr="00CE54A9" w:rsidTr="00B74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shd w:val="clear" w:color="auto" w:fill="943634" w:themeFill="accent2" w:themeFillShade="BF"/>
            <w:vAlign w:val="center"/>
          </w:tcPr>
          <w:p w:rsidR="00983325" w:rsidRPr="00421E3B" w:rsidRDefault="00983325" w:rsidP="00983325">
            <w:pPr>
              <w:pStyle w:val="NoSpacing"/>
            </w:pPr>
          </w:p>
        </w:tc>
        <w:tc>
          <w:tcPr>
            <w:tcW w:w="7182" w:type="dxa"/>
            <w:tcBorders>
              <w:top w:val="nil"/>
              <w:left w:val="nil"/>
              <w:bottom w:val="nil"/>
              <w:right w:val="nil"/>
            </w:tcBorders>
            <w:shd w:val="clear" w:color="auto" w:fill="943634" w:themeFill="accent2" w:themeFillShade="BF"/>
            <w:vAlign w:val="center"/>
          </w:tcPr>
          <w:p w:rsidR="00983325" w:rsidRPr="00CE54A9" w:rsidRDefault="00983325" w:rsidP="00983325">
            <w:pPr>
              <w:pStyle w:val="NoSpacing"/>
              <w:rPr>
                <w:sz w:val="21"/>
                <w:szCs w:val="21"/>
              </w:rPr>
            </w:pPr>
            <w:r w:rsidRPr="00CE54A9">
              <w:rPr>
                <w:rFonts w:cs="Times New Roman"/>
                <w:b/>
                <w:color w:val="FFFFFF" w:themeColor="background1"/>
                <w:sz w:val="24"/>
                <w:szCs w:val="24"/>
              </w:rPr>
              <w:t>Agency/ Organisation</w:t>
            </w:r>
          </w:p>
        </w:tc>
        <w:tc>
          <w:tcPr>
            <w:tcW w:w="990" w:type="dxa"/>
            <w:tcBorders>
              <w:top w:val="nil"/>
              <w:left w:val="nil"/>
              <w:bottom w:val="nil"/>
              <w:right w:val="nil"/>
            </w:tcBorders>
            <w:shd w:val="clear" w:color="auto" w:fill="943634" w:themeFill="accent2" w:themeFillShade="BF"/>
            <w:vAlign w:val="center"/>
          </w:tcPr>
          <w:p w:rsidR="00983325" w:rsidRPr="00CE54A9" w:rsidRDefault="00983325" w:rsidP="00983325">
            <w:pPr>
              <w:spacing w:line="276" w:lineRule="auto"/>
              <w:contextualSpacing/>
              <w:rPr>
                <w:rFonts w:cs="Times New Roman"/>
                <w:bCs/>
                <w:sz w:val="21"/>
                <w:szCs w:val="21"/>
                <w:lang w:val="en-GB"/>
              </w:rPr>
            </w:pPr>
            <w:r w:rsidRPr="00CE54A9">
              <w:rPr>
                <w:rFonts w:cs="Times New Roman"/>
                <w:b/>
                <w:color w:val="FFFFFF" w:themeColor="background1"/>
                <w:sz w:val="24"/>
                <w:szCs w:val="24"/>
              </w:rPr>
              <w:t>Page</w:t>
            </w:r>
          </w:p>
        </w:tc>
        <w:tc>
          <w:tcPr>
            <w:tcW w:w="5418" w:type="dxa"/>
            <w:tcBorders>
              <w:top w:val="nil"/>
              <w:left w:val="nil"/>
              <w:bottom w:val="nil"/>
              <w:right w:val="nil"/>
            </w:tcBorders>
            <w:shd w:val="clear" w:color="auto" w:fill="943634" w:themeFill="accent2" w:themeFillShade="BF"/>
            <w:vAlign w:val="center"/>
          </w:tcPr>
          <w:p w:rsidR="00983325" w:rsidRPr="00CE54A9" w:rsidRDefault="00983325" w:rsidP="00983325">
            <w:pPr>
              <w:contextualSpacing/>
              <w:rPr>
                <w:rFonts w:cs="Times New Roman"/>
                <w:bCs/>
                <w:sz w:val="21"/>
                <w:szCs w:val="21"/>
                <w:lang w:val="en-GB"/>
              </w:rPr>
            </w:pPr>
            <w:r w:rsidRPr="00CE54A9">
              <w:rPr>
                <w:rFonts w:cs="Times New Roman"/>
                <w:b/>
                <w:color w:val="FFFFFF" w:themeColor="background1"/>
                <w:sz w:val="24"/>
                <w:szCs w:val="24"/>
              </w:rPr>
              <w:t>Category of submission</w:t>
            </w:r>
          </w:p>
        </w:tc>
      </w:tr>
      <w:tr w:rsidR="00983325"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983325" w:rsidRPr="00B74391" w:rsidRDefault="00983325" w:rsidP="00983325">
            <w:pPr>
              <w:pStyle w:val="NoSpacing"/>
              <w:rPr>
                <w:sz w:val="21"/>
                <w:szCs w:val="21"/>
              </w:rPr>
            </w:pPr>
          </w:p>
        </w:tc>
        <w:tc>
          <w:tcPr>
            <w:tcW w:w="7182" w:type="dxa"/>
            <w:tcBorders>
              <w:top w:val="nil"/>
              <w:left w:val="nil"/>
              <w:bottom w:val="nil"/>
              <w:right w:val="nil"/>
            </w:tcBorders>
            <w:vAlign w:val="center"/>
          </w:tcPr>
          <w:p w:rsidR="00983325" w:rsidRPr="00B74391" w:rsidRDefault="00983325" w:rsidP="00983325">
            <w:pPr>
              <w:pStyle w:val="NoSpacing"/>
              <w:rPr>
                <w:sz w:val="21"/>
                <w:szCs w:val="21"/>
              </w:rPr>
            </w:pPr>
          </w:p>
        </w:tc>
        <w:tc>
          <w:tcPr>
            <w:tcW w:w="990" w:type="dxa"/>
            <w:tcBorders>
              <w:top w:val="nil"/>
              <w:left w:val="nil"/>
              <w:bottom w:val="nil"/>
              <w:right w:val="nil"/>
            </w:tcBorders>
            <w:vAlign w:val="center"/>
          </w:tcPr>
          <w:p w:rsidR="00983325" w:rsidRPr="00B74391" w:rsidRDefault="00983325" w:rsidP="00983325">
            <w:pPr>
              <w:spacing w:line="276" w:lineRule="auto"/>
              <w:contextualSpacing/>
              <w:rPr>
                <w:rFonts w:cs="Times New Roman"/>
                <w:bCs/>
                <w:sz w:val="21"/>
                <w:szCs w:val="21"/>
                <w:lang w:val="en-GB"/>
              </w:rPr>
            </w:pPr>
          </w:p>
        </w:tc>
        <w:tc>
          <w:tcPr>
            <w:tcW w:w="5418" w:type="dxa"/>
            <w:tcBorders>
              <w:top w:val="nil"/>
              <w:left w:val="nil"/>
              <w:bottom w:val="nil"/>
              <w:right w:val="nil"/>
            </w:tcBorders>
            <w:vAlign w:val="center"/>
          </w:tcPr>
          <w:p w:rsidR="00983325" w:rsidRPr="00B74391" w:rsidRDefault="00983325" w:rsidP="00983325">
            <w:pPr>
              <w:contextualSpacing/>
              <w:rPr>
                <w:rFonts w:cs="Times New Roman"/>
                <w:bCs/>
                <w:sz w:val="21"/>
                <w:szCs w:val="21"/>
                <w:lang w:val="en-GB"/>
              </w:rPr>
            </w:pPr>
          </w:p>
        </w:tc>
      </w:tr>
      <w:tr w:rsidR="00983325"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983325" w:rsidRPr="00431B1C" w:rsidRDefault="00983325" w:rsidP="00983325">
            <w:pPr>
              <w:pStyle w:val="NoSpacing"/>
            </w:pPr>
            <w:r w:rsidRPr="00431B1C">
              <w:t>21.</w:t>
            </w:r>
          </w:p>
        </w:tc>
        <w:tc>
          <w:tcPr>
            <w:tcW w:w="7182" w:type="dxa"/>
            <w:tcBorders>
              <w:top w:val="nil"/>
              <w:left w:val="nil"/>
              <w:bottom w:val="nil"/>
              <w:right w:val="nil"/>
            </w:tcBorders>
            <w:vAlign w:val="center"/>
          </w:tcPr>
          <w:p w:rsidR="00983325" w:rsidRPr="00431B1C" w:rsidRDefault="00983325" w:rsidP="00983325">
            <w:pPr>
              <w:pStyle w:val="NoSpacing"/>
            </w:pPr>
            <w:r w:rsidRPr="00431B1C">
              <w:rPr>
                <w:rFonts w:eastAsia="Times New Roman" w:cs="Times New Roman"/>
                <w:color w:val="000000"/>
              </w:rPr>
              <w:t>Firstsource Money</w:t>
            </w:r>
          </w:p>
        </w:tc>
        <w:tc>
          <w:tcPr>
            <w:tcW w:w="990" w:type="dxa"/>
            <w:tcBorders>
              <w:top w:val="nil"/>
              <w:left w:val="nil"/>
              <w:bottom w:val="nil"/>
              <w:right w:val="nil"/>
            </w:tcBorders>
            <w:vAlign w:val="center"/>
          </w:tcPr>
          <w:p w:rsidR="00983325" w:rsidRPr="00431B1C" w:rsidRDefault="00431B1C" w:rsidP="00983325">
            <w:pPr>
              <w:spacing w:line="276" w:lineRule="auto"/>
              <w:contextualSpacing/>
              <w:rPr>
                <w:rFonts w:cs="Times New Roman"/>
              </w:rPr>
            </w:pPr>
            <w:r w:rsidRPr="00431B1C">
              <w:rPr>
                <w:rFonts w:cs="Times New Roman"/>
              </w:rPr>
              <w:t>44</w:t>
            </w:r>
          </w:p>
        </w:tc>
        <w:tc>
          <w:tcPr>
            <w:tcW w:w="5418" w:type="dxa"/>
            <w:tcBorders>
              <w:top w:val="nil"/>
              <w:left w:val="nil"/>
              <w:bottom w:val="nil"/>
              <w:right w:val="nil"/>
            </w:tcBorders>
            <w:vAlign w:val="center"/>
          </w:tcPr>
          <w:p w:rsidR="00983325" w:rsidRPr="00431B1C" w:rsidRDefault="00983325" w:rsidP="00983325">
            <w:pPr>
              <w:contextualSpacing/>
              <w:rPr>
                <w:rFonts w:cs="Times New Roman"/>
              </w:rPr>
            </w:pPr>
            <w:r w:rsidRPr="00431B1C">
              <w:rPr>
                <w:rFonts w:cs="Times New Roman"/>
              </w:rPr>
              <w:t>Civic Society</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22.</w:t>
            </w:r>
          </w:p>
        </w:tc>
        <w:tc>
          <w:tcPr>
            <w:tcW w:w="7182" w:type="dxa"/>
            <w:tcBorders>
              <w:top w:val="nil"/>
              <w:left w:val="nil"/>
              <w:bottom w:val="nil"/>
              <w:right w:val="nil"/>
            </w:tcBorders>
            <w:vAlign w:val="center"/>
          </w:tcPr>
          <w:p w:rsidR="00431B1C" w:rsidRPr="00431B1C" w:rsidRDefault="00431B1C" w:rsidP="00983325">
            <w:pPr>
              <w:pStyle w:val="NoSpacing"/>
            </w:pPr>
            <w:r w:rsidRPr="00431B1C">
              <w:t>Johannesburg Stock Exchange (JSE)</w:t>
            </w:r>
          </w:p>
        </w:tc>
        <w:tc>
          <w:tcPr>
            <w:tcW w:w="990" w:type="dxa"/>
            <w:tcBorders>
              <w:top w:val="nil"/>
              <w:left w:val="nil"/>
              <w:bottom w:val="nil"/>
              <w:right w:val="nil"/>
            </w:tcBorders>
            <w:vAlign w:val="center"/>
          </w:tcPr>
          <w:p w:rsidR="00431B1C" w:rsidRPr="00431B1C" w:rsidRDefault="00431B1C" w:rsidP="00983325">
            <w:pPr>
              <w:pStyle w:val="NoSpacing"/>
              <w:rPr>
                <w:rFonts w:cs="Times New Roman"/>
              </w:rPr>
            </w:pPr>
            <w:r w:rsidRPr="00431B1C">
              <w:rPr>
                <w:rFonts w:cs="Times New Roman"/>
              </w:rPr>
              <w:t>23</w:t>
            </w:r>
          </w:p>
        </w:tc>
        <w:tc>
          <w:tcPr>
            <w:tcW w:w="5418" w:type="dxa"/>
            <w:tcBorders>
              <w:top w:val="nil"/>
              <w:left w:val="nil"/>
              <w:bottom w:val="nil"/>
              <w:right w:val="nil"/>
            </w:tcBorders>
            <w:vAlign w:val="center"/>
          </w:tcPr>
          <w:p w:rsidR="00431B1C" w:rsidRPr="00431B1C" w:rsidRDefault="00431B1C" w:rsidP="00983325">
            <w:pPr>
              <w:pStyle w:val="NoSpacing"/>
              <w:rPr>
                <w:rFonts w:cs="Times New Roman"/>
              </w:rPr>
            </w:pPr>
            <w:r w:rsidRPr="00431B1C">
              <w:rPr>
                <w:rFonts w:cs="Times New Roman"/>
              </w:rPr>
              <w:t>Industry and industry representative bodies: sector-wide</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23.</w:t>
            </w:r>
          </w:p>
        </w:tc>
        <w:tc>
          <w:tcPr>
            <w:tcW w:w="7182" w:type="dxa"/>
            <w:tcBorders>
              <w:top w:val="nil"/>
              <w:left w:val="nil"/>
              <w:bottom w:val="nil"/>
              <w:right w:val="nil"/>
            </w:tcBorders>
            <w:vAlign w:val="center"/>
          </w:tcPr>
          <w:p w:rsidR="00431B1C" w:rsidRPr="00431B1C" w:rsidRDefault="00431B1C" w:rsidP="00983325">
            <w:pPr>
              <w:pStyle w:val="NoSpacing"/>
            </w:pPr>
            <w:r w:rsidRPr="00431B1C">
              <w:t>Mr Keith Levenstein</w:t>
            </w:r>
          </w:p>
        </w:tc>
        <w:tc>
          <w:tcPr>
            <w:tcW w:w="990" w:type="dxa"/>
            <w:tcBorders>
              <w:top w:val="nil"/>
              <w:left w:val="nil"/>
              <w:bottom w:val="nil"/>
              <w:right w:val="nil"/>
            </w:tcBorders>
            <w:vAlign w:val="center"/>
          </w:tcPr>
          <w:p w:rsidR="00431B1C" w:rsidRPr="00431B1C" w:rsidRDefault="00431B1C" w:rsidP="00983325">
            <w:pPr>
              <w:spacing w:line="276" w:lineRule="auto"/>
              <w:contextualSpacing/>
              <w:rPr>
                <w:rFonts w:cs="Times New Roman"/>
              </w:rPr>
            </w:pPr>
            <w:r w:rsidRPr="00431B1C">
              <w:rPr>
                <w:rFonts w:cs="Times New Roman"/>
              </w:rPr>
              <w:t>45</w:t>
            </w:r>
          </w:p>
        </w:tc>
        <w:tc>
          <w:tcPr>
            <w:tcW w:w="5418" w:type="dxa"/>
            <w:tcBorders>
              <w:top w:val="nil"/>
              <w:left w:val="nil"/>
              <w:bottom w:val="nil"/>
              <w:right w:val="nil"/>
            </w:tcBorders>
            <w:vAlign w:val="center"/>
          </w:tcPr>
          <w:p w:rsidR="00431B1C" w:rsidRPr="00431B1C" w:rsidRDefault="00431B1C" w:rsidP="00983325">
            <w:pPr>
              <w:contextualSpacing/>
              <w:rPr>
                <w:rFonts w:cs="Times New Roman"/>
              </w:rPr>
            </w:pPr>
            <w:r w:rsidRPr="00431B1C">
              <w:rPr>
                <w:rFonts w:cs="Times New Roman"/>
              </w:rPr>
              <w:t>Civic Society</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24.</w:t>
            </w:r>
          </w:p>
        </w:tc>
        <w:tc>
          <w:tcPr>
            <w:tcW w:w="7182" w:type="dxa"/>
            <w:tcBorders>
              <w:top w:val="nil"/>
              <w:left w:val="nil"/>
              <w:bottom w:val="nil"/>
              <w:right w:val="nil"/>
            </w:tcBorders>
            <w:vAlign w:val="center"/>
          </w:tcPr>
          <w:p w:rsidR="00431B1C" w:rsidRPr="00431B1C" w:rsidRDefault="00431B1C" w:rsidP="00983325">
            <w:pPr>
              <w:pStyle w:val="NoSpacing"/>
            </w:pPr>
            <w:r w:rsidRPr="00431B1C">
              <w:t>Limpopo Forum Secondary Financial Cooperative</w:t>
            </w:r>
          </w:p>
        </w:tc>
        <w:tc>
          <w:tcPr>
            <w:tcW w:w="990" w:type="dxa"/>
            <w:tcBorders>
              <w:top w:val="nil"/>
              <w:left w:val="nil"/>
              <w:bottom w:val="nil"/>
              <w:right w:val="nil"/>
            </w:tcBorders>
            <w:vAlign w:val="center"/>
          </w:tcPr>
          <w:p w:rsidR="00431B1C" w:rsidRPr="00431B1C" w:rsidRDefault="00431B1C" w:rsidP="00983325">
            <w:pPr>
              <w:spacing w:line="276" w:lineRule="auto"/>
              <w:contextualSpacing/>
              <w:rPr>
                <w:rFonts w:cs="Times New Roman"/>
              </w:rPr>
            </w:pPr>
            <w:r w:rsidRPr="00431B1C">
              <w:rPr>
                <w:rFonts w:cs="Times New Roman"/>
              </w:rPr>
              <w:t>38</w:t>
            </w:r>
          </w:p>
        </w:tc>
        <w:tc>
          <w:tcPr>
            <w:tcW w:w="5418" w:type="dxa"/>
            <w:tcBorders>
              <w:top w:val="nil"/>
              <w:left w:val="nil"/>
              <w:bottom w:val="nil"/>
              <w:right w:val="nil"/>
            </w:tcBorders>
            <w:vAlign w:val="center"/>
          </w:tcPr>
          <w:p w:rsidR="00431B1C" w:rsidRPr="00431B1C" w:rsidRDefault="00431B1C" w:rsidP="00983325">
            <w:pPr>
              <w:contextualSpacing/>
              <w:rPr>
                <w:rFonts w:cs="Times New Roman"/>
              </w:rPr>
            </w:pPr>
            <w:r w:rsidRPr="00431B1C">
              <w:rPr>
                <w:rFonts w:cs="Times New Roman"/>
                <w:bCs/>
                <w:lang w:val="en-GB"/>
              </w:rPr>
              <w:t>Co-operative Bank Sector including development agency, banks and associations</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25.</w:t>
            </w:r>
          </w:p>
        </w:tc>
        <w:tc>
          <w:tcPr>
            <w:tcW w:w="7182" w:type="dxa"/>
            <w:tcBorders>
              <w:top w:val="nil"/>
              <w:left w:val="nil"/>
              <w:bottom w:val="nil"/>
              <w:right w:val="nil"/>
            </w:tcBorders>
            <w:vAlign w:val="center"/>
          </w:tcPr>
          <w:p w:rsidR="00431B1C" w:rsidRPr="00431B1C" w:rsidRDefault="00431B1C" w:rsidP="00983325">
            <w:pPr>
              <w:pStyle w:val="NoSpacing"/>
            </w:pPr>
            <w:r w:rsidRPr="00431B1C">
              <w:rPr>
                <w:rFonts w:eastAsia="Times New Roman" w:cs="Times New Roman"/>
                <w:color w:val="000000"/>
              </w:rPr>
              <w:t>Maxima Advisors</w:t>
            </w:r>
          </w:p>
        </w:tc>
        <w:tc>
          <w:tcPr>
            <w:tcW w:w="990" w:type="dxa"/>
            <w:tcBorders>
              <w:top w:val="nil"/>
              <w:left w:val="nil"/>
              <w:bottom w:val="nil"/>
              <w:right w:val="nil"/>
            </w:tcBorders>
            <w:vAlign w:val="center"/>
          </w:tcPr>
          <w:p w:rsidR="00431B1C" w:rsidRPr="00431B1C" w:rsidRDefault="00431B1C" w:rsidP="00983325">
            <w:pPr>
              <w:pStyle w:val="StewartMatrixx"/>
              <w:rPr>
                <w:rFonts w:asciiTheme="minorHAnsi" w:hAnsiTheme="minorHAnsi"/>
                <w:sz w:val="22"/>
                <w:szCs w:val="22"/>
              </w:rPr>
            </w:pPr>
            <w:r w:rsidRPr="00431B1C">
              <w:rPr>
                <w:rFonts w:asciiTheme="minorHAnsi" w:hAnsiTheme="minorHAnsi"/>
                <w:sz w:val="22"/>
                <w:szCs w:val="22"/>
              </w:rPr>
              <w:t>33</w:t>
            </w:r>
          </w:p>
        </w:tc>
        <w:tc>
          <w:tcPr>
            <w:tcW w:w="5418" w:type="dxa"/>
            <w:tcBorders>
              <w:top w:val="nil"/>
              <w:left w:val="nil"/>
              <w:bottom w:val="nil"/>
              <w:right w:val="nil"/>
            </w:tcBorders>
            <w:vAlign w:val="center"/>
          </w:tcPr>
          <w:p w:rsidR="00431B1C" w:rsidRPr="00431B1C" w:rsidRDefault="00431B1C" w:rsidP="00983325">
            <w:pPr>
              <w:pStyle w:val="StewartMatrixx"/>
              <w:rPr>
                <w:rFonts w:asciiTheme="minorHAnsi" w:hAnsiTheme="minorHAnsi"/>
                <w:sz w:val="22"/>
                <w:szCs w:val="22"/>
              </w:rPr>
            </w:pPr>
            <w:r w:rsidRPr="00431B1C">
              <w:rPr>
                <w:rFonts w:asciiTheme="minorHAnsi" w:hAnsiTheme="minorHAnsi"/>
                <w:sz w:val="22"/>
                <w:szCs w:val="22"/>
              </w:rPr>
              <w:t>Industry and industry representative bodies: insurance, asset management and intermediaries</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26.</w:t>
            </w:r>
          </w:p>
        </w:tc>
        <w:tc>
          <w:tcPr>
            <w:tcW w:w="7182" w:type="dxa"/>
            <w:tcBorders>
              <w:top w:val="nil"/>
              <w:left w:val="nil"/>
              <w:bottom w:val="nil"/>
              <w:right w:val="nil"/>
            </w:tcBorders>
            <w:vAlign w:val="center"/>
          </w:tcPr>
          <w:p w:rsidR="00431B1C" w:rsidRPr="00431B1C" w:rsidRDefault="00431B1C" w:rsidP="00983325">
            <w:pPr>
              <w:pStyle w:val="NoSpacing"/>
              <w:rPr>
                <w:rFonts w:eastAsia="Times New Roman" w:cs="Times New Roman"/>
                <w:color w:val="000000"/>
              </w:rPr>
            </w:pPr>
            <w:r w:rsidRPr="00431B1C">
              <w:rPr>
                <w:rFonts w:eastAsia="Times New Roman" w:cs="Times New Roman"/>
                <w:color w:val="000000"/>
              </w:rPr>
              <w:t>Microfinance SA</w:t>
            </w:r>
          </w:p>
        </w:tc>
        <w:tc>
          <w:tcPr>
            <w:tcW w:w="990" w:type="dxa"/>
            <w:tcBorders>
              <w:top w:val="nil"/>
              <w:left w:val="nil"/>
              <w:bottom w:val="nil"/>
              <w:right w:val="nil"/>
            </w:tcBorders>
            <w:vAlign w:val="center"/>
          </w:tcPr>
          <w:p w:rsidR="00431B1C" w:rsidRPr="00431B1C" w:rsidRDefault="00431B1C" w:rsidP="00983325">
            <w:pPr>
              <w:pStyle w:val="StewartMatrixx"/>
              <w:rPr>
                <w:rFonts w:asciiTheme="minorHAnsi" w:hAnsiTheme="minorHAnsi"/>
                <w:sz w:val="22"/>
                <w:szCs w:val="22"/>
              </w:rPr>
            </w:pPr>
            <w:r w:rsidRPr="00431B1C">
              <w:rPr>
                <w:rFonts w:asciiTheme="minorHAnsi" w:hAnsiTheme="minorHAnsi"/>
                <w:sz w:val="22"/>
                <w:szCs w:val="22"/>
              </w:rPr>
              <w:t>37</w:t>
            </w:r>
          </w:p>
        </w:tc>
        <w:tc>
          <w:tcPr>
            <w:tcW w:w="5418" w:type="dxa"/>
            <w:tcBorders>
              <w:top w:val="nil"/>
              <w:left w:val="nil"/>
              <w:bottom w:val="nil"/>
              <w:right w:val="nil"/>
            </w:tcBorders>
            <w:vAlign w:val="center"/>
          </w:tcPr>
          <w:p w:rsidR="00431B1C" w:rsidRPr="00431B1C" w:rsidRDefault="00431B1C" w:rsidP="00983325">
            <w:pPr>
              <w:pStyle w:val="StewartMatrixx"/>
              <w:rPr>
                <w:rFonts w:asciiTheme="minorHAnsi" w:hAnsiTheme="minorHAnsi"/>
                <w:sz w:val="22"/>
                <w:szCs w:val="22"/>
              </w:rPr>
            </w:pPr>
            <w:r w:rsidRPr="00431B1C">
              <w:rPr>
                <w:rFonts w:asciiTheme="minorHAnsi" w:hAnsiTheme="minorHAnsi"/>
                <w:bCs/>
                <w:sz w:val="22"/>
                <w:szCs w:val="22"/>
              </w:rPr>
              <w:t>Industry and industry representative bodies: Microfinance sector</w:t>
            </w:r>
          </w:p>
        </w:tc>
      </w:tr>
      <w:tr w:rsidR="00431B1C" w:rsidRPr="00CE54A9" w:rsidTr="00983325">
        <w:trPr>
          <w:trHeight w:val="477"/>
        </w:trPr>
        <w:tc>
          <w:tcPr>
            <w:tcW w:w="720" w:type="dxa"/>
            <w:tcBorders>
              <w:top w:val="nil"/>
              <w:left w:val="nil"/>
              <w:bottom w:val="nil"/>
              <w:right w:val="nil"/>
            </w:tcBorders>
            <w:vAlign w:val="center"/>
          </w:tcPr>
          <w:p w:rsidR="00431B1C" w:rsidRPr="00431B1C" w:rsidRDefault="00431B1C" w:rsidP="00983325">
            <w:pPr>
              <w:pStyle w:val="NoSpacing"/>
              <w:rPr>
                <w:rFonts w:cs="Times New Roman"/>
                <w:b/>
                <w:color w:val="FFFFFF" w:themeColor="background1"/>
              </w:rPr>
            </w:pPr>
            <w:r w:rsidRPr="00431B1C">
              <w:t>27.</w:t>
            </w:r>
          </w:p>
        </w:tc>
        <w:tc>
          <w:tcPr>
            <w:tcW w:w="7182" w:type="dxa"/>
            <w:tcBorders>
              <w:top w:val="nil"/>
              <w:left w:val="nil"/>
              <w:bottom w:val="nil"/>
              <w:right w:val="nil"/>
            </w:tcBorders>
            <w:vAlign w:val="center"/>
          </w:tcPr>
          <w:p w:rsidR="00431B1C" w:rsidRPr="00431B1C" w:rsidRDefault="00431B1C" w:rsidP="00983325">
            <w:pPr>
              <w:pStyle w:val="NoSpacing"/>
              <w:rPr>
                <w:rFonts w:cs="Times New Roman"/>
                <w:b/>
                <w:color w:val="FFFFFF" w:themeColor="background1"/>
              </w:rPr>
            </w:pPr>
            <w:r w:rsidRPr="00431B1C">
              <w:rPr>
                <w:rFonts w:eastAsia="Times New Roman" w:cs="Times New Roman"/>
                <w:color w:val="000000"/>
              </w:rPr>
              <w:t>National Apex Cooperative of SA</w:t>
            </w:r>
          </w:p>
        </w:tc>
        <w:tc>
          <w:tcPr>
            <w:tcW w:w="990" w:type="dxa"/>
            <w:tcBorders>
              <w:top w:val="nil"/>
              <w:left w:val="nil"/>
              <w:bottom w:val="nil"/>
              <w:right w:val="nil"/>
            </w:tcBorders>
            <w:vAlign w:val="center"/>
          </w:tcPr>
          <w:p w:rsidR="00431B1C" w:rsidRPr="00431B1C" w:rsidRDefault="00431B1C" w:rsidP="00983325">
            <w:pPr>
              <w:pStyle w:val="NoSpacing"/>
              <w:rPr>
                <w:rFonts w:cs="Times New Roman"/>
                <w:b/>
                <w:color w:val="FFFFFF" w:themeColor="background1"/>
              </w:rPr>
            </w:pPr>
            <w:r w:rsidRPr="00431B1C">
              <w:t>40</w:t>
            </w:r>
          </w:p>
        </w:tc>
        <w:tc>
          <w:tcPr>
            <w:tcW w:w="5418" w:type="dxa"/>
            <w:tcBorders>
              <w:top w:val="nil"/>
              <w:left w:val="nil"/>
              <w:bottom w:val="nil"/>
              <w:right w:val="nil"/>
            </w:tcBorders>
            <w:vAlign w:val="center"/>
          </w:tcPr>
          <w:p w:rsidR="00431B1C" w:rsidRPr="00431B1C" w:rsidRDefault="00431B1C" w:rsidP="00983325">
            <w:pPr>
              <w:pStyle w:val="NoSpacing"/>
              <w:rPr>
                <w:rFonts w:cs="Times New Roman"/>
                <w:b/>
                <w:color w:val="FFFFFF" w:themeColor="background1"/>
              </w:rPr>
            </w:pPr>
            <w:r w:rsidRPr="00431B1C">
              <w:rPr>
                <w:rFonts w:cs="Times New Roman"/>
                <w:bCs/>
                <w:lang w:val="en-GB"/>
              </w:rPr>
              <w:t>Co-operative Bank Sector including development agency, banks and associations</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 xml:space="preserve">28. </w:t>
            </w:r>
          </w:p>
        </w:tc>
        <w:tc>
          <w:tcPr>
            <w:tcW w:w="7182" w:type="dxa"/>
            <w:tcBorders>
              <w:top w:val="nil"/>
              <w:left w:val="nil"/>
              <w:bottom w:val="nil"/>
              <w:right w:val="nil"/>
            </w:tcBorders>
            <w:vAlign w:val="center"/>
          </w:tcPr>
          <w:p w:rsidR="00431B1C" w:rsidRPr="00431B1C" w:rsidRDefault="00431B1C" w:rsidP="00983325">
            <w:pPr>
              <w:pStyle w:val="NoSpacing"/>
            </w:pPr>
            <w:r w:rsidRPr="00431B1C">
              <w:rPr>
                <w:rFonts w:eastAsia="Times New Roman" w:cs="Times New Roman"/>
                <w:color w:val="000000"/>
              </w:rPr>
              <w:t>National Association of Cooperative Financial Institutions of South Africa (NACFISA)</w:t>
            </w:r>
          </w:p>
        </w:tc>
        <w:tc>
          <w:tcPr>
            <w:tcW w:w="990" w:type="dxa"/>
            <w:tcBorders>
              <w:top w:val="nil"/>
              <w:left w:val="nil"/>
              <w:bottom w:val="nil"/>
              <w:right w:val="nil"/>
            </w:tcBorders>
            <w:vAlign w:val="center"/>
          </w:tcPr>
          <w:p w:rsidR="00431B1C" w:rsidRPr="00431B1C" w:rsidRDefault="00431B1C" w:rsidP="00431B1C">
            <w:pPr>
              <w:pStyle w:val="NoSpacing"/>
            </w:pPr>
            <w:r w:rsidRPr="00431B1C">
              <w:t>41</w:t>
            </w:r>
          </w:p>
        </w:tc>
        <w:tc>
          <w:tcPr>
            <w:tcW w:w="5418" w:type="dxa"/>
            <w:tcBorders>
              <w:top w:val="nil"/>
              <w:left w:val="nil"/>
              <w:bottom w:val="nil"/>
              <w:right w:val="nil"/>
            </w:tcBorders>
            <w:vAlign w:val="center"/>
          </w:tcPr>
          <w:p w:rsidR="00431B1C" w:rsidRPr="00431B1C" w:rsidRDefault="00431B1C" w:rsidP="00431B1C">
            <w:pPr>
              <w:pStyle w:val="NoSpacing"/>
            </w:pPr>
            <w:r w:rsidRPr="00431B1C">
              <w:t>Co-operative Bank Sector including development agency, banks and associations</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 xml:space="preserve">29. </w:t>
            </w:r>
          </w:p>
        </w:tc>
        <w:tc>
          <w:tcPr>
            <w:tcW w:w="7182" w:type="dxa"/>
            <w:tcBorders>
              <w:top w:val="nil"/>
              <w:left w:val="nil"/>
              <w:bottom w:val="nil"/>
              <w:right w:val="nil"/>
            </w:tcBorders>
            <w:vAlign w:val="center"/>
          </w:tcPr>
          <w:p w:rsidR="00431B1C" w:rsidRPr="00431B1C" w:rsidRDefault="00431B1C" w:rsidP="00983325">
            <w:pPr>
              <w:pStyle w:val="NoSpacing"/>
            </w:pPr>
            <w:r w:rsidRPr="00431B1C">
              <w:rPr>
                <w:rFonts w:eastAsia="Times New Roman" w:cs="Times New Roman"/>
                <w:color w:val="000000"/>
              </w:rPr>
              <w:t>National Credit Regulator</w:t>
            </w:r>
          </w:p>
        </w:tc>
        <w:tc>
          <w:tcPr>
            <w:tcW w:w="990" w:type="dxa"/>
            <w:tcBorders>
              <w:top w:val="nil"/>
              <w:left w:val="nil"/>
              <w:bottom w:val="nil"/>
              <w:right w:val="nil"/>
            </w:tcBorders>
            <w:vAlign w:val="center"/>
          </w:tcPr>
          <w:p w:rsidR="00431B1C" w:rsidRPr="00431B1C" w:rsidRDefault="00431B1C" w:rsidP="00983325">
            <w:pPr>
              <w:pStyle w:val="StewartMatrixStyle"/>
              <w:spacing w:line="276" w:lineRule="auto"/>
              <w:rPr>
                <w:rFonts w:asciiTheme="minorHAnsi" w:hAnsiTheme="minorHAnsi"/>
                <w:sz w:val="22"/>
                <w:szCs w:val="22"/>
              </w:rPr>
            </w:pPr>
            <w:r w:rsidRPr="00431B1C">
              <w:rPr>
                <w:rFonts w:asciiTheme="minorHAnsi" w:hAnsiTheme="minorHAnsi"/>
                <w:sz w:val="22"/>
                <w:szCs w:val="22"/>
              </w:rPr>
              <w:t>14</w:t>
            </w:r>
          </w:p>
        </w:tc>
        <w:tc>
          <w:tcPr>
            <w:tcW w:w="5418" w:type="dxa"/>
            <w:tcBorders>
              <w:top w:val="nil"/>
              <w:left w:val="nil"/>
              <w:bottom w:val="nil"/>
              <w:right w:val="nil"/>
            </w:tcBorders>
            <w:vAlign w:val="center"/>
          </w:tcPr>
          <w:p w:rsidR="00431B1C" w:rsidRPr="00431B1C" w:rsidRDefault="00431B1C" w:rsidP="00983325">
            <w:pPr>
              <w:pStyle w:val="StewartMatrixStyle"/>
              <w:spacing w:line="276" w:lineRule="auto"/>
              <w:rPr>
                <w:rFonts w:asciiTheme="minorHAnsi" w:hAnsiTheme="minorHAnsi"/>
                <w:sz w:val="22"/>
                <w:szCs w:val="22"/>
              </w:rPr>
            </w:pPr>
            <w:r w:rsidRPr="00431B1C">
              <w:rPr>
                <w:rFonts w:asciiTheme="minorHAnsi" w:eastAsia="Times New Roman" w:hAnsiTheme="minorHAnsi" w:cs="Helvetica"/>
                <w:color w:val="333333"/>
                <w:sz w:val="22"/>
                <w:szCs w:val="22"/>
              </w:rPr>
              <w:t>Government, government agencies and regulators</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30.</w:t>
            </w:r>
          </w:p>
        </w:tc>
        <w:tc>
          <w:tcPr>
            <w:tcW w:w="7182" w:type="dxa"/>
            <w:tcBorders>
              <w:top w:val="nil"/>
              <w:left w:val="nil"/>
              <w:bottom w:val="nil"/>
              <w:right w:val="nil"/>
            </w:tcBorders>
            <w:vAlign w:val="center"/>
          </w:tcPr>
          <w:p w:rsidR="00431B1C" w:rsidRPr="00431B1C" w:rsidRDefault="00431B1C" w:rsidP="00983325">
            <w:pPr>
              <w:pStyle w:val="NoSpacing"/>
            </w:pPr>
            <w:r w:rsidRPr="00431B1C">
              <w:rPr>
                <w:rFonts w:eastAsia="Times New Roman" w:cs="Times New Roman"/>
                <w:color w:val="000000"/>
              </w:rPr>
              <w:t>National Empowerment Fund</w:t>
            </w:r>
          </w:p>
        </w:tc>
        <w:tc>
          <w:tcPr>
            <w:tcW w:w="990" w:type="dxa"/>
            <w:tcBorders>
              <w:top w:val="nil"/>
              <w:left w:val="nil"/>
              <w:bottom w:val="nil"/>
              <w:right w:val="nil"/>
            </w:tcBorders>
            <w:vAlign w:val="center"/>
          </w:tcPr>
          <w:p w:rsidR="00431B1C" w:rsidRPr="00431B1C" w:rsidRDefault="00431B1C" w:rsidP="00983325">
            <w:pPr>
              <w:spacing w:line="276" w:lineRule="auto"/>
              <w:contextualSpacing/>
              <w:rPr>
                <w:rFonts w:cs="Times New Roman"/>
              </w:rPr>
            </w:pPr>
            <w:r w:rsidRPr="00431B1C">
              <w:t>14</w:t>
            </w:r>
          </w:p>
        </w:tc>
        <w:tc>
          <w:tcPr>
            <w:tcW w:w="5418" w:type="dxa"/>
            <w:tcBorders>
              <w:top w:val="nil"/>
              <w:left w:val="nil"/>
              <w:bottom w:val="nil"/>
              <w:right w:val="nil"/>
            </w:tcBorders>
            <w:vAlign w:val="center"/>
          </w:tcPr>
          <w:p w:rsidR="00431B1C" w:rsidRPr="00431B1C" w:rsidRDefault="00431B1C" w:rsidP="00983325">
            <w:pPr>
              <w:contextualSpacing/>
              <w:rPr>
                <w:rFonts w:cs="Times New Roman"/>
              </w:rPr>
            </w:pPr>
            <w:r w:rsidRPr="00431B1C">
              <w:rPr>
                <w:rFonts w:eastAsia="Times New Roman" w:cs="Helvetica"/>
                <w:color w:val="333333"/>
              </w:rPr>
              <w:t>Government, government agencies and regulators</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31.</w:t>
            </w:r>
          </w:p>
        </w:tc>
        <w:tc>
          <w:tcPr>
            <w:tcW w:w="7182" w:type="dxa"/>
            <w:tcBorders>
              <w:top w:val="nil"/>
              <w:left w:val="nil"/>
              <w:bottom w:val="nil"/>
              <w:right w:val="nil"/>
            </w:tcBorders>
            <w:vAlign w:val="center"/>
          </w:tcPr>
          <w:p w:rsidR="00431B1C" w:rsidRPr="00431B1C" w:rsidRDefault="00431B1C" w:rsidP="00983325">
            <w:pPr>
              <w:pStyle w:val="NoSpacing"/>
            </w:pPr>
            <w:r w:rsidRPr="00431B1C">
              <w:rPr>
                <w:rFonts w:eastAsia="Times New Roman" w:cs="Times New Roman"/>
                <w:color w:val="000000"/>
              </w:rPr>
              <w:t>Nedbank</w:t>
            </w:r>
          </w:p>
        </w:tc>
        <w:tc>
          <w:tcPr>
            <w:tcW w:w="990" w:type="dxa"/>
            <w:tcBorders>
              <w:top w:val="nil"/>
              <w:left w:val="nil"/>
              <w:bottom w:val="nil"/>
              <w:right w:val="nil"/>
            </w:tcBorders>
            <w:vAlign w:val="center"/>
          </w:tcPr>
          <w:p w:rsidR="00431B1C" w:rsidRPr="00431B1C" w:rsidRDefault="00431B1C" w:rsidP="00983325">
            <w:pPr>
              <w:spacing w:line="276" w:lineRule="auto"/>
              <w:contextualSpacing/>
              <w:rPr>
                <w:rFonts w:cs="Times New Roman"/>
              </w:rPr>
            </w:pPr>
            <w:r w:rsidRPr="00431B1C">
              <w:rPr>
                <w:rFonts w:cs="Times New Roman"/>
              </w:rPr>
              <w:t>28</w:t>
            </w:r>
          </w:p>
        </w:tc>
        <w:tc>
          <w:tcPr>
            <w:tcW w:w="5418" w:type="dxa"/>
            <w:tcBorders>
              <w:top w:val="nil"/>
              <w:left w:val="nil"/>
              <w:bottom w:val="nil"/>
              <w:right w:val="nil"/>
            </w:tcBorders>
            <w:vAlign w:val="center"/>
          </w:tcPr>
          <w:p w:rsidR="00431B1C" w:rsidRPr="00431B1C" w:rsidRDefault="00431B1C" w:rsidP="00983325">
            <w:pPr>
              <w:contextualSpacing/>
              <w:rPr>
                <w:rFonts w:cs="Times New Roman"/>
              </w:rPr>
            </w:pPr>
            <w:r w:rsidRPr="00431B1C">
              <w:rPr>
                <w:rFonts w:cs="Times New Roman"/>
              </w:rPr>
              <w:t>Industry and industry representative bodies: banking</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32.</w:t>
            </w:r>
          </w:p>
        </w:tc>
        <w:tc>
          <w:tcPr>
            <w:tcW w:w="7182" w:type="dxa"/>
            <w:tcBorders>
              <w:top w:val="nil"/>
              <w:left w:val="nil"/>
              <w:bottom w:val="nil"/>
              <w:right w:val="nil"/>
            </w:tcBorders>
            <w:vAlign w:val="center"/>
          </w:tcPr>
          <w:p w:rsidR="00431B1C" w:rsidRPr="00431B1C" w:rsidRDefault="00431B1C" w:rsidP="00983325">
            <w:pPr>
              <w:pStyle w:val="NoSpacing"/>
            </w:pPr>
            <w:r w:rsidRPr="00431B1C">
              <w:rPr>
                <w:rFonts w:eastAsia="Times New Roman" w:cs="Times New Roman"/>
                <w:color w:val="000000"/>
              </w:rPr>
              <w:t>NEDLAC</w:t>
            </w:r>
          </w:p>
        </w:tc>
        <w:tc>
          <w:tcPr>
            <w:tcW w:w="990" w:type="dxa"/>
            <w:tcBorders>
              <w:top w:val="nil"/>
              <w:left w:val="nil"/>
              <w:bottom w:val="nil"/>
              <w:right w:val="nil"/>
            </w:tcBorders>
            <w:vAlign w:val="center"/>
          </w:tcPr>
          <w:p w:rsidR="00431B1C" w:rsidRPr="00431B1C" w:rsidRDefault="00431B1C" w:rsidP="00983325">
            <w:pPr>
              <w:spacing w:line="276" w:lineRule="auto"/>
              <w:contextualSpacing/>
              <w:rPr>
                <w:rFonts w:cs="Times New Roman"/>
              </w:rPr>
            </w:pPr>
            <w:r w:rsidRPr="00431B1C">
              <w:rPr>
                <w:rFonts w:cs="Times New Roman"/>
              </w:rPr>
              <w:t>17</w:t>
            </w:r>
          </w:p>
        </w:tc>
        <w:tc>
          <w:tcPr>
            <w:tcW w:w="5418" w:type="dxa"/>
            <w:tcBorders>
              <w:top w:val="nil"/>
              <w:left w:val="nil"/>
              <w:bottom w:val="nil"/>
              <w:right w:val="nil"/>
            </w:tcBorders>
            <w:vAlign w:val="center"/>
          </w:tcPr>
          <w:p w:rsidR="00431B1C" w:rsidRPr="00431B1C" w:rsidRDefault="00431B1C" w:rsidP="00983325">
            <w:pPr>
              <w:contextualSpacing/>
              <w:rPr>
                <w:rFonts w:cs="Times New Roman"/>
              </w:rPr>
            </w:pPr>
            <w:r w:rsidRPr="00431B1C">
              <w:t>Bodies for constituency negotiation and agreement</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33.</w:t>
            </w:r>
          </w:p>
        </w:tc>
        <w:tc>
          <w:tcPr>
            <w:tcW w:w="7182" w:type="dxa"/>
            <w:tcBorders>
              <w:top w:val="nil"/>
              <w:left w:val="nil"/>
              <w:bottom w:val="nil"/>
              <w:right w:val="nil"/>
            </w:tcBorders>
            <w:vAlign w:val="center"/>
          </w:tcPr>
          <w:p w:rsidR="00431B1C" w:rsidRPr="00431B1C" w:rsidRDefault="00431B1C" w:rsidP="00983325">
            <w:pPr>
              <w:pStyle w:val="NoSpacing"/>
            </w:pPr>
            <w:r w:rsidRPr="00431B1C">
              <w:t>Ms Yvonne Oberholzer</w:t>
            </w:r>
          </w:p>
        </w:tc>
        <w:tc>
          <w:tcPr>
            <w:tcW w:w="990" w:type="dxa"/>
            <w:tcBorders>
              <w:top w:val="nil"/>
              <w:left w:val="nil"/>
              <w:bottom w:val="nil"/>
              <w:right w:val="nil"/>
            </w:tcBorders>
            <w:vAlign w:val="center"/>
          </w:tcPr>
          <w:p w:rsidR="00431B1C" w:rsidRPr="00431B1C" w:rsidRDefault="00431B1C" w:rsidP="00983325">
            <w:pPr>
              <w:spacing w:line="276" w:lineRule="auto"/>
              <w:contextualSpacing/>
              <w:rPr>
                <w:rFonts w:cs="Times New Roman"/>
              </w:rPr>
            </w:pPr>
            <w:r w:rsidRPr="00431B1C">
              <w:rPr>
                <w:rFonts w:cs="Times New Roman"/>
              </w:rPr>
              <w:t>48</w:t>
            </w:r>
          </w:p>
        </w:tc>
        <w:tc>
          <w:tcPr>
            <w:tcW w:w="5418" w:type="dxa"/>
            <w:tcBorders>
              <w:top w:val="nil"/>
              <w:left w:val="nil"/>
              <w:bottom w:val="nil"/>
              <w:right w:val="nil"/>
            </w:tcBorders>
            <w:vAlign w:val="center"/>
          </w:tcPr>
          <w:p w:rsidR="00431B1C" w:rsidRPr="00431B1C" w:rsidRDefault="00431B1C" w:rsidP="00983325">
            <w:pPr>
              <w:contextualSpacing/>
              <w:rPr>
                <w:rFonts w:cs="Times New Roman"/>
              </w:rPr>
            </w:pPr>
            <w:r w:rsidRPr="00431B1C">
              <w:rPr>
                <w:rFonts w:cs="Times New Roman"/>
              </w:rPr>
              <w:t>Civic Society</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34.</w:t>
            </w:r>
          </w:p>
        </w:tc>
        <w:tc>
          <w:tcPr>
            <w:tcW w:w="7182" w:type="dxa"/>
            <w:tcBorders>
              <w:top w:val="nil"/>
              <w:left w:val="nil"/>
              <w:bottom w:val="nil"/>
              <w:right w:val="nil"/>
            </w:tcBorders>
            <w:vAlign w:val="center"/>
          </w:tcPr>
          <w:p w:rsidR="00431B1C" w:rsidRPr="00431B1C" w:rsidRDefault="00431B1C" w:rsidP="00983325">
            <w:pPr>
              <w:pStyle w:val="NoSpacing"/>
            </w:pPr>
            <w:r w:rsidRPr="00431B1C">
              <w:rPr>
                <w:rFonts w:eastAsia="Times New Roman" w:cs="Times New Roman"/>
                <w:color w:val="000000"/>
              </w:rPr>
              <w:t>Osiba Holdings</w:t>
            </w:r>
          </w:p>
        </w:tc>
        <w:tc>
          <w:tcPr>
            <w:tcW w:w="990" w:type="dxa"/>
            <w:tcBorders>
              <w:top w:val="nil"/>
              <w:left w:val="nil"/>
              <w:bottom w:val="nil"/>
              <w:right w:val="nil"/>
            </w:tcBorders>
            <w:vAlign w:val="center"/>
          </w:tcPr>
          <w:p w:rsidR="00431B1C" w:rsidRPr="00431B1C" w:rsidRDefault="00431B1C" w:rsidP="00983325">
            <w:pPr>
              <w:spacing w:line="276" w:lineRule="auto"/>
              <w:contextualSpacing/>
              <w:rPr>
                <w:rFonts w:cs="Times New Roman"/>
                <w:bCs/>
                <w:lang w:val="en-GB"/>
              </w:rPr>
            </w:pPr>
            <w:r w:rsidRPr="00431B1C">
              <w:rPr>
                <w:rFonts w:cs="Times New Roman"/>
              </w:rPr>
              <w:t>47</w:t>
            </w:r>
          </w:p>
        </w:tc>
        <w:tc>
          <w:tcPr>
            <w:tcW w:w="5418" w:type="dxa"/>
            <w:tcBorders>
              <w:top w:val="nil"/>
              <w:left w:val="nil"/>
              <w:bottom w:val="nil"/>
              <w:right w:val="nil"/>
            </w:tcBorders>
            <w:vAlign w:val="center"/>
          </w:tcPr>
          <w:p w:rsidR="00431B1C" w:rsidRPr="00431B1C" w:rsidRDefault="00431B1C" w:rsidP="00983325">
            <w:pPr>
              <w:contextualSpacing/>
              <w:rPr>
                <w:rFonts w:cs="Times New Roman"/>
                <w:bCs/>
                <w:lang w:val="en-GB"/>
              </w:rPr>
            </w:pPr>
            <w:r w:rsidRPr="00431B1C">
              <w:rPr>
                <w:rFonts w:cs="Times New Roman"/>
              </w:rPr>
              <w:t>Civic Society</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35.</w:t>
            </w:r>
          </w:p>
        </w:tc>
        <w:tc>
          <w:tcPr>
            <w:tcW w:w="7182" w:type="dxa"/>
            <w:tcBorders>
              <w:top w:val="nil"/>
              <w:left w:val="nil"/>
              <w:bottom w:val="nil"/>
              <w:right w:val="nil"/>
            </w:tcBorders>
            <w:vAlign w:val="center"/>
          </w:tcPr>
          <w:p w:rsidR="00431B1C" w:rsidRPr="00431B1C" w:rsidRDefault="00431B1C" w:rsidP="00983325">
            <w:pPr>
              <w:pStyle w:val="NoSpacing"/>
            </w:pPr>
            <w:r w:rsidRPr="00431B1C">
              <w:rPr>
                <w:rFonts w:eastAsia="Times New Roman" w:cs="Times New Roman"/>
                <w:color w:val="000000"/>
              </w:rPr>
              <w:t>Regiments</w:t>
            </w:r>
          </w:p>
        </w:tc>
        <w:tc>
          <w:tcPr>
            <w:tcW w:w="990" w:type="dxa"/>
            <w:tcBorders>
              <w:top w:val="nil"/>
              <w:left w:val="nil"/>
              <w:bottom w:val="nil"/>
              <w:right w:val="nil"/>
            </w:tcBorders>
            <w:vAlign w:val="center"/>
          </w:tcPr>
          <w:p w:rsidR="00431B1C" w:rsidRPr="00431B1C" w:rsidRDefault="00431B1C" w:rsidP="00983325">
            <w:pPr>
              <w:spacing w:line="276" w:lineRule="auto"/>
              <w:contextualSpacing/>
              <w:rPr>
                <w:rFonts w:cs="Times New Roman"/>
                <w:bCs/>
                <w:lang w:val="en-GB"/>
              </w:rPr>
            </w:pPr>
            <w:r w:rsidRPr="00431B1C">
              <w:rPr>
                <w:rFonts w:cs="Times New Roman"/>
                <w:bCs/>
                <w:lang w:val="en-GB"/>
              </w:rPr>
              <w:t>48</w:t>
            </w:r>
          </w:p>
        </w:tc>
        <w:tc>
          <w:tcPr>
            <w:tcW w:w="5418" w:type="dxa"/>
            <w:tcBorders>
              <w:top w:val="nil"/>
              <w:left w:val="nil"/>
              <w:bottom w:val="nil"/>
              <w:right w:val="nil"/>
            </w:tcBorders>
            <w:vAlign w:val="center"/>
          </w:tcPr>
          <w:p w:rsidR="00431B1C" w:rsidRPr="00431B1C" w:rsidRDefault="00431B1C" w:rsidP="00983325">
            <w:pPr>
              <w:contextualSpacing/>
              <w:rPr>
                <w:rFonts w:cs="Times New Roman"/>
                <w:bCs/>
                <w:lang w:val="en-GB"/>
              </w:rPr>
            </w:pPr>
            <w:r w:rsidRPr="00431B1C">
              <w:rPr>
                <w:rFonts w:cs="Times New Roman"/>
              </w:rPr>
              <w:t>Civic Society</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36.</w:t>
            </w:r>
          </w:p>
        </w:tc>
        <w:tc>
          <w:tcPr>
            <w:tcW w:w="7182" w:type="dxa"/>
            <w:tcBorders>
              <w:top w:val="nil"/>
              <w:left w:val="nil"/>
              <w:bottom w:val="nil"/>
              <w:right w:val="nil"/>
            </w:tcBorders>
            <w:vAlign w:val="center"/>
          </w:tcPr>
          <w:p w:rsidR="00431B1C" w:rsidRPr="00431B1C" w:rsidRDefault="00431B1C" w:rsidP="00983325">
            <w:pPr>
              <w:pStyle w:val="NoSpacing"/>
            </w:pPr>
            <w:r w:rsidRPr="00431B1C">
              <w:rPr>
                <w:rFonts w:eastAsia="Times New Roman" w:cs="Times New Roman"/>
                <w:color w:val="000000"/>
              </w:rPr>
              <w:t>Retail Auto Aftermarket Federation</w:t>
            </w:r>
          </w:p>
        </w:tc>
        <w:tc>
          <w:tcPr>
            <w:tcW w:w="990" w:type="dxa"/>
            <w:tcBorders>
              <w:top w:val="nil"/>
              <w:left w:val="nil"/>
              <w:bottom w:val="nil"/>
              <w:right w:val="nil"/>
            </w:tcBorders>
            <w:vAlign w:val="center"/>
          </w:tcPr>
          <w:p w:rsidR="00431B1C" w:rsidRPr="00431B1C" w:rsidRDefault="00431B1C" w:rsidP="00983325">
            <w:pPr>
              <w:spacing w:line="276" w:lineRule="auto"/>
              <w:contextualSpacing/>
              <w:rPr>
                <w:rFonts w:cs="Times New Roman"/>
              </w:rPr>
            </w:pPr>
            <w:r w:rsidRPr="00431B1C">
              <w:rPr>
                <w:rFonts w:cs="Times New Roman"/>
                <w:bCs/>
                <w:lang w:val="en-GB"/>
              </w:rPr>
              <w:t>36</w:t>
            </w:r>
          </w:p>
        </w:tc>
        <w:tc>
          <w:tcPr>
            <w:tcW w:w="5418" w:type="dxa"/>
            <w:tcBorders>
              <w:top w:val="nil"/>
              <w:left w:val="nil"/>
              <w:bottom w:val="nil"/>
              <w:right w:val="nil"/>
            </w:tcBorders>
            <w:vAlign w:val="center"/>
          </w:tcPr>
          <w:p w:rsidR="00431B1C" w:rsidRPr="00431B1C" w:rsidRDefault="00431B1C" w:rsidP="00983325">
            <w:pPr>
              <w:contextualSpacing/>
              <w:rPr>
                <w:rFonts w:cs="Times New Roman"/>
              </w:rPr>
            </w:pPr>
            <w:r w:rsidRPr="00431B1C">
              <w:rPr>
                <w:rFonts w:cs="Times New Roman"/>
              </w:rPr>
              <w:t>Industry and industry representative bodies: insurance, asset management and intermediaries</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37.</w:t>
            </w:r>
          </w:p>
        </w:tc>
        <w:tc>
          <w:tcPr>
            <w:tcW w:w="7182" w:type="dxa"/>
            <w:tcBorders>
              <w:top w:val="nil"/>
              <w:left w:val="nil"/>
              <w:bottom w:val="nil"/>
              <w:right w:val="nil"/>
            </w:tcBorders>
            <w:vAlign w:val="center"/>
          </w:tcPr>
          <w:p w:rsidR="00431B1C" w:rsidRPr="00431B1C" w:rsidRDefault="00431B1C" w:rsidP="00983325">
            <w:pPr>
              <w:pStyle w:val="NoSpacing"/>
            </w:pPr>
            <w:r w:rsidRPr="00431B1C">
              <w:rPr>
                <w:rFonts w:eastAsia="Times New Roman" w:cs="Times New Roman"/>
                <w:color w:val="000000"/>
              </w:rPr>
              <w:t>SA Towing Board</w:t>
            </w:r>
          </w:p>
        </w:tc>
        <w:tc>
          <w:tcPr>
            <w:tcW w:w="990" w:type="dxa"/>
            <w:tcBorders>
              <w:top w:val="nil"/>
              <w:left w:val="nil"/>
              <w:bottom w:val="nil"/>
              <w:right w:val="nil"/>
            </w:tcBorders>
            <w:vAlign w:val="center"/>
          </w:tcPr>
          <w:p w:rsidR="00431B1C" w:rsidRPr="00431B1C" w:rsidRDefault="00431B1C" w:rsidP="00983325">
            <w:pPr>
              <w:pStyle w:val="NoSpacing"/>
              <w:rPr>
                <w:rFonts w:cs="Times New Roman"/>
              </w:rPr>
            </w:pPr>
            <w:r w:rsidRPr="00431B1C">
              <w:rPr>
                <w:rFonts w:cs="Times New Roman"/>
              </w:rPr>
              <w:t>36</w:t>
            </w:r>
          </w:p>
        </w:tc>
        <w:tc>
          <w:tcPr>
            <w:tcW w:w="5418" w:type="dxa"/>
            <w:tcBorders>
              <w:top w:val="nil"/>
              <w:left w:val="nil"/>
              <w:bottom w:val="nil"/>
              <w:right w:val="nil"/>
            </w:tcBorders>
            <w:vAlign w:val="center"/>
          </w:tcPr>
          <w:p w:rsidR="00431B1C" w:rsidRPr="00431B1C" w:rsidRDefault="00431B1C" w:rsidP="00983325">
            <w:pPr>
              <w:pStyle w:val="NoSpacing"/>
              <w:rPr>
                <w:rFonts w:cs="Times New Roman"/>
              </w:rPr>
            </w:pPr>
            <w:r w:rsidRPr="00431B1C">
              <w:rPr>
                <w:rFonts w:cs="Times New Roman"/>
              </w:rPr>
              <w:t>Industry and industry representative bodies: insurance, asset management and intermediaries</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38.</w:t>
            </w:r>
          </w:p>
        </w:tc>
        <w:tc>
          <w:tcPr>
            <w:tcW w:w="7182" w:type="dxa"/>
            <w:tcBorders>
              <w:top w:val="nil"/>
              <w:left w:val="nil"/>
              <w:bottom w:val="nil"/>
              <w:right w:val="nil"/>
            </w:tcBorders>
            <w:vAlign w:val="center"/>
          </w:tcPr>
          <w:p w:rsidR="00431B1C" w:rsidRPr="00431B1C" w:rsidRDefault="00431B1C" w:rsidP="00983325">
            <w:pPr>
              <w:pStyle w:val="NoSpacing"/>
            </w:pPr>
            <w:r w:rsidRPr="00431B1C">
              <w:rPr>
                <w:rFonts w:eastAsia="Times New Roman" w:cs="Times New Roman"/>
                <w:color w:val="000000"/>
              </w:rPr>
              <w:t>SACP</w:t>
            </w:r>
          </w:p>
        </w:tc>
        <w:tc>
          <w:tcPr>
            <w:tcW w:w="990" w:type="dxa"/>
            <w:tcBorders>
              <w:top w:val="nil"/>
              <w:left w:val="nil"/>
              <w:bottom w:val="nil"/>
              <w:right w:val="nil"/>
            </w:tcBorders>
            <w:vAlign w:val="center"/>
          </w:tcPr>
          <w:p w:rsidR="00431B1C" w:rsidRPr="00431B1C" w:rsidRDefault="00431B1C" w:rsidP="00983325">
            <w:pPr>
              <w:spacing w:line="276" w:lineRule="auto"/>
              <w:contextualSpacing/>
              <w:rPr>
                <w:rFonts w:cs="Times New Roman"/>
              </w:rPr>
            </w:pPr>
            <w:r w:rsidRPr="00431B1C">
              <w:rPr>
                <w:rFonts w:cs="Times New Roman"/>
              </w:rPr>
              <w:t>19</w:t>
            </w:r>
          </w:p>
        </w:tc>
        <w:tc>
          <w:tcPr>
            <w:tcW w:w="5418" w:type="dxa"/>
            <w:tcBorders>
              <w:top w:val="nil"/>
              <w:left w:val="nil"/>
              <w:bottom w:val="nil"/>
              <w:right w:val="nil"/>
            </w:tcBorders>
            <w:vAlign w:val="center"/>
          </w:tcPr>
          <w:p w:rsidR="00431B1C" w:rsidRPr="00431B1C" w:rsidRDefault="00431B1C" w:rsidP="00983325">
            <w:pPr>
              <w:contextualSpacing/>
              <w:rPr>
                <w:rFonts w:cs="Times New Roman"/>
              </w:rPr>
            </w:pPr>
            <w:r w:rsidRPr="00431B1C">
              <w:rPr>
                <w:rFonts w:cs="Times New Roman"/>
              </w:rPr>
              <w:t>Political Parties, or bodies with political association</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39.</w:t>
            </w:r>
          </w:p>
        </w:tc>
        <w:tc>
          <w:tcPr>
            <w:tcW w:w="7182" w:type="dxa"/>
            <w:tcBorders>
              <w:top w:val="nil"/>
              <w:left w:val="nil"/>
              <w:bottom w:val="nil"/>
              <w:right w:val="nil"/>
            </w:tcBorders>
            <w:vAlign w:val="center"/>
          </w:tcPr>
          <w:p w:rsidR="00431B1C" w:rsidRPr="00431B1C" w:rsidRDefault="00431B1C" w:rsidP="00983325">
            <w:pPr>
              <w:pStyle w:val="NoSpacing"/>
            </w:pPr>
            <w:r w:rsidRPr="00431B1C">
              <w:rPr>
                <w:rFonts w:eastAsia="Times New Roman" w:cs="Times New Roman"/>
                <w:color w:val="000000"/>
              </w:rPr>
              <w:t>South African Auto Repairer &amp; Salvage Association</w:t>
            </w:r>
          </w:p>
        </w:tc>
        <w:tc>
          <w:tcPr>
            <w:tcW w:w="990" w:type="dxa"/>
            <w:tcBorders>
              <w:top w:val="nil"/>
              <w:left w:val="nil"/>
              <w:bottom w:val="nil"/>
              <w:right w:val="nil"/>
            </w:tcBorders>
            <w:vAlign w:val="center"/>
          </w:tcPr>
          <w:p w:rsidR="00431B1C" w:rsidRPr="00431B1C" w:rsidRDefault="00431B1C" w:rsidP="00983325">
            <w:pPr>
              <w:spacing w:line="276" w:lineRule="auto"/>
              <w:contextualSpacing/>
              <w:rPr>
                <w:rFonts w:cs="Times New Roman"/>
              </w:rPr>
            </w:pPr>
            <w:r w:rsidRPr="00431B1C">
              <w:rPr>
                <w:rFonts w:cs="Times New Roman"/>
              </w:rPr>
              <w:t>36</w:t>
            </w:r>
          </w:p>
        </w:tc>
        <w:tc>
          <w:tcPr>
            <w:tcW w:w="5418" w:type="dxa"/>
            <w:tcBorders>
              <w:top w:val="nil"/>
              <w:left w:val="nil"/>
              <w:bottom w:val="nil"/>
              <w:right w:val="nil"/>
            </w:tcBorders>
            <w:vAlign w:val="center"/>
          </w:tcPr>
          <w:p w:rsidR="00431B1C" w:rsidRPr="00431B1C" w:rsidRDefault="00431B1C" w:rsidP="00983325">
            <w:pPr>
              <w:contextualSpacing/>
              <w:rPr>
                <w:rFonts w:cs="Times New Roman"/>
              </w:rPr>
            </w:pPr>
            <w:r w:rsidRPr="00431B1C">
              <w:rPr>
                <w:rFonts w:cs="Times New Roman"/>
              </w:rPr>
              <w:t>Industry and industry representative bodies: insurance, asset management and intermediaries</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40.</w:t>
            </w:r>
          </w:p>
        </w:tc>
        <w:tc>
          <w:tcPr>
            <w:tcW w:w="7182" w:type="dxa"/>
            <w:tcBorders>
              <w:top w:val="nil"/>
              <w:left w:val="nil"/>
              <w:bottom w:val="nil"/>
              <w:right w:val="nil"/>
            </w:tcBorders>
            <w:vAlign w:val="center"/>
          </w:tcPr>
          <w:p w:rsidR="00431B1C" w:rsidRPr="00431B1C" w:rsidRDefault="00431B1C" w:rsidP="00983325">
            <w:pPr>
              <w:pStyle w:val="NoSpacing"/>
            </w:pPr>
            <w:r w:rsidRPr="00431B1C">
              <w:rPr>
                <w:rFonts w:eastAsia="Times New Roman" w:cs="Times New Roman"/>
                <w:color w:val="000000"/>
              </w:rPr>
              <w:t>South African Builders Contractors Civil Association</w:t>
            </w:r>
          </w:p>
        </w:tc>
        <w:tc>
          <w:tcPr>
            <w:tcW w:w="990" w:type="dxa"/>
            <w:tcBorders>
              <w:top w:val="nil"/>
              <w:left w:val="nil"/>
              <w:bottom w:val="nil"/>
              <w:right w:val="nil"/>
            </w:tcBorders>
            <w:vAlign w:val="center"/>
          </w:tcPr>
          <w:p w:rsidR="00431B1C" w:rsidRPr="00431B1C" w:rsidRDefault="00431B1C" w:rsidP="00983325">
            <w:pPr>
              <w:spacing w:line="276" w:lineRule="auto"/>
              <w:contextualSpacing/>
              <w:rPr>
                <w:rFonts w:cs="Times New Roman"/>
              </w:rPr>
            </w:pPr>
            <w:r w:rsidRPr="00431B1C">
              <w:rPr>
                <w:rFonts w:cs="Times New Roman"/>
              </w:rPr>
              <w:t>36</w:t>
            </w:r>
          </w:p>
        </w:tc>
        <w:tc>
          <w:tcPr>
            <w:tcW w:w="5418" w:type="dxa"/>
            <w:tcBorders>
              <w:top w:val="nil"/>
              <w:left w:val="nil"/>
              <w:bottom w:val="nil"/>
              <w:right w:val="nil"/>
            </w:tcBorders>
            <w:vAlign w:val="center"/>
          </w:tcPr>
          <w:p w:rsidR="00431B1C" w:rsidRPr="00431B1C" w:rsidRDefault="00431B1C" w:rsidP="00983325">
            <w:pPr>
              <w:contextualSpacing/>
              <w:rPr>
                <w:rFonts w:cs="Times New Roman"/>
              </w:rPr>
            </w:pPr>
            <w:r w:rsidRPr="00431B1C">
              <w:rPr>
                <w:rFonts w:cs="Times New Roman"/>
              </w:rPr>
              <w:t>Industry and industry representative bodies: insurance, asset management and intermediaries</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B74391" w:rsidRDefault="00431B1C" w:rsidP="00983325">
            <w:pPr>
              <w:pStyle w:val="NoSpacing"/>
            </w:pPr>
          </w:p>
        </w:tc>
        <w:tc>
          <w:tcPr>
            <w:tcW w:w="7182" w:type="dxa"/>
            <w:tcBorders>
              <w:top w:val="nil"/>
              <w:left w:val="nil"/>
              <w:bottom w:val="nil"/>
              <w:right w:val="nil"/>
            </w:tcBorders>
            <w:vAlign w:val="center"/>
          </w:tcPr>
          <w:p w:rsidR="00431B1C" w:rsidRPr="00B74391" w:rsidRDefault="00431B1C" w:rsidP="00983325">
            <w:pPr>
              <w:pStyle w:val="NoSpacing"/>
              <w:rPr>
                <w:rFonts w:eastAsia="Times New Roman" w:cs="Times New Roman"/>
                <w:color w:val="000000"/>
              </w:rPr>
            </w:pPr>
          </w:p>
        </w:tc>
        <w:tc>
          <w:tcPr>
            <w:tcW w:w="990" w:type="dxa"/>
            <w:tcBorders>
              <w:top w:val="nil"/>
              <w:left w:val="nil"/>
              <w:bottom w:val="nil"/>
              <w:right w:val="nil"/>
            </w:tcBorders>
            <w:vAlign w:val="center"/>
          </w:tcPr>
          <w:p w:rsidR="00431B1C" w:rsidRPr="00B74391" w:rsidRDefault="00431B1C" w:rsidP="00983325">
            <w:pPr>
              <w:contextualSpacing/>
              <w:rPr>
                <w:rFonts w:cs="Times New Roman"/>
              </w:rPr>
            </w:pPr>
          </w:p>
        </w:tc>
        <w:tc>
          <w:tcPr>
            <w:tcW w:w="5418" w:type="dxa"/>
            <w:tcBorders>
              <w:top w:val="nil"/>
              <w:left w:val="nil"/>
              <w:bottom w:val="nil"/>
              <w:right w:val="nil"/>
            </w:tcBorders>
            <w:vAlign w:val="center"/>
          </w:tcPr>
          <w:p w:rsidR="00431B1C" w:rsidRPr="00B74391" w:rsidRDefault="00431B1C" w:rsidP="00983325">
            <w:pPr>
              <w:contextualSpacing/>
              <w:rPr>
                <w:rFonts w:cs="Times New Roman"/>
              </w:rPr>
            </w:pPr>
          </w:p>
        </w:tc>
      </w:tr>
      <w:tr w:rsidR="00431B1C" w:rsidRPr="00CE54A9" w:rsidTr="00900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shd w:val="clear" w:color="auto" w:fill="943634" w:themeFill="accent2" w:themeFillShade="BF"/>
            <w:vAlign w:val="center"/>
          </w:tcPr>
          <w:p w:rsidR="00431B1C" w:rsidRPr="00B74391" w:rsidRDefault="00431B1C" w:rsidP="00983325">
            <w:pPr>
              <w:pStyle w:val="NoSpacing"/>
            </w:pPr>
          </w:p>
        </w:tc>
        <w:tc>
          <w:tcPr>
            <w:tcW w:w="7182" w:type="dxa"/>
            <w:tcBorders>
              <w:top w:val="nil"/>
              <w:left w:val="nil"/>
              <w:bottom w:val="nil"/>
              <w:right w:val="nil"/>
            </w:tcBorders>
            <w:shd w:val="clear" w:color="auto" w:fill="943634" w:themeFill="accent2" w:themeFillShade="BF"/>
            <w:vAlign w:val="center"/>
          </w:tcPr>
          <w:p w:rsidR="00431B1C" w:rsidRPr="00B74391" w:rsidRDefault="00431B1C" w:rsidP="00983325">
            <w:pPr>
              <w:pStyle w:val="NoSpacing"/>
            </w:pPr>
            <w:r w:rsidRPr="00CE54A9">
              <w:rPr>
                <w:rFonts w:cs="Times New Roman"/>
                <w:b/>
                <w:color w:val="FFFFFF" w:themeColor="background1"/>
                <w:sz w:val="24"/>
                <w:szCs w:val="24"/>
              </w:rPr>
              <w:t>Agency/ Organisation</w:t>
            </w:r>
          </w:p>
        </w:tc>
        <w:tc>
          <w:tcPr>
            <w:tcW w:w="990" w:type="dxa"/>
            <w:tcBorders>
              <w:top w:val="nil"/>
              <w:left w:val="nil"/>
              <w:bottom w:val="nil"/>
              <w:right w:val="nil"/>
            </w:tcBorders>
            <w:shd w:val="clear" w:color="auto" w:fill="943634" w:themeFill="accent2" w:themeFillShade="BF"/>
            <w:vAlign w:val="center"/>
          </w:tcPr>
          <w:p w:rsidR="00431B1C" w:rsidRPr="00B74391" w:rsidRDefault="00431B1C" w:rsidP="00983325">
            <w:pPr>
              <w:pStyle w:val="StewartMatrixStyle"/>
              <w:spacing w:line="276" w:lineRule="auto"/>
              <w:rPr>
                <w:rFonts w:asciiTheme="minorHAnsi" w:hAnsiTheme="minorHAnsi"/>
                <w:sz w:val="22"/>
                <w:szCs w:val="22"/>
              </w:rPr>
            </w:pPr>
            <w:r w:rsidRPr="00CE54A9">
              <w:rPr>
                <w:b/>
                <w:color w:val="FFFFFF" w:themeColor="background1"/>
                <w:sz w:val="24"/>
                <w:szCs w:val="24"/>
              </w:rPr>
              <w:t>Page</w:t>
            </w:r>
          </w:p>
        </w:tc>
        <w:tc>
          <w:tcPr>
            <w:tcW w:w="5418" w:type="dxa"/>
            <w:tcBorders>
              <w:top w:val="nil"/>
              <w:left w:val="nil"/>
              <w:bottom w:val="nil"/>
              <w:right w:val="nil"/>
            </w:tcBorders>
            <w:shd w:val="clear" w:color="auto" w:fill="943634" w:themeFill="accent2" w:themeFillShade="BF"/>
            <w:vAlign w:val="center"/>
          </w:tcPr>
          <w:p w:rsidR="00431B1C" w:rsidRPr="00B74391" w:rsidRDefault="00431B1C" w:rsidP="00983325">
            <w:pPr>
              <w:pStyle w:val="StewartMatrixStyle"/>
              <w:spacing w:line="276" w:lineRule="auto"/>
              <w:rPr>
                <w:rFonts w:asciiTheme="minorHAnsi" w:hAnsiTheme="minorHAnsi"/>
                <w:sz w:val="22"/>
                <w:szCs w:val="22"/>
              </w:rPr>
            </w:pPr>
            <w:r w:rsidRPr="00CE54A9">
              <w:rPr>
                <w:b/>
                <w:color w:val="FFFFFF" w:themeColor="background1"/>
                <w:sz w:val="24"/>
                <w:szCs w:val="24"/>
              </w:rPr>
              <w:t>Category of submission</w:t>
            </w:r>
          </w:p>
        </w:tc>
      </w:tr>
      <w:tr w:rsidR="00431B1C" w:rsidRPr="00CE54A9" w:rsidTr="00900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41.</w:t>
            </w:r>
          </w:p>
        </w:tc>
        <w:tc>
          <w:tcPr>
            <w:tcW w:w="7182" w:type="dxa"/>
            <w:tcBorders>
              <w:top w:val="nil"/>
              <w:left w:val="nil"/>
              <w:bottom w:val="nil"/>
              <w:right w:val="nil"/>
            </w:tcBorders>
            <w:vAlign w:val="center"/>
          </w:tcPr>
          <w:p w:rsidR="00431B1C" w:rsidRPr="00431B1C" w:rsidRDefault="00431B1C" w:rsidP="00983325">
            <w:pPr>
              <w:pStyle w:val="NoSpacing"/>
              <w:rPr>
                <w:rFonts w:eastAsia="Times New Roman" w:cs="Times New Roman"/>
                <w:color w:val="000000"/>
              </w:rPr>
            </w:pPr>
            <w:r w:rsidRPr="00431B1C">
              <w:rPr>
                <w:rFonts w:eastAsia="Times New Roman" w:cs="Times New Roman"/>
                <w:color w:val="000000"/>
              </w:rPr>
              <w:t>South African Insurance Association</w:t>
            </w:r>
          </w:p>
        </w:tc>
        <w:tc>
          <w:tcPr>
            <w:tcW w:w="990" w:type="dxa"/>
            <w:tcBorders>
              <w:top w:val="nil"/>
              <w:left w:val="nil"/>
              <w:bottom w:val="nil"/>
              <w:right w:val="nil"/>
            </w:tcBorders>
            <w:vAlign w:val="center"/>
          </w:tcPr>
          <w:p w:rsidR="00431B1C" w:rsidRPr="00431B1C" w:rsidRDefault="00431B1C" w:rsidP="00983325">
            <w:pPr>
              <w:contextualSpacing/>
            </w:pPr>
            <w:r w:rsidRPr="00431B1C">
              <w:t>30</w:t>
            </w:r>
          </w:p>
        </w:tc>
        <w:tc>
          <w:tcPr>
            <w:tcW w:w="5418" w:type="dxa"/>
            <w:tcBorders>
              <w:top w:val="nil"/>
              <w:left w:val="nil"/>
              <w:bottom w:val="nil"/>
              <w:right w:val="nil"/>
            </w:tcBorders>
            <w:vAlign w:val="center"/>
          </w:tcPr>
          <w:p w:rsidR="00431B1C" w:rsidRPr="00431B1C" w:rsidRDefault="00431B1C" w:rsidP="00983325">
            <w:pPr>
              <w:contextualSpacing/>
            </w:pPr>
            <w:r w:rsidRPr="00431B1C">
              <w:t>Industry and industry representative bodies: insurance, asset management and intermediaries</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42.</w:t>
            </w:r>
          </w:p>
        </w:tc>
        <w:tc>
          <w:tcPr>
            <w:tcW w:w="7182" w:type="dxa"/>
            <w:tcBorders>
              <w:top w:val="nil"/>
              <w:left w:val="nil"/>
              <w:bottom w:val="nil"/>
              <w:right w:val="nil"/>
            </w:tcBorders>
            <w:vAlign w:val="center"/>
          </w:tcPr>
          <w:p w:rsidR="00431B1C" w:rsidRPr="00431B1C" w:rsidRDefault="00431B1C" w:rsidP="00983325">
            <w:pPr>
              <w:pStyle w:val="NoSpacing"/>
            </w:pPr>
            <w:r w:rsidRPr="00431B1C">
              <w:rPr>
                <w:rFonts w:eastAsia="Times New Roman" w:cs="Times New Roman"/>
                <w:color w:val="000000"/>
              </w:rPr>
              <w:t>South African Reserve Bank</w:t>
            </w:r>
          </w:p>
        </w:tc>
        <w:tc>
          <w:tcPr>
            <w:tcW w:w="990" w:type="dxa"/>
            <w:tcBorders>
              <w:top w:val="nil"/>
              <w:left w:val="nil"/>
              <w:bottom w:val="nil"/>
              <w:right w:val="nil"/>
            </w:tcBorders>
            <w:vAlign w:val="center"/>
          </w:tcPr>
          <w:p w:rsidR="00431B1C" w:rsidRPr="00431B1C" w:rsidRDefault="00431B1C" w:rsidP="00983325">
            <w:pPr>
              <w:spacing w:line="276" w:lineRule="auto"/>
              <w:contextualSpacing/>
              <w:rPr>
                <w:rFonts w:cs="Times New Roman"/>
                <w:bCs/>
                <w:lang w:val="en-GB"/>
              </w:rPr>
            </w:pPr>
            <w:r w:rsidRPr="00431B1C">
              <w:t>13</w:t>
            </w:r>
          </w:p>
        </w:tc>
        <w:tc>
          <w:tcPr>
            <w:tcW w:w="5418" w:type="dxa"/>
            <w:tcBorders>
              <w:top w:val="nil"/>
              <w:left w:val="nil"/>
              <w:bottom w:val="nil"/>
              <w:right w:val="nil"/>
            </w:tcBorders>
            <w:vAlign w:val="center"/>
          </w:tcPr>
          <w:p w:rsidR="00431B1C" w:rsidRPr="00431B1C" w:rsidRDefault="00431B1C" w:rsidP="00983325">
            <w:pPr>
              <w:contextualSpacing/>
              <w:rPr>
                <w:rFonts w:cs="Times New Roman"/>
                <w:bCs/>
                <w:lang w:val="en-GB"/>
              </w:rPr>
            </w:pPr>
            <w:r w:rsidRPr="00431B1C">
              <w:rPr>
                <w:rFonts w:eastAsia="Times New Roman" w:cs="Helvetica"/>
                <w:color w:val="333333"/>
              </w:rPr>
              <w:t>Government, government agencies and regulators</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43.</w:t>
            </w:r>
          </w:p>
        </w:tc>
        <w:tc>
          <w:tcPr>
            <w:tcW w:w="7182" w:type="dxa"/>
            <w:tcBorders>
              <w:top w:val="nil"/>
              <w:left w:val="nil"/>
              <w:bottom w:val="nil"/>
              <w:right w:val="nil"/>
            </w:tcBorders>
            <w:vAlign w:val="center"/>
          </w:tcPr>
          <w:p w:rsidR="00431B1C" w:rsidRPr="00431B1C" w:rsidRDefault="00431B1C" w:rsidP="00983325">
            <w:pPr>
              <w:pStyle w:val="NoSpacing"/>
            </w:pPr>
            <w:r w:rsidRPr="00431B1C">
              <w:rPr>
                <w:rFonts w:eastAsia="Times New Roman" w:cs="Times New Roman"/>
                <w:color w:val="000000"/>
              </w:rPr>
              <w:t>Standard Bank</w:t>
            </w:r>
          </w:p>
        </w:tc>
        <w:tc>
          <w:tcPr>
            <w:tcW w:w="990" w:type="dxa"/>
            <w:tcBorders>
              <w:top w:val="nil"/>
              <w:left w:val="nil"/>
              <w:bottom w:val="nil"/>
              <w:right w:val="nil"/>
            </w:tcBorders>
            <w:vAlign w:val="center"/>
          </w:tcPr>
          <w:p w:rsidR="00431B1C" w:rsidRPr="00431B1C" w:rsidRDefault="00431B1C" w:rsidP="00983325">
            <w:pPr>
              <w:spacing w:line="276" w:lineRule="auto"/>
              <w:contextualSpacing/>
              <w:rPr>
                <w:rFonts w:cs="Times New Roman"/>
              </w:rPr>
            </w:pPr>
            <w:r w:rsidRPr="00431B1C">
              <w:t>27</w:t>
            </w:r>
          </w:p>
        </w:tc>
        <w:tc>
          <w:tcPr>
            <w:tcW w:w="5418" w:type="dxa"/>
            <w:tcBorders>
              <w:top w:val="nil"/>
              <w:left w:val="nil"/>
              <w:bottom w:val="nil"/>
              <w:right w:val="nil"/>
            </w:tcBorders>
            <w:vAlign w:val="center"/>
          </w:tcPr>
          <w:p w:rsidR="00431B1C" w:rsidRPr="00431B1C" w:rsidRDefault="00431B1C" w:rsidP="00983325">
            <w:pPr>
              <w:contextualSpacing/>
              <w:rPr>
                <w:rFonts w:cs="Times New Roman"/>
              </w:rPr>
            </w:pPr>
            <w:r w:rsidRPr="00431B1C">
              <w:rPr>
                <w:rFonts w:cs="Times New Roman"/>
              </w:rPr>
              <w:t>Industry and industry representative bodies: banking</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44.</w:t>
            </w:r>
          </w:p>
        </w:tc>
        <w:tc>
          <w:tcPr>
            <w:tcW w:w="7182" w:type="dxa"/>
            <w:tcBorders>
              <w:top w:val="nil"/>
              <w:left w:val="nil"/>
              <w:bottom w:val="nil"/>
              <w:right w:val="nil"/>
            </w:tcBorders>
            <w:vAlign w:val="center"/>
          </w:tcPr>
          <w:p w:rsidR="00431B1C" w:rsidRPr="00431B1C" w:rsidRDefault="00431B1C" w:rsidP="00983325">
            <w:pPr>
              <w:pStyle w:val="NoSpacing"/>
            </w:pPr>
            <w:r w:rsidRPr="00431B1C">
              <w:rPr>
                <w:rFonts w:eastAsia="Times New Roman" w:cs="Times New Roman"/>
                <w:color w:val="000000"/>
              </w:rPr>
              <w:t>Wealth Creation Global Co-operative</w:t>
            </w:r>
          </w:p>
        </w:tc>
        <w:tc>
          <w:tcPr>
            <w:tcW w:w="990" w:type="dxa"/>
            <w:tcBorders>
              <w:top w:val="nil"/>
              <w:left w:val="nil"/>
              <w:bottom w:val="nil"/>
              <w:right w:val="nil"/>
            </w:tcBorders>
            <w:vAlign w:val="center"/>
          </w:tcPr>
          <w:p w:rsidR="00431B1C" w:rsidRPr="00431B1C" w:rsidRDefault="00431B1C" w:rsidP="00431B1C">
            <w:pPr>
              <w:spacing w:line="276" w:lineRule="auto"/>
              <w:contextualSpacing/>
              <w:rPr>
                <w:rFonts w:cs="Times New Roman"/>
              </w:rPr>
            </w:pPr>
            <w:r w:rsidRPr="00431B1C">
              <w:rPr>
                <w:rFonts w:cs="Times New Roman"/>
              </w:rPr>
              <w:t>49</w:t>
            </w:r>
          </w:p>
        </w:tc>
        <w:tc>
          <w:tcPr>
            <w:tcW w:w="5418" w:type="dxa"/>
            <w:tcBorders>
              <w:top w:val="nil"/>
              <w:left w:val="nil"/>
              <w:bottom w:val="nil"/>
              <w:right w:val="nil"/>
            </w:tcBorders>
            <w:vAlign w:val="center"/>
          </w:tcPr>
          <w:p w:rsidR="00431B1C" w:rsidRPr="00431B1C" w:rsidRDefault="00431B1C" w:rsidP="00983325">
            <w:pPr>
              <w:contextualSpacing/>
              <w:rPr>
                <w:rFonts w:cs="Times New Roman"/>
              </w:rPr>
            </w:pPr>
            <w:r w:rsidRPr="00431B1C">
              <w:rPr>
                <w:rFonts w:cs="Times New Roman"/>
              </w:rPr>
              <w:t>Civic Society</w:t>
            </w:r>
          </w:p>
        </w:tc>
      </w:tr>
      <w:tr w:rsidR="00431B1C" w:rsidRPr="00CE54A9" w:rsidTr="00983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31B1C" w:rsidRDefault="00431B1C" w:rsidP="00983325">
            <w:pPr>
              <w:pStyle w:val="NoSpacing"/>
            </w:pPr>
            <w:r w:rsidRPr="00431B1C">
              <w:t>45.</w:t>
            </w:r>
          </w:p>
        </w:tc>
        <w:tc>
          <w:tcPr>
            <w:tcW w:w="7182" w:type="dxa"/>
            <w:tcBorders>
              <w:top w:val="nil"/>
              <w:left w:val="nil"/>
              <w:bottom w:val="nil"/>
              <w:right w:val="nil"/>
            </w:tcBorders>
            <w:vAlign w:val="center"/>
          </w:tcPr>
          <w:p w:rsidR="00431B1C" w:rsidRPr="00431B1C" w:rsidRDefault="00431B1C" w:rsidP="00983325">
            <w:pPr>
              <w:pStyle w:val="NoSpacing"/>
              <w:rPr>
                <w:rFonts w:eastAsia="Times New Roman" w:cs="Times New Roman"/>
                <w:color w:val="000000"/>
              </w:rPr>
            </w:pPr>
            <w:r w:rsidRPr="00431B1C">
              <w:rPr>
                <w:rFonts w:eastAsia="Times New Roman" w:cs="Times New Roman"/>
                <w:color w:val="000000"/>
              </w:rPr>
              <w:t>Western Cape Towing Association</w:t>
            </w:r>
          </w:p>
        </w:tc>
        <w:tc>
          <w:tcPr>
            <w:tcW w:w="990" w:type="dxa"/>
            <w:tcBorders>
              <w:top w:val="nil"/>
              <w:left w:val="nil"/>
              <w:bottom w:val="nil"/>
              <w:right w:val="nil"/>
            </w:tcBorders>
            <w:vAlign w:val="center"/>
          </w:tcPr>
          <w:p w:rsidR="00431B1C" w:rsidRPr="00431B1C" w:rsidRDefault="00431B1C" w:rsidP="00983325">
            <w:pPr>
              <w:contextualSpacing/>
              <w:rPr>
                <w:rFonts w:cs="Times New Roman"/>
              </w:rPr>
            </w:pPr>
            <w:r w:rsidRPr="00431B1C">
              <w:rPr>
                <w:rFonts w:cs="Times New Roman"/>
              </w:rPr>
              <w:t>36</w:t>
            </w:r>
          </w:p>
        </w:tc>
        <w:tc>
          <w:tcPr>
            <w:tcW w:w="5418" w:type="dxa"/>
            <w:tcBorders>
              <w:top w:val="nil"/>
              <w:left w:val="nil"/>
              <w:bottom w:val="nil"/>
              <w:right w:val="nil"/>
            </w:tcBorders>
            <w:vAlign w:val="center"/>
          </w:tcPr>
          <w:p w:rsidR="00431B1C" w:rsidRPr="00431B1C" w:rsidRDefault="00431B1C" w:rsidP="00983325">
            <w:pPr>
              <w:contextualSpacing/>
              <w:rPr>
                <w:rFonts w:cs="Times New Roman"/>
              </w:rPr>
            </w:pPr>
            <w:r w:rsidRPr="00431B1C">
              <w:rPr>
                <w:rFonts w:cs="Times New Roman"/>
              </w:rPr>
              <w:t>Industry and industry representative bodies: insurance, asset management and intermediaries</w:t>
            </w:r>
          </w:p>
        </w:tc>
      </w:tr>
      <w:tr w:rsidR="00431B1C" w:rsidRPr="00CE54A9" w:rsidTr="00900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983325" w:rsidRDefault="00431B1C" w:rsidP="00983325">
            <w:pPr>
              <w:pStyle w:val="NoSpacing"/>
            </w:pPr>
          </w:p>
        </w:tc>
        <w:tc>
          <w:tcPr>
            <w:tcW w:w="7182" w:type="dxa"/>
            <w:tcBorders>
              <w:top w:val="nil"/>
              <w:left w:val="nil"/>
              <w:bottom w:val="nil"/>
              <w:right w:val="nil"/>
            </w:tcBorders>
          </w:tcPr>
          <w:p w:rsidR="00431B1C" w:rsidRPr="00983325" w:rsidRDefault="00431B1C" w:rsidP="00983325">
            <w:pPr>
              <w:pStyle w:val="NoSpacing"/>
            </w:pPr>
          </w:p>
        </w:tc>
        <w:tc>
          <w:tcPr>
            <w:tcW w:w="990" w:type="dxa"/>
            <w:tcBorders>
              <w:top w:val="nil"/>
              <w:left w:val="nil"/>
              <w:bottom w:val="nil"/>
              <w:right w:val="nil"/>
            </w:tcBorders>
          </w:tcPr>
          <w:p w:rsidR="00431B1C" w:rsidRPr="00983325" w:rsidRDefault="00431B1C" w:rsidP="00983325">
            <w:pPr>
              <w:spacing w:line="276" w:lineRule="auto"/>
              <w:contextualSpacing/>
              <w:rPr>
                <w:rFonts w:cs="Times New Roman"/>
              </w:rPr>
            </w:pPr>
          </w:p>
        </w:tc>
        <w:tc>
          <w:tcPr>
            <w:tcW w:w="5418" w:type="dxa"/>
            <w:tcBorders>
              <w:top w:val="nil"/>
              <w:left w:val="nil"/>
              <w:bottom w:val="nil"/>
              <w:right w:val="nil"/>
            </w:tcBorders>
          </w:tcPr>
          <w:p w:rsidR="00431B1C" w:rsidRPr="00983325" w:rsidRDefault="00431B1C" w:rsidP="00983325">
            <w:pPr>
              <w:contextualSpacing/>
              <w:rPr>
                <w:rFonts w:cs="Times New Roman"/>
              </w:rPr>
            </w:pPr>
          </w:p>
        </w:tc>
      </w:tr>
      <w:tr w:rsidR="00431B1C" w:rsidRPr="00CE54A9" w:rsidTr="004A5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21E3B" w:rsidRDefault="00431B1C" w:rsidP="00983325">
            <w:pPr>
              <w:pStyle w:val="NoSpacing"/>
            </w:pPr>
          </w:p>
        </w:tc>
        <w:tc>
          <w:tcPr>
            <w:tcW w:w="7182" w:type="dxa"/>
            <w:tcBorders>
              <w:top w:val="nil"/>
              <w:left w:val="nil"/>
              <w:bottom w:val="nil"/>
              <w:right w:val="nil"/>
            </w:tcBorders>
          </w:tcPr>
          <w:p w:rsidR="00431B1C" w:rsidRPr="00CE54A9" w:rsidRDefault="00431B1C" w:rsidP="00983325">
            <w:pPr>
              <w:pStyle w:val="NoSpacing"/>
              <w:rPr>
                <w:sz w:val="21"/>
                <w:szCs w:val="21"/>
              </w:rPr>
            </w:pPr>
          </w:p>
        </w:tc>
        <w:tc>
          <w:tcPr>
            <w:tcW w:w="990" w:type="dxa"/>
            <w:tcBorders>
              <w:top w:val="nil"/>
              <w:left w:val="nil"/>
              <w:bottom w:val="nil"/>
              <w:right w:val="nil"/>
            </w:tcBorders>
          </w:tcPr>
          <w:p w:rsidR="00431B1C" w:rsidRPr="00CE54A9" w:rsidRDefault="00431B1C" w:rsidP="00983325">
            <w:pPr>
              <w:spacing w:line="276" w:lineRule="auto"/>
              <w:contextualSpacing/>
              <w:rPr>
                <w:rFonts w:cs="Times New Roman"/>
                <w:sz w:val="21"/>
                <w:szCs w:val="21"/>
              </w:rPr>
            </w:pPr>
          </w:p>
        </w:tc>
        <w:tc>
          <w:tcPr>
            <w:tcW w:w="5418" w:type="dxa"/>
            <w:tcBorders>
              <w:top w:val="nil"/>
              <w:left w:val="nil"/>
              <w:bottom w:val="nil"/>
              <w:right w:val="nil"/>
            </w:tcBorders>
          </w:tcPr>
          <w:p w:rsidR="00431B1C" w:rsidRPr="00CE54A9" w:rsidRDefault="00431B1C" w:rsidP="00983325">
            <w:pPr>
              <w:contextualSpacing/>
              <w:rPr>
                <w:rFonts w:cs="Times New Roman"/>
                <w:sz w:val="21"/>
                <w:szCs w:val="21"/>
              </w:rPr>
            </w:pPr>
          </w:p>
        </w:tc>
      </w:tr>
      <w:tr w:rsidR="00431B1C" w:rsidRPr="00CE54A9" w:rsidTr="0042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21E3B" w:rsidRDefault="00431B1C" w:rsidP="00983325">
            <w:pPr>
              <w:pStyle w:val="NoSpacing"/>
            </w:pPr>
          </w:p>
        </w:tc>
        <w:tc>
          <w:tcPr>
            <w:tcW w:w="7182" w:type="dxa"/>
            <w:tcBorders>
              <w:top w:val="nil"/>
              <w:left w:val="nil"/>
              <w:bottom w:val="nil"/>
              <w:right w:val="nil"/>
            </w:tcBorders>
          </w:tcPr>
          <w:p w:rsidR="00431B1C" w:rsidRPr="00CE54A9" w:rsidRDefault="00431B1C" w:rsidP="00983325">
            <w:pPr>
              <w:pStyle w:val="NoSpacing"/>
              <w:rPr>
                <w:sz w:val="21"/>
                <w:szCs w:val="21"/>
              </w:rPr>
            </w:pPr>
          </w:p>
        </w:tc>
        <w:tc>
          <w:tcPr>
            <w:tcW w:w="990" w:type="dxa"/>
            <w:tcBorders>
              <w:top w:val="nil"/>
              <w:left w:val="nil"/>
              <w:bottom w:val="nil"/>
              <w:right w:val="nil"/>
            </w:tcBorders>
          </w:tcPr>
          <w:p w:rsidR="00431B1C" w:rsidRPr="00CE54A9" w:rsidRDefault="00431B1C" w:rsidP="00983325">
            <w:pPr>
              <w:pStyle w:val="StewartMatrixx"/>
              <w:rPr>
                <w:rFonts w:asciiTheme="minorHAnsi" w:hAnsiTheme="minorHAnsi"/>
              </w:rPr>
            </w:pPr>
          </w:p>
        </w:tc>
        <w:tc>
          <w:tcPr>
            <w:tcW w:w="5418" w:type="dxa"/>
            <w:tcBorders>
              <w:top w:val="nil"/>
              <w:left w:val="nil"/>
              <w:bottom w:val="nil"/>
              <w:right w:val="nil"/>
            </w:tcBorders>
          </w:tcPr>
          <w:p w:rsidR="00431B1C" w:rsidRPr="00CE54A9" w:rsidRDefault="00431B1C" w:rsidP="00983325">
            <w:pPr>
              <w:pStyle w:val="StewartMatrixx"/>
              <w:rPr>
                <w:rFonts w:asciiTheme="minorHAnsi" w:hAnsiTheme="minorHAnsi"/>
              </w:rPr>
            </w:pPr>
          </w:p>
        </w:tc>
      </w:tr>
      <w:tr w:rsidR="00431B1C" w:rsidRPr="00CE54A9" w:rsidTr="00421E3B">
        <w:trPr>
          <w:trHeight w:val="477"/>
        </w:trPr>
        <w:tc>
          <w:tcPr>
            <w:tcW w:w="720" w:type="dxa"/>
            <w:tcBorders>
              <w:top w:val="nil"/>
              <w:left w:val="nil"/>
              <w:bottom w:val="nil"/>
              <w:right w:val="nil"/>
            </w:tcBorders>
            <w:vAlign w:val="center"/>
          </w:tcPr>
          <w:p w:rsidR="00431B1C" w:rsidRPr="00421E3B" w:rsidRDefault="00431B1C" w:rsidP="00983325">
            <w:pPr>
              <w:pStyle w:val="NoSpacing"/>
              <w:rPr>
                <w:rFonts w:cs="Times New Roman"/>
                <w:b/>
                <w:color w:val="FFFFFF" w:themeColor="background1"/>
              </w:rPr>
            </w:pPr>
          </w:p>
        </w:tc>
        <w:tc>
          <w:tcPr>
            <w:tcW w:w="7182" w:type="dxa"/>
            <w:tcBorders>
              <w:top w:val="nil"/>
              <w:left w:val="nil"/>
              <w:bottom w:val="nil"/>
              <w:right w:val="nil"/>
            </w:tcBorders>
          </w:tcPr>
          <w:p w:rsidR="00431B1C" w:rsidRPr="00CE54A9" w:rsidRDefault="00431B1C" w:rsidP="00983325">
            <w:pPr>
              <w:pStyle w:val="NoSpacing"/>
              <w:rPr>
                <w:rFonts w:cs="Times New Roman"/>
                <w:b/>
                <w:color w:val="FFFFFF" w:themeColor="background1"/>
                <w:sz w:val="21"/>
                <w:szCs w:val="21"/>
              </w:rPr>
            </w:pPr>
          </w:p>
        </w:tc>
        <w:tc>
          <w:tcPr>
            <w:tcW w:w="990" w:type="dxa"/>
            <w:tcBorders>
              <w:top w:val="nil"/>
              <w:left w:val="nil"/>
              <w:bottom w:val="nil"/>
              <w:right w:val="nil"/>
            </w:tcBorders>
          </w:tcPr>
          <w:p w:rsidR="00431B1C" w:rsidRPr="00CE54A9" w:rsidRDefault="00431B1C" w:rsidP="00983325">
            <w:pPr>
              <w:pStyle w:val="NoSpacing"/>
              <w:rPr>
                <w:rFonts w:cs="Times New Roman"/>
                <w:b/>
                <w:color w:val="FFFFFF" w:themeColor="background1"/>
                <w:sz w:val="21"/>
                <w:szCs w:val="21"/>
              </w:rPr>
            </w:pPr>
          </w:p>
        </w:tc>
        <w:tc>
          <w:tcPr>
            <w:tcW w:w="5418" w:type="dxa"/>
            <w:tcBorders>
              <w:top w:val="nil"/>
              <w:left w:val="nil"/>
              <w:bottom w:val="nil"/>
              <w:right w:val="nil"/>
            </w:tcBorders>
          </w:tcPr>
          <w:p w:rsidR="00431B1C" w:rsidRPr="00CE54A9" w:rsidRDefault="00431B1C" w:rsidP="00983325">
            <w:pPr>
              <w:pStyle w:val="NoSpacing"/>
              <w:rPr>
                <w:rFonts w:cs="Times New Roman"/>
                <w:b/>
                <w:color w:val="FFFFFF" w:themeColor="background1"/>
                <w:sz w:val="21"/>
                <w:szCs w:val="21"/>
              </w:rPr>
            </w:pPr>
          </w:p>
        </w:tc>
      </w:tr>
      <w:tr w:rsidR="00431B1C" w:rsidRPr="00CE54A9" w:rsidTr="0042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21E3B" w:rsidRDefault="00431B1C" w:rsidP="00983325">
            <w:pPr>
              <w:pStyle w:val="NoSpacing"/>
            </w:pPr>
          </w:p>
        </w:tc>
        <w:tc>
          <w:tcPr>
            <w:tcW w:w="7182" w:type="dxa"/>
            <w:tcBorders>
              <w:top w:val="nil"/>
              <w:left w:val="nil"/>
              <w:bottom w:val="nil"/>
              <w:right w:val="nil"/>
            </w:tcBorders>
          </w:tcPr>
          <w:p w:rsidR="00431B1C" w:rsidRPr="00CE54A9" w:rsidRDefault="00431B1C" w:rsidP="00983325">
            <w:pPr>
              <w:pStyle w:val="NoSpacing"/>
              <w:rPr>
                <w:sz w:val="21"/>
                <w:szCs w:val="21"/>
              </w:rPr>
            </w:pPr>
          </w:p>
        </w:tc>
        <w:tc>
          <w:tcPr>
            <w:tcW w:w="990" w:type="dxa"/>
            <w:tcBorders>
              <w:top w:val="nil"/>
              <w:left w:val="nil"/>
              <w:bottom w:val="nil"/>
              <w:right w:val="nil"/>
            </w:tcBorders>
          </w:tcPr>
          <w:p w:rsidR="00431B1C" w:rsidRPr="00CE54A9" w:rsidRDefault="00431B1C" w:rsidP="00983325">
            <w:pPr>
              <w:spacing w:line="276" w:lineRule="auto"/>
              <w:contextualSpacing/>
              <w:rPr>
                <w:rFonts w:cs="Times New Roman"/>
                <w:sz w:val="21"/>
                <w:szCs w:val="21"/>
              </w:rPr>
            </w:pPr>
          </w:p>
        </w:tc>
        <w:tc>
          <w:tcPr>
            <w:tcW w:w="5418" w:type="dxa"/>
            <w:tcBorders>
              <w:top w:val="nil"/>
              <w:left w:val="nil"/>
              <w:bottom w:val="nil"/>
              <w:right w:val="nil"/>
            </w:tcBorders>
          </w:tcPr>
          <w:p w:rsidR="00431B1C" w:rsidRPr="00CE54A9" w:rsidRDefault="00431B1C" w:rsidP="00983325">
            <w:pPr>
              <w:contextualSpacing/>
              <w:rPr>
                <w:rFonts w:cs="Times New Roman"/>
                <w:sz w:val="21"/>
                <w:szCs w:val="21"/>
              </w:rPr>
            </w:pPr>
          </w:p>
        </w:tc>
      </w:tr>
      <w:tr w:rsidR="00431B1C" w:rsidRPr="00CE54A9" w:rsidTr="0042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21E3B" w:rsidRDefault="00431B1C" w:rsidP="00983325">
            <w:pPr>
              <w:pStyle w:val="NoSpacing"/>
            </w:pPr>
          </w:p>
        </w:tc>
        <w:tc>
          <w:tcPr>
            <w:tcW w:w="7182" w:type="dxa"/>
            <w:tcBorders>
              <w:top w:val="nil"/>
              <w:left w:val="nil"/>
              <w:bottom w:val="nil"/>
              <w:right w:val="nil"/>
            </w:tcBorders>
          </w:tcPr>
          <w:p w:rsidR="00431B1C" w:rsidRPr="00CE54A9" w:rsidRDefault="00431B1C" w:rsidP="00983325">
            <w:pPr>
              <w:pStyle w:val="NoSpacing"/>
              <w:rPr>
                <w:sz w:val="21"/>
                <w:szCs w:val="21"/>
              </w:rPr>
            </w:pPr>
          </w:p>
        </w:tc>
        <w:tc>
          <w:tcPr>
            <w:tcW w:w="990" w:type="dxa"/>
            <w:tcBorders>
              <w:top w:val="nil"/>
              <w:left w:val="nil"/>
              <w:bottom w:val="nil"/>
              <w:right w:val="nil"/>
            </w:tcBorders>
          </w:tcPr>
          <w:p w:rsidR="00431B1C" w:rsidRPr="00CE54A9" w:rsidRDefault="00431B1C" w:rsidP="00983325">
            <w:pPr>
              <w:pStyle w:val="StewartMatrixStyle"/>
              <w:spacing w:line="276" w:lineRule="auto"/>
              <w:rPr>
                <w:rFonts w:asciiTheme="minorHAnsi" w:hAnsiTheme="minorHAnsi"/>
              </w:rPr>
            </w:pPr>
          </w:p>
        </w:tc>
        <w:tc>
          <w:tcPr>
            <w:tcW w:w="5418" w:type="dxa"/>
            <w:tcBorders>
              <w:top w:val="nil"/>
              <w:left w:val="nil"/>
              <w:bottom w:val="nil"/>
              <w:right w:val="nil"/>
            </w:tcBorders>
          </w:tcPr>
          <w:p w:rsidR="00431B1C" w:rsidRPr="00CE54A9" w:rsidRDefault="00431B1C" w:rsidP="00983325">
            <w:pPr>
              <w:pStyle w:val="StewartMatrixStyle"/>
              <w:spacing w:line="276" w:lineRule="auto"/>
              <w:rPr>
                <w:rFonts w:asciiTheme="minorHAnsi" w:hAnsiTheme="minorHAnsi"/>
              </w:rPr>
            </w:pPr>
          </w:p>
        </w:tc>
      </w:tr>
      <w:tr w:rsidR="00431B1C" w:rsidRPr="00CE54A9" w:rsidTr="0042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21E3B" w:rsidRDefault="00431B1C" w:rsidP="00983325">
            <w:pPr>
              <w:pStyle w:val="NoSpacing"/>
            </w:pPr>
          </w:p>
        </w:tc>
        <w:tc>
          <w:tcPr>
            <w:tcW w:w="7182" w:type="dxa"/>
            <w:tcBorders>
              <w:top w:val="nil"/>
              <w:left w:val="nil"/>
              <w:bottom w:val="nil"/>
              <w:right w:val="nil"/>
            </w:tcBorders>
          </w:tcPr>
          <w:p w:rsidR="00431B1C" w:rsidRPr="00CE54A9" w:rsidRDefault="00431B1C" w:rsidP="00983325">
            <w:pPr>
              <w:pStyle w:val="NoSpacing"/>
              <w:rPr>
                <w:sz w:val="21"/>
                <w:szCs w:val="21"/>
              </w:rPr>
            </w:pPr>
          </w:p>
        </w:tc>
        <w:tc>
          <w:tcPr>
            <w:tcW w:w="990" w:type="dxa"/>
            <w:tcBorders>
              <w:top w:val="nil"/>
              <w:left w:val="nil"/>
              <w:bottom w:val="nil"/>
              <w:right w:val="nil"/>
            </w:tcBorders>
          </w:tcPr>
          <w:p w:rsidR="00431B1C" w:rsidRPr="00CE54A9" w:rsidRDefault="00431B1C" w:rsidP="00983325">
            <w:pPr>
              <w:spacing w:line="276" w:lineRule="auto"/>
              <w:contextualSpacing/>
              <w:rPr>
                <w:rFonts w:cs="Times New Roman"/>
                <w:sz w:val="21"/>
                <w:szCs w:val="21"/>
              </w:rPr>
            </w:pPr>
          </w:p>
        </w:tc>
        <w:tc>
          <w:tcPr>
            <w:tcW w:w="5418" w:type="dxa"/>
            <w:tcBorders>
              <w:top w:val="nil"/>
              <w:left w:val="nil"/>
              <w:bottom w:val="nil"/>
              <w:right w:val="nil"/>
            </w:tcBorders>
          </w:tcPr>
          <w:p w:rsidR="00431B1C" w:rsidRPr="00CE54A9" w:rsidRDefault="00431B1C" w:rsidP="00983325">
            <w:pPr>
              <w:contextualSpacing/>
              <w:rPr>
                <w:rFonts w:cs="Times New Roman"/>
                <w:sz w:val="21"/>
                <w:szCs w:val="21"/>
              </w:rPr>
            </w:pPr>
          </w:p>
        </w:tc>
      </w:tr>
      <w:tr w:rsidR="00431B1C" w:rsidRPr="00CE54A9" w:rsidTr="0042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21E3B" w:rsidRDefault="00431B1C" w:rsidP="00983325"/>
        </w:tc>
        <w:tc>
          <w:tcPr>
            <w:tcW w:w="7182" w:type="dxa"/>
            <w:tcBorders>
              <w:top w:val="nil"/>
              <w:left w:val="nil"/>
              <w:bottom w:val="nil"/>
              <w:right w:val="nil"/>
            </w:tcBorders>
          </w:tcPr>
          <w:p w:rsidR="00431B1C" w:rsidRPr="00CE54A9" w:rsidRDefault="00431B1C" w:rsidP="00983325">
            <w:pPr>
              <w:rPr>
                <w:sz w:val="21"/>
                <w:szCs w:val="21"/>
              </w:rPr>
            </w:pPr>
          </w:p>
        </w:tc>
        <w:tc>
          <w:tcPr>
            <w:tcW w:w="990" w:type="dxa"/>
            <w:tcBorders>
              <w:top w:val="nil"/>
              <w:left w:val="nil"/>
              <w:bottom w:val="nil"/>
              <w:right w:val="nil"/>
            </w:tcBorders>
          </w:tcPr>
          <w:p w:rsidR="00431B1C" w:rsidRPr="00CE54A9" w:rsidRDefault="00431B1C" w:rsidP="00983325">
            <w:pPr>
              <w:spacing w:line="276" w:lineRule="auto"/>
              <w:contextualSpacing/>
              <w:rPr>
                <w:rFonts w:cs="Times New Roman"/>
                <w:sz w:val="21"/>
                <w:szCs w:val="21"/>
              </w:rPr>
            </w:pPr>
          </w:p>
        </w:tc>
        <w:tc>
          <w:tcPr>
            <w:tcW w:w="5418" w:type="dxa"/>
            <w:tcBorders>
              <w:top w:val="nil"/>
              <w:left w:val="nil"/>
              <w:bottom w:val="nil"/>
              <w:right w:val="nil"/>
            </w:tcBorders>
          </w:tcPr>
          <w:p w:rsidR="00431B1C" w:rsidRPr="00CE54A9" w:rsidRDefault="00431B1C" w:rsidP="00983325">
            <w:pPr>
              <w:contextualSpacing/>
              <w:rPr>
                <w:rFonts w:cs="Times New Roman"/>
                <w:sz w:val="21"/>
                <w:szCs w:val="21"/>
              </w:rPr>
            </w:pPr>
          </w:p>
        </w:tc>
      </w:tr>
      <w:tr w:rsidR="00431B1C" w:rsidRPr="00CE54A9" w:rsidTr="0042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21E3B" w:rsidRDefault="00431B1C" w:rsidP="00983325"/>
        </w:tc>
        <w:tc>
          <w:tcPr>
            <w:tcW w:w="7182" w:type="dxa"/>
            <w:tcBorders>
              <w:top w:val="nil"/>
              <w:left w:val="nil"/>
              <w:bottom w:val="nil"/>
              <w:right w:val="nil"/>
            </w:tcBorders>
          </w:tcPr>
          <w:p w:rsidR="00431B1C" w:rsidRPr="00CE54A9" w:rsidRDefault="00431B1C" w:rsidP="00983325">
            <w:pPr>
              <w:rPr>
                <w:sz w:val="21"/>
                <w:szCs w:val="21"/>
              </w:rPr>
            </w:pPr>
          </w:p>
        </w:tc>
        <w:tc>
          <w:tcPr>
            <w:tcW w:w="990" w:type="dxa"/>
            <w:tcBorders>
              <w:top w:val="nil"/>
              <w:left w:val="nil"/>
              <w:bottom w:val="nil"/>
              <w:right w:val="nil"/>
            </w:tcBorders>
          </w:tcPr>
          <w:p w:rsidR="00431B1C" w:rsidRPr="00CE54A9" w:rsidRDefault="00431B1C" w:rsidP="00983325">
            <w:pPr>
              <w:contextualSpacing/>
              <w:rPr>
                <w:rFonts w:cs="Times New Roman"/>
                <w:sz w:val="21"/>
                <w:szCs w:val="21"/>
              </w:rPr>
            </w:pPr>
          </w:p>
        </w:tc>
        <w:tc>
          <w:tcPr>
            <w:tcW w:w="5418" w:type="dxa"/>
            <w:tcBorders>
              <w:top w:val="nil"/>
              <w:left w:val="nil"/>
              <w:bottom w:val="nil"/>
              <w:right w:val="nil"/>
            </w:tcBorders>
          </w:tcPr>
          <w:p w:rsidR="00431B1C" w:rsidRPr="00CE54A9" w:rsidRDefault="00431B1C" w:rsidP="00983325">
            <w:pPr>
              <w:contextualSpacing/>
              <w:rPr>
                <w:rFonts w:cs="Times New Roman"/>
                <w:sz w:val="21"/>
                <w:szCs w:val="21"/>
              </w:rPr>
            </w:pPr>
          </w:p>
        </w:tc>
      </w:tr>
      <w:tr w:rsidR="00431B1C" w:rsidRPr="00CE54A9" w:rsidTr="0042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21E3B" w:rsidRDefault="00431B1C" w:rsidP="00983325"/>
        </w:tc>
        <w:tc>
          <w:tcPr>
            <w:tcW w:w="7182" w:type="dxa"/>
            <w:tcBorders>
              <w:top w:val="nil"/>
              <w:left w:val="nil"/>
              <w:bottom w:val="nil"/>
              <w:right w:val="nil"/>
            </w:tcBorders>
          </w:tcPr>
          <w:p w:rsidR="00431B1C" w:rsidRPr="00CE54A9" w:rsidRDefault="00431B1C" w:rsidP="00983325">
            <w:pPr>
              <w:rPr>
                <w:sz w:val="21"/>
                <w:szCs w:val="21"/>
              </w:rPr>
            </w:pPr>
          </w:p>
        </w:tc>
        <w:tc>
          <w:tcPr>
            <w:tcW w:w="990" w:type="dxa"/>
            <w:tcBorders>
              <w:top w:val="nil"/>
              <w:left w:val="nil"/>
              <w:bottom w:val="nil"/>
              <w:right w:val="nil"/>
            </w:tcBorders>
          </w:tcPr>
          <w:p w:rsidR="00431B1C" w:rsidRPr="00CE54A9" w:rsidRDefault="00431B1C" w:rsidP="00983325">
            <w:pPr>
              <w:contextualSpacing/>
              <w:rPr>
                <w:rFonts w:cs="Times New Roman"/>
                <w:sz w:val="21"/>
                <w:szCs w:val="21"/>
              </w:rPr>
            </w:pPr>
          </w:p>
        </w:tc>
        <w:tc>
          <w:tcPr>
            <w:tcW w:w="5418" w:type="dxa"/>
            <w:tcBorders>
              <w:top w:val="nil"/>
              <w:left w:val="nil"/>
              <w:bottom w:val="nil"/>
              <w:right w:val="nil"/>
            </w:tcBorders>
          </w:tcPr>
          <w:p w:rsidR="00431B1C" w:rsidRPr="00CE54A9" w:rsidRDefault="00431B1C" w:rsidP="00983325">
            <w:pPr>
              <w:contextualSpacing/>
              <w:rPr>
                <w:rFonts w:cs="Times New Roman"/>
                <w:sz w:val="21"/>
                <w:szCs w:val="21"/>
              </w:rPr>
            </w:pPr>
          </w:p>
        </w:tc>
      </w:tr>
      <w:tr w:rsidR="00431B1C" w:rsidRPr="00CE54A9" w:rsidTr="0042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21E3B" w:rsidRDefault="00431B1C" w:rsidP="00983325"/>
        </w:tc>
        <w:tc>
          <w:tcPr>
            <w:tcW w:w="7182" w:type="dxa"/>
            <w:tcBorders>
              <w:top w:val="nil"/>
              <w:left w:val="nil"/>
              <w:bottom w:val="nil"/>
              <w:right w:val="nil"/>
            </w:tcBorders>
          </w:tcPr>
          <w:p w:rsidR="00431B1C" w:rsidRPr="00CE54A9" w:rsidRDefault="00431B1C" w:rsidP="00983325">
            <w:pPr>
              <w:rPr>
                <w:sz w:val="21"/>
                <w:szCs w:val="21"/>
              </w:rPr>
            </w:pPr>
          </w:p>
        </w:tc>
        <w:tc>
          <w:tcPr>
            <w:tcW w:w="990" w:type="dxa"/>
            <w:tcBorders>
              <w:top w:val="nil"/>
              <w:left w:val="nil"/>
              <w:bottom w:val="nil"/>
              <w:right w:val="nil"/>
            </w:tcBorders>
          </w:tcPr>
          <w:p w:rsidR="00431B1C" w:rsidRPr="00CE54A9" w:rsidRDefault="00431B1C" w:rsidP="00983325">
            <w:pPr>
              <w:contextualSpacing/>
              <w:rPr>
                <w:rFonts w:cs="Times New Roman"/>
                <w:sz w:val="21"/>
                <w:szCs w:val="21"/>
              </w:rPr>
            </w:pPr>
          </w:p>
        </w:tc>
        <w:tc>
          <w:tcPr>
            <w:tcW w:w="5418" w:type="dxa"/>
            <w:tcBorders>
              <w:top w:val="nil"/>
              <w:left w:val="nil"/>
              <w:bottom w:val="nil"/>
              <w:right w:val="nil"/>
            </w:tcBorders>
          </w:tcPr>
          <w:p w:rsidR="00431B1C" w:rsidRPr="00CE54A9" w:rsidRDefault="00431B1C" w:rsidP="00983325">
            <w:pPr>
              <w:contextualSpacing/>
              <w:rPr>
                <w:rFonts w:cs="Times New Roman"/>
                <w:sz w:val="21"/>
                <w:szCs w:val="21"/>
              </w:rPr>
            </w:pPr>
          </w:p>
        </w:tc>
      </w:tr>
      <w:tr w:rsidR="00431B1C" w:rsidRPr="00CE54A9" w:rsidTr="0042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21E3B" w:rsidRDefault="00431B1C" w:rsidP="00983325"/>
        </w:tc>
        <w:tc>
          <w:tcPr>
            <w:tcW w:w="7182" w:type="dxa"/>
            <w:tcBorders>
              <w:top w:val="nil"/>
              <w:left w:val="nil"/>
              <w:bottom w:val="nil"/>
              <w:right w:val="nil"/>
            </w:tcBorders>
          </w:tcPr>
          <w:p w:rsidR="00431B1C" w:rsidRPr="00CE54A9" w:rsidRDefault="00431B1C" w:rsidP="00983325">
            <w:pPr>
              <w:rPr>
                <w:sz w:val="21"/>
                <w:szCs w:val="21"/>
              </w:rPr>
            </w:pPr>
          </w:p>
        </w:tc>
        <w:tc>
          <w:tcPr>
            <w:tcW w:w="990" w:type="dxa"/>
            <w:tcBorders>
              <w:top w:val="nil"/>
              <w:left w:val="nil"/>
              <w:bottom w:val="nil"/>
              <w:right w:val="nil"/>
            </w:tcBorders>
          </w:tcPr>
          <w:p w:rsidR="00431B1C" w:rsidRPr="00CE54A9" w:rsidRDefault="00431B1C" w:rsidP="00983325">
            <w:pPr>
              <w:contextualSpacing/>
              <w:rPr>
                <w:rFonts w:cs="Times New Roman"/>
                <w:sz w:val="21"/>
                <w:szCs w:val="21"/>
              </w:rPr>
            </w:pPr>
          </w:p>
        </w:tc>
        <w:tc>
          <w:tcPr>
            <w:tcW w:w="5418" w:type="dxa"/>
            <w:tcBorders>
              <w:top w:val="nil"/>
              <w:left w:val="nil"/>
              <w:bottom w:val="nil"/>
              <w:right w:val="nil"/>
            </w:tcBorders>
          </w:tcPr>
          <w:p w:rsidR="00431B1C" w:rsidRPr="00CE54A9" w:rsidRDefault="00431B1C" w:rsidP="00983325">
            <w:pPr>
              <w:contextualSpacing/>
              <w:rPr>
                <w:rFonts w:cs="Times New Roman"/>
                <w:sz w:val="21"/>
                <w:szCs w:val="21"/>
              </w:rPr>
            </w:pPr>
          </w:p>
        </w:tc>
      </w:tr>
      <w:tr w:rsidR="00431B1C" w:rsidRPr="00CE54A9" w:rsidTr="0042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21E3B" w:rsidRDefault="00431B1C" w:rsidP="00983325"/>
        </w:tc>
        <w:tc>
          <w:tcPr>
            <w:tcW w:w="7182" w:type="dxa"/>
            <w:tcBorders>
              <w:top w:val="nil"/>
              <w:left w:val="nil"/>
              <w:bottom w:val="nil"/>
              <w:right w:val="nil"/>
            </w:tcBorders>
          </w:tcPr>
          <w:p w:rsidR="00431B1C" w:rsidRPr="00CE54A9" w:rsidRDefault="00431B1C" w:rsidP="00983325">
            <w:pPr>
              <w:rPr>
                <w:sz w:val="21"/>
                <w:szCs w:val="21"/>
              </w:rPr>
            </w:pPr>
          </w:p>
        </w:tc>
        <w:tc>
          <w:tcPr>
            <w:tcW w:w="990" w:type="dxa"/>
            <w:tcBorders>
              <w:top w:val="nil"/>
              <w:left w:val="nil"/>
              <w:bottom w:val="nil"/>
              <w:right w:val="nil"/>
            </w:tcBorders>
          </w:tcPr>
          <w:p w:rsidR="00431B1C" w:rsidRPr="00CE54A9" w:rsidRDefault="00431B1C" w:rsidP="00983325">
            <w:pPr>
              <w:contextualSpacing/>
              <w:rPr>
                <w:rFonts w:cs="Times New Roman"/>
                <w:sz w:val="21"/>
                <w:szCs w:val="21"/>
              </w:rPr>
            </w:pPr>
          </w:p>
        </w:tc>
        <w:tc>
          <w:tcPr>
            <w:tcW w:w="5418" w:type="dxa"/>
            <w:tcBorders>
              <w:top w:val="nil"/>
              <w:left w:val="nil"/>
              <w:bottom w:val="nil"/>
              <w:right w:val="nil"/>
            </w:tcBorders>
          </w:tcPr>
          <w:p w:rsidR="00431B1C" w:rsidRPr="00CE54A9" w:rsidRDefault="00431B1C" w:rsidP="00983325">
            <w:pPr>
              <w:contextualSpacing/>
              <w:rPr>
                <w:rFonts w:cs="Times New Roman"/>
                <w:sz w:val="21"/>
                <w:szCs w:val="21"/>
              </w:rPr>
            </w:pPr>
          </w:p>
        </w:tc>
      </w:tr>
      <w:tr w:rsidR="00431B1C" w:rsidRPr="00CE54A9" w:rsidTr="0042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21E3B" w:rsidRDefault="00431B1C" w:rsidP="00983325"/>
        </w:tc>
        <w:tc>
          <w:tcPr>
            <w:tcW w:w="7182" w:type="dxa"/>
            <w:tcBorders>
              <w:top w:val="nil"/>
              <w:left w:val="nil"/>
              <w:bottom w:val="nil"/>
              <w:right w:val="nil"/>
            </w:tcBorders>
          </w:tcPr>
          <w:p w:rsidR="00431B1C" w:rsidRPr="00CE54A9" w:rsidRDefault="00431B1C" w:rsidP="00983325">
            <w:pPr>
              <w:rPr>
                <w:sz w:val="21"/>
                <w:szCs w:val="21"/>
              </w:rPr>
            </w:pPr>
          </w:p>
        </w:tc>
        <w:tc>
          <w:tcPr>
            <w:tcW w:w="990" w:type="dxa"/>
            <w:tcBorders>
              <w:top w:val="nil"/>
              <w:left w:val="nil"/>
              <w:bottom w:val="nil"/>
              <w:right w:val="nil"/>
            </w:tcBorders>
          </w:tcPr>
          <w:p w:rsidR="00431B1C" w:rsidRPr="00CE54A9" w:rsidRDefault="00431B1C" w:rsidP="00983325">
            <w:pPr>
              <w:contextualSpacing/>
              <w:rPr>
                <w:rFonts w:cs="Times New Roman"/>
                <w:sz w:val="21"/>
                <w:szCs w:val="21"/>
              </w:rPr>
            </w:pPr>
          </w:p>
        </w:tc>
        <w:tc>
          <w:tcPr>
            <w:tcW w:w="5418" w:type="dxa"/>
            <w:tcBorders>
              <w:top w:val="nil"/>
              <w:left w:val="nil"/>
              <w:bottom w:val="nil"/>
              <w:right w:val="nil"/>
            </w:tcBorders>
          </w:tcPr>
          <w:p w:rsidR="00431B1C" w:rsidRPr="00CE54A9" w:rsidRDefault="00431B1C" w:rsidP="00983325">
            <w:pPr>
              <w:contextualSpacing/>
              <w:rPr>
                <w:rFonts w:cs="Times New Roman"/>
                <w:sz w:val="21"/>
                <w:szCs w:val="21"/>
              </w:rPr>
            </w:pPr>
          </w:p>
        </w:tc>
      </w:tr>
      <w:tr w:rsidR="00431B1C" w:rsidRPr="00CE54A9" w:rsidTr="0042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20" w:type="dxa"/>
            <w:tcBorders>
              <w:top w:val="nil"/>
              <w:left w:val="nil"/>
              <w:bottom w:val="nil"/>
              <w:right w:val="nil"/>
            </w:tcBorders>
            <w:vAlign w:val="center"/>
          </w:tcPr>
          <w:p w:rsidR="00431B1C" w:rsidRPr="00421E3B" w:rsidRDefault="00431B1C" w:rsidP="00983325"/>
        </w:tc>
        <w:tc>
          <w:tcPr>
            <w:tcW w:w="7182" w:type="dxa"/>
            <w:tcBorders>
              <w:top w:val="nil"/>
              <w:left w:val="nil"/>
              <w:bottom w:val="nil"/>
              <w:right w:val="nil"/>
            </w:tcBorders>
          </w:tcPr>
          <w:p w:rsidR="00431B1C" w:rsidRDefault="00431B1C" w:rsidP="00983325">
            <w:pPr>
              <w:rPr>
                <w:sz w:val="21"/>
                <w:szCs w:val="21"/>
              </w:rPr>
            </w:pPr>
          </w:p>
          <w:p w:rsidR="00431B1C" w:rsidRDefault="00431B1C" w:rsidP="00983325">
            <w:pPr>
              <w:rPr>
                <w:sz w:val="21"/>
                <w:szCs w:val="21"/>
              </w:rPr>
            </w:pPr>
          </w:p>
          <w:p w:rsidR="00431B1C" w:rsidRDefault="00431B1C" w:rsidP="00983325">
            <w:pPr>
              <w:rPr>
                <w:sz w:val="21"/>
                <w:szCs w:val="21"/>
              </w:rPr>
            </w:pPr>
          </w:p>
          <w:p w:rsidR="00431B1C" w:rsidRDefault="00431B1C" w:rsidP="00983325">
            <w:pPr>
              <w:rPr>
                <w:sz w:val="21"/>
                <w:szCs w:val="21"/>
              </w:rPr>
            </w:pPr>
          </w:p>
          <w:p w:rsidR="00431B1C" w:rsidRDefault="00431B1C" w:rsidP="00983325">
            <w:pPr>
              <w:rPr>
                <w:sz w:val="21"/>
                <w:szCs w:val="21"/>
              </w:rPr>
            </w:pPr>
          </w:p>
          <w:p w:rsidR="00431B1C" w:rsidRDefault="00431B1C" w:rsidP="00983325">
            <w:pPr>
              <w:rPr>
                <w:sz w:val="21"/>
                <w:szCs w:val="21"/>
              </w:rPr>
            </w:pPr>
          </w:p>
          <w:p w:rsidR="00431B1C" w:rsidRDefault="00431B1C" w:rsidP="00983325">
            <w:pPr>
              <w:rPr>
                <w:sz w:val="21"/>
                <w:szCs w:val="21"/>
              </w:rPr>
            </w:pPr>
          </w:p>
          <w:p w:rsidR="00431B1C" w:rsidRPr="00CE54A9" w:rsidRDefault="00431B1C" w:rsidP="00983325">
            <w:pPr>
              <w:rPr>
                <w:sz w:val="21"/>
                <w:szCs w:val="21"/>
              </w:rPr>
            </w:pPr>
          </w:p>
        </w:tc>
        <w:tc>
          <w:tcPr>
            <w:tcW w:w="990" w:type="dxa"/>
            <w:tcBorders>
              <w:top w:val="nil"/>
              <w:left w:val="nil"/>
              <w:bottom w:val="nil"/>
              <w:right w:val="nil"/>
            </w:tcBorders>
          </w:tcPr>
          <w:p w:rsidR="00431B1C" w:rsidRPr="00CE54A9" w:rsidRDefault="00431B1C" w:rsidP="00983325">
            <w:pPr>
              <w:contextualSpacing/>
              <w:rPr>
                <w:rFonts w:cs="Times New Roman"/>
                <w:sz w:val="21"/>
                <w:szCs w:val="21"/>
              </w:rPr>
            </w:pPr>
          </w:p>
        </w:tc>
        <w:tc>
          <w:tcPr>
            <w:tcW w:w="5418" w:type="dxa"/>
            <w:tcBorders>
              <w:top w:val="nil"/>
              <w:left w:val="nil"/>
              <w:bottom w:val="nil"/>
              <w:right w:val="nil"/>
            </w:tcBorders>
          </w:tcPr>
          <w:p w:rsidR="00431B1C" w:rsidRPr="00CE54A9" w:rsidRDefault="00431B1C" w:rsidP="00983325">
            <w:pPr>
              <w:contextualSpacing/>
              <w:rPr>
                <w:rFonts w:cs="Times New Roman"/>
                <w:sz w:val="21"/>
                <w:szCs w:val="21"/>
              </w:rPr>
            </w:pPr>
          </w:p>
        </w:tc>
      </w:tr>
    </w:tbl>
    <w:p w:rsidR="00DA2632" w:rsidRPr="0027083E" w:rsidRDefault="00DA2632" w:rsidP="002E59A9">
      <w:pPr>
        <w:pStyle w:val="Heading1"/>
        <w:rPr>
          <w:rFonts w:asciiTheme="minorHAnsi" w:hAnsiTheme="minorHAnsi"/>
        </w:rPr>
      </w:pPr>
      <w:bookmarkStart w:id="3" w:name="_Toc483828797"/>
      <w:bookmarkStart w:id="4" w:name="_Toc440975328"/>
      <w:r w:rsidRPr="0027083E">
        <w:rPr>
          <w:rFonts w:asciiTheme="minorHAnsi" w:hAnsiTheme="minorHAnsi"/>
        </w:rPr>
        <w:lastRenderedPageBreak/>
        <w:t>SECTION A: SUBSTANTIVE ISSUES RAISED</w:t>
      </w:r>
      <w:bookmarkEnd w:id="3"/>
    </w:p>
    <w:p w:rsidR="00DA2632" w:rsidRPr="0027083E" w:rsidRDefault="00DA2632" w:rsidP="00DA2632">
      <w:pPr>
        <w:pStyle w:val="NoSpacing"/>
      </w:pPr>
    </w:p>
    <w:p w:rsidR="00DA2632" w:rsidRPr="0027083E" w:rsidRDefault="00DA2632" w:rsidP="00FC4BCF">
      <w:pPr>
        <w:pStyle w:val="NoSpacing"/>
        <w:numPr>
          <w:ilvl w:val="0"/>
          <w:numId w:val="4"/>
        </w:numPr>
        <w:jc w:val="both"/>
        <w:rPr>
          <w:rFonts w:cs="Times New Roman"/>
        </w:rPr>
      </w:pPr>
      <w:r w:rsidRPr="0027083E">
        <w:rPr>
          <w:rFonts w:cs="Times New Roman"/>
        </w:rPr>
        <w:t>This section sets out issues raise</w:t>
      </w:r>
      <w:r w:rsidR="00CD179F" w:rsidRPr="0027083E">
        <w:rPr>
          <w:rFonts w:cs="Times New Roman"/>
        </w:rPr>
        <w:t xml:space="preserve">d by more than one stakeholder. </w:t>
      </w:r>
      <w:r w:rsidRPr="0027083E">
        <w:rPr>
          <w:rFonts w:cs="Times New Roman"/>
        </w:rPr>
        <w:t>These issues include:</w:t>
      </w:r>
    </w:p>
    <w:p w:rsidR="00CD179F" w:rsidRPr="0027083E" w:rsidRDefault="00CD179F" w:rsidP="00FC4BCF">
      <w:pPr>
        <w:pStyle w:val="NoSpacing"/>
        <w:numPr>
          <w:ilvl w:val="1"/>
          <w:numId w:val="4"/>
        </w:numPr>
        <w:rPr>
          <w:rFonts w:cs="Times New Roman"/>
        </w:rPr>
      </w:pPr>
      <w:r w:rsidRPr="0027083E">
        <w:rPr>
          <w:rFonts w:cs="Times New Roman"/>
        </w:rPr>
        <w:t xml:space="preserve">Financial Sector </w:t>
      </w:r>
      <w:r w:rsidR="0098026E" w:rsidRPr="0027083E">
        <w:rPr>
          <w:rFonts w:cs="Times New Roman"/>
        </w:rPr>
        <w:t>Codes</w:t>
      </w:r>
    </w:p>
    <w:p w:rsidR="00063CEF" w:rsidRPr="0027083E" w:rsidRDefault="00063CEF" w:rsidP="00FC4BCF">
      <w:pPr>
        <w:pStyle w:val="ListParagraph"/>
        <w:numPr>
          <w:ilvl w:val="1"/>
          <w:numId w:val="4"/>
        </w:numPr>
        <w:rPr>
          <w:rFonts w:cs="Times New Roman"/>
        </w:rPr>
      </w:pPr>
      <w:r w:rsidRPr="0027083E">
        <w:rPr>
          <w:rFonts w:cs="Times New Roman"/>
        </w:rPr>
        <w:t>Lack of coherent data</w:t>
      </w:r>
    </w:p>
    <w:p w:rsidR="00DB6982" w:rsidRPr="0027083E" w:rsidRDefault="00DB6982" w:rsidP="00FC4BCF">
      <w:pPr>
        <w:pStyle w:val="ListParagraph"/>
        <w:numPr>
          <w:ilvl w:val="1"/>
          <w:numId w:val="4"/>
        </w:numPr>
        <w:rPr>
          <w:rFonts w:cs="Times New Roman"/>
        </w:rPr>
      </w:pPr>
      <w:r w:rsidRPr="0027083E">
        <w:rPr>
          <w:rFonts w:cs="Times New Roman"/>
        </w:rPr>
        <w:t>Industry performing poorly against FSC targets</w:t>
      </w:r>
    </w:p>
    <w:p w:rsidR="00DB6982" w:rsidRPr="0027083E" w:rsidRDefault="00CD179F" w:rsidP="00FC4BCF">
      <w:pPr>
        <w:pStyle w:val="ListParagraph"/>
        <w:numPr>
          <w:ilvl w:val="1"/>
          <w:numId w:val="4"/>
        </w:numPr>
        <w:rPr>
          <w:rFonts w:cs="Times New Roman"/>
        </w:rPr>
      </w:pPr>
      <w:r w:rsidRPr="0027083E">
        <w:rPr>
          <w:rFonts w:cs="Times New Roman"/>
        </w:rPr>
        <w:t xml:space="preserve">Enterprise development </w:t>
      </w:r>
    </w:p>
    <w:p w:rsidR="00F40525" w:rsidRPr="0027083E" w:rsidRDefault="00F40525" w:rsidP="00FC4BCF">
      <w:pPr>
        <w:pStyle w:val="ListParagraph"/>
        <w:numPr>
          <w:ilvl w:val="1"/>
          <w:numId w:val="4"/>
        </w:numPr>
        <w:rPr>
          <w:rFonts w:cs="Times New Roman"/>
        </w:rPr>
      </w:pPr>
      <w:r w:rsidRPr="0027083E">
        <w:rPr>
          <w:rFonts w:cs="Times New Roman"/>
        </w:rPr>
        <w:t>Conduct of financial institutions</w:t>
      </w:r>
      <w:r w:rsidR="00F016C6" w:rsidRPr="0027083E">
        <w:rPr>
          <w:rFonts w:cs="Times New Roman"/>
        </w:rPr>
        <w:t xml:space="preserve"> and financial exclusion</w:t>
      </w:r>
    </w:p>
    <w:p w:rsidR="00DA667A" w:rsidRPr="0027083E" w:rsidRDefault="0099017C" w:rsidP="00FC4BCF">
      <w:pPr>
        <w:pStyle w:val="Heading2"/>
        <w:numPr>
          <w:ilvl w:val="0"/>
          <w:numId w:val="5"/>
        </w:numPr>
        <w:jc w:val="both"/>
        <w:rPr>
          <w:rFonts w:asciiTheme="minorHAnsi" w:hAnsiTheme="minorHAnsi"/>
          <w:i/>
        </w:rPr>
      </w:pPr>
      <w:bookmarkStart w:id="5" w:name="_Toc483828798"/>
      <w:r w:rsidRPr="0027083E">
        <w:rPr>
          <w:rFonts w:asciiTheme="minorHAnsi" w:hAnsiTheme="minorHAnsi"/>
          <w:i/>
        </w:rPr>
        <w:t>Financial Sector Codes</w:t>
      </w:r>
      <w:r w:rsidR="00F51AB8" w:rsidRPr="0027083E">
        <w:rPr>
          <w:rFonts w:asciiTheme="minorHAnsi" w:hAnsiTheme="minorHAnsi"/>
          <w:i/>
        </w:rPr>
        <w:t xml:space="preserve"> (FSC)</w:t>
      </w:r>
      <w:bookmarkEnd w:id="5"/>
    </w:p>
    <w:p w:rsidR="0099017C" w:rsidRPr="0027083E" w:rsidRDefault="0099017C" w:rsidP="0099017C">
      <w:pPr>
        <w:pStyle w:val="NoSpacing"/>
      </w:pPr>
    </w:p>
    <w:p w:rsidR="00F51AB8" w:rsidRPr="0027083E" w:rsidRDefault="00CA4ED6" w:rsidP="00FC4BCF">
      <w:pPr>
        <w:numPr>
          <w:ilvl w:val="0"/>
          <w:numId w:val="4"/>
        </w:numPr>
        <w:contextualSpacing/>
        <w:rPr>
          <w:rFonts w:cs="Times New Roman"/>
        </w:rPr>
      </w:pPr>
      <w:r w:rsidRPr="0027083E">
        <w:rPr>
          <w:rFonts w:cs="Times New Roman"/>
        </w:rPr>
        <w:t>Stakeholders indicated that the s</w:t>
      </w:r>
      <w:r w:rsidR="0099017C" w:rsidRPr="0027083E">
        <w:rPr>
          <w:rFonts w:cs="Times New Roman"/>
        </w:rPr>
        <w:t xml:space="preserve">ector is performing poorly against </w:t>
      </w:r>
      <w:r w:rsidRPr="0027083E">
        <w:rPr>
          <w:rFonts w:cs="Times New Roman"/>
        </w:rPr>
        <w:t xml:space="preserve">commitments made and agreements reached </w:t>
      </w:r>
      <w:r w:rsidR="0099017C" w:rsidRPr="0027083E">
        <w:rPr>
          <w:rFonts w:cs="Times New Roman"/>
        </w:rPr>
        <w:t xml:space="preserve">at the 2002 financial sector summit which gave rise to the financial sector codes, then financial sector charter. </w:t>
      </w:r>
      <w:r w:rsidRPr="0027083E">
        <w:rPr>
          <w:rFonts w:cs="Times New Roman"/>
        </w:rPr>
        <w:t xml:space="preserve">The sector has either not implemented </w:t>
      </w:r>
      <w:r w:rsidR="00546B44" w:rsidRPr="0027083E">
        <w:rPr>
          <w:rFonts w:cs="Times New Roman"/>
        </w:rPr>
        <w:t>t</w:t>
      </w:r>
      <w:r w:rsidRPr="0027083E">
        <w:rPr>
          <w:rFonts w:cs="Times New Roman"/>
        </w:rPr>
        <w:t xml:space="preserve">he principles agreed/committed </w:t>
      </w:r>
      <w:r w:rsidR="00F51AB8" w:rsidRPr="0027083E">
        <w:rPr>
          <w:rFonts w:cs="Times New Roman"/>
        </w:rPr>
        <w:t>to</w:t>
      </w:r>
      <w:r w:rsidR="00546B44" w:rsidRPr="0027083E">
        <w:rPr>
          <w:rFonts w:cs="Times New Roman"/>
        </w:rPr>
        <w:t>,</w:t>
      </w:r>
      <w:r w:rsidR="00F51AB8" w:rsidRPr="0027083E">
        <w:rPr>
          <w:rFonts w:cs="Times New Roman"/>
        </w:rPr>
        <w:t xml:space="preserve"> </w:t>
      </w:r>
      <w:r w:rsidRPr="0027083E">
        <w:rPr>
          <w:rFonts w:cs="Times New Roman"/>
        </w:rPr>
        <w:t xml:space="preserve">or where </w:t>
      </w:r>
      <w:r w:rsidR="00F51AB8" w:rsidRPr="0027083E">
        <w:rPr>
          <w:rFonts w:cs="Times New Roman"/>
        </w:rPr>
        <w:t xml:space="preserve">implemented, what has been implemented </w:t>
      </w:r>
      <w:r w:rsidRPr="0027083E">
        <w:rPr>
          <w:rFonts w:cs="Times New Roman"/>
        </w:rPr>
        <w:t xml:space="preserve">has </w:t>
      </w:r>
      <w:r w:rsidR="00F51AB8" w:rsidRPr="0027083E">
        <w:rPr>
          <w:rFonts w:cs="Times New Roman"/>
        </w:rPr>
        <w:t>rendered sub-</w:t>
      </w:r>
      <w:r w:rsidRPr="0027083E">
        <w:rPr>
          <w:rFonts w:cs="Times New Roman"/>
        </w:rPr>
        <w:t>minimal change</w:t>
      </w:r>
      <w:r w:rsidR="00F51AB8" w:rsidRPr="0027083E">
        <w:rPr>
          <w:rFonts w:cs="Times New Roman"/>
        </w:rPr>
        <w:t>.</w:t>
      </w:r>
    </w:p>
    <w:p w:rsidR="0099017C" w:rsidRPr="0027083E" w:rsidRDefault="0099017C" w:rsidP="00F51AB8">
      <w:pPr>
        <w:ind w:left="720"/>
        <w:contextualSpacing/>
        <w:rPr>
          <w:rFonts w:cs="Times New Roman"/>
        </w:rPr>
      </w:pPr>
    </w:p>
    <w:p w:rsidR="00A12CC4" w:rsidRPr="0027083E" w:rsidRDefault="00142063" w:rsidP="00FC4BCF">
      <w:pPr>
        <w:numPr>
          <w:ilvl w:val="0"/>
          <w:numId w:val="4"/>
        </w:numPr>
        <w:contextualSpacing/>
        <w:rPr>
          <w:rFonts w:cs="Times New Roman"/>
        </w:rPr>
      </w:pPr>
      <w:r>
        <w:rPr>
          <w:rFonts w:cs="Times New Roman"/>
        </w:rPr>
        <w:t>The FSC was c</w:t>
      </w:r>
      <w:r w:rsidR="00F51AB8" w:rsidRPr="0027083E">
        <w:rPr>
          <w:rFonts w:cs="Times New Roman"/>
        </w:rPr>
        <w:t>riticis</w:t>
      </w:r>
      <w:r>
        <w:rPr>
          <w:rFonts w:cs="Times New Roman"/>
        </w:rPr>
        <w:t>ed</w:t>
      </w:r>
      <w:r w:rsidR="00F51AB8" w:rsidRPr="0027083E">
        <w:rPr>
          <w:rFonts w:cs="Times New Roman"/>
        </w:rPr>
        <w:t xml:space="preserve"> as </w:t>
      </w:r>
      <w:r>
        <w:rPr>
          <w:rFonts w:cs="Times New Roman"/>
        </w:rPr>
        <w:t>it is</w:t>
      </w:r>
      <w:r w:rsidR="00F51AB8" w:rsidRPr="0027083E">
        <w:rPr>
          <w:rFonts w:cs="Times New Roman"/>
        </w:rPr>
        <w:t xml:space="preserve"> seen </w:t>
      </w:r>
      <w:r w:rsidR="0005529A" w:rsidRPr="0027083E">
        <w:rPr>
          <w:rFonts w:cs="Times New Roman"/>
        </w:rPr>
        <w:t>to undermine the generic B</w:t>
      </w:r>
      <w:r w:rsidR="002340D7" w:rsidRPr="0027083E">
        <w:rPr>
          <w:rFonts w:cs="Times New Roman"/>
        </w:rPr>
        <w:t>-</w:t>
      </w:r>
      <w:r w:rsidR="0005529A" w:rsidRPr="0027083E">
        <w:rPr>
          <w:rFonts w:cs="Times New Roman"/>
        </w:rPr>
        <w:t>BBEE codes esp</w:t>
      </w:r>
      <w:r w:rsidR="00F51AB8" w:rsidRPr="0027083E">
        <w:rPr>
          <w:rFonts w:cs="Times New Roman"/>
        </w:rPr>
        <w:t xml:space="preserve">ecially </w:t>
      </w:r>
      <w:r w:rsidR="0005529A" w:rsidRPr="0027083E">
        <w:rPr>
          <w:rFonts w:cs="Times New Roman"/>
        </w:rPr>
        <w:t>w</w:t>
      </w:r>
      <w:r w:rsidR="00F51AB8" w:rsidRPr="0027083E">
        <w:rPr>
          <w:rFonts w:cs="Times New Roman"/>
        </w:rPr>
        <w:t xml:space="preserve">ith </w:t>
      </w:r>
      <w:r w:rsidR="0005529A" w:rsidRPr="0027083E">
        <w:rPr>
          <w:rFonts w:cs="Times New Roman"/>
        </w:rPr>
        <w:t>r</w:t>
      </w:r>
      <w:r w:rsidR="00F51AB8" w:rsidRPr="0027083E">
        <w:rPr>
          <w:rFonts w:cs="Times New Roman"/>
        </w:rPr>
        <w:t xml:space="preserve">egard </w:t>
      </w:r>
      <w:r w:rsidR="0005529A" w:rsidRPr="0027083E">
        <w:rPr>
          <w:rFonts w:cs="Times New Roman"/>
        </w:rPr>
        <w:t>t</w:t>
      </w:r>
      <w:r w:rsidR="00F51AB8" w:rsidRPr="0027083E">
        <w:rPr>
          <w:rFonts w:cs="Times New Roman"/>
        </w:rPr>
        <w:t>o</w:t>
      </w:r>
      <w:r w:rsidR="00A12CC4" w:rsidRPr="0027083E">
        <w:rPr>
          <w:rFonts w:cs="Times New Roman"/>
        </w:rPr>
        <w:t>:</w:t>
      </w:r>
    </w:p>
    <w:p w:rsidR="0025263E" w:rsidRPr="0027083E" w:rsidRDefault="0098026E" w:rsidP="00FC4BCF">
      <w:pPr>
        <w:pStyle w:val="ListParagraph"/>
        <w:numPr>
          <w:ilvl w:val="0"/>
          <w:numId w:val="6"/>
        </w:numPr>
        <w:rPr>
          <w:rFonts w:cs="Times New Roman"/>
        </w:rPr>
      </w:pPr>
      <w:r w:rsidRPr="0027083E">
        <w:rPr>
          <w:rFonts w:cs="Times New Roman"/>
        </w:rPr>
        <w:t>o</w:t>
      </w:r>
      <w:r w:rsidR="00F51AB8" w:rsidRPr="0027083E">
        <w:rPr>
          <w:rFonts w:cs="Times New Roman"/>
        </w:rPr>
        <w:t>wnership</w:t>
      </w:r>
      <w:r w:rsidRPr="0027083E">
        <w:rPr>
          <w:rFonts w:cs="Times New Roman"/>
        </w:rPr>
        <w:t xml:space="preserve"> targets especially </w:t>
      </w:r>
      <w:r w:rsidR="00F51AB8" w:rsidRPr="0027083E">
        <w:rPr>
          <w:rFonts w:cs="Times New Roman"/>
        </w:rPr>
        <w:t xml:space="preserve">where </w:t>
      </w:r>
      <w:r w:rsidR="0005529A" w:rsidRPr="0027083E">
        <w:rPr>
          <w:rFonts w:cs="Times New Roman"/>
        </w:rPr>
        <w:t xml:space="preserve">the </w:t>
      </w:r>
      <w:r w:rsidR="0005529A" w:rsidRPr="0027083E">
        <w:rPr>
          <w:rFonts w:cs="Times New Roman"/>
          <w:bCs/>
        </w:rPr>
        <w:t>“once-empowered always empowered”</w:t>
      </w:r>
      <w:r w:rsidR="00FC1CAC" w:rsidRPr="0027083E">
        <w:rPr>
          <w:rFonts w:cs="Times New Roman"/>
          <w:bCs/>
        </w:rPr>
        <w:t xml:space="preserve"> </w:t>
      </w:r>
      <w:r w:rsidRPr="0027083E">
        <w:rPr>
          <w:rFonts w:cs="Times New Roman"/>
          <w:bCs/>
        </w:rPr>
        <w:t xml:space="preserve">principle </w:t>
      </w:r>
      <w:r w:rsidR="00F51AB8" w:rsidRPr="0027083E">
        <w:rPr>
          <w:rFonts w:cs="Times New Roman"/>
          <w:bCs/>
        </w:rPr>
        <w:t>is applicable</w:t>
      </w:r>
      <w:r w:rsidR="00A12CC4" w:rsidRPr="0027083E">
        <w:rPr>
          <w:rFonts w:cs="Times New Roman"/>
          <w:bCs/>
        </w:rPr>
        <w:t xml:space="preserve"> </w:t>
      </w:r>
    </w:p>
    <w:p w:rsidR="00A12CC4" w:rsidRPr="0027083E" w:rsidRDefault="0098026E" w:rsidP="00FC4BCF">
      <w:pPr>
        <w:pStyle w:val="ListParagraph"/>
        <w:numPr>
          <w:ilvl w:val="0"/>
          <w:numId w:val="6"/>
        </w:numPr>
        <w:rPr>
          <w:rFonts w:cs="Times New Roman"/>
        </w:rPr>
      </w:pPr>
      <w:r w:rsidRPr="0027083E">
        <w:rPr>
          <w:rFonts w:cs="Times New Roman"/>
        </w:rPr>
        <w:t>t</w:t>
      </w:r>
      <w:r w:rsidR="00A12CC4" w:rsidRPr="0027083E">
        <w:rPr>
          <w:rFonts w:cs="Times New Roman"/>
        </w:rPr>
        <w:t>argets set for the sector codes are lower than generic targets</w:t>
      </w:r>
    </w:p>
    <w:p w:rsidR="00A12CC4" w:rsidRPr="0027083E" w:rsidRDefault="0098026E" w:rsidP="00FC4BCF">
      <w:pPr>
        <w:pStyle w:val="ListParagraph"/>
        <w:numPr>
          <w:ilvl w:val="0"/>
          <w:numId w:val="6"/>
        </w:numPr>
        <w:rPr>
          <w:rFonts w:cs="Times New Roman"/>
        </w:rPr>
      </w:pPr>
      <w:r w:rsidRPr="0027083E">
        <w:rPr>
          <w:rFonts w:cs="Times New Roman"/>
        </w:rPr>
        <w:t>t</w:t>
      </w:r>
      <w:r w:rsidR="00A12CC4" w:rsidRPr="0027083E">
        <w:rPr>
          <w:rFonts w:cs="Times New Roman"/>
        </w:rPr>
        <w:t>he “voluntary” nature of the codes as</w:t>
      </w:r>
      <w:r w:rsidR="00546B44" w:rsidRPr="0027083E">
        <w:rPr>
          <w:rFonts w:cs="Times New Roman"/>
        </w:rPr>
        <w:t xml:space="preserve">, especially as </w:t>
      </w:r>
      <w:r w:rsidR="00A12CC4" w:rsidRPr="0027083E">
        <w:rPr>
          <w:rFonts w:cs="Times New Roman"/>
        </w:rPr>
        <w:t>no action is taken against those that fall short of the targets</w:t>
      </w:r>
    </w:p>
    <w:p w:rsidR="00A12CC4" w:rsidRPr="0027083E" w:rsidRDefault="00A12CC4" w:rsidP="00A12CC4">
      <w:pPr>
        <w:pStyle w:val="ListParagraph"/>
        <w:rPr>
          <w:rFonts w:cs="Times New Roman"/>
        </w:rPr>
      </w:pPr>
    </w:p>
    <w:p w:rsidR="0098026E" w:rsidRPr="0027083E" w:rsidRDefault="00A12CC4" w:rsidP="009E4F25">
      <w:pPr>
        <w:numPr>
          <w:ilvl w:val="0"/>
          <w:numId w:val="4"/>
        </w:numPr>
        <w:contextualSpacing/>
        <w:rPr>
          <w:rFonts w:cs="Times New Roman"/>
        </w:rPr>
      </w:pPr>
      <w:r w:rsidRPr="0027083E">
        <w:rPr>
          <w:rFonts w:cs="Times New Roman"/>
        </w:rPr>
        <w:t xml:space="preserve">National Treasury’s response is as follows: </w:t>
      </w:r>
    </w:p>
    <w:p w:rsidR="00CF5597" w:rsidRPr="0027083E" w:rsidRDefault="0098026E" w:rsidP="00936EE2">
      <w:pPr>
        <w:pStyle w:val="ListParagraph"/>
        <w:numPr>
          <w:ilvl w:val="0"/>
          <w:numId w:val="7"/>
        </w:numPr>
        <w:ind w:left="1080"/>
        <w:rPr>
          <w:rFonts w:cs="Times New Roman"/>
          <w:bCs/>
        </w:rPr>
      </w:pPr>
      <w:r w:rsidRPr="0027083E">
        <w:rPr>
          <w:rFonts w:cs="Times New Roman"/>
          <w:bCs/>
        </w:rPr>
        <w:t>A</w:t>
      </w:r>
      <w:r w:rsidR="00CF5597" w:rsidRPr="0027083E">
        <w:rPr>
          <w:rFonts w:cs="Times New Roman"/>
          <w:bCs/>
        </w:rPr>
        <w:t>nother Financial Sector Summit</w:t>
      </w:r>
      <w:r w:rsidRPr="0027083E">
        <w:rPr>
          <w:rFonts w:cs="Times New Roman"/>
          <w:bCs/>
        </w:rPr>
        <w:t xml:space="preserve"> should be held </w:t>
      </w:r>
      <w:r w:rsidR="00CF5597" w:rsidRPr="0027083E">
        <w:rPr>
          <w:rFonts w:cs="Times New Roman"/>
          <w:bCs/>
        </w:rPr>
        <w:t>to refocus transformation policy and approach (as agreed in NEDLAC)</w:t>
      </w:r>
    </w:p>
    <w:p w:rsidR="00073CCB" w:rsidRPr="0027083E" w:rsidRDefault="00073CCB" w:rsidP="00936EE2">
      <w:pPr>
        <w:pStyle w:val="ListParagraph"/>
        <w:numPr>
          <w:ilvl w:val="0"/>
          <w:numId w:val="7"/>
        </w:numPr>
        <w:ind w:left="1080"/>
        <w:rPr>
          <w:rFonts w:cs="Times New Roman"/>
          <w:bCs/>
          <w:lang w:val="en-ZA"/>
        </w:rPr>
      </w:pPr>
      <w:r w:rsidRPr="0027083E">
        <w:rPr>
          <w:rFonts w:cs="Times New Roman"/>
          <w:bCs/>
        </w:rPr>
        <w:t>The FS</w:t>
      </w:r>
      <w:r w:rsidR="00546B44" w:rsidRPr="0027083E">
        <w:rPr>
          <w:rFonts w:cs="Times New Roman"/>
          <w:bCs/>
        </w:rPr>
        <w:t xml:space="preserve">C must be reformed if it is to </w:t>
      </w:r>
      <w:r w:rsidRPr="0027083E">
        <w:rPr>
          <w:rFonts w:cs="Times New Roman"/>
          <w:bCs/>
        </w:rPr>
        <w:t>remain the primary instrument to effect transformation this will be done by:</w:t>
      </w:r>
    </w:p>
    <w:p w:rsidR="005C145C" w:rsidRPr="0027083E" w:rsidRDefault="009E4F25" w:rsidP="00936EE2">
      <w:pPr>
        <w:pStyle w:val="ListParagraph"/>
        <w:numPr>
          <w:ilvl w:val="1"/>
          <w:numId w:val="7"/>
        </w:numPr>
        <w:rPr>
          <w:rFonts w:cs="Times New Roman"/>
          <w:bCs/>
          <w:lang w:val="en-ZA"/>
        </w:rPr>
      </w:pPr>
      <w:r w:rsidRPr="0027083E">
        <w:rPr>
          <w:rFonts w:cs="Times New Roman"/>
          <w:bCs/>
        </w:rPr>
        <w:t xml:space="preserve">Set </w:t>
      </w:r>
      <w:r w:rsidRPr="0027083E">
        <w:rPr>
          <w:rFonts w:cs="Times New Roman"/>
          <w:b/>
          <w:bCs/>
        </w:rPr>
        <w:t xml:space="preserve">higher and enforceable </w:t>
      </w:r>
      <w:r w:rsidR="005C145C" w:rsidRPr="0027083E">
        <w:rPr>
          <w:rFonts w:cs="Times New Roman"/>
          <w:b/>
          <w:bCs/>
        </w:rPr>
        <w:t>t</w:t>
      </w:r>
      <w:r w:rsidR="00073CCB" w:rsidRPr="0027083E">
        <w:rPr>
          <w:rFonts w:cs="Times New Roman"/>
          <w:b/>
          <w:bCs/>
        </w:rPr>
        <w:t xml:space="preserve">argets </w:t>
      </w:r>
      <w:r w:rsidR="00073CCB" w:rsidRPr="0027083E">
        <w:rPr>
          <w:rFonts w:cs="Times New Roman"/>
          <w:bCs/>
        </w:rPr>
        <w:t>focusing esp</w:t>
      </w:r>
      <w:r w:rsidR="005C145C" w:rsidRPr="0027083E">
        <w:rPr>
          <w:rFonts w:cs="Times New Roman"/>
          <w:bCs/>
        </w:rPr>
        <w:t>ecially</w:t>
      </w:r>
      <w:r w:rsidR="00073CCB" w:rsidRPr="0027083E">
        <w:rPr>
          <w:rFonts w:cs="Times New Roman"/>
          <w:bCs/>
        </w:rPr>
        <w:t xml:space="preserve"> on</w:t>
      </w:r>
      <w:r w:rsidRPr="0027083E">
        <w:rPr>
          <w:rFonts w:cs="Times New Roman"/>
          <w:bCs/>
        </w:rPr>
        <w:t xml:space="preserve"> </w:t>
      </w:r>
      <w:r w:rsidRPr="0027083E">
        <w:rPr>
          <w:rFonts w:cs="Times New Roman"/>
          <w:b/>
          <w:bCs/>
        </w:rPr>
        <w:t xml:space="preserve">ownership, </w:t>
      </w:r>
      <w:r w:rsidR="00073CCB" w:rsidRPr="0027083E">
        <w:rPr>
          <w:rFonts w:cs="Times New Roman"/>
          <w:b/>
          <w:bCs/>
        </w:rPr>
        <w:t xml:space="preserve">management </w:t>
      </w:r>
      <w:r w:rsidR="005C145C" w:rsidRPr="0027083E">
        <w:rPr>
          <w:rFonts w:cs="Times New Roman"/>
          <w:b/>
          <w:bCs/>
        </w:rPr>
        <w:t xml:space="preserve">control, </w:t>
      </w:r>
      <w:r w:rsidR="00073CCB" w:rsidRPr="0027083E">
        <w:rPr>
          <w:rFonts w:cs="Times New Roman"/>
          <w:b/>
          <w:bCs/>
        </w:rPr>
        <w:t>procurement</w:t>
      </w:r>
      <w:r w:rsidR="005C145C" w:rsidRPr="0027083E">
        <w:rPr>
          <w:rFonts w:cs="Times New Roman"/>
          <w:b/>
          <w:bCs/>
        </w:rPr>
        <w:t xml:space="preserve"> and financial </w:t>
      </w:r>
      <w:r w:rsidR="00073CCB" w:rsidRPr="0027083E">
        <w:rPr>
          <w:rFonts w:cs="Times New Roman"/>
          <w:b/>
          <w:bCs/>
        </w:rPr>
        <w:t xml:space="preserve">inclusion </w:t>
      </w:r>
      <w:r w:rsidRPr="0027083E">
        <w:rPr>
          <w:rFonts w:cs="Times New Roman"/>
          <w:bCs/>
        </w:rPr>
        <w:t>(</w:t>
      </w:r>
      <w:r w:rsidR="005C145C" w:rsidRPr="0027083E">
        <w:rPr>
          <w:rFonts w:cs="Times New Roman"/>
          <w:bCs/>
        </w:rPr>
        <w:t xml:space="preserve">which </w:t>
      </w:r>
      <w:r w:rsidR="00073CCB" w:rsidRPr="0027083E">
        <w:rPr>
          <w:rFonts w:cs="Times New Roman"/>
          <w:bCs/>
        </w:rPr>
        <w:t xml:space="preserve">should be about take-up &amp; usage, not </w:t>
      </w:r>
      <w:r w:rsidR="005C145C" w:rsidRPr="0027083E">
        <w:rPr>
          <w:rFonts w:cs="Times New Roman"/>
          <w:bCs/>
        </w:rPr>
        <w:t xml:space="preserve">just </w:t>
      </w:r>
      <w:r w:rsidR="00073CCB" w:rsidRPr="0027083E">
        <w:rPr>
          <w:rFonts w:cs="Times New Roman"/>
          <w:bCs/>
        </w:rPr>
        <w:t>access</w:t>
      </w:r>
      <w:r w:rsidRPr="0027083E">
        <w:rPr>
          <w:rFonts w:cs="Times New Roman"/>
          <w:bCs/>
        </w:rPr>
        <w:t>)</w:t>
      </w:r>
      <w:r w:rsidR="00073CCB" w:rsidRPr="0027083E">
        <w:rPr>
          <w:rFonts w:cs="Times New Roman"/>
          <w:bCs/>
        </w:rPr>
        <w:t>.</w:t>
      </w:r>
      <w:r w:rsidR="00071506" w:rsidRPr="0027083E">
        <w:rPr>
          <w:rFonts w:cs="Times New Roman"/>
          <w:bCs/>
        </w:rPr>
        <w:t xml:space="preserve"> </w:t>
      </w:r>
    </w:p>
    <w:p w:rsidR="00A77378" w:rsidRPr="0027083E" w:rsidRDefault="009E4F25" w:rsidP="00936EE2">
      <w:pPr>
        <w:pStyle w:val="ListParagraph"/>
        <w:numPr>
          <w:ilvl w:val="1"/>
          <w:numId w:val="7"/>
        </w:numPr>
        <w:rPr>
          <w:rFonts w:cs="Times New Roman"/>
          <w:bCs/>
          <w:lang w:val="en-ZA"/>
        </w:rPr>
      </w:pPr>
      <w:r w:rsidRPr="0027083E">
        <w:rPr>
          <w:rFonts w:cs="Times New Roman"/>
          <w:bCs/>
        </w:rPr>
        <w:t xml:space="preserve">Get the </w:t>
      </w:r>
      <w:r w:rsidRPr="0027083E">
        <w:rPr>
          <w:rFonts w:cs="Times New Roman"/>
          <w:b/>
          <w:bCs/>
        </w:rPr>
        <w:t>CEOs back into decision-</w:t>
      </w:r>
      <w:r w:rsidR="005C145C" w:rsidRPr="0027083E">
        <w:rPr>
          <w:rFonts w:cs="Times New Roman"/>
          <w:b/>
          <w:bCs/>
        </w:rPr>
        <w:t xml:space="preserve">making process </w:t>
      </w:r>
      <w:r w:rsidR="005C145C" w:rsidRPr="0027083E">
        <w:rPr>
          <w:rFonts w:cs="Times New Roman"/>
          <w:bCs/>
        </w:rPr>
        <w:t>within the FSC Council to ensure sector buy - in.</w:t>
      </w:r>
    </w:p>
    <w:p w:rsidR="009E4F25" w:rsidRPr="0027083E" w:rsidRDefault="009E4F25" w:rsidP="00936EE2">
      <w:pPr>
        <w:pStyle w:val="ListParagraph"/>
        <w:numPr>
          <w:ilvl w:val="1"/>
          <w:numId w:val="7"/>
        </w:numPr>
        <w:rPr>
          <w:rFonts w:cs="Times New Roman"/>
          <w:bCs/>
          <w:lang w:val="en-ZA"/>
        </w:rPr>
      </w:pPr>
      <w:r w:rsidRPr="0027083E">
        <w:rPr>
          <w:rFonts w:cs="Times New Roman"/>
          <w:b/>
          <w:bCs/>
        </w:rPr>
        <w:lastRenderedPageBreak/>
        <w:t>Financial sector regulators should act against those in the sector who do not comply</w:t>
      </w:r>
      <w:r w:rsidRPr="0027083E">
        <w:rPr>
          <w:rFonts w:cs="Times New Roman"/>
          <w:bCs/>
        </w:rPr>
        <w:t xml:space="preserve"> with the sector codes. Th</w:t>
      </w:r>
      <w:r w:rsidR="00922AD9" w:rsidRPr="0027083E">
        <w:rPr>
          <w:rFonts w:cs="Times New Roman"/>
          <w:bCs/>
        </w:rPr>
        <w:t>is to be enabled</w:t>
      </w:r>
      <w:r w:rsidRPr="0027083E">
        <w:rPr>
          <w:rFonts w:cs="Times New Roman"/>
          <w:bCs/>
        </w:rPr>
        <w:t xml:space="preserve"> by National Treasury together with the dti/B</w:t>
      </w:r>
      <w:r w:rsidR="002340D7" w:rsidRPr="0027083E">
        <w:rPr>
          <w:rFonts w:cs="Times New Roman"/>
          <w:bCs/>
        </w:rPr>
        <w:t>-</w:t>
      </w:r>
      <w:r w:rsidRPr="0027083E">
        <w:rPr>
          <w:rFonts w:cs="Times New Roman"/>
          <w:bCs/>
        </w:rPr>
        <w:t>BBEE Commission  and financial sector regulators (i.e. allow for incremental achievement, and if no improvement is observed then there should be credible consequences)</w:t>
      </w:r>
    </w:p>
    <w:p w:rsidR="00A77378" w:rsidRPr="0027083E" w:rsidRDefault="00A77378" w:rsidP="00A77378">
      <w:pPr>
        <w:pStyle w:val="ListParagraph"/>
        <w:ind w:left="1440"/>
        <w:rPr>
          <w:rFonts w:cs="Times New Roman"/>
          <w:bCs/>
          <w:lang w:val="en-ZA"/>
        </w:rPr>
      </w:pPr>
    </w:p>
    <w:p w:rsidR="00DA667A" w:rsidRPr="0027083E" w:rsidRDefault="0098026E" w:rsidP="00FC4BCF">
      <w:pPr>
        <w:pStyle w:val="Heading2"/>
        <w:numPr>
          <w:ilvl w:val="0"/>
          <w:numId w:val="5"/>
        </w:numPr>
        <w:jc w:val="both"/>
        <w:rPr>
          <w:rFonts w:asciiTheme="minorHAnsi" w:hAnsiTheme="minorHAnsi"/>
          <w:i/>
        </w:rPr>
      </w:pPr>
      <w:bookmarkStart w:id="6" w:name="_Toc483828799"/>
      <w:r w:rsidRPr="0027083E">
        <w:rPr>
          <w:rFonts w:asciiTheme="minorHAnsi" w:hAnsiTheme="minorHAnsi"/>
          <w:i/>
        </w:rPr>
        <w:t>Lack of coherent data</w:t>
      </w:r>
      <w:bookmarkEnd w:id="6"/>
    </w:p>
    <w:p w:rsidR="0098026E" w:rsidRPr="0027083E" w:rsidRDefault="0098026E" w:rsidP="0098026E">
      <w:pPr>
        <w:pStyle w:val="NoSpacing"/>
      </w:pPr>
    </w:p>
    <w:p w:rsidR="001E06E7" w:rsidRPr="0027083E" w:rsidRDefault="0098026E" w:rsidP="00FC4BCF">
      <w:pPr>
        <w:pStyle w:val="ListParagraph"/>
        <w:numPr>
          <w:ilvl w:val="0"/>
          <w:numId w:val="4"/>
        </w:numPr>
        <w:jc w:val="both"/>
        <w:rPr>
          <w:rFonts w:cs="Times New Roman"/>
        </w:rPr>
      </w:pPr>
      <w:r w:rsidRPr="0027083E">
        <w:rPr>
          <w:rFonts w:cs="Times New Roman"/>
        </w:rPr>
        <w:t xml:space="preserve">It is observed that </w:t>
      </w:r>
      <w:r w:rsidR="009E4F25" w:rsidRPr="0027083E">
        <w:rPr>
          <w:rFonts w:cs="Times New Roman"/>
        </w:rPr>
        <w:t xml:space="preserve">unsatisfactory reporting by the sector means that the sector lacks consistent and coherent </w:t>
      </w:r>
      <w:r w:rsidRPr="0027083E">
        <w:rPr>
          <w:rFonts w:cs="Times New Roman"/>
        </w:rPr>
        <w:t>data</w:t>
      </w:r>
      <w:r w:rsidR="001E06E7" w:rsidRPr="0027083E">
        <w:rPr>
          <w:rFonts w:cs="Times New Roman"/>
        </w:rPr>
        <w:t xml:space="preserve"> </w:t>
      </w:r>
      <w:r w:rsidRPr="0027083E">
        <w:rPr>
          <w:rFonts w:cs="Times New Roman"/>
        </w:rPr>
        <w:t>to measure transformation</w:t>
      </w:r>
      <w:r w:rsidR="009E4F25" w:rsidRPr="0027083E">
        <w:rPr>
          <w:rFonts w:cs="Times New Roman"/>
        </w:rPr>
        <w:t>. This t</w:t>
      </w:r>
      <w:r w:rsidRPr="0027083E">
        <w:rPr>
          <w:rFonts w:cs="Times New Roman"/>
        </w:rPr>
        <w:t>hen impacts the monitoring of the sector in relat</w:t>
      </w:r>
      <w:r w:rsidR="009E4F25" w:rsidRPr="0027083E">
        <w:rPr>
          <w:rFonts w:cs="Times New Roman"/>
        </w:rPr>
        <w:t>ion to transformation and inter-alia affects policy decision-</w:t>
      </w:r>
      <w:r w:rsidRPr="0027083E">
        <w:rPr>
          <w:rFonts w:cs="Times New Roman"/>
        </w:rPr>
        <w:t>making and the ability of the B</w:t>
      </w:r>
      <w:r w:rsidR="002340D7" w:rsidRPr="0027083E">
        <w:rPr>
          <w:rFonts w:cs="Times New Roman"/>
        </w:rPr>
        <w:t>-</w:t>
      </w:r>
      <w:r w:rsidRPr="0027083E">
        <w:rPr>
          <w:rFonts w:cs="Times New Roman"/>
        </w:rPr>
        <w:t>BBEE Commissioner to effectively oversee observance of targets.</w:t>
      </w:r>
    </w:p>
    <w:p w:rsidR="001E06E7" w:rsidRPr="0027083E" w:rsidRDefault="001E06E7" w:rsidP="001E06E7">
      <w:pPr>
        <w:pStyle w:val="ListParagraph"/>
        <w:jc w:val="both"/>
        <w:rPr>
          <w:rFonts w:cs="Times New Roman"/>
        </w:rPr>
      </w:pPr>
    </w:p>
    <w:p w:rsidR="001E06E7" w:rsidRPr="0027083E" w:rsidRDefault="001E06E7" w:rsidP="00FC4BCF">
      <w:pPr>
        <w:pStyle w:val="ListParagraph"/>
        <w:numPr>
          <w:ilvl w:val="0"/>
          <w:numId w:val="4"/>
        </w:numPr>
        <w:rPr>
          <w:rFonts w:cs="Times New Roman"/>
        </w:rPr>
      </w:pPr>
      <w:r w:rsidRPr="0027083E">
        <w:rPr>
          <w:rFonts w:cs="Times New Roman"/>
        </w:rPr>
        <w:t xml:space="preserve">National Treasury’s response is as follows: </w:t>
      </w:r>
    </w:p>
    <w:p w:rsidR="009318A5" w:rsidRPr="0027083E" w:rsidRDefault="001E06E7" w:rsidP="00936EE2">
      <w:pPr>
        <w:pStyle w:val="ListParagraph"/>
        <w:numPr>
          <w:ilvl w:val="0"/>
          <w:numId w:val="11"/>
        </w:numPr>
        <w:jc w:val="both"/>
        <w:rPr>
          <w:rFonts w:cs="Times New Roman"/>
          <w:lang w:val="en-ZA"/>
        </w:rPr>
      </w:pPr>
      <w:r w:rsidRPr="0027083E">
        <w:rPr>
          <w:rFonts w:cs="Times New Roman"/>
        </w:rPr>
        <w:t xml:space="preserve">It is proposed that a </w:t>
      </w:r>
      <w:r w:rsidR="00DA667A" w:rsidRPr="0027083E">
        <w:rPr>
          <w:rFonts w:cs="Times New Roman"/>
          <w:b/>
        </w:rPr>
        <w:t xml:space="preserve">consistent </w:t>
      </w:r>
      <w:r w:rsidRPr="0027083E">
        <w:rPr>
          <w:rFonts w:cs="Times New Roman"/>
          <w:b/>
        </w:rPr>
        <w:t>approach be adopted with regard to</w:t>
      </w:r>
      <w:r w:rsidR="00464158" w:rsidRPr="0027083E">
        <w:rPr>
          <w:rFonts w:cs="Times New Roman"/>
          <w:b/>
        </w:rPr>
        <w:t xml:space="preserve"> FSC </w:t>
      </w:r>
      <w:r w:rsidRPr="0027083E">
        <w:rPr>
          <w:rFonts w:cs="Times New Roman"/>
          <w:b/>
        </w:rPr>
        <w:t>target</w:t>
      </w:r>
      <w:r w:rsidR="00922AD9" w:rsidRPr="0027083E">
        <w:rPr>
          <w:rFonts w:cs="Times New Roman"/>
          <w:b/>
        </w:rPr>
        <w:t>s</w:t>
      </w:r>
      <w:r w:rsidRPr="0027083E">
        <w:rPr>
          <w:rFonts w:cs="Times New Roman"/>
          <w:b/>
        </w:rPr>
        <w:t xml:space="preserve"> </w:t>
      </w:r>
      <w:r w:rsidR="00DA667A" w:rsidRPr="0027083E">
        <w:rPr>
          <w:rFonts w:cs="Times New Roman"/>
          <w:b/>
        </w:rPr>
        <w:t>definitions</w:t>
      </w:r>
      <w:r w:rsidRPr="0027083E">
        <w:rPr>
          <w:rFonts w:cs="Times New Roman"/>
          <w:b/>
        </w:rPr>
        <w:t xml:space="preserve">, </w:t>
      </w:r>
      <w:r w:rsidR="00DA667A" w:rsidRPr="0027083E">
        <w:rPr>
          <w:rFonts w:cs="Times New Roman"/>
          <w:b/>
        </w:rPr>
        <w:t>measurement</w:t>
      </w:r>
      <w:r w:rsidRPr="0027083E">
        <w:rPr>
          <w:rFonts w:cs="Times New Roman"/>
          <w:b/>
        </w:rPr>
        <w:t xml:space="preserve"> and </w:t>
      </w:r>
      <w:r w:rsidR="00DA667A" w:rsidRPr="0027083E">
        <w:rPr>
          <w:rFonts w:cs="Times New Roman"/>
          <w:b/>
        </w:rPr>
        <w:t>reporting</w:t>
      </w:r>
      <w:r w:rsidRPr="0027083E">
        <w:rPr>
          <w:rFonts w:cs="Times New Roman"/>
        </w:rPr>
        <w:t>.</w:t>
      </w:r>
      <w:r w:rsidR="006F4B0F" w:rsidRPr="0027083E">
        <w:rPr>
          <w:rFonts w:eastAsia="Osaka" w:cs="+mn-cs"/>
          <w:b/>
          <w:bCs/>
          <w:sz w:val="40"/>
          <w:szCs w:val="40"/>
          <w:lang w:eastAsia="en-ZA"/>
        </w:rPr>
        <w:t xml:space="preserve"> </w:t>
      </w:r>
    </w:p>
    <w:p w:rsidR="009318A5" w:rsidRPr="0027083E" w:rsidRDefault="00BD57DF" w:rsidP="00936EE2">
      <w:pPr>
        <w:pStyle w:val="ListParagraph"/>
        <w:numPr>
          <w:ilvl w:val="0"/>
          <w:numId w:val="11"/>
        </w:numPr>
        <w:jc w:val="both"/>
        <w:rPr>
          <w:rFonts w:cs="Times New Roman"/>
          <w:lang w:val="en-ZA"/>
        </w:rPr>
      </w:pPr>
      <w:r w:rsidRPr="0027083E">
        <w:rPr>
          <w:rFonts w:cs="Times New Roman"/>
          <w:bCs/>
        </w:rPr>
        <w:t xml:space="preserve">There is a need for a more objective process and common framework to determine </w:t>
      </w:r>
      <w:r w:rsidRPr="0027083E">
        <w:rPr>
          <w:rFonts w:cs="Times New Roman"/>
          <w:b/>
          <w:bCs/>
        </w:rPr>
        <w:t>ownership data</w:t>
      </w:r>
    </w:p>
    <w:p w:rsidR="00BD57DF" w:rsidRPr="0027083E" w:rsidRDefault="009318A5" w:rsidP="00936EE2">
      <w:pPr>
        <w:pStyle w:val="ListParagraph"/>
        <w:numPr>
          <w:ilvl w:val="0"/>
          <w:numId w:val="11"/>
        </w:numPr>
        <w:jc w:val="both"/>
        <w:rPr>
          <w:rFonts w:cs="Times New Roman"/>
          <w:lang w:val="en-ZA"/>
        </w:rPr>
      </w:pPr>
      <w:r w:rsidRPr="0027083E">
        <w:rPr>
          <w:rFonts w:cs="Times New Roman"/>
          <w:bCs/>
        </w:rPr>
        <w:t xml:space="preserve">Going forward National Treasury will </w:t>
      </w:r>
      <w:r w:rsidR="00BD57DF" w:rsidRPr="0027083E">
        <w:rPr>
          <w:rFonts w:cs="Times New Roman"/>
          <w:b/>
          <w:bCs/>
        </w:rPr>
        <w:t xml:space="preserve">publish an annual ownership monitor </w:t>
      </w:r>
      <w:r w:rsidRPr="0027083E">
        <w:rPr>
          <w:rFonts w:cs="Times New Roman"/>
          <w:bCs/>
        </w:rPr>
        <w:t xml:space="preserve">to track ownership levels in the sector and also effect policies to aid transformation </w:t>
      </w:r>
    </w:p>
    <w:p w:rsidR="009318A5" w:rsidRPr="0027083E" w:rsidRDefault="009318A5" w:rsidP="009318A5">
      <w:pPr>
        <w:pStyle w:val="ListParagraph"/>
        <w:ind w:left="1080"/>
        <w:jc w:val="both"/>
        <w:rPr>
          <w:rFonts w:cs="Times New Roman"/>
          <w:lang w:val="en-ZA"/>
        </w:rPr>
      </w:pPr>
    </w:p>
    <w:p w:rsidR="00063CEF" w:rsidRPr="0027083E" w:rsidRDefault="00071506" w:rsidP="00FC4BCF">
      <w:pPr>
        <w:pStyle w:val="Heading2"/>
        <w:numPr>
          <w:ilvl w:val="0"/>
          <w:numId w:val="5"/>
        </w:numPr>
        <w:jc w:val="both"/>
        <w:rPr>
          <w:rFonts w:asciiTheme="minorHAnsi" w:hAnsiTheme="minorHAnsi"/>
          <w:i/>
        </w:rPr>
      </w:pPr>
      <w:bookmarkStart w:id="7" w:name="_Toc483828800"/>
      <w:r w:rsidRPr="0027083E">
        <w:rPr>
          <w:rFonts w:asciiTheme="minorHAnsi" w:hAnsiTheme="minorHAnsi"/>
          <w:i/>
        </w:rPr>
        <w:t>Need higher targets, i</w:t>
      </w:r>
      <w:r w:rsidR="001E06E7" w:rsidRPr="0027083E">
        <w:rPr>
          <w:rFonts w:asciiTheme="minorHAnsi" w:hAnsiTheme="minorHAnsi"/>
          <w:i/>
        </w:rPr>
        <w:t xml:space="preserve">ndustry performing poorly </w:t>
      </w:r>
      <w:r w:rsidR="00063CEF" w:rsidRPr="0027083E">
        <w:rPr>
          <w:rFonts w:asciiTheme="minorHAnsi" w:hAnsiTheme="minorHAnsi"/>
          <w:i/>
        </w:rPr>
        <w:t xml:space="preserve">against </w:t>
      </w:r>
      <w:r w:rsidRPr="0027083E">
        <w:rPr>
          <w:rFonts w:asciiTheme="minorHAnsi" w:hAnsiTheme="minorHAnsi"/>
          <w:i/>
        </w:rPr>
        <w:t xml:space="preserve">current </w:t>
      </w:r>
      <w:r w:rsidR="00464158" w:rsidRPr="0027083E">
        <w:rPr>
          <w:rFonts w:asciiTheme="minorHAnsi" w:hAnsiTheme="minorHAnsi"/>
          <w:i/>
        </w:rPr>
        <w:t xml:space="preserve">FSC </w:t>
      </w:r>
      <w:r w:rsidR="00063CEF" w:rsidRPr="0027083E">
        <w:rPr>
          <w:rFonts w:asciiTheme="minorHAnsi" w:hAnsiTheme="minorHAnsi"/>
          <w:i/>
        </w:rPr>
        <w:t>targets</w:t>
      </w:r>
      <w:bookmarkEnd w:id="7"/>
    </w:p>
    <w:p w:rsidR="00063CEF" w:rsidRPr="0027083E" w:rsidRDefault="00063CEF" w:rsidP="00063CEF">
      <w:pPr>
        <w:pStyle w:val="ListParagraph"/>
        <w:spacing w:after="0" w:line="240" w:lineRule="auto"/>
        <w:jc w:val="both"/>
        <w:rPr>
          <w:rFonts w:cs="Times New Roman"/>
          <w:b/>
          <w:i/>
          <w:sz w:val="24"/>
          <w:szCs w:val="24"/>
        </w:rPr>
      </w:pPr>
    </w:p>
    <w:p w:rsidR="00AA2DDD" w:rsidRPr="0027083E" w:rsidRDefault="00AA2DDD" w:rsidP="00AA2DDD">
      <w:pPr>
        <w:pStyle w:val="ListParagraph"/>
        <w:numPr>
          <w:ilvl w:val="0"/>
          <w:numId w:val="4"/>
        </w:numPr>
        <w:spacing w:after="0" w:line="240" w:lineRule="auto"/>
        <w:jc w:val="both"/>
        <w:rPr>
          <w:rFonts w:cs="Times New Roman"/>
        </w:rPr>
      </w:pPr>
      <w:r w:rsidRPr="0027083E">
        <w:rPr>
          <w:rFonts w:cs="Times New Roman"/>
        </w:rPr>
        <w:t>Transformation targets are not showing sufficient improvements, especially in relation to the following elements:</w:t>
      </w:r>
    </w:p>
    <w:p w:rsidR="00AA2DDD" w:rsidRPr="0027083E" w:rsidRDefault="00AA2DDD" w:rsidP="00936EE2">
      <w:pPr>
        <w:pStyle w:val="ListParagraph"/>
        <w:numPr>
          <w:ilvl w:val="0"/>
          <w:numId w:val="8"/>
        </w:numPr>
        <w:spacing w:after="0" w:line="240" w:lineRule="auto"/>
        <w:ind w:left="1080"/>
        <w:jc w:val="both"/>
        <w:rPr>
          <w:rFonts w:cs="Times New Roman"/>
        </w:rPr>
      </w:pPr>
      <w:r w:rsidRPr="0027083E">
        <w:rPr>
          <w:rFonts w:cs="Times New Roman"/>
        </w:rPr>
        <w:t>Ownership in financial institutions has shown a decline over the years and remains below the 25% target as per the FSC</w:t>
      </w:r>
    </w:p>
    <w:p w:rsidR="00AA2DDD" w:rsidRPr="0027083E" w:rsidRDefault="00AA2DDD" w:rsidP="00936EE2">
      <w:pPr>
        <w:pStyle w:val="ListParagraph"/>
        <w:numPr>
          <w:ilvl w:val="0"/>
          <w:numId w:val="8"/>
        </w:numPr>
        <w:spacing w:after="0" w:line="240" w:lineRule="auto"/>
        <w:ind w:left="1080"/>
        <w:jc w:val="both"/>
        <w:rPr>
          <w:rFonts w:cs="Times New Roman"/>
        </w:rPr>
      </w:pPr>
      <w:r w:rsidRPr="0027083E">
        <w:rPr>
          <w:rFonts w:cs="Times New Roman"/>
        </w:rPr>
        <w:t>The composition of boards and executives within the financial sector is not representative of the South African demographics</w:t>
      </w:r>
    </w:p>
    <w:p w:rsidR="00AA2DDD" w:rsidRPr="0027083E" w:rsidRDefault="00AA2DDD" w:rsidP="00936EE2">
      <w:pPr>
        <w:pStyle w:val="ListParagraph"/>
        <w:numPr>
          <w:ilvl w:val="0"/>
          <w:numId w:val="8"/>
        </w:numPr>
        <w:spacing w:after="0" w:line="240" w:lineRule="auto"/>
        <w:ind w:left="1080"/>
        <w:jc w:val="both"/>
        <w:rPr>
          <w:rFonts w:cs="Times New Roman"/>
        </w:rPr>
      </w:pPr>
      <w:r w:rsidRPr="0027083E">
        <w:rPr>
          <w:rFonts w:cs="Times New Roman"/>
        </w:rPr>
        <w:t>Procurement spend by the sector does not flow to SMEs as a result of policies in the industry (e.g. the “Preferred Insurance Service Provider System and Motor Manufacture Factory Approved System”, which limits access to procurement opportunities for small and medium size body shops)</w:t>
      </w:r>
    </w:p>
    <w:p w:rsidR="00AA2DDD" w:rsidRPr="0027083E" w:rsidRDefault="00AA2DDD" w:rsidP="00AA2DDD">
      <w:pPr>
        <w:pStyle w:val="ListParagraph"/>
        <w:spacing w:after="0" w:line="240" w:lineRule="auto"/>
        <w:ind w:left="1080"/>
        <w:jc w:val="both"/>
        <w:rPr>
          <w:rFonts w:cs="Times New Roman"/>
        </w:rPr>
      </w:pPr>
    </w:p>
    <w:p w:rsidR="00AA2DDD" w:rsidRPr="0027083E" w:rsidRDefault="00AA2DDD" w:rsidP="00AA2DDD">
      <w:pPr>
        <w:pStyle w:val="ListParagraph"/>
        <w:numPr>
          <w:ilvl w:val="0"/>
          <w:numId w:val="4"/>
        </w:numPr>
        <w:rPr>
          <w:rFonts w:cs="Times New Roman"/>
        </w:rPr>
      </w:pPr>
      <w:r w:rsidRPr="0027083E">
        <w:rPr>
          <w:rFonts w:cs="Times New Roman"/>
        </w:rPr>
        <w:t xml:space="preserve">National Treasury’s response is as follows: </w:t>
      </w:r>
    </w:p>
    <w:p w:rsidR="00AA2DDD" w:rsidRPr="0027083E" w:rsidRDefault="00AA2DDD" w:rsidP="00936EE2">
      <w:pPr>
        <w:pStyle w:val="ListParagraph"/>
        <w:numPr>
          <w:ilvl w:val="0"/>
          <w:numId w:val="11"/>
        </w:numPr>
        <w:jc w:val="both"/>
        <w:rPr>
          <w:rFonts w:cs="Times New Roman"/>
          <w:lang w:val="en-ZA"/>
        </w:rPr>
      </w:pPr>
      <w:r w:rsidRPr="0027083E">
        <w:rPr>
          <w:rFonts w:cs="Times New Roman"/>
        </w:rPr>
        <w:t xml:space="preserve">Industry needs </w:t>
      </w:r>
      <w:r w:rsidRPr="0027083E">
        <w:rPr>
          <w:rFonts w:cs="Times New Roman"/>
          <w:b/>
        </w:rPr>
        <w:t>higher and enforceable targets for ownership, board membership, management and procurement</w:t>
      </w:r>
    </w:p>
    <w:p w:rsidR="00063CEF" w:rsidRPr="0027083E" w:rsidRDefault="00AA2DDD" w:rsidP="00936EE2">
      <w:pPr>
        <w:pStyle w:val="ListParagraph"/>
        <w:numPr>
          <w:ilvl w:val="0"/>
          <w:numId w:val="11"/>
        </w:numPr>
        <w:jc w:val="both"/>
        <w:rPr>
          <w:rFonts w:cs="Times New Roman"/>
          <w:lang w:val="en-ZA"/>
        </w:rPr>
      </w:pPr>
      <w:r w:rsidRPr="0027083E">
        <w:rPr>
          <w:rFonts w:cs="Times New Roman"/>
          <w:b/>
        </w:rPr>
        <w:lastRenderedPageBreak/>
        <w:t xml:space="preserve">Ownership in banks and insurers is a priority, </w:t>
      </w:r>
      <w:r w:rsidRPr="0027083E">
        <w:rPr>
          <w:rFonts w:cs="Times New Roman"/>
        </w:rPr>
        <w:t xml:space="preserve">and new targets must take into account the challenges associated with the principle of once empowered always empowered, the regulatory requirement for unencumbered capital and </w:t>
      </w:r>
      <w:r w:rsidR="00573ED2" w:rsidRPr="0027083E">
        <w:rPr>
          <w:rFonts w:cs="Times New Roman"/>
        </w:rPr>
        <w:t>measurement (e.g. should take into account the % foreign ownership and local free-float.</w:t>
      </w:r>
    </w:p>
    <w:p w:rsidR="00573ED2" w:rsidRPr="0027083E" w:rsidRDefault="00573ED2" w:rsidP="00936EE2">
      <w:pPr>
        <w:pStyle w:val="ListParagraph"/>
        <w:numPr>
          <w:ilvl w:val="0"/>
          <w:numId w:val="11"/>
        </w:numPr>
        <w:jc w:val="both"/>
        <w:rPr>
          <w:rFonts w:cs="Times New Roman"/>
          <w:b/>
          <w:lang w:val="en-ZA"/>
        </w:rPr>
      </w:pPr>
      <w:r w:rsidRPr="0027083E">
        <w:rPr>
          <w:rFonts w:cs="Times New Roman"/>
          <w:b/>
          <w:lang w:val="en-ZA"/>
        </w:rPr>
        <w:t>Targets must be set for asset managers and asset consulatants.</w:t>
      </w:r>
    </w:p>
    <w:p w:rsidR="00573ED2" w:rsidRPr="0027083E" w:rsidRDefault="00573ED2" w:rsidP="00936EE2">
      <w:pPr>
        <w:pStyle w:val="ListParagraph"/>
        <w:numPr>
          <w:ilvl w:val="0"/>
          <w:numId w:val="11"/>
        </w:numPr>
        <w:jc w:val="both"/>
        <w:rPr>
          <w:rFonts w:cs="Times New Roman"/>
          <w:lang w:val="en-ZA"/>
        </w:rPr>
      </w:pPr>
      <w:r w:rsidRPr="0027083E">
        <w:rPr>
          <w:rFonts w:cs="Times New Roman"/>
          <w:b/>
        </w:rPr>
        <w:t xml:space="preserve">National Treasury should work with the insurance and panel beating/tow-truck sector </w:t>
      </w:r>
      <w:r w:rsidRPr="0027083E">
        <w:rPr>
          <w:rFonts w:cs="Times New Roman"/>
        </w:rPr>
        <w:t>to address procurement</w:t>
      </w:r>
      <w:r w:rsidRPr="0027083E">
        <w:rPr>
          <w:rFonts w:cs="Times New Roman"/>
          <w:b/>
        </w:rPr>
        <w:t xml:space="preserve"> </w:t>
      </w:r>
      <w:r w:rsidRPr="0027083E">
        <w:rPr>
          <w:rFonts w:cs="Times New Roman"/>
        </w:rPr>
        <w:t xml:space="preserve">issues here. </w:t>
      </w:r>
      <w:r w:rsidRPr="0027083E">
        <w:rPr>
          <w:rFonts w:cs="Times New Roman"/>
          <w:b/>
        </w:rPr>
        <w:t xml:space="preserve"> </w:t>
      </w:r>
    </w:p>
    <w:p w:rsidR="00131F46" w:rsidRPr="0027083E" w:rsidRDefault="00131F46" w:rsidP="008B01B8">
      <w:pPr>
        <w:spacing w:after="0" w:line="240" w:lineRule="auto"/>
        <w:ind w:left="-360"/>
        <w:jc w:val="both"/>
        <w:rPr>
          <w:rFonts w:cs="Times New Roman"/>
        </w:rPr>
      </w:pPr>
    </w:p>
    <w:p w:rsidR="00DB6982" w:rsidRPr="0027083E" w:rsidRDefault="00DB6982" w:rsidP="00FC4BCF">
      <w:pPr>
        <w:pStyle w:val="Heading2"/>
        <w:numPr>
          <w:ilvl w:val="0"/>
          <w:numId w:val="5"/>
        </w:numPr>
        <w:jc w:val="both"/>
        <w:rPr>
          <w:rFonts w:asciiTheme="minorHAnsi" w:hAnsiTheme="minorHAnsi"/>
          <w:i/>
          <w:sz w:val="22"/>
          <w:szCs w:val="22"/>
        </w:rPr>
      </w:pPr>
      <w:bookmarkStart w:id="8" w:name="_Toc483828801"/>
      <w:r w:rsidRPr="0027083E">
        <w:rPr>
          <w:rFonts w:asciiTheme="minorHAnsi" w:hAnsiTheme="minorHAnsi"/>
          <w:i/>
          <w:sz w:val="22"/>
          <w:szCs w:val="22"/>
        </w:rPr>
        <w:t>Enterprise Development</w:t>
      </w:r>
      <w:bookmarkEnd w:id="8"/>
    </w:p>
    <w:p w:rsidR="00DB6982" w:rsidRPr="0027083E" w:rsidRDefault="00DB6982" w:rsidP="00E437A7">
      <w:pPr>
        <w:pStyle w:val="Heading2"/>
        <w:ind w:left="720"/>
        <w:jc w:val="both"/>
        <w:rPr>
          <w:rFonts w:asciiTheme="minorHAnsi" w:hAnsiTheme="minorHAnsi"/>
          <w:i/>
          <w:sz w:val="22"/>
          <w:szCs w:val="22"/>
        </w:rPr>
      </w:pPr>
    </w:p>
    <w:p w:rsidR="00DA667A" w:rsidRPr="0027083E" w:rsidRDefault="00DB6982" w:rsidP="00FC4BCF">
      <w:pPr>
        <w:pStyle w:val="ListParagraph"/>
        <w:numPr>
          <w:ilvl w:val="0"/>
          <w:numId w:val="4"/>
        </w:numPr>
        <w:spacing w:after="0" w:line="240" w:lineRule="auto"/>
        <w:jc w:val="both"/>
        <w:rPr>
          <w:rFonts w:cs="Times New Roman"/>
        </w:rPr>
      </w:pPr>
      <w:r w:rsidRPr="0027083E">
        <w:rPr>
          <w:rFonts w:cs="Times New Roman"/>
        </w:rPr>
        <w:t xml:space="preserve">The sector is perceived to not </w:t>
      </w:r>
      <w:r w:rsidR="00573ED2" w:rsidRPr="0027083E">
        <w:rPr>
          <w:rFonts w:cs="Times New Roman"/>
        </w:rPr>
        <w:t xml:space="preserve">do </w:t>
      </w:r>
      <w:r w:rsidRPr="0027083E">
        <w:rPr>
          <w:rFonts w:cs="Times New Roman"/>
        </w:rPr>
        <w:t>enough to support</w:t>
      </w:r>
      <w:r w:rsidR="00573ED2" w:rsidRPr="0027083E">
        <w:rPr>
          <w:rFonts w:cs="Times New Roman"/>
        </w:rPr>
        <w:t xml:space="preserve"> enterprise development, with regard to </w:t>
      </w:r>
      <w:r w:rsidR="00DA667A" w:rsidRPr="0027083E">
        <w:rPr>
          <w:rFonts w:cs="Times New Roman"/>
        </w:rPr>
        <w:t xml:space="preserve">the development of SMEs </w:t>
      </w:r>
      <w:r w:rsidR="00573ED2" w:rsidRPr="0027083E">
        <w:rPr>
          <w:rFonts w:cs="Times New Roman"/>
        </w:rPr>
        <w:t>and industrialists</w:t>
      </w:r>
      <w:r w:rsidRPr="0027083E">
        <w:rPr>
          <w:rFonts w:cs="Times New Roman"/>
        </w:rPr>
        <w:t>. The challenges observes include, but are not limited to:</w:t>
      </w:r>
    </w:p>
    <w:p w:rsidR="008B01B8" w:rsidRPr="0027083E" w:rsidRDefault="00BD57DF" w:rsidP="00936EE2">
      <w:pPr>
        <w:pStyle w:val="ListParagraph"/>
        <w:numPr>
          <w:ilvl w:val="0"/>
          <w:numId w:val="9"/>
        </w:numPr>
        <w:spacing w:after="0" w:line="240" w:lineRule="auto"/>
        <w:jc w:val="both"/>
        <w:rPr>
          <w:rFonts w:cs="Times New Roman"/>
          <w:lang w:val="en-ZA"/>
        </w:rPr>
      </w:pPr>
      <w:r w:rsidRPr="0027083E">
        <w:rPr>
          <w:rFonts w:cs="Times New Roman"/>
          <w:b/>
          <w:bCs/>
        </w:rPr>
        <w:t>High barriers to entry</w:t>
      </w:r>
      <w:r w:rsidRPr="0027083E">
        <w:rPr>
          <w:rFonts w:cs="Times New Roman"/>
          <w:b/>
        </w:rPr>
        <w:t xml:space="preserve"> </w:t>
      </w:r>
      <w:r w:rsidRPr="0027083E">
        <w:rPr>
          <w:rFonts w:cs="Times New Roman"/>
        </w:rPr>
        <w:t>including regulation and capital costs</w:t>
      </w:r>
    </w:p>
    <w:p w:rsidR="00BD57DF" w:rsidRPr="0027083E" w:rsidRDefault="00BD57DF" w:rsidP="00936EE2">
      <w:pPr>
        <w:pStyle w:val="ListParagraph"/>
        <w:numPr>
          <w:ilvl w:val="0"/>
          <w:numId w:val="9"/>
        </w:numPr>
        <w:spacing w:after="0" w:line="240" w:lineRule="auto"/>
        <w:jc w:val="both"/>
        <w:rPr>
          <w:rFonts w:cs="Times New Roman"/>
          <w:lang w:val="en-ZA"/>
        </w:rPr>
      </w:pPr>
      <w:r w:rsidRPr="0027083E">
        <w:rPr>
          <w:rFonts w:cs="Times New Roman"/>
          <w:b/>
        </w:rPr>
        <w:t xml:space="preserve">Cumbersome regulation </w:t>
      </w:r>
      <w:r w:rsidRPr="0027083E">
        <w:rPr>
          <w:rFonts w:cs="Times New Roman"/>
        </w:rPr>
        <w:t>imposed on those wishing to enter the sector</w:t>
      </w:r>
      <w:r w:rsidR="00573ED2" w:rsidRPr="0027083E">
        <w:rPr>
          <w:rFonts w:cs="Times New Roman"/>
        </w:rPr>
        <w:t>, licenses may be refused without adequate detail explanation</w:t>
      </w:r>
      <w:r w:rsidRPr="0027083E">
        <w:rPr>
          <w:rFonts w:cs="Times New Roman"/>
        </w:rPr>
        <w:t xml:space="preserve"> </w:t>
      </w:r>
    </w:p>
    <w:p w:rsidR="00BD57DF" w:rsidRPr="0027083E" w:rsidRDefault="00BD57DF" w:rsidP="00936EE2">
      <w:pPr>
        <w:pStyle w:val="ListParagraph"/>
        <w:numPr>
          <w:ilvl w:val="0"/>
          <w:numId w:val="9"/>
        </w:numPr>
        <w:spacing w:after="0" w:line="240" w:lineRule="auto"/>
        <w:jc w:val="both"/>
        <w:rPr>
          <w:rFonts w:cs="Times New Roman"/>
          <w:lang w:val="en-ZA"/>
        </w:rPr>
      </w:pPr>
      <w:r w:rsidRPr="0027083E">
        <w:rPr>
          <w:rFonts w:cs="Times New Roman"/>
          <w:bCs/>
        </w:rPr>
        <w:t>Insufficient access to capital</w:t>
      </w:r>
      <w:r w:rsidRPr="0027083E">
        <w:rPr>
          <w:rFonts w:cs="Times New Roman"/>
        </w:rPr>
        <w:t xml:space="preserve"> for new/growing businesses </w:t>
      </w:r>
    </w:p>
    <w:p w:rsidR="00BD57DF" w:rsidRPr="0027083E" w:rsidRDefault="00BD57DF" w:rsidP="00936EE2">
      <w:pPr>
        <w:pStyle w:val="ListParagraph"/>
        <w:numPr>
          <w:ilvl w:val="0"/>
          <w:numId w:val="9"/>
        </w:numPr>
        <w:spacing w:after="0" w:line="240" w:lineRule="auto"/>
        <w:jc w:val="both"/>
        <w:rPr>
          <w:rFonts w:cs="Times New Roman"/>
          <w:lang w:val="en-ZA"/>
        </w:rPr>
      </w:pPr>
      <w:r w:rsidRPr="0027083E">
        <w:rPr>
          <w:rFonts w:cs="Times New Roman"/>
          <w:bCs/>
        </w:rPr>
        <w:t>Insufficient access to markets that are related to the financial sector</w:t>
      </w:r>
      <w:r w:rsidRPr="0027083E">
        <w:rPr>
          <w:rFonts w:cs="Times New Roman"/>
        </w:rPr>
        <w:t>. This is because of a concentrated &amp; vertically integrated market structure and “old-boys” club e.g. black asset managers constrained by asset consultants/other decision makers, procurement spend in the short-term insurance sector kept away from black panel beaters</w:t>
      </w:r>
    </w:p>
    <w:p w:rsidR="00BD57DF" w:rsidRPr="0027083E" w:rsidRDefault="00BD57DF" w:rsidP="00936EE2">
      <w:pPr>
        <w:pStyle w:val="ListParagraph"/>
        <w:numPr>
          <w:ilvl w:val="0"/>
          <w:numId w:val="9"/>
        </w:numPr>
        <w:spacing w:after="0" w:line="240" w:lineRule="auto"/>
        <w:jc w:val="both"/>
        <w:rPr>
          <w:rFonts w:cs="Times New Roman"/>
          <w:lang w:val="en-ZA"/>
        </w:rPr>
      </w:pPr>
      <w:r w:rsidRPr="0027083E">
        <w:rPr>
          <w:rFonts w:cs="Times New Roman"/>
        </w:rPr>
        <w:t xml:space="preserve">Existing </w:t>
      </w:r>
      <w:r w:rsidRPr="0027083E">
        <w:rPr>
          <w:rFonts w:cs="Times New Roman"/>
          <w:bCs/>
        </w:rPr>
        <w:t xml:space="preserve">developmental agencies </w:t>
      </w:r>
      <w:r w:rsidRPr="0027083E">
        <w:rPr>
          <w:rFonts w:cs="Times New Roman"/>
        </w:rPr>
        <w:t xml:space="preserve">like CBDA </w:t>
      </w:r>
      <w:r w:rsidRPr="0027083E">
        <w:rPr>
          <w:rFonts w:cs="Times New Roman"/>
          <w:bCs/>
        </w:rPr>
        <w:t>are not working effectively</w:t>
      </w:r>
    </w:p>
    <w:p w:rsidR="00111720" w:rsidRPr="0027083E" w:rsidRDefault="00111720" w:rsidP="00111720">
      <w:pPr>
        <w:spacing w:after="0" w:line="240" w:lineRule="auto"/>
        <w:ind w:left="720"/>
        <w:jc w:val="both"/>
        <w:rPr>
          <w:rFonts w:cs="Times New Roman"/>
          <w:lang w:val="en-ZA"/>
        </w:rPr>
      </w:pPr>
    </w:p>
    <w:p w:rsidR="00111720" w:rsidRPr="0027083E" w:rsidRDefault="00111720" w:rsidP="00FC4BCF">
      <w:pPr>
        <w:pStyle w:val="ListParagraph"/>
        <w:numPr>
          <w:ilvl w:val="0"/>
          <w:numId w:val="4"/>
        </w:numPr>
        <w:spacing w:after="0" w:line="240" w:lineRule="auto"/>
        <w:jc w:val="both"/>
        <w:rPr>
          <w:rFonts w:cs="Times New Roman"/>
          <w:lang w:val="en-ZA"/>
        </w:rPr>
      </w:pPr>
      <w:r w:rsidRPr="0027083E">
        <w:rPr>
          <w:rFonts w:cs="Times New Roman"/>
          <w:bCs/>
        </w:rPr>
        <w:t>National Treasury’s response is as follows:</w:t>
      </w:r>
    </w:p>
    <w:p w:rsidR="00111720" w:rsidRPr="0027083E" w:rsidRDefault="00111720" w:rsidP="00111720">
      <w:pPr>
        <w:pStyle w:val="ListParagraph"/>
        <w:spacing w:after="0" w:line="240" w:lineRule="auto"/>
        <w:jc w:val="both"/>
        <w:rPr>
          <w:rFonts w:cs="Times New Roman"/>
          <w:b/>
          <w:bCs/>
        </w:rPr>
      </w:pPr>
    </w:p>
    <w:p w:rsidR="00BD57DF" w:rsidRPr="0027083E" w:rsidRDefault="00111720" w:rsidP="00BD57DF">
      <w:pPr>
        <w:pStyle w:val="ListParagraph"/>
        <w:jc w:val="both"/>
        <w:rPr>
          <w:rFonts w:cs="Times New Roman"/>
        </w:rPr>
      </w:pPr>
      <w:r w:rsidRPr="0027083E">
        <w:rPr>
          <w:rFonts w:cs="Times New Roman"/>
          <w:bCs/>
        </w:rPr>
        <w:t xml:space="preserve">It is imperative that we </w:t>
      </w:r>
      <w:r w:rsidRPr="0027083E">
        <w:rPr>
          <w:rFonts w:cs="Times New Roman"/>
          <w:b/>
          <w:bCs/>
        </w:rPr>
        <w:t xml:space="preserve">promote black industrialists and black owned SMEs </w:t>
      </w:r>
      <w:r w:rsidRPr="0027083E">
        <w:rPr>
          <w:rFonts w:cs="Times New Roman"/>
          <w:b/>
        </w:rPr>
        <w:t xml:space="preserve">through an </w:t>
      </w:r>
      <w:r w:rsidRPr="0027083E">
        <w:rPr>
          <w:rFonts w:cs="Times New Roman"/>
          <w:b/>
          <w:bCs/>
        </w:rPr>
        <w:t xml:space="preserve">explicit developmental framework </w:t>
      </w:r>
      <w:r w:rsidR="00573ED2" w:rsidRPr="0027083E">
        <w:rPr>
          <w:rFonts w:cs="Times New Roman"/>
        </w:rPr>
        <w:t>for the sector. T</w:t>
      </w:r>
      <w:r w:rsidRPr="0027083E">
        <w:rPr>
          <w:rFonts w:cs="Times New Roman"/>
        </w:rPr>
        <w:t xml:space="preserve">his framework will be a </w:t>
      </w:r>
      <w:r w:rsidR="00BD57DF" w:rsidRPr="0027083E">
        <w:rPr>
          <w:rFonts w:cs="Times New Roman"/>
          <w:bCs/>
        </w:rPr>
        <w:t xml:space="preserve">coordinated </w:t>
      </w:r>
      <w:r w:rsidRPr="0027083E">
        <w:rPr>
          <w:rFonts w:cs="Times New Roman"/>
          <w:bCs/>
        </w:rPr>
        <w:t xml:space="preserve">effort </w:t>
      </w:r>
      <w:r w:rsidR="00BD57DF" w:rsidRPr="0027083E">
        <w:rPr>
          <w:rFonts w:cs="Times New Roman"/>
        </w:rPr>
        <w:t xml:space="preserve">between dti/NT/regulators, </w:t>
      </w:r>
      <w:r w:rsidR="00BD57DF" w:rsidRPr="0027083E">
        <w:rPr>
          <w:rFonts w:cs="Times New Roman"/>
          <w:b/>
        </w:rPr>
        <w:t>in support of black industrialists</w:t>
      </w:r>
      <w:r w:rsidR="00DA1D04" w:rsidRPr="0027083E">
        <w:rPr>
          <w:rFonts w:cs="Times New Roman"/>
          <w:b/>
        </w:rPr>
        <w:t xml:space="preserve">, </w:t>
      </w:r>
      <w:r w:rsidR="00BD57DF" w:rsidRPr="0027083E">
        <w:rPr>
          <w:rFonts w:cs="Times New Roman"/>
          <w:b/>
        </w:rPr>
        <w:t xml:space="preserve">SMMEs </w:t>
      </w:r>
      <w:r w:rsidR="00DA1D04" w:rsidRPr="0027083E">
        <w:rPr>
          <w:rFonts w:cs="Times New Roman"/>
          <w:b/>
        </w:rPr>
        <w:t>and cooperatives</w:t>
      </w:r>
      <w:r w:rsidR="00DA1D04" w:rsidRPr="0027083E">
        <w:rPr>
          <w:rFonts w:cs="Times New Roman"/>
        </w:rPr>
        <w:t xml:space="preserve"> </w:t>
      </w:r>
      <w:r w:rsidR="00BD57DF" w:rsidRPr="0027083E">
        <w:rPr>
          <w:rFonts w:cs="Times New Roman"/>
        </w:rPr>
        <w:t>in the Fin Sector</w:t>
      </w:r>
      <w:r w:rsidR="00573ED2" w:rsidRPr="0027083E">
        <w:rPr>
          <w:rFonts w:cs="Times New Roman"/>
        </w:rPr>
        <w:t>,</w:t>
      </w:r>
      <w:r w:rsidR="00BD57DF" w:rsidRPr="0027083E">
        <w:rPr>
          <w:rFonts w:cs="Times New Roman"/>
        </w:rPr>
        <w:t xml:space="preserve"> with a foc</w:t>
      </w:r>
      <w:r w:rsidRPr="0027083E">
        <w:rPr>
          <w:rFonts w:cs="Times New Roman"/>
        </w:rPr>
        <w:t>us on establishing and sustaining</w:t>
      </w:r>
      <w:r w:rsidR="00573ED2" w:rsidRPr="0027083E">
        <w:rPr>
          <w:rFonts w:cs="Times New Roman"/>
        </w:rPr>
        <w:t xml:space="preserve"> them</w:t>
      </w:r>
      <w:r w:rsidR="00BD57DF" w:rsidRPr="0027083E">
        <w:rPr>
          <w:rFonts w:cs="Times New Roman"/>
        </w:rPr>
        <w:t xml:space="preserve"> through the following:</w:t>
      </w:r>
    </w:p>
    <w:p w:rsidR="00BD57DF" w:rsidRPr="0027083E" w:rsidRDefault="00BD57DF" w:rsidP="00936EE2">
      <w:pPr>
        <w:pStyle w:val="ListParagraph"/>
        <w:numPr>
          <w:ilvl w:val="0"/>
          <w:numId w:val="14"/>
        </w:numPr>
        <w:jc w:val="both"/>
        <w:rPr>
          <w:rFonts w:cs="Times New Roman"/>
          <w:lang w:val="en-ZA"/>
        </w:rPr>
      </w:pPr>
      <w:r w:rsidRPr="0027083E">
        <w:rPr>
          <w:rFonts w:cs="Times New Roman"/>
          <w:b/>
          <w:bCs/>
        </w:rPr>
        <w:t>Better access to affordable funding</w:t>
      </w:r>
      <w:r w:rsidRPr="0027083E">
        <w:rPr>
          <w:rFonts w:cs="Times New Roman"/>
          <w:bCs/>
        </w:rPr>
        <w:t>:</w:t>
      </w:r>
    </w:p>
    <w:p w:rsidR="00A420DE" w:rsidRPr="0027083E" w:rsidRDefault="00A420DE" w:rsidP="00936EE2">
      <w:pPr>
        <w:pStyle w:val="ListParagraph"/>
        <w:numPr>
          <w:ilvl w:val="2"/>
          <w:numId w:val="12"/>
        </w:numPr>
        <w:jc w:val="both"/>
        <w:rPr>
          <w:rFonts w:cs="Times New Roman"/>
          <w:lang w:val="en-ZA"/>
        </w:rPr>
      </w:pPr>
      <w:r w:rsidRPr="0027083E">
        <w:rPr>
          <w:rFonts w:cs="Times New Roman"/>
        </w:rPr>
        <w:t xml:space="preserve">Further </w:t>
      </w:r>
      <w:r w:rsidRPr="0027083E">
        <w:rPr>
          <w:rFonts w:cs="Times New Roman"/>
          <w:b/>
        </w:rPr>
        <w:t xml:space="preserve">develop FSC empowerment financing targets </w:t>
      </w:r>
      <w:r w:rsidRPr="0027083E">
        <w:rPr>
          <w:rFonts w:cs="Times New Roman"/>
        </w:rPr>
        <w:t xml:space="preserve">relating to black agriculture, </w:t>
      </w:r>
      <w:r w:rsidR="00D01CA1" w:rsidRPr="0027083E">
        <w:rPr>
          <w:rFonts w:cs="Times New Roman"/>
        </w:rPr>
        <w:t xml:space="preserve">low-cost </w:t>
      </w:r>
      <w:r w:rsidRPr="0027083E">
        <w:rPr>
          <w:rFonts w:cs="Times New Roman"/>
        </w:rPr>
        <w:t xml:space="preserve">housing and </w:t>
      </w:r>
      <w:r w:rsidR="00D01CA1" w:rsidRPr="0027083E">
        <w:rPr>
          <w:rFonts w:cs="Times New Roman"/>
        </w:rPr>
        <w:t xml:space="preserve">infrastructure development; </w:t>
      </w:r>
      <w:r w:rsidR="00D01CA1" w:rsidRPr="0027083E">
        <w:rPr>
          <w:rFonts w:cs="Times New Roman"/>
          <w:b/>
        </w:rPr>
        <w:t>develop empowerment-</w:t>
      </w:r>
      <w:r w:rsidRPr="0027083E">
        <w:rPr>
          <w:rFonts w:cs="Times New Roman"/>
          <w:b/>
        </w:rPr>
        <w:t>financing plan</w:t>
      </w:r>
      <w:r w:rsidR="00D01CA1" w:rsidRPr="0027083E">
        <w:rPr>
          <w:rFonts w:cs="Times New Roman"/>
        </w:rPr>
        <w:t xml:space="preserve"> with industry buy-in to give effect to targets</w:t>
      </w:r>
      <w:r w:rsidRPr="0027083E">
        <w:rPr>
          <w:rFonts w:cs="Times New Roman"/>
        </w:rPr>
        <w:t>.</w:t>
      </w:r>
    </w:p>
    <w:p w:rsidR="00BD57DF" w:rsidRPr="0027083E" w:rsidRDefault="00BD57DF" w:rsidP="00936EE2">
      <w:pPr>
        <w:pStyle w:val="ListParagraph"/>
        <w:numPr>
          <w:ilvl w:val="2"/>
          <w:numId w:val="12"/>
        </w:numPr>
        <w:jc w:val="both"/>
        <w:rPr>
          <w:rFonts w:cs="Times New Roman"/>
          <w:lang w:val="en-ZA"/>
        </w:rPr>
      </w:pPr>
      <w:r w:rsidRPr="0027083E">
        <w:rPr>
          <w:rFonts w:cs="Times New Roman"/>
          <w:bCs/>
        </w:rPr>
        <w:t xml:space="preserve">For </w:t>
      </w:r>
      <w:r w:rsidRPr="0027083E">
        <w:rPr>
          <w:rFonts w:cs="Times New Roman"/>
          <w:b/>
          <w:bCs/>
        </w:rPr>
        <w:t>industrialists</w:t>
      </w:r>
      <w:r w:rsidR="00A420DE" w:rsidRPr="0027083E">
        <w:rPr>
          <w:rFonts w:cs="Times New Roman"/>
          <w:b/>
          <w:bCs/>
        </w:rPr>
        <w:t xml:space="preserve"> </w:t>
      </w:r>
      <w:r w:rsidR="00D01CA1" w:rsidRPr="0027083E">
        <w:rPr>
          <w:rFonts w:cs="Times New Roman"/>
          <w:b/>
          <w:bCs/>
        </w:rPr>
        <w:t xml:space="preserve">specifically </w:t>
      </w:r>
      <w:r w:rsidRPr="0027083E">
        <w:rPr>
          <w:rFonts w:cs="Times New Roman"/>
          <w:bCs/>
        </w:rPr>
        <w:t xml:space="preserve">this means </w:t>
      </w:r>
      <w:r w:rsidRPr="0027083E">
        <w:rPr>
          <w:rFonts w:cs="Times New Roman"/>
        </w:rPr>
        <w:t xml:space="preserve">exploring </w:t>
      </w:r>
      <w:r w:rsidRPr="0027083E">
        <w:rPr>
          <w:rFonts w:cs="Times New Roman"/>
          <w:bCs/>
        </w:rPr>
        <w:t xml:space="preserve">more flexibility in the FSC to accommodate </w:t>
      </w:r>
      <w:r w:rsidRPr="0027083E">
        <w:rPr>
          <w:rFonts w:cs="Times New Roman"/>
          <w:b/>
          <w:bCs/>
        </w:rPr>
        <w:t>improved funding structures</w:t>
      </w:r>
      <w:r w:rsidRPr="0027083E">
        <w:rPr>
          <w:rFonts w:cs="Times New Roman"/>
          <w:b/>
        </w:rPr>
        <w:t xml:space="preserve"> </w:t>
      </w:r>
      <w:r w:rsidR="00A11976" w:rsidRPr="0027083E">
        <w:rPr>
          <w:rFonts w:cs="Times New Roman"/>
          <w:b/>
        </w:rPr>
        <w:t xml:space="preserve">of B-BBEE deals </w:t>
      </w:r>
      <w:r w:rsidRPr="0027083E">
        <w:rPr>
          <w:rFonts w:cs="Times New Roman"/>
        </w:rPr>
        <w:t xml:space="preserve">e.g. spin-off and </w:t>
      </w:r>
      <w:r w:rsidRPr="0027083E">
        <w:rPr>
          <w:rFonts w:cs="Times New Roman"/>
          <w:bCs/>
        </w:rPr>
        <w:t xml:space="preserve">regulatory concessions </w:t>
      </w:r>
      <w:r w:rsidRPr="0027083E">
        <w:rPr>
          <w:rFonts w:cs="Times New Roman"/>
        </w:rPr>
        <w:t>e.g. w.r.t. upfront capital</w:t>
      </w:r>
      <w:r w:rsidR="00A11976" w:rsidRPr="0027083E">
        <w:rPr>
          <w:rFonts w:cs="Times New Roman"/>
        </w:rPr>
        <w:t xml:space="preserve">. </w:t>
      </w:r>
    </w:p>
    <w:p w:rsidR="00BD57DF" w:rsidRPr="0027083E" w:rsidRDefault="00BD57DF" w:rsidP="00936EE2">
      <w:pPr>
        <w:pStyle w:val="ListParagraph"/>
        <w:numPr>
          <w:ilvl w:val="2"/>
          <w:numId w:val="12"/>
        </w:numPr>
        <w:jc w:val="both"/>
        <w:rPr>
          <w:rFonts w:cs="Times New Roman"/>
          <w:lang w:val="en-ZA"/>
        </w:rPr>
      </w:pPr>
      <w:r w:rsidRPr="0027083E">
        <w:rPr>
          <w:rFonts w:cs="Times New Roman"/>
          <w:bCs/>
        </w:rPr>
        <w:t xml:space="preserve">For </w:t>
      </w:r>
      <w:r w:rsidRPr="0027083E">
        <w:rPr>
          <w:rFonts w:cs="Times New Roman"/>
          <w:b/>
          <w:bCs/>
        </w:rPr>
        <w:t xml:space="preserve">SMEs this means </w:t>
      </w:r>
      <w:r w:rsidRPr="0027083E">
        <w:rPr>
          <w:rFonts w:cs="Times New Roman"/>
          <w:b/>
        </w:rPr>
        <w:t>taking steps to extend the capital markets reach</w:t>
      </w:r>
      <w:r w:rsidRPr="0027083E">
        <w:rPr>
          <w:rFonts w:cs="Times New Roman"/>
        </w:rPr>
        <w:t xml:space="preserve"> to this segment e.g. </w:t>
      </w:r>
      <w:r w:rsidRPr="0027083E">
        <w:rPr>
          <w:rFonts w:cs="Times New Roman"/>
          <w:i/>
          <w:iCs/>
        </w:rPr>
        <w:t>JSE township exchange</w:t>
      </w:r>
      <w:r w:rsidRPr="0027083E">
        <w:rPr>
          <w:rFonts w:cs="Times New Roman"/>
        </w:rPr>
        <w:t xml:space="preserve">, improving the </w:t>
      </w:r>
      <w:r w:rsidRPr="0027083E">
        <w:rPr>
          <w:rFonts w:cs="Times New Roman"/>
          <w:bCs/>
        </w:rPr>
        <w:t>effectiveness of DFIs</w:t>
      </w:r>
      <w:r w:rsidRPr="0027083E">
        <w:rPr>
          <w:rFonts w:cs="Times New Roman"/>
        </w:rPr>
        <w:t xml:space="preserve"> in this area &amp; improving </w:t>
      </w:r>
      <w:r w:rsidRPr="0027083E">
        <w:rPr>
          <w:rFonts w:cs="Times New Roman"/>
          <w:bCs/>
        </w:rPr>
        <w:t xml:space="preserve">PCG schemes </w:t>
      </w:r>
      <w:r w:rsidRPr="0027083E">
        <w:rPr>
          <w:rFonts w:cs="Times New Roman"/>
        </w:rPr>
        <w:t xml:space="preserve">on offer </w:t>
      </w:r>
    </w:p>
    <w:p w:rsidR="00534613" w:rsidRPr="0027083E" w:rsidRDefault="00534613" w:rsidP="00936EE2">
      <w:pPr>
        <w:pStyle w:val="ListParagraph"/>
        <w:numPr>
          <w:ilvl w:val="0"/>
          <w:numId w:val="15"/>
        </w:numPr>
        <w:jc w:val="both"/>
        <w:rPr>
          <w:rFonts w:cs="Times New Roman"/>
          <w:lang w:val="en-ZA"/>
        </w:rPr>
      </w:pPr>
      <w:r w:rsidRPr="0027083E">
        <w:rPr>
          <w:rFonts w:cs="Times New Roman"/>
          <w:b/>
          <w:lang w:val="en-ZA"/>
        </w:rPr>
        <w:lastRenderedPageBreak/>
        <w:t>Improved access to markets</w:t>
      </w:r>
      <w:r w:rsidRPr="0027083E">
        <w:rPr>
          <w:rFonts w:cs="Times New Roman"/>
          <w:lang w:val="en-ZA"/>
        </w:rPr>
        <w:t xml:space="preserve">: FSC targets should be reviewed for opportunities to support market access, for example procurement of panel beaters in the short-term insurance sector and asset managers selected by insurers, banks, suppliers of savings vehicles and asset consultants. </w:t>
      </w:r>
    </w:p>
    <w:p w:rsidR="00DA1D04" w:rsidRPr="0027083E" w:rsidRDefault="00BD57DF" w:rsidP="00936EE2">
      <w:pPr>
        <w:pStyle w:val="ListParagraph"/>
        <w:numPr>
          <w:ilvl w:val="0"/>
          <w:numId w:val="15"/>
        </w:numPr>
        <w:jc w:val="both"/>
        <w:rPr>
          <w:rFonts w:cs="Times New Roman"/>
          <w:lang w:val="en-ZA"/>
        </w:rPr>
      </w:pPr>
      <w:r w:rsidRPr="0027083E">
        <w:rPr>
          <w:rFonts w:cs="Times New Roman"/>
          <w:b/>
          <w:bCs/>
        </w:rPr>
        <w:t xml:space="preserve">Regulation should be tailored </w:t>
      </w:r>
      <w:r w:rsidRPr="0027083E">
        <w:rPr>
          <w:rFonts w:cs="Times New Roman"/>
          <w:bCs/>
        </w:rPr>
        <w:t>to take account of an explicit developmental framework for the financial sector</w:t>
      </w:r>
      <w:r w:rsidR="00DA1D04" w:rsidRPr="0027083E">
        <w:rPr>
          <w:rFonts w:cs="Times New Roman"/>
          <w:bCs/>
        </w:rPr>
        <w:t xml:space="preserve">, </w:t>
      </w:r>
    </w:p>
    <w:p w:rsidR="00BD57DF" w:rsidRPr="0027083E" w:rsidRDefault="00BD57DF" w:rsidP="00936EE2">
      <w:pPr>
        <w:pStyle w:val="ListParagraph"/>
        <w:numPr>
          <w:ilvl w:val="2"/>
          <w:numId w:val="13"/>
        </w:numPr>
        <w:jc w:val="both"/>
        <w:rPr>
          <w:rFonts w:cs="Times New Roman"/>
          <w:lang w:val="en-ZA"/>
        </w:rPr>
      </w:pPr>
      <w:r w:rsidRPr="0027083E">
        <w:rPr>
          <w:rFonts w:cs="Times New Roman"/>
          <w:b/>
          <w:bCs/>
        </w:rPr>
        <w:t xml:space="preserve">Support for new entrants </w:t>
      </w:r>
      <w:r w:rsidRPr="0027083E">
        <w:rPr>
          <w:rFonts w:cs="Times New Roman"/>
          <w:bCs/>
        </w:rPr>
        <w:t>should include</w:t>
      </w:r>
      <w:r w:rsidR="006309B1" w:rsidRPr="0027083E">
        <w:rPr>
          <w:rFonts w:cs="Times New Roman"/>
          <w:bCs/>
        </w:rPr>
        <w:t>:</w:t>
      </w:r>
      <w:r w:rsidRPr="0027083E">
        <w:rPr>
          <w:rFonts w:cs="Times New Roman"/>
          <w:bCs/>
        </w:rPr>
        <w:t xml:space="preserve"> </w:t>
      </w:r>
      <w:r w:rsidRPr="0027083E">
        <w:rPr>
          <w:rFonts w:cs="Times New Roman"/>
          <w:b/>
        </w:rPr>
        <w:t>incubator programmes</w:t>
      </w:r>
      <w:r w:rsidRPr="0027083E">
        <w:rPr>
          <w:rFonts w:cs="Times New Roman"/>
        </w:rPr>
        <w:t xml:space="preserve">, white labeling into insurers, supporting black brokers e.g. more suitable exams </w:t>
      </w:r>
    </w:p>
    <w:p w:rsidR="00BD57DF" w:rsidRPr="0027083E" w:rsidRDefault="00BD57DF" w:rsidP="00936EE2">
      <w:pPr>
        <w:pStyle w:val="ListParagraph"/>
        <w:numPr>
          <w:ilvl w:val="2"/>
          <w:numId w:val="13"/>
        </w:numPr>
        <w:jc w:val="both"/>
        <w:rPr>
          <w:rFonts w:cs="Times New Roman"/>
          <w:lang w:val="en-ZA"/>
        </w:rPr>
      </w:pPr>
      <w:r w:rsidRPr="0027083E">
        <w:rPr>
          <w:rFonts w:cs="Times New Roman"/>
          <w:bCs/>
        </w:rPr>
        <w:t xml:space="preserve">Undertake to </w:t>
      </w:r>
      <w:r w:rsidRPr="0027083E">
        <w:rPr>
          <w:rFonts w:cs="Times New Roman"/>
          <w:b/>
          <w:bCs/>
        </w:rPr>
        <w:t>examine the role of the CBDA</w:t>
      </w:r>
      <w:r w:rsidR="00573ED2" w:rsidRPr="0027083E">
        <w:rPr>
          <w:rFonts w:cs="Times New Roman"/>
          <w:b/>
          <w:bCs/>
        </w:rPr>
        <w:t>, to extend support to all emerging financial institutions</w:t>
      </w:r>
      <w:r w:rsidR="00573ED2" w:rsidRPr="0027083E">
        <w:rPr>
          <w:rFonts w:cs="Times New Roman"/>
          <w:bCs/>
        </w:rPr>
        <w:t xml:space="preserve"> like funeral parlours wanting to offer insurance</w:t>
      </w:r>
    </w:p>
    <w:p w:rsidR="00BD57DF" w:rsidRPr="0027083E" w:rsidRDefault="00BD57DF" w:rsidP="00936EE2">
      <w:pPr>
        <w:pStyle w:val="ListParagraph"/>
        <w:numPr>
          <w:ilvl w:val="2"/>
          <w:numId w:val="13"/>
        </w:numPr>
        <w:jc w:val="both"/>
        <w:rPr>
          <w:rFonts w:cs="Times New Roman"/>
          <w:lang w:val="en-ZA"/>
        </w:rPr>
      </w:pPr>
      <w:r w:rsidRPr="0027083E">
        <w:rPr>
          <w:rFonts w:cs="Times New Roman"/>
        </w:rPr>
        <w:t xml:space="preserve">Legislative changes to </w:t>
      </w:r>
      <w:r w:rsidRPr="0027083E">
        <w:rPr>
          <w:rFonts w:cs="Times New Roman"/>
          <w:b/>
          <w:bCs/>
        </w:rPr>
        <w:t>allow for tiered entry in licensed industries</w:t>
      </w:r>
      <w:r w:rsidR="00DA1D04" w:rsidRPr="0027083E">
        <w:rPr>
          <w:rFonts w:cs="Times New Roman"/>
          <w:b/>
          <w:bCs/>
        </w:rPr>
        <w:t xml:space="preserve">; </w:t>
      </w:r>
      <w:r w:rsidR="00DA1D04" w:rsidRPr="0027083E">
        <w:rPr>
          <w:rFonts w:cs="Times New Roman"/>
          <w:bCs/>
        </w:rPr>
        <w:t xml:space="preserve">allow for and support </w:t>
      </w:r>
      <w:r w:rsidR="00DA1D04" w:rsidRPr="0027083E">
        <w:rPr>
          <w:rFonts w:cs="Times New Roman"/>
          <w:b/>
          <w:bCs/>
        </w:rPr>
        <w:t>progressive growth from informal entity like stokvel through to small player to larger competitor</w:t>
      </w:r>
    </w:p>
    <w:p w:rsidR="00DB6982" w:rsidRPr="0027083E" w:rsidRDefault="00DA1D04" w:rsidP="00936EE2">
      <w:pPr>
        <w:pStyle w:val="ListParagraph"/>
        <w:numPr>
          <w:ilvl w:val="2"/>
          <w:numId w:val="13"/>
        </w:numPr>
        <w:jc w:val="both"/>
        <w:rPr>
          <w:rFonts w:cs="Times New Roman"/>
          <w:lang w:val="en-ZA"/>
        </w:rPr>
      </w:pPr>
      <w:r w:rsidRPr="0027083E">
        <w:rPr>
          <w:rFonts w:cs="Times New Roman"/>
          <w:b/>
        </w:rPr>
        <w:t>D</w:t>
      </w:r>
      <w:r w:rsidR="00BD57DF" w:rsidRPr="0027083E">
        <w:rPr>
          <w:rFonts w:cs="Times New Roman"/>
          <w:b/>
        </w:rPr>
        <w:t xml:space="preserve">eposit insurance </w:t>
      </w:r>
      <w:r w:rsidR="00BD57DF" w:rsidRPr="0027083E">
        <w:rPr>
          <w:rFonts w:cs="Times New Roman"/>
        </w:rPr>
        <w:t xml:space="preserve">will promote confidence in smaller banks including CFIs – </w:t>
      </w:r>
      <w:r w:rsidR="00BD57DF" w:rsidRPr="0027083E">
        <w:rPr>
          <w:rFonts w:cs="Times New Roman"/>
          <w:i/>
          <w:iCs/>
        </w:rPr>
        <w:t>draft policy due for release by the SARB June 2017</w:t>
      </w:r>
    </w:p>
    <w:p w:rsidR="00DA1D04" w:rsidRPr="0027083E" w:rsidRDefault="00DA1D04" w:rsidP="008B01B8">
      <w:pPr>
        <w:spacing w:after="0" w:line="240" w:lineRule="auto"/>
        <w:ind w:left="720"/>
        <w:jc w:val="both"/>
        <w:rPr>
          <w:rFonts w:cs="Times New Roman"/>
        </w:rPr>
      </w:pPr>
    </w:p>
    <w:p w:rsidR="00DA667A" w:rsidRPr="0027083E" w:rsidRDefault="008B01B8" w:rsidP="00FC4BCF">
      <w:pPr>
        <w:pStyle w:val="Heading2"/>
        <w:numPr>
          <w:ilvl w:val="0"/>
          <w:numId w:val="5"/>
        </w:numPr>
        <w:rPr>
          <w:rFonts w:asciiTheme="minorHAnsi" w:hAnsiTheme="minorHAnsi"/>
          <w:i/>
        </w:rPr>
      </w:pPr>
      <w:bookmarkStart w:id="9" w:name="_Toc483828802"/>
      <w:r w:rsidRPr="0027083E">
        <w:rPr>
          <w:rFonts w:asciiTheme="minorHAnsi" w:hAnsiTheme="minorHAnsi"/>
          <w:i/>
        </w:rPr>
        <w:t>Conduct of financial institutions</w:t>
      </w:r>
      <w:r w:rsidR="005D2023" w:rsidRPr="0027083E">
        <w:rPr>
          <w:rFonts w:asciiTheme="minorHAnsi" w:hAnsiTheme="minorHAnsi"/>
          <w:i/>
        </w:rPr>
        <w:t xml:space="preserve"> and financial inclusion</w:t>
      </w:r>
      <w:bookmarkEnd w:id="9"/>
    </w:p>
    <w:p w:rsidR="008B01B8" w:rsidRPr="0027083E" w:rsidRDefault="008B01B8" w:rsidP="008B01B8">
      <w:pPr>
        <w:pStyle w:val="ListParagraph"/>
        <w:spacing w:after="0" w:line="240" w:lineRule="auto"/>
        <w:jc w:val="both"/>
        <w:rPr>
          <w:rFonts w:cs="Times New Roman"/>
        </w:rPr>
      </w:pPr>
    </w:p>
    <w:p w:rsidR="00BD57DF" w:rsidRPr="0027083E" w:rsidRDefault="00BD57DF" w:rsidP="00FC4BCF">
      <w:pPr>
        <w:pStyle w:val="ListParagraph"/>
        <w:numPr>
          <w:ilvl w:val="0"/>
          <w:numId w:val="4"/>
        </w:numPr>
        <w:jc w:val="both"/>
        <w:rPr>
          <w:rFonts w:cs="Times New Roman"/>
          <w:lang w:val="en-ZA"/>
        </w:rPr>
      </w:pPr>
      <w:r w:rsidRPr="0027083E">
        <w:rPr>
          <w:rFonts w:cs="Times New Roman"/>
          <w:bCs/>
        </w:rPr>
        <w:t xml:space="preserve">Poor market conduct practices and financial exclusion </w:t>
      </w:r>
      <w:r w:rsidR="005B53D1" w:rsidRPr="0027083E">
        <w:rPr>
          <w:rFonts w:cs="Times New Roman"/>
          <w:bCs/>
        </w:rPr>
        <w:t xml:space="preserve">is still prevalent in the sector and this </w:t>
      </w:r>
      <w:r w:rsidRPr="0027083E">
        <w:rPr>
          <w:rFonts w:cs="Times New Roman"/>
          <w:bCs/>
        </w:rPr>
        <w:t>compromises the transformative effects</w:t>
      </w:r>
      <w:r w:rsidRPr="0027083E">
        <w:rPr>
          <w:rFonts w:cs="Times New Roman"/>
          <w:b/>
          <w:bCs/>
        </w:rPr>
        <w:t xml:space="preserve"> </w:t>
      </w:r>
      <w:r w:rsidRPr="0027083E">
        <w:rPr>
          <w:rFonts w:cs="Times New Roman"/>
        </w:rPr>
        <w:t>of the sector by benefiting relatively few South Africans</w:t>
      </w:r>
      <w:r w:rsidR="005B53D1" w:rsidRPr="0027083E">
        <w:rPr>
          <w:rFonts w:cs="Times New Roman"/>
        </w:rPr>
        <w:t>. The following issues were highlighted:</w:t>
      </w:r>
    </w:p>
    <w:p w:rsidR="00DA1D04" w:rsidRPr="0027083E" w:rsidRDefault="00DA1D04" w:rsidP="00936EE2">
      <w:pPr>
        <w:pStyle w:val="ListParagraph"/>
        <w:numPr>
          <w:ilvl w:val="0"/>
          <w:numId w:val="10"/>
        </w:numPr>
        <w:jc w:val="both"/>
        <w:rPr>
          <w:rFonts w:cs="Times New Roman"/>
          <w:lang w:val="en-ZA"/>
        </w:rPr>
      </w:pPr>
      <w:r w:rsidRPr="0027083E">
        <w:rPr>
          <w:rFonts w:cs="Times New Roman"/>
        </w:rPr>
        <w:t>South Africans borrow too heavily for consumption at the expense of borrowing for asset and wealth accumulation</w:t>
      </w:r>
    </w:p>
    <w:p w:rsidR="005D2023" w:rsidRPr="0027083E" w:rsidRDefault="005D2023" w:rsidP="00936EE2">
      <w:pPr>
        <w:pStyle w:val="ListParagraph"/>
        <w:numPr>
          <w:ilvl w:val="0"/>
          <w:numId w:val="10"/>
        </w:numPr>
        <w:jc w:val="both"/>
        <w:rPr>
          <w:rFonts w:cs="Times New Roman"/>
          <w:lang w:val="en-ZA"/>
        </w:rPr>
      </w:pPr>
      <w:r w:rsidRPr="0027083E">
        <w:rPr>
          <w:rFonts w:cs="Times New Roman"/>
        </w:rPr>
        <w:t>Too many South Africans remain financially excluded</w:t>
      </w:r>
      <w:r w:rsidR="00B81320" w:rsidRPr="0027083E">
        <w:rPr>
          <w:rFonts w:cs="Times New Roman"/>
        </w:rPr>
        <w:t>, especially in rural areas</w:t>
      </w:r>
      <w:r w:rsidRPr="0027083E">
        <w:rPr>
          <w:rFonts w:cs="Times New Roman"/>
        </w:rPr>
        <w:t xml:space="preserve">; individuals have poor access to insurance and savings products in particular. </w:t>
      </w:r>
    </w:p>
    <w:p w:rsidR="006F37FF" w:rsidRPr="0027083E" w:rsidRDefault="006F37FF" w:rsidP="00936EE2">
      <w:pPr>
        <w:pStyle w:val="ListParagraph"/>
        <w:numPr>
          <w:ilvl w:val="0"/>
          <w:numId w:val="10"/>
        </w:numPr>
        <w:jc w:val="both"/>
        <w:rPr>
          <w:rFonts w:cs="Times New Roman"/>
          <w:lang w:val="en-ZA"/>
        </w:rPr>
      </w:pPr>
      <w:r w:rsidRPr="0027083E">
        <w:rPr>
          <w:rFonts w:cs="Times New Roman"/>
        </w:rPr>
        <w:t>Financial services are too expensive</w:t>
      </w:r>
    </w:p>
    <w:p w:rsidR="005B53D1" w:rsidRPr="0027083E" w:rsidRDefault="00BD57DF" w:rsidP="00936EE2">
      <w:pPr>
        <w:pStyle w:val="ListParagraph"/>
        <w:numPr>
          <w:ilvl w:val="0"/>
          <w:numId w:val="10"/>
        </w:numPr>
        <w:jc w:val="both"/>
        <w:rPr>
          <w:rFonts w:cs="Times New Roman"/>
          <w:lang w:val="en-ZA"/>
        </w:rPr>
      </w:pPr>
      <w:r w:rsidRPr="0027083E">
        <w:rPr>
          <w:rFonts w:cs="Times New Roman"/>
        </w:rPr>
        <w:t>Foreclosure/repossession practices</w:t>
      </w:r>
      <w:r w:rsidR="005B53D1" w:rsidRPr="0027083E">
        <w:rPr>
          <w:rFonts w:cs="Times New Roman"/>
        </w:rPr>
        <w:t xml:space="preserve"> that put consumers in a worse off position than before the foreclosure/repossession</w:t>
      </w:r>
    </w:p>
    <w:p w:rsidR="00BD57DF" w:rsidRPr="0027083E" w:rsidRDefault="00BD57DF" w:rsidP="00936EE2">
      <w:pPr>
        <w:pStyle w:val="ListParagraph"/>
        <w:numPr>
          <w:ilvl w:val="0"/>
          <w:numId w:val="10"/>
        </w:numPr>
        <w:jc w:val="both"/>
        <w:rPr>
          <w:rFonts w:cs="Times New Roman"/>
          <w:lang w:val="en-ZA"/>
        </w:rPr>
      </w:pPr>
      <w:r w:rsidRPr="0027083E">
        <w:rPr>
          <w:rFonts w:cs="Times New Roman"/>
        </w:rPr>
        <w:t xml:space="preserve">STI sector cancelling policies when policyholder </w:t>
      </w:r>
      <w:r w:rsidR="005B53D1" w:rsidRPr="0027083E">
        <w:rPr>
          <w:rFonts w:cs="Times New Roman"/>
        </w:rPr>
        <w:t xml:space="preserve">is </w:t>
      </w:r>
      <w:r w:rsidRPr="0027083E">
        <w:rPr>
          <w:rFonts w:cs="Times New Roman"/>
        </w:rPr>
        <w:t xml:space="preserve">retrenched/can’t pay and </w:t>
      </w:r>
      <w:r w:rsidR="005B53D1" w:rsidRPr="0027083E">
        <w:rPr>
          <w:rFonts w:cs="Times New Roman"/>
        </w:rPr>
        <w:t xml:space="preserve">thus the consumer </w:t>
      </w:r>
      <w:r w:rsidRPr="0027083E">
        <w:rPr>
          <w:rFonts w:cs="Times New Roman"/>
        </w:rPr>
        <w:t>forfeit all premiums paid to date</w:t>
      </w:r>
    </w:p>
    <w:p w:rsidR="00DA1D04" w:rsidRPr="0027083E" w:rsidRDefault="00BD57DF" w:rsidP="00936EE2">
      <w:pPr>
        <w:pStyle w:val="ListParagraph"/>
        <w:numPr>
          <w:ilvl w:val="0"/>
          <w:numId w:val="10"/>
        </w:numPr>
        <w:jc w:val="both"/>
        <w:rPr>
          <w:rFonts w:cs="Times New Roman"/>
          <w:lang w:val="en-ZA"/>
        </w:rPr>
      </w:pPr>
      <w:r w:rsidRPr="0027083E">
        <w:rPr>
          <w:rFonts w:cs="Times New Roman"/>
        </w:rPr>
        <w:t>Banks abuse of court system, chronic corruption within courts in debt collection practices, and related the outdated Insolvency Act hurting the indebted.</w:t>
      </w:r>
    </w:p>
    <w:p w:rsidR="00BD57DF" w:rsidRPr="0027083E" w:rsidRDefault="00BD57DF" w:rsidP="005B53D1">
      <w:pPr>
        <w:pStyle w:val="ListParagraph"/>
        <w:jc w:val="both"/>
        <w:rPr>
          <w:rFonts w:cs="Times New Roman"/>
          <w:lang w:val="en-ZA"/>
        </w:rPr>
      </w:pPr>
    </w:p>
    <w:p w:rsidR="005B53D1" w:rsidRPr="0027083E" w:rsidRDefault="00BD57DF" w:rsidP="00FC4BCF">
      <w:pPr>
        <w:pStyle w:val="ListParagraph"/>
        <w:numPr>
          <w:ilvl w:val="0"/>
          <w:numId w:val="4"/>
        </w:numPr>
        <w:spacing w:after="0" w:line="240" w:lineRule="auto"/>
        <w:jc w:val="both"/>
        <w:rPr>
          <w:rFonts w:cs="Times New Roman"/>
        </w:rPr>
      </w:pPr>
      <w:r w:rsidRPr="0027083E">
        <w:rPr>
          <w:rFonts w:cs="Times New Roman"/>
        </w:rPr>
        <w:t>National Treasury’s response is as follows:</w:t>
      </w:r>
    </w:p>
    <w:p w:rsidR="00BD57DF" w:rsidRPr="0027083E" w:rsidRDefault="00BD57DF" w:rsidP="00BD57DF">
      <w:pPr>
        <w:spacing w:after="0" w:line="240" w:lineRule="auto"/>
        <w:ind w:left="360"/>
        <w:jc w:val="both"/>
        <w:rPr>
          <w:rFonts w:cs="Times New Roman"/>
        </w:rPr>
      </w:pPr>
    </w:p>
    <w:p w:rsidR="00F83683" w:rsidRPr="0027083E" w:rsidRDefault="00B35163" w:rsidP="00936EE2">
      <w:pPr>
        <w:pStyle w:val="ListParagraph"/>
        <w:numPr>
          <w:ilvl w:val="0"/>
          <w:numId w:val="15"/>
        </w:numPr>
        <w:jc w:val="both"/>
        <w:rPr>
          <w:rFonts w:cs="Times New Roman"/>
          <w:bCs/>
          <w:szCs w:val="24"/>
        </w:rPr>
      </w:pPr>
      <w:r w:rsidRPr="0027083E">
        <w:rPr>
          <w:rFonts w:cs="Times New Roman"/>
          <w:b/>
          <w:bCs/>
          <w:szCs w:val="24"/>
        </w:rPr>
        <w:t>H</w:t>
      </w:r>
      <w:r w:rsidR="00F83683" w:rsidRPr="0027083E">
        <w:rPr>
          <w:rFonts w:cs="Times New Roman"/>
          <w:b/>
          <w:bCs/>
          <w:szCs w:val="24"/>
        </w:rPr>
        <w:t>ousing</w:t>
      </w:r>
      <w:r w:rsidRPr="0027083E">
        <w:rPr>
          <w:rFonts w:cs="Times New Roman"/>
          <w:b/>
          <w:bCs/>
          <w:szCs w:val="24"/>
        </w:rPr>
        <w:t xml:space="preserve"> </w:t>
      </w:r>
      <w:r w:rsidR="00F83683" w:rsidRPr="0027083E">
        <w:rPr>
          <w:rFonts w:cs="Times New Roman"/>
          <w:b/>
          <w:bCs/>
          <w:szCs w:val="24"/>
        </w:rPr>
        <w:t xml:space="preserve">/asset finance initiatives </w:t>
      </w:r>
      <w:r w:rsidRPr="0027083E">
        <w:rPr>
          <w:rFonts w:cs="Times New Roman"/>
          <w:bCs/>
          <w:szCs w:val="24"/>
        </w:rPr>
        <w:t xml:space="preserve">will be proposed and fed </w:t>
      </w:r>
      <w:r w:rsidR="00F83683" w:rsidRPr="0027083E">
        <w:rPr>
          <w:rFonts w:cs="Times New Roman"/>
          <w:bCs/>
          <w:szCs w:val="24"/>
        </w:rPr>
        <w:t xml:space="preserve">into </w:t>
      </w:r>
      <w:r w:rsidR="006F37FF" w:rsidRPr="0027083E">
        <w:rPr>
          <w:rFonts w:cs="Times New Roman"/>
          <w:b/>
          <w:bCs/>
          <w:szCs w:val="24"/>
        </w:rPr>
        <w:t xml:space="preserve">dedicated </w:t>
      </w:r>
      <w:r w:rsidR="00F83683" w:rsidRPr="0027083E">
        <w:rPr>
          <w:rFonts w:cs="Times New Roman"/>
          <w:b/>
          <w:bCs/>
          <w:szCs w:val="24"/>
        </w:rPr>
        <w:t xml:space="preserve">financial inclusion </w:t>
      </w:r>
      <w:r w:rsidR="006F37FF" w:rsidRPr="0027083E">
        <w:rPr>
          <w:rFonts w:cs="Times New Roman"/>
          <w:b/>
          <w:bCs/>
          <w:szCs w:val="24"/>
        </w:rPr>
        <w:t xml:space="preserve">and transformation </w:t>
      </w:r>
      <w:r w:rsidR="00F83683" w:rsidRPr="0027083E">
        <w:rPr>
          <w:rFonts w:cs="Times New Roman"/>
          <w:b/>
          <w:bCs/>
          <w:szCs w:val="24"/>
        </w:rPr>
        <w:t>strategy</w:t>
      </w:r>
    </w:p>
    <w:p w:rsidR="00F83683" w:rsidRPr="0027083E" w:rsidRDefault="00F83683" w:rsidP="00936EE2">
      <w:pPr>
        <w:pStyle w:val="ListParagraph"/>
        <w:numPr>
          <w:ilvl w:val="0"/>
          <w:numId w:val="15"/>
        </w:numPr>
        <w:jc w:val="both"/>
        <w:rPr>
          <w:rFonts w:cs="Times New Roman"/>
          <w:bCs/>
          <w:szCs w:val="24"/>
        </w:rPr>
      </w:pPr>
      <w:r w:rsidRPr="0027083E">
        <w:rPr>
          <w:rFonts w:cs="Times New Roman"/>
          <w:b/>
          <w:bCs/>
          <w:szCs w:val="24"/>
        </w:rPr>
        <w:lastRenderedPageBreak/>
        <w:t xml:space="preserve">Market conduct abuses </w:t>
      </w:r>
      <w:r w:rsidR="00DA1D04" w:rsidRPr="0027083E">
        <w:rPr>
          <w:rFonts w:cs="Times New Roman"/>
          <w:b/>
          <w:bCs/>
          <w:szCs w:val="24"/>
        </w:rPr>
        <w:t>must be confronted and solutions put forward</w:t>
      </w:r>
      <w:r w:rsidR="009E0E37" w:rsidRPr="0027083E">
        <w:rPr>
          <w:rFonts w:cs="Times New Roman"/>
          <w:bCs/>
          <w:szCs w:val="24"/>
        </w:rPr>
        <w:t xml:space="preserve">: </w:t>
      </w:r>
      <w:r w:rsidR="00DA1D04" w:rsidRPr="0027083E">
        <w:rPr>
          <w:rFonts w:cs="Times New Roman"/>
          <w:bCs/>
          <w:szCs w:val="24"/>
        </w:rPr>
        <w:t xml:space="preserve">can be </w:t>
      </w:r>
      <w:r w:rsidRPr="0027083E">
        <w:rPr>
          <w:rFonts w:cs="Times New Roman"/>
          <w:bCs/>
          <w:szCs w:val="24"/>
        </w:rPr>
        <w:t>considered through CoF</w:t>
      </w:r>
      <w:r w:rsidR="00DA1D04" w:rsidRPr="0027083E">
        <w:rPr>
          <w:rFonts w:cs="Times New Roman"/>
          <w:bCs/>
          <w:szCs w:val="24"/>
        </w:rPr>
        <w:t xml:space="preserve">I Bill and industry workgroups, </w:t>
      </w:r>
      <w:r w:rsidRPr="0027083E">
        <w:rPr>
          <w:rFonts w:cs="Times New Roman"/>
          <w:bCs/>
          <w:szCs w:val="24"/>
        </w:rPr>
        <w:t xml:space="preserve">informed by </w:t>
      </w:r>
      <w:r w:rsidR="005D2023" w:rsidRPr="0027083E">
        <w:rPr>
          <w:rFonts w:cs="Times New Roman"/>
          <w:bCs/>
          <w:szCs w:val="24"/>
        </w:rPr>
        <w:t>NEDLAC</w:t>
      </w:r>
      <w:r w:rsidRPr="0027083E">
        <w:rPr>
          <w:rFonts w:cs="Times New Roman"/>
          <w:bCs/>
          <w:szCs w:val="24"/>
        </w:rPr>
        <w:t xml:space="preserve"> recommendations on market cond</w:t>
      </w:r>
      <w:r w:rsidR="009E0E37" w:rsidRPr="0027083E">
        <w:rPr>
          <w:rFonts w:cs="Times New Roman"/>
          <w:bCs/>
          <w:szCs w:val="24"/>
        </w:rPr>
        <w:t>uct e.g. repossession practices</w:t>
      </w:r>
      <w:r w:rsidRPr="0027083E">
        <w:rPr>
          <w:rFonts w:cs="Times New Roman"/>
          <w:bCs/>
          <w:szCs w:val="24"/>
        </w:rPr>
        <w:t>.</w:t>
      </w:r>
    </w:p>
    <w:p w:rsidR="00F83683" w:rsidRPr="0027083E" w:rsidRDefault="00F83683" w:rsidP="00936EE2">
      <w:pPr>
        <w:pStyle w:val="ListParagraph"/>
        <w:numPr>
          <w:ilvl w:val="0"/>
          <w:numId w:val="15"/>
        </w:numPr>
        <w:jc w:val="both"/>
        <w:rPr>
          <w:rFonts w:cs="Times New Roman"/>
          <w:bCs/>
          <w:szCs w:val="24"/>
        </w:rPr>
      </w:pPr>
      <w:r w:rsidRPr="0027083E">
        <w:rPr>
          <w:rFonts w:cs="Times New Roman"/>
          <w:b/>
          <w:bCs/>
          <w:szCs w:val="24"/>
        </w:rPr>
        <w:t>Ombud system reforms underway</w:t>
      </w:r>
      <w:r w:rsidR="005244C6" w:rsidRPr="0027083E">
        <w:rPr>
          <w:rFonts w:cs="Times New Roman"/>
          <w:b/>
          <w:bCs/>
          <w:szCs w:val="24"/>
        </w:rPr>
        <w:t xml:space="preserve"> as part of twin peaks</w:t>
      </w:r>
      <w:r w:rsidR="00DA1D04" w:rsidRPr="0027083E">
        <w:rPr>
          <w:rFonts w:cs="Times New Roman"/>
          <w:bCs/>
          <w:szCs w:val="24"/>
        </w:rPr>
        <w:t>, to be monitored for effect</w:t>
      </w:r>
      <w:r w:rsidR="005244C6" w:rsidRPr="0027083E">
        <w:rPr>
          <w:rFonts w:cs="Times New Roman"/>
          <w:bCs/>
          <w:szCs w:val="24"/>
        </w:rPr>
        <w:t xml:space="preserve">iveness. Detailed diagnostic of </w:t>
      </w:r>
      <w:r w:rsidR="00233891" w:rsidRPr="0027083E">
        <w:rPr>
          <w:rFonts w:cs="Times New Roman"/>
          <w:bCs/>
          <w:szCs w:val="24"/>
        </w:rPr>
        <w:t>South Africa’s</w:t>
      </w:r>
      <w:r w:rsidR="005244C6" w:rsidRPr="0027083E">
        <w:rPr>
          <w:rFonts w:cs="Times New Roman"/>
          <w:bCs/>
          <w:szCs w:val="24"/>
        </w:rPr>
        <w:t xml:space="preserve"> ombud system planned for 2017</w:t>
      </w:r>
    </w:p>
    <w:p w:rsidR="008B01B8" w:rsidRPr="0027083E" w:rsidRDefault="008B01B8" w:rsidP="008B01B8">
      <w:pPr>
        <w:pStyle w:val="ListParagraph"/>
        <w:spacing w:after="0" w:line="240" w:lineRule="auto"/>
        <w:jc w:val="both"/>
        <w:rPr>
          <w:rFonts w:cs="Times New Roman"/>
        </w:rPr>
      </w:pPr>
    </w:p>
    <w:p w:rsidR="00DA667A" w:rsidRPr="0027083E" w:rsidRDefault="00DA667A" w:rsidP="00DA667A">
      <w:pPr>
        <w:ind w:left="720"/>
        <w:contextualSpacing/>
        <w:jc w:val="both"/>
        <w:rPr>
          <w:rFonts w:cs="Times New Roman"/>
          <w:b/>
          <w:bCs/>
          <w:i/>
          <w:szCs w:val="24"/>
        </w:rPr>
      </w:pPr>
    </w:p>
    <w:p w:rsidR="00EE20C3" w:rsidRPr="0027083E" w:rsidRDefault="00EE20C3" w:rsidP="00DA1D04">
      <w:pPr>
        <w:pStyle w:val="Heading1"/>
        <w:jc w:val="left"/>
        <w:rPr>
          <w:rFonts w:asciiTheme="minorHAnsi" w:hAnsiTheme="minorHAnsi"/>
        </w:rPr>
      </w:pPr>
    </w:p>
    <w:p w:rsidR="00B52C2D" w:rsidRPr="0027083E" w:rsidRDefault="00B52C2D" w:rsidP="00B52C2D">
      <w:pPr>
        <w:pStyle w:val="NoSpacing"/>
      </w:pPr>
    </w:p>
    <w:p w:rsidR="006F37FF" w:rsidRPr="0027083E" w:rsidRDefault="006F37FF">
      <w:pPr>
        <w:rPr>
          <w:rFonts w:cs="Times New Roman"/>
          <w:b/>
          <w:sz w:val="24"/>
          <w:szCs w:val="21"/>
        </w:rPr>
      </w:pPr>
      <w:r w:rsidRPr="0027083E">
        <w:br w:type="page"/>
      </w:r>
    </w:p>
    <w:p w:rsidR="00E2124A" w:rsidRPr="0027083E" w:rsidRDefault="00DA2632" w:rsidP="00FB27BC">
      <w:pPr>
        <w:pStyle w:val="Heading1"/>
        <w:rPr>
          <w:rFonts w:asciiTheme="minorHAnsi" w:hAnsiTheme="minorHAnsi"/>
        </w:rPr>
      </w:pPr>
      <w:bookmarkStart w:id="10" w:name="_Toc483828803"/>
      <w:r w:rsidRPr="0027083E">
        <w:rPr>
          <w:rFonts w:asciiTheme="minorHAnsi" w:hAnsiTheme="minorHAnsi"/>
        </w:rPr>
        <w:lastRenderedPageBreak/>
        <w:t>SECTION</w:t>
      </w:r>
      <w:r w:rsidR="00C00A5E" w:rsidRPr="0027083E">
        <w:rPr>
          <w:rFonts w:asciiTheme="minorHAnsi" w:hAnsiTheme="minorHAnsi"/>
        </w:rPr>
        <w:t xml:space="preserve"> </w:t>
      </w:r>
      <w:r w:rsidRPr="0027083E">
        <w:rPr>
          <w:rFonts w:asciiTheme="minorHAnsi" w:hAnsiTheme="minorHAnsi"/>
        </w:rPr>
        <w:t>B</w:t>
      </w:r>
      <w:r w:rsidR="00E2124A" w:rsidRPr="0027083E">
        <w:rPr>
          <w:rFonts w:asciiTheme="minorHAnsi" w:hAnsiTheme="minorHAnsi"/>
        </w:rPr>
        <w:t xml:space="preserve">: </w:t>
      </w:r>
      <w:r w:rsidR="007267AD">
        <w:rPr>
          <w:rFonts w:asciiTheme="minorHAnsi" w:hAnsiTheme="minorHAnsi"/>
        </w:rPr>
        <w:t>SUMMARY OF</w:t>
      </w:r>
      <w:r w:rsidR="0030401C" w:rsidRPr="0027083E">
        <w:rPr>
          <w:rFonts w:asciiTheme="minorHAnsi" w:hAnsiTheme="minorHAnsi"/>
        </w:rPr>
        <w:t xml:space="preserve"> SUBMISSIONS</w:t>
      </w:r>
      <w:bookmarkEnd w:id="4"/>
      <w:bookmarkEnd w:id="10"/>
    </w:p>
    <w:tbl>
      <w:tblPr>
        <w:tblStyle w:val="TableGrid"/>
        <w:tblW w:w="4619" w:type="pct"/>
        <w:tblInd w:w="-5" w:type="dxa"/>
        <w:tblLayout w:type="fixed"/>
        <w:tblLook w:val="04A0"/>
      </w:tblPr>
      <w:tblGrid>
        <w:gridCol w:w="3069"/>
        <w:gridCol w:w="9519"/>
      </w:tblGrid>
      <w:tr w:rsidR="0027083E" w:rsidRPr="0027083E" w:rsidTr="0027083E">
        <w:tc>
          <w:tcPr>
            <w:tcW w:w="1219" w:type="pct"/>
          </w:tcPr>
          <w:p w:rsidR="0027083E" w:rsidRPr="0027083E" w:rsidRDefault="0027083E" w:rsidP="00B35163">
            <w:pPr>
              <w:rPr>
                <w:rFonts w:cs="Tahoma"/>
                <w:b/>
              </w:rPr>
            </w:pPr>
            <w:r w:rsidRPr="0027083E">
              <w:rPr>
                <w:rFonts w:cs="Tahoma"/>
                <w:b/>
              </w:rPr>
              <w:t>Institution/ Presenter</w:t>
            </w:r>
          </w:p>
        </w:tc>
        <w:tc>
          <w:tcPr>
            <w:tcW w:w="3781" w:type="pct"/>
          </w:tcPr>
          <w:p w:rsidR="0027083E" w:rsidRPr="0027083E" w:rsidRDefault="0027083E" w:rsidP="00B35163">
            <w:pPr>
              <w:rPr>
                <w:rFonts w:cs="Tahoma"/>
                <w:b/>
              </w:rPr>
            </w:pPr>
            <w:r w:rsidRPr="0027083E">
              <w:rPr>
                <w:rFonts w:cs="Tahoma"/>
                <w:b/>
              </w:rPr>
              <w:t>Summary of presentation</w:t>
            </w:r>
          </w:p>
        </w:tc>
      </w:tr>
      <w:tr w:rsidR="0027083E" w:rsidRPr="0027083E" w:rsidTr="0027083E">
        <w:tc>
          <w:tcPr>
            <w:tcW w:w="5000" w:type="pct"/>
            <w:gridSpan w:val="2"/>
            <w:shd w:val="clear" w:color="auto" w:fill="D9D9D9" w:themeFill="background1" w:themeFillShade="D9"/>
          </w:tcPr>
          <w:p w:rsidR="0027083E" w:rsidRPr="0027083E" w:rsidRDefault="0027083E" w:rsidP="00B35163">
            <w:pPr>
              <w:jc w:val="center"/>
              <w:rPr>
                <w:rFonts w:eastAsia="Times New Roman" w:cs="Helvetica"/>
                <w:b/>
                <w:color w:val="333333"/>
                <w:u w:val="single"/>
              </w:rPr>
            </w:pPr>
            <w:r w:rsidRPr="0027083E">
              <w:rPr>
                <w:rFonts w:eastAsia="Times New Roman" w:cs="Helvetica"/>
                <w:b/>
                <w:color w:val="333333"/>
                <w:u w:val="single"/>
              </w:rPr>
              <w:t>Government, government agencies and regulators</w:t>
            </w:r>
          </w:p>
        </w:tc>
      </w:tr>
      <w:tr w:rsidR="0027083E" w:rsidRPr="0027083E" w:rsidTr="0027083E">
        <w:tc>
          <w:tcPr>
            <w:tcW w:w="1219" w:type="pct"/>
          </w:tcPr>
          <w:p w:rsidR="0027083E" w:rsidRPr="0027083E" w:rsidRDefault="0027083E" w:rsidP="00B35163">
            <w:r w:rsidRPr="0027083E">
              <w:rPr>
                <w:rFonts w:eastAsia="Times New Roman" w:cs="Helvetica"/>
                <w:b/>
                <w:bCs/>
                <w:color w:val="333333"/>
              </w:rPr>
              <w:t>Department of Trade and Industry - dti</w:t>
            </w:r>
          </w:p>
        </w:tc>
        <w:tc>
          <w:tcPr>
            <w:tcW w:w="3781" w:type="pct"/>
          </w:tcPr>
          <w:p w:rsidR="0027083E" w:rsidRPr="0027083E" w:rsidRDefault="0027083E" w:rsidP="00B35163">
            <w:pPr>
              <w:rPr>
                <w:rFonts w:eastAsia="Times New Roman" w:cs="Helvetica"/>
                <w:color w:val="333333"/>
              </w:rPr>
            </w:pPr>
            <w:r w:rsidRPr="0027083E">
              <w:rPr>
                <w:rFonts w:eastAsia="Times New Roman" w:cs="Helvetica"/>
                <w:b/>
                <w:color w:val="333333"/>
                <w:u w:val="single"/>
              </w:rPr>
              <w:t>Intro</w:t>
            </w:r>
            <w:r w:rsidRPr="0027083E">
              <w:rPr>
                <w:rFonts w:eastAsia="Times New Roman" w:cs="Helvetica"/>
                <w:color w:val="333333"/>
              </w:rPr>
              <w:t>:</w:t>
            </w:r>
          </w:p>
          <w:p w:rsidR="0027083E" w:rsidRPr="0027083E" w:rsidRDefault="0027083E" w:rsidP="00B35163">
            <w:pPr>
              <w:rPr>
                <w:rFonts w:eastAsia="Times New Roman" w:cs="Helvetica"/>
                <w:color w:val="333333"/>
              </w:rPr>
            </w:pPr>
            <w:r w:rsidRPr="0027083E">
              <w:rPr>
                <w:rFonts w:eastAsia="Times New Roman" w:cs="Helvetica"/>
                <w:color w:val="333333"/>
              </w:rPr>
              <w:t xml:space="preserve">Intention of submission is to provide a clear empowerment framework in SA and show how Government has intervened to improve empowerment generally and in particular in the financial services sector. </w:t>
            </w:r>
          </w:p>
          <w:p w:rsidR="0027083E" w:rsidRPr="0027083E" w:rsidRDefault="0027083E" w:rsidP="00B35163">
            <w:pPr>
              <w:rPr>
                <w:rFonts w:eastAsia="Times New Roman" w:cs="Helvetica"/>
                <w:color w:val="333333"/>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Overview of sector:</w:t>
            </w:r>
          </w:p>
          <w:p w:rsidR="0027083E" w:rsidRPr="0027083E" w:rsidRDefault="0027083E" w:rsidP="00B35163">
            <w:pPr>
              <w:rPr>
                <w:rFonts w:eastAsia="Times New Roman" w:cs="Helvetica"/>
                <w:color w:val="333333"/>
              </w:rPr>
            </w:pPr>
            <w:r w:rsidRPr="0027083E">
              <w:rPr>
                <w:rFonts w:eastAsia="Times New Roman" w:cs="Helvetica"/>
                <w:color w:val="333333"/>
              </w:rPr>
              <w:t>The financial sector (FS) in South Africa includes banks as well as non-banking financial institutions such as state-owned developmental finance institutions, short- and long-term insurance companies and smaller financial intermediaries. The FS contributes 21.6% of SA’s GDP annually and over 15% of corporate income tax. It is one of the fastest growing employers in SA, with more than 250 000 employees in the sector.</w:t>
            </w:r>
            <w:r w:rsidRPr="0027083E">
              <w:rPr>
                <w:rFonts w:eastAsia="Times New Roman" w:cs="Helvetica"/>
                <w:color w:val="333333"/>
              </w:rPr>
              <w:br/>
            </w:r>
            <w:r w:rsidRPr="0027083E">
              <w:rPr>
                <w:rFonts w:eastAsia="Times New Roman" w:cs="Helvetica"/>
                <w:color w:val="333333"/>
              </w:rPr>
              <w:br/>
            </w:r>
            <w:r w:rsidRPr="0027083E">
              <w:rPr>
                <w:rFonts w:eastAsia="Times New Roman" w:cs="Helvetica"/>
                <w:b/>
                <w:color w:val="333333"/>
                <w:u w:val="single"/>
              </w:rPr>
              <w:t>FSC:</w:t>
            </w:r>
          </w:p>
          <w:p w:rsidR="0027083E" w:rsidRPr="0027083E" w:rsidRDefault="0027083E" w:rsidP="00B35163">
            <w:pPr>
              <w:rPr>
                <w:rFonts w:eastAsia="Times New Roman" w:cs="Helvetica"/>
                <w:color w:val="333333"/>
              </w:rPr>
            </w:pPr>
            <w:r w:rsidRPr="0027083E">
              <w:rPr>
                <w:rFonts w:eastAsia="Times New Roman" w:cs="Helvetica"/>
                <w:color w:val="333333"/>
              </w:rPr>
              <w:t>The B-BBEE Sector Codes are a means to address sector specific issues and peculiarities especially those that hinder transformation within a specific sector. The FSC emanated from the 2002 NEDLAC FS summit where stakeholders volunteered to a sector charter with the aim to transform the FS. The FSC was then gazetted on 26 November 2012 in terms of Section 9(1)(e) of the B-</w:t>
            </w:r>
          </w:p>
          <w:p w:rsidR="0027083E" w:rsidRPr="0027083E" w:rsidRDefault="0027083E" w:rsidP="00B35163">
            <w:pPr>
              <w:rPr>
                <w:rFonts w:eastAsia="Times New Roman" w:cs="Helvetica"/>
                <w:color w:val="333333"/>
              </w:rPr>
            </w:pPr>
          </w:p>
          <w:p w:rsidR="0027083E" w:rsidRPr="0027083E" w:rsidRDefault="0027083E" w:rsidP="00B35163">
            <w:pPr>
              <w:rPr>
                <w:rFonts w:eastAsia="Times New Roman" w:cs="Helvetica"/>
                <w:color w:val="333333"/>
              </w:rPr>
            </w:pPr>
            <w:r w:rsidRPr="0027083E">
              <w:rPr>
                <w:rFonts w:eastAsia="Times New Roman" w:cs="Helvetica"/>
                <w:color w:val="333333"/>
              </w:rPr>
              <w:t>BBEE Amendment Act. The FSC as it stands is going through a review process to ensure greater access to capital for previously disadvantaged people and more rapid economic transformation. The FSC proposes three different scorecards for different types of FS entities i.e.</w:t>
            </w:r>
          </w:p>
          <w:p w:rsidR="0027083E" w:rsidRPr="0027083E" w:rsidRDefault="0027083E" w:rsidP="00936EE2">
            <w:pPr>
              <w:pStyle w:val="ListParagraph"/>
              <w:numPr>
                <w:ilvl w:val="0"/>
                <w:numId w:val="22"/>
              </w:numPr>
              <w:rPr>
                <w:rFonts w:eastAsia="Times New Roman" w:cs="Helvetica"/>
                <w:color w:val="333333"/>
              </w:rPr>
            </w:pPr>
            <w:r w:rsidRPr="0027083E">
              <w:rPr>
                <w:rFonts w:eastAsia="Times New Roman" w:cs="Helvetica"/>
                <w:color w:val="333333"/>
              </w:rPr>
              <w:t>Banks and Life Insurance Offices have over and above the Generic Code elements, two additional sector specific elements; Empowerment Financing and Access to Financial Services</w:t>
            </w:r>
          </w:p>
          <w:p w:rsidR="0027083E" w:rsidRPr="0027083E" w:rsidRDefault="0027083E" w:rsidP="00936EE2">
            <w:pPr>
              <w:pStyle w:val="ListParagraph"/>
              <w:numPr>
                <w:ilvl w:val="0"/>
                <w:numId w:val="22"/>
              </w:numPr>
              <w:rPr>
                <w:rFonts w:eastAsia="Times New Roman" w:cs="Helvetica"/>
                <w:color w:val="333333"/>
              </w:rPr>
            </w:pPr>
            <w:r w:rsidRPr="0027083E">
              <w:rPr>
                <w:rFonts w:eastAsia="Times New Roman" w:cs="Helvetica"/>
                <w:color w:val="333333"/>
              </w:rPr>
              <w:t xml:space="preserve">Short-term insurers have over and above the Generic Code elements one additional element; Access to Financial services </w:t>
            </w:r>
          </w:p>
          <w:p w:rsidR="0027083E" w:rsidRPr="0027083E" w:rsidRDefault="0027083E" w:rsidP="00936EE2">
            <w:pPr>
              <w:pStyle w:val="ListParagraph"/>
              <w:numPr>
                <w:ilvl w:val="0"/>
                <w:numId w:val="22"/>
              </w:numPr>
              <w:rPr>
                <w:rFonts w:eastAsia="Times New Roman" w:cs="Helvetica"/>
                <w:color w:val="333333"/>
              </w:rPr>
            </w:pPr>
            <w:r w:rsidRPr="0027083E">
              <w:rPr>
                <w:rFonts w:eastAsia="Times New Roman" w:cs="Helvetica"/>
                <w:color w:val="333333"/>
              </w:rPr>
              <w:t xml:space="preserve">All other financial institutions have the same elements as the Generic Code </w:t>
            </w:r>
          </w:p>
          <w:p w:rsidR="0027083E" w:rsidRPr="0027083E" w:rsidRDefault="0027083E" w:rsidP="00B35163">
            <w:pPr>
              <w:rPr>
                <w:rFonts w:eastAsia="Times New Roman" w:cs="Helvetica"/>
                <w:b/>
                <w:color w:val="333333"/>
                <w:u w:val="single"/>
              </w:rPr>
            </w:pPr>
          </w:p>
          <w:p w:rsidR="0027083E" w:rsidRPr="0027083E" w:rsidRDefault="0027083E" w:rsidP="00B35163">
            <w:pPr>
              <w:rPr>
                <w:rFonts w:eastAsia="Times New Roman" w:cs="Helvetica"/>
                <w:b/>
                <w:color w:val="333333"/>
                <w:u w:val="single"/>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Difference between FSC and Generic codes:</w:t>
            </w:r>
          </w:p>
          <w:p w:rsidR="0027083E" w:rsidRPr="0027083E" w:rsidRDefault="0027083E" w:rsidP="00B35163">
            <w:pPr>
              <w:rPr>
                <w:rFonts w:eastAsia="Times New Roman" w:cs="Helvetica"/>
                <w:color w:val="333333"/>
              </w:rPr>
            </w:pPr>
            <w:r w:rsidRPr="0027083E">
              <w:rPr>
                <w:rFonts w:eastAsia="Times New Roman" w:cs="Helvetica"/>
                <w:color w:val="333333"/>
              </w:rPr>
              <w:t xml:space="preserve">Scorecards allow for each sector to be unique based on the peculiarities in that sector. </w:t>
            </w:r>
          </w:p>
          <w:p w:rsidR="0027083E" w:rsidRPr="0027083E" w:rsidRDefault="0027083E" w:rsidP="00936EE2">
            <w:pPr>
              <w:pStyle w:val="ListParagraph"/>
              <w:numPr>
                <w:ilvl w:val="0"/>
                <w:numId w:val="23"/>
              </w:numPr>
              <w:rPr>
                <w:rFonts w:eastAsia="Times New Roman" w:cs="Helvetica"/>
                <w:color w:val="333333"/>
              </w:rPr>
            </w:pPr>
            <w:r w:rsidRPr="0027083E">
              <w:rPr>
                <w:rFonts w:eastAsia="Times New Roman" w:cs="Helvetica"/>
                <w:color w:val="333333"/>
              </w:rPr>
              <w:lastRenderedPageBreak/>
              <w:t>Ownership element: of the scorecard the target is 25% in the Generic Code. However the element is different for banks due to the regulations in the banking sector;</w:t>
            </w:r>
          </w:p>
          <w:p w:rsidR="0027083E" w:rsidRPr="0027083E" w:rsidRDefault="0027083E" w:rsidP="00936EE2">
            <w:pPr>
              <w:pStyle w:val="ListParagraph"/>
              <w:numPr>
                <w:ilvl w:val="0"/>
                <w:numId w:val="23"/>
              </w:numPr>
              <w:rPr>
                <w:rFonts w:eastAsia="Times New Roman" w:cs="Helvetica"/>
                <w:color w:val="333333"/>
              </w:rPr>
            </w:pPr>
            <w:r w:rsidRPr="0027083E">
              <w:rPr>
                <w:rFonts w:eastAsia="Times New Roman" w:cs="Helvetica"/>
                <w:color w:val="333333"/>
              </w:rPr>
              <w:t>Enterprise Supplier Development element: aimed at promoting access to finance should be broadened to include direct supplier development and also create opportunities to support black industrialists;</w:t>
            </w:r>
          </w:p>
          <w:p w:rsidR="0027083E" w:rsidRPr="0027083E" w:rsidRDefault="0027083E" w:rsidP="00936EE2">
            <w:pPr>
              <w:pStyle w:val="ListParagraph"/>
              <w:numPr>
                <w:ilvl w:val="0"/>
                <w:numId w:val="23"/>
              </w:numPr>
              <w:rPr>
                <w:rFonts w:eastAsia="Times New Roman" w:cs="Helvetica"/>
                <w:color w:val="333333"/>
              </w:rPr>
            </w:pPr>
            <w:r w:rsidRPr="0027083E">
              <w:rPr>
                <w:rFonts w:eastAsia="Times New Roman" w:cs="Helvetica"/>
                <w:color w:val="333333"/>
              </w:rPr>
              <w:t xml:space="preserve">The proposed element Empowerment Financing includes: </w:t>
            </w:r>
          </w:p>
          <w:p w:rsidR="0027083E" w:rsidRPr="0027083E" w:rsidRDefault="0027083E" w:rsidP="00936EE2">
            <w:pPr>
              <w:pStyle w:val="ListParagraph"/>
              <w:numPr>
                <w:ilvl w:val="1"/>
                <w:numId w:val="23"/>
              </w:numPr>
              <w:rPr>
                <w:rFonts w:eastAsia="Times New Roman" w:cs="Helvetica"/>
                <w:color w:val="333333"/>
              </w:rPr>
            </w:pPr>
            <w:r w:rsidRPr="0027083E">
              <w:rPr>
                <w:rFonts w:eastAsia="Times New Roman" w:cs="Helvetica"/>
                <w:color w:val="333333"/>
              </w:rPr>
              <w:t xml:space="preserve">Transformational Infrastructure Financing - funding of previously neglected areas such as townships and rural areas, </w:t>
            </w:r>
          </w:p>
          <w:p w:rsidR="0027083E" w:rsidRPr="0027083E" w:rsidRDefault="0027083E" w:rsidP="00936EE2">
            <w:pPr>
              <w:pStyle w:val="ListParagraph"/>
              <w:numPr>
                <w:ilvl w:val="1"/>
                <w:numId w:val="23"/>
              </w:numPr>
              <w:rPr>
                <w:rFonts w:eastAsia="Times New Roman" w:cs="Helvetica"/>
                <w:color w:val="333333"/>
              </w:rPr>
            </w:pPr>
            <w:r w:rsidRPr="0027083E">
              <w:rPr>
                <w:rFonts w:eastAsia="Times New Roman" w:cs="Helvetica"/>
                <w:color w:val="333333"/>
              </w:rPr>
              <w:t xml:space="preserve">Black Agriculture Funding to assist with the land reform process, </w:t>
            </w:r>
          </w:p>
          <w:p w:rsidR="0027083E" w:rsidRPr="0027083E" w:rsidRDefault="0027083E" w:rsidP="00936EE2">
            <w:pPr>
              <w:pStyle w:val="ListParagraph"/>
              <w:numPr>
                <w:ilvl w:val="1"/>
                <w:numId w:val="23"/>
              </w:numPr>
              <w:rPr>
                <w:rFonts w:eastAsia="Times New Roman" w:cs="Helvetica"/>
                <w:color w:val="333333"/>
              </w:rPr>
            </w:pPr>
            <w:r w:rsidRPr="0027083E">
              <w:rPr>
                <w:rFonts w:eastAsia="Times New Roman" w:cs="Helvetica"/>
                <w:color w:val="333333"/>
              </w:rPr>
              <w:t xml:space="preserve">Low cost housing funding and </w:t>
            </w:r>
          </w:p>
          <w:p w:rsidR="0027083E" w:rsidRPr="0027083E" w:rsidRDefault="0027083E" w:rsidP="00936EE2">
            <w:pPr>
              <w:pStyle w:val="ListParagraph"/>
              <w:numPr>
                <w:ilvl w:val="1"/>
                <w:numId w:val="23"/>
              </w:numPr>
              <w:rPr>
                <w:rFonts w:eastAsia="Times New Roman" w:cs="Helvetica"/>
                <w:color w:val="333333"/>
              </w:rPr>
            </w:pPr>
            <w:r w:rsidRPr="0027083E">
              <w:rPr>
                <w:rFonts w:eastAsia="Times New Roman" w:cs="Helvetica"/>
                <w:color w:val="333333"/>
              </w:rPr>
              <w:t>Black business (including SME) growth funding / BEE transaction funding.</w:t>
            </w:r>
          </w:p>
          <w:p w:rsidR="0027083E" w:rsidRPr="0027083E" w:rsidRDefault="0027083E" w:rsidP="00B35163">
            <w:pPr>
              <w:rPr>
                <w:rFonts w:eastAsia="Times New Roman" w:cs="Helvetica"/>
                <w:color w:val="333333"/>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Transformation data:</w:t>
            </w:r>
          </w:p>
          <w:p w:rsidR="0027083E" w:rsidRPr="0027083E" w:rsidRDefault="0027083E" w:rsidP="00B35163">
            <w:pPr>
              <w:rPr>
                <w:rFonts w:eastAsia="Times New Roman" w:cs="Helvetica"/>
                <w:color w:val="333333"/>
              </w:rPr>
            </w:pPr>
            <w:r w:rsidRPr="0027083E">
              <w:rPr>
                <w:rFonts w:eastAsia="Times New Roman" w:cs="Helvetica"/>
                <w:color w:val="333333"/>
              </w:rPr>
              <w:t xml:space="preserve">The B-BBEE policy unit of DTI does not feel that it has adequate data and information that could be used to measure transformation. </w:t>
            </w:r>
          </w:p>
          <w:p w:rsidR="0027083E" w:rsidRPr="0027083E" w:rsidRDefault="0027083E" w:rsidP="00B35163">
            <w:pPr>
              <w:rPr>
                <w:rFonts w:eastAsia="Times New Roman" w:cs="Helvetica"/>
                <w:color w:val="333333"/>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B-BBEE Commission:</w:t>
            </w:r>
          </w:p>
          <w:p w:rsidR="0027083E" w:rsidRPr="0027083E" w:rsidRDefault="0027083E" w:rsidP="00B35163">
            <w:pPr>
              <w:rPr>
                <w:rFonts w:eastAsia="Times New Roman" w:cs="Helvetica"/>
                <w:color w:val="333333"/>
              </w:rPr>
            </w:pPr>
            <w:r w:rsidRPr="0027083E">
              <w:rPr>
                <w:rFonts w:eastAsia="Times New Roman" w:cs="Helvetica"/>
                <w:color w:val="333333"/>
              </w:rPr>
              <w:t xml:space="preserve">The B-BBEE Commission was set up in 2016 to primarily evaluate the level of transformation in SA. </w:t>
            </w:r>
          </w:p>
          <w:p w:rsidR="0027083E" w:rsidRPr="0027083E" w:rsidRDefault="0027083E" w:rsidP="00B35163">
            <w:pPr>
              <w:rPr>
                <w:rFonts w:eastAsia="Times New Roman" w:cs="Helvetica"/>
                <w:color w:val="333333"/>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Current assessment of transformation:</w:t>
            </w:r>
          </w:p>
          <w:p w:rsidR="0027083E" w:rsidRPr="0027083E" w:rsidRDefault="0027083E" w:rsidP="00936EE2">
            <w:pPr>
              <w:pStyle w:val="ListParagraph"/>
              <w:numPr>
                <w:ilvl w:val="0"/>
                <w:numId w:val="24"/>
              </w:numPr>
              <w:rPr>
                <w:rFonts w:eastAsia="Times New Roman" w:cs="Helvetica"/>
                <w:color w:val="333333"/>
              </w:rPr>
            </w:pPr>
            <w:r w:rsidRPr="0027083E">
              <w:rPr>
                <w:rFonts w:eastAsia="Times New Roman" w:cs="Helvetica"/>
                <w:color w:val="333333"/>
              </w:rPr>
              <w:t xml:space="preserve">Current data (2013/2014) indicates that there’s a regression in transformation in the financial services sector especially in ownership, management control and skills development levels. </w:t>
            </w:r>
          </w:p>
          <w:p w:rsidR="0027083E" w:rsidRPr="0027083E" w:rsidRDefault="0027083E" w:rsidP="00936EE2">
            <w:pPr>
              <w:pStyle w:val="ListParagraph"/>
              <w:numPr>
                <w:ilvl w:val="0"/>
                <w:numId w:val="24"/>
              </w:numPr>
              <w:rPr>
                <w:rFonts w:eastAsia="Times New Roman" w:cs="Helvetica"/>
                <w:color w:val="333333"/>
              </w:rPr>
            </w:pPr>
            <w:r w:rsidRPr="0027083E">
              <w:rPr>
                <w:rFonts w:eastAsia="Times New Roman" w:cs="Helvetica"/>
                <w:color w:val="333333"/>
              </w:rPr>
              <w:t>Access to financial services has improved significantly but a lot still needs to be done.</w:t>
            </w:r>
          </w:p>
          <w:p w:rsidR="0027083E" w:rsidRPr="0027083E" w:rsidRDefault="0027083E" w:rsidP="00B35163">
            <w:pPr>
              <w:pStyle w:val="ListParagraph"/>
              <w:rPr>
                <w:rFonts w:eastAsia="Times New Roman" w:cs="Helvetica"/>
                <w:color w:val="333333"/>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Challenges/concerns identified:</w:t>
            </w:r>
          </w:p>
          <w:p w:rsidR="0027083E" w:rsidRPr="0027083E" w:rsidRDefault="0027083E" w:rsidP="00B35163">
            <w:pPr>
              <w:rPr>
                <w:rFonts w:eastAsia="Times New Roman" w:cs="Helvetica"/>
                <w:color w:val="333333"/>
              </w:rPr>
            </w:pPr>
            <w:r w:rsidRPr="0027083E">
              <w:rPr>
                <w:rFonts w:eastAsia="Times New Roman" w:cs="Helvetica"/>
                <w:color w:val="333333"/>
              </w:rPr>
              <w:t xml:space="preserve">The challenges facing transformation include: </w:t>
            </w:r>
          </w:p>
          <w:p w:rsidR="0027083E" w:rsidRPr="0027083E" w:rsidRDefault="0027083E" w:rsidP="00936EE2">
            <w:pPr>
              <w:pStyle w:val="ListParagraph"/>
              <w:numPr>
                <w:ilvl w:val="0"/>
                <w:numId w:val="25"/>
              </w:numPr>
              <w:rPr>
                <w:rFonts w:eastAsia="Times New Roman" w:cs="Helvetica"/>
                <w:color w:val="333333"/>
              </w:rPr>
            </w:pPr>
            <w:r w:rsidRPr="0027083E">
              <w:rPr>
                <w:rFonts w:eastAsia="Times New Roman" w:cs="Helvetica"/>
                <w:color w:val="333333"/>
              </w:rPr>
              <w:t xml:space="preserve">Low level of transformation </w:t>
            </w:r>
          </w:p>
          <w:p w:rsidR="0027083E" w:rsidRPr="0027083E" w:rsidRDefault="0027083E" w:rsidP="00936EE2">
            <w:pPr>
              <w:pStyle w:val="ListParagraph"/>
              <w:numPr>
                <w:ilvl w:val="0"/>
                <w:numId w:val="25"/>
              </w:numPr>
              <w:rPr>
                <w:rFonts w:eastAsia="Times New Roman" w:cs="Helvetica"/>
                <w:color w:val="333333"/>
              </w:rPr>
            </w:pPr>
            <w:r w:rsidRPr="0027083E">
              <w:rPr>
                <w:rFonts w:eastAsia="Times New Roman" w:cs="Helvetica"/>
                <w:color w:val="333333"/>
              </w:rPr>
              <w:t xml:space="preserve">Lack of establishment or development of Black industrialists as the next phase of empowerment </w:t>
            </w:r>
          </w:p>
          <w:p w:rsidR="0027083E" w:rsidRPr="0027083E" w:rsidRDefault="0027083E" w:rsidP="00936EE2">
            <w:pPr>
              <w:pStyle w:val="ListParagraph"/>
              <w:numPr>
                <w:ilvl w:val="0"/>
                <w:numId w:val="25"/>
              </w:numPr>
              <w:rPr>
                <w:rFonts w:eastAsia="Times New Roman" w:cs="Helvetica"/>
                <w:color w:val="333333"/>
              </w:rPr>
            </w:pPr>
            <w:r w:rsidRPr="0027083E">
              <w:rPr>
                <w:rFonts w:eastAsia="Times New Roman" w:cs="Helvetica"/>
                <w:color w:val="333333"/>
              </w:rPr>
              <w:t>Lack of access to affordable and reliable financial services and insurance products</w:t>
            </w:r>
          </w:p>
          <w:p w:rsidR="0027083E" w:rsidRPr="0027083E" w:rsidRDefault="0027083E" w:rsidP="00936EE2">
            <w:pPr>
              <w:pStyle w:val="ListParagraph"/>
              <w:numPr>
                <w:ilvl w:val="0"/>
                <w:numId w:val="25"/>
              </w:numPr>
              <w:rPr>
                <w:rFonts w:eastAsia="Times New Roman" w:cs="Helvetica"/>
                <w:color w:val="333333"/>
              </w:rPr>
            </w:pPr>
            <w:r w:rsidRPr="0027083E">
              <w:rPr>
                <w:rFonts w:eastAsia="Times New Roman" w:cs="Helvetica"/>
                <w:color w:val="333333"/>
              </w:rPr>
              <w:t xml:space="preserve">Lack of establishment of enterprises per sub-sector to properly measure B-BBEE compliance </w:t>
            </w:r>
          </w:p>
          <w:p w:rsidR="0027083E" w:rsidRPr="0027083E" w:rsidRDefault="0027083E" w:rsidP="00936EE2">
            <w:pPr>
              <w:pStyle w:val="ListParagraph"/>
              <w:numPr>
                <w:ilvl w:val="0"/>
                <w:numId w:val="25"/>
              </w:numPr>
              <w:rPr>
                <w:rFonts w:eastAsia="Times New Roman" w:cs="Helvetica"/>
                <w:color w:val="333333"/>
              </w:rPr>
            </w:pPr>
            <w:r w:rsidRPr="0027083E">
              <w:rPr>
                <w:rFonts w:eastAsia="Times New Roman" w:cs="Helvetica"/>
                <w:color w:val="333333"/>
              </w:rPr>
              <w:t xml:space="preserve">Industry does not report to the FSC Council </w:t>
            </w:r>
            <w:r w:rsidRPr="0027083E">
              <w:rPr>
                <w:rFonts w:eastAsia="Times New Roman" w:cs="Helvetica"/>
                <w:color w:val="333333"/>
              </w:rPr>
              <w:br/>
            </w:r>
          </w:p>
        </w:tc>
      </w:tr>
      <w:tr w:rsidR="0027083E" w:rsidRPr="0027083E" w:rsidTr="0027083E">
        <w:tc>
          <w:tcPr>
            <w:tcW w:w="1219" w:type="pct"/>
          </w:tcPr>
          <w:p w:rsidR="0027083E" w:rsidRPr="0027083E" w:rsidRDefault="0027083E" w:rsidP="00B35163">
            <w:pPr>
              <w:rPr>
                <w:rFonts w:cs="Tahoma"/>
                <w:b/>
              </w:rPr>
            </w:pPr>
            <w:r w:rsidRPr="0027083E">
              <w:rPr>
                <w:rFonts w:cs="Tahoma"/>
                <w:b/>
              </w:rPr>
              <w:lastRenderedPageBreak/>
              <w:t>B-BBEE Commission</w:t>
            </w:r>
          </w:p>
        </w:tc>
        <w:tc>
          <w:tcPr>
            <w:tcW w:w="3781" w:type="pct"/>
          </w:tcPr>
          <w:p w:rsidR="0027083E" w:rsidRPr="0027083E" w:rsidRDefault="0027083E" w:rsidP="00B35163">
            <w:pPr>
              <w:rPr>
                <w:rFonts w:cs="Tahoma"/>
                <w:b/>
                <w:u w:val="single"/>
              </w:rPr>
            </w:pPr>
            <w:r w:rsidRPr="0027083E">
              <w:rPr>
                <w:rFonts w:cs="Tahoma"/>
                <w:b/>
                <w:u w:val="single"/>
              </w:rPr>
              <w:t>Intro:</w:t>
            </w:r>
          </w:p>
          <w:p w:rsidR="0027083E" w:rsidRPr="0027083E" w:rsidRDefault="0027083E" w:rsidP="00B35163">
            <w:pPr>
              <w:rPr>
                <w:rFonts w:cs="Tahoma"/>
                <w:bCs/>
              </w:rPr>
            </w:pPr>
            <w:r w:rsidRPr="0027083E">
              <w:rPr>
                <w:rFonts w:cs="Tahoma"/>
                <w:bCs/>
              </w:rPr>
              <w:t>The B-BBEE commissioners mandate is to:</w:t>
            </w:r>
          </w:p>
          <w:p w:rsidR="0027083E" w:rsidRPr="0027083E" w:rsidRDefault="0027083E" w:rsidP="00936EE2">
            <w:pPr>
              <w:pStyle w:val="ListParagraph"/>
              <w:numPr>
                <w:ilvl w:val="0"/>
                <w:numId w:val="60"/>
              </w:numPr>
              <w:rPr>
                <w:rFonts w:cs="Tahoma"/>
                <w:bCs/>
              </w:rPr>
            </w:pPr>
            <w:r w:rsidRPr="0027083E">
              <w:rPr>
                <w:rFonts w:cs="Tahoma"/>
                <w:bCs/>
              </w:rPr>
              <w:t>Monitor, supervise and promote adherence to the B-BBEE Act</w:t>
            </w:r>
          </w:p>
          <w:p w:rsidR="0027083E" w:rsidRPr="0027083E" w:rsidRDefault="0027083E" w:rsidP="00936EE2">
            <w:pPr>
              <w:pStyle w:val="ListParagraph"/>
              <w:numPr>
                <w:ilvl w:val="0"/>
                <w:numId w:val="60"/>
              </w:numPr>
              <w:rPr>
                <w:rFonts w:cs="Tahoma"/>
                <w:bCs/>
              </w:rPr>
            </w:pPr>
            <w:r w:rsidRPr="0027083E">
              <w:rPr>
                <w:rFonts w:cs="Tahoma"/>
                <w:bCs/>
              </w:rPr>
              <w:t>Strengthen private/public sector collaboration</w:t>
            </w:r>
          </w:p>
          <w:p w:rsidR="0027083E" w:rsidRPr="0027083E" w:rsidRDefault="0027083E" w:rsidP="00936EE2">
            <w:pPr>
              <w:pStyle w:val="ListParagraph"/>
              <w:numPr>
                <w:ilvl w:val="0"/>
                <w:numId w:val="60"/>
              </w:numPr>
              <w:rPr>
                <w:rFonts w:cs="Tahoma"/>
                <w:bCs/>
              </w:rPr>
            </w:pPr>
            <w:r w:rsidRPr="0027083E">
              <w:rPr>
                <w:rFonts w:cs="Tahoma"/>
                <w:bCs/>
              </w:rPr>
              <w:t>Receive complaints or initiate investigations</w:t>
            </w:r>
          </w:p>
          <w:p w:rsidR="0027083E" w:rsidRPr="0027083E" w:rsidRDefault="0027083E" w:rsidP="00936EE2">
            <w:pPr>
              <w:pStyle w:val="ListParagraph"/>
              <w:numPr>
                <w:ilvl w:val="0"/>
                <w:numId w:val="60"/>
              </w:numPr>
              <w:rPr>
                <w:rFonts w:cs="Tahoma"/>
                <w:bCs/>
              </w:rPr>
            </w:pPr>
            <w:r w:rsidRPr="0027083E">
              <w:rPr>
                <w:rFonts w:cs="Tahoma"/>
                <w:bCs/>
              </w:rPr>
              <w:t>Promote advocacy, access to opportunities &amp; educational programmes</w:t>
            </w:r>
          </w:p>
          <w:p w:rsidR="0027083E" w:rsidRPr="0027083E" w:rsidRDefault="0027083E" w:rsidP="00936EE2">
            <w:pPr>
              <w:pStyle w:val="ListParagraph"/>
              <w:numPr>
                <w:ilvl w:val="0"/>
                <w:numId w:val="60"/>
              </w:numPr>
              <w:rPr>
                <w:rFonts w:cs="Tahoma"/>
                <w:bCs/>
              </w:rPr>
            </w:pPr>
            <w:r w:rsidRPr="0027083E">
              <w:rPr>
                <w:rFonts w:cs="Tahoma"/>
                <w:bCs/>
              </w:rPr>
              <w:t>Maintain register of major B-BBEE transactions</w:t>
            </w:r>
          </w:p>
          <w:p w:rsidR="0027083E" w:rsidRPr="0027083E" w:rsidRDefault="0027083E" w:rsidP="00936EE2">
            <w:pPr>
              <w:pStyle w:val="ListParagraph"/>
              <w:numPr>
                <w:ilvl w:val="0"/>
                <w:numId w:val="60"/>
              </w:numPr>
              <w:rPr>
                <w:rFonts w:cs="Tahoma"/>
                <w:bCs/>
              </w:rPr>
            </w:pPr>
            <w:r w:rsidRPr="0027083E">
              <w:rPr>
                <w:rFonts w:cs="Tahoma"/>
                <w:bCs/>
              </w:rPr>
              <w:t>Receive and analyse prescribed reports</w:t>
            </w:r>
          </w:p>
          <w:p w:rsidR="0027083E" w:rsidRPr="0027083E" w:rsidRDefault="0027083E" w:rsidP="00936EE2">
            <w:pPr>
              <w:pStyle w:val="ListParagraph"/>
              <w:numPr>
                <w:ilvl w:val="0"/>
                <w:numId w:val="60"/>
              </w:numPr>
              <w:rPr>
                <w:rFonts w:cs="Tahoma"/>
                <w:bCs/>
              </w:rPr>
            </w:pPr>
            <w:r w:rsidRPr="0027083E">
              <w:rPr>
                <w:rFonts w:cs="Tahoma"/>
                <w:bCs/>
              </w:rPr>
              <w:t>Promote good corporate governance and accountability</w:t>
            </w:r>
          </w:p>
          <w:p w:rsidR="0027083E" w:rsidRPr="0027083E" w:rsidRDefault="0027083E" w:rsidP="00936EE2">
            <w:pPr>
              <w:pStyle w:val="ListParagraph"/>
              <w:numPr>
                <w:ilvl w:val="0"/>
                <w:numId w:val="60"/>
              </w:numPr>
              <w:rPr>
                <w:rFonts w:cs="Tahoma"/>
                <w:bCs/>
              </w:rPr>
            </w:pPr>
            <w:r w:rsidRPr="0027083E">
              <w:rPr>
                <w:rFonts w:cs="Tahoma"/>
                <w:bCs/>
              </w:rPr>
              <w:t>Increase knowledge and public awareness</w:t>
            </w:r>
          </w:p>
          <w:p w:rsidR="0027083E" w:rsidRPr="0027083E" w:rsidRDefault="0027083E" w:rsidP="00B35163">
            <w:pPr>
              <w:rPr>
                <w:rFonts w:cs="Tahoma"/>
              </w:rPr>
            </w:pPr>
          </w:p>
          <w:p w:rsidR="0027083E" w:rsidRPr="0027083E" w:rsidRDefault="0027083E" w:rsidP="00B35163">
            <w:pPr>
              <w:rPr>
                <w:rFonts w:cs="Tahoma"/>
                <w:b/>
                <w:u w:val="single"/>
              </w:rPr>
            </w:pPr>
            <w:r w:rsidRPr="0027083E">
              <w:rPr>
                <w:rFonts w:cs="Tahoma"/>
                <w:b/>
                <w:u w:val="single"/>
              </w:rPr>
              <w:t>Challenges/concerns identified:</w:t>
            </w:r>
          </w:p>
          <w:p w:rsidR="0027083E" w:rsidRPr="0027083E" w:rsidRDefault="0027083E" w:rsidP="00936EE2">
            <w:pPr>
              <w:pStyle w:val="ListParagraph"/>
              <w:numPr>
                <w:ilvl w:val="0"/>
                <w:numId w:val="61"/>
              </w:numPr>
              <w:rPr>
                <w:rFonts w:cs="Tahoma"/>
              </w:rPr>
            </w:pPr>
            <w:r w:rsidRPr="0027083E">
              <w:rPr>
                <w:rFonts w:cs="Tahoma"/>
              </w:rPr>
              <w:t>Once Empowered, Always Empowered principle creates regression of transformation and must not be allowed in any of the sector codes</w:t>
            </w:r>
          </w:p>
          <w:p w:rsidR="0027083E" w:rsidRPr="0027083E" w:rsidRDefault="0027083E" w:rsidP="00936EE2">
            <w:pPr>
              <w:pStyle w:val="ListParagraph"/>
              <w:numPr>
                <w:ilvl w:val="0"/>
                <w:numId w:val="61"/>
              </w:numPr>
              <w:rPr>
                <w:rFonts w:cs="Tahoma"/>
              </w:rPr>
            </w:pPr>
            <w:r w:rsidRPr="0027083E">
              <w:rPr>
                <w:rFonts w:cs="Tahoma"/>
              </w:rPr>
              <w:t>Sector Codes that are not finalised create confusion in the markets</w:t>
            </w:r>
          </w:p>
          <w:p w:rsidR="0027083E" w:rsidRPr="0027083E" w:rsidRDefault="0027083E" w:rsidP="00936EE2">
            <w:pPr>
              <w:pStyle w:val="ListParagraph"/>
              <w:numPr>
                <w:ilvl w:val="0"/>
                <w:numId w:val="61"/>
              </w:numPr>
              <w:rPr>
                <w:rFonts w:cs="Tahoma"/>
              </w:rPr>
            </w:pPr>
            <w:r w:rsidRPr="0027083E">
              <w:rPr>
                <w:rFonts w:cs="Tahoma"/>
              </w:rPr>
              <w:t xml:space="preserve">Access to funding continues to be a challenge for black people creating a fertile ground for fronting </w:t>
            </w:r>
          </w:p>
          <w:p w:rsidR="0027083E" w:rsidRPr="0027083E" w:rsidRDefault="0027083E" w:rsidP="00936EE2">
            <w:pPr>
              <w:pStyle w:val="ListParagraph"/>
              <w:numPr>
                <w:ilvl w:val="0"/>
                <w:numId w:val="61"/>
              </w:numPr>
              <w:rPr>
                <w:rFonts w:cs="Tahoma"/>
              </w:rPr>
            </w:pPr>
            <w:r w:rsidRPr="0027083E">
              <w:rPr>
                <w:rFonts w:cs="Tahoma"/>
              </w:rPr>
              <w:t>Lack of implementation by Government and its entities affects pace of transformation</w:t>
            </w:r>
          </w:p>
          <w:p w:rsidR="0027083E" w:rsidRPr="0027083E" w:rsidRDefault="0027083E" w:rsidP="00936EE2">
            <w:pPr>
              <w:pStyle w:val="ListParagraph"/>
              <w:numPr>
                <w:ilvl w:val="0"/>
                <w:numId w:val="61"/>
              </w:numPr>
              <w:rPr>
                <w:rFonts w:cs="Tahoma"/>
              </w:rPr>
            </w:pPr>
            <w:r w:rsidRPr="0027083E">
              <w:rPr>
                <w:rFonts w:cs="Tahoma"/>
              </w:rPr>
              <w:t>Abuse of B-BBEE Arrangements and Concepts in the implementation</w:t>
            </w:r>
          </w:p>
          <w:p w:rsidR="0027083E" w:rsidRPr="0027083E" w:rsidRDefault="0027083E" w:rsidP="00936EE2">
            <w:pPr>
              <w:pStyle w:val="ListParagraph"/>
              <w:numPr>
                <w:ilvl w:val="0"/>
                <w:numId w:val="61"/>
              </w:numPr>
              <w:rPr>
                <w:rFonts w:cs="Tahoma"/>
              </w:rPr>
            </w:pPr>
            <w:r w:rsidRPr="0027083E">
              <w:rPr>
                <w:rFonts w:cs="Tahoma"/>
              </w:rPr>
              <w:t>Lack of integrity in the verification process and conduct of professionals</w:t>
            </w:r>
          </w:p>
          <w:p w:rsidR="0027083E" w:rsidRPr="0027083E" w:rsidRDefault="0027083E" w:rsidP="00936EE2">
            <w:pPr>
              <w:pStyle w:val="ListParagraph"/>
              <w:numPr>
                <w:ilvl w:val="0"/>
                <w:numId w:val="61"/>
              </w:numPr>
              <w:rPr>
                <w:rFonts w:cs="Tahoma"/>
              </w:rPr>
            </w:pPr>
            <w:r w:rsidRPr="0027083E">
              <w:rPr>
                <w:rFonts w:cs="Tahoma"/>
              </w:rPr>
              <w:t>Recognition process mired with flaws resulting in invalid certificates</w:t>
            </w:r>
          </w:p>
          <w:p w:rsidR="0027083E" w:rsidRPr="0027083E" w:rsidRDefault="0027083E" w:rsidP="00936EE2">
            <w:pPr>
              <w:pStyle w:val="ListParagraph"/>
              <w:numPr>
                <w:ilvl w:val="0"/>
                <w:numId w:val="61"/>
              </w:numPr>
              <w:rPr>
                <w:rFonts w:cs="Tahoma"/>
              </w:rPr>
            </w:pPr>
            <w:r w:rsidRPr="0027083E">
              <w:rPr>
                <w:rFonts w:cs="Tahoma"/>
              </w:rPr>
              <w:t>Poor reporting within the sector will affect the ability to monitor, and compromises achievement of targets</w:t>
            </w:r>
          </w:p>
          <w:p w:rsidR="0027083E" w:rsidRPr="0027083E" w:rsidRDefault="0027083E" w:rsidP="00936EE2">
            <w:pPr>
              <w:pStyle w:val="ListParagraph"/>
              <w:numPr>
                <w:ilvl w:val="0"/>
                <w:numId w:val="61"/>
              </w:numPr>
              <w:rPr>
                <w:rFonts w:cs="Tahoma"/>
              </w:rPr>
            </w:pPr>
            <w:r w:rsidRPr="0027083E">
              <w:rPr>
                <w:rFonts w:cs="Tahoma"/>
              </w:rPr>
              <w:t>Market characterized by complex monopoly with high barriers to entry and capital costs</w:t>
            </w:r>
          </w:p>
          <w:p w:rsidR="0027083E" w:rsidRPr="0027083E" w:rsidRDefault="0027083E" w:rsidP="00936EE2">
            <w:pPr>
              <w:pStyle w:val="ListParagraph"/>
              <w:numPr>
                <w:ilvl w:val="0"/>
                <w:numId w:val="61"/>
              </w:numPr>
              <w:rPr>
                <w:rFonts w:cs="Tahoma"/>
              </w:rPr>
            </w:pPr>
            <w:r w:rsidRPr="0027083E">
              <w:rPr>
                <w:rFonts w:cs="Tahoma"/>
              </w:rPr>
              <w:t>Development finance not increasing in line with the need to grow the economy more credit for consumption</w:t>
            </w:r>
          </w:p>
          <w:p w:rsidR="0027083E" w:rsidRPr="0027083E" w:rsidRDefault="0027083E" w:rsidP="00936EE2">
            <w:pPr>
              <w:pStyle w:val="ListParagraph"/>
              <w:numPr>
                <w:ilvl w:val="0"/>
                <w:numId w:val="61"/>
              </w:numPr>
              <w:rPr>
                <w:rFonts w:cs="Tahoma"/>
              </w:rPr>
            </w:pPr>
            <w:r w:rsidRPr="0027083E">
              <w:rPr>
                <w:rFonts w:cs="Tahoma"/>
              </w:rPr>
              <w:t>Public entities and organs of state not integrating the B-BBEE requirements as required in 10 of the B-BBEE Act</w:t>
            </w:r>
          </w:p>
          <w:p w:rsidR="0027083E" w:rsidRPr="0027083E" w:rsidRDefault="0027083E" w:rsidP="00936EE2">
            <w:pPr>
              <w:pStyle w:val="ListParagraph"/>
              <w:numPr>
                <w:ilvl w:val="0"/>
                <w:numId w:val="61"/>
              </w:numPr>
              <w:rPr>
                <w:rFonts w:cs="Tahoma"/>
              </w:rPr>
            </w:pPr>
            <w:r w:rsidRPr="0027083E">
              <w:rPr>
                <w:rFonts w:cs="Tahoma"/>
              </w:rPr>
              <w:t>Financial Sector Code is too lenient given that it is a sector code, in its current form it does not advance radical economic transformation, but rather regresses it.</w:t>
            </w:r>
          </w:p>
          <w:p w:rsidR="0027083E" w:rsidRPr="0027083E" w:rsidRDefault="0027083E" w:rsidP="00B35163">
            <w:pPr>
              <w:rPr>
                <w:rFonts w:cs="Tahoma"/>
              </w:rPr>
            </w:pPr>
          </w:p>
          <w:p w:rsidR="0027083E" w:rsidRPr="0027083E" w:rsidRDefault="0027083E" w:rsidP="00B35163">
            <w:pPr>
              <w:rPr>
                <w:rFonts w:cs="Tahoma"/>
                <w:b/>
                <w:u w:val="single"/>
              </w:rPr>
            </w:pPr>
            <w:r w:rsidRPr="0027083E">
              <w:rPr>
                <w:rFonts w:cs="Tahoma"/>
                <w:b/>
                <w:u w:val="single"/>
              </w:rPr>
              <w:t>Recommendations</w:t>
            </w:r>
            <w:r w:rsidR="00142063">
              <w:rPr>
                <w:rFonts w:cs="Tahoma"/>
                <w:b/>
                <w:u w:val="single"/>
              </w:rPr>
              <w:t xml:space="preserve"> contained in submission</w:t>
            </w:r>
            <w:r w:rsidRPr="0027083E">
              <w:rPr>
                <w:rFonts w:cs="Tahoma"/>
                <w:b/>
                <w:u w:val="single"/>
              </w:rPr>
              <w:t>:</w:t>
            </w:r>
          </w:p>
          <w:p w:rsidR="0027083E" w:rsidRPr="0027083E" w:rsidRDefault="0027083E" w:rsidP="00B35163">
            <w:pPr>
              <w:rPr>
                <w:rFonts w:cs="Tahoma"/>
              </w:rPr>
            </w:pPr>
            <w:r w:rsidRPr="0027083E">
              <w:rPr>
                <w:rFonts w:cs="Tahoma"/>
              </w:rPr>
              <w:t xml:space="preserve">Concerns raised must be addressed before the sector code can be approved for gazetting, failing which </w:t>
            </w:r>
            <w:r w:rsidRPr="0027083E">
              <w:rPr>
                <w:rFonts w:cs="Tahoma"/>
              </w:rPr>
              <w:lastRenderedPageBreak/>
              <w:t xml:space="preserve">generic codes must apply </w:t>
            </w:r>
          </w:p>
          <w:p w:rsidR="0027083E" w:rsidRPr="0027083E" w:rsidRDefault="0027083E" w:rsidP="00B35163">
            <w:pPr>
              <w:rPr>
                <w:rFonts w:cs="Tahoma"/>
              </w:rPr>
            </w:pPr>
          </w:p>
        </w:tc>
      </w:tr>
      <w:tr w:rsidR="0027083E" w:rsidRPr="0027083E" w:rsidTr="0027083E">
        <w:tc>
          <w:tcPr>
            <w:tcW w:w="1219" w:type="pct"/>
          </w:tcPr>
          <w:p w:rsidR="0027083E" w:rsidRPr="0027083E" w:rsidRDefault="0027083E" w:rsidP="00B35163">
            <w:pPr>
              <w:rPr>
                <w:rFonts w:cs="Tahoma"/>
                <w:b/>
              </w:rPr>
            </w:pPr>
            <w:r w:rsidRPr="0027083E">
              <w:rPr>
                <w:rFonts w:cs="Tahoma"/>
                <w:b/>
              </w:rPr>
              <w:lastRenderedPageBreak/>
              <w:t>South African Reserve Bank</w:t>
            </w:r>
          </w:p>
        </w:tc>
        <w:tc>
          <w:tcPr>
            <w:tcW w:w="3781" w:type="pct"/>
          </w:tcPr>
          <w:p w:rsidR="0027083E" w:rsidRPr="0027083E" w:rsidRDefault="0027083E" w:rsidP="00B35163">
            <w:pPr>
              <w:rPr>
                <w:rFonts w:cs="Tahoma"/>
                <w:b/>
                <w:u w:val="single"/>
              </w:rPr>
            </w:pPr>
            <w:r w:rsidRPr="0027083E">
              <w:rPr>
                <w:rFonts w:cs="Tahoma"/>
                <w:b/>
                <w:u w:val="single"/>
              </w:rPr>
              <w:t>Intro:</w:t>
            </w:r>
          </w:p>
          <w:p w:rsidR="0027083E" w:rsidRPr="0027083E" w:rsidRDefault="0027083E" w:rsidP="00180BDF">
            <w:pPr>
              <w:pStyle w:val="Default"/>
              <w:rPr>
                <w:rFonts w:asciiTheme="minorHAnsi" w:hAnsiTheme="minorHAnsi"/>
                <w:sz w:val="22"/>
                <w:szCs w:val="22"/>
              </w:rPr>
            </w:pPr>
            <w:r w:rsidRPr="0027083E">
              <w:rPr>
                <w:rFonts w:asciiTheme="minorHAnsi" w:hAnsiTheme="minorHAnsi"/>
                <w:sz w:val="22"/>
                <w:szCs w:val="22"/>
              </w:rPr>
              <w:t>The SARB’s role:</w:t>
            </w:r>
          </w:p>
          <w:p w:rsidR="0027083E" w:rsidRPr="0027083E" w:rsidRDefault="0027083E" w:rsidP="00936EE2">
            <w:pPr>
              <w:pStyle w:val="Default"/>
              <w:numPr>
                <w:ilvl w:val="0"/>
                <w:numId w:val="93"/>
              </w:numPr>
              <w:rPr>
                <w:rFonts w:asciiTheme="minorHAnsi" w:hAnsiTheme="minorHAnsi"/>
                <w:sz w:val="22"/>
                <w:szCs w:val="22"/>
              </w:rPr>
            </w:pPr>
            <w:r w:rsidRPr="0027083E">
              <w:rPr>
                <w:rFonts w:asciiTheme="minorHAnsi" w:hAnsiTheme="minorHAnsi"/>
                <w:sz w:val="22"/>
                <w:szCs w:val="22"/>
              </w:rPr>
              <w:t xml:space="preserve">Protect the </w:t>
            </w:r>
            <w:r w:rsidRPr="0027083E">
              <w:rPr>
                <w:rFonts w:asciiTheme="minorHAnsi" w:hAnsiTheme="minorHAnsi"/>
                <w:bCs/>
                <w:sz w:val="22"/>
                <w:szCs w:val="22"/>
              </w:rPr>
              <w:t xml:space="preserve">value of the currency </w:t>
            </w:r>
            <w:r w:rsidRPr="0027083E">
              <w:rPr>
                <w:rFonts w:asciiTheme="minorHAnsi" w:hAnsiTheme="minorHAnsi"/>
                <w:sz w:val="22"/>
                <w:szCs w:val="22"/>
              </w:rPr>
              <w:t xml:space="preserve">in the interest of balanced and sustainable economic growth </w:t>
            </w:r>
          </w:p>
          <w:p w:rsidR="0027083E" w:rsidRPr="0027083E" w:rsidRDefault="0027083E" w:rsidP="00936EE2">
            <w:pPr>
              <w:pStyle w:val="Default"/>
              <w:numPr>
                <w:ilvl w:val="0"/>
                <w:numId w:val="93"/>
              </w:numPr>
              <w:rPr>
                <w:rFonts w:asciiTheme="minorHAnsi" w:hAnsiTheme="minorHAnsi"/>
                <w:sz w:val="22"/>
                <w:szCs w:val="22"/>
              </w:rPr>
            </w:pPr>
            <w:r w:rsidRPr="0027083E">
              <w:rPr>
                <w:rFonts w:asciiTheme="minorHAnsi" w:hAnsiTheme="minorHAnsi"/>
                <w:bCs/>
                <w:sz w:val="22"/>
                <w:szCs w:val="22"/>
              </w:rPr>
              <w:t xml:space="preserve">Regulate and supervise banks </w:t>
            </w:r>
            <w:r w:rsidRPr="0027083E">
              <w:rPr>
                <w:rFonts w:asciiTheme="minorHAnsi" w:hAnsiTheme="minorHAnsi"/>
                <w:sz w:val="22"/>
                <w:szCs w:val="22"/>
              </w:rPr>
              <w:t>in SA</w:t>
            </w:r>
          </w:p>
          <w:p w:rsidR="0027083E" w:rsidRPr="0027083E" w:rsidRDefault="0027083E" w:rsidP="00936EE2">
            <w:pPr>
              <w:pStyle w:val="Default"/>
              <w:numPr>
                <w:ilvl w:val="0"/>
                <w:numId w:val="93"/>
              </w:numPr>
              <w:rPr>
                <w:rFonts w:asciiTheme="minorHAnsi" w:hAnsiTheme="minorHAnsi"/>
                <w:sz w:val="22"/>
                <w:szCs w:val="22"/>
              </w:rPr>
            </w:pPr>
            <w:r w:rsidRPr="0027083E">
              <w:rPr>
                <w:rFonts w:asciiTheme="minorHAnsi" w:hAnsiTheme="minorHAnsi"/>
                <w:sz w:val="22"/>
                <w:szCs w:val="22"/>
              </w:rPr>
              <w:t xml:space="preserve">Responsible for management, administration, operation, regulation and supervision of the </w:t>
            </w:r>
            <w:r w:rsidRPr="0027083E">
              <w:rPr>
                <w:rFonts w:asciiTheme="minorHAnsi" w:hAnsiTheme="minorHAnsi"/>
                <w:bCs/>
                <w:sz w:val="22"/>
                <w:szCs w:val="22"/>
              </w:rPr>
              <w:t>payment, clearing and settlement systems</w:t>
            </w:r>
          </w:p>
          <w:p w:rsidR="0027083E" w:rsidRPr="0027083E" w:rsidRDefault="0027083E" w:rsidP="00936EE2">
            <w:pPr>
              <w:pStyle w:val="Default"/>
              <w:numPr>
                <w:ilvl w:val="0"/>
                <w:numId w:val="93"/>
              </w:numPr>
              <w:rPr>
                <w:rFonts w:asciiTheme="minorHAnsi" w:hAnsiTheme="minorHAnsi"/>
                <w:sz w:val="22"/>
                <w:szCs w:val="22"/>
              </w:rPr>
            </w:pPr>
            <w:r w:rsidRPr="0027083E">
              <w:rPr>
                <w:rFonts w:asciiTheme="minorHAnsi" w:hAnsiTheme="minorHAnsi"/>
                <w:sz w:val="22"/>
                <w:szCs w:val="22"/>
              </w:rPr>
              <w:t xml:space="preserve">Contribute towards the achievement and maintenance of </w:t>
            </w:r>
            <w:r w:rsidRPr="0027083E">
              <w:rPr>
                <w:rFonts w:asciiTheme="minorHAnsi" w:hAnsiTheme="minorHAnsi"/>
                <w:bCs/>
                <w:sz w:val="22"/>
                <w:szCs w:val="22"/>
              </w:rPr>
              <w:t>financial stability</w:t>
            </w:r>
          </w:p>
          <w:p w:rsidR="0027083E" w:rsidRPr="0027083E" w:rsidRDefault="0027083E" w:rsidP="0073330E">
            <w:pPr>
              <w:pStyle w:val="Default"/>
              <w:rPr>
                <w:rFonts w:asciiTheme="minorHAnsi" w:hAnsiTheme="minorHAnsi"/>
                <w:b/>
                <w:bCs/>
                <w:sz w:val="22"/>
                <w:szCs w:val="22"/>
              </w:rPr>
            </w:pPr>
          </w:p>
          <w:p w:rsidR="0027083E" w:rsidRPr="0027083E" w:rsidRDefault="0027083E" w:rsidP="0073330E">
            <w:pPr>
              <w:pStyle w:val="Default"/>
              <w:rPr>
                <w:rFonts w:asciiTheme="minorHAnsi" w:hAnsiTheme="minorHAnsi"/>
                <w:sz w:val="22"/>
                <w:szCs w:val="22"/>
                <w:u w:val="single"/>
              </w:rPr>
            </w:pPr>
            <w:r w:rsidRPr="0027083E">
              <w:rPr>
                <w:rFonts w:asciiTheme="minorHAnsi" w:hAnsiTheme="minorHAnsi"/>
                <w:b/>
                <w:bCs/>
                <w:sz w:val="22"/>
                <w:szCs w:val="22"/>
                <w:u w:val="single"/>
              </w:rPr>
              <w:t>Overview of the sector:</w:t>
            </w:r>
          </w:p>
          <w:p w:rsidR="0027083E" w:rsidRPr="0027083E" w:rsidRDefault="0027083E" w:rsidP="00936EE2">
            <w:pPr>
              <w:pStyle w:val="Default"/>
              <w:numPr>
                <w:ilvl w:val="0"/>
                <w:numId w:val="94"/>
              </w:numPr>
              <w:rPr>
                <w:rFonts w:asciiTheme="minorHAnsi" w:hAnsiTheme="minorHAnsi"/>
                <w:sz w:val="22"/>
                <w:szCs w:val="22"/>
              </w:rPr>
            </w:pPr>
            <w:r w:rsidRPr="0027083E">
              <w:rPr>
                <w:rFonts w:asciiTheme="minorHAnsi" w:hAnsiTheme="minorHAnsi"/>
                <w:sz w:val="22"/>
                <w:szCs w:val="22"/>
              </w:rPr>
              <w:t xml:space="preserve">2000s – Global trend towards consolidation of banking institutions </w:t>
            </w:r>
          </w:p>
          <w:p w:rsidR="0027083E" w:rsidRPr="0027083E" w:rsidRDefault="0027083E" w:rsidP="00936EE2">
            <w:pPr>
              <w:pStyle w:val="Default"/>
              <w:numPr>
                <w:ilvl w:val="0"/>
                <w:numId w:val="94"/>
              </w:numPr>
              <w:rPr>
                <w:rFonts w:asciiTheme="minorHAnsi" w:hAnsiTheme="minorHAnsi"/>
                <w:sz w:val="22"/>
                <w:szCs w:val="22"/>
              </w:rPr>
            </w:pPr>
            <w:r w:rsidRPr="0027083E">
              <w:rPr>
                <w:rFonts w:asciiTheme="minorHAnsi" w:hAnsiTheme="minorHAnsi"/>
                <w:sz w:val="22"/>
                <w:szCs w:val="22"/>
              </w:rPr>
              <w:t>2002 – Mini banking crisis in SA which led to consolidation of the banking sector</w:t>
            </w:r>
          </w:p>
          <w:p w:rsidR="0027083E" w:rsidRPr="0027083E" w:rsidRDefault="0027083E" w:rsidP="00936EE2">
            <w:pPr>
              <w:pStyle w:val="Default"/>
              <w:numPr>
                <w:ilvl w:val="0"/>
                <w:numId w:val="94"/>
              </w:numPr>
              <w:rPr>
                <w:rFonts w:asciiTheme="minorHAnsi" w:hAnsiTheme="minorHAnsi"/>
                <w:sz w:val="22"/>
                <w:szCs w:val="22"/>
              </w:rPr>
            </w:pPr>
            <w:r w:rsidRPr="0027083E">
              <w:rPr>
                <w:rFonts w:asciiTheme="minorHAnsi" w:hAnsiTheme="minorHAnsi"/>
                <w:sz w:val="22"/>
                <w:szCs w:val="22"/>
              </w:rPr>
              <w:t>2002-2003: approx. 22 small and medium-sized banks exited banking system</w:t>
            </w:r>
          </w:p>
          <w:p w:rsidR="0027083E" w:rsidRPr="0027083E" w:rsidRDefault="0027083E" w:rsidP="00936EE2">
            <w:pPr>
              <w:pStyle w:val="Default"/>
              <w:numPr>
                <w:ilvl w:val="0"/>
                <w:numId w:val="94"/>
              </w:numPr>
              <w:rPr>
                <w:rFonts w:asciiTheme="minorHAnsi" w:hAnsiTheme="minorHAnsi"/>
                <w:sz w:val="22"/>
                <w:szCs w:val="22"/>
              </w:rPr>
            </w:pPr>
            <w:r w:rsidRPr="0027083E">
              <w:rPr>
                <w:rFonts w:asciiTheme="minorHAnsi" w:hAnsiTheme="minorHAnsi"/>
                <w:sz w:val="22"/>
                <w:szCs w:val="22"/>
              </w:rPr>
              <w:t>2003: Market share of “big 4 banks” increased to 82%</w:t>
            </w:r>
          </w:p>
          <w:p w:rsidR="0027083E" w:rsidRPr="0027083E" w:rsidRDefault="0027083E" w:rsidP="00936EE2">
            <w:pPr>
              <w:pStyle w:val="Default"/>
              <w:numPr>
                <w:ilvl w:val="0"/>
                <w:numId w:val="94"/>
              </w:numPr>
              <w:rPr>
                <w:rFonts w:asciiTheme="minorHAnsi" w:hAnsiTheme="minorHAnsi"/>
                <w:sz w:val="22"/>
                <w:szCs w:val="22"/>
              </w:rPr>
            </w:pPr>
            <w:r w:rsidRPr="0027083E">
              <w:rPr>
                <w:rFonts w:asciiTheme="minorHAnsi" w:hAnsiTheme="minorHAnsi"/>
                <w:sz w:val="22"/>
                <w:szCs w:val="22"/>
              </w:rPr>
              <w:t>Dominance of 4 banks, but new entrants gaining market share</w:t>
            </w:r>
          </w:p>
          <w:p w:rsidR="0027083E" w:rsidRPr="0027083E" w:rsidRDefault="0027083E" w:rsidP="00512D13">
            <w:pPr>
              <w:pStyle w:val="Default"/>
              <w:rPr>
                <w:rFonts w:asciiTheme="minorHAnsi" w:hAnsiTheme="minorHAnsi"/>
                <w:sz w:val="22"/>
                <w:szCs w:val="22"/>
              </w:rPr>
            </w:pPr>
          </w:p>
          <w:p w:rsidR="0027083E" w:rsidRPr="0027083E" w:rsidRDefault="0027083E" w:rsidP="00512D13">
            <w:pPr>
              <w:pStyle w:val="Default"/>
              <w:rPr>
                <w:rFonts w:asciiTheme="minorHAnsi" w:hAnsiTheme="minorHAnsi"/>
                <w:b/>
                <w:sz w:val="22"/>
                <w:szCs w:val="22"/>
                <w:u w:val="single"/>
              </w:rPr>
            </w:pPr>
            <w:r w:rsidRPr="0027083E">
              <w:rPr>
                <w:rFonts w:asciiTheme="minorHAnsi" w:hAnsiTheme="minorHAnsi"/>
                <w:b/>
                <w:sz w:val="22"/>
                <w:szCs w:val="22"/>
                <w:u w:val="single"/>
              </w:rPr>
              <w:t>Key licensing conditions:</w:t>
            </w:r>
          </w:p>
          <w:p w:rsidR="0027083E" w:rsidRPr="0027083E" w:rsidRDefault="0027083E" w:rsidP="00936EE2">
            <w:pPr>
              <w:pStyle w:val="Default"/>
              <w:numPr>
                <w:ilvl w:val="0"/>
                <w:numId w:val="95"/>
              </w:numPr>
              <w:rPr>
                <w:rFonts w:asciiTheme="minorHAnsi" w:hAnsiTheme="minorHAnsi"/>
                <w:sz w:val="22"/>
                <w:szCs w:val="22"/>
              </w:rPr>
            </w:pPr>
            <w:r w:rsidRPr="0027083E">
              <w:rPr>
                <w:rFonts w:asciiTheme="minorHAnsi" w:hAnsiTheme="minorHAnsi"/>
                <w:sz w:val="22"/>
                <w:szCs w:val="22"/>
              </w:rPr>
              <w:t>Capital requirement– greater of (unencumbered) R250m or 8% of RWA.</w:t>
            </w:r>
          </w:p>
          <w:p w:rsidR="0027083E" w:rsidRPr="0027083E" w:rsidRDefault="0027083E" w:rsidP="00936EE2">
            <w:pPr>
              <w:pStyle w:val="Default"/>
              <w:numPr>
                <w:ilvl w:val="0"/>
                <w:numId w:val="95"/>
              </w:numPr>
              <w:rPr>
                <w:rFonts w:asciiTheme="minorHAnsi" w:hAnsiTheme="minorHAnsi"/>
                <w:sz w:val="22"/>
                <w:szCs w:val="22"/>
              </w:rPr>
            </w:pPr>
            <w:r w:rsidRPr="0027083E">
              <w:rPr>
                <w:rFonts w:asciiTheme="minorHAnsi" w:hAnsiTheme="minorHAnsi"/>
                <w:sz w:val="22"/>
                <w:szCs w:val="22"/>
              </w:rPr>
              <w:t>Fit &amp; proper requirements on directors and executive officers</w:t>
            </w:r>
          </w:p>
          <w:p w:rsidR="0027083E" w:rsidRPr="0027083E" w:rsidRDefault="0027083E" w:rsidP="00936EE2">
            <w:pPr>
              <w:pStyle w:val="Default"/>
              <w:numPr>
                <w:ilvl w:val="0"/>
                <w:numId w:val="95"/>
              </w:numPr>
              <w:rPr>
                <w:rFonts w:asciiTheme="minorHAnsi" w:hAnsiTheme="minorHAnsi"/>
                <w:sz w:val="22"/>
                <w:szCs w:val="22"/>
              </w:rPr>
            </w:pPr>
            <w:r w:rsidRPr="0027083E">
              <w:rPr>
                <w:rFonts w:asciiTheme="minorHAnsi" w:hAnsiTheme="minorHAnsi"/>
                <w:sz w:val="22"/>
                <w:szCs w:val="22"/>
              </w:rPr>
              <w:t>Prudent &amp; sustainable business model</w:t>
            </w:r>
          </w:p>
          <w:p w:rsidR="0027083E" w:rsidRPr="0027083E" w:rsidRDefault="0027083E" w:rsidP="00936EE2">
            <w:pPr>
              <w:pStyle w:val="Default"/>
              <w:numPr>
                <w:ilvl w:val="0"/>
                <w:numId w:val="95"/>
              </w:numPr>
              <w:rPr>
                <w:rFonts w:asciiTheme="minorHAnsi" w:hAnsiTheme="minorHAnsi"/>
                <w:sz w:val="22"/>
                <w:szCs w:val="22"/>
              </w:rPr>
            </w:pPr>
            <w:r w:rsidRPr="0027083E">
              <w:rPr>
                <w:rFonts w:asciiTheme="minorHAnsi" w:hAnsiTheme="minorHAnsi"/>
                <w:sz w:val="22"/>
                <w:szCs w:val="22"/>
              </w:rPr>
              <w:t>Compliance with international regulatory regimes – e.g. Basel III, AML/CFT (FATF), FSB resolution framework, etc.</w:t>
            </w:r>
          </w:p>
          <w:p w:rsidR="0027083E" w:rsidRPr="0027083E" w:rsidRDefault="0027083E" w:rsidP="00936EE2">
            <w:pPr>
              <w:pStyle w:val="Default"/>
              <w:numPr>
                <w:ilvl w:val="0"/>
                <w:numId w:val="95"/>
              </w:numPr>
              <w:rPr>
                <w:rFonts w:asciiTheme="minorHAnsi" w:hAnsiTheme="minorHAnsi"/>
                <w:sz w:val="22"/>
                <w:szCs w:val="22"/>
              </w:rPr>
            </w:pPr>
            <w:r w:rsidRPr="0027083E">
              <w:rPr>
                <w:rFonts w:asciiTheme="minorHAnsi" w:hAnsiTheme="minorHAnsi"/>
                <w:sz w:val="22"/>
                <w:szCs w:val="22"/>
              </w:rPr>
              <w:t>Public interest- considerations include transformation</w:t>
            </w:r>
          </w:p>
          <w:p w:rsidR="0027083E" w:rsidRPr="0027083E" w:rsidRDefault="0027083E" w:rsidP="00FE5AEE">
            <w:pPr>
              <w:pStyle w:val="Default"/>
              <w:rPr>
                <w:rFonts w:asciiTheme="minorHAnsi" w:hAnsiTheme="minorHAnsi"/>
                <w:sz w:val="22"/>
                <w:szCs w:val="22"/>
              </w:rPr>
            </w:pPr>
          </w:p>
          <w:p w:rsidR="0027083E" w:rsidRPr="0027083E" w:rsidRDefault="0027083E" w:rsidP="00FE5AEE">
            <w:pPr>
              <w:pStyle w:val="Default"/>
              <w:rPr>
                <w:rFonts w:asciiTheme="minorHAnsi" w:hAnsiTheme="minorHAnsi"/>
                <w:b/>
                <w:sz w:val="22"/>
                <w:szCs w:val="22"/>
                <w:u w:val="single"/>
              </w:rPr>
            </w:pPr>
            <w:r w:rsidRPr="0027083E">
              <w:rPr>
                <w:rFonts w:asciiTheme="minorHAnsi" w:hAnsiTheme="minorHAnsi"/>
                <w:b/>
                <w:sz w:val="22"/>
                <w:szCs w:val="22"/>
                <w:u w:val="single"/>
              </w:rPr>
              <w:t>Policy considerations:</w:t>
            </w:r>
          </w:p>
          <w:p w:rsidR="0027083E" w:rsidRPr="0027083E" w:rsidRDefault="0027083E" w:rsidP="00936EE2">
            <w:pPr>
              <w:pStyle w:val="Default"/>
              <w:numPr>
                <w:ilvl w:val="0"/>
                <w:numId w:val="96"/>
              </w:numPr>
              <w:spacing w:after="170"/>
              <w:rPr>
                <w:rFonts w:asciiTheme="minorHAnsi" w:hAnsiTheme="minorHAnsi"/>
                <w:sz w:val="22"/>
                <w:szCs w:val="22"/>
              </w:rPr>
            </w:pPr>
            <w:r w:rsidRPr="0027083E">
              <w:rPr>
                <w:rFonts w:asciiTheme="minorHAnsi" w:hAnsiTheme="minorHAnsi"/>
                <w:sz w:val="22"/>
                <w:szCs w:val="22"/>
              </w:rPr>
              <w:t>Support the licensing of new entrants to improve competition outcomes – providing similar or superior products at lower costs</w:t>
            </w:r>
          </w:p>
          <w:p w:rsidR="0027083E" w:rsidRPr="0027083E" w:rsidRDefault="0027083E" w:rsidP="00936EE2">
            <w:pPr>
              <w:pStyle w:val="Default"/>
              <w:numPr>
                <w:ilvl w:val="0"/>
                <w:numId w:val="96"/>
              </w:numPr>
              <w:rPr>
                <w:rFonts w:asciiTheme="minorHAnsi" w:hAnsiTheme="minorHAnsi"/>
                <w:sz w:val="22"/>
                <w:szCs w:val="22"/>
              </w:rPr>
            </w:pPr>
            <w:r w:rsidRPr="0027083E">
              <w:rPr>
                <w:rFonts w:asciiTheme="minorHAnsi" w:hAnsiTheme="minorHAnsi"/>
                <w:sz w:val="22"/>
                <w:szCs w:val="22"/>
              </w:rPr>
              <w:t>Multiple objective - Financial inclusion and access, competition, financial stability and transformation</w:t>
            </w:r>
          </w:p>
          <w:p w:rsidR="0027083E" w:rsidRPr="0027083E" w:rsidRDefault="0027083E" w:rsidP="00936EE2">
            <w:pPr>
              <w:pStyle w:val="Default"/>
              <w:numPr>
                <w:ilvl w:val="0"/>
                <w:numId w:val="96"/>
              </w:numPr>
              <w:spacing w:after="170"/>
              <w:rPr>
                <w:rFonts w:asciiTheme="minorHAnsi" w:hAnsiTheme="minorHAnsi" w:cs="Tahoma"/>
                <w:b/>
                <w:sz w:val="22"/>
                <w:szCs w:val="22"/>
                <w:u w:val="single"/>
              </w:rPr>
            </w:pPr>
            <w:r w:rsidRPr="0027083E">
              <w:rPr>
                <w:rFonts w:asciiTheme="minorHAnsi" w:hAnsiTheme="minorHAnsi"/>
                <w:sz w:val="22"/>
                <w:szCs w:val="22"/>
              </w:rPr>
              <w:t>Opportunities – second tier banks, mutual banks, cooperative banks, payments system developments</w:t>
            </w:r>
          </w:p>
        </w:tc>
      </w:tr>
      <w:tr w:rsidR="0027083E" w:rsidRPr="0027083E" w:rsidTr="0027083E">
        <w:tc>
          <w:tcPr>
            <w:tcW w:w="1219" w:type="pct"/>
          </w:tcPr>
          <w:p w:rsidR="0027083E" w:rsidRPr="0027083E" w:rsidRDefault="0027083E" w:rsidP="00B35163">
            <w:pPr>
              <w:rPr>
                <w:rFonts w:cs="Tahoma"/>
                <w:b/>
              </w:rPr>
            </w:pPr>
            <w:r w:rsidRPr="0027083E">
              <w:rPr>
                <w:rFonts w:cs="Tahoma"/>
                <w:b/>
              </w:rPr>
              <w:lastRenderedPageBreak/>
              <w:t>National Credit Regulator</w:t>
            </w:r>
          </w:p>
        </w:tc>
        <w:tc>
          <w:tcPr>
            <w:tcW w:w="3781" w:type="pct"/>
          </w:tcPr>
          <w:p w:rsidR="0027083E" w:rsidRPr="0027083E" w:rsidRDefault="0027083E" w:rsidP="00B35163">
            <w:pPr>
              <w:rPr>
                <w:rFonts w:cs="Tahoma"/>
                <w:b/>
                <w:u w:val="single"/>
              </w:rPr>
            </w:pPr>
            <w:r w:rsidRPr="0027083E">
              <w:rPr>
                <w:rFonts w:cs="Tahoma"/>
                <w:b/>
                <w:u w:val="single"/>
              </w:rPr>
              <w:t>Intro:</w:t>
            </w:r>
          </w:p>
          <w:p w:rsidR="0027083E" w:rsidRPr="0027083E" w:rsidRDefault="0027083E" w:rsidP="00B35163">
            <w:pPr>
              <w:rPr>
                <w:rFonts w:cs="Tahoma"/>
              </w:rPr>
            </w:pPr>
            <w:r w:rsidRPr="0027083E">
              <w:rPr>
                <w:rFonts w:cs="Tahoma"/>
              </w:rPr>
              <w:t>The purpose of the NCA is to promote the social and economic welfare of South Africans, promote a fair and accessible credit market and industry, and to protect consumers, by:</w:t>
            </w:r>
          </w:p>
          <w:p w:rsidR="0027083E" w:rsidRPr="0027083E" w:rsidRDefault="0027083E" w:rsidP="00936EE2">
            <w:pPr>
              <w:pStyle w:val="ListParagraph"/>
              <w:numPr>
                <w:ilvl w:val="0"/>
                <w:numId w:val="59"/>
              </w:numPr>
              <w:rPr>
                <w:rFonts w:cs="Tahoma"/>
              </w:rPr>
            </w:pPr>
            <w:r w:rsidRPr="0027083E">
              <w:rPr>
                <w:rFonts w:cs="Tahoma"/>
              </w:rPr>
              <w:t>Promoting the development of a credit market that is accessible to all South Africans, and in particular to those who have historically been unable to access credit, under sustainable market conditions.</w:t>
            </w:r>
          </w:p>
          <w:p w:rsidR="0027083E" w:rsidRPr="0027083E" w:rsidRDefault="0027083E" w:rsidP="00B35163">
            <w:pPr>
              <w:rPr>
                <w:rFonts w:cs="Tahoma"/>
              </w:rPr>
            </w:pPr>
          </w:p>
          <w:p w:rsidR="00142063" w:rsidRPr="0027083E" w:rsidRDefault="00142063" w:rsidP="00142063">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27083E" w:rsidRPr="0027083E" w:rsidRDefault="0027083E" w:rsidP="00936EE2">
            <w:pPr>
              <w:pStyle w:val="ListParagraph"/>
              <w:numPr>
                <w:ilvl w:val="0"/>
                <w:numId w:val="59"/>
              </w:numPr>
              <w:rPr>
                <w:rFonts w:cs="Tahoma"/>
              </w:rPr>
            </w:pPr>
            <w:r w:rsidRPr="0027083E">
              <w:rPr>
                <w:rFonts w:cs="Tahoma"/>
              </w:rPr>
              <w:t>Credit Providers should introduce a new range of products for asset building targeting new customer segments previously excluded e.g. low-income families; micro businesses operating in villages such as: Home loan product for rural areas</w:t>
            </w:r>
          </w:p>
          <w:p w:rsidR="0027083E" w:rsidRPr="0027083E" w:rsidRDefault="0027083E" w:rsidP="00936EE2">
            <w:pPr>
              <w:pStyle w:val="ListParagraph"/>
              <w:numPr>
                <w:ilvl w:val="0"/>
                <w:numId w:val="59"/>
              </w:numPr>
              <w:rPr>
                <w:rFonts w:cs="Tahoma"/>
              </w:rPr>
            </w:pPr>
            <w:r w:rsidRPr="0027083E">
              <w:rPr>
                <w:rFonts w:cs="Tahoma"/>
              </w:rPr>
              <w:t>Credit providers, especially banks and retailers to continue to improve the livelihoods of communities they operate in.- E.g. Funding of schools and clinics in villages</w:t>
            </w:r>
          </w:p>
          <w:p w:rsidR="0027083E" w:rsidRPr="0027083E" w:rsidRDefault="0027083E" w:rsidP="00936EE2">
            <w:pPr>
              <w:pStyle w:val="ListParagraph"/>
              <w:numPr>
                <w:ilvl w:val="0"/>
                <w:numId w:val="59"/>
              </w:numPr>
              <w:rPr>
                <w:rFonts w:cs="Tahoma"/>
              </w:rPr>
            </w:pPr>
            <w:r w:rsidRPr="0027083E">
              <w:rPr>
                <w:rFonts w:cs="Tahoma"/>
              </w:rPr>
              <w:t>Credit providers to provide more funding towards consumer education</w:t>
            </w:r>
          </w:p>
          <w:p w:rsidR="0027083E" w:rsidRPr="0027083E" w:rsidRDefault="0027083E" w:rsidP="00936EE2">
            <w:pPr>
              <w:pStyle w:val="ListParagraph"/>
              <w:numPr>
                <w:ilvl w:val="0"/>
                <w:numId w:val="59"/>
              </w:numPr>
              <w:rPr>
                <w:rFonts w:cs="Tahoma"/>
              </w:rPr>
            </w:pPr>
            <w:r w:rsidRPr="0027083E">
              <w:rPr>
                <w:rFonts w:cs="Tahoma"/>
              </w:rPr>
              <w:t>Support for establishment of Co-op banks</w:t>
            </w:r>
          </w:p>
          <w:p w:rsidR="0027083E" w:rsidRPr="0027083E" w:rsidRDefault="0027083E" w:rsidP="00936EE2">
            <w:pPr>
              <w:pStyle w:val="ListParagraph"/>
              <w:numPr>
                <w:ilvl w:val="0"/>
                <w:numId w:val="59"/>
              </w:numPr>
              <w:rPr>
                <w:rFonts w:cs="Tahoma"/>
              </w:rPr>
            </w:pPr>
            <w:r w:rsidRPr="0027083E">
              <w:rPr>
                <w:rFonts w:cs="Tahoma"/>
              </w:rPr>
              <w:t>Support for the Portfolio Committee’s work to investigate measures to address over-indebtedness</w:t>
            </w:r>
          </w:p>
          <w:p w:rsidR="0027083E" w:rsidRPr="0027083E" w:rsidRDefault="0027083E" w:rsidP="00B35163">
            <w:pPr>
              <w:pStyle w:val="ListParagraph"/>
              <w:rPr>
                <w:rFonts w:cs="Tahoma"/>
              </w:rPr>
            </w:pPr>
          </w:p>
        </w:tc>
      </w:tr>
      <w:tr w:rsidR="0027083E" w:rsidRPr="0027083E" w:rsidTr="0027083E">
        <w:tc>
          <w:tcPr>
            <w:tcW w:w="1219" w:type="pct"/>
          </w:tcPr>
          <w:p w:rsidR="0027083E" w:rsidRPr="0027083E" w:rsidRDefault="0027083E" w:rsidP="00B35163">
            <w:pPr>
              <w:rPr>
                <w:rFonts w:cs="Tahoma"/>
                <w:b/>
              </w:rPr>
            </w:pPr>
            <w:r w:rsidRPr="0027083E">
              <w:rPr>
                <w:rFonts w:cs="Tahoma"/>
                <w:b/>
              </w:rPr>
              <w:t>National Empowerment Fund</w:t>
            </w:r>
          </w:p>
        </w:tc>
        <w:tc>
          <w:tcPr>
            <w:tcW w:w="3781" w:type="pct"/>
          </w:tcPr>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Current assessment of transformation:</w:t>
            </w:r>
          </w:p>
          <w:p w:rsidR="0027083E" w:rsidRPr="0027083E" w:rsidRDefault="0027083E" w:rsidP="00936EE2">
            <w:pPr>
              <w:pStyle w:val="ListParagraph"/>
              <w:numPr>
                <w:ilvl w:val="0"/>
                <w:numId w:val="88"/>
              </w:numPr>
              <w:rPr>
                <w:rFonts w:cs="Tahoma"/>
              </w:rPr>
            </w:pPr>
            <w:r w:rsidRPr="0027083E">
              <w:rPr>
                <w:rFonts w:cs="Tahoma"/>
              </w:rPr>
              <w:t>A sample analysis of the top 17 financial services companies by market capitalisation as listed on the JSE shows underperformance against the set 2012 FSC target of 10%. The findings of the analysis indicate that the black ownership achieved is 6.0%</w:t>
            </w:r>
          </w:p>
          <w:p w:rsidR="0027083E" w:rsidRPr="0027083E" w:rsidRDefault="0027083E" w:rsidP="00936EE2">
            <w:pPr>
              <w:pStyle w:val="ListParagraph"/>
              <w:numPr>
                <w:ilvl w:val="0"/>
                <w:numId w:val="88"/>
              </w:numPr>
              <w:rPr>
                <w:rFonts w:cs="Tahoma"/>
              </w:rPr>
            </w:pPr>
            <w:r w:rsidRPr="0027083E">
              <w:rPr>
                <w:rFonts w:cs="Tahoma"/>
              </w:rPr>
              <w:t>Claims by the majority of the financial institutions indicate that they have complied with the empowerment financing element. However, the claims cannot be validated due to poor reporting and the absence of effective monitoring.</w:t>
            </w:r>
          </w:p>
          <w:p w:rsidR="0027083E" w:rsidRPr="0027083E" w:rsidRDefault="0027083E" w:rsidP="00936EE2">
            <w:pPr>
              <w:pStyle w:val="ListParagraph"/>
              <w:numPr>
                <w:ilvl w:val="0"/>
                <w:numId w:val="88"/>
              </w:numPr>
              <w:rPr>
                <w:rFonts w:cs="Tahoma"/>
              </w:rPr>
            </w:pPr>
            <w:r w:rsidRPr="0027083E">
              <w:rPr>
                <w:rFonts w:cs="Tahoma"/>
              </w:rPr>
              <w:t>There are four (4) sub-elements to empowerment financing being (transformational infrastructure; black SME financing; black agricultural financing; and affordable housing) however, financial institutions have enjoyed the liberty of cherry picking their preferred sub-element of empowerment financing to the detriment of others as most financial institutions are more likely to utilize Government-backed securities and financial instruments in fulfillment of empowerment financing.</w:t>
            </w:r>
          </w:p>
          <w:p w:rsidR="0027083E" w:rsidRPr="0027083E" w:rsidRDefault="0027083E" w:rsidP="00936EE2">
            <w:pPr>
              <w:pStyle w:val="ListParagraph"/>
              <w:numPr>
                <w:ilvl w:val="0"/>
                <w:numId w:val="88"/>
              </w:numPr>
              <w:rPr>
                <w:rFonts w:cs="Tahoma"/>
              </w:rPr>
            </w:pPr>
            <w:r w:rsidRPr="0027083E">
              <w:rPr>
                <w:rFonts w:cs="Tahoma"/>
              </w:rPr>
              <w:t xml:space="preserve">The 2012 FSC set a specific target of R47 billion regarding BEE Transaction Financing. However, this amount is also based on the 2002 baseline and doesn’t provide for inflationary increases as </w:t>
            </w:r>
            <w:r w:rsidRPr="0027083E">
              <w:rPr>
                <w:rFonts w:cs="Tahoma"/>
              </w:rPr>
              <w:lastRenderedPageBreak/>
              <w:t>well as population and economic growth. Furthermore, the amount has not been adjusted to cater for the growth in assets held by the respective participants.</w:t>
            </w:r>
          </w:p>
          <w:p w:rsidR="0027083E" w:rsidRPr="0027083E" w:rsidRDefault="0027083E" w:rsidP="00936EE2">
            <w:pPr>
              <w:pStyle w:val="ListParagraph"/>
              <w:numPr>
                <w:ilvl w:val="0"/>
                <w:numId w:val="88"/>
              </w:numPr>
              <w:rPr>
                <w:rFonts w:cs="Tahoma"/>
              </w:rPr>
            </w:pPr>
            <w:r w:rsidRPr="0027083E">
              <w:rPr>
                <w:rFonts w:cs="Tahoma"/>
              </w:rPr>
              <w:t>The FSC code allows for equity enhancements including investments made by institutional investors using public funds (mandated investments), exclusion of foreign operations, modified flow through adjustments, etc. These enhancements lead to the recognition of higher black ownership than what is actual equity held by a measured entity.</w:t>
            </w:r>
          </w:p>
          <w:p w:rsidR="0027083E" w:rsidRPr="0027083E" w:rsidRDefault="0027083E" w:rsidP="00936EE2">
            <w:pPr>
              <w:pStyle w:val="ListParagraph"/>
              <w:numPr>
                <w:ilvl w:val="0"/>
                <w:numId w:val="88"/>
              </w:numPr>
              <w:rPr>
                <w:rFonts w:cs="Tahoma"/>
              </w:rPr>
            </w:pPr>
            <w:r w:rsidRPr="0027083E">
              <w:rPr>
                <w:rFonts w:cs="Tahoma"/>
              </w:rPr>
              <w:t>FSC has been ineffective in transforming the financial services sector in order to bring about the meaningful and sustainable economic empowerment of black people in South Africa.</w:t>
            </w:r>
          </w:p>
          <w:p w:rsidR="0027083E" w:rsidRPr="0027083E" w:rsidRDefault="0027083E" w:rsidP="00B35163">
            <w:pPr>
              <w:rPr>
                <w:rFonts w:cs="Tahoma"/>
                <w:b/>
                <w:u w:val="single"/>
              </w:rPr>
            </w:pPr>
          </w:p>
          <w:p w:rsidR="0027083E" w:rsidRPr="0027083E" w:rsidRDefault="0027083E" w:rsidP="00B35163">
            <w:pPr>
              <w:rPr>
                <w:rFonts w:cs="Tahoma"/>
                <w:b/>
                <w:u w:val="single"/>
              </w:rPr>
            </w:pPr>
            <w:r w:rsidRPr="0027083E">
              <w:rPr>
                <w:rFonts w:cs="Tahoma"/>
                <w:b/>
                <w:u w:val="single"/>
              </w:rPr>
              <w:t>Challenges/concerns identified:</w:t>
            </w:r>
          </w:p>
          <w:p w:rsidR="0027083E" w:rsidRPr="0027083E" w:rsidRDefault="0027083E" w:rsidP="00936EE2">
            <w:pPr>
              <w:pStyle w:val="ListParagraph"/>
              <w:numPr>
                <w:ilvl w:val="0"/>
                <w:numId w:val="88"/>
              </w:numPr>
              <w:rPr>
                <w:rFonts w:cs="Tahoma"/>
                <w:b/>
                <w:u w:val="single"/>
              </w:rPr>
            </w:pPr>
            <w:r w:rsidRPr="0027083E">
              <w:rPr>
                <w:rFonts w:cs="Tahoma"/>
              </w:rPr>
              <w:t>When comparing the Revised 2016 FSC against the Codes as well as the 2012 FSC, it is evident that the Revised 2016 FSC codes undermine both the Codes and the 2012 FSC</w:t>
            </w:r>
          </w:p>
          <w:p w:rsidR="0027083E" w:rsidRPr="0027083E" w:rsidRDefault="0027083E" w:rsidP="00936EE2">
            <w:pPr>
              <w:pStyle w:val="ListParagraph"/>
              <w:numPr>
                <w:ilvl w:val="0"/>
                <w:numId w:val="88"/>
              </w:numPr>
              <w:rPr>
                <w:rFonts w:cs="Tahoma"/>
              </w:rPr>
            </w:pPr>
            <w:r w:rsidRPr="0027083E">
              <w:rPr>
                <w:rFonts w:cs="Tahoma"/>
              </w:rPr>
              <w:t>The banking and long term insurers’ commitment to targeted investments of R48 billion and R27 billion –under the empowerment financing indicator - is too low in an industry that had assets of R4.8 trillion in September 2016.</w:t>
            </w:r>
          </w:p>
          <w:p w:rsidR="0027083E" w:rsidRPr="0027083E" w:rsidRDefault="0027083E" w:rsidP="00936EE2">
            <w:pPr>
              <w:pStyle w:val="ListParagraph"/>
              <w:numPr>
                <w:ilvl w:val="0"/>
                <w:numId w:val="88"/>
              </w:numPr>
              <w:rPr>
                <w:rFonts w:cs="Tahoma"/>
              </w:rPr>
            </w:pPr>
            <w:r w:rsidRPr="0027083E">
              <w:rPr>
                <w:rFonts w:cs="Tahoma"/>
              </w:rPr>
              <w:t>A matter of grave concern is that the sector is poorly monitored and evaluated. As the 2013 Review Report of the FSC Council states, only 70 out of 1423 financial institutions to whom the FSC Code is applicable responded to the call to submit annual results to the councils, resulting in a mere 4.92% response rate.</w:t>
            </w:r>
          </w:p>
          <w:p w:rsidR="0027083E" w:rsidRPr="0027083E" w:rsidRDefault="0027083E" w:rsidP="00936EE2">
            <w:pPr>
              <w:pStyle w:val="ListParagraph"/>
              <w:numPr>
                <w:ilvl w:val="0"/>
                <w:numId w:val="88"/>
              </w:numPr>
              <w:rPr>
                <w:rFonts w:cs="Tahoma"/>
              </w:rPr>
            </w:pPr>
            <w:r w:rsidRPr="0027083E">
              <w:rPr>
                <w:rFonts w:cs="Tahoma"/>
              </w:rPr>
              <w:t>The greatest challenge facing black entrepreneurs in South Africa is access to markets.</w:t>
            </w:r>
          </w:p>
          <w:p w:rsidR="0027083E" w:rsidRPr="0027083E" w:rsidRDefault="0027083E" w:rsidP="00B35163">
            <w:pPr>
              <w:rPr>
                <w:rFonts w:cs="Tahoma"/>
              </w:rPr>
            </w:pPr>
          </w:p>
          <w:p w:rsidR="00142063" w:rsidRPr="0027083E" w:rsidRDefault="00142063" w:rsidP="00142063">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27083E" w:rsidRPr="0027083E" w:rsidRDefault="0027083E" w:rsidP="00936EE2">
            <w:pPr>
              <w:pStyle w:val="ListParagraph"/>
              <w:numPr>
                <w:ilvl w:val="0"/>
                <w:numId w:val="88"/>
              </w:numPr>
              <w:rPr>
                <w:rFonts w:cs="Tahoma"/>
              </w:rPr>
            </w:pPr>
            <w:r w:rsidRPr="0027083E">
              <w:rPr>
                <w:rFonts w:cs="Tahoma"/>
              </w:rPr>
              <w:t>Empowerment financing combined target of R75 billion (in the banking and long-term insurance sector) should be split out amongst the different sub-pillars and allocate a higher target for Black SME Financing and black agricultural financing, for example 60% of the target.</w:t>
            </w:r>
          </w:p>
          <w:p w:rsidR="0027083E" w:rsidRPr="0027083E" w:rsidRDefault="0027083E" w:rsidP="00936EE2">
            <w:pPr>
              <w:pStyle w:val="ListParagraph"/>
              <w:numPr>
                <w:ilvl w:val="0"/>
                <w:numId w:val="88"/>
              </w:numPr>
              <w:rPr>
                <w:rFonts w:cs="Tahoma"/>
              </w:rPr>
            </w:pPr>
            <w:r w:rsidRPr="0027083E">
              <w:rPr>
                <w:rFonts w:cs="Tahoma"/>
              </w:rPr>
              <w:t>It is difficult to conclusively quantify the proportion of funding raised by the financial institutions towards each of the four (4) empowerment financing sub-pillars and a full research study would need to be conducted to provide this granular level of data.</w:t>
            </w:r>
          </w:p>
          <w:p w:rsidR="0027083E" w:rsidRPr="0027083E" w:rsidRDefault="0027083E" w:rsidP="00936EE2">
            <w:pPr>
              <w:pStyle w:val="ListParagraph"/>
              <w:numPr>
                <w:ilvl w:val="0"/>
                <w:numId w:val="88"/>
              </w:numPr>
              <w:rPr>
                <w:rFonts w:cs="Tahoma"/>
              </w:rPr>
            </w:pPr>
            <w:r w:rsidRPr="0027083E">
              <w:rPr>
                <w:rFonts w:cs="Tahoma"/>
              </w:rPr>
              <w:t xml:space="preserve">Black people, supported by Government, should lead in the establishment of an alternative offering by establishing a directly black-owned bank. (Require initial capital of approximately R306 million for the acquisition of a banking license, IT infrastructure and systems, reserve requirements, a branch network and working capital, among priorities). This will be a fully- fledged bank with licenses to receive cash reserve deposits, make loans and offer products and </w:t>
            </w:r>
            <w:r w:rsidRPr="0027083E">
              <w:rPr>
                <w:rFonts w:cs="Tahoma"/>
              </w:rPr>
              <w:lastRenderedPageBreak/>
              <w:t>services to municipalities, Government departments, SOCs, the private sector, organized labour, NGOs and CBOs and the general public.</w:t>
            </w:r>
          </w:p>
          <w:p w:rsidR="0027083E" w:rsidRPr="0027083E" w:rsidRDefault="0027083E" w:rsidP="00936EE2">
            <w:pPr>
              <w:pStyle w:val="ListParagraph"/>
              <w:numPr>
                <w:ilvl w:val="0"/>
                <w:numId w:val="88"/>
              </w:numPr>
              <w:rPr>
                <w:rFonts w:cs="Tahoma"/>
              </w:rPr>
            </w:pPr>
            <w:r w:rsidRPr="0027083E">
              <w:rPr>
                <w:rFonts w:cs="Tahoma"/>
              </w:rPr>
              <w:t>Segregate and improve thresholds for the four (4) elements for targeted investments (i.e. the 12 points under targeted investment should be allocated evenly between the four elements being - Transformational Infrastructure, Black SME Financing, Black agricultural financing, Affordable housing)</w:t>
            </w:r>
          </w:p>
          <w:p w:rsidR="0027083E" w:rsidRPr="0027083E" w:rsidRDefault="0027083E" w:rsidP="00936EE2">
            <w:pPr>
              <w:pStyle w:val="ListParagraph"/>
              <w:numPr>
                <w:ilvl w:val="0"/>
                <w:numId w:val="88"/>
              </w:numPr>
              <w:rPr>
                <w:rFonts w:cs="Tahoma"/>
              </w:rPr>
            </w:pPr>
            <w:r w:rsidRPr="0027083E">
              <w:rPr>
                <w:rFonts w:cs="Tahoma"/>
              </w:rPr>
              <w:t>Improve target for access to financial services</w:t>
            </w:r>
          </w:p>
          <w:p w:rsidR="0027083E" w:rsidRPr="0027083E" w:rsidRDefault="0027083E" w:rsidP="00936EE2">
            <w:pPr>
              <w:pStyle w:val="ListParagraph"/>
              <w:numPr>
                <w:ilvl w:val="0"/>
                <w:numId w:val="88"/>
              </w:numPr>
              <w:rPr>
                <w:rFonts w:cs="Tahoma"/>
              </w:rPr>
            </w:pPr>
            <w:r w:rsidRPr="0027083E">
              <w:rPr>
                <w:rFonts w:cs="Tahoma"/>
              </w:rPr>
              <w:t>The sector should invest and partner with DFIs and other government institutions in the implementation of ESD programmes and/or co-investment in businesses supported by such public sector entities, on concessionary terms.</w:t>
            </w:r>
          </w:p>
          <w:p w:rsidR="0027083E" w:rsidRDefault="0027083E" w:rsidP="00936EE2">
            <w:pPr>
              <w:pStyle w:val="ListParagraph"/>
              <w:numPr>
                <w:ilvl w:val="0"/>
                <w:numId w:val="88"/>
              </w:numPr>
              <w:rPr>
                <w:rFonts w:cs="Tahoma"/>
              </w:rPr>
            </w:pPr>
            <w:r w:rsidRPr="0027083E">
              <w:rPr>
                <w:rFonts w:cs="Tahoma"/>
              </w:rPr>
              <w:t>The NEF believes that Government must use procurement as a catalyst for transformation by making it mandatory for private and public sector entities to fulfill the national transformation objectives through the implementation of the preferential procurement requirements of the amended codes.</w:t>
            </w:r>
          </w:p>
          <w:p w:rsidR="002F4CD1" w:rsidRPr="0027083E" w:rsidRDefault="002F4CD1" w:rsidP="00936EE2">
            <w:pPr>
              <w:pStyle w:val="ListParagraph"/>
              <w:numPr>
                <w:ilvl w:val="0"/>
                <w:numId w:val="88"/>
              </w:numPr>
              <w:rPr>
                <w:rFonts w:cs="Tahoma"/>
              </w:rPr>
            </w:pPr>
            <w:r w:rsidRPr="0027083E">
              <w:rPr>
                <w:rFonts w:cs="Tahoma"/>
              </w:rPr>
              <w:t>BEE Transaction Financing and risk capital to support economic growth through the support of the Black Industrialist Programme</w:t>
            </w:r>
          </w:p>
          <w:p w:rsidR="002F4CD1" w:rsidRPr="0027083E" w:rsidRDefault="002F4CD1" w:rsidP="00936EE2">
            <w:pPr>
              <w:pStyle w:val="ListParagraph"/>
              <w:numPr>
                <w:ilvl w:val="0"/>
                <w:numId w:val="88"/>
              </w:numPr>
              <w:rPr>
                <w:rFonts w:cs="Tahoma"/>
              </w:rPr>
            </w:pPr>
            <w:r>
              <w:rPr>
                <w:rFonts w:cs="Tahoma"/>
              </w:rPr>
              <w:t xml:space="preserve"> Improved </w:t>
            </w:r>
            <w:r w:rsidRPr="0027083E">
              <w:rPr>
                <w:rFonts w:cs="Tahoma"/>
              </w:rPr>
              <w:t>Monitoring and Evaluation</w:t>
            </w:r>
            <w:r>
              <w:rPr>
                <w:rFonts w:cs="Tahoma"/>
              </w:rPr>
              <w:t xml:space="preserve"> is necessary</w:t>
            </w:r>
          </w:p>
          <w:p w:rsidR="0027083E" w:rsidRPr="002F4CD1" w:rsidRDefault="002F4CD1" w:rsidP="00936EE2">
            <w:pPr>
              <w:pStyle w:val="ListParagraph"/>
              <w:numPr>
                <w:ilvl w:val="0"/>
                <w:numId w:val="88"/>
              </w:numPr>
              <w:rPr>
                <w:rFonts w:cs="Tahoma"/>
              </w:rPr>
            </w:pPr>
            <w:r w:rsidRPr="0027083E">
              <w:rPr>
                <w:rFonts w:cs="Tahoma"/>
              </w:rPr>
              <w:t>Transformative competition</w:t>
            </w:r>
            <w:r>
              <w:rPr>
                <w:rFonts w:cs="Tahoma"/>
              </w:rPr>
              <w:t xml:space="preserve"> should be made a priority.</w:t>
            </w:r>
          </w:p>
          <w:p w:rsidR="0027083E" w:rsidRPr="0027083E" w:rsidRDefault="0027083E" w:rsidP="00B35163">
            <w:pPr>
              <w:rPr>
                <w:rFonts w:cs="Tahoma"/>
              </w:rPr>
            </w:pPr>
          </w:p>
        </w:tc>
      </w:tr>
      <w:tr w:rsidR="0027083E" w:rsidRPr="0027083E" w:rsidTr="0027083E">
        <w:tc>
          <w:tcPr>
            <w:tcW w:w="5000" w:type="pct"/>
            <w:gridSpan w:val="2"/>
            <w:shd w:val="clear" w:color="auto" w:fill="D9D9D9" w:themeFill="background1" w:themeFillShade="D9"/>
          </w:tcPr>
          <w:p w:rsidR="0027083E" w:rsidRPr="0027083E" w:rsidRDefault="0027083E" w:rsidP="00A74B13">
            <w:pPr>
              <w:jc w:val="center"/>
              <w:rPr>
                <w:rFonts w:eastAsia="Times New Roman" w:cs="Helvetica"/>
                <w:b/>
                <w:color w:val="333333"/>
                <w:u w:val="single"/>
              </w:rPr>
            </w:pPr>
            <w:r w:rsidRPr="0027083E">
              <w:rPr>
                <w:rFonts w:eastAsia="Times New Roman" w:cs="Helvetica"/>
                <w:b/>
                <w:color w:val="333333"/>
                <w:u w:val="single"/>
              </w:rPr>
              <w:lastRenderedPageBreak/>
              <w:t>Bodies for constituency negotiation and agreement</w:t>
            </w:r>
          </w:p>
        </w:tc>
      </w:tr>
      <w:tr w:rsidR="0027083E" w:rsidRPr="0027083E" w:rsidTr="0027083E">
        <w:tc>
          <w:tcPr>
            <w:tcW w:w="1219" w:type="pct"/>
          </w:tcPr>
          <w:p w:rsidR="0027083E" w:rsidRPr="0027083E" w:rsidRDefault="0027083E" w:rsidP="00B35163">
            <w:r w:rsidRPr="0027083E">
              <w:rPr>
                <w:rFonts w:eastAsia="Times New Roman" w:cs="Helvetica"/>
                <w:b/>
                <w:bCs/>
                <w:color w:val="333333"/>
              </w:rPr>
              <w:t>Financial Sector Charter Council</w:t>
            </w:r>
          </w:p>
        </w:tc>
        <w:tc>
          <w:tcPr>
            <w:tcW w:w="3781" w:type="pct"/>
          </w:tcPr>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Current assessment of transformation:</w:t>
            </w:r>
          </w:p>
          <w:p w:rsidR="0027083E" w:rsidRPr="0027083E" w:rsidRDefault="0027083E" w:rsidP="00B35163">
            <w:pPr>
              <w:rPr>
                <w:rFonts w:eastAsia="Times New Roman" w:cs="Helvetica"/>
                <w:color w:val="333333"/>
              </w:rPr>
            </w:pPr>
            <w:r w:rsidRPr="0027083E">
              <w:rPr>
                <w:rFonts w:eastAsia="Times New Roman" w:cs="Helvetica"/>
                <w:color w:val="333333"/>
              </w:rPr>
              <w:t>Current data (2014/2015) on the level of transformation in South Africa’s FS indicates that most companies in the FS have started implementing the B-BBEE Code and there’s also some improvement in reporting although the rate of reporting was not up to desired levels. The report indicated the following:</w:t>
            </w:r>
          </w:p>
          <w:p w:rsidR="0027083E" w:rsidRPr="0027083E" w:rsidRDefault="0027083E" w:rsidP="00936EE2">
            <w:pPr>
              <w:pStyle w:val="ListParagraph"/>
              <w:numPr>
                <w:ilvl w:val="0"/>
                <w:numId w:val="26"/>
              </w:numPr>
              <w:rPr>
                <w:rFonts w:eastAsia="Times New Roman" w:cs="Helvetica"/>
                <w:color w:val="333333"/>
              </w:rPr>
            </w:pPr>
            <w:r w:rsidRPr="0027083E">
              <w:rPr>
                <w:rFonts w:eastAsia="Times New Roman" w:cs="Helvetica"/>
                <w:color w:val="333333"/>
              </w:rPr>
              <w:t xml:space="preserve">Levels of Black Shareholding reduced from 26% to 23% and Black Women Shareholding levels reduced from 10% to 8% </w:t>
            </w:r>
          </w:p>
          <w:p w:rsidR="0027083E" w:rsidRPr="0027083E" w:rsidRDefault="0027083E" w:rsidP="00936EE2">
            <w:pPr>
              <w:pStyle w:val="ListParagraph"/>
              <w:numPr>
                <w:ilvl w:val="0"/>
                <w:numId w:val="26"/>
              </w:numPr>
              <w:rPr>
                <w:rFonts w:eastAsia="Times New Roman" w:cs="Helvetica"/>
                <w:color w:val="333333"/>
              </w:rPr>
            </w:pPr>
            <w:r w:rsidRPr="0027083E">
              <w:rPr>
                <w:rFonts w:eastAsia="Times New Roman" w:cs="Helvetica"/>
                <w:color w:val="333333"/>
              </w:rPr>
              <w:t>The Management Control levels remained relatively constant although the number of female Board members moved up slightly from 11% to 13%.</w:t>
            </w:r>
          </w:p>
          <w:p w:rsidR="0027083E" w:rsidRPr="0027083E" w:rsidRDefault="0027083E" w:rsidP="00936EE2">
            <w:pPr>
              <w:pStyle w:val="ListParagraph"/>
              <w:numPr>
                <w:ilvl w:val="0"/>
                <w:numId w:val="26"/>
              </w:numPr>
              <w:rPr>
                <w:rFonts w:eastAsia="Times New Roman" w:cs="Helvetica"/>
                <w:color w:val="333333"/>
              </w:rPr>
            </w:pPr>
            <w:r w:rsidRPr="0027083E">
              <w:rPr>
                <w:rFonts w:eastAsia="Times New Roman" w:cs="Helvetica"/>
                <w:color w:val="333333"/>
              </w:rPr>
              <w:t xml:space="preserve">Employment Equity increased slightly and hence positively impacted Black Senior Management and Black Women Senior Management levels </w:t>
            </w:r>
          </w:p>
          <w:p w:rsidR="0027083E" w:rsidRPr="0027083E" w:rsidRDefault="0027083E" w:rsidP="00936EE2">
            <w:pPr>
              <w:pStyle w:val="ListParagraph"/>
              <w:numPr>
                <w:ilvl w:val="0"/>
                <w:numId w:val="26"/>
              </w:numPr>
              <w:rPr>
                <w:rFonts w:eastAsia="Times New Roman" w:cs="Helvetica"/>
                <w:color w:val="333333"/>
              </w:rPr>
            </w:pPr>
            <w:r w:rsidRPr="0027083E">
              <w:rPr>
                <w:rFonts w:eastAsia="Times New Roman" w:cs="Helvetica"/>
                <w:color w:val="333333"/>
              </w:rPr>
              <w:t xml:space="preserve">A reduction was observed in average scores for Skills Development </w:t>
            </w:r>
          </w:p>
          <w:p w:rsidR="0027083E" w:rsidRPr="0027083E" w:rsidRDefault="0027083E" w:rsidP="00936EE2">
            <w:pPr>
              <w:pStyle w:val="ListParagraph"/>
              <w:numPr>
                <w:ilvl w:val="0"/>
                <w:numId w:val="26"/>
              </w:numPr>
            </w:pPr>
            <w:r w:rsidRPr="0027083E">
              <w:rPr>
                <w:rFonts w:eastAsia="Times New Roman" w:cs="Helvetica"/>
                <w:color w:val="333333"/>
              </w:rPr>
              <w:t xml:space="preserve">The figures for average expenditure on Preferential Procurement with B-BBEE Suppliers showed </w:t>
            </w:r>
            <w:r w:rsidRPr="0027083E">
              <w:rPr>
                <w:rFonts w:eastAsia="Times New Roman" w:cs="Helvetica"/>
                <w:color w:val="333333"/>
              </w:rPr>
              <w:lastRenderedPageBreak/>
              <w:t xml:space="preserve">an upward trend which surpassed the targets set </w:t>
            </w:r>
          </w:p>
          <w:p w:rsidR="0027083E" w:rsidRPr="0027083E" w:rsidRDefault="0027083E" w:rsidP="00936EE2">
            <w:pPr>
              <w:pStyle w:val="ListParagraph"/>
              <w:numPr>
                <w:ilvl w:val="0"/>
                <w:numId w:val="26"/>
              </w:numPr>
            </w:pPr>
            <w:r w:rsidRPr="0027083E">
              <w:rPr>
                <w:rFonts w:eastAsia="Times New Roman" w:cs="Helvetica"/>
                <w:color w:val="333333"/>
              </w:rPr>
              <w:t>The Socio-Economic Development, Access to Financial Services and Consumer Education Scores showed a slight upward trend</w:t>
            </w:r>
            <w:r w:rsidRPr="0027083E">
              <w:rPr>
                <w:rFonts w:eastAsia="Times New Roman" w:cs="Helvetica"/>
                <w:color w:val="333333"/>
              </w:rPr>
              <w:br/>
            </w:r>
          </w:p>
        </w:tc>
      </w:tr>
      <w:tr w:rsidR="0027083E" w:rsidRPr="0027083E" w:rsidTr="0027083E">
        <w:tc>
          <w:tcPr>
            <w:tcW w:w="1219" w:type="pct"/>
          </w:tcPr>
          <w:p w:rsidR="0027083E" w:rsidRPr="0027083E" w:rsidRDefault="0027083E" w:rsidP="00B35163">
            <w:r w:rsidRPr="0027083E">
              <w:rPr>
                <w:rFonts w:eastAsia="Times New Roman" w:cs="Helvetica"/>
                <w:b/>
                <w:bCs/>
                <w:color w:val="333333"/>
              </w:rPr>
              <w:lastRenderedPageBreak/>
              <w:t xml:space="preserve">NEDLAC </w:t>
            </w:r>
          </w:p>
        </w:tc>
        <w:tc>
          <w:tcPr>
            <w:tcW w:w="3781" w:type="pct"/>
          </w:tcPr>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Financial Sector Summit</w:t>
            </w:r>
          </w:p>
          <w:p w:rsidR="0027083E" w:rsidRPr="0027083E" w:rsidRDefault="0027083E" w:rsidP="00B35163">
            <w:pPr>
              <w:rPr>
                <w:rFonts w:eastAsia="Times New Roman" w:cs="Helvetica"/>
                <w:color w:val="333333"/>
              </w:rPr>
            </w:pPr>
            <w:r w:rsidRPr="0027083E">
              <w:rPr>
                <w:rFonts w:eastAsia="Times New Roman" w:cs="Helvetica"/>
                <w:color w:val="333333"/>
              </w:rPr>
              <w:t xml:space="preserve">The first FS Summit was held in 2002 with the aim to agree on commitments by the FS to transform the sector. </w:t>
            </w:r>
          </w:p>
          <w:p w:rsidR="0027083E" w:rsidRPr="0027083E" w:rsidRDefault="0027083E" w:rsidP="00B35163">
            <w:pPr>
              <w:rPr>
                <w:rFonts w:eastAsia="Times New Roman" w:cs="Helvetica"/>
                <w:color w:val="333333"/>
              </w:rPr>
            </w:pPr>
          </w:p>
          <w:p w:rsidR="0027083E" w:rsidRPr="0027083E" w:rsidRDefault="0027083E" w:rsidP="00B35163">
            <w:pPr>
              <w:rPr>
                <w:rFonts w:eastAsia="Times New Roman" w:cs="Helvetica"/>
                <w:color w:val="333333"/>
              </w:rPr>
            </w:pPr>
            <w:r w:rsidRPr="0027083E">
              <w:rPr>
                <w:rFonts w:eastAsia="Times New Roman" w:cs="Helvetica"/>
                <w:color w:val="333333"/>
              </w:rPr>
              <w:t>NEDLAC has since taken a decision constitute another summit in the 3</w:t>
            </w:r>
            <w:r w:rsidRPr="0027083E">
              <w:rPr>
                <w:rFonts w:eastAsia="Times New Roman" w:cs="Helvetica"/>
                <w:color w:val="333333"/>
                <w:vertAlign w:val="superscript"/>
              </w:rPr>
              <w:t>rd</w:t>
            </w:r>
            <w:r w:rsidRPr="0027083E">
              <w:rPr>
                <w:rFonts w:eastAsia="Times New Roman" w:cs="Helvetica"/>
                <w:color w:val="333333"/>
              </w:rPr>
              <w:t>/ 4</w:t>
            </w:r>
            <w:r w:rsidRPr="0027083E">
              <w:rPr>
                <w:rFonts w:eastAsia="Times New Roman" w:cs="Helvetica"/>
                <w:color w:val="333333"/>
                <w:vertAlign w:val="superscript"/>
              </w:rPr>
              <w:t>th</w:t>
            </w:r>
            <w:r w:rsidRPr="0027083E">
              <w:rPr>
                <w:rFonts w:eastAsia="Times New Roman" w:cs="Helvetica"/>
                <w:color w:val="333333"/>
              </w:rPr>
              <w:t xml:space="preserve"> quarter of 2017 to review the Financial Sector Summit Agreements (FSSA) and how far they have gone in transforming the sector. The 2017 Financial Sector NEDLAC Summit will ensure that there are:</w:t>
            </w:r>
          </w:p>
          <w:p w:rsidR="0027083E" w:rsidRPr="0027083E" w:rsidRDefault="0027083E" w:rsidP="00936EE2">
            <w:pPr>
              <w:pStyle w:val="ListParagraph"/>
              <w:numPr>
                <w:ilvl w:val="0"/>
                <w:numId w:val="27"/>
              </w:numPr>
              <w:rPr>
                <w:rFonts w:eastAsia="Times New Roman" w:cs="Helvetica"/>
                <w:color w:val="333333"/>
              </w:rPr>
            </w:pPr>
            <w:r w:rsidRPr="0027083E">
              <w:rPr>
                <w:rFonts w:eastAsia="Times New Roman" w:cs="Helvetica"/>
                <w:color w:val="333333"/>
              </w:rPr>
              <w:t xml:space="preserve">Measurable deliverables </w:t>
            </w:r>
          </w:p>
          <w:p w:rsidR="0027083E" w:rsidRPr="0027083E" w:rsidRDefault="0027083E" w:rsidP="00936EE2">
            <w:pPr>
              <w:pStyle w:val="ListParagraph"/>
              <w:numPr>
                <w:ilvl w:val="0"/>
                <w:numId w:val="27"/>
              </w:numPr>
              <w:rPr>
                <w:rFonts w:eastAsia="Times New Roman" w:cs="Helvetica"/>
                <w:color w:val="333333"/>
              </w:rPr>
            </w:pPr>
            <w:r w:rsidRPr="0027083E">
              <w:rPr>
                <w:rFonts w:eastAsia="Times New Roman" w:cs="Helvetica"/>
                <w:color w:val="333333"/>
              </w:rPr>
              <w:t xml:space="preserve">Clear time frames </w:t>
            </w:r>
          </w:p>
          <w:p w:rsidR="0027083E" w:rsidRPr="0027083E" w:rsidRDefault="0027083E" w:rsidP="00936EE2">
            <w:pPr>
              <w:pStyle w:val="ListParagraph"/>
              <w:numPr>
                <w:ilvl w:val="0"/>
                <w:numId w:val="27"/>
              </w:numPr>
              <w:rPr>
                <w:rFonts w:eastAsia="Times New Roman" w:cs="Helvetica"/>
                <w:color w:val="333333"/>
              </w:rPr>
            </w:pPr>
            <w:r w:rsidRPr="0027083E">
              <w:rPr>
                <w:rFonts w:eastAsia="Times New Roman" w:cs="Helvetica"/>
                <w:color w:val="333333"/>
              </w:rPr>
              <w:t xml:space="preserve">Regular meetings to track progress on deliverables </w:t>
            </w:r>
          </w:p>
          <w:p w:rsidR="0027083E" w:rsidRPr="0027083E" w:rsidRDefault="0027083E" w:rsidP="00936EE2">
            <w:pPr>
              <w:pStyle w:val="ListParagraph"/>
              <w:numPr>
                <w:ilvl w:val="0"/>
                <w:numId w:val="27"/>
              </w:numPr>
              <w:rPr>
                <w:rFonts w:eastAsia="Times New Roman" w:cs="Helvetica"/>
                <w:color w:val="333333"/>
              </w:rPr>
            </w:pPr>
            <w:r w:rsidRPr="0027083E">
              <w:rPr>
                <w:rFonts w:eastAsia="Times New Roman" w:cs="Helvetica"/>
                <w:color w:val="333333"/>
              </w:rPr>
              <w:t>Consequences for non-delivery.</w:t>
            </w:r>
          </w:p>
          <w:p w:rsidR="0027083E" w:rsidRPr="0027083E" w:rsidRDefault="0027083E" w:rsidP="00B35163">
            <w:pPr>
              <w:rPr>
                <w:rFonts w:eastAsia="Times New Roman" w:cs="Helvetica"/>
                <w:color w:val="333333"/>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Current assessment of the 2002 agreements:</w:t>
            </w:r>
          </w:p>
          <w:p w:rsidR="0027083E" w:rsidRPr="0027083E" w:rsidRDefault="0027083E" w:rsidP="00B35163">
            <w:pPr>
              <w:rPr>
                <w:rFonts w:eastAsia="Times New Roman" w:cs="Helvetica"/>
                <w:color w:val="333333"/>
              </w:rPr>
            </w:pPr>
            <w:r w:rsidRPr="0027083E">
              <w:rPr>
                <w:rFonts w:eastAsia="Times New Roman" w:cs="Helvetica"/>
                <w:color w:val="333333"/>
              </w:rPr>
              <w:t>Based on the 13 areas agreed upon it is found that:</w:t>
            </w:r>
          </w:p>
          <w:p w:rsidR="0027083E" w:rsidRPr="0027083E" w:rsidRDefault="0027083E" w:rsidP="00936EE2">
            <w:pPr>
              <w:pStyle w:val="ListParagraph"/>
              <w:numPr>
                <w:ilvl w:val="0"/>
                <w:numId w:val="18"/>
              </w:numPr>
            </w:pPr>
            <w:r w:rsidRPr="0027083E">
              <w:rPr>
                <w:rFonts w:eastAsia="Times New Roman" w:cs="Helvetica"/>
                <w:color w:val="333333"/>
              </w:rPr>
              <w:t>Service charges for basic financial services are still high</w:t>
            </w:r>
          </w:p>
          <w:p w:rsidR="0027083E" w:rsidRPr="0027083E" w:rsidRDefault="0027083E" w:rsidP="00936EE2">
            <w:pPr>
              <w:pStyle w:val="ListParagraph"/>
              <w:numPr>
                <w:ilvl w:val="0"/>
                <w:numId w:val="18"/>
              </w:numPr>
            </w:pPr>
            <w:r w:rsidRPr="0027083E">
              <w:rPr>
                <w:rFonts w:eastAsia="Times New Roman" w:cs="Helvetica"/>
                <w:color w:val="333333"/>
              </w:rPr>
              <w:t xml:space="preserve">Rural areas still seem to be neglected in accessing basic financial services </w:t>
            </w:r>
          </w:p>
          <w:p w:rsidR="0027083E" w:rsidRPr="0027083E" w:rsidRDefault="0027083E" w:rsidP="00936EE2">
            <w:pPr>
              <w:pStyle w:val="ListParagraph"/>
              <w:numPr>
                <w:ilvl w:val="0"/>
                <w:numId w:val="18"/>
              </w:numPr>
            </w:pPr>
            <w:r w:rsidRPr="0027083E">
              <w:rPr>
                <w:rFonts w:eastAsia="Times New Roman" w:cs="Helvetica"/>
                <w:color w:val="333333"/>
              </w:rPr>
              <w:t>The Dedicated Banks Bill for second tier financial institution was never promulgated</w:t>
            </w:r>
          </w:p>
          <w:p w:rsidR="0027083E" w:rsidRPr="0027083E" w:rsidRDefault="0027083E" w:rsidP="00936EE2">
            <w:pPr>
              <w:pStyle w:val="ListParagraph"/>
              <w:numPr>
                <w:ilvl w:val="0"/>
                <w:numId w:val="18"/>
              </w:numPr>
            </w:pPr>
            <w:r w:rsidRPr="0027083E">
              <w:rPr>
                <w:rFonts w:eastAsia="Times New Roman" w:cs="Helvetica"/>
                <w:color w:val="333333"/>
              </w:rPr>
              <w:t xml:space="preserve">Co-operative banks market in SA is not well understood </w:t>
            </w:r>
          </w:p>
          <w:p w:rsidR="0027083E" w:rsidRPr="0027083E" w:rsidRDefault="0027083E" w:rsidP="00936EE2">
            <w:pPr>
              <w:pStyle w:val="ListParagraph"/>
              <w:numPr>
                <w:ilvl w:val="0"/>
                <w:numId w:val="18"/>
              </w:numPr>
            </w:pPr>
            <w:r w:rsidRPr="0027083E">
              <w:rPr>
                <w:rFonts w:eastAsia="Times New Roman" w:cs="Helvetica"/>
                <w:color w:val="333333"/>
              </w:rPr>
              <w:t xml:space="preserve">Most financial institutions still discriminate </w:t>
            </w:r>
            <w:r w:rsidR="002F4CD1">
              <w:rPr>
                <w:rFonts w:eastAsia="Times New Roman" w:cs="Helvetica"/>
                <w:color w:val="333333"/>
              </w:rPr>
              <w:t xml:space="preserve">despite </w:t>
            </w:r>
            <w:r w:rsidR="00312E22">
              <w:rPr>
                <w:rFonts w:eastAsia="Times New Roman" w:cs="Helvetica"/>
                <w:color w:val="333333"/>
              </w:rPr>
              <w:t>having explicit</w:t>
            </w:r>
            <w:r w:rsidRPr="0027083E">
              <w:rPr>
                <w:rFonts w:eastAsia="Times New Roman" w:cs="Helvetica"/>
                <w:color w:val="333333"/>
              </w:rPr>
              <w:t xml:space="preserve"> codes of conduct</w:t>
            </w:r>
            <w:r w:rsidR="00312E22">
              <w:rPr>
                <w:rFonts w:eastAsia="Times New Roman" w:cs="Helvetica"/>
                <w:color w:val="333333"/>
              </w:rPr>
              <w:t xml:space="preserve"> on this issue</w:t>
            </w:r>
            <w:r w:rsidRPr="0027083E">
              <w:rPr>
                <w:rFonts w:eastAsia="Times New Roman" w:cs="Helvetica"/>
                <w:color w:val="333333"/>
              </w:rPr>
              <w:t xml:space="preserve"> </w:t>
            </w:r>
          </w:p>
          <w:p w:rsidR="0027083E" w:rsidRPr="0027083E" w:rsidRDefault="0027083E" w:rsidP="00936EE2">
            <w:pPr>
              <w:pStyle w:val="ListParagraph"/>
              <w:numPr>
                <w:ilvl w:val="0"/>
                <w:numId w:val="18"/>
              </w:numPr>
            </w:pPr>
            <w:r w:rsidRPr="0027083E">
              <w:rPr>
                <w:rFonts w:eastAsia="Times New Roman" w:cs="Helvetica"/>
                <w:color w:val="333333"/>
              </w:rPr>
              <w:t>Special products are fashioned for poorer people</w:t>
            </w:r>
          </w:p>
          <w:p w:rsidR="0027083E" w:rsidRPr="0027083E" w:rsidRDefault="0027083E" w:rsidP="00936EE2">
            <w:pPr>
              <w:pStyle w:val="ListParagraph"/>
              <w:numPr>
                <w:ilvl w:val="0"/>
                <w:numId w:val="18"/>
              </w:numPr>
            </w:pPr>
            <w:r w:rsidRPr="0027083E">
              <w:rPr>
                <w:rFonts w:eastAsia="Times New Roman" w:cs="Helvetica"/>
                <w:color w:val="333333"/>
              </w:rPr>
              <w:t xml:space="preserve">Financial institutions / infrastructure is still less available in historic townships or rural areas </w:t>
            </w:r>
          </w:p>
          <w:p w:rsidR="0027083E" w:rsidRPr="0027083E" w:rsidRDefault="0027083E" w:rsidP="00936EE2">
            <w:pPr>
              <w:pStyle w:val="ListParagraph"/>
              <w:numPr>
                <w:ilvl w:val="0"/>
                <w:numId w:val="18"/>
              </w:numPr>
            </w:pPr>
            <w:r w:rsidRPr="0027083E">
              <w:rPr>
                <w:rFonts w:eastAsia="Times New Roman" w:cs="Helvetica"/>
                <w:color w:val="333333"/>
              </w:rPr>
              <w:t xml:space="preserve">Poorer people more likely to be unfairly treated by financial institutions; </w:t>
            </w:r>
          </w:p>
          <w:p w:rsidR="0027083E" w:rsidRPr="0027083E" w:rsidRDefault="0027083E" w:rsidP="00936EE2">
            <w:pPr>
              <w:pStyle w:val="ListParagraph"/>
              <w:numPr>
                <w:ilvl w:val="0"/>
                <w:numId w:val="18"/>
              </w:numPr>
            </w:pPr>
            <w:r w:rsidRPr="0027083E">
              <w:rPr>
                <w:rFonts w:eastAsia="Times New Roman" w:cs="Helvetica"/>
                <w:color w:val="333333"/>
              </w:rPr>
              <w:t>Although the situation around HIV/AIDS is completely different now than in 2002 because insurance products (including life insurance and credit life insurance on outstanding credit ) are now available to persons with HIV however stringent criteria are set out for insurance products and premiums are higher than normal with the general negative stigma within communities still high;</w:t>
            </w:r>
          </w:p>
          <w:p w:rsidR="0027083E" w:rsidRPr="0027083E" w:rsidRDefault="0027083E" w:rsidP="00936EE2">
            <w:pPr>
              <w:pStyle w:val="ListParagraph"/>
              <w:numPr>
                <w:ilvl w:val="0"/>
                <w:numId w:val="18"/>
              </w:numPr>
            </w:pPr>
            <w:r w:rsidRPr="0027083E">
              <w:rPr>
                <w:rFonts w:eastAsia="Times New Roman" w:cs="Helvetica"/>
                <w:color w:val="333333"/>
              </w:rPr>
              <w:t xml:space="preserve">Developmental investment was initially seen as only government driven and the private sector </w:t>
            </w:r>
            <w:r w:rsidRPr="0027083E">
              <w:rPr>
                <w:rFonts w:eastAsia="Times New Roman" w:cs="Helvetica"/>
                <w:color w:val="333333"/>
              </w:rPr>
              <w:lastRenderedPageBreak/>
              <w:t>needed incentives to commit to developmental investment but there is no single database from government showing all developmental projects/investment opportunities;</w:t>
            </w:r>
          </w:p>
          <w:p w:rsidR="0027083E" w:rsidRPr="0027083E" w:rsidRDefault="0027083E" w:rsidP="00A74B13">
            <w:pPr>
              <w:rPr>
                <w:rFonts w:eastAsia="Times New Roman" w:cs="Helvetica"/>
                <w:color w:val="333333"/>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Challenges/concerns identified:</w:t>
            </w:r>
          </w:p>
          <w:p w:rsidR="0027083E" w:rsidRPr="0027083E" w:rsidRDefault="0027083E" w:rsidP="00936EE2">
            <w:pPr>
              <w:pStyle w:val="ListParagraph"/>
              <w:numPr>
                <w:ilvl w:val="0"/>
                <w:numId w:val="35"/>
              </w:numPr>
              <w:rPr>
                <w:rFonts w:eastAsia="Times New Roman" w:cs="Helvetica"/>
                <w:color w:val="333333"/>
              </w:rPr>
            </w:pPr>
            <w:r w:rsidRPr="0027083E">
              <w:rPr>
                <w:rFonts w:eastAsia="Times New Roman" w:cs="Helvetica"/>
                <w:color w:val="333333"/>
              </w:rPr>
              <w:t xml:space="preserve">There have been changes in the environment in which the 2002 agreements were signed such as promulgation of new financial regulations and Acts which have tightened up how financial support and aid is provided. </w:t>
            </w:r>
          </w:p>
          <w:p w:rsidR="0027083E" w:rsidRPr="0027083E" w:rsidRDefault="0027083E" w:rsidP="00936EE2">
            <w:pPr>
              <w:pStyle w:val="ListParagraph"/>
              <w:numPr>
                <w:ilvl w:val="0"/>
                <w:numId w:val="18"/>
              </w:numPr>
            </w:pPr>
            <w:r w:rsidRPr="0027083E">
              <w:rPr>
                <w:rFonts w:eastAsia="Times New Roman" w:cs="Helvetica"/>
                <w:color w:val="333333"/>
              </w:rPr>
              <w:t>Although more people have access to financial products and more cooperation exists between the public and private sectors on financial matters, there is difficulty in measuring some of the 13 agreements.</w:t>
            </w:r>
          </w:p>
          <w:p w:rsidR="0027083E" w:rsidRPr="0027083E" w:rsidRDefault="0027083E" w:rsidP="00B35163">
            <w:pPr>
              <w:pStyle w:val="ListParagraph"/>
            </w:pPr>
          </w:p>
        </w:tc>
      </w:tr>
      <w:tr w:rsidR="00312E22" w:rsidRPr="0027083E" w:rsidTr="00312E22">
        <w:tc>
          <w:tcPr>
            <w:tcW w:w="5000" w:type="pct"/>
            <w:gridSpan w:val="2"/>
            <w:shd w:val="clear" w:color="auto" w:fill="BFBFBF" w:themeFill="background1" w:themeFillShade="BF"/>
          </w:tcPr>
          <w:p w:rsidR="00312E22" w:rsidRPr="00312E22" w:rsidRDefault="00312E22" w:rsidP="00312E22">
            <w:pPr>
              <w:jc w:val="center"/>
              <w:rPr>
                <w:rFonts w:eastAsia="Times New Roman" w:cs="Helvetica"/>
                <w:b/>
                <w:color w:val="333333"/>
                <w:u w:val="single"/>
              </w:rPr>
            </w:pPr>
            <w:r w:rsidRPr="00312E22">
              <w:rPr>
                <w:b/>
                <w:u w:val="single"/>
              </w:rPr>
              <w:lastRenderedPageBreak/>
              <w:t>Political parties, or bodies with political association</w:t>
            </w:r>
          </w:p>
        </w:tc>
      </w:tr>
      <w:tr w:rsidR="0027083E" w:rsidRPr="0027083E" w:rsidTr="0027083E">
        <w:tc>
          <w:tcPr>
            <w:tcW w:w="1219" w:type="pct"/>
          </w:tcPr>
          <w:p w:rsidR="0027083E" w:rsidRPr="0027083E" w:rsidRDefault="0027083E" w:rsidP="00B35163">
            <w:r w:rsidRPr="0027083E">
              <w:rPr>
                <w:rFonts w:eastAsia="Times New Roman" w:cs="Helvetica"/>
                <w:b/>
                <w:bCs/>
                <w:color w:val="333333"/>
              </w:rPr>
              <w:t>Financial Sector Campaign Coalition </w:t>
            </w:r>
            <w:r w:rsidRPr="0027083E">
              <w:rPr>
                <w:rFonts w:eastAsia="Times New Roman" w:cs="Helvetica"/>
                <w:color w:val="333333"/>
              </w:rPr>
              <w:br/>
            </w:r>
          </w:p>
        </w:tc>
        <w:tc>
          <w:tcPr>
            <w:tcW w:w="3781" w:type="pct"/>
          </w:tcPr>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Intro:</w:t>
            </w:r>
          </w:p>
          <w:p w:rsidR="0027083E" w:rsidRPr="0027083E" w:rsidRDefault="0027083E" w:rsidP="00B35163">
            <w:pPr>
              <w:rPr>
                <w:rFonts w:eastAsia="Times New Roman" w:cs="Helvetica"/>
                <w:color w:val="333333"/>
              </w:rPr>
            </w:pPr>
            <w:r w:rsidRPr="0027083E">
              <w:rPr>
                <w:rFonts w:eastAsia="Times New Roman" w:cs="Helvetica"/>
                <w:color w:val="333333"/>
              </w:rPr>
              <w:t xml:space="preserve">Transformation means change in form, appearance, nature and character. There has been very minimal change in form; the nature of the sector remains largely unchanged; while the character of the sector is not in alignment with the needs of majority of the country. </w:t>
            </w:r>
          </w:p>
          <w:p w:rsidR="0027083E" w:rsidRPr="0027083E" w:rsidRDefault="0027083E" w:rsidP="00B35163">
            <w:pPr>
              <w:rPr>
                <w:rFonts w:eastAsia="Times New Roman" w:cs="Helvetica"/>
                <w:b/>
                <w:color w:val="333333"/>
                <w:u w:val="single"/>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Challenges/concerns identified:</w:t>
            </w:r>
          </w:p>
          <w:p w:rsidR="0027083E" w:rsidRPr="0027083E" w:rsidRDefault="0027083E" w:rsidP="00936EE2">
            <w:pPr>
              <w:pStyle w:val="ListParagraph"/>
              <w:numPr>
                <w:ilvl w:val="0"/>
                <w:numId w:val="35"/>
              </w:numPr>
              <w:rPr>
                <w:rFonts w:eastAsia="Times New Roman" w:cs="Helvetica"/>
                <w:color w:val="333333"/>
              </w:rPr>
            </w:pPr>
            <w:r w:rsidRPr="0027083E">
              <w:rPr>
                <w:rFonts w:eastAsia="Times New Roman" w:cs="Helvetica"/>
                <w:color w:val="333333"/>
              </w:rPr>
              <w:t xml:space="preserve">The FS Charter considered that the financial sector plays a role in the growth, development, empowerment, and the Charter spelt out a list of changes informed by agreements from the FSS which are not implemented. </w:t>
            </w:r>
          </w:p>
          <w:p w:rsidR="0027083E" w:rsidRPr="0027083E" w:rsidRDefault="0027083E" w:rsidP="00936EE2">
            <w:pPr>
              <w:pStyle w:val="ListParagraph"/>
              <w:numPr>
                <w:ilvl w:val="0"/>
                <w:numId w:val="35"/>
              </w:numPr>
              <w:rPr>
                <w:rFonts w:eastAsia="Times New Roman" w:cs="Helvetica"/>
                <w:color w:val="333333"/>
              </w:rPr>
            </w:pPr>
            <w:r w:rsidRPr="0027083E">
              <w:rPr>
                <w:rFonts w:eastAsia="Times New Roman" w:cs="Helvetica"/>
                <w:color w:val="333333"/>
              </w:rPr>
              <w:t xml:space="preserve">The two most crippling factors in the sector were the ‘once empowered, always empowered’ principle and the inadvertent omission of government development financial institutions (DFIs) at the Summit which could have assisted in transformation. </w:t>
            </w:r>
          </w:p>
          <w:p w:rsidR="0027083E" w:rsidRPr="0027083E" w:rsidRDefault="0027083E" w:rsidP="00936EE2">
            <w:pPr>
              <w:pStyle w:val="ListParagraph"/>
              <w:numPr>
                <w:ilvl w:val="0"/>
                <w:numId w:val="35"/>
              </w:numPr>
              <w:rPr>
                <w:rFonts w:eastAsia="Times New Roman" w:cs="Helvetica"/>
                <w:color w:val="333333"/>
              </w:rPr>
            </w:pPr>
            <w:r w:rsidRPr="0027083E">
              <w:rPr>
                <w:rFonts w:eastAsia="Times New Roman" w:cs="Helvetica"/>
                <w:color w:val="333333"/>
              </w:rPr>
              <w:t xml:space="preserve">There has been significant Corporate Social Investment done in the FS that was not reported and the consequences of such non-reporting affected growth in the FS. </w:t>
            </w:r>
          </w:p>
          <w:p w:rsidR="0027083E" w:rsidRPr="0027083E" w:rsidRDefault="0027083E" w:rsidP="00B35163"/>
        </w:tc>
      </w:tr>
      <w:tr w:rsidR="0027083E" w:rsidRPr="0027083E" w:rsidTr="0027083E">
        <w:tc>
          <w:tcPr>
            <w:tcW w:w="1219" w:type="pct"/>
          </w:tcPr>
          <w:p w:rsidR="0027083E" w:rsidRPr="0027083E" w:rsidRDefault="0027083E" w:rsidP="00B35163">
            <w:r w:rsidRPr="0027083E">
              <w:rPr>
                <w:rFonts w:eastAsia="Times New Roman" w:cs="Helvetica"/>
                <w:b/>
                <w:bCs/>
                <w:color w:val="333333"/>
              </w:rPr>
              <w:t>COSATU</w:t>
            </w:r>
          </w:p>
        </w:tc>
        <w:tc>
          <w:tcPr>
            <w:tcW w:w="3781" w:type="pct"/>
          </w:tcPr>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Intro:</w:t>
            </w:r>
          </w:p>
          <w:p w:rsidR="0027083E" w:rsidRPr="0027083E" w:rsidRDefault="0027083E" w:rsidP="00936EE2">
            <w:pPr>
              <w:pStyle w:val="ListParagraph"/>
              <w:numPr>
                <w:ilvl w:val="0"/>
                <w:numId w:val="38"/>
              </w:numPr>
              <w:rPr>
                <w:rFonts w:eastAsia="Times New Roman" w:cs="Helvetica"/>
                <w:color w:val="333333"/>
              </w:rPr>
            </w:pPr>
            <w:r w:rsidRPr="0027083E">
              <w:rPr>
                <w:rFonts w:eastAsia="Times New Roman" w:cs="Helvetica"/>
                <w:color w:val="333333"/>
              </w:rPr>
              <w:t>The Financial Sector Regulation Bill is strongly supported. Similarly, tightening the Financial Intelligence Centre Amendment Bill to find an amicable solution to crime and money laundering is supported.</w:t>
            </w:r>
          </w:p>
          <w:p w:rsidR="0027083E" w:rsidRPr="0027083E" w:rsidRDefault="0027083E" w:rsidP="00936EE2">
            <w:pPr>
              <w:pStyle w:val="ListParagraph"/>
              <w:numPr>
                <w:ilvl w:val="0"/>
                <w:numId w:val="38"/>
              </w:numPr>
              <w:rPr>
                <w:rFonts w:eastAsia="Times New Roman" w:cs="Helvetica"/>
                <w:color w:val="333333"/>
              </w:rPr>
            </w:pPr>
            <w:r w:rsidRPr="0027083E">
              <w:rPr>
                <w:rFonts w:eastAsia="Times New Roman" w:cs="Helvetica"/>
                <w:color w:val="333333"/>
              </w:rPr>
              <w:t xml:space="preserve">COSATU understands that government is preparing a Bill to better regulate charges set by the financial sector. This needs to be biased towards the needs of ordinary consumers and </w:t>
            </w:r>
            <w:r w:rsidRPr="0027083E">
              <w:rPr>
                <w:rFonts w:eastAsia="Times New Roman" w:cs="Helvetica"/>
                <w:color w:val="333333"/>
              </w:rPr>
              <w:lastRenderedPageBreak/>
              <w:t xml:space="preserve">empower government to deal with banks who consistently overcharge consumers. </w:t>
            </w:r>
          </w:p>
          <w:p w:rsidR="0027083E" w:rsidRPr="0027083E" w:rsidRDefault="0027083E" w:rsidP="00936EE2">
            <w:pPr>
              <w:pStyle w:val="ListParagraph"/>
              <w:numPr>
                <w:ilvl w:val="0"/>
                <w:numId w:val="38"/>
              </w:numPr>
              <w:rPr>
                <w:rFonts w:eastAsia="Times New Roman" w:cs="Helvetica"/>
                <w:color w:val="333333"/>
              </w:rPr>
            </w:pPr>
            <w:r w:rsidRPr="0027083E">
              <w:rPr>
                <w:rFonts w:eastAsia="Times New Roman" w:cs="Helvetica"/>
                <w:color w:val="333333"/>
              </w:rPr>
              <w:t xml:space="preserve">COSATU supports the proposed Debt Relief Bill </w:t>
            </w:r>
          </w:p>
          <w:p w:rsidR="0027083E" w:rsidRPr="0027083E" w:rsidRDefault="0027083E" w:rsidP="00B35163">
            <w:pPr>
              <w:rPr>
                <w:rFonts w:eastAsia="Times New Roman" w:cs="Helvetica"/>
                <w:color w:val="333333"/>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Challenges/concerns identified:</w:t>
            </w:r>
          </w:p>
          <w:p w:rsidR="0027083E" w:rsidRPr="0027083E" w:rsidRDefault="0027083E" w:rsidP="00936EE2">
            <w:pPr>
              <w:pStyle w:val="ListParagraph"/>
              <w:numPr>
                <w:ilvl w:val="0"/>
                <w:numId w:val="19"/>
              </w:numPr>
              <w:rPr>
                <w:rFonts w:eastAsia="Times New Roman" w:cs="Helvetica"/>
                <w:color w:val="333333"/>
              </w:rPr>
            </w:pPr>
            <w:r w:rsidRPr="0027083E">
              <w:rPr>
                <w:rFonts w:eastAsia="Times New Roman" w:cs="Helvetica"/>
                <w:color w:val="333333"/>
              </w:rPr>
              <w:t xml:space="preserve">monopoly capital, </w:t>
            </w:r>
          </w:p>
          <w:p w:rsidR="0027083E" w:rsidRPr="0027083E" w:rsidRDefault="0027083E" w:rsidP="00936EE2">
            <w:pPr>
              <w:pStyle w:val="ListParagraph"/>
              <w:numPr>
                <w:ilvl w:val="0"/>
                <w:numId w:val="19"/>
              </w:numPr>
              <w:rPr>
                <w:rFonts w:eastAsia="Times New Roman" w:cs="Helvetica"/>
                <w:color w:val="333333"/>
              </w:rPr>
            </w:pPr>
            <w:r w:rsidRPr="0027083E">
              <w:rPr>
                <w:rFonts w:eastAsia="Times New Roman" w:cs="Helvetica"/>
                <w:color w:val="333333"/>
              </w:rPr>
              <w:t xml:space="preserve">lack of transformation (deracialisation), </w:t>
            </w:r>
          </w:p>
          <w:p w:rsidR="0027083E" w:rsidRPr="0027083E" w:rsidRDefault="0027083E" w:rsidP="00936EE2">
            <w:pPr>
              <w:pStyle w:val="ListParagraph"/>
              <w:numPr>
                <w:ilvl w:val="0"/>
                <w:numId w:val="19"/>
              </w:numPr>
              <w:rPr>
                <w:rFonts w:eastAsia="Times New Roman" w:cs="Helvetica"/>
                <w:color w:val="333333"/>
              </w:rPr>
            </w:pPr>
            <w:r w:rsidRPr="0027083E">
              <w:rPr>
                <w:rFonts w:eastAsia="Times New Roman" w:cs="Helvetica"/>
                <w:color w:val="333333"/>
              </w:rPr>
              <w:t xml:space="preserve">wage gap, </w:t>
            </w:r>
          </w:p>
          <w:p w:rsidR="0027083E" w:rsidRPr="0027083E" w:rsidRDefault="0027083E" w:rsidP="00936EE2">
            <w:pPr>
              <w:pStyle w:val="ListParagraph"/>
              <w:numPr>
                <w:ilvl w:val="0"/>
                <w:numId w:val="19"/>
              </w:numPr>
              <w:rPr>
                <w:rFonts w:eastAsia="Times New Roman" w:cs="Helvetica"/>
                <w:color w:val="333333"/>
              </w:rPr>
            </w:pPr>
            <w:r w:rsidRPr="0027083E">
              <w:rPr>
                <w:rFonts w:eastAsia="Times New Roman" w:cs="Helvetica"/>
                <w:color w:val="333333"/>
              </w:rPr>
              <w:t>outsourcing and rising casualisation of employees</w:t>
            </w:r>
          </w:p>
          <w:p w:rsidR="0027083E" w:rsidRPr="0027083E" w:rsidRDefault="0027083E" w:rsidP="00936EE2">
            <w:pPr>
              <w:pStyle w:val="ListParagraph"/>
              <w:numPr>
                <w:ilvl w:val="0"/>
                <w:numId w:val="19"/>
              </w:numPr>
              <w:rPr>
                <w:rFonts w:eastAsia="Times New Roman" w:cs="Helvetica"/>
                <w:color w:val="333333"/>
              </w:rPr>
            </w:pPr>
            <w:r w:rsidRPr="0027083E">
              <w:rPr>
                <w:rFonts w:eastAsia="Times New Roman" w:cs="Helvetica"/>
                <w:color w:val="333333"/>
              </w:rPr>
              <w:t>loan sharks and role of the National Credit Regulator</w:t>
            </w:r>
          </w:p>
          <w:p w:rsidR="0027083E" w:rsidRPr="0027083E" w:rsidRDefault="0027083E" w:rsidP="00B35163">
            <w:pPr>
              <w:pStyle w:val="ListParagraph"/>
              <w:rPr>
                <w:rFonts w:eastAsia="Times New Roman" w:cs="Helvetica"/>
                <w:color w:val="333333"/>
              </w:rPr>
            </w:pPr>
          </w:p>
          <w:p w:rsidR="00142063" w:rsidRPr="0027083E" w:rsidRDefault="00142063" w:rsidP="00142063">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27083E" w:rsidRPr="0027083E" w:rsidRDefault="0027083E" w:rsidP="00936EE2">
            <w:pPr>
              <w:pStyle w:val="ListParagraph"/>
              <w:numPr>
                <w:ilvl w:val="0"/>
                <w:numId w:val="19"/>
              </w:numPr>
              <w:rPr>
                <w:rFonts w:eastAsia="Times New Roman" w:cs="Helvetica"/>
                <w:color w:val="333333"/>
              </w:rPr>
            </w:pPr>
            <w:r w:rsidRPr="0027083E">
              <w:rPr>
                <w:rFonts w:eastAsia="Times New Roman" w:cs="Helvetica"/>
                <w:color w:val="333333"/>
              </w:rPr>
              <w:t xml:space="preserve">save and create jobs </w:t>
            </w:r>
          </w:p>
          <w:p w:rsidR="0027083E" w:rsidRPr="0027083E" w:rsidRDefault="0027083E" w:rsidP="00936EE2">
            <w:pPr>
              <w:pStyle w:val="ListParagraph"/>
              <w:numPr>
                <w:ilvl w:val="0"/>
                <w:numId w:val="19"/>
              </w:numPr>
              <w:rPr>
                <w:rFonts w:eastAsia="Times New Roman" w:cs="Helvetica"/>
                <w:color w:val="333333"/>
              </w:rPr>
            </w:pPr>
            <w:r w:rsidRPr="0027083E">
              <w:rPr>
                <w:rFonts w:eastAsia="Times New Roman" w:cs="Helvetica"/>
                <w:color w:val="333333"/>
              </w:rPr>
              <w:t xml:space="preserve">nationalise the SARB </w:t>
            </w:r>
          </w:p>
          <w:p w:rsidR="0027083E" w:rsidRPr="0027083E" w:rsidRDefault="0027083E" w:rsidP="00936EE2">
            <w:pPr>
              <w:pStyle w:val="ListParagraph"/>
              <w:numPr>
                <w:ilvl w:val="0"/>
                <w:numId w:val="19"/>
              </w:numPr>
              <w:rPr>
                <w:rFonts w:eastAsia="Times New Roman" w:cs="Helvetica"/>
                <w:color w:val="333333"/>
              </w:rPr>
            </w:pPr>
            <w:r w:rsidRPr="0027083E">
              <w:rPr>
                <w:rFonts w:eastAsia="Times New Roman" w:cs="Helvetica"/>
                <w:color w:val="333333"/>
              </w:rPr>
              <w:t>support for lower income workers savings</w:t>
            </w:r>
          </w:p>
          <w:p w:rsidR="0027083E" w:rsidRPr="0027083E" w:rsidRDefault="0027083E" w:rsidP="00936EE2">
            <w:pPr>
              <w:pStyle w:val="ListParagraph"/>
              <w:numPr>
                <w:ilvl w:val="0"/>
                <w:numId w:val="19"/>
              </w:numPr>
              <w:rPr>
                <w:rFonts w:eastAsia="Times New Roman" w:cs="Helvetica"/>
                <w:color w:val="333333"/>
              </w:rPr>
            </w:pPr>
            <w:r w:rsidRPr="0027083E">
              <w:rPr>
                <w:rFonts w:eastAsia="Times New Roman" w:cs="Helvetica"/>
                <w:color w:val="333333"/>
              </w:rPr>
              <w:t>the auctioning off of small business farms, houses and assets,</w:t>
            </w:r>
          </w:p>
          <w:p w:rsidR="0027083E" w:rsidRPr="0027083E" w:rsidRDefault="0027083E" w:rsidP="00B35163">
            <w:pPr>
              <w:pStyle w:val="ListParagraph"/>
              <w:rPr>
                <w:rFonts w:eastAsia="Times New Roman" w:cs="Helvetica"/>
                <w:color w:val="333333"/>
              </w:rPr>
            </w:pPr>
          </w:p>
        </w:tc>
      </w:tr>
      <w:tr w:rsidR="0027083E" w:rsidRPr="0027083E" w:rsidTr="0027083E">
        <w:tc>
          <w:tcPr>
            <w:tcW w:w="1219" w:type="pct"/>
          </w:tcPr>
          <w:p w:rsidR="0027083E" w:rsidRPr="0027083E" w:rsidRDefault="0027083E" w:rsidP="00B35163">
            <w:pPr>
              <w:rPr>
                <w:rFonts w:eastAsia="Times New Roman" w:cs="Helvetica"/>
                <w:b/>
                <w:bCs/>
                <w:color w:val="333333"/>
              </w:rPr>
            </w:pPr>
            <w:r w:rsidRPr="0027083E">
              <w:rPr>
                <w:rFonts w:eastAsia="Times New Roman" w:cs="Helvetica"/>
                <w:b/>
                <w:bCs/>
                <w:color w:val="333333"/>
              </w:rPr>
              <w:lastRenderedPageBreak/>
              <w:t>SACP</w:t>
            </w:r>
          </w:p>
        </w:tc>
        <w:tc>
          <w:tcPr>
            <w:tcW w:w="3781" w:type="pct"/>
          </w:tcPr>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 xml:space="preserve">Intro: </w:t>
            </w:r>
          </w:p>
          <w:p w:rsidR="0027083E" w:rsidRPr="0027083E" w:rsidRDefault="0027083E" w:rsidP="00936EE2">
            <w:pPr>
              <w:pStyle w:val="ListParagraph"/>
              <w:numPr>
                <w:ilvl w:val="0"/>
                <w:numId w:val="41"/>
              </w:numPr>
              <w:rPr>
                <w:rFonts w:eastAsia="Times New Roman" w:cs="Helvetica"/>
                <w:color w:val="333333"/>
              </w:rPr>
            </w:pPr>
            <w:r w:rsidRPr="0027083E">
              <w:rPr>
                <w:rFonts w:eastAsia="Times New Roman" w:cs="Helvetica"/>
                <w:color w:val="333333"/>
              </w:rPr>
              <w:t xml:space="preserve">The challenges of transformation could be traced back to non-adherence to the agreements of the 2002 NEDLAC Summit. </w:t>
            </w:r>
          </w:p>
          <w:p w:rsidR="0027083E" w:rsidRPr="0027083E" w:rsidRDefault="0027083E" w:rsidP="00936EE2">
            <w:pPr>
              <w:pStyle w:val="ListParagraph"/>
              <w:numPr>
                <w:ilvl w:val="0"/>
                <w:numId w:val="41"/>
              </w:numPr>
              <w:rPr>
                <w:rFonts w:eastAsia="Times New Roman" w:cs="Helvetica"/>
                <w:color w:val="333333"/>
              </w:rPr>
            </w:pPr>
            <w:r w:rsidRPr="0027083E">
              <w:rPr>
                <w:rFonts w:eastAsia="Times New Roman" w:cs="Helvetica"/>
                <w:color w:val="333333"/>
              </w:rPr>
              <w:t>The SACP supported the licensing of the Postbank.</w:t>
            </w:r>
          </w:p>
          <w:p w:rsidR="0027083E" w:rsidRPr="0027083E" w:rsidRDefault="0027083E" w:rsidP="00B35163">
            <w:pPr>
              <w:rPr>
                <w:rFonts w:eastAsia="Times New Roman" w:cs="Helvetica"/>
                <w:color w:val="333333"/>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Challenges/concerns identified:</w:t>
            </w:r>
          </w:p>
          <w:p w:rsidR="0027083E" w:rsidRPr="0027083E" w:rsidRDefault="0027083E" w:rsidP="00936EE2">
            <w:pPr>
              <w:pStyle w:val="ListParagraph"/>
              <w:numPr>
                <w:ilvl w:val="0"/>
                <w:numId w:val="40"/>
              </w:numPr>
              <w:rPr>
                <w:rFonts w:eastAsia="Times New Roman" w:cs="Helvetica"/>
                <w:color w:val="333333"/>
              </w:rPr>
            </w:pPr>
            <w:r w:rsidRPr="0027083E">
              <w:rPr>
                <w:rFonts w:eastAsia="Times New Roman" w:cs="Helvetica"/>
                <w:color w:val="333333"/>
              </w:rPr>
              <w:t>the FS Charter was a failed promise that needed to be reviewed and judging from the comments from FS Charter Council the performance of the sector is unsatisfactory.</w:t>
            </w:r>
          </w:p>
          <w:p w:rsidR="0027083E" w:rsidRPr="0027083E" w:rsidRDefault="0027083E" w:rsidP="00936EE2">
            <w:pPr>
              <w:pStyle w:val="ListParagraph"/>
              <w:numPr>
                <w:ilvl w:val="0"/>
                <w:numId w:val="40"/>
              </w:numPr>
              <w:rPr>
                <w:rFonts w:eastAsia="Times New Roman" w:cs="Helvetica"/>
                <w:color w:val="333333"/>
              </w:rPr>
            </w:pPr>
            <w:r w:rsidRPr="0027083E">
              <w:rPr>
                <w:rFonts w:eastAsia="Times New Roman" w:cs="Helvetica"/>
                <w:color w:val="333333"/>
              </w:rPr>
              <w:t xml:space="preserve">The commitments of banks on management control have not been met. </w:t>
            </w:r>
          </w:p>
          <w:p w:rsidR="0027083E" w:rsidRPr="0027083E" w:rsidRDefault="0027083E" w:rsidP="00936EE2">
            <w:pPr>
              <w:pStyle w:val="ListParagraph"/>
              <w:numPr>
                <w:ilvl w:val="0"/>
                <w:numId w:val="40"/>
              </w:numPr>
              <w:rPr>
                <w:rFonts w:eastAsia="Times New Roman" w:cs="Helvetica"/>
                <w:color w:val="333333"/>
              </w:rPr>
            </w:pPr>
            <w:r w:rsidRPr="0027083E">
              <w:rPr>
                <w:rFonts w:eastAsia="Times New Roman" w:cs="Helvetica"/>
                <w:color w:val="333333"/>
              </w:rPr>
              <w:t>Trade-off transactions were not always opened up to the public and banks in SA took advantage of the closed nature of these transactions.</w:t>
            </w:r>
          </w:p>
          <w:p w:rsidR="0027083E" w:rsidRPr="0027083E" w:rsidRDefault="0027083E" w:rsidP="00936EE2">
            <w:pPr>
              <w:pStyle w:val="ListParagraph"/>
              <w:numPr>
                <w:ilvl w:val="0"/>
                <w:numId w:val="40"/>
              </w:numPr>
              <w:rPr>
                <w:rFonts w:eastAsia="Times New Roman" w:cs="Helvetica"/>
                <w:color w:val="333333"/>
              </w:rPr>
            </w:pPr>
            <w:r w:rsidRPr="0027083E">
              <w:rPr>
                <w:rFonts w:eastAsia="Times New Roman" w:cs="Helvetica"/>
                <w:color w:val="333333"/>
              </w:rPr>
              <w:t>The payments system prevents new entry/competition</w:t>
            </w:r>
          </w:p>
          <w:p w:rsidR="0027083E" w:rsidRPr="0027083E" w:rsidRDefault="0027083E" w:rsidP="00B35163">
            <w:pPr>
              <w:rPr>
                <w:rFonts w:eastAsia="Times New Roman" w:cs="Helvetica"/>
                <w:b/>
                <w:color w:val="333333"/>
                <w:u w:val="single"/>
              </w:rPr>
            </w:pPr>
          </w:p>
          <w:p w:rsidR="00142063" w:rsidRPr="0027083E" w:rsidRDefault="00142063" w:rsidP="00142063">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27083E" w:rsidRPr="0027083E" w:rsidRDefault="0027083E" w:rsidP="00936EE2">
            <w:pPr>
              <w:pStyle w:val="ListParagraph"/>
              <w:numPr>
                <w:ilvl w:val="0"/>
                <w:numId w:val="39"/>
              </w:numPr>
              <w:rPr>
                <w:rFonts w:eastAsia="Times New Roman" w:cs="Helvetica"/>
                <w:color w:val="333333"/>
              </w:rPr>
            </w:pPr>
            <w:r w:rsidRPr="0027083E">
              <w:rPr>
                <w:rFonts w:eastAsia="Times New Roman" w:cs="Helvetica"/>
                <w:color w:val="333333"/>
              </w:rPr>
              <w:t xml:space="preserve">Legislation on insurance policies needs to be altered so that insurance paid out would help people retain their houses even if they lost their jobs. </w:t>
            </w:r>
          </w:p>
          <w:p w:rsidR="0027083E" w:rsidRPr="0027083E" w:rsidRDefault="0027083E" w:rsidP="00936EE2">
            <w:pPr>
              <w:pStyle w:val="ListParagraph"/>
              <w:numPr>
                <w:ilvl w:val="0"/>
                <w:numId w:val="20"/>
              </w:numPr>
              <w:rPr>
                <w:rFonts w:eastAsia="Times New Roman" w:cs="Helvetica"/>
                <w:color w:val="333333"/>
              </w:rPr>
            </w:pPr>
            <w:r w:rsidRPr="0027083E">
              <w:rPr>
                <w:rFonts w:eastAsia="Times New Roman" w:cs="Helvetica"/>
                <w:color w:val="333333"/>
              </w:rPr>
              <w:t xml:space="preserve">the over 200 FSregulations should be streamlined, </w:t>
            </w:r>
          </w:p>
          <w:p w:rsidR="0027083E" w:rsidRPr="0027083E" w:rsidRDefault="0027083E" w:rsidP="00936EE2">
            <w:pPr>
              <w:pStyle w:val="ListParagraph"/>
              <w:numPr>
                <w:ilvl w:val="0"/>
                <w:numId w:val="20"/>
              </w:numPr>
              <w:rPr>
                <w:rFonts w:eastAsia="Times New Roman" w:cs="Helvetica"/>
                <w:color w:val="333333"/>
              </w:rPr>
            </w:pPr>
            <w:r w:rsidRPr="0027083E">
              <w:rPr>
                <w:rFonts w:eastAsia="Times New Roman" w:cs="Helvetica"/>
                <w:color w:val="333333"/>
              </w:rPr>
              <w:lastRenderedPageBreak/>
              <w:t>The SACP supports the 2017 FSS and suggests that SCOF monitors implementation of agreements that arise from the summit  it to ensure that transformation is achieved in the FS</w:t>
            </w:r>
          </w:p>
          <w:p w:rsidR="0027083E" w:rsidRPr="0027083E" w:rsidRDefault="0027083E" w:rsidP="00936EE2">
            <w:pPr>
              <w:pStyle w:val="ListParagraph"/>
              <w:numPr>
                <w:ilvl w:val="0"/>
                <w:numId w:val="20"/>
              </w:numPr>
              <w:rPr>
                <w:rFonts w:eastAsia="Times New Roman" w:cs="Helvetica"/>
                <w:color w:val="333333"/>
              </w:rPr>
            </w:pPr>
            <w:r w:rsidRPr="0027083E">
              <w:rPr>
                <w:rFonts w:eastAsia="Times New Roman" w:cs="Helvetica"/>
                <w:color w:val="333333"/>
              </w:rPr>
              <w:t xml:space="preserve">Access to empowerment financing for black shareholders was low hence the trade-off transactions and access to empowerment financing for black shareholders must be addressed. </w:t>
            </w:r>
          </w:p>
          <w:p w:rsidR="0027083E" w:rsidRPr="0027083E" w:rsidRDefault="0027083E" w:rsidP="00936EE2">
            <w:pPr>
              <w:pStyle w:val="ListParagraph"/>
              <w:numPr>
                <w:ilvl w:val="0"/>
                <w:numId w:val="20"/>
              </w:numPr>
              <w:rPr>
                <w:rFonts w:eastAsia="Times New Roman" w:cs="Helvetica"/>
                <w:color w:val="333333"/>
              </w:rPr>
            </w:pPr>
            <w:r w:rsidRPr="0027083E">
              <w:rPr>
                <w:rFonts w:eastAsia="Times New Roman" w:cs="Helvetica"/>
                <w:color w:val="333333"/>
              </w:rPr>
              <w:t>More focus and funding needs to be given to the co-op banks development agency</w:t>
            </w:r>
            <w:r w:rsidRPr="0027083E">
              <w:rPr>
                <w:rFonts w:eastAsia="Times New Roman" w:cs="Helvetica"/>
                <w:color w:val="333333"/>
              </w:rPr>
              <w:br/>
            </w:r>
          </w:p>
        </w:tc>
      </w:tr>
      <w:tr w:rsidR="00312E22" w:rsidRPr="0027083E" w:rsidTr="00312E22">
        <w:tc>
          <w:tcPr>
            <w:tcW w:w="5000" w:type="pct"/>
            <w:gridSpan w:val="2"/>
            <w:shd w:val="clear" w:color="auto" w:fill="BFBFBF" w:themeFill="background1" w:themeFillShade="BF"/>
          </w:tcPr>
          <w:p w:rsidR="00312E22" w:rsidRPr="00312E22" w:rsidRDefault="00312E22" w:rsidP="00312E22">
            <w:pPr>
              <w:jc w:val="center"/>
              <w:rPr>
                <w:rFonts w:eastAsia="Times New Roman" w:cs="Helvetica"/>
                <w:b/>
                <w:color w:val="333333"/>
                <w:u w:val="single"/>
              </w:rPr>
            </w:pPr>
            <w:r w:rsidRPr="00312E22">
              <w:rPr>
                <w:b/>
                <w:u w:val="single"/>
              </w:rPr>
              <w:lastRenderedPageBreak/>
              <w:t>Industry and industry representative bodies: sector-wide (excludes banking and insurance/asset management)</w:t>
            </w:r>
          </w:p>
        </w:tc>
      </w:tr>
      <w:tr w:rsidR="0027083E" w:rsidRPr="0027083E" w:rsidTr="0027083E">
        <w:tc>
          <w:tcPr>
            <w:tcW w:w="1219" w:type="pct"/>
          </w:tcPr>
          <w:p w:rsidR="0027083E" w:rsidRPr="0027083E" w:rsidRDefault="0027083E" w:rsidP="00B35163">
            <w:pPr>
              <w:rPr>
                <w:rFonts w:eastAsia="Times New Roman" w:cs="Helvetica"/>
                <w:b/>
                <w:bCs/>
                <w:color w:val="333333"/>
              </w:rPr>
            </w:pPr>
            <w:r w:rsidRPr="0027083E">
              <w:rPr>
                <w:rFonts w:eastAsia="Times New Roman" w:cs="Helvetica"/>
                <w:b/>
                <w:bCs/>
                <w:color w:val="333333"/>
              </w:rPr>
              <w:t>Black Business Council (BBC)</w:t>
            </w:r>
          </w:p>
        </w:tc>
        <w:tc>
          <w:tcPr>
            <w:tcW w:w="3781" w:type="pct"/>
          </w:tcPr>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Intro:</w:t>
            </w:r>
          </w:p>
          <w:p w:rsidR="0027083E" w:rsidRPr="0027083E" w:rsidRDefault="0027083E" w:rsidP="00B35163">
            <w:pPr>
              <w:rPr>
                <w:rFonts w:eastAsia="Times New Roman" w:cs="Helvetica"/>
                <w:color w:val="333333"/>
              </w:rPr>
            </w:pPr>
            <w:r w:rsidRPr="0027083E">
              <w:rPr>
                <w:rFonts w:eastAsia="Times New Roman" w:cs="Helvetica"/>
                <w:color w:val="333333"/>
              </w:rPr>
              <w:t>BBC’s aim is to be a successful voice and make sure problems unique to black business and professionals are addressed in a meaningful sense. Radical socio-economic transformation, means fundamental change in the structure, systems, institutions and patterns of ownership, management and control of the economy in favor of all South Africans, especially the poor and the majority of whom are African and female.</w:t>
            </w:r>
          </w:p>
          <w:p w:rsidR="00142063" w:rsidRPr="0027083E" w:rsidRDefault="0027083E" w:rsidP="00142063">
            <w:pPr>
              <w:rPr>
                <w:rFonts w:cs="Tahoma"/>
                <w:b/>
                <w:u w:val="single"/>
              </w:rPr>
            </w:pPr>
            <w:r w:rsidRPr="0027083E">
              <w:rPr>
                <w:rFonts w:eastAsia="Times New Roman" w:cs="Helvetica"/>
                <w:color w:val="333333"/>
              </w:rPr>
              <w:br/>
            </w:r>
            <w:r w:rsidR="00142063" w:rsidRPr="0027083E">
              <w:rPr>
                <w:rFonts w:cs="Tahoma"/>
                <w:b/>
                <w:u w:val="single"/>
              </w:rPr>
              <w:t>Recommendations</w:t>
            </w:r>
            <w:r w:rsidR="00142063">
              <w:rPr>
                <w:rFonts w:cs="Tahoma"/>
                <w:b/>
                <w:u w:val="single"/>
              </w:rPr>
              <w:t xml:space="preserve"> contained in submission</w:t>
            </w:r>
            <w:r w:rsidR="00142063" w:rsidRPr="0027083E">
              <w:rPr>
                <w:rFonts w:cs="Tahoma"/>
                <w:b/>
                <w:u w:val="single"/>
              </w:rPr>
              <w:t>:</w:t>
            </w:r>
          </w:p>
          <w:p w:rsidR="0027083E" w:rsidRPr="0027083E" w:rsidRDefault="0027083E" w:rsidP="00936EE2">
            <w:pPr>
              <w:pStyle w:val="ListParagraph"/>
              <w:numPr>
                <w:ilvl w:val="0"/>
                <w:numId w:val="39"/>
              </w:numPr>
              <w:rPr>
                <w:rFonts w:eastAsia="Times New Roman" w:cs="Helvetica"/>
                <w:color w:val="333333"/>
              </w:rPr>
            </w:pPr>
            <w:r w:rsidRPr="0027083E">
              <w:rPr>
                <w:rFonts w:eastAsia="Times New Roman" w:cs="Helvetica"/>
                <w:color w:val="333333"/>
              </w:rPr>
              <w:t>Government Procurement - 51% should be set aside for black businesses. The Preferential Procurement Policy Framework Act (PPPFA) should be repealed, and the current procurement regulations reviewed.</w:t>
            </w:r>
          </w:p>
          <w:p w:rsidR="0027083E" w:rsidRPr="0027083E" w:rsidRDefault="0027083E" w:rsidP="00936EE2">
            <w:pPr>
              <w:pStyle w:val="ListParagraph"/>
              <w:numPr>
                <w:ilvl w:val="0"/>
                <w:numId w:val="39"/>
              </w:numPr>
              <w:rPr>
                <w:rFonts w:eastAsia="Times New Roman" w:cs="Helvetica"/>
                <w:color w:val="333333"/>
              </w:rPr>
            </w:pPr>
            <w:r w:rsidRPr="0027083E">
              <w:rPr>
                <w:rFonts w:eastAsia="Times New Roman" w:cs="Helvetica"/>
                <w:color w:val="333333"/>
              </w:rPr>
              <w:t>Introduce a Black Industrialist Development Programme (BIDP) - the transversal contract should be ring-fenced to facilitate BIDP. A minimum of R30bn should be made available to fund BIDP and private sector funding should match government funding.</w:t>
            </w:r>
          </w:p>
          <w:p w:rsidR="0027083E" w:rsidRPr="0027083E" w:rsidRDefault="0027083E" w:rsidP="00936EE2">
            <w:pPr>
              <w:pStyle w:val="ListParagraph"/>
              <w:numPr>
                <w:ilvl w:val="0"/>
                <w:numId w:val="39"/>
              </w:numPr>
              <w:rPr>
                <w:rFonts w:eastAsia="Times New Roman" w:cs="Helvetica"/>
                <w:color w:val="333333"/>
              </w:rPr>
            </w:pPr>
            <w:r w:rsidRPr="0027083E">
              <w:rPr>
                <w:rFonts w:eastAsia="Times New Roman" w:cs="Helvetica"/>
                <w:color w:val="333333"/>
              </w:rPr>
              <w:t>All new insurance licence holders must have a minimum black ownership of 51%.</w:t>
            </w:r>
          </w:p>
          <w:p w:rsidR="0027083E" w:rsidRPr="0027083E" w:rsidRDefault="0027083E" w:rsidP="00936EE2">
            <w:pPr>
              <w:pStyle w:val="ListParagraph"/>
              <w:numPr>
                <w:ilvl w:val="0"/>
                <w:numId w:val="39"/>
              </w:numPr>
              <w:rPr>
                <w:rFonts w:eastAsia="Times New Roman" w:cs="Helvetica"/>
                <w:color w:val="333333"/>
              </w:rPr>
            </w:pPr>
            <w:r w:rsidRPr="0027083E">
              <w:rPr>
                <w:rFonts w:eastAsia="Times New Roman" w:cs="Helvetica"/>
                <w:color w:val="333333"/>
              </w:rPr>
              <w:t>30 day payment of suppliers should be non negotiable. Non-payment should be punishable as part of performance agreement for accounting officers and this should be enforced by the National Treasury.</w:t>
            </w:r>
          </w:p>
          <w:p w:rsidR="0027083E" w:rsidRPr="0027083E" w:rsidRDefault="0027083E" w:rsidP="00936EE2">
            <w:pPr>
              <w:pStyle w:val="ListParagraph"/>
              <w:numPr>
                <w:ilvl w:val="0"/>
                <w:numId w:val="39"/>
              </w:numPr>
              <w:rPr>
                <w:rFonts w:eastAsia="Times New Roman" w:cs="Helvetica"/>
                <w:color w:val="333333"/>
              </w:rPr>
            </w:pPr>
            <w:r w:rsidRPr="0027083E">
              <w:rPr>
                <w:rFonts w:eastAsia="Times New Roman" w:cs="Helvetica"/>
                <w:color w:val="333333"/>
              </w:rPr>
              <w:t>‘Once empowered, always empowered’ principle needs to be dealt with.</w:t>
            </w:r>
          </w:p>
          <w:p w:rsidR="0027083E" w:rsidRPr="0027083E" w:rsidRDefault="0027083E" w:rsidP="00936EE2">
            <w:pPr>
              <w:pStyle w:val="ListParagraph"/>
              <w:numPr>
                <w:ilvl w:val="0"/>
                <w:numId w:val="39"/>
              </w:numPr>
              <w:rPr>
                <w:rFonts w:eastAsia="Times New Roman" w:cs="Helvetica"/>
                <w:color w:val="333333"/>
              </w:rPr>
            </w:pPr>
            <w:r w:rsidRPr="0027083E">
              <w:rPr>
                <w:rFonts w:eastAsia="Times New Roman" w:cs="Helvetica"/>
                <w:color w:val="333333"/>
              </w:rPr>
              <w:t>An exemption should be made for BEE transactions since there is reliance on dividends to repay the debt or funding.</w:t>
            </w:r>
          </w:p>
          <w:p w:rsidR="0027083E" w:rsidRPr="0027083E" w:rsidRDefault="0027083E" w:rsidP="00936EE2">
            <w:pPr>
              <w:pStyle w:val="ListParagraph"/>
              <w:numPr>
                <w:ilvl w:val="0"/>
                <w:numId w:val="39"/>
              </w:numPr>
              <w:rPr>
                <w:rFonts w:eastAsia="Times New Roman" w:cs="Helvetica"/>
                <w:color w:val="333333"/>
              </w:rPr>
            </w:pPr>
            <w:r w:rsidRPr="0027083E">
              <w:rPr>
                <w:rFonts w:eastAsia="Times New Roman" w:cs="Helvetica"/>
                <w:color w:val="333333"/>
              </w:rPr>
              <w:t>At least a minimum of R50bn for black SMMEs should be funded by the sector.</w:t>
            </w:r>
          </w:p>
          <w:p w:rsidR="0027083E" w:rsidRPr="0027083E" w:rsidRDefault="0027083E" w:rsidP="00936EE2">
            <w:pPr>
              <w:pStyle w:val="ListParagraph"/>
              <w:numPr>
                <w:ilvl w:val="0"/>
                <w:numId w:val="39"/>
              </w:numPr>
              <w:rPr>
                <w:rFonts w:eastAsia="Times New Roman" w:cs="Helvetica"/>
                <w:color w:val="333333"/>
              </w:rPr>
            </w:pPr>
            <w:r w:rsidRPr="0027083E">
              <w:rPr>
                <w:rFonts w:eastAsia="Times New Roman" w:cs="Helvetica"/>
                <w:color w:val="333333"/>
              </w:rPr>
              <w:t xml:space="preserve">There must be set-asides of up to 35% for black entrepreneurs and that should be a condition for licencing new insurance licence holders. </w:t>
            </w:r>
          </w:p>
          <w:p w:rsidR="0027083E" w:rsidRPr="0027083E" w:rsidRDefault="0027083E" w:rsidP="00936EE2">
            <w:pPr>
              <w:pStyle w:val="ListParagraph"/>
              <w:numPr>
                <w:ilvl w:val="0"/>
                <w:numId w:val="39"/>
              </w:numPr>
              <w:rPr>
                <w:rFonts w:eastAsia="Times New Roman" w:cs="Helvetica"/>
                <w:color w:val="333333"/>
              </w:rPr>
            </w:pPr>
            <w:r w:rsidRPr="0027083E">
              <w:rPr>
                <w:rFonts w:eastAsia="Times New Roman" w:cs="Helvetica"/>
                <w:color w:val="333333"/>
              </w:rPr>
              <w:t>At least a minimum of 30% of financial services companies should be allocated to black asset managers to manage as part of black enterprise development.</w:t>
            </w:r>
          </w:p>
          <w:p w:rsidR="0027083E" w:rsidRPr="0027083E" w:rsidRDefault="0027083E" w:rsidP="00936EE2">
            <w:pPr>
              <w:pStyle w:val="ListParagraph"/>
              <w:numPr>
                <w:ilvl w:val="0"/>
                <w:numId w:val="39"/>
              </w:numPr>
              <w:rPr>
                <w:rFonts w:eastAsia="Times New Roman" w:cs="Helvetica"/>
                <w:color w:val="333333"/>
              </w:rPr>
            </w:pPr>
            <w:r w:rsidRPr="0027083E">
              <w:rPr>
                <w:rFonts w:eastAsia="Times New Roman" w:cs="Helvetica"/>
                <w:color w:val="333333"/>
              </w:rPr>
              <w:lastRenderedPageBreak/>
              <w:t>A Financial Sector Commission should be set up to monitor performance and progress of the sector.</w:t>
            </w:r>
          </w:p>
          <w:p w:rsidR="0027083E" w:rsidRPr="0027083E" w:rsidRDefault="0027083E" w:rsidP="00936EE2">
            <w:pPr>
              <w:pStyle w:val="ListParagraph"/>
              <w:numPr>
                <w:ilvl w:val="0"/>
                <w:numId w:val="39"/>
              </w:numPr>
              <w:rPr>
                <w:rFonts w:eastAsia="Times New Roman" w:cs="Helvetica"/>
                <w:color w:val="333333"/>
              </w:rPr>
            </w:pPr>
            <w:r w:rsidRPr="0027083E">
              <w:rPr>
                <w:rFonts w:eastAsia="Times New Roman" w:cs="Helvetica"/>
                <w:color w:val="333333"/>
              </w:rPr>
              <w:t>There should be skills development and progression of black professionals to deracialise the sector.</w:t>
            </w:r>
          </w:p>
          <w:p w:rsidR="0027083E" w:rsidRPr="0027083E" w:rsidRDefault="0027083E" w:rsidP="00936EE2">
            <w:pPr>
              <w:pStyle w:val="ListParagraph"/>
              <w:numPr>
                <w:ilvl w:val="0"/>
                <w:numId w:val="39"/>
              </w:numPr>
              <w:rPr>
                <w:rFonts w:eastAsia="Times New Roman" w:cs="Helvetica"/>
                <w:color w:val="333333"/>
              </w:rPr>
            </w:pPr>
            <w:r w:rsidRPr="0027083E">
              <w:rPr>
                <w:rFonts w:eastAsia="Times New Roman" w:cs="Helvetica"/>
                <w:color w:val="333333"/>
              </w:rPr>
              <w:t xml:space="preserve">BEE ownership must be a JSE listing requirement. </w:t>
            </w:r>
          </w:p>
          <w:p w:rsidR="0027083E" w:rsidRPr="0027083E" w:rsidRDefault="0027083E" w:rsidP="00936EE2">
            <w:pPr>
              <w:pStyle w:val="ListParagraph"/>
              <w:numPr>
                <w:ilvl w:val="0"/>
                <w:numId w:val="39"/>
              </w:numPr>
              <w:rPr>
                <w:rFonts w:eastAsia="Times New Roman" w:cs="Helvetica"/>
                <w:color w:val="333333"/>
              </w:rPr>
            </w:pPr>
            <w:r w:rsidRPr="0027083E">
              <w:rPr>
                <w:rFonts w:eastAsia="Times New Roman" w:cs="Helvetica"/>
                <w:color w:val="333333"/>
              </w:rPr>
              <w:t>The BEE rating agencies and audit firms for insurance should be totally reviewed.</w:t>
            </w:r>
            <w:r w:rsidRPr="0027083E">
              <w:rPr>
                <w:rFonts w:eastAsia="Times New Roman" w:cs="Helvetica"/>
                <w:color w:val="333333"/>
              </w:rPr>
              <w:br/>
            </w:r>
          </w:p>
        </w:tc>
      </w:tr>
      <w:tr w:rsidR="0027083E" w:rsidRPr="0027083E" w:rsidTr="0027083E">
        <w:tc>
          <w:tcPr>
            <w:tcW w:w="1219" w:type="pct"/>
          </w:tcPr>
          <w:p w:rsidR="0027083E" w:rsidRPr="0027083E" w:rsidRDefault="0027083E" w:rsidP="00B35163">
            <w:pPr>
              <w:rPr>
                <w:rFonts w:eastAsia="Times New Roman" w:cs="Helvetica"/>
                <w:b/>
                <w:bCs/>
                <w:color w:val="333333"/>
              </w:rPr>
            </w:pPr>
            <w:r w:rsidRPr="0027083E">
              <w:rPr>
                <w:rFonts w:eastAsia="Times New Roman" w:cs="Helvetica"/>
                <w:b/>
                <w:bCs/>
                <w:color w:val="333333"/>
              </w:rPr>
              <w:lastRenderedPageBreak/>
              <w:t>Actuaries Lekgotla</w:t>
            </w:r>
          </w:p>
        </w:tc>
        <w:tc>
          <w:tcPr>
            <w:tcW w:w="3781" w:type="pct"/>
          </w:tcPr>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Intro:</w:t>
            </w:r>
          </w:p>
          <w:p w:rsidR="00312E22" w:rsidRDefault="00312E22" w:rsidP="00312E22">
            <w:pPr>
              <w:rPr>
                <w:rFonts w:eastAsia="Times New Roman" w:cs="Helvetica"/>
                <w:color w:val="333333"/>
              </w:rPr>
            </w:pPr>
          </w:p>
          <w:p w:rsidR="0027083E" w:rsidRPr="00312E22" w:rsidRDefault="00312E22" w:rsidP="00312E22">
            <w:pPr>
              <w:rPr>
                <w:rFonts w:eastAsia="Times New Roman" w:cs="Helvetica"/>
                <w:color w:val="333333"/>
              </w:rPr>
            </w:pPr>
            <w:r w:rsidRPr="00312E22">
              <w:rPr>
                <w:rFonts w:eastAsia="Times New Roman" w:cs="Helvetica"/>
                <w:color w:val="333333"/>
              </w:rPr>
              <w:t xml:space="preserve"> Actuaries Lekgotla was formed in 2016 and is made up of actuarial professionals working in South Africa. </w:t>
            </w:r>
            <w:r w:rsidR="0027083E" w:rsidRPr="00312E22">
              <w:rPr>
                <w:rFonts w:eastAsia="Times New Roman" w:cs="Helvetica"/>
                <w:color w:val="333333"/>
              </w:rPr>
              <w:t xml:space="preserve">Black actuaries are very frustrated with the slow pace of deracialisation and transformation in the financial services sector as well as salary differentials between black and white actuaries. </w:t>
            </w:r>
          </w:p>
          <w:p w:rsidR="0027083E" w:rsidRPr="0027083E" w:rsidRDefault="0027083E" w:rsidP="00312E22">
            <w:pPr>
              <w:pStyle w:val="ListParagraph"/>
              <w:rPr>
                <w:rFonts w:eastAsia="Times New Roman" w:cs="Helvetica"/>
                <w:color w:val="333333"/>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Challenges/concerns identified:</w:t>
            </w:r>
          </w:p>
          <w:p w:rsidR="0027083E" w:rsidRPr="0027083E" w:rsidRDefault="0027083E" w:rsidP="00936EE2">
            <w:pPr>
              <w:pStyle w:val="ListParagraph"/>
              <w:numPr>
                <w:ilvl w:val="0"/>
                <w:numId w:val="50"/>
              </w:numPr>
              <w:rPr>
                <w:rFonts w:eastAsia="Times New Roman" w:cs="Helvetica"/>
                <w:color w:val="333333"/>
              </w:rPr>
            </w:pPr>
            <w:r w:rsidRPr="0027083E">
              <w:rPr>
                <w:rFonts w:eastAsia="Times New Roman" w:cs="Helvetica"/>
                <w:color w:val="333333"/>
              </w:rPr>
              <w:t xml:space="preserve">There is a lack of a deliberate attempts to transform across the board. Senior leadership in companies and the Actuarial Society of SA (ASSA) are mostly white. </w:t>
            </w:r>
          </w:p>
          <w:p w:rsidR="0027083E" w:rsidRPr="0027083E" w:rsidRDefault="0027083E" w:rsidP="00936EE2">
            <w:pPr>
              <w:pStyle w:val="ListParagraph"/>
              <w:numPr>
                <w:ilvl w:val="0"/>
                <w:numId w:val="50"/>
              </w:numPr>
              <w:rPr>
                <w:rFonts w:eastAsia="Times New Roman" w:cs="Helvetica"/>
                <w:color w:val="333333"/>
              </w:rPr>
            </w:pPr>
            <w:r w:rsidRPr="0027083E">
              <w:rPr>
                <w:rFonts w:eastAsia="Times New Roman" w:cs="Helvetica"/>
                <w:color w:val="333333"/>
              </w:rPr>
              <w:t xml:space="preserve">There are unequal opportunities or exposure across race and gender. </w:t>
            </w:r>
          </w:p>
          <w:p w:rsidR="0027083E" w:rsidRPr="0027083E" w:rsidRDefault="0027083E" w:rsidP="00936EE2">
            <w:pPr>
              <w:pStyle w:val="ListParagraph"/>
              <w:numPr>
                <w:ilvl w:val="0"/>
                <w:numId w:val="50"/>
              </w:numPr>
              <w:rPr>
                <w:rFonts w:eastAsia="Times New Roman" w:cs="Helvetica"/>
                <w:color w:val="333333"/>
              </w:rPr>
            </w:pPr>
            <w:r w:rsidRPr="0027083E">
              <w:rPr>
                <w:rFonts w:eastAsia="Times New Roman" w:cs="Helvetica"/>
                <w:color w:val="333333"/>
              </w:rPr>
              <w:t xml:space="preserve">There is a lack of effective mentorship for black actuaries. </w:t>
            </w:r>
          </w:p>
          <w:p w:rsidR="0027083E" w:rsidRPr="0027083E" w:rsidRDefault="0027083E" w:rsidP="00B35163">
            <w:pPr>
              <w:pStyle w:val="ListParagraph"/>
              <w:rPr>
                <w:rFonts w:eastAsia="Times New Roman" w:cs="Helvetica"/>
                <w:color w:val="333333"/>
              </w:rPr>
            </w:pPr>
          </w:p>
          <w:p w:rsidR="00142063" w:rsidRPr="0027083E" w:rsidRDefault="00142063" w:rsidP="00142063">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27083E" w:rsidRPr="0027083E" w:rsidRDefault="0027083E" w:rsidP="00936EE2">
            <w:pPr>
              <w:pStyle w:val="ListParagraph"/>
              <w:numPr>
                <w:ilvl w:val="0"/>
                <w:numId w:val="51"/>
              </w:numPr>
              <w:rPr>
                <w:rFonts w:eastAsia="Times New Roman" w:cs="Helvetica"/>
                <w:color w:val="333333"/>
              </w:rPr>
            </w:pPr>
            <w:r w:rsidRPr="0027083E">
              <w:rPr>
                <w:rFonts w:eastAsia="Times New Roman" w:cs="Helvetica"/>
                <w:color w:val="333333"/>
              </w:rPr>
              <w:t>The AL suggests a targeted, formal and effective mentorship programme for black and female professionals to bridge the gap.</w:t>
            </w:r>
          </w:p>
          <w:p w:rsidR="0027083E" w:rsidRPr="0027083E" w:rsidRDefault="0027083E" w:rsidP="00936EE2">
            <w:pPr>
              <w:pStyle w:val="ListParagraph"/>
              <w:numPr>
                <w:ilvl w:val="0"/>
                <w:numId w:val="51"/>
              </w:numPr>
              <w:rPr>
                <w:rFonts w:eastAsia="Times New Roman" w:cs="Helvetica"/>
                <w:color w:val="333333"/>
              </w:rPr>
            </w:pPr>
            <w:r w:rsidRPr="0027083E">
              <w:rPr>
                <w:rFonts w:eastAsia="Times New Roman" w:cs="Helvetica"/>
                <w:color w:val="333333"/>
              </w:rPr>
              <w:t xml:space="preserve">The FS Charter should be promoted to create awareness, push for compliance, fine and name and shame those who do not comply reporting requirements. </w:t>
            </w:r>
          </w:p>
          <w:p w:rsidR="0027083E" w:rsidRPr="0027083E" w:rsidRDefault="0027083E" w:rsidP="00936EE2">
            <w:pPr>
              <w:pStyle w:val="ListParagraph"/>
              <w:numPr>
                <w:ilvl w:val="0"/>
                <w:numId w:val="51"/>
              </w:numPr>
              <w:rPr>
                <w:rFonts w:eastAsia="Times New Roman" w:cs="Helvetica"/>
                <w:color w:val="333333"/>
              </w:rPr>
            </w:pPr>
            <w:r w:rsidRPr="0027083E">
              <w:rPr>
                <w:rFonts w:eastAsia="Times New Roman" w:cs="Helvetica"/>
                <w:color w:val="333333"/>
              </w:rPr>
              <w:t>The use of the salary band to categorise staff as management is open to fronting. A better definition must be sought which links with the influence the individuals have on decisions and resourcing.</w:t>
            </w:r>
          </w:p>
          <w:p w:rsidR="0027083E" w:rsidRPr="0027083E" w:rsidRDefault="0027083E" w:rsidP="00936EE2">
            <w:pPr>
              <w:pStyle w:val="ListParagraph"/>
              <w:numPr>
                <w:ilvl w:val="0"/>
                <w:numId w:val="51"/>
              </w:numPr>
              <w:rPr>
                <w:rFonts w:eastAsia="Times New Roman" w:cs="Helvetica"/>
                <w:color w:val="333333"/>
              </w:rPr>
            </w:pPr>
            <w:r w:rsidRPr="0027083E">
              <w:rPr>
                <w:rFonts w:eastAsia="Times New Roman" w:cs="Helvetica"/>
                <w:color w:val="333333"/>
              </w:rPr>
              <w:t xml:space="preserve">Research has shown that SMEs are a great contributor to job creation and economic growth. Therefore, those that are run by black people should be promoted. </w:t>
            </w:r>
          </w:p>
          <w:p w:rsidR="0027083E" w:rsidRPr="0027083E" w:rsidRDefault="0027083E" w:rsidP="00936EE2">
            <w:pPr>
              <w:pStyle w:val="ListParagraph"/>
              <w:numPr>
                <w:ilvl w:val="0"/>
                <w:numId w:val="51"/>
              </w:numPr>
              <w:rPr>
                <w:rFonts w:eastAsia="Times New Roman" w:cs="Helvetica"/>
                <w:color w:val="333333"/>
              </w:rPr>
            </w:pPr>
            <w:r w:rsidRPr="0027083E">
              <w:rPr>
                <w:rFonts w:eastAsia="Times New Roman" w:cs="Helvetica"/>
                <w:color w:val="333333"/>
              </w:rPr>
              <w:t xml:space="preserve">The AL believes legislation is the only effective way to enforce change because without regulations, organisations have refused to change. </w:t>
            </w:r>
          </w:p>
          <w:p w:rsidR="0027083E" w:rsidRPr="0027083E" w:rsidRDefault="0027083E" w:rsidP="00936EE2">
            <w:pPr>
              <w:pStyle w:val="ListParagraph"/>
              <w:numPr>
                <w:ilvl w:val="0"/>
                <w:numId w:val="51"/>
              </w:numPr>
              <w:rPr>
                <w:rFonts w:eastAsia="Times New Roman" w:cs="Helvetica"/>
                <w:color w:val="333333"/>
              </w:rPr>
            </w:pPr>
            <w:r w:rsidRPr="0027083E">
              <w:rPr>
                <w:rFonts w:eastAsia="Times New Roman" w:cs="Helvetica"/>
                <w:color w:val="333333"/>
              </w:rPr>
              <w:t>Audit rotation for actuarial consultants to help smaller consulting firms to grow should be enforced.</w:t>
            </w:r>
          </w:p>
          <w:p w:rsidR="0027083E" w:rsidRPr="0027083E" w:rsidRDefault="0027083E" w:rsidP="00B35163">
            <w:pPr>
              <w:pStyle w:val="ListParagraph"/>
              <w:rPr>
                <w:rFonts w:eastAsia="Times New Roman" w:cs="Helvetica"/>
                <w:color w:val="333333"/>
              </w:rPr>
            </w:pPr>
          </w:p>
        </w:tc>
      </w:tr>
      <w:tr w:rsidR="0027083E" w:rsidRPr="0027083E" w:rsidTr="0027083E">
        <w:tc>
          <w:tcPr>
            <w:tcW w:w="1219" w:type="pct"/>
          </w:tcPr>
          <w:p w:rsidR="0027083E" w:rsidRPr="0027083E" w:rsidRDefault="0027083E" w:rsidP="00B35163">
            <w:pPr>
              <w:rPr>
                <w:rFonts w:cs="Tahoma"/>
                <w:b/>
              </w:rPr>
            </w:pPr>
            <w:r w:rsidRPr="0027083E">
              <w:rPr>
                <w:rFonts w:cs="Tahoma"/>
                <w:b/>
              </w:rPr>
              <w:lastRenderedPageBreak/>
              <w:t>Black Management Forum (BMF)</w:t>
            </w:r>
            <w:r w:rsidRPr="0027083E">
              <w:rPr>
                <w:rFonts w:cs="Tahoma"/>
                <w:b/>
              </w:rPr>
              <w:tab/>
            </w:r>
          </w:p>
        </w:tc>
        <w:tc>
          <w:tcPr>
            <w:tcW w:w="3781" w:type="pct"/>
          </w:tcPr>
          <w:p w:rsidR="0027083E" w:rsidRPr="0027083E" w:rsidRDefault="0027083E" w:rsidP="00B35163">
            <w:pPr>
              <w:rPr>
                <w:rFonts w:cs="Tahoma"/>
                <w:b/>
                <w:u w:val="single"/>
              </w:rPr>
            </w:pPr>
            <w:r w:rsidRPr="0027083E">
              <w:rPr>
                <w:rFonts w:cs="Tahoma"/>
                <w:b/>
                <w:u w:val="single"/>
              </w:rPr>
              <w:t>Introduction:</w:t>
            </w:r>
          </w:p>
          <w:p w:rsidR="0027083E" w:rsidRPr="0027083E" w:rsidRDefault="0027083E" w:rsidP="00B35163">
            <w:pPr>
              <w:rPr>
                <w:rFonts w:cs="Tahoma"/>
              </w:rPr>
            </w:pPr>
            <w:r w:rsidRPr="0027083E">
              <w:rPr>
                <w:rFonts w:cs="Tahoma"/>
              </w:rPr>
              <w:t>The Black Management Forum (BMF) is a non-racial, thought leadership organisation with the main purpose of influencing socio-economic transformation of our country, in pursuit of socio-economic justice, fairness and equity.</w:t>
            </w:r>
          </w:p>
          <w:p w:rsidR="0027083E" w:rsidRPr="0027083E" w:rsidRDefault="0027083E" w:rsidP="00B35163">
            <w:pPr>
              <w:rPr>
                <w:rFonts w:cs="Tahoma"/>
              </w:rPr>
            </w:pPr>
            <w:r w:rsidRPr="0027083E">
              <w:rPr>
                <w:rFonts w:cs="Tahoma"/>
              </w:rPr>
              <w:t>The submission is confined to broad policy principles against which the BMF’s grievanceswith the Sector are expressed.</w:t>
            </w:r>
          </w:p>
          <w:p w:rsidR="0027083E" w:rsidRPr="0027083E" w:rsidRDefault="0027083E" w:rsidP="00B35163">
            <w:pPr>
              <w:rPr>
                <w:rFonts w:cs="Tahoma"/>
                <w:b/>
                <w:u w:val="single"/>
              </w:rPr>
            </w:pPr>
          </w:p>
          <w:p w:rsidR="0027083E" w:rsidRPr="0027083E" w:rsidRDefault="0027083E" w:rsidP="00B35163">
            <w:pPr>
              <w:rPr>
                <w:rFonts w:cs="Tahoma"/>
                <w:b/>
                <w:u w:val="single"/>
              </w:rPr>
            </w:pPr>
            <w:r w:rsidRPr="0027083E">
              <w:rPr>
                <w:rFonts w:cs="Tahoma"/>
                <w:b/>
                <w:u w:val="single"/>
              </w:rPr>
              <w:t>Challenges/concerns identified:</w:t>
            </w:r>
          </w:p>
          <w:p w:rsidR="0027083E" w:rsidRPr="0027083E" w:rsidRDefault="0027083E" w:rsidP="00B35163">
            <w:pPr>
              <w:rPr>
                <w:rFonts w:cs="Tahoma"/>
                <w:b/>
                <w:u w:val="single"/>
              </w:rPr>
            </w:pPr>
          </w:p>
          <w:p w:rsidR="0027083E" w:rsidRPr="0027083E" w:rsidRDefault="0027083E" w:rsidP="00936EE2">
            <w:pPr>
              <w:pStyle w:val="ListParagraph"/>
              <w:numPr>
                <w:ilvl w:val="0"/>
                <w:numId w:val="17"/>
              </w:numPr>
              <w:rPr>
                <w:rFonts w:cs="Tahoma"/>
              </w:rPr>
            </w:pPr>
            <w:r w:rsidRPr="0027083E">
              <w:rPr>
                <w:rFonts w:cs="Tahoma"/>
              </w:rPr>
              <w:t>Product and Credit Pricing - additional premium spreads are added when pricing products for and extending credit to black people</w:t>
            </w:r>
          </w:p>
          <w:p w:rsidR="0027083E" w:rsidRPr="0027083E" w:rsidRDefault="0027083E" w:rsidP="00936EE2">
            <w:pPr>
              <w:pStyle w:val="ListParagraph"/>
              <w:numPr>
                <w:ilvl w:val="0"/>
                <w:numId w:val="17"/>
              </w:numPr>
              <w:rPr>
                <w:rFonts w:cs="Tahoma"/>
              </w:rPr>
            </w:pPr>
            <w:r w:rsidRPr="0027083E">
              <w:rPr>
                <w:rFonts w:cs="Tahoma"/>
              </w:rPr>
              <w:t>The right product are not marketed to the right target market for the right purpose</w:t>
            </w:r>
          </w:p>
          <w:p w:rsidR="0027083E" w:rsidRPr="0027083E" w:rsidRDefault="0027083E" w:rsidP="00936EE2">
            <w:pPr>
              <w:pStyle w:val="ListParagraph"/>
              <w:numPr>
                <w:ilvl w:val="0"/>
                <w:numId w:val="17"/>
              </w:numPr>
              <w:rPr>
                <w:rFonts w:cs="Tahoma"/>
              </w:rPr>
            </w:pPr>
            <w:r w:rsidRPr="0027083E">
              <w:rPr>
                <w:rFonts w:cs="Tahoma"/>
              </w:rPr>
              <w:t>Purposeful under-servicing of rural and township areas by not allocating services channel infrastructure and/or promoting affordable technologies for the poor to access financial services</w:t>
            </w:r>
          </w:p>
          <w:p w:rsidR="0027083E" w:rsidRPr="0027083E" w:rsidRDefault="0027083E" w:rsidP="00936EE2">
            <w:pPr>
              <w:pStyle w:val="ListParagraph"/>
              <w:numPr>
                <w:ilvl w:val="0"/>
                <w:numId w:val="17"/>
              </w:numPr>
              <w:rPr>
                <w:rFonts w:cs="Tahoma"/>
              </w:rPr>
            </w:pPr>
            <w:r w:rsidRPr="0027083E">
              <w:rPr>
                <w:rFonts w:cs="Tahoma"/>
              </w:rPr>
              <w:t>The sector killed the affordable Mzansi account solution and there is no serious and sustained marketing campaign in the sector to promote the government backed Fundisa/Masifunde Fund.</w:t>
            </w:r>
          </w:p>
          <w:p w:rsidR="0027083E" w:rsidRPr="0027083E" w:rsidRDefault="0027083E" w:rsidP="00B35163">
            <w:pPr>
              <w:rPr>
                <w:rFonts w:cs="Tahoma"/>
                <w:b/>
                <w:u w:val="single"/>
              </w:rPr>
            </w:pPr>
          </w:p>
          <w:p w:rsidR="0027083E" w:rsidRPr="0027083E" w:rsidRDefault="0027083E" w:rsidP="00B35163">
            <w:pPr>
              <w:rPr>
                <w:rFonts w:cs="Tahoma"/>
                <w:b/>
                <w:u w:val="single"/>
              </w:rPr>
            </w:pPr>
          </w:p>
          <w:p w:rsidR="00142063" w:rsidRPr="0027083E" w:rsidRDefault="00142063" w:rsidP="00142063">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27083E" w:rsidRPr="0027083E" w:rsidRDefault="0027083E" w:rsidP="00B35163">
            <w:pPr>
              <w:rPr>
                <w:rFonts w:cs="Tahoma"/>
                <w:b/>
                <w:u w:val="single"/>
              </w:rPr>
            </w:pPr>
          </w:p>
          <w:p w:rsidR="0027083E" w:rsidRPr="0027083E" w:rsidRDefault="0027083E" w:rsidP="00936EE2">
            <w:pPr>
              <w:pStyle w:val="ListParagraph"/>
              <w:numPr>
                <w:ilvl w:val="0"/>
                <w:numId w:val="65"/>
              </w:numPr>
              <w:rPr>
                <w:rFonts w:cs="Tahoma"/>
              </w:rPr>
            </w:pPr>
            <w:r w:rsidRPr="0027083E">
              <w:rPr>
                <w:rFonts w:cs="Tahoma"/>
              </w:rPr>
              <w:t>If the FSC is to remain, it must be amended to meet or exceed the minimum requirements set by the B-BBEE Generic Codes.</w:t>
            </w:r>
          </w:p>
          <w:p w:rsidR="0027083E" w:rsidRPr="0027083E" w:rsidRDefault="0027083E" w:rsidP="00936EE2">
            <w:pPr>
              <w:pStyle w:val="ListParagraph"/>
              <w:numPr>
                <w:ilvl w:val="0"/>
                <w:numId w:val="66"/>
              </w:numPr>
              <w:rPr>
                <w:rFonts w:cs="Tahoma"/>
              </w:rPr>
            </w:pPr>
            <w:r w:rsidRPr="0027083E">
              <w:rPr>
                <w:rFonts w:cs="Tahoma"/>
              </w:rPr>
              <w:t>Empowerment Financing should be removed altogether as a points contributor</w:t>
            </w:r>
          </w:p>
          <w:p w:rsidR="0027083E" w:rsidRPr="0027083E" w:rsidRDefault="0027083E" w:rsidP="00936EE2">
            <w:pPr>
              <w:pStyle w:val="ListParagraph"/>
              <w:numPr>
                <w:ilvl w:val="0"/>
                <w:numId w:val="66"/>
              </w:numPr>
              <w:rPr>
                <w:rFonts w:cs="Tahoma"/>
              </w:rPr>
            </w:pPr>
            <w:r w:rsidRPr="0027083E">
              <w:rPr>
                <w:rFonts w:cs="Tahoma"/>
              </w:rPr>
              <w:t>Direct Ownership must be 25% across the board within the Financial Sector</w:t>
            </w:r>
          </w:p>
          <w:p w:rsidR="0027083E" w:rsidRPr="0027083E" w:rsidRDefault="0027083E" w:rsidP="00936EE2">
            <w:pPr>
              <w:pStyle w:val="ListParagraph"/>
              <w:numPr>
                <w:ilvl w:val="0"/>
                <w:numId w:val="66"/>
              </w:numPr>
              <w:rPr>
                <w:rFonts w:cs="Tahoma"/>
              </w:rPr>
            </w:pPr>
            <w:r w:rsidRPr="0027083E">
              <w:rPr>
                <w:rFonts w:cs="Tahoma"/>
              </w:rPr>
              <w:t>Once Empowered, Always Empowered principle should explicitly be outlawed in the B-BBEE Act</w:t>
            </w:r>
          </w:p>
          <w:p w:rsidR="0027083E" w:rsidRPr="0027083E" w:rsidRDefault="0027083E" w:rsidP="00936EE2">
            <w:pPr>
              <w:pStyle w:val="ListParagraph"/>
              <w:numPr>
                <w:ilvl w:val="0"/>
                <w:numId w:val="16"/>
              </w:numPr>
              <w:ind w:left="722" w:hanging="450"/>
              <w:rPr>
                <w:rFonts w:cs="Tahoma"/>
              </w:rPr>
            </w:pPr>
            <w:r w:rsidRPr="0027083E">
              <w:rPr>
                <w:rFonts w:cs="Tahoma"/>
              </w:rPr>
              <w:t>Should criminalisation of conduct related to market concentration and collusion be applicable in terms of the recent introduction of section 73A of the Competition Act, the Commission and the National Prosecuting Authority should seek that sanctions are imposed.</w:t>
            </w:r>
          </w:p>
          <w:p w:rsidR="0027083E" w:rsidRPr="0027083E" w:rsidRDefault="0027083E" w:rsidP="00936EE2">
            <w:pPr>
              <w:pStyle w:val="ListParagraph"/>
              <w:numPr>
                <w:ilvl w:val="0"/>
                <w:numId w:val="16"/>
              </w:numPr>
              <w:ind w:left="722" w:hanging="450"/>
              <w:rPr>
                <w:rFonts w:cs="Tahoma"/>
              </w:rPr>
            </w:pPr>
            <w:r w:rsidRPr="0027083E">
              <w:rPr>
                <w:rFonts w:cs="Tahoma"/>
              </w:rPr>
              <w:t>A phased approach of the Twin Peaks should be adopted for the second tier financial institutions (small players)</w:t>
            </w:r>
          </w:p>
          <w:p w:rsidR="0027083E" w:rsidRPr="0027083E" w:rsidRDefault="0027083E" w:rsidP="00936EE2">
            <w:pPr>
              <w:pStyle w:val="ListParagraph"/>
              <w:numPr>
                <w:ilvl w:val="0"/>
                <w:numId w:val="17"/>
              </w:numPr>
              <w:rPr>
                <w:rFonts w:cs="Tahoma"/>
              </w:rPr>
            </w:pPr>
            <w:r w:rsidRPr="0027083E">
              <w:rPr>
                <w:rFonts w:cs="Tahoma"/>
              </w:rPr>
              <w:lastRenderedPageBreak/>
              <w:t>Competition Commission should institute sector inquiries whilst the SCOF should also institute a  Sector Wide Judicial Commission of Inquiry on the alleged market conduct practices highlighted above</w:t>
            </w:r>
          </w:p>
          <w:p w:rsidR="0027083E" w:rsidRPr="0027083E" w:rsidRDefault="0027083E" w:rsidP="00936EE2">
            <w:pPr>
              <w:pStyle w:val="ListParagraph"/>
              <w:numPr>
                <w:ilvl w:val="0"/>
                <w:numId w:val="17"/>
              </w:numPr>
              <w:rPr>
                <w:rFonts w:cs="Tahoma"/>
              </w:rPr>
            </w:pPr>
            <w:r w:rsidRPr="0027083E">
              <w:rPr>
                <w:rFonts w:cs="Tahoma"/>
              </w:rPr>
              <w:t>The upcoming Financial Sector Summit should be focused on key principles and concrete agreements should be undertaken to transform the sector once and for all</w:t>
            </w:r>
          </w:p>
          <w:p w:rsidR="0027083E" w:rsidRPr="0027083E" w:rsidRDefault="0027083E" w:rsidP="00B35163">
            <w:pPr>
              <w:rPr>
                <w:rFonts w:cs="Tahoma"/>
              </w:rPr>
            </w:pPr>
          </w:p>
        </w:tc>
      </w:tr>
      <w:tr w:rsidR="00FB4210" w:rsidRPr="0027083E" w:rsidTr="0027083E">
        <w:tc>
          <w:tcPr>
            <w:tcW w:w="1219" w:type="pct"/>
          </w:tcPr>
          <w:p w:rsidR="00FB4210" w:rsidRPr="0027083E" w:rsidRDefault="00FB4210" w:rsidP="00B35163">
            <w:pPr>
              <w:rPr>
                <w:rFonts w:cs="Tahoma"/>
                <w:b/>
              </w:rPr>
            </w:pPr>
            <w:r>
              <w:rPr>
                <w:rFonts w:cs="Tahoma"/>
                <w:b/>
              </w:rPr>
              <w:lastRenderedPageBreak/>
              <w:t>Johannesburg Stock Exchange (JSE)</w:t>
            </w:r>
          </w:p>
        </w:tc>
        <w:tc>
          <w:tcPr>
            <w:tcW w:w="3781" w:type="pct"/>
          </w:tcPr>
          <w:p w:rsidR="00983325" w:rsidRPr="00983325" w:rsidRDefault="00983325" w:rsidP="00983325">
            <w:pPr>
              <w:pStyle w:val="PlainText"/>
              <w:rPr>
                <w:b/>
                <w:u w:val="single"/>
              </w:rPr>
            </w:pPr>
            <w:r w:rsidRPr="00983325">
              <w:rPr>
                <w:b/>
                <w:u w:val="single"/>
              </w:rPr>
              <w:t>Intro:</w:t>
            </w:r>
          </w:p>
          <w:p w:rsidR="00983325" w:rsidRDefault="00983325" w:rsidP="00983325">
            <w:pPr>
              <w:pStyle w:val="PlainText"/>
            </w:pPr>
            <w:r>
              <w:t>Markets need to operate in a manner that responds constructively to our country's socio-economic pressures, we therefore need to use our core business strengths to influence and to contribute positively to the inclusive growth of our economy and to its transformation.</w:t>
            </w:r>
          </w:p>
          <w:p w:rsidR="00983325" w:rsidRDefault="00983325" w:rsidP="00983325">
            <w:pPr>
              <w:pStyle w:val="PlainText"/>
            </w:pPr>
          </w:p>
          <w:p w:rsidR="00983325" w:rsidRPr="00983325" w:rsidRDefault="00983325" w:rsidP="00983325">
            <w:pPr>
              <w:pStyle w:val="PlainText"/>
              <w:rPr>
                <w:b/>
                <w:u w:val="single"/>
              </w:rPr>
            </w:pPr>
            <w:r w:rsidRPr="00983325">
              <w:rPr>
                <w:b/>
                <w:u w:val="single"/>
              </w:rPr>
              <w:t xml:space="preserve">Overview: </w:t>
            </w:r>
          </w:p>
          <w:p w:rsidR="00983325" w:rsidRDefault="00983325" w:rsidP="00983325">
            <w:pPr>
              <w:pStyle w:val="PlainText"/>
            </w:pPr>
            <w:r>
              <w:t xml:space="preserve">The JSE, a Level 2 BBBEE contributor company, is a cost effective, efficient, well regulated, transparent and trusted exchange for financial transactions which helps South Africa to: </w:t>
            </w:r>
          </w:p>
          <w:p w:rsidR="00983325" w:rsidRDefault="00983325" w:rsidP="00936EE2">
            <w:pPr>
              <w:pStyle w:val="PlainText"/>
              <w:numPr>
                <w:ilvl w:val="0"/>
                <w:numId w:val="97"/>
              </w:numPr>
            </w:pPr>
            <w:r>
              <w:t xml:space="preserve">Raise finance for companies and government from both domestic and international pools of capital </w:t>
            </w:r>
          </w:p>
          <w:p w:rsidR="00983325" w:rsidRDefault="00983325" w:rsidP="00936EE2">
            <w:pPr>
              <w:pStyle w:val="PlainText"/>
              <w:numPr>
                <w:ilvl w:val="0"/>
                <w:numId w:val="97"/>
              </w:numPr>
            </w:pPr>
            <w:r>
              <w:t xml:space="preserve">to fund infrastructure and enable growth </w:t>
            </w:r>
          </w:p>
          <w:p w:rsidR="00983325" w:rsidRDefault="00983325" w:rsidP="00936EE2">
            <w:pPr>
              <w:pStyle w:val="PlainText"/>
              <w:numPr>
                <w:ilvl w:val="0"/>
                <w:numId w:val="97"/>
              </w:numPr>
            </w:pPr>
            <w:r>
              <w:t xml:space="preserve">Manage risk </w:t>
            </w:r>
          </w:p>
          <w:p w:rsidR="00983325" w:rsidRDefault="00983325" w:rsidP="00936EE2">
            <w:pPr>
              <w:pStyle w:val="PlainText"/>
              <w:numPr>
                <w:ilvl w:val="0"/>
                <w:numId w:val="97"/>
              </w:numPr>
            </w:pPr>
            <w:r>
              <w:t>Create sustainable wealth</w:t>
            </w:r>
          </w:p>
          <w:p w:rsidR="00983325" w:rsidRDefault="00983325" w:rsidP="00983325">
            <w:pPr>
              <w:pStyle w:val="PlainText"/>
            </w:pPr>
          </w:p>
          <w:p w:rsidR="00983325" w:rsidRPr="00983325" w:rsidRDefault="00983325" w:rsidP="00983325">
            <w:pPr>
              <w:pStyle w:val="PlainText"/>
              <w:rPr>
                <w:b/>
                <w:u w:val="single"/>
              </w:rPr>
            </w:pPr>
            <w:r w:rsidRPr="00983325">
              <w:rPr>
                <w:b/>
                <w:u w:val="single"/>
              </w:rPr>
              <w:t>Current assessment of transformation:</w:t>
            </w:r>
          </w:p>
          <w:p w:rsidR="00983325" w:rsidRDefault="00983325" w:rsidP="00983325">
            <w:pPr>
              <w:pStyle w:val="PlainText"/>
            </w:pPr>
            <w:r>
              <w:t>On the mainboard there are 325 listed entities, 11 of which are black-owned On the AltX (13 years), there are 56 listed on the Township exchange which was established as a separate market for SMEs to provide easier access to capital for very small entrepreneurs</w:t>
            </w:r>
          </w:p>
          <w:p w:rsidR="00983325" w:rsidRDefault="00983325" w:rsidP="00983325">
            <w:pPr>
              <w:pStyle w:val="PlainText"/>
            </w:pPr>
          </w:p>
          <w:p w:rsidR="00983325" w:rsidRPr="00983325" w:rsidRDefault="00983325" w:rsidP="00983325">
            <w:pPr>
              <w:pStyle w:val="PlainText"/>
              <w:rPr>
                <w:b/>
                <w:u w:val="single"/>
              </w:rPr>
            </w:pPr>
            <w:r w:rsidRPr="00983325">
              <w:rPr>
                <w:b/>
                <w:u w:val="single"/>
              </w:rPr>
              <w:t>Initiatives to support transformation:</w:t>
            </w:r>
          </w:p>
          <w:p w:rsidR="00983325" w:rsidRDefault="00983325" w:rsidP="00936EE2">
            <w:pPr>
              <w:pStyle w:val="PlainText"/>
              <w:numPr>
                <w:ilvl w:val="0"/>
                <w:numId w:val="98"/>
              </w:numPr>
            </w:pPr>
            <w:r>
              <w:t xml:space="preserve">Publish gender representivity policy at Board level and provide annual disclosure of progress against policy </w:t>
            </w:r>
          </w:p>
          <w:p w:rsidR="00983325" w:rsidRDefault="00983325" w:rsidP="00936EE2">
            <w:pPr>
              <w:pStyle w:val="PlainText"/>
              <w:numPr>
                <w:ilvl w:val="0"/>
                <w:numId w:val="98"/>
              </w:numPr>
            </w:pPr>
            <w:r>
              <w:t>Publish BEE policy from 2018 and provide annual disclosure of progress against policy</w:t>
            </w:r>
          </w:p>
          <w:p w:rsidR="001829B5" w:rsidRDefault="00983325" w:rsidP="00936EE2">
            <w:pPr>
              <w:pStyle w:val="PlainText"/>
              <w:numPr>
                <w:ilvl w:val="0"/>
                <w:numId w:val="98"/>
              </w:numPr>
            </w:pPr>
            <w:r>
              <w:t xml:space="preserve">Publish BEE scorecard annually </w:t>
            </w:r>
          </w:p>
          <w:p w:rsidR="001829B5" w:rsidRDefault="00983325" w:rsidP="00936EE2">
            <w:pPr>
              <w:pStyle w:val="PlainText"/>
              <w:numPr>
                <w:ilvl w:val="0"/>
                <w:numId w:val="98"/>
              </w:numPr>
            </w:pPr>
            <w:r>
              <w:t xml:space="preserve">Established the Black Stockbroker Development Programme which supports the sustainable development of our black stockbroking firms; </w:t>
            </w:r>
          </w:p>
          <w:p w:rsidR="00983325" w:rsidRDefault="00983325" w:rsidP="00936EE2">
            <w:pPr>
              <w:pStyle w:val="PlainText"/>
              <w:numPr>
                <w:ilvl w:val="0"/>
                <w:numId w:val="98"/>
              </w:numPr>
            </w:pPr>
            <w:r>
              <w:t xml:space="preserve">provides financial assistance through credits to be used in developing their firms (Currently </w:t>
            </w:r>
            <w:r>
              <w:lastRenderedPageBreak/>
              <w:t>supporting 14 black stockbrokers out of a total of 62 equity trading members)</w:t>
            </w:r>
          </w:p>
          <w:p w:rsidR="00FB4210" w:rsidRPr="0027083E" w:rsidRDefault="00FB4210" w:rsidP="00B35163">
            <w:pPr>
              <w:rPr>
                <w:rFonts w:cs="Tahoma"/>
                <w:b/>
                <w:u w:val="single"/>
              </w:rPr>
            </w:pPr>
          </w:p>
        </w:tc>
      </w:tr>
      <w:tr w:rsidR="0027083E" w:rsidRPr="0027083E" w:rsidTr="0027083E">
        <w:tc>
          <w:tcPr>
            <w:tcW w:w="5000" w:type="pct"/>
            <w:gridSpan w:val="2"/>
            <w:shd w:val="clear" w:color="auto" w:fill="D9D9D9" w:themeFill="background1" w:themeFillShade="D9"/>
          </w:tcPr>
          <w:p w:rsidR="0027083E" w:rsidRPr="0027083E" w:rsidRDefault="0027083E" w:rsidP="00D931D2">
            <w:pPr>
              <w:jc w:val="center"/>
              <w:rPr>
                <w:rFonts w:eastAsia="Times New Roman" w:cs="Helvetica"/>
                <w:b/>
                <w:color w:val="333333"/>
                <w:u w:val="single"/>
              </w:rPr>
            </w:pPr>
            <w:r w:rsidRPr="0027083E">
              <w:rPr>
                <w:b/>
                <w:u w:val="single"/>
              </w:rPr>
              <w:lastRenderedPageBreak/>
              <w:t xml:space="preserve">Industry and industry representative bodies: Banking </w:t>
            </w:r>
          </w:p>
        </w:tc>
      </w:tr>
      <w:tr w:rsidR="0027083E" w:rsidRPr="0027083E" w:rsidTr="0027083E">
        <w:tc>
          <w:tcPr>
            <w:tcW w:w="1219" w:type="pct"/>
          </w:tcPr>
          <w:p w:rsidR="0027083E" w:rsidRPr="0027083E" w:rsidRDefault="0027083E" w:rsidP="00B35163">
            <w:pPr>
              <w:rPr>
                <w:b/>
              </w:rPr>
            </w:pPr>
            <w:r w:rsidRPr="0027083E">
              <w:rPr>
                <w:b/>
              </w:rPr>
              <w:t>BASA</w:t>
            </w:r>
          </w:p>
        </w:tc>
        <w:tc>
          <w:tcPr>
            <w:tcW w:w="3781" w:type="pct"/>
          </w:tcPr>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Intro:</w:t>
            </w:r>
          </w:p>
          <w:p w:rsidR="0027083E" w:rsidRPr="0027083E" w:rsidRDefault="0027083E" w:rsidP="00B35163">
            <w:pPr>
              <w:rPr>
                <w:rFonts w:eastAsia="Times New Roman" w:cs="Helvetica"/>
                <w:color w:val="333333"/>
              </w:rPr>
            </w:pPr>
            <w:r w:rsidRPr="0027083E">
              <w:rPr>
                <w:rFonts w:eastAsia="Times New Roman" w:cs="Helvetica"/>
                <w:color w:val="333333"/>
              </w:rPr>
              <w:t xml:space="preserve">The realities of low GDP growth and the prospects of this continuing for some time, high unemployment, growing levels of poverty and increasing inequality in the context of an uncertain global environment were highlighted to the house. </w:t>
            </w:r>
          </w:p>
          <w:p w:rsidR="0027083E" w:rsidRPr="0027083E" w:rsidRDefault="0027083E" w:rsidP="00B35163">
            <w:pPr>
              <w:rPr>
                <w:rFonts w:eastAsia="Times New Roman" w:cs="Helvetica"/>
                <w:b/>
                <w:color w:val="333333"/>
                <w:u w:val="single"/>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Highlights of thebanking sector:</w:t>
            </w:r>
          </w:p>
          <w:p w:rsidR="0027083E" w:rsidRPr="0027083E" w:rsidRDefault="0027083E" w:rsidP="00936EE2">
            <w:pPr>
              <w:pStyle w:val="ListParagraph"/>
              <w:numPr>
                <w:ilvl w:val="0"/>
                <w:numId w:val="28"/>
              </w:numPr>
              <w:rPr>
                <w:rFonts w:eastAsia="Times New Roman" w:cs="Helvetica"/>
                <w:color w:val="333333"/>
              </w:rPr>
            </w:pPr>
            <w:r w:rsidRPr="0027083E">
              <w:rPr>
                <w:rFonts w:eastAsia="Times New Roman" w:cs="Helvetica"/>
                <w:color w:val="333333"/>
              </w:rPr>
              <w:t>Banks manage R4.8</w:t>
            </w:r>
            <w:r>
              <w:rPr>
                <w:rFonts w:eastAsia="Times New Roman" w:cs="Helvetica"/>
                <w:color w:val="333333"/>
              </w:rPr>
              <w:t xml:space="preserve"> </w:t>
            </w:r>
            <w:r w:rsidRPr="0027083E">
              <w:rPr>
                <w:rFonts w:eastAsia="Times New Roman" w:cs="Helvetica"/>
                <w:color w:val="333333"/>
              </w:rPr>
              <w:t>tr</w:t>
            </w:r>
            <w:r>
              <w:rPr>
                <w:rFonts w:eastAsia="Times New Roman" w:cs="Helvetica"/>
                <w:color w:val="333333"/>
              </w:rPr>
              <w:t>illio</w:t>
            </w:r>
            <w:r w:rsidRPr="0027083E">
              <w:rPr>
                <w:rFonts w:eastAsia="Times New Roman" w:cs="Helvetica"/>
                <w:color w:val="333333"/>
              </w:rPr>
              <w:t xml:space="preserve">n in assets; </w:t>
            </w:r>
          </w:p>
          <w:p w:rsidR="0027083E" w:rsidRPr="0027083E" w:rsidRDefault="0027083E" w:rsidP="00936EE2">
            <w:pPr>
              <w:pStyle w:val="ListParagraph"/>
              <w:numPr>
                <w:ilvl w:val="0"/>
                <w:numId w:val="28"/>
              </w:numPr>
              <w:rPr>
                <w:rFonts w:eastAsia="Times New Roman" w:cs="Helvetica"/>
                <w:color w:val="333333"/>
              </w:rPr>
            </w:pPr>
            <w:r w:rsidRPr="0027083E">
              <w:rPr>
                <w:rFonts w:eastAsia="Times New Roman" w:cs="Helvetica"/>
                <w:color w:val="333333"/>
              </w:rPr>
              <w:t xml:space="preserve">Enable customers to make 446 million ATM transactions per annum; </w:t>
            </w:r>
          </w:p>
          <w:p w:rsidR="0027083E" w:rsidRPr="0027083E" w:rsidRDefault="0027083E" w:rsidP="00936EE2">
            <w:pPr>
              <w:pStyle w:val="ListParagraph"/>
              <w:numPr>
                <w:ilvl w:val="0"/>
                <w:numId w:val="28"/>
              </w:numPr>
              <w:rPr>
                <w:rFonts w:eastAsia="Times New Roman" w:cs="Helvetica"/>
                <w:color w:val="333333"/>
              </w:rPr>
            </w:pPr>
            <w:r w:rsidRPr="0027083E">
              <w:rPr>
                <w:rFonts w:eastAsia="Times New Roman" w:cs="Helvetica"/>
                <w:color w:val="333333"/>
              </w:rPr>
              <w:t xml:space="preserve">Employed 153 846 people; </w:t>
            </w:r>
          </w:p>
          <w:p w:rsidR="0027083E" w:rsidRPr="0027083E" w:rsidRDefault="0027083E" w:rsidP="00936EE2">
            <w:pPr>
              <w:pStyle w:val="ListParagraph"/>
              <w:numPr>
                <w:ilvl w:val="0"/>
                <w:numId w:val="28"/>
              </w:numPr>
              <w:rPr>
                <w:rFonts w:eastAsia="Times New Roman" w:cs="Helvetica"/>
                <w:color w:val="333333"/>
              </w:rPr>
            </w:pPr>
            <w:r w:rsidRPr="0027083E">
              <w:rPr>
                <w:rFonts w:eastAsia="Times New Roman" w:cs="Helvetica"/>
                <w:color w:val="333333"/>
              </w:rPr>
              <w:t xml:space="preserve">Contributed R23 billion in tax in 2014, and since 2005, they have contributedover R102 billion, </w:t>
            </w:r>
          </w:p>
          <w:p w:rsidR="0027083E" w:rsidRPr="0027083E" w:rsidRDefault="0027083E" w:rsidP="00936EE2">
            <w:pPr>
              <w:pStyle w:val="ListParagraph"/>
              <w:numPr>
                <w:ilvl w:val="0"/>
                <w:numId w:val="28"/>
              </w:numPr>
              <w:rPr>
                <w:rFonts w:eastAsia="Times New Roman" w:cs="Helvetica"/>
                <w:color w:val="333333"/>
              </w:rPr>
            </w:pPr>
            <w:r w:rsidRPr="0027083E">
              <w:rPr>
                <w:rFonts w:eastAsia="Times New Roman" w:cs="Helvetica"/>
                <w:color w:val="333333"/>
              </w:rPr>
              <w:t>Invested R993 billion in 1.2 million property transactions since 2007 and generated R57 billion in value accruing to BEE shareholders.</w:t>
            </w:r>
          </w:p>
          <w:p w:rsidR="0027083E" w:rsidRPr="0027083E" w:rsidRDefault="0027083E" w:rsidP="00B35163">
            <w:pPr>
              <w:rPr>
                <w:rFonts w:eastAsia="Times New Roman" w:cs="Helvetica"/>
                <w:b/>
                <w:color w:val="333333"/>
                <w:u w:val="single"/>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Current assessment of transformation:</w:t>
            </w:r>
          </w:p>
          <w:p w:rsidR="0027083E" w:rsidRPr="0027083E" w:rsidRDefault="0027083E" w:rsidP="00936EE2">
            <w:pPr>
              <w:pStyle w:val="ListParagraph"/>
              <w:numPr>
                <w:ilvl w:val="0"/>
                <w:numId w:val="29"/>
              </w:numPr>
              <w:rPr>
                <w:rFonts w:eastAsia="Times New Roman" w:cs="Helvetica"/>
                <w:color w:val="333333"/>
              </w:rPr>
            </w:pPr>
            <w:r w:rsidRPr="0027083E">
              <w:rPr>
                <w:rFonts w:eastAsia="Times New Roman" w:cs="Helvetica"/>
                <w:color w:val="333333"/>
              </w:rPr>
              <w:t xml:space="preserve">The FS in South Africa has made much progress across sectors and any suggestion of non-transformation is incorrect. </w:t>
            </w:r>
          </w:p>
          <w:p w:rsidR="0027083E" w:rsidRPr="0027083E" w:rsidRDefault="0027083E" w:rsidP="00936EE2">
            <w:pPr>
              <w:pStyle w:val="ListParagraph"/>
              <w:numPr>
                <w:ilvl w:val="0"/>
                <w:numId w:val="29"/>
              </w:numPr>
              <w:rPr>
                <w:rFonts w:eastAsia="Times New Roman" w:cs="Helvetica"/>
                <w:color w:val="333333"/>
              </w:rPr>
            </w:pPr>
            <w:r w:rsidRPr="0027083E">
              <w:rPr>
                <w:rFonts w:eastAsia="Times New Roman" w:cs="Helvetica"/>
                <w:color w:val="333333"/>
              </w:rPr>
              <w:t xml:space="preserve">The banking industry is not resistant to transformation; a careful analysis will show that compared to other sectors it has performed very well. </w:t>
            </w:r>
          </w:p>
          <w:p w:rsidR="0027083E" w:rsidRPr="0027083E" w:rsidRDefault="0027083E" w:rsidP="00936EE2">
            <w:pPr>
              <w:pStyle w:val="ListParagraph"/>
              <w:numPr>
                <w:ilvl w:val="0"/>
                <w:numId w:val="29"/>
              </w:numPr>
              <w:rPr>
                <w:rFonts w:eastAsia="Times New Roman" w:cs="Helvetica"/>
                <w:color w:val="333333"/>
              </w:rPr>
            </w:pPr>
            <w:r w:rsidRPr="0027083E">
              <w:rPr>
                <w:rFonts w:eastAsia="Times New Roman" w:cs="Helvetica"/>
                <w:color w:val="333333"/>
              </w:rPr>
              <w:t xml:space="preserve">The sector voluntarily signed a transformation charter in 2003 before the transformation was promulgated in black economic empowerment legislation. </w:t>
            </w:r>
          </w:p>
          <w:p w:rsidR="0027083E" w:rsidRPr="0027083E" w:rsidRDefault="0027083E" w:rsidP="00936EE2">
            <w:pPr>
              <w:pStyle w:val="ListParagraph"/>
              <w:numPr>
                <w:ilvl w:val="0"/>
                <w:numId w:val="29"/>
              </w:numPr>
              <w:rPr>
                <w:rFonts w:eastAsia="Times New Roman" w:cs="Helvetica"/>
                <w:color w:val="333333"/>
              </w:rPr>
            </w:pPr>
            <w:r w:rsidRPr="0027083E">
              <w:rPr>
                <w:rFonts w:eastAsia="Times New Roman" w:cs="Helvetica"/>
                <w:color w:val="333333"/>
              </w:rPr>
              <w:t xml:space="preserve">BASA is not necessarily satisfied with the current situation and is very keen on engaging in dialogues on FS transformation to improve the performance and size of our economy in an inclusive manner. </w:t>
            </w:r>
          </w:p>
          <w:p w:rsidR="0027083E" w:rsidRPr="0027083E" w:rsidRDefault="0027083E" w:rsidP="00936EE2">
            <w:pPr>
              <w:pStyle w:val="ListParagraph"/>
              <w:numPr>
                <w:ilvl w:val="0"/>
                <w:numId w:val="29"/>
              </w:numPr>
              <w:rPr>
                <w:rFonts w:eastAsia="Times New Roman" w:cs="Helvetica"/>
                <w:color w:val="333333"/>
              </w:rPr>
            </w:pPr>
            <w:r w:rsidRPr="0027083E">
              <w:rPr>
                <w:rFonts w:eastAsia="Times New Roman" w:cs="Helvetica"/>
                <w:color w:val="333333"/>
              </w:rPr>
              <w:t xml:space="preserve">Caution against “certain monopoly myths”. The 2016 figures for the JSE showed that black ownership on the JSE (23%) surpassed white ownership (22%) which dismissed the ‘white monopoly capital myth’ and the banking sector displays patterns similar to ownership patterns of the Johannesburg Stock Exchange (JSE). </w:t>
            </w:r>
          </w:p>
          <w:p w:rsidR="0027083E" w:rsidRPr="0027083E" w:rsidRDefault="0027083E" w:rsidP="00936EE2">
            <w:pPr>
              <w:pStyle w:val="ListParagraph"/>
              <w:numPr>
                <w:ilvl w:val="0"/>
                <w:numId w:val="29"/>
              </w:numPr>
              <w:rPr>
                <w:rFonts w:eastAsia="Times New Roman" w:cs="Helvetica"/>
                <w:color w:val="333333"/>
              </w:rPr>
            </w:pPr>
            <w:r w:rsidRPr="0027083E">
              <w:rPr>
                <w:rFonts w:eastAsia="Times New Roman" w:cs="Helvetica"/>
                <w:color w:val="333333"/>
              </w:rPr>
              <w:t>Ownership patterns of banks listed on the JSE: the largest share (49%) of the top six South African banks was owned by foreigners, 34% by institutions such as pension funds, and the remaining 17% by other categories of investors, including individuals.</w:t>
            </w:r>
          </w:p>
          <w:p w:rsidR="0027083E" w:rsidRPr="0027083E" w:rsidRDefault="0027083E" w:rsidP="00936EE2">
            <w:pPr>
              <w:pStyle w:val="ListParagraph"/>
              <w:numPr>
                <w:ilvl w:val="0"/>
                <w:numId w:val="29"/>
              </w:numPr>
              <w:rPr>
                <w:rFonts w:eastAsia="Times New Roman" w:cs="Helvetica"/>
                <w:color w:val="333333"/>
              </w:rPr>
            </w:pPr>
            <w:r w:rsidRPr="0027083E">
              <w:rPr>
                <w:rFonts w:eastAsia="Times New Roman" w:cs="Helvetica"/>
                <w:color w:val="333333"/>
              </w:rPr>
              <w:lastRenderedPageBreak/>
              <w:t xml:space="preserve">Black people constituted the majority of all managers in the banking industry although most of the gains have occurred at the junior to middle management levels. However positions for black people at the top management level remained a challenge but training programs are being used to fast track junior managers to top managers. </w:t>
            </w:r>
          </w:p>
          <w:p w:rsidR="0027083E" w:rsidRPr="0027083E" w:rsidRDefault="0027083E" w:rsidP="00936EE2">
            <w:pPr>
              <w:pStyle w:val="ListParagraph"/>
              <w:numPr>
                <w:ilvl w:val="0"/>
                <w:numId w:val="29"/>
              </w:numPr>
              <w:rPr>
                <w:rFonts w:eastAsia="Times New Roman" w:cs="Helvetica"/>
                <w:color w:val="333333"/>
              </w:rPr>
            </w:pPr>
            <w:r w:rsidRPr="0027083E">
              <w:rPr>
                <w:rFonts w:eastAsia="Times New Roman" w:cs="Helvetica"/>
                <w:color w:val="333333"/>
              </w:rPr>
              <w:t xml:space="preserve">Progress has been slow on black board members and black women make up 8% of the total women in senior management positions in the banking industry, which is below the target of 10%. </w:t>
            </w:r>
          </w:p>
          <w:p w:rsidR="0027083E" w:rsidRPr="0027083E" w:rsidRDefault="0027083E" w:rsidP="00936EE2">
            <w:pPr>
              <w:pStyle w:val="ListParagraph"/>
              <w:numPr>
                <w:ilvl w:val="0"/>
                <w:numId w:val="29"/>
              </w:numPr>
              <w:rPr>
                <w:rFonts w:eastAsia="Times New Roman" w:cs="Helvetica"/>
                <w:color w:val="333333"/>
              </w:rPr>
            </w:pPr>
            <w:r w:rsidRPr="0027083E">
              <w:rPr>
                <w:rFonts w:eastAsia="Times New Roman" w:cs="Helvetica"/>
                <w:color w:val="333333"/>
              </w:rPr>
              <w:t>Employment equity remains a critical area despite the many initiatives undertaken by various banks.</w:t>
            </w:r>
          </w:p>
          <w:p w:rsidR="0027083E" w:rsidRPr="0027083E" w:rsidRDefault="0027083E" w:rsidP="00936EE2">
            <w:pPr>
              <w:pStyle w:val="ListParagraph"/>
              <w:numPr>
                <w:ilvl w:val="0"/>
                <w:numId w:val="29"/>
              </w:numPr>
              <w:rPr>
                <w:rFonts w:eastAsia="Times New Roman" w:cs="Helvetica"/>
                <w:color w:val="333333"/>
              </w:rPr>
            </w:pPr>
            <w:r w:rsidRPr="0027083E">
              <w:rPr>
                <w:rFonts w:eastAsia="Times New Roman" w:cs="Helvetica"/>
                <w:color w:val="333333"/>
              </w:rPr>
              <w:t xml:space="preserve">The FSS outperformed the current target on preferential procurement with a combined R200 billion expenditure on black-owned and black women-owned enterprises. </w:t>
            </w:r>
          </w:p>
          <w:p w:rsidR="0027083E" w:rsidRPr="0027083E" w:rsidRDefault="0027083E" w:rsidP="00936EE2">
            <w:pPr>
              <w:pStyle w:val="ListParagraph"/>
              <w:numPr>
                <w:ilvl w:val="0"/>
                <w:numId w:val="29"/>
              </w:numPr>
              <w:rPr>
                <w:rFonts w:eastAsia="Times New Roman" w:cs="Helvetica"/>
                <w:color w:val="333333"/>
              </w:rPr>
            </w:pPr>
            <w:r w:rsidRPr="0027083E">
              <w:rPr>
                <w:rFonts w:eastAsia="Times New Roman" w:cs="Helvetica"/>
                <w:color w:val="333333"/>
              </w:rPr>
              <w:t xml:space="preserve">Although the development of SMEs is a critical challenge for SA because it contributes to job creation, the banking sector financing of Black SMEs rose from R5 billion in 2012 to a high of R15 billion in 2014, but fell to R9 billion by 2016, due to the current tough business environment. </w:t>
            </w:r>
          </w:p>
          <w:p w:rsidR="0027083E" w:rsidRPr="0027083E" w:rsidRDefault="0027083E" w:rsidP="00B35163">
            <w:pPr>
              <w:rPr>
                <w:rFonts w:eastAsia="Times New Roman" w:cs="Helvetica"/>
                <w:color w:val="333333"/>
              </w:rPr>
            </w:pPr>
          </w:p>
        </w:tc>
      </w:tr>
      <w:tr w:rsidR="0027083E" w:rsidRPr="0027083E" w:rsidTr="0027083E">
        <w:tc>
          <w:tcPr>
            <w:tcW w:w="1219" w:type="pct"/>
          </w:tcPr>
          <w:p w:rsidR="0027083E" w:rsidRPr="0027083E" w:rsidRDefault="0027083E" w:rsidP="00B35163">
            <w:r w:rsidRPr="0027083E">
              <w:rPr>
                <w:rFonts w:eastAsia="Times New Roman" w:cs="Helvetica"/>
                <w:b/>
                <w:bCs/>
                <w:color w:val="333333"/>
              </w:rPr>
              <w:lastRenderedPageBreak/>
              <w:t>Barclays Africa Group Ltd (Absa)</w:t>
            </w:r>
          </w:p>
        </w:tc>
        <w:tc>
          <w:tcPr>
            <w:tcW w:w="3781" w:type="pct"/>
          </w:tcPr>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Intro:</w:t>
            </w:r>
          </w:p>
          <w:p w:rsidR="0027083E" w:rsidRPr="0027083E" w:rsidRDefault="0027083E" w:rsidP="00B35163">
            <w:pPr>
              <w:rPr>
                <w:rFonts w:eastAsia="Times New Roman" w:cs="Helvetica"/>
                <w:color w:val="333333"/>
              </w:rPr>
            </w:pPr>
            <w:r w:rsidRPr="0027083E">
              <w:rPr>
                <w:rFonts w:eastAsia="Times New Roman" w:cs="Helvetica"/>
                <w:color w:val="333333"/>
              </w:rPr>
              <w:t>Barclays Africa is a multinational financial services group (with Barclays PLC as its majority shareholder) that trades as ABSA in SA, spanning all 9 provinces with a diversified portfolio of businesses that includes retail, business, corporate and investment and wealth, investment management and insurance banking. It contributes to the economy in the form of direct and indirect employment, taxes, provides access to financial services to millions of people and contributes to inclusive growth and development.</w:t>
            </w:r>
          </w:p>
          <w:p w:rsidR="0027083E" w:rsidRPr="0027083E" w:rsidRDefault="0027083E" w:rsidP="00B35163">
            <w:pPr>
              <w:rPr>
                <w:rFonts w:eastAsia="Times New Roman" w:cs="Helvetica"/>
                <w:color w:val="333333"/>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Highlights in 2016:</w:t>
            </w:r>
          </w:p>
          <w:p w:rsidR="0027083E" w:rsidRPr="0027083E" w:rsidRDefault="0027083E" w:rsidP="00B35163">
            <w:pPr>
              <w:rPr>
                <w:rFonts w:eastAsia="Times New Roman" w:cs="Helvetica"/>
                <w:color w:val="333333"/>
              </w:rPr>
            </w:pPr>
            <w:r w:rsidRPr="0027083E">
              <w:rPr>
                <w:rFonts w:eastAsia="Times New Roman" w:cs="Helvetica"/>
                <w:color w:val="333333"/>
              </w:rPr>
              <w:t>Total lending in SA comprised of R387bn to retail clients, all contributing growth and development</w:t>
            </w:r>
          </w:p>
          <w:p w:rsidR="0027083E" w:rsidRPr="0027083E" w:rsidRDefault="0027083E" w:rsidP="00936EE2">
            <w:pPr>
              <w:pStyle w:val="ListParagraph"/>
              <w:numPr>
                <w:ilvl w:val="0"/>
                <w:numId w:val="31"/>
              </w:numPr>
              <w:rPr>
                <w:rFonts w:eastAsia="Times New Roman" w:cs="Helvetica"/>
                <w:color w:val="333333"/>
              </w:rPr>
            </w:pPr>
            <w:r w:rsidRPr="0027083E">
              <w:rPr>
                <w:rFonts w:eastAsia="Times New Roman" w:cs="Helvetica"/>
                <w:color w:val="333333"/>
              </w:rPr>
              <w:t xml:space="preserve">R124bn for mortgages, </w:t>
            </w:r>
          </w:p>
          <w:p w:rsidR="0027083E" w:rsidRPr="0027083E" w:rsidRDefault="0027083E" w:rsidP="00936EE2">
            <w:pPr>
              <w:pStyle w:val="ListParagraph"/>
              <w:numPr>
                <w:ilvl w:val="0"/>
                <w:numId w:val="31"/>
              </w:numPr>
              <w:rPr>
                <w:rFonts w:eastAsia="Times New Roman" w:cs="Helvetica"/>
                <w:color w:val="333333"/>
              </w:rPr>
            </w:pPr>
            <w:r w:rsidRPr="0027083E">
              <w:rPr>
                <w:rFonts w:eastAsia="Times New Roman" w:cs="Helvetica"/>
                <w:color w:val="333333"/>
              </w:rPr>
              <w:t>R71bn to SMEs and</w:t>
            </w:r>
          </w:p>
          <w:p w:rsidR="0027083E" w:rsidRPr="0027083E" w:rsidRDefault="0027083E" w:rsidP="00936EE2">
            <w:pPr>
              <w:pStyle w:val="ListParagraph"/>
              <w:numPr>
                <w:ilvl w:val="0"/>
                <w:numId w:val="31"/>
              </w:numPr>
              <w:rPr>
                <w:rFonts w:eastAsia="Times New Roman" w:cs="Helvetica"/>
                <w:color w:val="333333"/>
              </w:rPr>
            </w:pPr>
            <w:r w:rsidRPr="0027083E">
              <w:rPr>
                <w:rFonts w:eastAsia="Times New Roman" w:cs="Helvetica"/>
                <w:color w:val="333333"/>
              </w:rPr>
              <w:t>R192bn to corporate and investment banking</w:t>
            </w:r>
          </w:p>
          <w:p w:rsidR="0027083E" w:rsidRPr="0027083E" w:rsidRDefault="0027083E" w:rsidP="00B35163">
            <w:pPr>
              <w:rPr>
                <w:rFonts w:eastAsia="Times New Roman" w:cs="Helvetica"/>
                <w:b/>
                <w:color w:val="333333"/>
                <w:u w:val="single"/>
              </w:rPr>
            </w:pPr>
            <w:r w:rsidRPr="0027083E">
              <w:rPr>
                <w:rFonts w:eastAsia="Times New Roman" w:cs="Helvetica"/>
                <w:color w:val="333333"/>
              </w:rPr>
              <w:br/>
            </w:r>
            <w:r w:rsidRPr="0027083E">
              <w:rPr>
                <w:rFonts w:eastAsia="Times New Roman" w:cs="Helvetica"/>
                <w:b/>
                <w:color w:val="333333"/>
                <w:u w:val="single"/>
              </w:rPr>
              <w:t>Current assessment of transformation:</w:t>
            </w:r>
          </w:p>
          <w:p w:rsidR="0027083E" w:rsidRPr="0027083E" w:rsidRDefault="0027083E" w:rsidP="00936EE2">
            <w:pPr>
              <w:pStyle w:val="ListParagraph"/>
              <w:numPr>
                <w:ilvl w:val="0"/>
                <w:numId w:val="32"/>
              </w:numPr>
              <w:rPr>
                <w:rFonts w:eastAsia="Times New Roman" w:cs="Helvetica"/>
                <w:color w:val="333333"/>
              </w:rPr>
            </w:pPr>
            <w:r w:rsidRPr="0027083E">
              <w:rPr>
                <w:rFonts w:eastAsia="Times New Roman" w:cs="Helvetica"/>
                <w:color w:val="333333"/>
              </w:rPr>
              <w:t>ABSA chose three focus areas to achieve transformation because it believed that these three pillars were critical to sustainable growth and inclusive development, these are namely:</w:t>
            </w:r>
          </w:p>
          <w:p w:rsidR="0027083E" w:rsidRPr="0027083E" w:rsidRDefault="0027083E" w:rsidP="00936EE2">
            <w:pPr>
              <w:pStyle w:val="ListParagraph"/>
              <w:numPr>
                <w:ilvl w:val="0"/>
                <w:numId w:val="33"/>
              </w:numPr>
              <w:rPr>
                <w:rFonts w:eastAsia="Times New Roman" w:cs="Helvetica"/>
                <w:color w:val="333333"/>
              </w:rPr>
            </w:pPr>
            <w:r w:rsidRPr="0027083E">
              <w:rPr>
                <w:rFonts w:eastAsia="Times New Roman" w:cs="Helvetica"/>
                <w:color w:val="333333"/>
              </w:rPr>
              <w:t xml:space="preserve">Education and skills development (R1.4bn committed in 2016), </w:t>
            </w:r>
          </w:p>
          <w:p w:rsidR="0027083E" w:rsidRPr="0027083E" w:rsidRDefault="0027083E" w:rsidP="00936EE2">
            <w:pPr>
              <w:pStyle w:val="ListParagraph"/>
              <w:numPr>
                <w:ilvl w:val="0"/>
                <w:numId w:val="33"/>
              </w:numPr>
              <w:rPr>
                <w:rFonts w:eastAsia="Times New Roman" w:cs="Helvetica"/>
                <w:color w:val="333333"/>
              </w:rPr>
            </w:pPr>
            <w:r w:rsidRPr="0027083E">
              <w:rPr>
                <w:rFonts w:eastAsia="Times New Roman" w:cs="Helvetica"/>
                <w:color w:val="333333"/>
              </w:rPr>
              <w:lastRenderedPageBreak/>
              <w:t xml:space="preserve">Enterprise and supplier development (ABSA believed that establishing successful and sustainable SMEs required both financial and non-financial support. ABSA implemented this through preferential procurement, access to markets, financing infrastructure and training),  and </w:t>
            </w:r>
          </w:p>
          <w:p w:rsidR="0027083E" w:rsidRPr="0027083E" w:rsidRDefault="0027083E" w:rsidP="00936EE2">
            <w:pPr>
              <w:pStyle w:val="ListParagraph"/>
              <w:numPr>
                <w:ilvl w:val="0"/>
                <w:numId w:val="33"/>
              </w:numPr>
              <w:rPr>
                <w:rFonts w:eastAsia="Times New Roman" w:cs="Helvetica"/>
                <w:color w:val="333333"/>
              </w:rPr>
            </w:pPr>
            <w:r w:rsidRPr="0027083E">
              <w:rPr>
                <w:rFonts w:eastAsia="Times New Roman" w:cs="Helvetica"/>
                <w:color w:val="333333"/>
              </w:rPr>
              <w:t xml:space="preserve">Financial inclusion. </w:t>
            </w:r>
          </w:p>
          <w:p w:rsidR="0027083E" w:rsidRPr="0027083E" w:rsidRDefault="0027083E" w:rsidP="00936EE2">
            <w:pPr>
              <w:pStyle w:val="ListParagraph"/>
              <w:numPr>
                <w:ilvl w:val="0"/>
                <w:numId w:val="33"/>
              </w:numPr>
              <w:ind w:left="722"/>
            </w:pPr>
            <w:r w:rsidRPr="0027083E">
              <w:rPr>
                <w:rFonts w:eastAsia="Times New Roman" w:cs="Helvetica"/>
                <w:color w:val="333333"/>
              </w:rPr>
              <w:t>ABSA’s scorecard reflects its focus on transformation. Progress to date included improvement in its B-BBEE contribution status from level 3 (2015) to level 2 (2016), being the first of the major banks to allocate 10% ownership to black partners through the BathoBonke empowerment consortium in 2004 and it intended to conclude another BEE transaction to which Barclays PLC has already committed about 1.5% of Barclays Africa market capitalization (around R2.1bn) as at 31 December 2016. Barclays PLC, intends to sell-down its shareholding in Barclays Africa and give black South Africans an opportunity to increase their direct and indirect shareholding in the group.</w:t>
            </w:r>
          </w:p>
          <w:p w:rsidR="0027083E" w:rsidRPr="0027083E" w:rsidRDefault="0027083E" w:rsidP="00936EE2">
            <w:pPr>
              <w:pStyle w:val="ListParagraph"/>
              <w:numPr>
                <w:ilvl w:val="0"/>
                <w:numId w:val="33"/>
              </w:numPr>
              <w:ind w:left="722"/>
            </w:pPr>
            <w:r w:rsidRPr="0027083E">
              <w:rPr>
                <w:rFonts w:eastAsia="Times New Roman" w:cs="Helvetica"/>
                <w:color w:val="333333"/>
              </w:rPr>
              <w:t>In terms of Management control 88% of promotions in 2016 were black. Much progress had been made in building a strong pipeline of black talent that, together with our focus on promotions and recruitment, would assist ABSA to close the employment equity gaps at top and senior management levels.</w:t>
            </w:r>
            <w:r w:rsidRPr="0027083E">
              <w:rPr>
                <w:rFonts w:eastAsia="Times New Roman" w:cs="Helvetica"/>
                <w:color w:val="333333"/>
              </w:rPr>
              <w:br/>
            </w:r>
          </w:p>
        </w:tc>
      </w:tr>
      <w:tr w:rsidR="0027083E" w:rsidRPr="0027083E" w:rsidTr="0027083E">
        <w:tc>
          <w:tcPr>
            <w:tcW w:w="1219" w:type="pct"/>
          </w:tcPr>
          <w:p w:rsidR="0027083E" w:rsidRPr="0027083E" w:rsidRDefault="0027083E" w:rsidP="00B35163">
            <w:pPr>
              <w:rPr>
                <w:rFonts w:eastAsia="Times New Roman" w:cs="Helvetica"/>
                <w:b/>
                <w:bCs/>
                <w:color w:val="333333"/>
              </w:rPr>
            </w:pPr>
            <w:r w:rsidRPr="0027083E">
              <w:rPr>
                <w:rFonts w:eastAsia="Times New Roman" w:cs="Helvetica"/>
                <w:b/>
                <w:bCs/>
                <w:color w:val="333333"/>
              </w:rPr>
              <w:lastRenderedPageBreak/>
              <w:t>FirstRand</w:t>
            </w:r>
          </w:p>
          <w:p w:rsidR="0027083E" w:rsidRPr="0027083E" w:rsidRDefault="0027083E" w:rsidP="00B35163"/>
        </w:tc>
        <w:tc>
          <w:tcPr>
            <w:tcW w:w="3781" w:type="pct"/>
          </w:tcPr>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Intro:</w:t>
            </w:r>
          </w:p>
          <w:p w:rsidR="0027083E" w:rsidRPr="0027083E" w:rsidRDefault="0027083E" w:rsidP="00B35163">
            <w:pPr>
              <w:rPr>
                <w:rFonts w:eastAsia="Times New Roman" w:cs="Helvetica"/>
                <w:color w:val="333333"/>
              </w:rPr>
            </w:pPr>
            <w:r w:rsidRPr="0027083E">
              <w:rPr>
                <w:rFonts w:eastAsia="Times New Roman" w:cs="Helvetica"/>
                <w:color w:val="333333"/>
              </w:rPr>
              <w:t xml:space="preserve">The banking sector as the custodian of the savings of South Africans did not make the rules but must play its role. The strength of SA’s banking system is a national asset (consistently ranked in the top 10 in the world for its developed, sophisticated financial systems). Banks understand their role in ensuring a sustainable future for the country and deliver transformation and inclusivity. </w:t>
            </w:r>
          </w:p>
          <w:p w:rsidR="0027083E" w:rsidRPr="0027083E" w:rsidRDefault="0027083E" w:rsidP="00B35163">
            <w:pPr>
              <w:rPr>
                <w:rFonts w:eastAsia="Times New Roman" w:cs="Helvetica"/>
                <w:color w:val="333333"/>
              </w:rPr>
            </w:pPr>
          </w:p>
          <w:p w:rsidR="0027083E" w:rsidRPr="0027083E" w:rsidRDefault="0027083E" w:rsidP="00B35163">
            <w:pPr>
              <w:rPr>
                <w:rFonts w:eastAsia="Times New Roman" w:cs="Helvetica"/>
                <w:color w:val="333333"/>
              </w:rPr>
            </w:pPr>
            <w:r w:rsidRPr="0027083E">
              <w:rPr>
                <w:rFonts w:eastAsia="Times New Roman" w:cs="Helvetica"/>
                <w:b/>
                <w:color w:val="333333"/>
                <w:u w:val="single"/>
              </w:rPr>
              <w:t>Highlights:</w:t>
            </w:r>
          </w:p>
          <w:p w:rsidR="0027083E" w:rsidRPr="0027083E" w:rsidRDefault="0027083E" w:rsidP="00B35163">
            <w:pPr>
              <w:rPr>
                <w:rFonts w:eastAsia="Times New Roman" w:cs="Helvetica"/>
                <w:color w:val="333333"/>
              </w:rPr>
            </w:pPr>
            <w:r w:rsidRPr="0027083E">
              <w:rPr>
                <w:rFonts w:eastAsia="Times New Roman" w:cs="Helvetica"/>
                <w:color w:val="333333"/>
              </w:rPr>
              <w:t>The FirstRand BEE deal resulted in R23.5bn of value transfer to broad based black shareholders and FirstRand’s black ownership amounted to 36.5% of the Group.</w:t>
            </w:r>
          </w:p>
          <w:p w:rsidR="0027083E" w:rsidRPr="0027083E" w:rsidRDefault="0027083E" w:rsidP="00B35163">
            <w:pPr>
              <w:rPr>
                <w:rFonts w:eastAsia="Times New Roman" w:cs="Helvetica"/>
                <w:color w:val="333333"/>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Challenges/concerns identified:</w:t>
            </w:r>
          </w:p>
          <w:p w:rsidR="0027083E" w:rsidRPr="0027083E" w:rsidRDefault="0027083E" w:rsidP="00B35163">
            <w:pPr>
              <w:rPr>
                <w:rFonts w:eastAsia="Times New Roman" w:cs="Helvetica"/>
                <w:color w:val="333333"/>
              </w:rPr>
            </w:pPr>
            <w:r w:rsidRPr="0027083E">
              <w:rPr>
                <w:rFonts w:eastAsia="Times New Roman" w:cs="Helvetica"/>
                <w:color w:val="333333"/>
              </w:rPr>
              <w:t xml:space="preserve">A commercially sound and profitable banking system remains a non-negotiable for the country and therefore the right policy decisions should be taken to avert devastation that could occur from banking crises. Examples from around the world have demonstrated the devastation that resulted from banking crises as job losses, recession and social unrest have all played out throughout the world following the </w:t>
            </w:r>
            <w:r w:rsidRPr="0027083E">
              <w:rPr>
                <w:rFonts w:eastAsia="Times New Roman" w:cs="Helvetica"/>
                <w:color w:val="333333"/>
              </w:rPr>
              <w:lastRenderedPageBreak/>
              <w:t>global financial crisis. The maintenance of a sound banking system whilst driving transformation and inclusivity were fundamentally complementary objectives and the achievement of inclusivity would accelerate a strong economy.</w:t>
            </w:r>
            <w:r w:rsidRPr="0027083E">
              <w:rPr>
                <w:rFonts w:eastAsia="Times New Roman" w:cs="Helvetica"/>
                <w:color w:val="333333"/>
              </w:rPr>
              <w:br/>
            </w:r>
          </w:p>
        </w:tc>
      </w:tr>
      <w:tr w:rsidR="0027083E" w:rsidRPr="0027083E" w:rsidTr="0027083E">
        <w:tc>
          <w:tcPr>
            <w:tcW w:w="1219" w:type="pct"/>
          </w:tcPr>
          <w:p w:rsidR="0027083E" w:rsidRPr="0027083E" w:rsidRDefault="0027083E" w:rsidP="00B35163">
            <w:r w:rsidRPr="0027083E">
              <w:rPr>
                <w:rFonts w:eastAsia="Times New Roman" w:cs="Helvetica"/>
                <w:b/>
                <w:bCs/>
                <w:color w:val="333333"/>
              </w:rPr>
              <w:lastRenderedPageBreak/>
              <w:t>Standard Bank</w:t>
            </w:r>
            <w:r w:rsidRPr="0027083E">
              <w:rPr>
                <w:rFonts w:eastAsia="Times New Roman" w:cs="Helvetica"/>
                <w:color w:val="333333"/>
              </w:rPr>
              <w:t> </w:t>
            </w:r>
          </w:p>
        </w:tc>
        <w:tc>
          <w:tcPr>
            <w:tcW w:w="3781" w:type="pct"/>
          </w:tcPr>
          <w:p w:rsidR="0027083E" w:rsidRPr="0027083E" w:rsidRDefault="0027083E" w:rsidP="00B35163">
            <w:pPr>
              <w:rPr>
                <w:rFonts w:eastAsia="Times New Roman" w:cs="Helvetica"/>
                <w:color w:val="333333"/>
              </w:rPr>
            </w:pPr>
            <w:r w:rsidRPr="0027083E">
              <w:rPr>
                <w:rFonts w:eastAsia="Times New Roman" w:cs="Helvetica"/>
                <w:b/>
                <w:color w:val="333333"/>
                <w:u w:val="single"/>
              </w:rPr>
              <w:t>Current assessment of transformation:</w:t>
            </w:r>
          </w:p>
          <w:p w:rsidR="0027083E" w:rsidRPr="0027083E" w:rsidRDefault="0027083E" w:rsidP="00936EE2">
            <w:pPr>
              <w:pStyle w:val="ListParagraph"/>
              <w:numPr>
                <w:ilvl w:val="0"/>
                <w:numId w:val="34"/>
              </w:numPr>
              <w:rPr>
                <w:rFonts w:eastAsia="Times New Roman" w:cs="Helvetica"/>
                <w:color w:val="333333"/>
              </w:rPr>
            </w:pPr>
            <w:r w:rsidRPr="0027083E">
              <w:rPr>
                <w:rFonts w:eastAsia="Times New Roman" w:cs="Helvetica"/>
                <w:color w:val="333333"/>
              </w:rPr>
              <w:t xml:space="preserve">In 2004 over 6 000 black employees at the bank received shares in the institution, which amounted to R3.1bn as at December 2014. All these beneficiaries could have remained in the share scheme but most of them decided to sell. </w:t>
            </w:r>
          </w:p>
          <w:p w:rsidR="0027083E" w:rsidRPr="0027083E" w:rsidRDefault="0027083E" w:rsidP="00936EE2">
            <w:pPr>
              <w:pStyle w:val="ListParagraph"/>
              <w:numPr>
                <w:ilvl w:val="0"/>
                <w:numId w:val="34"/>
              </w:numPr>
              <w:rPr>
                <w:rFonts w:eastAsia="Times New Roman" w:cs="Helvetica"/>
                <w:color w:val="333333"/>
              </w:rPr>
            </w:pPr>
            <w:r w:rsidRPr="0027083E">
              <w:rPr>
                <w:rFonts w:eastAsia="Times New Roman" w:cs="Helvetica"/>
                <w:color w:val="333333"/>
              </w:rPr>
              <w:t>Progress was made in diversifying the black management structure but not as much as desired.</w:t>
            </w:r>
          </w:p>
          <w:p w:rsidR="0027083E" w:rsidRPr="0027083E" w:rsidRDefault="0027083E" w:rsidP="00936EE2">
            <w:pPr>
              <w:pStyle w:val="ListParagraph"/>
              <w:numPr>
                <w:ilvl w:val="0"/>
                <w:numId w:val="34"/>
              </w:numPr>
              <w:rPr>
                <w:rFonts w:eastAsia="Times New Roman" w:cs="Helvetica"/>
                <w:color w:val="333333"/>
              </w:rPr>
            </w:pPr>
            <w:r w:rsidRPr="0027083E">
              <w:rPr>
                <w:rFonts w:eastAsia="Times New Roman" w:cs="Helvetica"/>
                <w:color w:val="333333"/>
              </w:rPr>
              <w:t xml:space="preserve">More than R500m lent to small black enterprises under the enterprise development program in 2016 to while keeping within its risk limits and also provided free training to support 6 000 SMEs in the last two years. </w:t>
            </w:r>
          </w:p>
          <w:p w:rsidR="0027083E" w:rsidRPr="0027083E" w:rsidRDefault="0027083E" w:rsidP="00936EE2">
            <w:pPr>
              <w:pStyle w:val="ListParagraph"/>
              <w:numPr>
                <w:ilvl w:val="0"/>
                <w:numId w:val="34"/>
              </w:numPr>
              <w:rPr>
                <w:rFonts w:eastAsia="Times New Roman" w:cs="Helvetica"/>
                <w:color w:val="333333"/>
              </w:rPr>
            </w:pPr>
            <w:r w:rsidRPr="0027083E">
              <w:rPr>
                <w:rFonts w:eastAsia="Times New Roman" w:cs="Helvetica"/>
                <w:color w:val="333333"/>
              </w:rPr>
              <w:t xml:space="preserve">Explored ways to partner with government funding entities to provide breach funding to black owned entities that had secured government contracts. </w:t>
            </w:r>
          </w:p>
          <w:p w:rsidR="0027083E" w:rsidRPr="0027083E" w:rsidRDefault="0027083E" w:rsidP="00B35163">
            <w:pPr>
              <w:rPr>
                <w:rFonts w:eastAsia="Times New Roman" w:cs="Helvetica"/>
                <w:b/>
                <w:color w:val="333333"/>
                <w:u w:val="single"/>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Challenges/concerns identified:</w:t>
            </w:r>
          </w:p>
          <w:p w:rsidR="0027083E" w:rsidRPr="0027083E" w:rsidRDefault="0027083E" w:rsidP="00B35163">
            <w:pPr>
              <w:rPr>
                <w:rFonts w:eastAsia="Times New Roman" w:cs="Helvetica"/>
                <w:color w:val="333333"/>
              </w:rPr>
            </w:pPr>
            <w:r w:rsidRPr="0027083E">
              <w:rPr>
                <w:rFonts w:eastAsia="Times New Roman" w:cs="Helvetica"/>
                <w:color w:val="333333"/>
              </w:rPr>
              <w:t xml:space="preserve">Because of limits on leverage, every R10 that is allocated to a BEE scheme reduced the amount of money that can be loaned to the real economy (including to black entrepreneurs) by R80. There is thus a trade-off between these schemes and transformation/development in the wider economy. </w:t>
            </w:r>
          </w:p>
          <w:p w:rsidR="0027083E" w:rsidRPr="0027083E" w:rsidRDefault="0027083E" w:rsidP="00B35163"/>
        </w:tc>
      </w:tr>
      <w:tr w:rsidR="0027083E" w:rsidRPr="0027083E" w:rsidTr="0027083E">
        <w:tc>
          <w:tcPr>
            <w:tcW w:w="1219" w:type="pct"/>
          </w:tcPr>
          <w:p w:rsidR="0027083E" w:rsidRPr="0027083E" w:rsidRDefault="0027083E" w:rsidP="00B35163">
            <w:pPr>
              <w:rPr>
                <w:rFonts w:cs="Tahoma"/>
                <w:b/>
              </w:rPr>
            </w:pPr>
            <w:r w:rsidRPr="0027083E">
              <w:rPr>
                <w:rFonts w:cs="Tahoma"/>
                <w:b/>
              </w:rPr>
              <w:t>Nedbank</w:t>
            </w:r>
          </w:p>
        </w:tc>
        <w:tc>
          <w:tcPr>
            <w:tcW w:w="3781" w:type="pct"/>
          </w:tcPr>
          <w:p w:rsidR="0027083E" w:rsidRPr="0027083E" w:rsidRDefault="0027083E" w:rsidP="00B35163">
            <w:pPr>
              <w:rPr>
                <w:rFonts w:cs="Tahoma"/>
                <w:b/>
                <w:u w:val="single"/>
              </w:rPr>
            </w:pPr>
            <w:r w:rsidRPr="0027083E">
              <w:rPr>
                <w:rFonts w:cs="Tahoma"/>
                <w:b/>
                <w:u w:val="single"/>
              </w:rPr>
              <w:t>Intro:</w:t>
            </w:r>
          </w:p>
          <w:p w:rsidR="0027083E" w:rsidRPr="0027083E" w:rsidRDefault="0027083E" w:rsidP="00B35163">
            <w:pPr>
              <w:rPr>
                <w:rFonts w:cs="Tahoma"/>
              </w:rPr>
            </w:pPr>
            <w:r w:rsidRPr="0027083E">
              <w:rPr>
                <w:rFonts w:cs="Tahoma"/>
              </w:rPr>
              <w:t>Transformation is a key strategic enabler and led by the board, CEO and executive committee.</w:t>
            </w:r>
          </w:p>
          <w:p w:rsidR="0027083E" w:rsidRPr="0027083E" w:rsidRDefault="0027083E" w:rsidP="00B35163">
            <w:pPr>
              <w:rPr>
                <w:rFonts w:cs="Tahoma"/>
              </w:rPr>
            </w:pPr>
          </w:p>
          <w:p w:rsidR="0027083E" w:rsidRPr="0027083E" w:rsidRDefault="0027083E" w:rsidP="00B35163">
            <w:pPr>
              <w:rPr>
                <w:rFonts w:cs="Tahoma"/>
                <w:b/>
                <w:u w:val="single"/>
              </w:rPr>
            </w:pPr>
            <w:r w:rsidRPr="0027083E">
              <w:rPr>
                <w:rFonts w:cs="Tahoma"/>
                <w:b/>
                <w:u w:val="single"/>
              </w:rPr>
              <w:t>Highlights:</w:t>
            </w:r>
          </w:p>
          <w:p w:rsidR="0027083E" w:rsidRPr="0027083E" w:rsidRDefault="0027083E" w:rsidP="00936EE2">
            <w:pPr>
              <w:pStyle w:val="ListParagraph"/>
              <w:numPr>
                <w:ilvl w:val="0"/>
                <w:numId w:val="62"/>
              </w:numPr>
              <w:rPr>
                <w:rFonts w:cs="Tahoma"/>
              </w:rPr>
            </w:pPr>
            <w:r w:rsidRPr="0027083E">
              <w:rPr>
                <w:rFonts w:cs="Tahoma"/>
              </w:rPr>
              <w:t>Transformation at top and executive management has resulted in 53,85% black top management. Significant progress made at middle management - 59,52% Black, junior management - 87,64% Black and representation of people with disabilities exceeds the national target.</w:t>
            </w:r>
          </w:p>
          <w:p w:rsidR="0027083E" w:rsidRPr="0027083E" w:rsidRDefault="0027083E" w:rsidP="00936EE2">
            <w:pPr>
              <w:pStyle w:val="ListParagraph"/>
              <w:numPr>
                <w:ilvl w:val="0"/>
                <w:numId w:val="62"/>
              </w:numPr>
              <w:rPr>
                <w:rFonts w:cs="Tahoma"/>
              </w:rPr>
            </w:pPr>
            <w:r w:rsidRPr="0027083E">
              <w:rPr>
                <w:rFonts w:cs="Tahoma"/>
              </w:rPr>
              <w:t>B-BBEE Eyethu scheme unlocked R8,2</w:t>
            </w:r>
            <w:r>
              <w:rPr>
                <w:rFonts w:cs="Tahoma"/>
              </w:rPr>
              <w:t xml:space="preserve"> </w:t>
            </w:r>
            <w:r w:rsidRPr="0027083E">
              <w:rPr>
                <w:rFonts w:cs="Tahoma"/>
              </w:rPr>
              <w:t>b</w:t>
            </w:r>
            <w:r>
              <w:rPr>
                <w:rFonts w:cs="Tahoma"/>
              </w:rPr>
              <w:t>illio</w:t>
            </w:r>
            <w:r w:rsidRPr="0027083E">
              <w:rPr>
                <w:rFonts w:cs="Tahoma"/>
              </w:rPr>
              <w:t xml:space="preserve">n in realised value for more than 500 000 SA shareholders. </w:t>
            </w:r>
          </w:p>
          <w:p w:rsidR="0027083E" w:rsidRPr="0027083E" w:rsidRDefault="0027083E" w:rsidP="00936EE2">
            <w:pPr>
              <w:pStyle w:val="ListParagraph"/>
              <w:numPr>
                <w:ilvl w:val="0"/>
                <w:numId w:val="62"/>
              </w:numPr>
              <w:rPr>
                <w:rFonts w:cs="Tahoma"/>
              </w:rPr>
            </w:pPr>
            <w:r w:rsidRPr="0027083E">
              <w:rPr>
                <w:rFonts w:cs="Tahoma"/>
              </w:rPr>
              <w:t>Since 2011, Nedbank has partnered with 23 Municipalities that led to 2400 SMMEs benefiting from various business skills and capacity building interventions.</w:t>
            </w:r>
          </w:p>
          <w:p w:rsidR="0027083E" w:rsidRPr="0027083E" w:rsidRDefault="0027083E" w:rsidP="00936EE2">
            <w:pPr>
              <w:pStyle w:val="ListParagraph"/>
              <w:numPr>
                <w:ilvl w:val="0"/>
                <w:numId w:val="62"/>
              </w:numPr>
              <w:rPr>
                <w:rFonts w:cs="Tahoma"/>
              </w:rPr>
            </w:pPr>
            <w:r w:rsidRPr="0027083E">
              <w:rPr>
                <w:rFonts w:cs="Tahoma"/>
              </w:rPr>
              <w:t xml:space="preserve">Nedbank has partnered with government on Public Works Projects. </w:t>
            </w:r>
          </w:p>
          <w:p w:rsidR="0027083E" w:rsidRPr="0027083E" w:rsidRDefault="0027083E" w:rsidP="00B35163">
            <w:pPr>
              <w:rPr>
                <w:rFonts w:cs="Tahoma"/>
              </w:rPr>
            </w:pPr>
          </w:p>
          <w:p w:rsidR="0027083E" w:rsidRPr="0027083E" w:rsidRDefault="0027083E" w:rsidP="00B35163">
            <w:pPr>
              <w:rPr>
                <w:rFonts w:cs="Tahoma"/>
                <w:b/>
                <w:u w:val="single"/>
              </w:rPr>
            </w:pPr>
            <w:r w:rsidRPr="0027083E">
              <w:rPr>
                <w:rFonts w:cs="Tahoma"/>
                <w:b/>
                <w:u w:val="single"/>
              </w:rPr>
              <w:t>Challenges/ concerns identified:</w:t>
            </w:r>
          </w:p>
          <w:p w:rsidR="0027083E" w:rsidRPr="0027083E" w:rsidRDefault="0027083E" w:rsidP="00936EE2">
            <w:pPr>
              <w:pStyle w:val="ListParagraph"/>
              <w:numPr>
                <w:ilvl w:val="0"/>
                <w:numId w:val="63"/>
              </w:numPr>
              <w:rPr>
                <w:rFonts w:cs="Tahoma"/>
              </w:rPr>
            </w:pPr>
            <w:r w:rsidRPr="0027083E">
              <w:rPr>
                <w:rFonts w:cs="Tahoma"/>
              </w:rPr>
              <w:t>Stricter targets across the Codes will lead to lower B-BBEE levels</w:t>
            </w:r>
          </w:p>
          <w:p w:rsidR="0027083E" w:rsidRPr="0027083E" w:rsidRDefault="0027083E" w:rsidP="00936EE2">
            <w:pPr>
              <w:pStyle w:val="ListParagraph"/>
              <w:numPr>
                <w:ilvl w:val="0"/>
                <w:numId w:val="63"/>
              </w:numPr>
              <w:rPr>
                <w:rFonts w:cs="Tahoma"/>
              </w:rPr>
            </w:pPr>
            <w:r w:rsidRPr="0027083E">
              <w:rPr>
                <w:rFonts w:cs="Tahoma"/>
              </w:rPr>
              <w:t xml:space="preserve">More work needed to prevent discounting on priority elements of new scorecards </w:t>
            </w:r>
          </w:p>
          <w:p w:rsidR="0027083E" w:rsidRPr="0027083E" w:rsidRDefault="0027083E" w:rsidP="00936EE2">
            <w:pPr>
              <w:pStyle w:val="ListParagraph"/>
              <w:numPr>
                <w:ilvl w:val="0"/>
                <w:numId w:val="63"/>
              </w:numPr>
              <w:rPr>
                <w:rFonts w:cs="Tahoma"/>
              </w:rPr>
            </w:pPr>
            <w:r w:rsidRPr="0027083E">
              <w:rPr>
                <w:rFonts w:cs="Tahoma"/>
              </w:rPr>
              <w:t>Improving our work force profiles particularly at Senior Management level, to be more demographically represented</w:t>
            </w:r>
          </w:p>
          <w:p w:rsidR="0027083E" w:rsidRPr="0027083E" w:rsidRDefault="0027083E" w:rsidP="00936EE2">
            <w:pPr>
              <w:pStyle w:val="ListParagraph"/>
              <w:numPr>
                <w:ilvl w:val="0"/>
                <w:numId w:val="63"/>
              </w:numPr>
              <w:rPr>
                <w:rFonts w:cs="Tahoma"/>
              </w:rPr>
            </w:pPr>
            <w:r w:rsidRPr="0027083E">
              <w:rPr>
                <w:rFonts w:cs="Tahoma"/>
              </w:rPr>
              <w:t>Subdued economic growth</w:t>
            </w:r>
          </w:p>
          <w:p w:rsidR="0027083E" w:rsidRPr="0027083E" w:rsidRDefault="0027083E" w:rsidP="00B35163">
            <w:pPr>
              <w:rPr>
                <w:rFonts w:cs="Tahoma"/>
              </w:rPr>
            </w:pPr>
          </w:p>
        </w:tc>
      </w:tr>
      <w:tr w:rsidR="0027083E" w:rsidRPr="0027083E" w:rsidTr="0027083E">
        <w:tc>
          <w:tcPr>
            <w:tcW w:w="5000" w:type="pct"/>
            <w:gridSpan w:val="2"/>
            <w:shd w:val="clear" w:color="auto" w:fill="D9D9D9" w:themeFill="background1" w:themeFillShade="D9"/>
          </w:tcPr>
          <w:p w:rsidR="0027083E" w:rsidRPr="0027083E" w:rsidRDefault="0027083E" w:rsidP="000F660C">
            <w:pPr>
              <w:jc w:val="center"/>
              <w:rPr>
                <w:rFonts w:eastAsia="Times New Roman" w:cs="Helvetica"/>
                <w:b/>
                <w:color w:val="333333"/>
                <w:u w:val="single"/>
              </w:rPr>
            </w:pPr>
            <w:r w:rsidRPr="0027083E">
              <w:rPr>
                <w:b/>
                <w:u w:val="single"/>
              </w:rPr>
              <w:lastRenderedPageBreak/>
              <w:t>Industry and industry representative bodies:</w:t>
            </w:r>
            <w:r w:rsidRPr="0027083E">
              <w:t xml:space="preserve"> </w:t>
            </w:r>
            <w:r w:rsidRPr="0027083E">
              <w:rPr>
                <w:rFonts w:eastAsia="Times New Roman" w:cs="Helvetica"/>
                <w:b/>
                <w:color w:val="333333"/>
                <w:u w:val="single"/>
              </w:rPr>
              <w:t>insurance, asset management and intermediaries (including advisors)</w:t>
            </w:r>
          </w:p>
        </w:tc>
      </w:tr>
      <w:tr w:rsidR="0027083E" w:rsidRPr="0027083E" w:rsidTr="0027083E">
        <w:tc>
          <w:tcPr>
            <w:tcW w:w="1219" w:type="pct"/>
          </w:tcPr>
          <w:p w:rsidR="0027083E" w:rsidRPr="0027083E" w:rsidRDefault="0027083E" w:rsidP="00B35163">
            <w:pPr>
              <w:rPr>
                <w:b/>
              </w:rPr>
            </w:pPr>
            <w:r w:rsidRPr="0027083E">
              <w:rPr>
                <w:b/>
              </w:rPr>
              <w:t>ASISA</w:t>
            </w:r>
          </w:p>
        </w:tc>
        <w:tc>
          <w:tcPr>
            <w:tcW w:w="3781" w:type="pct"/>
          </w:tcPr>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Intro:</w:t>
            </w:r>
          </w:p>
          <w:p w:rsidR="0027083E" w:rsidRPr="0027083E" w:rsidRDefault="0027083E" w:rsidP="00B35163">
            <w:pPr>
              <w:rPr>
                <w:rFonts w:eastAsia="Times New Roman" w:cs="Helvetica"/>
                <w:color w:val="333333"/>
              </w:rPr>
            </w:pPr>
            <w:r w:rsidRPr="0027083E">
              <w:rPr>
                <w:rFonts w:eastAsia="Times New Roman" w:cs="Helvetica"/>
                <w:color w:val="333333"/>
              </w:rPr>
              <w:t xml:space="preserve">ASISA represents 127 member firms which include asset management, life insurance firms and collective investment industry </w:t>
            </w:r>
          </w:p>
          <w:p w:rsidR="0027083E" w:rsidRPr="0027083E" w:rsidRDefault="0027083E" w:rsidP="00B35163">
            <w:pPr>
              <w:rPr>
                <w:rFonts w:eastAsia="Times New Roman" w:cs="Helvetica"/>
                <w:color w:val="333333"/>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Role of the sector:</w:t>
            </w:r>
          </w:p>
          <w:p w:rsidR="0027083E" w:rsidRPr="0027083E" w:rsidRDefault="0027083E" w:rsidP="00936EE2">
            <w:pPr>
              <w:pStyle w:val="ListParagraph"/>
              <w:numPr>
                <w:ilvl w:val="0"/>
                <w:numId w:val="30"/>
              </w:numPr>
              <w:rPr>
                <w:rFonts w:eastAsia="Times New Roman" w:cs="Helvetica"/>
                <w:color w:val="333333"/>
              </w:rPr>
            </w:pPr>
            <w:r w:rsidRPr="0027083E">
              <w:rPr>
                <w:rFonts w:eastAsia="Times New Roman" w:cs="Helvetica"/>
                <w:color w:val="333333"/>
              </w:rPr>
              <w:t xml:space="preserve">Asisa members are “the custodian of savings”. </w:t>
            </w:r>
          </w:p>
          <w:p w:rsidR="0027083E" w:rsidRPr="0027083E" w:rsidRDefault="0027083E" w:rsidP="00936EE2">
            <w:pPr>
              <w:pStyle w:val="ListParagraph"/>
              <w:numPr>
                <w:ilvl w:val="0"/>
                <w:numId w:val="30"/>
              </w:numPr>
              <w:rPr>
                <w:rFonts w:eastAsia="Times New Roman" w:cs="Helvetica"/>
                <w:color w:val="333333"/>
              </w:rPr>
            </w:pPr>
            <w:r w:rsidRPr="0027083E">
              <w:rPr>
                <w:rFonts w:eastAsia="Times New Roman" w:cs="Helvetica"/>
                <w:color w:val="333333"/>
              </w:rPr>
              <w:t>The role of ASISA is to ensure that private and public resources are well guarded, mobilise both local and foreign capital so that needs are met in the long term, ensure that pools of assets accumulated are deployed appropriately to ensure investments are made in the economy so that it create jobs, increases the number of savers and supplements the public purse to actually invest in the development of the country.</w:t>
            </w:r>
          </w:p>
          <w:p w:rsidR="0027083E" w:rsidRPr="0027083E" w:rsidRDefault="0027083E" w:rsidP="00936EE2">
            <w:pPr>
              <w:pStyle w:val="ListParagraph"/>
              <w:numPr>
                <w:ilvl w:val="0"/>
                <w:numId w:val="30"/>
              </w:numPr>
              <w:rPr>
                <w:rFonts w:eastAsia="Times New Roman" w:cs="Helvetica"/>
                <w:color w:val="333333"/>
              </w:rPr>
            </w:pPr>
            <w:r w:rsidRPr="0027083E">
              <w:rPr>
                <w:rFonts w:eastAsia="Times New Roman" w:cs="Helvetica"/>
                <w:color w:val="333333"/>
              </w:rPr>
              <w:t>It is crucial that the insurance industry should be able to compete favourably and attract both local and foreign capital for investment.</w:t>
            </w:r>
          </w:p>
          <w:p w:rsidR="0027083E" w:rsidRPr="0027083E" w:rsidRDefault="0027083E" w:rsidP="00936EE2">
            <w:pPr>
              <w:pStyle w:val="ListParagraph"/>
              <w:numPr>
                <w:ilvl w:val="0"/>
                <w:numId w:val="30"/>
              </w:numPr>
              <w:rPr>
                <w:rFonts w:eastAsia="Times New Roman" w:cs="Helvetica"/>
                <w:color w:val="333333"/>
              </w:rPr>
            </w:pPr>
            <w:r w:rsidRPr="0027083E">
              <w:rPr>
                <w:rFonts w:eastAsia="Times New Roman" w:cs="Helvetica"/>
                <w:color w:val="333333"/>
              </w:rPr>
              <w:t xml:space="preserve">The industry’s credibility rests on the generation of returns, the average manager returns for global fund against inflation showed that over a period of 20 years the returns have been over three times inflation rate and this shows that the collective savers have owned an increasing portion of the broader economy. </w:t>
            </w:r>
          </w:p>
          <w:p w:rsidR="0027083E" w:rsidRPr="0027083E" w:rsidRDefault="0027083E" w:rsidP="00B35163">
            <w:pPr>
              <w:pStyle w:val="ListParagraph"/>
              <w:rPr>
                <w:rFonts w:eastAsia="Times New Roman" w:cs="Helvetica"/>
                <w:color w:val="333333"/>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Current assessment of transformation:</w:t>
            </w:r>
          </w:p>
          <w:p w:rsidR="0027083E" w:rsidRPr="0027083E" w:rsidRDefault="0027083E" w:rsidP="00936EE2">
            <w:pPr>
              <w:pStyle w:val="ListParagraph"/>
              <w:numPr>
                <w:ilvl w:val="0"/>
                <w:numId w:val="30"/>
              </w:numPr>
              <w:rPr>
                <w:rFonts w:eastAsia="Times New Roman" w:cs="Helvetica"/>
                <w:color w:val="333333"/>
              </w:rPr>
            </w:pPr>
            <w:r w:rsidRPr="0027083E">
              <w:rPr>
                <w:rFonts w:eastAsia="Times New Roman" w:cs="Helvetica"/>
                <w:color w:val="333333"/>
              </w:rPr>
              <w:t>The statistics of actual ownership of JSE top 100 companies indicates progress for black shareholders at 23% within 20 years, indirect ownership through retirement funds was about 13% and if well nurtured would be indicative of the future ownership of the economy.</w:t>
            </w:r>
          </w:p>
          <w:p w:rsidR="0027083E" w:rsidRPr="0027083E" w:rsidRDefault="0027083E" w:rsidP="00936EE2">
            <w:pPr>
              <w:pStyle w:val="ListParagraph"/>
              <w:numPr>
                <w:ilvl w:val="0"/>
                <w:numId w:val="30"/>
              </w:numPr>
              <w:rPr>
                <w:rFonts w:eastAsia="Times New Roman" w:cs="Helvetica"/>
                <w:color w:val="333333"/>
              </w:rPr>
            </w:pPr>
            <w:r w:rsidRPr="0027083E">
              <w:rPr>
                <w:rFonts w:eastAsia="Times New Roman" w:cs="Helvetica"/>
                <w:color w:val="333333"/>
              </w:rPr>
              <w:t xml:space="preserve">Long term sustainable increases in black ownership of the economy is dependent on the growth in the proportional submission of money by black people into the savings pool that support the </w:t>
            </w:r>
            <w:r w:rsidRPr="0027083E">
              <w:rPr>
                <w:rFonts w:eastAsia="Times New Roman" w:cs="Helvetica"/>
                <w:color w:val="333333"/>
              </w:rPr>
              <w:lastRenderedPageBreak/>
              <w:t>collection of savings that the industry manages. Local accumulated savings are deployed as investment capital that ultimately owns a huge part of the economy presently. Approximately 40% of the locally owned sector of JSE is owned collectively (16 million pension fund members). Ultimately sustainable ownership can be achieved through collective savings.</w:t>
            </w:r>
          </w:p>
          <w:p w:rsidR="0027083E" w:rsidRPr="0027083E" w:rsidRDefault="0027083E" w:rsidP="00936EE2">
            <w:pPr>
              <w:pStyle w:val="ListParagraph"/>
              <w:numPr>
                <w:ilvl w:val="0"/>
                <w:numId w:val="30"/>
              </w:numPr>
              <w:rPr>
                <w:rFonts w:eastAsia="Times New Roman" w:cs="Helvetica"/>
                <w:color w:val="333333"/>
              </w:rPr>
            </w:pPr>
            <w:r w:rsidRPr="0027083E">
              <w:rPr>
                <w:rFonts w:eastAsia="Times New Roman" w:cs="Helvetica"/>
                <w:color w:val="333333"/>
              </w:rPr>
              <w:t xml:space="preserve">ASISA statistics show an increase of SA black ownership from 16% in 2005 to 31% in 2015 (surpassed target of 25%), management and control in boards increased from 30% to 49%, black executive directors increased from 22% to 47%. </w:t>
            </w:r>
          </w:p>
          <w:p w:rsidR="0027083E" w:rsidRPr="0027083E" w:rsidRDefault="0027083E" w:rsidP="00936EE2">
            <w:pPr>
              <w:pStyle w:val="ListParagraph"/>
              <w:numPr>
                <w:ilvl w:val="0"/>
                <w:numId w:val="30"/>
              </w:numPr>
              <w:rPr>
                <w:rFonts w:eastAsia="Times New Roman" w:cs="Helvetica"/>
                <w:color w:val="333333"/>
              </w:rPr>
            </w:pPr>
            <w:r w:rsidRPr="0027083E">
              <w:rPr>
                <w:rFonts w:eastAsia="Times New Roman" w:cs="Helvetica"/>
                <w:color w:val="333333"/>
              </w:rPr>
              <w:t>In terms of employment equity, black senior management increased from 16% to 35% while black middle management increased from 32% to 48%; although the target was not met appreciable progress was observed in this sector which is highly capitalized.</w:t>
            </w:r>
          </w:p>
          <w:p w:rsidR="0027083E" w:rsidRPr="0027083E" w:rsidRDefault="0027083E" w:rsidP="00936EE2">
            <w:pPr>
              <w:pStyle w:val="ListParagraph"/>
              <w:numPr>
                <w:ilvl w:val="0"/>
                <w:numId w:val="30"/>
              </w:numPr>
              <w:rPr>
                <w:rFonts w:eastAsia="Times New Roman" w:cs="Helvetica"/>
                <w:color w:val="333333"/>
              </w:rPr>
            </w:pPr>
            <w:r w:rsidRPr="0027083E">
              <w:rPr>
                <w:rFonts w:eastAsia="Times New Roman" w:cs="Helvetica"/>
                <w:color w:val="333333"/>
              </w:rPr>
              <w:t>The target for Skills Development was 3% but over the ten year period there was an increase from 1.2% of the profits of the industry to about 4.9%.</w:t>
            </w:r>
          </w:p>
          <w:p w:rsidR="0027083E" w:rsidRPr="0027083E" w:rsidRDefault="0027083E" w:rsidP="00B35163">
            <w:pPr>
              <w:rPr>
                <w:rFonts w:eastAsia="Times New Roman" w:cs="Helvetica"/>
                <w:b/>
                <w:color w:val="333333"/>
                <w:u w:val="single"/>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Challenges/concerns identified:</w:t>
            </w:r>
          </w:p>
          <w:p w:rsidR="0027083E" w:rsidRPr="0027083E" w:rsidRDefault="0027083E" w:rsidP="00B35163">
            <w:pPr>
              <w:rPr>
                <w:rFonts w:eastAsia="Times New Roman" w:cs="Helvetica"/>
                <w:color w:val="333333"/>
              </w:rPr>
            </w:pPr>
            <w:r>
              <w:rPr>
                <w:rFonts w:eastAsia="Times New Roman" w:cs="Helvetica"/>
                <w:color w:val="333333"/>
              </w:rPr>
              <w:t>The long-</w:t>
            </w:r>
            <w:r w:rsidRPr="0027083E">
              <w:rPr>
                <w:rFonts w:eastAsia="Times New Roman" w:cs="Helvetica"/>
                <w:color w:val="333333"/>
              </w:rPr>
              <w:t>term portion of the industry requires that large sums of capital need to be held for the duration of the policy. Very few people/entities have the necessary capital to meet this require</w:t>
            </w:r>
            <w:r>
              <w:rPr>
                <w:rFonts w:eastAsia="Times New Roman" w:cs="Helvetica"/>
                <w:color w:val="333333"/>
              </w:rPr>
              <w:t>ment. The requirement that long-</w:t>
            </w:r>
            <w:r w:rsidRPr="0027083E">
              <w:rPr>
                <w:rFonts w:eastAsia="Times New Roman" w:cs="Helvetica"/>
                <w:color w:val="333333"/>
              </w:rPr>
              <w:t>term promises be met therefore means that the industry is concentrated. The industry is not monopolistic but competitive and concentrated.</w:t>
            </w:r>
            <w:r w:rsidRPr="0027083E">
              <w:rPr>
                <w:rFonts w:eastAsia="Times New Roman" w:cs="Helvetica"/>
                <w:color w:val="333333"/>
              </w:rPr>
              <w:br/>
            </w:r>
          </w:p>
        </w:tc>
      </w:tr>
      <w:tr w:rsidR="0027083E" w:rsidRPr="0027083E" w:rsidTr="0027083E">
        <w:tc>
          <w:tcPr>
            <w:tcW w:w="1219" w:type="pct"/>
          </w:tcPr>
          <w:p w:rsidR="0027083E" w:rsidRPr="0027083E" w:rsidRDefault="0027083E" w:rsidP="00B35163">
            <w:pPr>
              <w:rPr>
                <w:rFonts w:cs="Tahoma"/>
                <w:b/>
              </w:rPr>
            </w:pPr>
            <w:r w:rsidRPr="0027083E">
              <w:rPr>
                <w:rFonts w:cs="Tahoma"/>
                <w:b/>
              </w:rPr>
              <w:lastRenderedPageBreak/>
              <w:t>South African Insurance Association</w:t>
            </w:r>
          </w:p>
        </w:tc>
        <w:tc>
          <w:tcPr>
            <w:tcW w:w="3781" w:type="pct"/>
          </w:tcPr>
          <w:p w:rsidR="0027083E" w:rsidRPr="0027083E" w:rsidRDefault="0027083E" w:rsidP="00B35163">
            <w:pPr>
              <w:rPr>
                <w:rFonts w:cs="Tahoma"/>
                <w:b/>
                <w:u w:val="single"/>
              </w:rPr>
            </w:pPr>
            <w:r w:rsidRPr="0027083E">
              <w:rPr>
                <w:rFonts w:cs="Tahoma"/>
                <w:b/>
                <w:u w:val="single"/>
              </w:rPr>
              <w:t>Overview of the industry:</w:t>
            </w:r>
          </w:p>
          <w:p w:rsidR="0027083E" w:rsidRPr="0027083E" w:rsidRDefault="0027083E" w:rsidP="00B35163">
            <w:pPr>
              <w:rPr>
                <w:rFonts w:cs="Tahoma"/>
              </w:rPr>
            </w:pPr>
            <w:r w:rsidRPr="0027083E">
              <w:rPr>
                <w:rFonts w:cs="Tahoma"/>
              </w:rPr>
              <w:t>There are 74 Short-term Insurance Companies:</w:t>
            </w:r>
          </w:p>
          <w:p w:rsidR="0027083E" w:rsidRPr="0027083E" w:rsidRDefault="0027083E" w:rsidP="00936EE2">
            <w:pPr>
              <w:pStyle w:val="ListParagraph"/>
              <w:numPr>
                <w:ilvl w:val="0"/>
                <w:numId w:val="83"/>
              </w:numPr>
              <w:rPr>
                <w:rFonts w:cs="Tahoma"/>
              </w:rPr>
            </w:pPr>
            <w:r w:rsidRPr="0027083E">
              <w:rPr>
                <w:rFonts w:cs="Tahoma"/>
              </w:rPr>
              <w:t>31 companies offer products in only 1 or 2 segments of insurance</w:t>
            </w:r>
          </w:p>
          <w:p w:rsidR="0027083E" w:rsidRPr="0027083E" w:rsidRDefault="0027083E" w:rsidP="00936EE2">
            <w:pPr>
              <w:pStyle w:val="ListParagraph"/>
              <w:numPr>
                <w:ilvl w:val="0"/>
                <w:numId w:val="83"/>
              </w:numPr>
              <w:rPr>
                <w:rFonts w:cs="Tahoma"/>
              </w:rPr>
            </w:pPr>
            <w:r w:rsidRPr="0027083E">
              <w:rPr>
                <w:rFonts w:cs="Tahoma"/>
              </w:rPr>
              <w:t>36 companies offer products in 3 or more segments of insurance</w:t>
            </w:r>
          </w:p>
          <w:p w:rsidR="0027083E" w:rsidRPr="0027083E" w:rsidRDefault="0027083E" w:rsidP="00936EE2">
            <w:pPr>
              <w:pStyle w:val="ListParagraph"/>
              <w:numPr>
                <w:ilvl w:val="0"/>
                <w:numId w:val="83"/>
              </w:numPr>
              <w:rPr>
                <w:rFonts w:cs="Tahoma"/>
              </w:rPr>
            </w:pPr>
            <w:r w:rsidRPr="0027083E">
              <w:rPr>
                <w:rFonts w:cs="Tahoma"/>
              </w:rPr>
              <w:t>7 companies offer products across all segments</w:t>
            </w:r>
          </w:p>
          <w:p w:rsidR="0027083E" w:rsidRPr="0027083E" w:rsidRDefault="0027083E" w:rsidP="00936EE2">
            <w:pPr>
              <w:pStyle w:val="ListParagraph"/>
              <w:numPr>
                <w:ilvl w:val="0"/>
                <w:numId w:val="83"/>
              </w:numPr>
              <w:rPr>
                <w:rFonts w:cs="Tahoma"/>
              </w:rPr>
            </w:pPr>
            <w:r w:rsidRPr="0027083E">
              <w:rPr>
                <w:rFonts w:cs="Tahoma"/>
              </w:rPr>
              <w:t>6 insurers are state owned</w:t>
            </w:r>
          </w:p>
          <w:p w:rsidR="0027083E" w:rsidRPr="0027083E" w:rsidRDefault="0027083E" w:rsidP="00936EE2">
            <w:pPr>
              <w:pStyle w:val="ListParagraph"/>
              <w:numPr>
                <w:ilvl w:val="0"/>
                <w:numId w:val="83"/>
              </w:numPr>
              <w:rPr>
                <w:rFonts w:cs="Tahoma"/>
              </w:rPr>
            </w:pPr>
            <w:r w:rsidRPr="0027083E">
              <w:rPr>
                <w:rFonts w:cs="Tahoma"/>
              </w:rPr>
              <w:t>14 companies are captive insurers –they only insure the assets of their holding company</w:t>
            </w:r>
          </w:p>
          <w:p w:rsidR="0027083E" w:rsidRPr="0027083E" w:rsidRDefault="0027083E" w:rsidP="00936EE2">
            <w:pPr>
              <w:pStyle w:val="ListParagraph"/>
              <w:numPr>
                <w:ilvl w:val="0"/>
                <w:numId w:val="83"/>
              </w:numPr>
              <w:rPr>
                <w:rFonts w:cs="Tahoma"/>
              </w:rPr>
            </w:pPr>
            <w:r w:rsidRPr="0027083E">
              <w:rPr>
                <w:rFonts w:cs="Tahoma"/>
              </w:rPr>
              <w:t>Top 6 companies = 56% Market Share</w:t>
            </w:r>
          </w:p>
          <w:p w:rsidR="0027083E" w:rsidRPr="0027083E" w:rsidRDefault="0027083E" w:rsidP="00936EE2">
            <w:pPr>
              <w:pStyle w:val="ListParagraph"/>
              <w:numPr>
                <w:ilvl w:val="0"/>
                <w:numId w:val="83"/>
              </w:numPr>
              <w:rPr>
                <w:rFonts w:cs="Tahoma"/>
              </w:rPr>
            </w:pPr>
            <w:r w:rsidRPr="0027083E">
              <w:rPr>
                <w:rFonts w:cs="Tahoma"/>
              </w:rPr>
              <w:t>Top 10 companies = 66% Market Share</w:t>
            </w:r>
          </w:p>
          <w:p w:rsidR="0027083E" w:rsidRPr="0027083E" w:rsidRDefault="0027083E" w:rsidP="00B35163">
            <w:pPr>
              <w:pStyle w:val="ListParagraph"/>
              <w:rPr>
                <w:rFonts w:cs="Tahoma"/>
              </w:rPr>
            </w:pPr>
          </w:p>
          <w:p w:rsidR="0027083E" w:rsidRPr="0027083E" w:rsidRDefault="0027083E" w:rsidP="00B35163">
            <w:pPr>
              <w:rPr>
                <w:rFonts w:eastAsia="Times New Roman" w:cs="Helvetica"/>
                <w:b/>
                <w:color w:val="333333"/>
                <w:u w:val="single"/>
              </w:rPr>
            </w:pPr>
            <w:r w:rsidRPr="0027083E">
              <w:rPr>
                <w:rFonts w:eastAsia="Times New Roman" w:cs="Helvetica"/>
                <w:b/>
                <w:color w:val="333333"/>
                <w:u w:val="single"/>
              </w:rPr>
              <w:t>Current assessment of transformation:</w:t>
            </w:r>
          </w:p>
          <w:p w:rsidR="0027083E" w:rsidRPr="0027083E" w:rsidRDefault="0027083E" w:rsidP="00936EE2">
            <w:pPr>
              <w:pStyle w:val="ListParagraph"/>
              <w:numPr>
                <w:ilvl w:val="0"/>
                <w:numId w:val="84"/>
              </w:numPr>
              <w:rPr>
                <w:rFonts w:cs="Tahoma"/>
              </w:rPr>
            </w:pPr>
            <w:r w:rsidRPr="0027083E">
              <w:rPr>
                <w:rFonts w:cs="Tahoma"/>
              </w:rPr>
              <w:t>A Financial Inclusion Forum was established in 2016 between the SAIA, Financial Services Boar (FSB) and the National Treasury to jointly explore ways increase financial inclusion.</w:t>
            </w:r>
          </w:p>
          <w:p w:rsidR="0027083E" w:rsidRPr="0027083E" w:rsidRDefault="0027083E" w:rsidP="00936EE2">
            <w:pPr>
              <w:pStyle w:val="ListParagraph"/>
              <w:numPr>
                <w:ilvl w:val="0"/>
                <w:numId w:val="84"/>
              </w:numPr>
              <w:rPr>
                <w:rFonts w:cs="Tahoma"/>
              </w:rPr>
            </w:pPr>
            <w:r w:rsidRPr="0027083E">
              <w:rPr>
                <w:rFonts w:cs="Tahoma"/>
              </w:rPr>
              <w:t xml:space="preserve">The number of people with motor insurance increased from 2.1 million in 2004 to 3.2 million in </w:t>
            </w:r>
            <w:r w:rsidRPr="0027083E">
              <w:rPr>
                <w:rFonts w:cs="Tahoma"/>
              </w:rPr>
              <w:lastRenderedPageBreak/>
              <w:t>2014. The number of people with household contents insurance increased from 1.7 million in 2004 to 2.2 million in 2014.</w:t>
            </w:r>
          </w:p>
          <w:p w:rsidR="0027083E" w:rsidRPr="0027083E" w:rsidRDefault="0027083E" w:rsidP="00936EE2">
            <w:pPr>
              <w:pStyle w:val="ListParagraph"/>
              <w:numPr>
                <w:ilvl w:val="0"/>
                <w:numId w:val="84"/>
              </w:numPr>
              <w:rPr>
                <w:rFonts w:cs="Tahoma"/>
              </w:rPr>
            </w:pPr>
            <w:r w:rsidRPr="0027083E">
              <w:rPr>
                <w:rFonts w:cs="Tahoma"/>
              </w:rPr>
              <w:t>Projects that contribute to broader socio-economic transformation: College of Insurance; Motor Transformation and Sustainability Forum; Crime Combatting and Reduction; Partnerships for Risk And Resilience; Youth employment accelerator; Business For Road Safety Forum; Agricultural Insurance Public-Private-Partnership; Green Geyser Replacement Project</w:t>
            </w:r>
          </w:p>
          <w:p w:rsidR="0027083E" w:rsidRPr="0027083E" w:rsidRDefault="0027083E" w:rsidP="00B35163">
            <w:pPr>
              <w:pStyle w:val="ListParagraph"/>
              <w:rPr>
                <w:rFonts w:cs="Tahoma"/>
              </w:rPr>
            </w:pPr>
          </w:p>
          <w:p w:rsidR="0027083E" w:rsidRPr="0027083E" w:rsidRDefault="0027083E" w:rsidP="00B35163">
            <w:pPr>
              <w:rPr>
                <w:rFonts w:cs="Tahoma"/>
                <w:b/>
                <w:u w:val="single"/>
              </w:rPr>
            </w:pPr>
            <w:r w:rsidRPr="0027083E">
              <w:rPr>
                <w:rFonts w:cs="Tahoma"/>
                <w:b/>
                <w:u w:val="single"/>
              </w:rPr>
              <w:t>Challenges/concerns identified:</w:t>
            </w:r>
          </w:p>
          <w:p w:rsidR="0027083E" w:rsidRPr="0027083E" w:rsidRDefault="0027083E" w:rsidP="00936EE2">
            <w:pPr>
              <w:pStyle w:val="ListParagraph"/>
              <w:numPr>
                <w:ilvl w:val="0"/>
                <w:numId w:val="85"/>
              </w:numPr>
              <w:rPr>
                <w:rFonts w:cs="Tahoma"/>
              </w:rPr>
            </w:pPr>
            <w:r w:rsidRPr="0027083E">
              <w:rPr>
                <w:rFonts w:cs="Tahoma"/>
              </w:rPr>
              <w:t xml:space="preserve">Industry is committed to broad-based socio-economic transformation and to contribute to NDP implementation but acknowledges lack of collaboration </w:t>
            </w:r>
          </w:p>
          <w:p w:rsidR="0027083E" w:rsidRPr="0027083E" w:rsidRDefault="0027083E" w:rsidP="00936EE2">
            <w:pPr>
              <w:pStyle w:val="ListParagraph"/>
              <w:numPr>
                <w:ilvl w:val="0"/>
                <w:numId w:val="85"/>
              </w:numPr>
              <w:rPr>
                <w:rFonts w:cs="Tahoma"/>
              </w:rPr>
            </w:pPr>
            <w:r w:rsidRPr="0027083E">
              <w:rPr>
                <w:rFonts w:cs="Tahoma"/>
              </w:rPr>
              <w:t>The demographic representation of staff at all levels</w:t>
            </w:r>
          </w:p>
          <w:p w:rsidR="0027083E" w:rsidRPr="0027083E" w:rsidRDefault="0027083E" w:rsidP="00936EE2">
            <w:pPr>
              <w:pStyle w:val="ListParagraph"/>
              <w:numPr>
                <w:ilvl w:val="0"/>
                <w:numId w:val="85"/>
              </w:numPr>
              <w:rPr>
                <w:rFonts w:cs="Tahoma"/>
              </w:rPr>
            </w:pPr>
            <w:r w:rsidRPr="0027083E">
              <w:rPr>
                <w:rFonts w:cs="Tahoma"/>
              </w:rPr>
              <w:t>Procurement spend with black owned businesses, smaller black businesses, and black women owned businesses</w:t>
            </w:r>
          </w:p>
          <w:p w:rsidR="0027083E" w:rsidRPr="0027083E" w:rsidRDefault="0027083E" w:rsidP="00936EE2">
            <w:pPr>
              <w:pStyle w:val="ListParagraph"/>
              <w:numPr>
                <w:ilvl w:val="0"/>
                <w:numId w:val="85"/>
              </w:numPr>
              <w:rPr>
                <w:rFonts w:cs="Tahoma"/>
              </w:rPr>
            </w:pPr>
            <w:r w:rsidRPr="0027083E">
              <w:rPr>
                <w:rFonts w:cs="Tahoma"/>
              </w:rPr>
              <w:t xml:space="preserve">Financial inclusion and financial literacy </w:t>
            </w:r>
          </w:p>
          <w:p w:rsidR="0027083E" w:rsidRPr="0027083E" w:rsidRDefault="0027083E" w:rsidP="00936EE2">
            <w:pPr>
              <w:pStyle w:val="ListParagraph"/>
              <w:numPr>
                <w:ilvl w:val="0"/>
                <w:numId w:val="85"/>
              </w:numPr>
              <w:rPr>
                <w:rFonts w:cs="Tahoma"/>
              </w:rPr>
            </w:pPr>
            <w:r w:rsidRPr="0027083E">
              <w:rPr>
                <w:rFonts w:cs="Tahoma"/>
              </w:rPr>
              <w:t>Implement SAIA enterprise and supplier development programmes</w:t>
            </w:r>
          </w:p>
          <w:p w:rsidR="0027083E" w:rsidRPr="0027083E" w:rsidRDefault="0027083E" w:rsidP="00B35163">
            <w:pPr>
              <w:rPr>
                <w:rFonts w:cs="Tahoma"/>
              </w:rPr>
            </w:pPr>
          </w:p>
          <w:p w:rsidR="0027083E" w:rsidRPr="0027083E" w:rsidRDefault="0027083E" w:rsidP="00B35163">
            <w:pPr>
              <w:rPr>
                <w:rFonts w:cs="Tahoma"/>
                <w:b/>
                <w:u w:val="single"/>
              </w:rPr>
            </w:pPr>
            <w:r w:rsidRPr="0027083E">
              <w:rPr>
                <w:rFonts w:cs="Tahoma"/>
                <w:b/>
                <w:u w:val="single"/>
              </w:rPr>
              <w:t>Next steps for SAIA:</w:t>
            </w:r>
          </w:p>
          <w:p w:rsidR="0027083E" w:rsidRPr="0027083E" w:rsidRDefault="0027083E" w:rsidP="00936EE2">
            <w:pPr>
              <w:pStyle w:val="ListParagraph"/>
              <w:numPr>
                <w:ilvl w:val="0"/>
                <w:numId w:val="86"/>
              </w:numPr>
              <w:rPr>
                <w:rFonts w:cs="Tahoma"/>
              </w:rPr>
            </w:pPr>
            <w:r w:rsidRPr="0027083E">
              <w:rPr>
                <w:rFonts w:cs="Tahoma"/>
              </w:rPr>
              <w:t>Regular monitoring of insurer procurement spend, especially in MBR environment, including monitoring spend on suppliers that are 75% black owned or more</w:t>
            </w:r>
          </w:p>
          <w:p w:rsidR="0027083E" w:rsidRPr="0027083E" w:rsidRDefault="0027083E" w:rsidP="00936EE2">
            <w:pPr>
              <w:pStyle w:val="ListParagraph"/>
              <w:numPr>
                <w:ilvl w:val="0"/>
                <w:numId w:val="86"/>
              </w:numPr>
              <w:rPr>
                <w:rFonts w:cs="Tahoma"/>
              </w:rPr>
            </w:pPr>
            <w:r w:rsidRPr="0027083E">
              <w:rPr>
                <w:rFonts w:cs="Tahoma"/>
              </w:rPr>
              <w:t>Investigate ways to support the establishment of black insurers</w:t>
            </w:r>
          </w:p>
          <w:p w:rsidR="0027083E" w:rsidRPr="0027083E" w:rsidRDefault="0027083E" w:rsidP="00936EE2">
            <w:pPr>
              <w:pStyle w:val="ListParagraph"/>
              <w:numPr>
                <w:ilvl w:val="0"/>
                <w:numId w:val="86"/>
              </w:numPr>
              <w:rPr>
                <w:rFonts w:cs="Tahoma"/>
              </w:rPr>
            </w:pPr>
            <w:r w:rsidRPr="0027083E">
              <w:rPr>
                <w:rFonts w:cs="Tahoma"/>
              </w:rPr>
              <w:t>Through Financial Inclusion Forum, investigate ways to increase financial inclusion</w:t>
            </w:r>
          </w:p>
          <w:p w:rsidR="0027083E" w:rsidRPr="0027083E" w:rsidRDefault="0027083E" w:rsidP="00B35163">
            <w:pPr>
              <w:pStyle w:val="ListParagraph"/>
              <w:rPr>
                <w:rFonts w:cs="Tahoma"/>
              </w:rPr>
            </w:pPr>
          </w:p>
        </w:tc>
      </w:tr>
      <w:tr w:rsidR="00312E22" w:rsidRPr="0027083E" w:rsidTr="0027083E">
        <w:tc>
          <w:tcPr>
            <w:tcW w:w="1219" w:type="pct"/>
          </w:tcPr>
          <w:p w:rsidR="00312E22" w:rsidRPr="0027083E" w:rsidRDefault="00312E22" w:rsidP="00312E22">
            <w:pPr>
              <w:rPr>
                <w:rFonts w:cs="Tahoma"/>
                <w:b/>
                <w:color w:val="000000"/>
              </w:rPr>
            </w:pPr>
            <w:r w:rsidRPr="0027083E">
              <w:rPr>
                <w:rFonts w:eastAsia="Times New Roman" w:cs="Helvetica"/>
                <w:b/>
                <w:bCs/>
                <w:color w:val="333333"/>
              </w:rPr>
              <w:lastRenderedPageBreak/>
              <w:t>Association of Black Securities and Investment Professionals (ABSIP)</w:t>
            </w:r>
          </w:p>
        </w:tc>
        <w:tc>
          <w:tcPr>
            <w:tcW w:w="3781" w:type="pct"/>
          </w:tcPr>
          <w:p w:rsidR="00312E22" w:rsidRPr="0027083E" w:rsidRDefault="00312E22" w:rsidP="00312E22">
            <w:pPr>
              <w:rPr>
                <w:rFonts w:eastAsia="Times New Roman" w:cs="Helvetica"/>
                <w:b/>
                <w:color w:val="333333"/>
                <w:u w:val="single"/>
              </w:rPr>
            </w:pPr>
            <w:r w:rsidRPr="0027083E">
              <w:rPr>
                <w:rFonts w:eastAsia="Times New Roman" w:cs="Helvetica"/>
                <w:b/>
                <w:color w:val="333333"/>
                <w:u w:val="single"/>
              </w:rPr>
              <w:t>Intro:</w:t>
            </w:r>
          </w:p>
          <w:p w:rsidR="00312E22" w:rsidRPr="0027083E" w:rsidRDefault="00312E22" w:rsidP="00312E22">
            <w:pPr>
              <w:rPr>
                <w:rFonts w:eastAsia="Times New Roman" w:cs="Helvetica"/>
                <w:color w:val="333333"/>
              </w:rPr>
            </w:pPr>
            <w:r w:rsidRPr="0027083E">
              <w:rPr>
                <w:rFonts w:eastAsia="Times New Roman" w:cs="Helvetica"/>
                <w:color w:val="333333"/>
              </w:rPr>
              <w:t xml:space="preserve">ABSIP believes that while transformation of the sector has been slow, some progress has been recorded but much more could still be done at a faster pace. Legislative and regulatory support are key to advancing transformation, as is a collaborative, supportive and inclusive effort by both large established and small emerging players. </w:t>
            </w:r>
          </w:p>
          <w:p w:rsidR="00312E22" w:rsidRPr="0027083E" w:rsidRDefault="00312E22" w:rsidP="00312E22">
            <w:pPr>
              <w:rPr>
                <w:rFonts w:eastAsia="Times New Roman" w:cs="Helvetica"/>
                <w:color w:val="333333"/>
              </w:rPr>
            </w:pPr>
          </w:p>
          <w:p w:rsidR="00312E22" w:rsidRPr="0027083E" w:rsidRDefault="00312E22" w:rsidP="00312E22">
            <w:pPr>
              <w:rPr>
                <w:rFonts w:eastAsia="Times New Roman" w:cs="Helvetica"/>
                <w:b/>
                <w:color w:val="333333"/>
                <w:u w:val="single"/>
              </w:rPr>
            </w:pPr>
            <w:r w:rsidRPr="0027083E">
              <w:rPr>
                <w:rFonts w:eastAsia="Times New Roman" w:cs="Helvetica"/>
                <w:b/>
                <w:color w:val="333333"/>
                <w:u w:val="single"/>
              </w:rPr>
              <w:t>Overview of the sector:</w:t>
            </w:r>
          </w:p>
          <w:p w:rsidR="00312E22" w:rsidRPr="0027083E" w:rsidRDefault="00312E22" w:rsidP="00936EE2">
            <w:pPr>
              <w:pStyle w:val="ListParagraph"/>
              <w:numPr>
                <w:ilvl w:val="0"/>
                <w:numId w:val="64"/>
              </w:numPr>
              <w:rPr>
                <w:rFonts w:eastAsia="Times New Roman" w:cs="Helvetica"/>
                <w:color w:val="333333"/>
              </w:rPr>
            </w:pPr>
            <w:r w:rsidRPr="0027083E">
              <w:rPr>
                <w:rFonts w:eastAsia="Times New Roman" w:cs="Helvetica"/>
                <w:color w:val="333333"/>
              </w:rPr>
              <w:t xml:space="preserve">There are 42 black investment management firms in the sector. Black-owned investment management firms account for 35% of the players by number, the assets they manage account for less than 5% of the total assets under management in the industry. </w:t>
            </w:r>
          </w:p>
          <w:p w:rsidR="00312E22" w:rsidRPr="0027083E" w:rsidRDefault="00312E22" w:rsidP="00936EE2">
            <w:pPr>
              <w:pStyle w:val="ListParagraph"/>
              <w:numPr>
                <w:ilvl w:val="0"/>
                <w:numId w:val="49"/>
              </w:numPr>
              <w:rPr>
                <w:rFonts w:eastAsia="Times New Roman" w:cs="Helvetica"/>
                <w:color w:val="333333"/>
              </w:rPr>
            </w:pPr>
            <w:r w:rsidRPr="0027083E">
              <w:rPr>
                <w:rFonts w:eastAsia="Times New Roman" w:cs="Helvetica"/>
                <w:color w:val="333333"/>
              </w:rPr>
              <w:t>There are fewer than 5 black hedge fund managers in South Africa.</w:t>
            </w:r>
          </w:p>
          <w:p w:rsidR="00312E22" w:rsidRPr="0027083E" w:rsidRDefault="00312E22" w:rsidP="00936EE2">
            <w:pPr>
              <w:pStyle w:val="ListParagraph"/>
              <w:numPr>
                <w:ilvl w:val="0"/>
                <w:numId w:val="49"/>
              </w:numPr>
              <w:rPr>
                <w:rFonts w:eastAsia="Times New Roman" w:cs="Helvetica"/>
                <w:color w:val="333333"/>
              </w:rPr>
            </w:pPr>
            <w:r w:rsidRPr="0027083E">
              <w:rPr>
                <w:rFonts w:eastAsia="Times New Roman" w:cs="Helvetica"/>
                <w:color w:val="333333"/>
              </w:rPr>
              <w:lastRenderedPageBreak/>
              <w:t>The number of black-owned stock brokerages remains disproportionately low (approximately 7 major players) and they collectively have market share of approximately 1.62%.</w:t>
            </w:r>
          </w:p>
          <w:p w:rsidR="00312E22" w:rsidRPr="0027083E" w:rsidRDefault="00312E22" w:rsidP="00936EE2">
            <w:pPr>
              <w:pStyle w:val="ListParagraph"/>
              <w:numPr>
                <w:ilvl w:val="0"/>
                <w:numId w:val="49"/>
              </w:numPr>
              <w:rPr>
                <w:rFonts w:eastAsia="Times New Roman" w:cs="Helvetica"/>
                <w:color w:val="333333"/>
              </w:rPr>
            </w:pPr>
            <w:r w:rsidRPr="0027083E">
              <w:rPr>
                <w:rFonts w:eastAsia="Times New Roman" w:cs="Helvetica"/>
                <w:color w:val="333333"/>
              </w:rPr>
              <w:t>The number of majority black owned private equity firms registered in the country is not specifically disclosed. The annual KPMG-SAVCA Survey lists funds based on their level BEE score. The collective market share of Level 1 firms is 2.1% and that of Level 2 private equity fund managers is 13.7% of total funds under management. It is not clear if the Level 2 firms are majority black owned. 50% of the funds under management are managed by firms who have undisclosed BEE ratings or are non-compliant.</w:t>
            </w:r>
          </w:p>
          <w:p w:rsidR="00312E22" w:rsidRPr="0027083E" w:rsidRDefault="00312E22" w:rsidP="00936EE2">
            <w:pPr>
              <w:pStyle w:val="ListParagraph"/>
              <w:numPr>
                <w:ilvl w:val="0"/>
                <w:numId w:val="49"/>
              </w:numPr>
              <w:rPr>
                <w:rFonts w:eastAsia="Times New Roman" w:cs="Helvetica"/>
                <w:color w:val="333333"/>
              </w:rPr>
            </w:pPr>
            <w:r w:rsidRPr="0027083E">
              <w:rPr>
                <w:rFonts w:eastAsia="Times New Roman" w:cs="Helvetica"/>
                <w:color w:val="333333"/>
              </w:rPr>
              <w:t>The banking sector has for some years been characterised by an enduring oligopoly market structure. These five banks hold a market share of approximately 91% based on total assets and approximately 92% based on total deposits. While there are in total 33 registered banks, there appears to be only one bank with black shareholding of more than 50.1%.</w:t>
            </w:r>
          </w:p>
          <w:p w:rsidR="00312E22" w:rsidRPr="0027083E" w:rsidRDefault="00312E22" w:rsidP="00936EE2">
            <w:pPr>
              <w:pStyle w:val="ListParagraph"/>
              <w:numPr>
                <w:ilvl w:val="0"/>
                <w:numId w:val="49"/>
              </w:numPr>
              <w:rPr>
                <w:rFonts w:eastAsia="Times New Roman" w:cs="Helvetica"/>
                <w:color w:val="333333"/>
              </w:rPr>
            </w:pPr>
            <w:r w:rsidRPr="0027083E">
              <w:rPr>
                <w:rFonts w:eastAsia="Times New Roman" w:cs="Helvetica"/>
                <w:color w:val="333333"/>
              </w:rPr>
              <w:t xml:space="preserve">There are 73 long-term insurers registered with the FSB. The top four players account for 67% of the total assets of the industry while 69 players share the remaining 33% which is highly fragmented. </w:t>
            </w:r>
          </w:p>
          <w:p w:rsidR="00312E22" w:rsidRPr="0027083E" w:rsidRDefault="00312E22" w:rsidP="00936EE2">
            <w:pPr>
              <w:pStyle w:val="ListParagraph"/>
              <w:numPr>
                <w:ilvl w:val="0"/>
                <w:numId w:val="49"/>
              </w:numPr>
              <w:rPr>
                <w:rFonts w:eastAsia="Times New Roman" w:cs="Helvetica"/>
                <w:color w:val="333333"/>
              </w:rPr>
            </w:pPr>
            <w:r w:rsidRPr="0027083E">
              <w:rPr>
                <w:rFonts w:eastAsia="Times New Roman" w:cs="Helvetica"/>
                <w:color w:val="333333"/>
              </w:rPr>
              <w:t>There are 90 short-term insurers registered with FSB. The top five players account for 50% of the premiums while 85 players share the remaining 50% of the industry which is highly fragmented.</w:t>
            </w:r>
            <w:r w:rsidRPr="0027083E">
              <w:rPr>
                <w:rFonts w:eastAsia="Times New Roman" w:cs="Helvetica"/>
                <w:color w:val="333333"/>
              </w:rPr>
              <w:br/>
            </w:r>
          </w:p>
          <w:p w:rsidR="00312E22" w:rsidRPr="0027083E" w:rsidRDefault="00312E22" w:rsidP="00312E22">
            <w:pPr>
              <w:rPr>
                <w:rFonts w:eastAsia="Times New Roman" w:cs="Helvetica"/>
                <w:b/>
                <w:color w:val="333333"/>
                <w:u w:val="single"/>
              </w:rPr>
            </w:pPr>
            <w:r w:rsidRPr="0027083E">
              <w:rPr>
                <w:rFonts w:eastAsia="Times New Roman" w:cs="Helvetica"/>
                <w:b/>
                <w:color w:val="333333"/>
                <w:u w:val="single"/>
              </w:rPr>
              <w:t>Challenges/concerns identified:</w:t>
            </w:r>
          </w:p>
          <w:p w:rsidR="00312E22" w:rsidRPr="0027083E" w:rsidRDefault="00312E22" w:rsidP="00936EE2">
            <w:pPr>
              <w:pStyle w:val="ListParagraph"/>
              <w:numPr>
                <w:ilvl w:val="0"/>
                <w:numId w:val="48"/>
              </w:numPr>
              <w:rPr>
                <w:rFonts w:eastAsia="Times New Roman" w:cs="Helvetica"/>
                <w:color w:val="333333"/>
              </w:rPr>
            </w:pPr>
            <w:r w:rsidRPr="0027083E">
              <w:rPr>
                <w:rFonts w:eastAsia="Times New Roman" w:cs="Helvetica"/>
                <w:color w:val="333333"/>
              </w:rPr>
              <w:t xml:space="preserve">There simply is not enough change in terms of black professionals playing a leading role in these firms. </w:t>
            </w:r>
          </w:p>
          <w:p w:rsidR="00312E22" w:rsidRPr="0027083E" w:rsidRDefault="00312E22" w:rsidP="00936EE2">
            <w:pPr>
              <w:pStyle w:val="ListParagraph"/>
              <w:numPr>
                <w:ilvl w:val="0"/>
                <w:numId w:val="48"/>
              </w:numPr>
              <w:rPr>
                <w:rFonts w:eastAsia="Times New Roman" w:cs="Helvetica"/>
                <w:color w:val="333333"/>
              </w:rPr>
            </w:pPr>
            <w:r w:rsidRPr="0027083E">
              <w:rPr>
                <w:rFonts w:eastAsia="Times New Roman" w:cs="Helvetica"/>
                <w:color w:val="333333"/>
              </w:rPr>
              <w:t xml:space="preserve">Asset owners are not supporting black asset management firms. </w:t>
            </w:r>
          </w:p>
          <w:p w:rsidR="00312E22" w:rsidRPr="0027083E" w:rsidRDefault="00312E22" w:rsidP="00936EE2">
            <w:pPr>
              <w:pStyle w:val="ListParagraph"/>
              <w:numPr>
                <w:ilvl w:val="0"/>
                <w:numId w:val="48"/>
              </w:numPr>
              <w:rPr>
                <w:rFonts w:eastAsia="Times New Roman" w:cs="Helvetica"/>
                <w:color w:val="333333"/>
              </w:rPr>
            </w:pPr>
            <w:r w:rsidRPr="0027083E">
              <w:rPr>
                <w:rFonts w:eastAsia="Times New Roman" w:cs="Helvetica"/>
                <w:color w:val="333333"/>
              </w:rPr>
              <w:t xml:space="preserve">The government is setting high compliance requirements without the necessary support to new entrants and this contradicts all policy directives to enable deracialisation of the FSS. </w:t>
            </w:r>
          </w:p>
          <w:p w:rsidR="00312E22" w:rsidRPr="0027083E" w:rsidRDefault="00312E22" w:rsidP="00936EE2">
            <w:pPr>
              <w:pStyle w:val="ListParagraph"/>
              <w:numPr>
                <w:ilvl w:val="0"/>
                <w:numId w:val="48"/>
              </w:numPr>
              <w:rPr>
                <w:rFonts w:eastAsia="Times New Roman" w:cs="Helvetica"/>
                <w:color w:val="333333"/>
              </w:rPr>
            </w:pPr>
            <w:r w:rsidRPr="0027083E">
              <w:rPr>
                <w:rFonts w:eastAsia="Times New Roman" w:cs="Helvetica"/>
                <w:color w:val="333333"/>
              </w:rPr>
              <w:t xml:space="preserve">A black player that submitted applications to the FSB for approval was rejected with no guidance provided. </w:t>
            </w:r>
          </w:p>
          <w:p w:rsidR="00312E22" w:rsidRPr="0027083E" w:rsidRDefault="00312E22" w:rsidP="00936EE2">
            <w:pPr>
              <w:pStyle w:val="ListParagraph"/>
              <w:numPr>
                <w:ilvl w:val="0"/>
                <w:numId w:val="48"/>
              </w:numPr>
              <w:rPr>
                <w:rFonts w:eastAsia="Times New Roman" w:cs="Helvetica"/>
                <w:color w:val="333333"/>
              </w:rPr>
            </w:pPr>
            <w:r w:rsidRPr="0027083E">
              <w:rPr>
                <w:rFonts w:eastAsia="Times New Roman" w:cs="Helvetica"/>
                <w:color w:val="333333"/>
              </w:rPr>
              <w:t xml:space="preserve">There is a lack of support by the regulators to enable black business to gain the necessary tools to compete against white business. </w:t>
            </w:r>
          </w:p>
          <w:p w:rsidR="00312E22" w:rsidRPr="0027083E" w:rsidRDefault="00312E22" w:rsidP="00936EE2">
            <w:pPr>
              <w:pStyle w:val="ListParagraph"/>
              <w:numPr>
                <w:ilvl w:val="0"/>
                <w:numId w:val="48"/>
              </w:numPr>
              <w:rPr>
                <w:rFonts w:eastAsia="Times New Roman" w:cs="Helvetica"/>
                <w:color w:val="333333"/>
              </w:rPr>
            </w:pPr>
            <w:r w:rsidRPr="0027083E">
              <w:rPr>
                <w:rFonts w:eastAsia="Times New Roman" w:cs="Helvetica"/>
                <w:color w:val="333333"/>
              </w:rPr>
              <w:t>It is the view of many black participants that the regulator is disabling to black participants within the industry and is regarded as being anti-transformational.</w:t>
            </w:r>
          </w:p>
          <w:p w:rsidR="00312E22" w:rsidRPr="0027083E" w:rsidRDefault="00312E22" w:rsidP="00936EE2">
            <w:pPr>
              <w:pStyle w:val="ListParagraph"/>
              <w:numPr>
                <w:ilvl w:val="0"/>
                <w:numId w:val="48"/>
              </w:numPr>
              <w:rPr>
                <w:rFonts w:eastAsia="Times New Roman" w:cs="Helvetica"/>
                <w:b/>
                <w:color w:val="333333"/>
                <w:u w:val="single"/>
              </w:rPr>
            </w:pPr>
            <w:r w:rsidRPr="0027083E">
              <w:rPr>
                <w:rFonts w:eastAsia="Times New Roman" w:cs="Helvetica"/>
                <w:color w:val="333333"/>
              </w:rPr>
              <w:t xml:space="preserve">Because the B-BBEE legislation remains voluntary and only applicable to those who wish to comply, black brokers lack the support of enabling legislation/regulations to drive </w:t>
            </w:r>
            <w:r w:rsidRPr="0027083E">
              <w:rPr>
                <w:rFonts w:eastAsia="Times New Roman" w:cs="Helvetica"/>
                <w:color w:val="333333"/>
              </w:rPr>
              <w:lastRenderedPageBreak/>
              <w:t>transformation.</w:t>
            </w:r>
          </w:p>
          <w:p w:rsidR="00312E22" w:rsidRPr="0027083E" w:rsidRDefault="00312E22" w:rsidP="00936EE2">
            <w:pPr>
              <w:pStyle w:val="ListParagraph"/>
              <w:numPr>
                <w:ilvl w:val="0"/>
                <w:numId w:val="48"/>
              </w:numPr>
              <w:rPr>
                <w:rFonts w:eastAsia="Times New Roman" w:cs="Helvetica"/>
                <w:b/>
                <w:color w:val="333333"/>
                <w:u w:val="single"/>
              </w:rPr>
            </w:pPr>
            <w:r w:rsidRPr="0027083E">
              <w:rPr>
                <w:rFonts w:eastAsia="Times New Roman" w:cs="Helvetica"/>
                <w:color w:val="333333"/>
              </w:rPr>
              <w:t xml:space="preserve">Barriers to entry for new black entrants or start-ups remain too high for genuine inclusive growth; thus reducing its optimum competitiveness. </w:t>
            </w:r>
          </w:p>
          <w:p w:rsidR="00312E22" w:rsidRPr="0027083E" w:rsidRDefault="00312E22" w:rsidP="00312E22">
            <w:pPr>
              <w:rPr>
                <w:rFonts w:eastAsia="Times New Roman" w:cs="Helvetica"/>
                <w:b/>
                <w:color w:val="333333"/>
                <w:u w:val="single"/>
              </w:rPr>
            </w:pPr>
          </w:p>
          <w:p w:rsidR="00142063" w:rsidRPr="0027083E" w:rsidRDefault="00142063" w:rsidP="00142063">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312E22" w:rsidRPr="0027083E" w:rsidRDefault="00312E22" w:rsidP="00936EE2">
            <w:pPr>
              <w:pStyle w:val="ListParagraph"/>
              <w:numPr>
                <w:ilvl w:val="0"/>
                <w:numId w:val="50"/>
              </w:numPr>
              <w:rPr>
                <w:rFonts w:eastAsia="Times New Roman" w:cs="Helvetica"/>
                <w:color w:val="333333"/>
              </w:rPr>
            </w:pPr>
            <w:r w:rsidRPr="0027083E">
              <w:rPr>
                <w:rFonts w:eastAsia="Times New Roman" w:cs="Helvetica"/>
                <w:color w:val="333333"/>
              </w:rPr>
              <w:t xml:space="preserve">ABSIP recommends that a form of compulsory disclosure is required for all participants in financial sub-sectors, particularly in asset management, in order to determine the state of the market structure and whether transformation is meaningfully occurring. </w:t>
            </w:r>
          </w:p>
          <w:p w:rsidR="00312E22" w:rsidRPr="0027083E" w:rsidRDefault="00312E22" w:rsidP="00936EE2">
            <w:pPr>
              <w:pStyle w:val="ListParagraph"/>
              <w:numPr>
                <w:ilvl w:val="0"/>
                <w:numId w:val="50"/>
              </w:numPr>
              <w:rPr>
                <w:rFonts w:eastAsia="Times New Roman" w:cs="Helvetica"/>
                <w:color w:val="333333"/>
              </w:rPr>
            </w:pPr>
            <w:r w:rsidRPr="0027083E">
              <w:rPr>
                <w:rFonts w:eastAsia="Times New Roman" w:cs="Helvetica"/>
                <w:color w:val="333333"/>
              </w:rPr>
              <w:t>Annualised statistics should be maintained by every regulating authority of each registered firm within the sub-sector and the market share of the firm. Target “Concentration Ratios” should be set by policy-makers to reflect more competitive market structures with targeted black firm participation at a sub-sector level with specific targeted dates.</w:t>
            </w:r>
          </w:p>
          <w:p w:rsidR="00312E22" w:rsidRPr="0027083E" w:rsidRDefault="00312E22" w:rsidP="00936EE2">
            <w:pPr>
              <w:pStyle w:val="ListParagraph"/>
              <w:numPr>
                <w:ilvl w:val="0"/>
                <w:numId w:val="50"/>
              </w:numPr>
              <w:rPr>
                <w:rFonts w:eastAsia="Times New Roman" w:cs="Helvetica"/>
                <w:color w:val="333333"/>
              </w:rPr>
            </w:pPr>
            <w:r w:rsidRPr="0027083E">
              <w:rPr>
                <w:rFonts w:eastAsia="Times New Roman" w:cs="Helvetica"/>
                <w:color w:val="333333"/>
              </w:rPr>
              <w:t xml:space="preserve">All critical sectors should have compulsory compliance with B-BBEE legislation, whether the incumbent players do business with the state or not. </w:t>
            </w:r>
          </w:p>
          <w:p w:rsidR="00312E22" w:rsidRPr="0027083E" w:rsidRDefault="00312E22" w:rsidP="00936EE2">
            <w:pPr>
              <w:pStyle w:val="ListParagraph"/>
              <w:numPr>
                <w:ilvl w:val="0"/>
                <w:numId w:val="50"/>
              </w:numPr>
              <w:rPr>
                <w:rFonts w:eastAsia="Times New Roman" w:cs="Helvetica"/>
                <w:color w:val="333333"/>
              </w:rPr>
            </w:pPr>
            <w:r w:rsidRPr="0027083E">
              <w:rPr>
                <w:rFonts w:eastAsia="Times New Roman" w:cs="Helvetica"/>
                <w:color w:val="333333"/>
              </w:rPr>
              <w:t>The following will enable the FSC to effectively play its role as a public good:</w:t>
            </w:r>
            <w:r w:rsidRPr="0027083E">
              <w:rPr>
                <w:rFonts w:eastAsia="Times New Roman" w:cs="Helvetica"/>
                <w:color w:val="333333"/>
              </w:rPr>
              <w:br/>
            </w:r>
            <w:r w:rsidRPr="0027083E">
              <w:rPr>
                <w:rFonts w:eastAsia="Times New Roman" w:cs="Helvetica"/>
                <w:i/>
                <w:iCs/>
                <w:color w:val="333333"/>
              </w:rPr>
              <w:t>Expand the FS Charter to include process and outcome indicators</w:t>
            </w:r>
          </w:p>
          <w:p w:rsidR="00312E22" w:rsidRPr="0027083E" w:rsidRDefault="00312E22" w:rsidP="00312E22">
            <w:pPr>
              <w:pStyle w:val="ListParagraph"/>
              <w:rPr>
                <w:rFonts w:eastAsia="Times New Roman" w:cs="Helvetica"/>
                <w:i/>
                <w:iCs/>
                <w:color w:val="333333"/>
              </w:rPr>
            </w:pPr>
            <w:r w:rsidRPr="0027083E">
              <w:rPr>
                <w:rFonts w:eastAsia="Times New Roman" w:cs="Helvetica"/>
                <w:i/>
                <w:iCs/>
                <w:color w:val="333333"/>
              </w:rPr>
              <w:t>Develop inclusive growth paths for each sub-sector</w:t>
            </w:r>
          </w:p>
          <w:p w:rsidR="00312E22" w:rsidRPr="0027083E" w:rsidRDefault="00312E22" w:rsidP="00312E22">
            <w:pPr>
              <w:pStyle w:val="ListParagraph"/>
              <w:rPr>
                <w:rFonts w:eastAsia="Times New Roman" w:cs="Helvetica"/>
                <w:i/>
                <w:iCs/>
                <w:color w:val="333333"/>
              </w:rPr>
            </w:pPr>
            <w:r w:rsidRPr="0027083E">
              <w:rPr>
                <w:rFonts w:eastAsia="Times New Roman" w:cs="Helvetica"/>
                <w:i/>
                <w:iCs/>
                <w:color w:val="333333"/>
              </w:rPr>
              <w:t>Sanctions for non-compliance of B-BBEE Scorecard</w:t>
            </w:r>
          </w:p>
          <w:p w:rsidR="00312E22" w:rsidRPr="0027083E" w:rsidRDefault="00312E22" w:rsidP="00312E22">
            <w:pPr>
              <w:pStyle w:val="ListParagraph"/>
              <w:rPr>
                <w:rFonts w:eastAsia="Times New Roman" w:cs="Helvetica"/>
                <w:i/>
                <w:color w:val="333333"/>
              </w:rPr>
            </w:pPr>
            <w:r w:rsidRPr="0027083E">
              <w:rPr>
                <w:rFonts w:eastAsia="Times New Roman" w:cs="Helvetica"/>
                <w:i/>
                <w:color w:val="333333"/>
              </w:rPr>
              <w:t>Black women’s participation in the financial services sector should be placed high on the FS Charter Council’s transformation agenda.</w:t>
            </w:r>
          </w:p>
          <w:p w:rsidR="00312E22" w:rsidRPr="0027083E" w:rsidRDefault="00312E22" w:rsidP="00312E22">
            <w:pPr>
              <w:rPr>
                <w:rFonts w:cs="Tahoma"/>
                <w:b/>
                <w:color w:val="000000"/>
                <w:u w:val="single"/>
              </w:rPr>
            </w:pPr>
          </w:p>
        </w:tc>
      </w:tr>
      <w:tr w:rsidR="00312E22" w:rsidRPr="0027083E" w:rsidTr="0027083E">
        <w:tc>
          <w:tcPr>
            <w:tcW w:w="1219" w:type="pct"/>
          </w:tcPr>
          <w:p w:rsidR="00312E22" w:rsidRPr="0027083E" w:rsidRDefault="00312E22" w:rsidP="00312E22">
            <w:pPr>
              <w:rPr>
                <w:rFonts w:cs="Tahoma"/>
                <w:b/>
                <w:color w:val="000000"/>
              </w:rPr>
            </w:pPr>
            <w:r w:rsidRPr="0027083E">
              <w:rPr>
                <w:rFonts w:cs="Tahoma"/>
                <w:b/>
                <w:color w:val="000000"/>
              </w:rPr>
              <w:lastRenderedPageBreak/>
              <w:t>Maxima Advisors</w:t>
            </w:r>
          </w:p>
        </w:tc>
        <w:tc>
          <w:tcPr>
            <w:tcW w:w="3781" w:type="pct"/>
          </w:tcPr>
          <w:p w:rsidR="00312E22" w:rsidRPr="0027083E" w:rsidRDefault="00312E22" w:rsidP="00312E22">
            <w:pPr>
              <w:rPr>
                <w:rFonts w:cs="Tahoma"/>
                <w:b/>
                <w:color w:val="000000"/>
                <w:u w:val="single"/>
              </w:rPr>
            </w:pPr>
            <w:r w:rsidRPr="0027083E">
              <w:rPr>
                <w:rFonts w:cs="Tahoma"/>
                <w:b/>
                <w:color w:val="000000"/>
                <w:u w:val="single"/>
              </w:rPr>
              <w:t>Intro:</w:t>
            </w:r>
          </w:p>
          <w:p w:rsidR="00312E22" w:rsidRPr="0027083E" w:rsidRDefault="00312E22" w:rsidP="00312E22">
            <w:pPr>
              <w:rPr>
                <w:rFonts w:cs="Tahoma"/>
                <w:color w:val="000000"/>
              </w:rPr>
            </w:pPr>
            <w:r w:rsidRPr="0027083E">
              <w:rPr>
                <w:rFonts w:cs="Tahoma"/>
                <w:color w:val="000000"/>
              </w:rPr>
              <w:t>This submission focuses on the Asset Management (AM) Industry deliberately as part of the financial sector, the focus centrally because of its centrality in various other sectors of the economy and even within the financial sector itself.The asset management industry is the catalyst and an enabler for many other industries, directly and indirectly through its financing instruments or management of assets (monies) which bulk of them come from pension funds.</w:t>
            </w:r>
          </w:p>
          <w:p w:rsidR="00312E22" w:rsidRPr="0027083E" w:rsidRDefault="00312E22" w:rsidP="00312E22">
            <w:pPr>
              <w:rPr>
                <w:rFonts w:cs="Tahoma"/>
                <w:color w:val="000000"/>
              </w:rPr>
            </w:pPr>
          </w:p>
          <w:p w:rsidR="00312E22" w:rsidRPr="0027083E" w:rsidRDefault="00312E22" w:rsidP="00312E22">
            <w:pPr>
              <w:rPr>
                <w:rFonts w:cs="Tahoma"/>
                <w:b/>
                <w:color w:val="000000"/>
                <w:u w:val="single"/>
              </w:rPr>
            </w:pPr>
            <w:r w:rsidRPr="0027083E">
              <w:rPr>
                <w:rFonts w:cs="Tahoma"/>
                <w:b/>
                <w:color w:val="000000"/>
                <w:u w:val="single"/>
              </w:rPr>
              <w:t>Overview of sector:</w:t>
            </w:r>
          </w:p>
          <w:p w:rsidR="00312E22" w:rsidRPr="0027083E" w:rsidRDefault="00312E22" w:rsidP="00936EE2">
            <w:pPr>
              <w:pStyle w:val="ListParagraph"/>
              <w:numPr>
                <w:ilvl w:val="0"/>
                <w:numId w:val="57"/>
              </w:numPr>
              <w:rPr>
                <w:rFonts w:cs="Tahoma"/>
                <w:color w:val="000000"/>
              </w:rPr>
            </w:pPr>
            <w:r w:rsidRPr="0027083E">
              <w:rPr>
                <w:rFonts w:cs="Tahoma"/>
                <w:color w:val="000000"/>
              </w:rPr>
              <w:t>There are 32 black asset managers in SA, who manage an estimated amount of R300 billion assets out of an industry asset base of R7 trillion that's about 5%. Of these 10 of them manage the 5% stake of the industry managed assets. Whilst a white firm, Coronation manages R576 billion alone</w:t>
            </w:r>
          </w:p>
          <w:p w:rsidR="00312E22" w:rsidRPr="0027083E" w:rsidRDefault="00312E22" w:rsidP="00936EE2">
            <w:pPr>
              <w:pStyle w:val="ListParagraph"/>
              <w:numPr>
                <w:ilvl w:val="0"/>
                <w:numId w:val="57"/>
              </w:numPr>
              <w:rPr>
                <w:rFonts w:cs="Tahoma"/>
                <w:color w:val="000000"/>
              </w:rPr>
            </w:pPr>
            <w:r w:rsidRPr="0027083E">
              <w:rPr>
                <w:rFonts w:cs="Tahoma"/>
                <w:color w:val="000000"/>
              </w:rPr>
              <w:lastRenderedPageBreak/>
              <w:t xml:space="preserve">A few black AMs are wholly black formed and owned, the white man still hang on the sides and thus participate even in the "black slice", making those that had apartheid money greatest beneficiaries of the democratic order by far. </w:t>
            </w:r>
          </w:p>
          <w:p w:rsidR="00312E22" w:rsidRPr="0027083E" w:rsidRDefault="00312E22" w:rsidP="00936EE2">
            <w:pPr>
              <w:pStyle w:val="ListParagraph"/>
              <w:numPr>
                <w:ilvl w:val="0"/>
                <w:numId w:val="57"/>
              </w:numPr>
              <w:rPr>
                <w:rFonts w:cs="Tahoma"/>
                <w:color w:val="000000"/>
              </w:rPr>
            </w:pPr>
            <w:r w:rsidRPr="0027083E">
              <w:rPr>
                <w:rFonts w:cs="Tahoma"/>
                <w:color w:val="000000"/>
              </w:rPr>
              <w:t>Lastly, about 86% of the assets managed by Black AMs come from institutional investors (retirement funds), while 14% come from retail products (UTs, CiS, etc).</w:t>
            </w:r>
          </w:p>
          <w:p w:rsidR="00312E22" w:rsidRPr="0027083E" w:rsidRDefault="00312E22" w:rsidP="00312E22">
            <w:pPr>
              <w:rPr>
                <w:rFonts w:cs="Tahoma"/>
                <w:color w:val="000000"/>
              </w:rPr>
            </w:pPr>
          </w:p>
          <w:p w:rsidR="00142063" w:rsidRPr="0027083E" w:rsidRDefault="00142063" w:rsidP="00142063">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312E22" w:rsidRPr="0027083E" w:rsidRDefault="00312E22" w:rsidP="00936EE2">
            <w:pPr>
              <w:pStyle w:val="ListParagraph"/>
              <w:numPr>
                <w:ilvl w:val="0"/>
                <w:numId w:val="58"/>
              </w:numPr>
              <w:rPr>
                <w:rFonts w:cs="Tahoma"/>
                <w:color w:val="000000"/>
              </w:rPr>
            </w:pPr>
            <w:r w:rsidRPr="0027083E">
              <w:rPr>
                <w:rFonts w:cs="Tahoma"/>
                <w:color w:val="000000"/>
              </w:rPr>
              <w:t>There is a plausible case for the establishment of a state bank and state insurance company accompanied with consistent reallocation of government employees’ pension funds to bolster deracialisation of the financial sector.</w:t>
            </w:r>
          </w:p>
          <w:p w:rsidR="00312E22" w:rsidRPr="0027083E" w:rsidRDefault="00312E22" w:rsidP="00936EE2">
            <w:pPr>
              <w:pStyle w:val="ListParagraph"/>
              <w:numPr>
                <w:ilvl w:val="0"/>
                <w:numId w:val="58"/>
              </w:numPr>
              <w:rPr>
                <w:rFonts w:cs="Tahoma"/>
                <w:color w:val="000000"/>
              </w:rPr>
            </w:pPr>
            <w:r w:rsidRPr="0027083E">
              <w:rPr>
                <w:rFonts w:cs="Tahoma"/>
                <w:color w:val="000000"/>
              </w:rPr>
              <w:t>Government needs to relook the impact of the legislative paradigm administered by the Financial Services Board (FSB) in introduction of black professionals within the financial services sector and overall impact of transformation of the industry.</w:t>
            </w:r>
          </w:p>
          <w:p w:rsidR="00312E22" w:rsidRPr="0027083E" w:rsidRDefault="00312E22" w:rsidP="00312E22">
            <w:pPr>
              <w:rPr>
                <w:rFonts w:cs="Tahoma"/>
                <w:color w:val="000000"/>
              </w:rPr>
            </w:pPr>
          </w:p>
        </w:tc>
      </w:tr>
      <w:tr w:rsidR="00312E22" w:rsidRPr="0027083E" w:rsidTr="0027083E">
        <w:tc>
          <w:tcPr>
            <w:tcW w:w="1219" w:type="pct"/>
          </w:tcPr>
          <w:p w:rsidR="00312E22" w:rsidRPr="0027083E" w:rsidRDefault="00312E22" w:rsidP="00312E22">
            <w:pPr>
              <w:rPr>
                <w:rFonts w:cs="Tahoma"/>
                <w:b/>
                <w:color w:val="000000"/>
              </w:rPr>
            </w:pPr>
            <w:r w:rsidRPr="0027083E">
              <w:rPr>
                <w:rFonts w:cs="Tahoma"/>
                <w:b/>
                <w:color w:val="000000"/>
              </w:rPr>
              <w:lastRenderedPageBreak/>
              <w:t>Black Insurance Advisors Council</w:t>
            </w:r>
          </w:p>
        </w:tc>
        <w:tc>
          <w:tcPr>
            <w:tcW w:w="3781" w:type="pct"/>
          </w:tcPr>
          <w:p w:rsidR="00312E22" w:rsidRPr="0027083E" w:rsidRDefault="00312E22" w:rsidP="00312E22">
            <w:pPr>
              <w:rPr>
                <w:rFonts w:eastAsia="Times New Roman" w:cs="Helvetica"/>
                <w:b/>
                <w:color w:val="333333"/>
                <w:u w:val="single"/>
              </w:rPr>
            </w:pPr>
            <w:r w:rsidRPr="0027083E">
              <w:rPr>
                <w:rFonts w:eastAsia="Times New Roman" w:cs="Helvetica"/>
                <w:b/>
                <w:color w:val="333333"/>
                <w:u w:val="single"/>
              </w:rPr>
              <w:t>Challenges/concerns identified:</w:t>
            </w:r>
          </w:p>
          <w:p w:rsidR="00312E22" w:rsidRPr="0027083E" w:rsidRDefault="00312E22" w:rsidP="00936EE2">
            <w:pPr>
              <w:pStyle w:val="ListParagraph"/>
              <w:numPr>
                <w:ilvl w:val="0"/>
                <w:numId w:val="75"/>
              </w:numPr>
              <w:rPr>
                <w:rFonts w:cs="Tahoma"/>
                <w:color w:val="000000"/>
              </w:rPr>
            </w:pPr>
            <w:r w:rsidRPr="0027083E">
              <w:rPr>
                <w:rFonts w:cs="Tahoma"/>
                <w:color w:val="000000"/>
              </w:rPr>
              <w:t>Conflict of interest (sector players)</w:t>
            </w:r>
          </w:p>
          <w:p w:rsidR="00312E22" w:rsidRPr="0027083E" w:rsidRDefault="00312E22" w:rsidP="00936EE2">
            <w:pPr>
              <w:pStyle w:val="ListParagraph"/>
              <w:numPr>
                <w:ilvl w:val="0"/>
                <w:numId w:val="75"/>
              </w:numPr>
              <w:rPr>
                <w:rFonts w:cs="Tahoma"/>
                <w:color w:val="000000"/>
              </w:rPr>
            </w:pPr>
            <w:r w:rsidRPr="0027083E">
              <w:rPr>
                <w:rFonts w:cs="Tahoma"/>
                <w:color w:val="000000"/>
              </w:rPr>
              <w:t>Lack of support for emerging insures</w:t>
            </w:r>
          </w:p>
          <w:p w:rsidR="00312E22" w:rsidRPr="0027083E" w:rsidRDefault="00312E22" w:rsidP="00936EE2">
            <w:pPr>
              <w:pStyle w:val="ListParagraph"/>
              <w:numPr>
                <w:ilvl w:val="0"/>
                <w:numId w:val="75"/>
              </w:numPr>
              <w:rPr>
                <w:rFonts w:cs="Tahoma"/>
                <w:color w:val="000000"/>
              </w:rPr>
            </w:pPr>
            <w:r w:rsidRPr="0027083E">
              <w:rPr>
                <w:rFonts w:cs="Tahoma"/>
                <w:color w:val="000000"/>
              </w:rPr>
              <w:t xml:space="preserve">Regulation limits entry </w:t>
            </w:r>
          </w:p>
          <w:p w:rsidR="00312E22" w:rsidRPr="0027083E" w:rsidRDefault="00312E22" w:rsidP="00312E22">
            <w:pPr>
              <w:rPr>
                <w:rFonts w:cs="Tahoma"/>
                <w:color w:val="000000"/>
              </w:rPr>
            </w:pPr>
          </w:p>
        </w:tc>
      </w:tr>
      <w:tr w:rsidR="00312E22" w:rsidRPr="0027083E" w:rsidTr="0027083E">
        <w:tc>
          <w:tcPr>
            <w:tcW w:w="1219" w:type="pct"/>
          </w:tcPr>
          <w:p w:rsidR="00312E22" w:rsidRPr="0027083E" w:rsidRDefault="00312E22" w:rsidP="00312E22">
            <w:pPr>
              <w:rPr>
                <w:rFonts w:cs="Tahoma"/>
                <w:b/>
              </w:rPr>
            </w:pPr>
            <w:r w:rsidRPr="0027083E">
              <w:rPr>
                <w:rFonts w:cs="Tahoma"/>
                <w:b/>
              </w:rPr>
              <w:t>Black Insurance Owners Association</w:t>
            </w:r>
          </w:p>
        </w:tc>
        <w:tc>
          <w:tcPr>
            <w:tcW w:w="3781" w:type="pct"/>
          </w:tcPr>
          <w:p w:rsidR="00312E22" w:rsidRPr="0027083E" w:rsidRDefault="00312E22" w:rsidP="00312E22">
            <w:pPr>
              <w:rPr>
                <w:rFonts w:cs="Tahoma"/>
                <w:b/>
                <w:u w:val="single"/>
              </w:rPr>
            </w:pPr>
            <w:r w:rsidRPr="0027083E">
              <w:rPr>
                <w:rFonts w:cs="Tahoma"/>
                <w:b/>
                <w:u w:val="single"/>
              </w:rPr>
              <w:t>Overview of the sector:</w:t>
            </w:r>
          </w:p>
          <w:p w:rsidR="00312E22" w:rsidRPr="0027083E" w:rsidRDefault="00312E22" w:rsidP="00936EE2">
            <w:pPr>
              <w:pStyle w:val="ListParagraph"/>
              <w:numPr>
                <w:ilvl w:val="0"/>
                <w:numId w:val="76"/>
              </w:numPr>
              <w:rPr>
                <w:rFonts w:cs="Tahoma"/>
              </w:rPr>
            </w:pPr>
            <w:r w:rsidRPr="0027083E">
              <w:rPr>
                <w:rFonts w:cs="Tahoma"/>
              </w:rPr>
              <w:t>Mark</w:t>
            </w:r>
            <w:r>
              <w:rPr>
                <w:rFonts w:cs="Tahoma"/>
              </w:rPr>
              <w:t>et share of insurance companies</w:t>
            </w:r>
            <w:r w:rsidRPr="0027083E">
              <w:rPr>
                <w:rFonts w:cs="Tahoma"/>
              </w:rPr>
              <w:t>:</w:t>
            </w:r>
          </w:p>
          <w:p w:rsidR="00312E22" w:rsidRPr="0027083E" w:rsidRDefault="00312E22" w:rsidP="00312E22">
            <w:pPr>
              <w:pStyle w:val="ListParagraph"/>
              <w:rPr>
                <w:rFonts w:cs="Tahoma"/>
              </w:rPr>
            </w:pPr>
            <w:r w:rsidRPr="0027083E">
              <w:rPr>
                <w:rFonts w:cs="Tahoma"/>
              </w:rPr>
              <w:t>1% is owned by the historically disadvantaged; 99% owned by the historically advantaged</w:t>
            </w:r>
          </w:p>
          <w:p w:rsidR="00312E22" w:rsidRPr="0027083E" w:rsidRDefault="00312E22" w:rsidP="00936EE2">
            <w:pPr>
              <w:pStyle w:val="ListParagraph"/>
              <w:numPr>
                <w:ilvl w:val="0"/>
                <w:numId w:val="76"/>
              </w:numPr>
              <w:rPr>
                <w:rFonts w:cs="Tahoma"/>
              </w:rPr>
            </w:pPr>
            <w:r w:rsidRPr="0027083E">
              <w:rPr>
                <w:rFonts w:cs="Tahoma"/>
              </w:rPr>
              <w:t>Assets under management in South Africa 1994-2016</w:t>
            </w:r>
          </w:p>
          <w:p w:rsidR="00312E22" w:rsidRPr="0027083E" w:rsidRDefault="00312E22" w:rsidP="00312E22">
            <w:pPr>
              <w:pStyle w:val="ListParagraph"/>
              <w:rPr>
                <w:rFonts w:cs="Tahoma"/>
              </w:rPr>
            </w:pPr>
            <w:r w:rsidRPr="0027083E">
              <w:rPr>
                <w:rFonts w:cs="Tahoma"/>
              </w:rPr>
              <w:t>4.6% controlled by historically disadvantaged; 95.4% controlled by historically advantaged</w:t>
            </w:r>
          </w:p>
          <w:p w:rsidR="00312E22" w:rsidRPr="0027083E" w:rsidRDefault="00312E22" w:rsidP="00936EE2">
            <w:pPr>
              <w:pStyle w:val="ListParagraph"/>
              <w:numPr>
                <w:ilvl w:val="0"/>
                <w:numId w:val="76"/>
              </w:numPr>
              <w:rPr>
                <w:rFonts w:cs="Tahoma"/>
              </w:rPr>
            </w:pPr>
            <w:r w:rsidRPr="0027083E">
              <w:rPr>
                <w:rFonts w:cs="Tahoma"/>
              </w:rPr>
              <w:t>The South African retail banking sector remains highly concentrated with six large banks accounting for more than 90 percent of retail deposits; namely, Standard Bank, Absa, First National Bank, Nedbank, Capitec and Investec.</w:t>
            </w:r>
          </w:p>
          <w:p w:rsidR="00312E22" w:rsidRPr="0027083E" w:rsidRDefault="00312E22" w:rsidP="00936EE2">
            <w:pPr>
              <w:pStyle w:val="ListParagraph"/>
              <w:numPr>
                <w:ilvl w:val="0"/>
                <w:numId w:val="76"/>
              </w:numPr>
              <w:rPr>
                <w:rFonts w:cs="Tahoma"/>
              </w:rPr>
            </w:pPr>
            <w:r w:rsidRPr="0027083E">
              <w:rPr>
                <w:rFonts w:cs="Tahoma"/>
              </w:rPr>
              <w:t>Retirement Funds:</w:t>
            </w:r>
          </w:p>
          <w:p w:rsidR="00312E22" w:rsidRPr="00444572" w:rsidRDefault="00312E22" w:rsidP="00444572">
            <w:pPr>
              <w:pStyle w:val="ListParagraph"/>
              <w:rPr>
                <w:rFonts w:cs="Tahoma"/>
              </w:rPr>
            </w:pPr>
            <w:r w:rsidRPr="0027083E">
              <w:rPr>
                <w:rFonts w:cs="Tahoma"/>
              </w:rPr>
              <w:t>Employers use</w:t>
            </w:r>
            <w:r>
              <w:rPr>
                <w:rFonts w:cs="Tahoma"/>
              </w:rPr>
              <w:t>d</w:t>
            </w:r>
            <w:r w:rsidRPr="0027083E">
              <w:rPr>
                <w:rFonts w:cs="Tahoma"/>
              </w:rPr>
              <w:t xml:space="preserve"> to carry</w:t>
            </w:r>
            <w:r>
              <w:rPr>
                <w:rFonts w:cs="Tahoma"/>
              </w:rPr>
              <w:t xml:space="preserve"> the</w:t>
            </w:r>
            <w:r w:rsidRPr="0027083E">
              <w:rPr>
                <w:rFonts w:cs="Tahoma"/>
              </w:rPr>
              <w:t xml:space="preserve"> risk</w:t>
            </w:r>
            <w:r>
              <w:rPr>
                <w:rFonts w:cs="Tahoma"/>
              </w:rPr>
              <w:t xml:space="preserve"> </w:t>
            </w:r>
            <w:r w:rsidRPr="0027083E">
              <w:rPr>
                <w:rFonts w:cs="Tahoma"/>
              </w:rPr>
              <w:t>on</w:t>
            </w:r>
            <w:r>
              <w:rPr>
                <w:rFonts w:cs="Tahoma"/>
              </w:rPr>
              <w:t xml:space="preserve"> p</w:t>
            </w:r>
            <w:r w:rsidRPr="0027083E">
              <w:rPr>
                <w:rFonts w:cs="Tahoma"/>
              </w:rPr>
              <w:t>ension</w:t>
            </w:r>
            <w:r>
              <w:rPr>
                <w:rFonts w:cs="Tahoma"/>
              </w:rPr>
              <w:t xml:space="preserve"> f</w:t>
            </w:r>
            <w:r w:rsidRPr="0027083E">
              <w:rPr>
                <w:rFonts w:cs="Tahoma"/>
              </w:rPr>
              <w:t>und</w:t>
            </w:r>
            <w:r>
              <w:rPr>
                <w:rFonts w:cs="Tahoma"/>
              </w:rPr>
              <w:t xml:space="preserve"> </w:t>
            </w:r>
            <w:r w:rsidRPr="0027083E">
              <w:rPr>
                <w:rFonts w:cs="Tahoma"/>
              </w:rPr>
              <w:t>pay-out</w:t>
            </w:r>
            <w:r>
              <w:rPr>
                <w:rFonts w:cs="Tahoma"/>
              </w:rPr>
              <w:t>s (through defined benefit schemes), B</w:t>
            </w:r>
            <w:r w:rsidRPr="0027083E">
              <w:rPr>
                <w:rFonts w:cs="Tahoma"/>
              </w:rPr>
              <w:t>y</w:t>
            </w:r>
            <w:r>
              <w:rPr>
                <w:rFonts w:cs="Tahoma"/>
              </w:rPr>
              <w:t xml:space="preserve"> </w:t>
            </w:r>
            <w:r w:rsidRPr="0027083E">
              <w:rPr>
                <w:rFonts w:cs="Tahoma"/>
              </w:rPr>
              <w:t>virtue</w:t>
            </w:r>
            <w:r>
              <w:rPr>
                <w:rFonts w:cs="Tahoma"/>
              </w:rPr>
              <w:t xml:space="preserve"> </w:t>
            </w:r>
            <w:r w:rsidRPr="0027083E">
              <w:rPr>
                <w:rFonts w:cs="Tahoma"/>
              </w:rPr>
              <w:t>of</w:t>
            </w:r>
            <w:r>
              <w:rPr>
                <w:rFonts w:cs="Tahoma"/>
              </w:rPr>
              <w:t xml:space="preserve"> </w:t>
            </w:r>
            <w:r w:rsidRPr="0027083E">
              <w:rPr>
                <w:rFonts w:cs="Tahoma"/>
              </w:rPr>
              <w:t>having the risk</w:t>
            </w:r>
            <w:r>
              <w:rPr>
                <w:rFonts w:cs="Tahoma"/>
              </w:rPr>
              <w:t>,</w:t>
            </w:r>
            <w:r w:rsidRPr="0027083E">
              <w:rPr>
                <w:rFonts w:cs="Tahoma"/>
              </w:rPr>
              <w:t xml:space="preserve"> they had</w:t>
            </w:r>
            <w:r>
              <w:rPr>
                <w:rFonts w:cs="Tahoma"/>
              </w:rPr>
              <w:t xml:space="preserve"> </w:t>
            </w:r>
            <w:r w:rsidRPr="0027083E">
              <w:rPr>
                <w:rFonts w:cs="Tahoma"/>
              </w:rPr>
              <w:t>equal</w:t>
            </w:r>
            <w:r>
              <w:rPr>
                <w:rFonts w:cs="Tahoma"/>
              </w:rPr>
              <w:t xml:space="preserve"> </w:t>
            </w:r>
            <w:r w:rsidRPr="0027083E">
              <w:rPr>
                <w:rFonts w:cs="Tahoma"/>
              </w:rPr>
              <w:t>representation</w:t>
            </w:r>
            <w:r>
              <w:rPr>
                <w:rFonts w:cs="Tahoma"/>
              </w:rPr>
              <w:t xml:space="preserve"> </w:t>
            </w:r>
            <w:r w:rsidRPr="0027083E">
              <w:rPr>
                <w:rFonts w:cs="Tahoma"/>
              </w:rPr>
              <w:t>of</w:t>
            </w:r>
            <w:r>
              <w:rPr>
                <w:rFonts w:cs="Tahoma"/>
              </w:rPr>
              <w:t xml:space="preserve"> </w:t>
            </w:r>
            <w:r w:rsidRPr="0027083E">
              <w:rPr>
                <w:rFonts w:cs="Tahoma"/>
              </w:rPr>
              <w:t>Trustees</w:t>
            </w:r>
            <w:r w:rsidR="00444572">
              <w:rPr>
                <w:rFonts w:cs="Tahoma"/>
              </w:rPr>
              <w:t>. However,</w:t>
            </w:r>
            <w:r w:rsidRPr="0027083E">
              <w:rPr>
                <w:rFonts w:cs="Tahoma"/>
              </w:rPr>
              <w:t xml:space="preserve"> employees</w:t>
            </w:r>
            <w:r>
              <w:rPr>
                <w:rFonts w:cs="Tahoma"/>
              </w:rPr>
              <w:t xml:space="preserve"> </w:t>
            </w:r>
            <w:r w:rsidRPr="0027083E">
              <w:rPr>
                <w:rFonts w:cs="Tahoma"/>
              </w:rPr>
              <w:t>are</w:t>
            </w:r>
            <w:r>
              <w:rPr>
                <w:rFonts w:cs="Tahoma"/>
              </w:rPr>
              <w:t xml:space="preserve"> </w:t>
            </w:r>
            <w:r w:rsidRPr="0027083E">
              <w:rPr>
                <w:rFonts w:cs="Tahoma"/>
              </w:rPr>
              <w:t>now</w:t>
            </w:r>
            <w:r>
              <w:rPr>
                <w:rFonts w:cs="Tahoma"/>
              </w:rPr>
              <w:t xml:space="preserve"> </w:t>
            </w:r>
            <w:r w:rsidRPr="0027083E">
              <w:rPr>
                <w:rFonts w:cs="Tahoma"/>
              </w:rPr>
              <w:t>on</w:t>
            </w:r>
            <w:r>
              <w:rPr>
                <w:rFonts w:cs="Tahoma"/>
              </w:rPr>
              <w:t xml:space="preserve"> </w:t>
            </w:r>
            <w:r w:rsidRPr="0027083E">
              <w:rPr>
                <w:rFonts w:cs="Tahoma"/>
              </w:rPr>
              <w:t>full</w:t>
            </w:r>
            <w:r>
              <w:rPr>
                <w:rFonts w:cs="Tahoma"/>
              </w:rPr>
              <w:t xml:space="preserve"> </w:t>
            </w:r>
            <w:r w:rsidRPr="0027083E">
              <w:rPr>
                <w:rFonts w:cs="Tahoma"/>
              </w:rPr>
              <w:t>risk</w:t>
            </w:r>
            <w:r>
              <w:rPr>
                <w:rFonts w:cs="Tahoma"/>
              </w:rPr>
              <w:t xml:space="preserve"> </w:t>
            </w:r>
            <w:r w:rsidRPr="0027083E">
              <w:rPr>
                <w:rFonts w:cs="Tahoma"/>
              </w:rPr>
              <w:t>with</w:t>
            </w:r>
            <w:r>
              <w:rPr>
                <w:rFonts w:cs="Tahoma"/>
              </w:rPr>
              <w:t xml:space="preserve"> </w:t>
            </w:r>
            <w:r w:rsidRPr="0027083E">
              <w:rPr>
                <w:rFonts w:cs="Tahoma"/>
              </w:rPr>
              <w:t>regard</w:t>
            </w:r>
            <w:r>
              <w:rPr>
                <w:rFonts w:cs="Tahoma"/>
              </w:rPr>
              <w:t xml:space="preserve"> </w:t>
            </w:r>
            <w:r w:rsidRPr="0027083E">
              <w:rPr>
                <w:rFonts w:cs="Tahoma"/>
              </w:rPr>
              <w:t>to</w:t>
            </w:r>
            <w:r>
              <w:rPr>
                <w:rFonts w:cs="Tahoma"/>
              </w:rPr>
              <w:t xml:space="preserve"> </w:t>
            </w:r>
            <w:r w:rsidRPr="0027083E">
              <w:rPr>
                <w:rFonts w:cs="Tahoma"/>
              </w:rPr>
              <w:t>their</w:t>
            </w:r>
            <w:r>
              <w:rPr>
                <w:rFonts w:cs="Tahoma"/>
              </w:rPr>
              <w:t xml:space="preserve"> </w:t>
            </w:r>
            <w:r w:rsidRPr="0027083E">
              <w:rPr>
                <w:rFonts w:cs="Tahoma"/>
              </w:rPr>
              <w:t>returns</w:t>
            </w:r>
            <w:r>
              <w:rPr>
                <w:rFonts w:cs="Tahoma"/>
              </w:rPr>
              <w:t xml:space="preserve"> </w:t>
            </w:r>
            <w:r w:rsidRPr="0027083E">
              <w:rPr>
                <w:rFonts w:cs="Tahoma"/>
              </w:rPr>
              <w:t>and</w:t>
            </w:r>
            <w:r>
              <w:rPr>
                <w:rFonts w:cs="Tahoma"/>
              </w:rPr>
              <w:t xml:space="preserve"> </w:t>
            </w:r>
            <w:r w:rsidR="00444572">
              <w:rPr>
                <w:rFonts w:cs="Tahoma"/>
              </w:rPr>
              <w:t>costs. But e</w:t>
            </w:r>
            <w:r w:rsidRPr="00444572">
              <w:rPr>
                <w:rFonts w:cs="Tahoma"/>
              </w:rPr>
              <w:t>mployers have retained control of Provident Funds in the main</w:t>
            </w:r>
          </w:p>
          <w:p w:rsidR="00312E22" w:rsidRPr="0027083E" w:rsidRDefault="00312E22" w:rsidP="00936EE2">
            <w:pPr>
              <w:pStyle w:val="ListParagraph"/>
              <w:numPr>
                <w:ilvl w:val="0"/>
                <w:numId w:val="76"/>
              </w:numPr>
              <w:rPr>
                <w:rFonts w:cs="Tahoma"/>
              </w:rPr>
            </w:pPr>
            <w:r w:rsidRPr="0027083E">
              <w:rPr>
                <w:rFonts w:cs="Tahoma"/>
              </w:rPr>
              <w:t>Employers should not have any absolute right to be Trustees but members</w:t>
            </w:r>
            <w:r>
              <w:rPr>
                <w:rFonts w:cs="Tahoma"/>
              </w:rPr>
              <w:t xml:space="preserve"> </w:t>
            </w:r>
            <w:r w:rsidRPr="0027083E">
              <w:rPr>
                <w:rFonts w:cs="Tahoma"/>
              </w:rPr>
              <w:t xml:space="preserve">should rather </w:t>
            </w:r>
            <w:r w:rsidRPr="0027083E">
              <w:rPr>
                <w:rFonts w:cs="Tahoma"/>
              </w:rPr>
              <w:lastRenderedPageBreak/>
              <w:t>nominate</w:t>
            </w:r>
            <w:r>
              <w:rPr>
                <w:rFonts w:cs="Tahoma"/>
              </w:rPr>
              <w:t xml:space="preserve"> </w:t>
            </w:r>
            <w:r w:rsidRPr="0027083E">
              <w:rPr>
                <w:rFonts w:cs="Tahoma"/>
              </w:rPr>
              <w:t>and</w:t>
            </w:r>
            <w:r>
              <w:rPr>
                <w:rFonts w:cs="Tahoma"/>
              </w:rPr>
              <w:t xml:space="preserve"> </w:t>
            </w:r>
            <w:r w:rsidRPr="0027083E">
              <w:rPr>
                <w:rFonts w:cs="Tahoma"/>
              </w:rPr>
              <w:t>elect</w:t>
            </w:r>
            <w:r>
              <w:rPr>
                <w:rFonts w:cs="Tahoma"/>
              </w:rPr>
              <w:t xml:space="preserve"> </w:t>
            </w:r>
            <w:r w:rsidRPr="0027083E">
              <w:rPr>
                <w:rFonts w:cs="Tahoma"/>
              </w:rPr>
              <w:t>Trustees</w:t>
            </w:r>
          </w:p>
          <w:p w:rsidR="00312E22" w:rsidRPr="0027083E" w:rsidRDefault="00312E22" w:rsidP="00936EE2">
            <w:pPr>
              <w:pStyle w:val="ListParagraph"/>
              <w:numPr>
                <w:ilvl w:val="0"/>
                <w:numId w:val="76"/>
              </w:numPr>
              <w:rPr>
                <w:rFonts w:cs="Tahoma"/>
              </w:rPr>
            </w:pPr>
            <w:r w:rsidRPr="0027083E">
              <w:rPr>
                <w:rFonts w:cs="Tahoma"/>
              </w:rPr>
              <w:t>The Twin Peaks Bill is a bad idea</w:t>
            </w:r>
          </w:p>
          <w:p w:rsidR="00312E22" w:rsidRPr="0027083E" w:rsidRDefault="00312E22" w:rsidP="00312E22">
            <w:pPr>
              <w:rPr>
                <w:rFonts w:eastAsia="Times New Roman" w:cs="Helvetica"/>
                <w:b/>
                <w:color w:val="333333"/>
                <w:u w:val="single"/>
              </w:rPr>
            </w:pPr>
          </w:p>
          <w:p w:rsidR="00312E22" w:rsidRPr="0027083E" w:rsidRDefault="00312E22" w:rsidP="00312E22">
            <w:pPr>
              <w:rPr>
                <w:rFonts w:eastAsia="Times New Roman" w:cs="Helvetica"/>
                <w:b/>
                <w:color w:val="333333"/>
                <w:u w:val="single"/>
              </w:rPr>
            </w:pPr>
            <w:r w:rsidRPr="0027083E">
              <w:rPr>
                <w:rFonts w:eastAsia="Times New Roman" w:cs="Helvetica"/>
                <w:b/>
                <w:color w:val="333333"/>
                <w:u w:val="single"/>
              </w:rPr>
              <w:t>Challenges/concerns identified:</w:t>
            </w:r>
          </w:p>
          <w:p w:rsidR="00312E22" w:rsidRPr="0027083E" w:rsidRDefault="00312E22" w:rsidP="00936EE2">
            <w:pPr>
              <w:pStyle w:val="ListParagraph"/>
              <w:numPr>
                <w:ilvl w:val="0"/>
                <w:numId w:val="76"/>
              </w:numPr>
              <w:rPr>
                <w:rFonts w:cs="Tahoma"/>
              </w:rPr>
            </w:pPr>
            <w:r w:rsidRPr="0027083E">
              <w:rPr>
                <w:rFonts w:cs="Tahoma"/>
              </w:rPr>
              <w:t>Reserve Bank is anti-transformation due to the following:</w:t>
            </w:r>
          </w:p>
          <w:p w:rsidR="00312E22" w:rsidRPr="0027083E" w:rsidRDefault="00312E22" w:rsidP="00936EE2">
            <w:pPr>
              <w:pStyle w:val="ListParagraph"/>
              <w:numPr>
                <w:ilvl w:val="1"/>
                <w:numId w:val="76"/>
              </w:numPr>
              <w:rPr>
                <w:rFonts w:cs="Tahoma"/>
              </w:rPr>
            </w:pPr>
            <w:r w:rsidRPr="0027083E">
              <w:rPr>
                <w:rFonts w:cs="Tahoma"/>
              </w:rPr>
              <w:t xml:space="preserve">Banking licence requirements are not public knowledge; </w:t>
            </w:r>
          </w:p>
          <w:p w:rsidR="00312E22" w:rsidRPr="0027083E" w:rsidRDefault="00312E22" w:rsidP="00936EE2">
            <w:pPr>
              <w:pStyle w:val="ListParagraph"/>
              <w:numPr>
                <w:ilvl w:val="1"/>
                <w:numId w:val="76"/>
              </w:numPr>
              <w:rPr>
                <w:rFonts w:cs="Tahoma"/>
              </w:rPr>
            </w:pPr>
            <w:r w:rsidRPr="0027083E">
              <w:rPr>
                <w:rFonts w:cs="Tahoma"/>
              </w:rPr>
              <w:t>RB not accessible</w:t>
            </w:r>
          </w:p>
          <w:p w:rsidR="00312E22" w:rsidRPr="0027083E" w:rsidRDefault="00312E22" w:rsidP="00936EE2">
            <w:pPr>
              <w:pStyle w:val="ListParagraph"/>
              <w:numPr>
                <w:ilvl w:val="1"/>
                <w:numId w:val="76"/>
              </w:numPr>
              <w:rPr>
                <w:rFonts w:cs="Tahoma"/>
              </w:rPr>
            </w:pPr>
            <w:r w:rsidRPr="0027083E">
              <w:rPr>
                <w:rFonts w:cs="Tahoma"/>
              </w:rPr>
              <w:t>Reserve Requirements for start-ups make no sense</w:t>
            </w:r>
          </w:p>
          <w:p w:rsidR="00312E22" w:rsidRPr="0027083E" w:rsidRDefault="00312E22" w:rsidP="00936EE2">
            <w:pPr>
              <w:pStyle w:val="ListParagraph"/>
              <w:numPr>
                <w:ilvl w:val="0"/>
                <w:numId w:val="76"/>
              </w:numPr>
              <w:rPr>
                <w:rFonts w:cs="Tahoma"/>
              </w:rPr>
            </w:pPr>
            <w:r w:rsidRPr="0027083E">
              <w:rPr>
                <w:rFonts w:cs="Tahoma"/>
              </w:rPr>
              <w:t>Funding terms for black business have in most cases being hostile, black business is treated same was as black consumers: expensive credit and tight payment terms</w:t>
            </w:r>
          </w:p>
          <w:p w:rsidR="00312E22" w:rsidRPr="0027083E" w:rsidRDefault="00312E22" w:rsidP="00936EE2">
            <w:pPr>
              <w:pStyle w:val="ListParagraph"/>
              <w:numPr>
                <w:ilvl w:val="0"/>
                <w:numId w:val="76"/>
              </w:numPr>
              <w:rPr>
                <w:rFonts w:cs="Tahoma"/>
              </w:rPr>
            </w:pPr>
            <w:r w:rsidRPr="0027083E">
              <w:rPr>
                <w:rFonts w:cs="Tahoma"/>
              </w:rPr>
              <w:t>We submitted to this honourable house on the 7</w:t>
            </w:r>
            <w:r w:rsidRPr="0027083E">
              <w:rPr>
                <w:rFonts w:cs="Tahoma"/>
                <w:vertAlign w:val="superscript"/>
              </w:rPr>
              <w:t>th</w:t>
            </w:r>
            <w:r w:rsidRPr="0027083E">
              <w:rPr>
                <w:rFonts w:cs="Tahoma"/>
              </w:rPr>
              <w:t xml:space="preserve"> February 2017 that the Insurance Bill is unconstitutional to the extent that it fails to incorporate express transformation objectives. </w:t>
            </w:r>
          </w:p>
          <w:p w:rsidR="00312E22" w:rsidRPr="0027083E" w:rsidRDefault="00312E22" w:rsidP="00936EE2">
            <w:pPr>
              <w:pStyle w:val="ListParagraph"/>
              <w:numPr>
                <w:ilvl w:val="0"/>
                <w:numId w:val="76"/>
              </w:numPr>
              <w:rPr>
                <w:rFonts w:cs="Tahoma"/>
              </w:rPr>
            </w:pPr>
            <w:r w:rsidRPr="0027083E">
              <w:rPr>
                <w:rFonts w:cs="Tahoma"/>
              </w:rPr>
              <w:t xml:space="preserve">Council for Medical Scheme has placed the appointment of Brokers in the hands of employers, </w:t>
            </w:r>
          </w:p>
          <w:p w:rsidR="00312E22" w:rsidRPr="0027083E" w:rsidRDefault="00312E22" w:rsidP="00936EE2">
            <w:pPr>
              <w:pStyle w:val="ListParagraph"/>
              <w:numPr>
                <w:ilvl w:val="0"/>
                <w:numId w:val="76"/>
              </w:numPr>
              <w:rPr>
                <w:rFonts w:cs="Tahoma"/>
              </w:rPr>
            </w:pPr>
            <w:r w:rsidRPr="0027083E">
              <w:rPr>
                <w:rFonts w:cs="Tahoma"/>
              </w:rPr>
              <w:t xml:space="preserve">Licencing for Administration and Managed Care is subject to acquisition of a contract with a Medical </w:t>
            </w:r>
          </w:p>
          <w:p w:rsidR="00312E22" w:rsidRPr="0027083E" w:rsidRDefault="00312E22" w:rsidP="00936EE2">
            <w:pPr>
              <w:pStyle w:val="ListParagraph"/>
              <w:numPr>
                <w:ilvl w:val="0"/>
                <w:numId w:val="76"/>
              </w:numPr>
              <w:rPr>
                <w:rFonts w:cs="Tahoma"/>
              </w:rPr>
            </w:pPr>
            <w:r w:rsidRPr="0027083E">
              <w:rPr>
                <w:rFonts w:cs="Tahoma"/>
              </w:rPr>
              <w:t>Scheme.</w:t>
            </w:r>
          </w:p>
          <w:p w:rsidR="00312E22" w:rsidRPr="0027083E" w:rsidRDefault="00312E22" w:rsidP="00936EE2">
            <w:pPr>
              <w:pStyle w:val="ListParagraph"/>
              <w:numPr>
                <w:ilvl w:val="0"/>
                <w:numId w:val="76"/>
              </w:numPr>
              <w:rPr>
                <w:rFonts w:cs="Tahoma"/>
              </w:rPr>
            </w:pPr>
            <w:r w:rsidRPr="0027083E">
              <w:rPr>
                <w:rFonts w:cs="Tahoma"/>
              </w:rPr>
              <w:t>SA regulated industries are the most resistant to transformation, most profitable,  most stable and that is because regulators, regulate in the interest of big players by playing the role of gate keepers for the industry, making new entrance difficult and always creating barriers to entry</w:t>
            </w:r>
          </w:p>
          <w:p w:rsidR="00312E22" w:rsidRPr="0027083E" w:rsidRDefault="00312E22" w:rsidP="00936EE2">
            <w:pPr>
              <w:pStyle w:val="ListParagraph"/>
              <w:numPr>
                <w:ilvl w:val="0"/>
                <w:numId w:val="76"/>
              </w:numPr>
              <w:rPr>
                <w:rFonts w:cs="Tahoma"/>
              </w:rPr>
            </w:pPr>
            <w:r w:rsidRPr="0027083E">
              <w:rPr>
                <w:rFonts w:cs="Tahoma"/>
              </w:rPr>
              <w:t>Regulators have obscure licencing requirements, not transparent</w:t>
            </w:r>
          </w:p>
          <w:p w:rsidR="00312E22" w:rsidRPr="0027083E" w:rsidRDefault="00312E22" w:rsidP="00936EE2">
            <w:pPr>
              <w:pStyle w:val="ListParagraph"/>
              <w:numPr>
                <w:ilvl w:val="0"/>
                <w:numId w:val="76"/>
              </w:numPr>
              <w:rPr>
                <w:rFonts w:cs="Tahoma"/>
              </w:rPr>
            </w:pPr>
            <w:r w:rsidRPr="0027083E">
              <w:rPr>
                <w:rFonts w:cs="Tahoma"/>
              </w:rPr>
              <w:t>The Twin peaks bill  as it is a response to a European problem and we are fixing what is not broken, introducing risks</w:t>
            </w:r>
          </w:p>
          <w:p w:rsidR="00312E22" w:rsidRPr="0027083E" w:rsidRDefault="00312E22" w:rsidP="00312E22">
            <w:pPr>
              <w:pStyle w:val="ListParagraph"/>
              <w:rPr>
                <w:rFonts w:cs="Tahoma"/>
              </w:rPr>
            </w:pPr>
          </w:p>
          <w:p w:rsidR="00142063" w:rsidRPr="0027083E" w:rsidRDefault="00142063" w:rsidP="00142063">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312E22" w:rsidRPr="0027083E" w:rsidRDefault="00312E22" w:rsidP="00936EE2">
            <w:pPr>
              <w:pStyle w:val="ListParagraph"/>
              <w:numPr>
                <w:ilvl w:val="0"/>
                <w:numId w:val="77"/>
              </w:numPr>
              <w:rPr>
                <w:rFonts w:cs="Tahoma"/>
              </w:rPr>
            </w:pPr>
            <w:r w:rsidRPr="0027083E">
              <w:rPr>
                <w:rFonts w:cs="Tahoma"/>
              </w:rPr>
              <w:t>Unless we have state bank or black bank with significant muscle, the funding of black business will remain a mirage.</w:t>
            </w:r>
          </w:p>
          <w:p w:rsidR="00312E22" w:rsidRPr="00746692" w:rsidRDefault="00444572" w:rsidP="00936EE2">
            <w:pPr>
              <w:pStyle w:val="ListParagraph"/>
              <w:numPr>
                <w:ilvl w:val="0"/>
                <w:numId w:val="77"/>
              </w:numPr>
              <w:rPr>
                <w:rFonts w:cs="Tahoma"/>
              </w:rPr>
            </w:pPr>
            <w:r w:rsidRPr="0027083E">
              <w:rPr>
                <w:rFonts w:cs="Tahoma"/>
              </w:rPr>
              <w:t>Parliament</w:t>
            </w:r>
            <w:r>
              <w:rPr>
                <w:rFonts w:cs="Tahoma"/>
              </w:rPr>
              <w:t xml:space="preserve"> s</w:t>
            </w:r>
            <w:r w:rsidRPr="00746692">
              <w:rPr>
                <w:rFonts w:cs="Tahoma"/>
              </w:rPr>
              <w:t>hould</w:t>
            </w:r>
            <w:r>
              <w:rPr>
                <w:rFonts w:cs="Tahoma"/>
              </w:rPr>
              <w:t xml:space="preserve"> </w:t>
            </w:r>
            <w:r w:rsidRPr="00746692">
              <w:rPr>
                <w:rFonts w:cs="Tahoma"/>
              </w:rPr>
              <w:t>take</w:t>
            </w:r>
            <w:r>
              <w:rPr>
                <w:rFonts w:cs="Tahoma"/>
              </w:rPr>
              <w:t xml:space="preserve"> </w:t>
            </w:r>
            <w:r w:rsidRPr="00746692">
              <w:rPr>
                <w:rFonts w:cs="Tahoma"/>
              </w:rPr>
              <w:t>a</w:t>
            </w:r>
            <w:r>
              <w:rPr>
                <w:rFonts w:cs="Tahoma"/>
              </w:rPr>
              <w:t xml:space="preserve"> </w:t>
            </w:r>
            <w:r w:rsidRPr="00746692">
              <w:rPr>
                <w:rFonts w:cs="Tahoma"/>
              </w:rPr>
              <w:t>holistic</w:t>
            </w:r>
            <w:r>
              <w:rPr>
                <w:rFonts w:cs="Tahoma"/>
              </w:rPr>
              <w:t xml:space="preserve"> </w:t>
            </w:r>
            <w:r w:rsidRPr="00746692">
              <w:rPr>
                <w:rFonts w:cs="Tahoma"/>
              </w:rPr>
              <w:t>approach</w:t>
            </w:r>
            <w:r>
              <w:rPr>
                <w:rFonts w:cs="Tahoma"/>
              </w:rPr>
              <w:t xml:space="preserve"> </w:t>
            </w:r>
            <w:r w:rsidRPr="00746692">
              <w:rPr>
                <w:rFonts w:cs="Tahoma"/>
              </w:rPr>
              <w:t>on</w:t>
            </w:r>
            <w:r>
              <w:rPr>
                <w:rFonts w:cs="Tahoma"/>
              </w:rPr>
              <w:t xml:space="preserve"> </w:t>
            </w:r>
            <w:r w:rsidRPr="00746692">
              <w:rPr>
                <w:rFonts w:cs="Tahoma"/>
              </w:rPr>
              <w:t>all</w:t>
            </w:r>
            <w:r>
              <w:rPr>
                <w:rFonts w:cs="Tahoma"/>
              </w:rPr>
              <w:t xml:space="preserve"> </w:t>
            </w:r>
            <w:r w:rsidRPr="00746692">
              <w:rPr>
                <w:rFonts w:cs="Tahoma"/>
              </w:rPr>
              <w:t>financial</w:t>
            </w:r>
            <w:r>
              <w:rPr>
                <w:rFonts w:cs="Tahoma"/>
              </w:rPr>
              <w:t xml:space="preserve"> </w:t>
            </w:r>
            <w:r w:rsidRPr="00746692">
              <w:rPr>
                <w:rFonts w:cs="Tahoma"/>
              </w:rPr>
              <w:t>sector</w:t>
            </w:r>
            <w:r>
              <w:rPr>
                <w:rFonts w:cs="Tahoma"/>
              </w:rPr>
              <w:t xml:space="preserve"> </w:t>
            </w:r>
            <w:r w:rsidRPr="00746692">
              <w:rPr>
                <w:rFonts w:cs="Tahoma"/>
              </w:rPr>
              <w:t>laws</w:t>
            </w:r>
            <w:r>
              <w:rPr>
                <w:rFonts w:cs="Tahoma"/>
              </w:rPr>
              <w:t xml:space="preserve"> </w:t>
            </w:r>
            <w:r w:rsidRPr="00746692">
              <w:rPr>
                <w:rFonts w:cs="Tahoma"/>
              </w:rPr>
              <w:t>before</w:t>
            </w:r>
            <w:r>
              <w:rPr>
                <w:rFonts w:cs="Tahoma"/>
              </w:rPr>
              <w:t xml:space="preserve"> </w:t>
            </w:r>
            <w:r w:rsidRPr="00746692">
              <w:rPr>
                <w:rFonts w:cs="Tahoma"/>
              </w:rPr>
              <w:t>it</w:t>
            </w:r>
            <w:r>
              <w:rPr>
                <w:rFonts w:cs="Tahoma"/>
              </w:rPr>
              <w:t xml:space="preserve"> </w:t>
            </w:r>
            <w:r w:rsidRPr="00746692">
              <w:rPr>
                <w:rFonts w:cs="Tahoma"/>
              </w:rPr>
              <w:t>and</w:t>
            </w:r>
            <w:r>
              <w:rPr>
                <w:rFonts w:cs="Tahoma"/>
              </w:rPr>
              <w:t xml:space="preserve"> </w:t>
            </w:r>
            <w:r w:rsidRPr="00746692">
              <w:rPr>
                <w:rFonts w:cs="Tahoma"/>
              </w:rPr>
              <w:t>vigorously</w:t>
            </w:r>
            <w:r>
              <w:rPr>
                <w:rFonts w:cs="Tahoma"/>
              </w:rPr>
              <w:t xml:space="preserve"> </w:t>
            </w:r>
            <w:r w:rsidRPr="00746692">
              <w:rPr>
                <w:rFonts w:cs="Tahoma"/>
              </w:rPr>
              <w:t>dissect</w:t>
            </w:r>
            <w:r>
              <w:rPr>
                <w:rFonts w:cs="Tahoma"/>
              </w:rPr>
              <w:t xml:space="preserve"> </w:t>
            </w:r>
            <w:r w:rsidRPr="00746692">
              <w:rPr>
                <w:rFonts w:cs="Tahoma"/>
              </w:rPr>
              <w:t>their</w:t>
            </w:r>
            <w:r>
              <w:rPr>
                <w:rFonts w:cs="Tahoma"/>
              </w:rPr>
              <w:t xml:space="preserve"> </w:t>
            </w:r>
            <w:r w:rsidRPr="00746692">
              <w:rPr>
                <w:rFonts w:cs="Tahoma"/>
              </w:rPr>
              <w:t>value</w:t>
            </w:r>
            <w:r>
              <w:rPr>
                <w:rFonts w:cs="Tahoma"/>
              </w:rPr>
              <w:t xml:space="preserve"> </w:t>
            </w:r>
            <w:r w:rsidRPr="00746692">
              <w:rPr>
                <w:rFonts w:cs="Tahoma"/>
              </w:rPr>
              <w:t>add</w:t>
            </w:r>
            <w:r>
              <w:rPr>
                <w:rFonts w:cs="Tahoma"/>
              </w:rPr>
              <w:t xml:space="preserve"> </w:t>
            </w:r>
            <w:r w:rsidRPr="00746692">
              <w:rPr>
                <w:rFonts w:cs="Tahoma"/>
              </w:rPr>
              <w:t>in</w:t>
            </w:r>
            <w:r>
              <w:rPr>
                <w:rFonts w:cs="Tahoma"/>
              </w:rPr>
              <w:t xml:space="preserve"> </w:t>
            </w:r>
            <w:r w:rsidRPr="00746692">
              <w:rPr>
                <w:rFonts w:cs="Tahoma"/>
              </w:rPr>
              <w:t>proposition</w:t>
            </w:r>
            <w:r>
              <w:rPr>
                <w:rFonts w:cs="Tahoma"/>
              </w:rPr>
              <w:t xml:space="preserve"> </w:t>
            </w:r>
            <w:r w:rsidRPr="00746692">
              <w:rPr>
                <w:rFonts w:cs="Tahoma"/>
              </w:rPr>
              <w:t>to</w:t>
            </w:r>
            <w:r>
              <w:rPr>
                <w:rFonts w:cs="Tahoma"/>
              </w:rPr>
              <w:t xml:space="preserve"> </w:t>
            </w:r>
            <w:r w:rsidRPr="00746692">
              <w:rPr>
                <w:rFonts w:cs="Tahoma"/>
              </w:rPr>
              <w:t>the</w:t>
            </w:r>
            <w:r>
              <w:rPr>
                <w:rFonts w:cs="Tahoma"/>
              </w:rPr>
              <w:t xml:space="preserve"> </w:t>
            </w:r>
            <w:r w:rsidRPr="00746692">
              <w:rPr>
                <w:rFonts w:cs="Tahoma"/>
              </w:rPr>
              <w:t>transformation</w:t>
            </w:r>
            <w:r>
              <w:rPr>
                <w:rFonts w:cs="Tahoma"/>
              </w:rPr>
              <w:t xml:space="preserve"> </w:t>
            </w:r>
            <w:r w:rsidRPr="00746692">
              <w:rPr>
                <w:rFonts w:cs="Tahoma"/>
              </w:rPr>
              <w:t>of</w:t>
            </w:r>
            <w:r>
              <w:rPr>
                <w:rFonts w:cs="Tahoma"/>
              </w:rPr>
              <w:t xml:space="preserve"> </w:t>
            </w:r>
            <w:r w:rsidRPr="00746692">
              <w:rPr>
                <w:rFonts w:cs="Tahoma"/>
              </w:rPr>
              <w:t>our</w:t>
            </w:r>
            <w:r>
              <w:rPr>
                <w:rFonts w:cs="Tahoma"/>
              </w:rPr>
              <w:t xml:space="preserve"> </w:t>
            </w:r>
            <w:r w:rsidRPr="00746692">
              <w:rPr>
                <w:rFonts w:cs="Tahoma"/>
              </w:rPr>
              <w:t>society</w:t>
            </w:r>
            <w:r w:rsidR="00312E22" w:rsidRPr="00746692">
              <w:rPr>
                <w:rFonts w:cs="Tahoma"/>
              </w:rPr>
              <w:t>.</w:t>
            </w:r>
          </w:p>
          <w:p w:rsidR="00312E22" w:rsidRPr="0027083E" w:rsidRDefault="00312E22" w:rsidP="00936EE2">
            <w:pPr>
              <w:pStyle w:val="ListParagraph"/>
              <w:numPr>
                <w:ilvl w:val="0"/>
                <w:numId w:val="77"/>
              </w:numPr>
              <w:rPr>
                <w:rFonts w:cs="Tahoma"/>
              </w:rPr>
            </w:pPr>
            <w:r w:rsidRPr="0027083E">
              <w:rPr>
                <w:rFonts w:cs="Tahoma"/>
              </w:rPr>
              <w:t>Medical Aid Brokers are supposed to serve Members and therefore should be exclusively appointed by Members.</w:t>
            </w:r>
          </w:p>
          <w:p w:rsidR="00312E22" w:rsidRPr="0027083E" w:rsidRDefault="00312E22" w:rsidP="00936EE2">
            <w:pPr>
              <w:pStyle w:val="ListParagraph"/>
              <w:numPr>
                <w:ilvl w:val="0"/>
                <w:numId w:val="77"/>
              </w:numPr>
              <w:rPr>
                <w:rFonts w:cs="Tahoma"/>
              </w:rPr>
            </w:pPr>
            <w:r w:rsidRPr="0027083E">
              <w:rPr>
                <w:rFonts w:cs="Tahoma"/>
              </w:rPr>
              <w:t>Black business should be recognised above BEE as the only credible instrument for black empowerment</w:t>
            </w:r>
          </w:p>
          <w:p w:rsidR="00312E22" w:rsidRPr="0027083E" w:rsidRDefault="00312E22" w:rsidP="00936EE2">
            <w:pPr>
              <w:pStyle w:val="ListParagraph"/>
              <w:numPr>
                <w:ilvl w:val="0"/>
                <w:numId w:val="77"/>
              </w:numPr>
              <w:rPr>
                <w:rFonts w:cs="Tahoma"/>
              </w:rPr>
            </w:pPr>
            <w:r w:rsidRPr="0027083E">
              <w:rPr>
                <w:rFonts w:cs="Tahoma"/>
              </w:rPr>
              <w:t xml:space="preserve">The FSB is an organ of State and should be bound by Codes of Good Practice issued in terms of </w:t>
            </w:r>
            <w:r w:rsidRPr="0027083E">
              <w:rPr>
                <w:rFonts w:cs="Tahoma"/>
              </w:rPr>
              <w:lastRenderedPageBreak/>
              <w:t>the B-BBEE Act when determining criteria for the issuing of insurance licenses and making concessions.</w:t>
            </w:r>
          </w:p>
          <w:p w:rsidR="00312E22" w:rsidRPr="0027083E" w:rsidRDefault="00312E22" w:rsidP="00936EE2">
            <w:pPr>
              <w:pStyle w:val="ListParagraph"/>
              <w:numPr>
                <w:ilvl w:val="0"/>
                <w:numId w:val="77"/>
              </w:numPr>
              <w:rPr>
                <w:rFonts w:cs="Tahoma"/>
              </w:rPr>
            </w:pPr>
            <w:r w:rsidRPr="0027083E">
              <w:rPr>
                <w:rFonts w:cs="Tahoma"/>
              </w:rPr>
              <w:t>Because the Financial Sector Regulation Bill is still within parliament,</w:t>
            </w:r>
            <w:r>
              <w:rPr>
                <w:rFonts w:cs="Tahoma"/>
              </w:rPr>
              <w:t xml:space="preserve"> </w:t>
            </w:r>
            <w:r w:rsidRPr="0027083E">
              <w:rPr>
                <w:rFonts w:cs="Tahoma"/>
              </w:rPr>
              <w:t>it is recommended it should be properly dissected to pass transformational muster because if the Financial Sector Regulation Bill is not r</w:t>
            </w:r>
            <w:r>
              <w:rPr>
                <w:rFonts w:cs="Tahoma"/>
              </w:rPr>
              <w:t>evisited</w:t>
            </w:r>
            <w:r w:rsidRPr="0027083E">
              <w:rPr>
                <w:rFonts w:cs="Tahoma"/>
              </w:rPr>
              <w:t>, all the progressive submissions on the Insurance Bill will be futile and these public hearings will serve no basis in so far as finance regulation in South Africa is concerned.</w:t>
            </w:r>
          </w:p>
          <w:p w:rsidR="00312E22" w:rsidRPr="0027083E" w:rsidRDefault="00312E22" w:rsidP="00936EE2">
            <w:pPr>
              <w:pStyle w:val="ListParagraph"/>
              <w:numPr>
                <w:ilvl w:val="0"/>
                <w:numId w:val="77"/>
              </w:numPr>
              <w:rPr>
                <w:rFonts w:cs="Tahoma"/>
              </w:rPr>
            </w:pPr>
            <w:r w:rsidRPr="0027083E">
              <w:rPr>
                <w:rFonts w:cs="Tahoma"/>
              </w:rPr>
              <w:t>The introduction of micro-insurance in its current form will exacerbate the lack of transformation in the industry by opening up only one aspect of the insurance industry and not all. Parliament should thus consider</w:t>
            </w:r>
            <w:r w:rsidR="00444572">
              <w:rPr>
                <w:rFonts w:cs="Tahoma"/>
              </w:rPr>
              <w:t xml:space="preserve"> </w:t>
            </w:r>
            <w:r w:rsidRPr="0027083E">
              <w:rPr>
                <w:rFonts w:cs="Tahoma"/>
              </w:rPr>
              <w:t>whether</w:t>
            </w:r>
            <w:r w:rsidR="00444572">
              <w:rPr>
                <w:rFonts w:cs="Tahoma"/>
              </w:rPr>
              <w:t xml:space="preserve"> </w:t>
            </w:r>
            <w:r w:rsidRPr="0027083E">
              <w:rPr>
                <w:rFonts w:cs="Tahoma"/>
              </w:rPr>
              <w:t>the</w:t>
            </w:r>
            <w:r w:rsidR="00444572">
              <w:rPr>
                <w:rFonts w:cs="Tahoma"/>
              </w:rPr>
              <w:t xml:space="preserve"> </w:t>
            </w:r>
            <w:r w:rsidRPr="0027083E">
              <w:rPr>
                <w:rFonts w:cs="Tahoma"/>
              </w:rPr>
              <w:t>introduction</w:t>
            </w:r>
            <w:r w:rsidR="00444572">
              <w:rPr>
                <w:rFonts w:cs="Tahoma"/>
              </w:rPr>
              <w:t xml:space="preserve"> </w:t>
            </w:r>
            <w:r w:rsidRPr="0027083E">
              <w:rPr>
                <w:rFonts w:cs="Tahoma"/>
              </w:rPr>
              <w:t>of</w:t>
            </w:r>
            <w:r w:rsidR="00444572">
              <w:rPr>
                <w:rFonts w:cs="Tahoma"/>
              </w:rPr>
              <w:t xml:space="preserve"> </w:t>
            </w:r>
            <w:r w:rsidRPr="0027083E">
              <w:rPr>
                <w:rFonts w:cs="Tahoma"/>
              </w:rPr>
              <w:t>micro-insurance</w:t>
            </w:r>
            <w:r w:rsidR="00444572">
              <w:rPr>
                <w:rFonts w:cs="Tahoma"/>
              </w:rPr>
              <w:t xml:space="preserve"> </w:t>
            </w:r>
            <w:r w:rsidRPr="0027083E">
              <w:rPr>
                <w:rFonts w:cs="Tahoma"/>
              </w:rPr>
              <w:t>will</w:t>
            </w:r>
            <w:r w:rsidR="00444572">
              <w:rPr>
                <w:rFonts w:cs="Tahoma"/>
              </w:rPr>
              <w:t xml:space="preserve"> </w:t>
            </w:r>
            <w:r w:rsidRPr="0027083E">
              <w:rPr>
                <w:rFonts w:cs="Tahoma"/>
              </w:rPr>
              <w:t>not</w:t>
            </w:r>
            <w:r w:rsidR="00444572">
              <w:rPr>
                <w:rFonts w:cs="Tahoma"/>
              </w:rPr>
              <w:t xml:space="preserve"> </w:t>
            </w:r>
            <w:r w:rsidRPr="0027083E">
              <w:rPr>
                <w:rFonts w:cs="Tahoma"/>
              </w:rPr>
              <w:t>serve</w:t>
            </w:r>
            <w:r w:rsidR="00444572">
              <w:rPr>
                <w:rFonts w:cs="Tahoma"/>
              </w:rPr>
              <w:t xml:space="preserve"> </w:t>
            </w:r>
            <w:r w:rsidRPr="0027083E">
              <w:rPr>
                <w:rFonts w:cs="Tahoma"/>
              </w:rPr>
              <w:t>to</w:t>
            </w:r>
            <w:r w:rsidR="00444572">
              <w:rPr>
                <w:rFonts w:cs="Tahoma"/>
              </w:rPr>
              <w:t xml:space="preserve"> </w:t>
            </w:r>
            <w:r w:rsidRPr="0027083E">
              <w:rPr>
                <w:rFonts w:cs="Tahoma"/>
              </w:rPr>
              <w:t>further</w:t>
            </w:r>
            <w:r w:rsidR="00444572">
              <w:rPr>
                <w:rFonts w:cs="Tahoma"/>
              </w:rPr>
              <w:t xml:space="preserve"> transform </w:t>
            </w:r>
            <w:r w:rsidRPr="0027083E">
              <w:rPr>
                <w:rFonts w:cs="Tahoma"/>
              </w:rPr>
              <w:t>the</w:t>
            </w:r>
            <w:r w:rsidR="00444572">
              <w:rPr>
                <w:rFonts w:cs="Tahoma"/>
              </w:rPr>
              <w:t xml:space="preserve"> </w:t>
            </w:r>
            <w:r w:rsidRPr="0027083E">
              <w:rPr>
                <w:rFonts w:cs="Tahoma"/>
              </w:rPr>
              <w:t>insurance</w:t>
            </w:r>
            <w:r w:rsidR="00444572">
              <w:rPr>
                <w:rFonts w:cs="Tahoma"/>
              </w:rPr>
              <w:t xml:space="preserve"> </w:t>
            </w:r>
            <w:r w:rsidRPr="0027083E">
              <w:rPr>
                <w:rFonts w:cs="Tahoma"/>
              </w:rPr>
              <w:t>industry</w:t>
            </w:r>
            <w:r w:rsidR="00444572">
              <w:rPr>
                <w:rFonts w:cs="Tahoma"/>
              </w:rPr>
              <w:t xml:space="preserve"> </w:t>
            </w:r>
            <w:r w:rsidRPr="0027083E">
              <w:rPr>
                <w:rFonts w:cs="Tahoma"/>
              </w:rPr>
              <w:t>and</w:t>
            </w:r>
            <w:r w:rsidR="00444572">
              <w:rPr>
                <w:rFonts w:cs="Tahoma"/>
              </w:rPr>
              <w:t xml:space="preserve"> </w:t>
            </w:r>
            <w:r w:rsidRPr="0027083E">
              <w:rPr>
                <w:rFonts w:cs="Tahoma"/>
              </w:rPr>
              <w:t>create</w:t>
            </w:r>
            <w:r w:rsidR="00444572">
              <w:rPr>
                <w:rFonts w:cs="Tahoma"/>
              </w:rPr>
              <w:t xml:space="preserve"> </w:t>
            </w:r>
            <w:r w:rsidRPr="0027083E">
              <w:rPr>
                <w:rFonts w:cs="Tahoma"/>
              </w:rPr>
              <w:t>permanent</w:t>
            </w:r>
            <w:r w:rsidR="00444572">
              <w:rPr>
                <w:rFonts w:cs="Tahoma"/>
              </w:rPr>
              <w:t xml:space="preserve"> </w:t>
            </w:r>
            <w:r w:rsidRPr="0027083E">
              <w:rPr>
                <w:rFonts w:cs="Tahoma"/>
              </w:rPr>
              <w:t>walls</w:t>
            </w:r>
            <w:r w:rsidR="00444572">
              <w:rPr>
                <w:rFonts w:cs="Tahoma"/>
              </w:rPr>
              <w:t xml:space="preserve"> </w:t>
            </w:r>
            <w:r w:rsidRPr="0027083E">
              <w:rPr>
                <w:rFonts w:cs="Tahoma"/>
              </w:rPr>
              <w:t>between</w:t>
            </w:r>
            <w:r w:rsidR="00444572">
              <w:rPr>
                <w:rFonts w:cs="Tahoma"/>
              </w:rPr>
              <w:t xml:space="preserve"> </w:t>
            </w:r>
            <w:r w:rsidRPr="0027083E">
              <w:rPr>
                <w:rFonts w:cs="Tahoma"/>
              </w:rPr>
              <w:t>those</w:t>
            </w:r>
            <w:r w:rsidR="00444572">
              <w:rPr>
                <w:rFonts w:cs="Tahoma"/>
              </w:rPr>
              <w:t xml:space="preserve"> </w:t>
            </w:r>
            <w:r w:rsidRPr="0027083E">
              <w:rPr>
                <w:rFonts w:cs="Tahoma"/>
              </w:rPr>
              <w:t>who</w:t>
            </w:r>
            <w:r w:rsidR="00444572">
              <w:rPr>
                <w:rFonts w:cs="Tahoma"/>
              </w:rPr>
              <w:t xml:space="preserve"> </w:t>
            </w:r>
            <w:r w:rsidRPr="0027083E">
              <w:rPr>
                <w:rFonts w:cs="Tahoma"/>
              </w:rPr>
              <w:t>are</w:t>
            </w:r>
            <w:r w:rsidR="00444572">
              <w:rPr>
                <w:rFonts w:cs="Tahoma"/>
              </w:rPr>
              <w:t xml:space="preserve"> </w:t>
            </w:r>
            <w:r w:rsidRPr="0027083E">
              <w:rPr>
                <w:rFonts w:cs="Tahoma"/>
              </w:rPr>
              <w:t>relatively</w:t>
            </w:r>
            <w:r w:rsidR="00444572">
              <w:rPr>
                <w:rFonts w:cs="Tahoma"/>
              </w:rPr>
              <w:t xml:space="preserve"> </w:t>
            </w:r>
            <w:r w:rsidRPr="0027083E">
              <w:rPr>
                <w:rFonts w:cs="Tahoma"/>
              </w:rPr>
              <w:t>rich</w:t>
            </w:r>
            <w:r w:rsidR="00444572">
              <w:rPr>
                <w:rFonts w:cs="Tahoma"/>
              </w:rPr>
              <w:t xml:space="preserve"> </w:t>
            </w:r>
            <w:r w:rsidRPr="0027083E">
              <w:rPr>
                <w:rFonts w:cs="Tahoma"/>
              </w:rPr>
              <w:t>and</w:t>
            </w:r>
            <w:r w:rsidR="00444572">
              <w:rPr>
                <w:rFonts w:cs="Tahoma"/>
              </w:rPr>
              <w:t xml:space="preserve"> </w:t>
            </w:r>
            <w:r w:rsidRPr="0027083E">
              <w:rPr>
                <w:rFonts w:cs="Tahoma"/>
              </w:rPr>
              <w:t>have</w:t>
            </w:r>
            <w:r w:rsidR="00444572">
              <w:rPr>
                <w:rFonts w:cs="Tahoma"/>
              </w:rPr>
              <w:t xml:space="preserve"> </w:t>
            </w:r>
            <w:r w:rsidRPr="0027083E">
              <w:rPr>
                <w:rFonts w:cs="Tahoma"/>
              </w:rPr>
              <w:t>a</w:t>
            </w:r>
            <w:r w:rsidR="00444572">
              <w:rPr>
                <w:rFonts w:cs="Tahoma"/>
              </w:rPr>
              <w:t xml:space="preserve"> </w:t>
            </w:r>
            <w:r w:rsidRPr="0027083E">
              <w:rPr>
                <w:rFonts w:cs="Tahoma"/>
              </w:rPr>
              <w:t>bigger</w:t>
            </w:r>
            <w:r w:rsidR="00444572">
              <w:rPr>
                <w:rFonts w:cs="Tahoma"/>
              </w:rPr>
              <w:t xml:space="preserve"> </w:t>
            </w:r>
            <w:r w:rsidRPr="0027083E">
              <w:rPr>
                <w:rFonts w:cs="Tahoma"/>
              </w:rPr>
              <w:t>share</w:t>
            </w:r>
            <w:r w:rsidR="00444572">
              <w:rPr>
                <w:rFonts w:cs="Tahoma"/>
              </w:rPr>
              <w:t xml:space="preserve"> </w:t>
            </w:r>
            <w:r w:rsidRPr="0027083E">
              <w:rPr>
                <w:rFonts w:cs="Tahoma"/>
              </w:rPr>
              <w:t>in</w:t>
            </w:r>
            <w:r w:rsidR="00444572">
              <w:rPr>
                <w:rFonts w:cs="Tahoma"/>
              </w:rPr>
              <w:t xml:space="preserve"> </w:t>
            </w:r>
            <w:r w:rsidRPr="0027083E">
              <w:rPr>
                <w:rFonts w:cs="Tahoma"/>
              </w:rPr>
              <w:t>the</w:t>
            </w:r>
            <w:r w:rsidR="00444572">
              <w:rPr>
                <w:rFonts w:cs="Tahoma"/>
              </w:rPr>
              <w:t xml:space="preserve"> </w:t>
            </w:r>
            <w:r w:rsidRPr="0027083E">
              <w:rPr>
                <w:rFonts w:cs="Tahoma"/>
              </w:rPr>
              <w:t>insurance</w:t>
            </w:r>
            <w:r w:rsidR="00444572">
              <w:rPr>
                <w:rFonts w:cs="Tahoma"/>
              </w:rPr>
              <w:t xml:space="preserve"> </w:t>
            </w:r>
            <w:r w:rsidRPr="0027083E">
              <w:rPr>
                <w:rFonts w:cs="Tahoma"/>
              </w:rPr>
              <w:t>industry</w:t>
            </w:r>
            <w:r w:rsidR="00444572">
              <w:rPr>
                <w:rFonts w:cs="Tahoma"/>
              </w:rPr>
              <w:t xml:space="preserve"> </w:t>
            </w:r>
            <w:r w:rsidRPr="0027083E">
              <w:rPr>
                <w:rFonts w:cs="Tahoma"/>
              </w:rPr>
              <w:t>and</w:t>
            </w:r>
            <w:r w:rsidR="00444572">
              <w:rPr>
                <w:rFonts w:cs="Tahoma"/>
              </w:rPr>
              <w:t xml:space="preserve"> </w:t>
            </w:r>
            <w:r w:rsidRPr="0027083E">
              <w:rPr>
                <w:rFonts w:cs="Tahoma"/>
              </w:rPr>
              <w:t>those</w:t>
            </w:r>
            <w:r w:rsidR="00444572">
              <w:rPr>
                <w:rFonts w:cs="Tahoma"/>
              </w:rPr>
              <w:t xml:space="preserve"> </w:t>
            </w:r>
            <w:r w:rsidRPr="0027083E">
              <w:rPr>
                <w:rFonts w:cs="Tahoma"/>
              </w:rPr>
              <w:t>who</w:t>
            </w:r>
            <w:r w:rsidR="00444572">
              <w:rPr>
                <w:rFonts w:cs="Tahoma"/>
              </w:rPr>
              <w:t xml:space="preserve"> </w:t>
            </w:r>
            <w:r w:rsidRPr="0027083E">
              <w:rPr>
                <w:rFonts w:cs="Tahoma"/>
              </w:rPr>
              <w:t>are</w:t>
            </w:r>
            <w:r w:rsidR="00444572">
              <w:rPr>
                <w:rFonts w:cs="Tahoma"/>
              </w:rPr>
              <w:t xml:space="preserve"> </w:t>
            </w:r>
            <w:r w:rsidRPr="0027083E">
              <w:rPr>
                <w:rFonts w:cs="Tahoma"/>
              </w:rPr>
              <w:t>relatively</w:t>
            </w:r>
            <w:r w:rsidR="00444572">
              <w:rPr>
                <w:rFonts w:cs="Tahoma"/>
              </w:rPr>
              <w:t xml:space="preserve"> </w:t>
            </w:r>
            <w:r w:rsidRPr="0027083E">
              <w:rPr>
                <w:rFonts w:cs="Tahoma"/>
              </w:rPr>
              <w:t>poor</w:t>
            </w:r>
            <w:r w:rsidR="00444572">
              <w:rPr>
                <w:rFonts w:cs="Tahoma"/>
              </w:rPr>
              <w:t xml:space="preserve"> </w:t>
            </w:r>
            <w:r w:rsidRPr="0027083E">
              <w:rPr>
                <w:rFonts w:cs="Tahoma"/>
              </w:rPr>
              <w:t>and</w:t>
            </w:r>
            <w:r w:rsidR="00444572">
              <w:rPr>
                <w:rFonts w:cs="Tahoma"/>
              </w:rPr>
              <w:t xml:space="preserve"> </w:t>
            </w:r>
            <w:r w:rsidRPr="0027083E">
              <w:rPr>
                <w:rFonts w:cs="Tahoma"/>
              </w:rPr>
              <w:t>having</w:t>
            </w:r>
            <w:r w:rsidR="00444572">
              <w:rPr>
                <w:rFonts w:cs="Tahoma"/>
              </w:rPr>
              <w:t xml:space="preserve"> </w:t>
            </w:r>
            <w:r w:rsidRPr="0027083E">
              <w:rPr>
                <w:rFonts w:cs="Tahoma"/>
              </w:rPr>
              <w:t>a</w:t>
            </w:r>
            <w:r w:rsidR="00444572">
              <w:rPr>
                <w:rFonts w:cs="Tahoma"/>
              </w:rPr>
              <w:t xml:space="preserve"> </w:t>
            </w:r>
            <w:r w:rsidRPr="0027083E">
              <w:rPr>
                <w:rFonts w:cs="Tahoma"/>
              </w:rPr>
              <w:t>smaller</w:t>
            </w:r>
            <w:r w:rsidR="00444572">
              <w:rPr>
                <w:rFonts w:cs="Tahoma"/>
              </w:rPr>
              <w:t xml:space="preserve"> </w:t>
            </w:r>
            <w:r w:rsidRPr="0027083E">
              <w:rPr>
                <w:rFonts w:cs="Tahoma"/>
              </w:rPr>
              <w:t>share</w:t>
            </w:r>
            <w:r w:rsidR="00444572">
              <w:rPr>
                <w:rFonts w:cs="Tahoma"/>
              </w:rPr>
              <w:t xml:space="preserve"> </w:t>
            </w:r>
            <w:r w:rsidRPr="0027083E">
              <w:rPr>
                <w:rFonts w:cs="Tahoma"/>
              </w:rPr>
              <w:t>in</w:t>
            </w:r>
            <w:r w:rsidR="00444572">
              <w:rPr>
                <w:rFonts w:cs="Tahoma"/>
              </w:rPr>
              <w:t xml:space="preserve"> </w:t>
            </w:r>
            <w:r w:rsidRPr="0027083E">
              <w:rPr>
                <w:rFonts w:cs="Tahoma"/>
              </w:rPr>
              <w:t>the</w:t>
            </w:r>
            <w:r w:rsidR="00444572">
              <w:rPr>
                <w:rFonts w:cs="Tahoma"/>
              </w:rPr>
              <w:t xml:space="preserve"> </w:t>
            </w:r>
            <w:r w:rsidRPr="0027083E">
              <w:rPr>
                <w:rFonts w:cs="Tahoma"/>
              </w:rPr>
              <w:t>insurance</w:t>
            </w:r>
            <w:r w:rsidR="00444572">
              <w:rPr>
                <w:rFonts w:cs="Tahoma"/>
              </w:rPr>
              <w:t xml:space="preserve"> </w:t>
            </w:r>
            <w:r w:rsidRPr="0027083E">
              <w:rPr>
                <w:rFonts w:cs="Tahoma"/>
              </w:rPr>
              <w:t>industry.</w:t>
            </w:r>
          </w:p>
          <w:p w:rsidR="00312E22" w:rsidRPr="0027083E" w:rsidRDefault="00312E22" w:rsidP="00936EE2">
            <w:pPr>
              <w:pStyle w:val="ListParagraph"/>
              <w:numPr>
                <w:ilvl w:val="0"/>
                <w:numId w:val="77"/>
              </w:numPr>
              <w:rPr>
                <w:rFonts w:cs="Tahoma"/>
              </w:rPr>
            </w:pPr>
            <w:r w:rsidRPr="0027083E">
              <w:rPr>
                <w:rFonts w:cs="Tahoma"/>
              </w:rPr>
              <w:t>The Reserve Bank must facilitate the establishment of a Black Bank and offer them credit at Repo Rate like all Banks</w:t>
            </w:r>
          </w:p>
          <w:p w:rsidR="00312E22" w:rsidRPr="0027083E" w:rsidRDefault="00312E22" w:rsidP="00936EE2">
            <w:pPr>
              <w:pStyle w:val="ListParagraph"/>
              <w:numPr>
                <w:ilvl w:val="0"/>
                <w:numId w:val="77"/>
              </w:numPr>
              <w:rPr>
                <w:rFonts w:cs="Tahoma"/>
              </w:rPr>
            </w:pPr>
            <w:r w:rsidRPr="0027083E">
              <w:rPr>
                <w:rFonts w:cs="Tahoma"/>
              </w:rPr>
              <w:t xml:space="preserve">All barriers to entry must be removed </w:t>
            </w:r>
          </w:p>
          <w:p w:rsidR="00312E22" w:rsidRPr="0027083E" w:rsidRDefault="00312E22" w:rsidP="00936EE2">
            <w:pPr>
              <w:pStyle w:val="ListParagraph"/>
              <w:numPr>
                <w:ilvl w:val="0"/>
                <w:numId w:val="77"/>
              </w:numPr>
              <w:rPr>
                <w:rFonts w:cs="Tahoma"/>
              </w:rPr>
            </w:pPr>
            <w:r w:rsidRPr="0027083E">
              <w:rPr>
                <w:rFonts w:cs="Tahoma"/>
              </w:rPr>
              <w:t>Government must play its role and lead the process of change</w:t>
            </w:r>
          </w:p>
          <w:p w:rsidR="00312E22" w:rsidRPr="0027083E" w:rsidRDefault="00312E22" w:rsidP="00936EE2">
            <w:pPr>
              <w:pStyle w:val="ListParagraph"/>
              <w:numPr>
                <w:ilvl w:val="0"/>
                <w:numId w:val="77"/>
              </w:numPr>
              <w:rPr>
                <w:rFonts w:cs="Tahoma"/>
              </w:rPr>
            </w:pPr>
            <w:r w:rsidRPr="0027083E">
              <w:rPr>
                <w:rFonts w:cs="Tahoma"/>
              </w:rPr>
              <w:t>Government must be biased towards the previously disadvantaged who are painfully suffocated by the current system</w:t>
            </w:r>
          </w:p>
          <w:p w:rsidR="00312E22" w:rsidRPr="0027083E" w:rsidRDefault="00312E22" w:rsidP="00936EE2">
            <w:pPr>
              <w:pStyle w:val="ListParagraph"/>
              <w:numPr>
                <w:ilvl w:val="0"/>
                <w:numId w:val="77"/>
              </w:numPr>
              <w:rPr>
                <w:rFonts w:cs="Tahoma"/>
              </w:rPr>
            </w:pPr>
            <w:r w:rsidRPr="0027083E">
              <w:rPr>
                <w:rFonts w:cs="Tahoma"/>
              </w:rPr>
              <w:t>The current practice that insurance companies in South Af</w:t>
            </w:r>
            <w:r>
              <w:rPr>
                <w:rFonts w:cs="Tahoma"/>
              </w:rPr>
              <w:t>rica are compelled to use Banks</w:t>
            </w:r>
            <w:r w:rsidRPr="0027083E">
              <w:rPr>
                <w:rFonts w:cs="Tahoma"/>
              </w:rPr>
              <w:t>, Auditing Firms and Actuarial firms that have been ring-fenced is not assisting the transformation agenda and stands to be revisited.</w:t>
            </w:r>
          </w:p>
          <w:p w:rsidR="00312E22" w:rsidRPr="0027083E" w:rsidRDefault="00312E22" w:rsidP="00936EE2">
            <w:pPr>
              <w:pStyle w:val="ListParagraph"/>
              <w:numPr>
                <w:ilvl w:val="0"/>
                <w:numId w:val="77"/>
              </w:numPr>
              <w:rPr>
                <w:rFonts w:cs="Tahoma"/>
              </w:rPr>
            </w:pPr>
            <w:r w:rsidRPr="0027083E">
              <w:rPr>
                <w:rFonts w:cs="Tahoma"/>
              </w:rPr>
              <w:t>If the industry is unwilling to transform itself, this parliament must legislate these transformational imperatives.</w:t>
            </w:r>
          </w:p>
          <w:p w:rsidR="00312E22" w:rsidRPr="0027083E" w:rsidRDefault="00312E22" w:rsidP="00312E22">
            <w:pPr>
              <w:rPr>
                <w:rFonts w:cs="Tahoma"/>
              </w:rPr>
            </w:pPr>
          </w:p>
        </w:tc>
      </w:tr>
      <w:tr w:rsidR="00312E22" w:rsidRPr="0027083E" w:rsidTr="0027083E">
        <w:tc>
          <w:tcPr>
            <w:tcW w:w="1219" w:type="pct"/>
          </w:tcPr>
          <w:p w:rsidR="00312E22" w:rsidRPr="0027083E" w:rsidRDefault="00312E22" w:rsidP="00312E22">
            <w:pPr>
              <w:rPr>
                <w:rFonts w:cs="Tahoma"/>
                <w:b/>
              </w:rPr>
            </w:pPr>
            <w:r w:rsidRPr="0027083E">
              <w:rPr>
                <w:rFonts w:cs="Tahoma"/>
                <w:b/>
                <w:color w:val="000000"/>
              </w:rPr>
              <w:lastRenderedPageBreak/>
              <w:t xml:space="preserve">South African Towing Board, The South African Auto Repairer and Salvage Association, Western Cape Towing Association, South African Builders Contractors Civils Association and Retail Automotive Aftermarket </w:t>
            </w:r>
            <w:r w:rsidRPr="0027083E">
              <w:rPr>
                <w:rFonts w:cs="Tahoma"/>
                <w:b/>
                <w:color w:val="000000"/>
              </w:rPr>
              <w:lastRenderedPageBreak/>
              <w:t>Federation</w:t>
            </w:r>
          </w:p>
        </w:tc>
        <w:tc>
          <w:tcPr>
            <w:tcW w:w="3781" w:type="pct"/>
          </w:tcPr>
          <w:p w:rsidR="00312E22" w:rsidRPr="0027083E" w:rsidRDefault="00312E22" w:rsidP="00312E22">
            <w:pPr>
              <w:rPr>
                <w:rFonts w:cs="Tahoma"/>
                <w:b/>
                <w:u w:val="single"/>
              </w:rPr>
            </w:pPr>
            <w:r w:rsidRPr="0027083E">
              <w:rPr>
                <w:b/>
                <w:u w:val="single"/>
              </w:rPr>
              <w:lastRenderedPageBreak/>
              <w:t>Intro:</w:t>
            </w:r>
          </w:p>
          <w:p w:rsidR="00312E22" w:rsidRPr="0027083E" w:rsidRDefault="00312E22" w:rsidP="00312E22">
            <w:r w:rsidRPr="0027083E">
              <w:rPr>
                <w:rFonts w:cs="Tahoma"/>
              </w:rPr>
              <w:t>The Associations object to SAIA presenting itself as a an agent of change and transformation as it only looks out for the interests of its members, who are the insurance companies and perpetrators of discrimination against black towers and panel beaters and construction and building workers. We cannot and will not endorse any transformation initiatives that are initiated and driven by SAIA as they have proven that they stand firmly on the side of the Insurers and large white monopolies who dominate the Insurance sector value chain.</w:t>
            </w:r>
          </w:p>
          <w:p w:rsidR="00312E22" w:rsidRPr="0027083E" w:rsidRDefault="00312E22" w:rsidP="00312E22">
            <w:pPr>
              <w:rPr>
                <w:rFonts w:cs="Tahoma"/>
                <w:b/>
                <w:u w:val="single"/>
              </w:rPr>
            </w:pPr>
          </w:p>
          <w:p w:rsidR="00312E22" w:rsidRPr="0027083E" w:rsidRDefault="00312E22" w:rsidP="00312E22">
            <w:pPr>
              <w:rPr>
                <w:rFonts w:cs="Tahoma"/>
                <w:b/>
                <w:u w:val="single"/>
              </w:rPr>
            </w:pPr>
            <w:r w:rsidRPr="0027083E">
              <w:rPr>
                <w:rFonts w:cs="Tahoma"/>
                <w:b/>
                <w:u w:val="single"/>
              </w:rPr>
              <w:lastRenderedPageBreak/>
              <w:t>Overview:</w:t>
            </w:r>
          </w:p>
          <w:p w:rsidR="00312E22" w:rsidRPr="0027083E" w:rsidRDefault="00312E22" w:rsidP="00312E22">
            <w:pPr>
              <w:rPr>
                <w:rFonts w:cs="Tahoma"/>
                <w:b/>
                <w:u w:val="single"/>
              </w:rPr>
            </w:pPr>
            <w:r w:rsidRPr="0027083E">
              <w:rPr>
                <w:rFonts w:cs="Tahoma"/>
              </w:rPr>
              <w:t>The short term insurance industry is worth approximately R95 Billion a year in terms of procurement of which only R1,5 Billion goes to black tow truckers and panel beaters and contractors.</w:t>
            </w:r>
          </w:p>
          <w:p w:rsidR="00312E22" w:rsidRPr="0027083E" w:rsidRDefault="00312E22" w:rsidP="00312E22">
            <w:pPr>
              <w:rPr>
                <w:rFonts w:cs="Tahoma"/>
                <w:b/>
                <w:u w:val="single"/>
              </w:rPr>
            </w:pPr>
          </w:p>
          <w:p w:rsidR="00312E22" w:rsidRPr="0027083E" w:rsidRDefault="00312E22" w:rsidP="00312E22">
            <w:pPr>
              <w:rPr>
                <w:rFonts w:cs="Tahoma"/>
                <w:b/>
                <w:u w:val="single"/>
              </w:rPr>
            </w:pPr>
            <w:r w:rsidRPr="0027083E">
              <w:rPr>
                <w:rFonts w:cs="Tahoma"/>
                <w:b/>
                <w:u w:val="single"/>
              </w:rPr>
              <w:t>Challenges/concerns identified:</w:t>
            </w:r>
          </w:p>
          <w:p w:rsidR="00312E22" w:rsidRPr="0027083E" w:rsidRDefault="00312E22" w:rsidP="00936EE2">
            <w:pPr>
              <w:pStyle w:val="ListParagraph"/>
              <w:numPr>
                <w:ilvl w:val="0"/>
                <w:numId w:val="67"/>
              </w:numPr>
              <w:rPr>
                <w:rFonts w:cs="Tahoma"/>
              </w:rPr>
            </w:pPr>
            <w:r w:rsidRPr="0027083E">
              <w:rPr>
                <w:rFonts w:cs="Tahoma"/>
              </w:rPr>
              <w:t xml:space="preserve">A grading system which gave rise to a Preferred Insurance Service Provider System and Motor Manufacture Factory Approved System, which limits access to procurement opportunities for small and medium size body shops. </w:t>
            </w:r>
          </w:p>
          <w:p w:rsidR="00312E22" w:rsidRPr="0027083E" w:rsidRDefault="00312E22" w:rsidP="00936EE2">
            <w:pPr>
              <w:pStyle w:val="ListParagraph"/>
              <w:numPr>
                <w:ilvl w:val="0"/>
                <w:numId w:val="67"/>
              </w:numPr>
              <w:rPr>
                <w:rFonts w:cs="Tahoma"/>
              </w:rPr>
            </w:pPr>
            <w:r w:rsidRPr="0027083E">
              <w:rPr>
                <w:rFonts w:cs="Tahoma"/>
              </w:rPr>
              <w:t xml:space="preserve">Uncompetitive, racially discriminatory and exclusionary procurement practices in the towing, panel beating, construction and building industry which services their clients on their behalf. </w:t>
            </w:r>
          </w:p>
          <w:p w:rsidR="00312E22" w:rsidRPr="0027083E" w:rsidRDefault="00312E22" w:rsidP="00936EE2">
            <w:pPr>
              <w:pStyle w:val="ListParagraph"/>
              <w:numPr>
                <w:ilvl w:val="0"/>
                <w:numId w:val="67"/>
              </w:numPr>
              <w:rPr>
                <w:rFonts w:cs="Tahoma"/>
              </w:rPr>
            </w:pPr>
            <w:r w:rsidRPr="0027083E">
              <w:rPr>
                <w:rFonts w:cs="Tahoma"/>
              </w:rPr>
              <w:t>Billions of Rands in terms of procurement spend are directed to white owned companies by insurance companies and SOE’s such as SAA, Government Garage, Eskom, Telkom, etc.</w:t>
            </w:r>
          </w:p>
          <w:p w:rsidR="00312E22" w:rsidRPr="0027083E" w:rsidRDefault="00312E22" w:rsidP="00936EE2">
            <w:pPr>
              <w:pStyle w:val="ListParagraph"/>
              <w:numPr>
                <w:ilvl w:val="0"/>
                <w:numId w:val="67"/>
              </w:numPr>
              <w:rPr>
                <w:rFonts w:cs="Tahoma"/>
              </w:rPr>
            </w:pPr>
            <w:r w:rsidRPr="0027083E">
              <w:rPr>
                <w:rFonts w:cs="Tahoma"/>
              </w:rPr>
              <w:t xml:space="preserve">In terms of the Agreement signed on the 6th December 2014 there has been no procurement increases to black businesses, instead there has been victimization against black service providers who were party to the signing of the Memorandum. </w:t>
            </w:r>
          </w:p>
          <w:p w:rsidR="00312E22" w:rsidRPr="0027083E" w:rsidRDefault="00312E22" w:rsidP="00312E22">
            <w:pPr>
              <w:rPr>
                <w:rFonts w:cs="Tahoma"/>
              </w:rPr>
            </w:pPr>
          </w:p>
          <w:p w:rsidR="00142063" w:rsidRPr="0027083E" w:rsidRDefault="00142063" w:rsidP="00142063">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312E22" w:rsidRPr="0027083E" w:rsidRDefault="00312E22" w:rsidP="00936EE2">
            <w:pPr>
              <w:pStyle w:val="ListParagraph"/>
              <w:numPr>
                <w:ilvl w:val="0"/>
                <w:numId w:val="68"/>
              </w:numPr>
              <w:rPr>
                <w:rFonts w:cs="Tahoma"/>
              </w:rPr>
            </w:pPr>
            <w:r w:rsidRPr="0027083E">
              <w:rPr>
                <w:rFonts w:cs="Tahoma"/>
              </w:rPr>
              <w:t xml:space="preserve">Government needs to investigate the Auto-body approval system urgently, as these approvals are outlawed everywhere else in the western world as discriminatory and illegal. </w:t>
            </w:r>
          </w:p>
          <w:p w:rsidR="00312E22" w:rsidRPr="0027083E" w:rsidRDefault="00312E22" w:rsidP="00312E22">
            <w:pPr>
              <w:rPr>
                <w:rFonts w:cs="Tahoma"/>
                <w:b/>
                <w:u w:val="single"/>
              </w:rPr>
            </w:pPr>
          </w:p>
        </w:tc>
      </w:tr>
      <w:tr w:rsidR="00312E22" w:rsidRPr="0027083E" w:rsidTr="0027083E">
        <w:tc>
          <w:tcPr>
            <w:tcW w:w="5000" w:type="pct"/>
            <w:gridSpan w:val="2"/>
            <w:shd w:val="clear" w:color="auto" w:fill="D9D9D9" w:themeFill="background1" w:themeFillShade="D9"/>
          </w:tcPr>
          <w:p w:rsidR="00312E22" w:rsidRPr="0027083E" w:rsidRDefault="00312E22" w:rsidP="00312E22">
            <w:pPr>
              <w:jc w:val="center"/>
              <w:rPr>
                <w:rFonts w:eastAsia="Times New Roman" w:cs="Helvetica"/>
                <w:b/>
                <w:color w:val="333333"/>
                <w:u w:val="single"/>
              </w:rPr>
            </w:pPr>
            <w:r w:rsidRPr="0027083E">
              <w:rPr>
                <w:b/>
                <w:u w:val="single"/>
              </w:rPr>
              <w:lastRenderedPageBreak/>
              <w:t xml:space="preserve">Industry and industry representative bodies: </w:t>
            </w:r>
            <w:r w:rsidRPr="0027083E">
              <w:rPr>
                <w:rFonts w:eastAsia="Times New Roman" w:cs="Helvetica"/>
                <w:b/>
                <w:color w:val="333333"/>
                <w:u w:val="single"/>
              </w:rPr>
              <w:t>Microfinance sector</w:t>
            </w:r>
          </w:p>
        </w:tc>
      </w:tr>
      <w:tr w:rsidR="00312E22" w:rsidRPr="0027083E" w:rsidTr="0027083E">
        <w:tc>
          <w:tcPr>
            <w:tcW w:w="1219" w:type="pct"/>
          </w:tcPr>
          <w:p w:rsidR="00312E22" w:rsidRPr="0027083E" w:rsidRDefault="00312E22" w:rsidP="00312E22">
            <w:pPr>
              <w:rPr>
                <w:rFonts w:eastAsia="Times New Roman" w:cs="Helvetica"/>
                <w:b/>
                <w:bCs/>
                <w:color w:val="333333"/>
              </w:rPr>
            </w:pPr>
            <w:r w:rsidRPr="0027083E">
              <w:rPr>
                <w:rFonts w:eastAsia="Times New Roman" w:cs="Helvetica"/>
                <w:b/>
                <w:bCs/>
                <w:color w:val="333333"/>
              </w:rPr>
              <w:t>Microfinance South Africa (MFSA)</w:t>
            </w:r>
            <w:r w:rsidRPr="0027083E">
              <w:rPr>
                <w:rFonts w:eastAsia="Times New Roman" w:cs="Helvetica"/>
                <w:b/>
                <w:color w:val="333333"/>
              </w:rPr>
              <w:t> </w:t>
            </w:r>
          </w:p>
        </w:tc>
        <w:tc>
          <w:tcPr>
            <w:tcW w:w="3781" w:type="pct"/>
          </w:tcPr>
          <w:p w:rsidR="00312E22" w:rsidRPr="0027083E" w:rsidRDefault="00312E22" w:rsidP="00312E22">
            <w:pPr>
              <w:rPr>
                <w:rFonts w:eastAsia="Times New Roman" w:cs="Helvetica"/>
                <w:b/>
                <w:color w:val="333333"/>
                <w:u w:val="single"/>
              </w:rPr>
            </w:pPr>
            <w:r w:rsidRPr="0027083E">
              <w:rPr>
                <w:rFonts w:eastAsia="Times New Roman" w:cs="Helvetica"/>
                <w:b/>
                <w:color w:val="333333"/>
                <w:u w:val="single"/>
              </w:rPr>
              <w:t>Intro:</w:t>
            </w:r>
          </w:p>
          <w:p w:rsidR="00312E22" w:rsidRPr="0027083E" w:rsidRDefault="00312E22" w:rsidP="00312E22">
            <w:pPr>
              <w:rPr>
                <w:rFonts w:eastAsia="Times New Roman" w:cs="Helvetica"/>
                <w:color w:val="333333"/>
              </w:rPr>
            </w:pPr>
            <w:r w:rsidRPr="0027083E">
              <w:rPr>
                <w:rFonts w:eastAsia="Times New Roman" w:cs="Helvetica"/>
                <w:color w:val="333333"/>
              </w:rPr>
              <w:t>MFSA is a representative body of registered and legal microfinance Credit Providers with almost 150 members, providing short term and unsecured credit, registered with the NCA.</w:t>
            </w:r>
          </w:p>
          <w:p w:rsidR="00312E22" w:rsidRPr="0027083E" w:rsidRDefault="00312E22" w:rsidP="00312E22">
            <w:pPr>
              <w:rPr>
                <w:rFonts w:eastAsia="Times New Roman" w:cs="Helvetica"/>
                <w:color w:val="333333"/>
              </w:rPr>
            </w:pPr>
          </w:p>
          <w:p w:rsidR="00312E22" w:rsidRPr="0027083E" w:rsidRDefault="00312E22" w:rsidP="00312E22">
            <w:pPr>
              <w:rPr>
                <w:rFonts w:eastAsia="Times New Roman" w:cs="Helvetica"/>
                <w:b/>
                <w:color w:val="333333"/>
                <w:u w:val="single"/>
              </w:rPr>
            </w:pPr>
            <w:r w:rsidRPr="0027083E">
              <w:rPr>
                <w:rFonts w:eastAsia="Times New Roman" w:cs="Helvetica"/>
                <w:b/>
                <w:color w:val="333333"/>
                <w:u w:val="single"/>
              </w:rPr>
              <w:t>Challenges/concerns identified:</w:t>
            </w:r>
          </w:p>
          <w:p w:rsidR="00312E22" w:rsidRPr="0027083E" w:rsidRDefault="00312E22" w:rsidP="00936EE2">
            <w:pPr>
              <w:pStyle w:val="ListParagraph"/>
              <w:numPr>
                <w:ilvl w:val="0"/>
                <w:numId w:val="21"/>
              </w:numPr>
              <w:rPr>
                <w:rFonts w:eastAsia="Times New Roman" w:cs="Helvetica"/>
                <w:color w:val="333333"/>
              </w:rPr>
            </w:pPr>
            <w:r w:rsidRPr="0027083E">
              <w:rPr>
                <w:rFonts w:eastAsia="Times New Roman" w:cs="Helvetica"/>
                <w:color w:val="333333"/>
              </w:rPr>
              <w:t xml:space="preserve">The incentive to transform is not substantial to a number of stakeholders in the Financial Industry. </w:t>
            </w:r>
          </w:p>
          <w:p w:rsidR="00312E22" w:rsidRPr="0027083E" w:rsidRDefault="00312E22" w:rsidP="00936EE2">
            <w:pPr>
              <w:pStyle w:val="ListParagraph"/>
              <w:numPr>
                <w:ilvl w:val="0"/>
                <w:numId w:val="21"/>
              </w:numPr>
              <w:rPr>
                <w:rFonts w:eastAsia="Times New Roman" w:cs="Helvetica"/>
                <w:color w:val="333333"/>
              </w:rPr>
            </w:pPr>
            <w:r w:rsidRPr="0027083E">
              <w:rPr>
                <w:rFonts w:eastAsia="Times New Roman" w:cs="Helvetica"/>
                <w:color w:val="333333"/>
              </w:rPr>
              <w:t xml:space="preserve">A more focused approach is required with more substantial benefits in order to promote transformation in the industry. </w:t>
            </w:r>
          </w:p>
          <w:p w:rsidR="00312E22" w:rsidRPr="0027083E" w:rsidRDefault="00312E22" w:rsidP="00936EE2">
            <w:pPr>
              <w:pStyle w:val="ListParagraph"/>
              <w:numPr>
                <w:ilvl w:val="0"/>
                <w:numId w:val="21"/>
              </w:numPr>
              <w:rPr>
                <w:rFonts w:eastAsia="Times New Roman" w:cs="Helvetica"/>
                <w:color w:val="333333"/>
              </w:rPr>
            </w:pPr>
            <w:r w:rsidRPr="0027083E">
              <w:rPr>
                <w:rFonts w:eastAsia="Times New Roman" w:cs="Helvetica"/>
                <w:color w:val="333333"/>
              </w:rPr>
              <w:t xml:space="preserve">Consumer awareness remains problematic on the transformation agenda. Consumers are not educated enough and still remain unbanked. More effective consumer education needs to be implemented in order to ensure transformation does take place specifically with regards to </w:t>
            </w:r>
            <w:r w:rsidRPr="0027083E">
              <w:rPr>
                <w:rFonts w:eastAsia="Times New Roman" w:cs="Helvetica"/>
                <w:color w:val="333333"/>
              </w:rPr>
              <w:lastRenderedPageBreak/>
              <w:t>access to credit and the use of technology and appropriate products.</w:t>
            </w:r>
          </w:p>
          <w:p w:rsidR="00312E22" w:rsidRPr="0027083E" w:rsidRDefault="00312E22" w:rsidP="00312E22">
            <w:pPr>
              <w:rPr>
                <w:rFonts w:eastAsia="Times New Roman" w:cs="Helvetica"/>
                <w:color w:val="333333"/>
              </w:rPr>
            </w:pPr>
          </w:p>
        </w:tc>
      </w:tr>
      <w:tr w:rsidR="00312E22" w:rsidRPr="0027083E" w:rsidTr="0027083E">
        <w:tc>
          <w:tcPr>
            <w:tcW w:w="5000" w:type="pct"/>
            <w:gridSpan w:val="2"/>
            <w:shd w:val="clear" w:color="auto" w:fill="D9D9D9" w:themeFill="background1" w:themeFillShade="D9"/>
          </w:tcPr>
          <w:p w:rsidR="00312E22" w:rsidRPr="0027083E" w:rsidRDefault="00312E22" w:rsidP="00312E22">
            <w:pPr>
              <w:jc w:val="center"/>
              <w:rPr>
                <w:rFonts w:cs="Tahoma"/>
                <w:b/>
                <w:color w:val="000000"/>
              </w:rPr>
            </w:pPr>
            <w:r w:rsidRPr="0027083E">
              <w:rPr>
                <w:rFonts w:cs="Tahoma"/>
                <w:b/>
                <w:color w:val="000000"/>
              </w:rPr>
              <w:lastRenderedPageBreak/>
              <w:t xml:space="preserve">Co-operative Bank Sector including development agency, banks and associations </w:t>
            </w:r>
          </w:p>
        </w:tc>
      </w:tr>
      <w:tr w:rsidR="00312E22" w:rsidRPr="0027083E" w:rsidTr="0027083E">
        <w:tc>
          <w:tcPr>
            <w:tcW w:w="1219" w:type="pct"/>
          </w:tcPr>
          <w:p w:rsidR="00312E22" w:rsidRPr="0027083E" w:rsidRDefault="00312E22" w:rsidP="00312E22">
            <w:pPr>
              <w:rPr>
                <w:rFonts w:cs="Tahoma"/>
                <w:b/>
              </w:rPr>
            </w:pPr>
            <w:r w:rsidRPr="0027083E">
              <w:rPr>
                <w:rFonts w:cs="Tahoma"/>
                <w:b/>
              </w:rPr>
              <w:t>Co-operative Banks Development Agency (CBDA)</w:t>
            </w:r>
          </w:p>
        </w:tc>
        <w:tc>
          <w:tcPr>
            <w:tcW w:w="3781" w:type="pct"/>
          </w:tcPr>
          <w:p w:rsidR="00312E22" w:rsidRPr="0027083E" w:rsidRDefault="00312E22" w:rsidP="00312E22">
            <w:pPr>
              <w:rPr>
                <w:rFonts w:cs="Tahoma"/>
                <w:b/>
                <w:u w:val="single"/>
              </w:rPr>
            </w:pPr>
            <w:r w:rsidRPr="0027083E">
              <w:rPr>
                <w:rFonts w:cs="Tahoma"/>
                <w:b/>
                <w:u w:val="single"/>
              </w:rPr>
              <w:t>Intro:</w:t>
            </w:r>
          </w:p>
          <w:p w:rsidR="00312E22" w:rsidRPr="0027083E" w:rsidRDefault="00312E22" w:rsidP="00312E22">
            <w:pPr>
              <w:rPr>
                <w:rFonts w:cs="Tahoma"/>
              </w:rPr>
            </w:pPr>
            <w:r w:rsidRPr="0027083E">
              <w:rPr>
                <w:rFonts w:cs="Tahoma"/>
              </w:rPr>
              <w:t>The CBDA is mandated through various pieces of legislation to: Supervise and regulate co-operative financial institutions, provide liquidity and technical support, and build capacity and support development (incl. eventual integration into the National Payments System).</w:t>
            </w:r>
          </w:p>
          <w:p w:rsidR="00312E22" w:rsidRPr="0027083E" w:rsidRDefault="00312E22" w:rsidP="00312E22">
            <w:pPr>
              <w:rPr>
                <w:rFonts w:cs="Tahoma"/>
              </w:rPr>
            </w:pPr>
          </w:p>
          <w:p w:rsidR="00312E22" w:rsidRPr="0027083E" w:rsidRDefault="00312E22" w:rsidP="00312E22">
            <w:pPr>
              <w:rPr>
                <w:rFonts w:cs="Tahoma"/>
                <w:b/>
                <w:u w:val="single"/>
              </w:rPr>
            </w:pPr>
            <w:r w:rsidRPr="0027083E">
              <w:rPr>
                <w:rFonts w:cs="Tahoma"/>
                <w:b/>
                <w:u w:val="single"/>
              </w:rPr>
              <w:t>Sector Challenges:</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sidRPr="0027083E">
              <w:rPr>
                <w:rFonts w:asciiTheme="minorHAnsi" w:eastAsia="MS Mincho" w:hAnsiTheme="minorHAnsi" w:cs="Tahoma"/>
                <w:color w:val="auto"/>
                <w:sz w:val="22"/>
                <w:szCs w:val="22"/>
              </w:rPr>
              <w:t>Low ski</w:t>
            </w:r>
            <w:r>
              <w:rPr>
                <w:rFonts w:asciiTheme="minorHAnsi" w:eastAsia="MS Mincho" w:hAnsiTheme="minorHAnsi" w:cs="Tahoma"/>
                <w:color w:val="auto"/>
                <w:sz w:val="22"/>
                <w:szCs w:val="22"/>
              </w:rPr>
              <w:t>lls base (Finance, Banking etc)</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sidRPr="0027083E">
              <w:rPr>
                <w:rFonts w:asciiTheme="minorHAnsi" w:eastAsia="MS Mincho" w:hAnsiTheme="minorHAnsi" w:cs="Tahoma"/>
                <w:color w:val="auto"/>
                <w:sz w:val="22"/>
                <w:szCs w:val="22"/>
              </w:rPr>
              <w:t>Inaccurate fi</w:t>
            </w:r>
            <w:r>
              <w:rPr>
                <w:rFonts w:asciiTheme="minorHAnsi" w:eastAsia="MS Mincho" w:hAnsiTheme="minorHAnsi" w:cs="Tahoma"/>
                <w:color w:val="auto"/>
                <w:sz w:val="22"/>
                <w:szCs w:val="22"/>
              </w:rPr>
              <w:t>nancial reports submitted to</w:t>
            </w:r>
            <w:r w:rsidR="00444572">
              <w:rPr>
                <w:rFonts w:asciiTheme="minorHAnsi" w:eastAsia="MS Mincho" w:hAnsiTheme="minorHAnsi" w:cs="Tahoma"/>
                <w:color w:val="auto"/>
                <w:sz w:val="22"/>
                <w:szCs w:val="22"/>
              </w:rPr>
              <w:t xml:space="preserve"> the CBDA</w:t>
            </w:r>
            <w:r>
              <w:rPr>
                <w:rFonts w:asciiTheme="minorHAnsi" w:eastAsia="MS Mincho" w:hAnsiTheme="minorHAnsi" w:cs="Tahoma"/>
                <w:color w:val="auto"/>
                <w:sz w:val="22"/>
                <w:szCs w:val="22"/>
              </w:rPr>
              <w:t xml:space="preserve"> S</w:t>
            </w:r>
            <w:r w:rsidR="00444572">
              <w:rPr>
                <w:rFonts w:asciiTheme="minorHAnsi" w:eastAsia="MS Mincho" w:hAnsiTheme="minorHAnsi" w:cs="Tahoma"/>
                <w:color w:val="auto"/>
                <w:sz w:val="22"/>
                <w:szCs w:val="22"/>
              </w:rPr>
              <w:t xml:space="preserve">upervision </w:t>
            </w:r>
            <w:r>
              <w:rPr>
                <w:rFonts w:asciiTheme="minorHAnsi" w:eastAsia="MS Mincho" w:hAnsiTheme="minorHAnsi" w:cs="Tahoma"/>
                <w:color w:val="auto"/>
                <w:sz w:val="22"/>
                <w:szCs w:val="22"/>
              </w:rPr>
              <w:t>U</w:t>
            </w:r>
            <w:r w:rsidR="00444572">
              <w:rPr>
                <w:rFonts w:asciiTheme="minorHAnsi" w:eastAsia="MS Mincho" w:hAnsiTheme="minorHAnsi" w:cs="Tahoma"/>
                <w:color w:val="auto"/>
                <w:sz w:val="22"/>
                <w:szCs w:val="22"/>
              </w:rPr>
              <w:t>nit</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sidRPr="0027083E">
              <w:rPr>
                <w:rFonts w:asciiTheme="minorHAnsi" w:eastAsia="MS Mincho" w:hAnsiTheme="minorHAnsi" w:cs="Tahoma"/>
                <w:color w:val="auto"/>
                <w:sz w:val="22"/>
                <w:szCs w:val="22"/>
              </w:rPr>
              <w:t>Inadeq</w:t>
            </w:r>
            <w:r>
              <w:rPr>
                <w:rFonts w:asciiTheme="minorHAnsi" w:eastAsia="MS Mincho" w:hAnsiTheme="minorHAnsi" w:cs="Tahoma"/>
                <w:color w:val="auto"/>
                <w:sz w:val="22"/>
                <w:szCs w:val="22"/>
              </w:rPr>
              <w:t>uate capital, low growth trends</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Pr>
                <w:rFonts w:asciiTheme="minorHAnsi" w:eastAsia="MS Mincho" w:hAnsiTheme="minorHAnsi" w:cs="Tahoma"/>
                <w:color w:val="auto"/>
                <w:sz w:val="22"/>
                <w:szCs w:val="22"/>
              </w:rPr>
              <w:t>Poor governance structures</w:t>
            </w:r>
            <w:r w:rsidRPr="0027083E">
              <w:rPr>
                <w:rFonts w:asciiTheme="minorHAnsi" w:eastAsia="MS Mincho" w:hAnsiTheme="minorHAnsi" w:cs="Tahoma"/>
                <w:color w:val="auto"/>
                <w:sz w:val="22"/>
                <w:szCs w:val="22"/>
              </w:rPr>
              <w:t xml:space="preserve"> (oversight role)</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sidRPr="0027083E">
              <w:rPr>
                <w:rFonts w:asciiTheme="minorHAnsi" w:eastAsia="MS Mincho" w:hAnsiTheme="minorHAnsi" w:cs="Tahoma"/>
                <w:color w:val="auto"/>
                <w:sz w:val="22"/>
                <w:szCs w:val="22"/>
              </w:rPr>
              <w:t>Weak risk</w:t>
            </w:r>
            <w:r>
              <w:rPr>
                <w:rFonts w:asciiTheme="minorHAnsi" w:eastAsia="MS Mincho" w:hAnsiTheme="minorHAnsi" w:cs="Tahoma"/>
                <w:color w:val="auto"/>
                <w:sz w:val="22"/>
                <w:szCs w:val="22"/>
              </w:rPr>
              <w:t xml:space="preserve"> management levels</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sidRPr="0027083E">
              <w:rPr>
                <w:rFonts w:asciiTheme="minorHAnsi" w:eastAsia="MS Mincho" w:hAnsiTheme="minorHAnsi" w:cs="Tahoma"/>
                <w:color w:val="auto"/>
                <w:sz w:val="22"/>
                <w:szCs w:val="22"/>
              </w:rPr>
              <w:t>Lack of understanding and non-complia</w:t>
            </w:r>
            <w:r>
              <w:rPr>
                <w:rFonts w:asciiTheme="minorHAnsi" w:eastAsia="MS Mincho" w:hAnsiTheme="minorHAnsi" w:cs="Tahoma"/>
                <w:color w:val="auto"/>
                <w:sz w:val="22"/>
                <w:szCs w:val="22"/>
              </w:rPr>
              <w:t>nce to the regulatory framework</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Pr>
                <w:rFonts w:asciiTheme="minorHAnsi" w:eastAsia="MS Mincho" w:hAnsiTheme="minorHAnsi" w:cs="Tahoma"/>
                <w:color w:val="auto"/>
                <w:sz w:val="22"/>
                <w:szCs w:val="22"/>
              </w:rPr>
              <w:t>Infrastructure</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sidRPr="0027083E">
              <w:rPr>
                <w:rFonts w:asciiTheme="minorHAnsi" w:hAnsiTheme="minorHAnsi" w:cs="Tahoma"/>
                <w:sz w:val="22"/>
                <w:szCs w:val="22"/>
              </w:rPr>
              <w:t>S</w:t>
            </w:r>
            <w:r>
              <w:rPr>
                <w:rFonts w:asciiTheme="minorHAnsi" w:eastAsia="MS Mincho" w:hAnsiTheme="minorHAnsi" w:cs="Tahoma"/>
                <w:color w:val="auto"/>
                <w:sz w:val="22"/>
                <w:szCs w:val="22"/>
              </w:rPr>
              <w:t>eed funding</w:t>
            </w:r>
          </w:p>
          <w:p w:rsidR="00312E22" w:rsidRPr="0027083E" w:rsidRDefault="00312E22" w:rsidP="00936EE2">
            <w:pPr>
              <w:pStyle w:val="Default"/>
              <w:numPr>
                <w:ilvl w:val="0"/>
                <w:numId w:val="92"/>
              </w:numPr>
              <w:rPr>
                <w:rFonts w:asciiTheme="minorHAnsi" w:hAnsiTheme="minorHAnsi" w:cs="Tahoma"/>
                <w:sz w:val="22"/>
                <w:szCs w:val="22"/>
              </w:rPr>
            </w:pPr>
            <w:r>
              <w:rPr>
                <w:rFonts w:asciiTheme="minorHAnsi" w:hAnsiTheme="minorHAnsi" w:cs="Tahoma"/>
                <w:sz w:val="22"/>
                <w:szCs w:val="22"/>
              </w:rPr>
              <w:t>Branding &amp; marketing</w:t>
            </w:r>
          </w:p>
          <w:p w:rsidR="00312E22" w:rsidRPr="0027083E" w:rsidRDefault="00312E22" w:rsidP="00936EE2">
            <w:pPr>
              <w:pStyle w:val="Default"/>
              <w:numPr>
                <w:ilvl w:val="0"/>
                <w:numId w:val="92"/>
              </w:numPr>
              <w:rPr>
                <w:rFonts w:asciiTheme="minorHAnsi" w:hAnsiTheme="minorHAnsi" w:cs="Tahoma"/>
                <w:sz w:val="22"/>
                <w:szCs w:val="22"/>
              </w:rPr>
            </w:pPr>
            <w:r>
              <w:rPr>
                <w:rFonts w:asciiTheme="minorHAnsi" w:hAnsiTheme="minorHAnsi" w:cs="Tahoma"/>
                <w:sz w:val="22"/>
                <w:szCs w:val="22"/>
              </w:rPr>
              <w:t>Manual operations</w:t>
            </w:r>
          </w:p>
          <w:p w:rsidR="00312E22" w:rsidRPr="0027083E" w:rsidRDefault="00312E22" w:rsidP="00936EE2">
            <w:pPr>
              <w:pStyle w:val="Default"/>
              <w:numPr>
                <w:ilvl w:val="0"/>
                <w:numId w:val="92"/>
              </w:numPr>
              <w:rPr>
                <w:rFonts w:asciiTheme="minorHAnsi" w:hAnsiTheme="minorHAnsi" w:cs="Tahoma"/>
                <w:sz w:val="22"/>
                <w:szCs w:val="22"/>
              </w:rPr>
            </w:pPr>
            <w:r w:rsidRPr="0027083E">
              <w:rPr>
                <w:rFonts w:asciiTheme="minorHAnsi" w:hAnsiTheme="minorHAnsi" w:cs="Tahoma"/>
                <w:sz w:val="22"/>
                <w:szCs w:val="22"/>
              </w:rPr>
              <w:t>Limi</w:t>
            </w:r>
            <w:r>
              <w:rPr>
                <w:rFonts w:asciiTheme="minorHAnsi" w:hAnsiTheme="minorHAnsi" w:cs="Tahoma"/>
                <w:sz w:val="22"/>
                <w:szCs w:val="22"/>
              </w:rPr>
              <w:t>ted product &amp; service offerings</w:t>
            </w:r>
          </w:p>
          <w:p w:rsidR="00312E22" w:rsidRPr="0027083E" w:rsidRDefault="00312E22" w:rsidP="00936EE2">
            <w:pPr>
              <w:pStyle w:val="Default"/>
              <w:numPr>
                <w:ilvl w:val="0"/>
                <w:numId w:val="92"/>
              </w:numPr>
              <w:rPr>
                <w:rFonts w:asciiTheme="minorHAnsi" w:hAnsiTheme="minorHAnsi" w:cs="Tahoma"/>
                <w:sz w:val="22"/>
                <w:szCs w:val="22"/>
              </w:rPr>
            </w:pPr>
            <w:r w:rsidRPr="0027083E">
              <w:rPr>
                <w:rFonts w:asciiTheme="minorHAnsi" w:hAnsiTheme="minorHAnsi" w:cs="Tahoma"/>
                <w:sz w:val="22"/>
                <w:szCs w:val="22"/>
              </w:rPr>
              <w:t>Constraining regulatory requirements</w:t>
            </w:r>
          </w:p>
          <w:p w:rsidR="00312E22" w:rsidRPr="0027083E" w:rsidRDefault="00312E22" w:rsidP="00312E22">
            <w:pPr>
              <w:rPr>
                <w:rFonts w:cs="Tahoma"/>
              </w:rPr>
            </w:pPr>
          </w:p>
          <w:p w:rsidR="00142063" w:rsidRPr="0027083E" w:rsidRDefault="00142063" w:rsidP="00142063">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sidRPr="0027083E">
              <w:rPr>
                <w:rFonts w:asciiTheme="minorHAnsi" w:eastAsia="MS Mincho" w:hAnsiTheme="minorHAnsi" w:cs="Tahoma"/>
                <w:color w:val="auto"/>
                <w:sz w:val="22"/>
                <w:szCs w:val="22"/>
              </w:rPr>
              <w:t>Deliberate policy position on co-operative banking</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sidRPr="0027083E">
              <w:rPr>
                <w:rFonts w:asciiTheme="minorHAnsi" w:eastAsia="MS Mincho" w:hAnsiTheme="minorHAnsi" w:cs="Tahoma"/>
                <w:color w:val="auto"/>
                <w:sz w:val="22"/>
                <w:szCs w:val="22"/>
              </w:rPr>
              <w:t>Development of a National Co-operative Banking Strategy</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sidRPr="0027083E">
              <w:rPr>
                <w:rFonts w:asciiTheme="minorHAnsi" w:eastAsia="MS Mincho" w:hAnsiTheme="minorHAnsi" w:cs="Tahoma"/>
                <w:color w:val="auto"/>
                <w:sz w:val="22"/>
                <w:szCs w:val="22"/>
              </w:rPr>
              <w:t>Review of the Regulatory &amp; Legislative Framework</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sidRPr="0027083E">
              <w:rPr>
                <w:rFonts w:asciiTheme="minorHAnsi" w:eastAsia="MS Mincho" w:hAnsiTheme="minorHAnsi" w:cs="Tahoma"/>
                <w:color w:val="auto"/>
                <w:sz w:val="22"/>
                <w:szCs w:val="22"/>
              </w:rPr>
              <w:t>Implementation of the deposit insurance fund</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sidRPr="0027083E">
              <w:rPr>
                <w:rFonts w:asciiTheme="minorHAnsi" w:eastAsia="MS Mincho" w:hAnsiTheme="minorHAnsi" w:cs="Tahoma"/>
                <w:color w:val="auto"/>
                <w:sz w:val="22"/>
                <w:szCs w:val="22"/>
              </w:rPr>
              <w:t>Review of the co-operative Banking Model</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sidRPr="0027083E">
              <w:rPr>
                <w:rFonts w:asciiTheme="minorHAnsi" w:eastAsia="MS Mincho" w:hAnsiTheme="minorHAnsi" w:cs="Tahoma"/>
                <w:color w:val="auto"/>
                <w:sz w:val="22"/>
                <w:szCs w:val="22"/>
              </w:rPr>
              <w:t>Adequate resourcing of the CBDA</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sidRPr="0027083E">
              <w:rPr>
                <w:rFonts w:asciiTheme="minorHAnsi" w:eastAsia="MS Mincho" w:hAnsiTheme="minorHAnsi" w:cs="Tahoma"/>
                <w:color w:val="auto"/>
                <w:sz w:val="22"/>
                <w:szCs w:val="22"/>
              </w:rPr>
              <w:t>Location of the CBDA</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sidRPr="0027083E">
              <w:rPr>
                <w:rFonts w:asciiTheme="minorHAnsi" w:eastAsia="MS Mincho" w:hAnsiTheme="minorHAnsi" w:cs="Tahoma"/>
                <w:color w:val="auto"/>
                <w:sz w:val="22"/>
                <w:szCs w:val="22"/>
              </w:rPr>
              <w:t>Review and close monitoring of the Financial Sector Charter</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sidRPr="0027083E">
              <w:rPr>
                <w:rFonts w:asciiTheme="minorHAnsi" w:eastAsia="MS Mincho" w:hAnsiTheme="minorHAnsi" w:cs="Tahoma"/>
                <w:color w:val="auto"/>
                <w:sz w:val="22"/>
                <w:szCs w:val="22"/>
              </w:rPr>
              <w:t>Establishment of a co-operative banking sector Industry body</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sidRPr="0027083E">
              <w:rPr>
                <w:rFonts w:asciiTheme="minorHAnsi" w:eastAsia="MS Mincho" w:hAnsiTheme="minorHAnsi" w:cs="Tahoma"/>
                <w:color w:val="auto"/>
                <w:sz w:val="22"/>
                <w:szCs w:val="22"/>
              </w:rPr>
              <w:t>Establishment of a Secondary Co-operative Bank</w:t>
            </w:r>
          </w:p>
          <w:p w:rsidR="00312E22" w:rsidRPr="0027083E" w:rsidRDefault="00312E22" w:rsidP="00936EE2">
            <w:pPr>
              <w:pStyle w:val="Default"/>
              <w:numPr>
                <w:ilvl w:val="0"/>
                <w:numId w:val="92"/>
              </w:numPr>
              <w:rPr>
                <w:rFonts w:asciiTheme="minorHAnsi" w:eastAsia="MS Mincho" w:hAnsiTheme="minorHAnsi" w:cs="Tahoma"/>
                <w:color w:val="auto"/>
                <w:sz w:val="22"/>
                <w:szCs w:val="22"/>
              </w:rPr>
            </w:pPr>
            <w:r w:rsidRPr="0027083E">
              <w:rPr>
                <w:rFonts w:asciiTheme="minorHAnsi" w:eastAsia="MS Mincho" w:hAnsiTheme="minorHAnsi" w:cs="Tahoma"/>
                <w:color w:val="auto"/>
                <w:sz w:val="22"/>
                <w:szCs w:val="22"/>
              </w:rPr>
              <w:lastRenderedPageBreak/>
              <w:t>CFI Infrastructure enhancement</w:t>
            </w:r>
          </w:p>
          <w:p w:rsidR="00312E22" w:rsidRPr="0027083E" w:rsidRDefault="00312E22" w:rsidP="00312E22">
            <w:pPr>
              <w:rPr>
                <w:rFonts w:cs="Tahoma"/>
                <w:b/>
                <w:color w:val="000000"/>
                <w:u w:val="single"/>
              </w:rPr>
            </w:pPr>
          </w:p>
        </w:tc>
      </w:tr>
      <w:tr w:rsidR="00312E22" w:rsidRPr="0027083E" w:rsidTr="0027083E">
        <w:tc>
          <w:tcPr>
            <w:tcW w:w="1219" w:type="pct"/>
          </w:tcPr>
          <w:p w:rsidR="00312E22" w:rsidRPr="0027083E" w:rsidRDefault="00312E22" w:rsidP="00312E22">
            <w:pPr>
              <w:contextualSpacing/>
              <w:rPr>
                <w:rFonts w:cs="Tahoma"/>
                <w:b/>
                <w:color w:val="000000"/>
              </w:rPr>
            </w:pPr>
            <w:r w:rsidRPr="0027083E">
              <w:rPr>
                <w:rFonts w:cs="Tahoma"/>
                <w:b/>
                <w:color w:val="000000"/>
              </w:rPr>
              <w:lastRenderedPageBreak/>
              <w:t>Limpopo Forum Secondary Financial Cooperative</w:t>
            </w:r>
          </w:p>
        </w:tc>
        <w:tc>
          <w:tcPr>
            <w:tcW w:w="3781" w:type="pct"/>
          </w:tcPr>
          <w:p w:rsidR="00312E22" w:rsidRPr="0027083E" w:rsidRDefault="00312E22" w:rsidP="00312E22">
            <w:pPr>
              <w:rPr>
                <w:rFonts w:cs="Tahoma"/>
                <w:b/>
                <w:color w:val="000000"/>
                <w:u w:val="single"/>
              </w:rPr>
            </w:pPr>
            <w:r w:rsidRPr="0027083E">
              <w:rPr>
                <w:rFonts w:cs="Tahoma"/>
                <w:b/>
                <w:color w:val="000000"/>
                <w:u w:val="single"/>
              </w:rPr>
              <w:t>Intro:</w:t>
            </w:r>
          </w:p>
          <w:p w:rsidR="00312E22" w:rsidRPr="0027083E" w:rsidRDefault="00312E22" w:rsidP="00312E22">
            <w:pPr>
              <w:rPr>
                <w:rFonts w:cs="Tahoma"/>
                <w:color w:val="000000"/>
              </w:rPr>
            </w:pPr>
            <w:r w:rsidRPr="0027083E">
              <w:rPr>
                <w:rFonts w:cs="Tahoma"/>
                <w:color w:val="000000"/>
              </w:rPr>
              <w:t>A South Africa that is hungry for richer black economic empowerment and industrial transformation should be brimming with Cooperative Banks or other financial institutions of that type.</w:t>
            </w:r>
          </w:p>
          <w:p w:rsidR="00312E22" w:rsidRPr="0027083E" w:rsidRDefault="00312E22" w:rsidP="00312E22">
            <w:pPr>
              <w:rPr>
                <w:rFonts w:cs="Tahoma"/>
                <w:b/>
                <w:color w:val="000000"/>
                <w:u w:val="single"/>
              </w:rPr>
            </w:pPr>
          </w:p>
          <w:p w:rsidR="00312E22" w:rsidRPr="0027083E" w:rsidRDefault="00312E22" w:rsidP="00312E22">
            <w:pPr>
              <w:rPr>
                <w:rFonts w:cs="Tahoma"/>
                <w:b/>
                <w:color w:val="000000"/>
                <w:u w:val="single"/>
              </w:rPr>
            </w:pPr>
            <w:r w:rsidRPr="0027083E">
              <w:rPr>
                <w:rFonts w:cs="Tahoma"/>
                <w:b/>
                <w:color w:val="000000"/>
                <w:u w:val="single"/>
              </w:rPr>
              <w:t>Overview:</w:t>
            </w:r>
          </w:p>
          <w:p w:rsidR="00312E22" w:rsidRPr="0027083E" w:rsidRDefault="00312E22" w:rsidP="00936EE2">
            <w:pPr>
              <w:pStyle w:val="ListParagraph"/>
              <w:numPr>
                <w:ilvl w:val="0"/>
                <w:numId w:val="42"/>
              </w:numPr>
              <w:rPr>
                <w:rFonts w:cs="Tahoma"/>
                <w:color w:val="000000"/>
              </w:rPr>
            </w:pPr>
            <w:r w:rsidRPr="0027083E">
              <w:rPr>
                <w:rFonts w:cs="Tahoma"/>
                <w:color w:val="000000"/>
              </w:rPr>
              <w:t>The Co-operative financial sector is currently regulated by Co-operative Bank Development Agency (CBDA).</w:t>
            </w:r>
          </w:p>
          <w:p w:rsidR="00312E22" w:rsidRPr="0027083E" w:rsidRDefault="00312E22" w:rsidP="00936EE2">
            <w:pPr>
              <w:pStyle w:val="ListParagraph"/>
              <w:numPr>
                <w:ilvl w:val="0"/>
                <w:numId w:val="42"/>
              </w:numPr>
              <w:rPr>
                <w:rFonts w:cs="Tahoma"/>
                <w:color w:val="000000"/>
              </w:rPr>
            </w:pPr>
            <w:r w:rsidRPr="0027083E">
              <w:rPr>
                <w:rFonts w:cs="Tahoma"/>
                <w:color w:val="000000"/>
              </w:rPr>
              <w:t>The CBDA provide supervisi</w:t>
            </w:r>
            <w:r>
              <w:rPr>
                <w:rFonts w:cs="Tahoma"/>
                <w:color w:val="000000"/>
              </w:rPr>
              <w:t>on and capacity building to CFI</w:t>
            </w:r>
            <w:r w:rsidRPr="0027083E">
              <w:rPr>
                <w:rFonts w:cs="Tahoma"/>
                <w:color w:val="000000"/>
              </w:rPr>
              <w:t>s.</w:t>
            </w:r>
          </w:p>
          <w:p w:rsidR="00312E22" w:rsidRPr="0027083E" w:rsidRDefault="00312E22" w:rsidP="00936EE2">
            <w:pPr>
              <w:pStyle w:val="ListParagraph"/>
              <w:numPr>
                <w:ilvl w:val="0"/>
                <w:numId w:val="42"/>
              </w:numPr>
              <w:rPr>
                <w:rFonts w:cs="Tahoma"/>
                <w:color w:val="000000"/>
              </w:rPr>
            </w:pPr>
            <w:r>
              <w:rPr>
                <w:rFonts w:cs="Tahoma"/>
                <w:color w:val="000000"/>
              </w:rPr>
              <w:t>South Africa currently has less than 200 CFI</w:t>
            </w:r>
            <w:r w:rsidRPr="0027083E">
              <w:rPr>
                <w:rFonts w:cs="Tahoma"/>
                <w:color w:val="000000"/>
              </w:rPr>
              <w:t>s and no more than five Cooperative Banks.</w:t>
            </w:r>
          </w:p>
          <w:p w:rsidR="00312E22" w:rsidRPr="0027083E" w:rsidRDefault="00312E22" w:rsidP="00312E22">
            <w:pPr>
              <w:rPr>
                <w:rFonts w:cs="Tahoma"/>
                <w:color w:val="000000"/>
              </w:rPr>
            </w:pPr>
          </w:p>
          <w:p w:rsidR="00312E22" w:rsidRPr="0027083E" w:rsidRDefault="00312E22" w:rsidP="00312E22">
            <w:pPr>
              <w:rPr>
                <w:b/>
                <w:u w:val="single"/>
              </w:rPr>
            </w:pPr>
            <w:r w:rsidRPr="0027083E">
              <w:rPr>
                <w:b/>
                <w:u w:val="single"/>
              </w:rPr>
              <w:t>Challenges/concerns raised:</w:t>
            </w:r>
          </w:p>
          <w:p w:rsidR="00312E22" w:rsidRPr="0027083E" w:rsidRDefault="00312E22" w:rsidP="00936EE2">
            <w:pPr>
              <w:pStyle w:val="ListParagraph"/>
              <w:numPr>
                <w:ilvl w:val="0"/>
                <w:numId w:val="43"/>
              </w:numPr>
              <w:rPr>
                <w:rFonts w:cs="Tahoma"/>
                <w:color w:val="000000"/>
              </w:rPr>
            </w:pPr>
            <w:r w:rsidRPr="0027083E">
              <w:rPr>
                <w:rFonts w:cs="Tahoma"/>
                <w:color w:val="000000"/>
              </w:rPr>
              <w:t>Dedicated Bank Bill is not enacted as yet and has been under discussion since 2004 - the main objective of the Bill is to improve access to basic banking services for low income and historically disadvantaged communities in the country by creating opportunities for companies such as retail outlets and cellular phone companies to expand banking services but no clear indication from National Treasury on when will the Bill be enacted.</w:t>
            </w:r>
          </w:p>
          <w:p w:rsidR="00312E22" w:rsidRPr="0027083E" w:rsidRDefault="00312E22" w:rsidP="00936EE2">
            <w:pPr>
              <w:pStyle w:val="ListParagraph"/>
              <w:numPr>
                <w:ilvl w:val="0"/>
                <w:numId w:val="43"/>
              </w:numPr>
              <w:rPr>
                <w:rFonts w:cs="Tahoma"/>
                <w:color w:val="000000"/>
              </w:rPr>
            </w:pPr>
            <w:r w:rsidRPr="0027083E">
              <w:rPr>
                <w:rFonts w:cs="Tahoma"/>
                <w:color w:val="000000"/>
              </w:rPr>
              <w:t>A study conducted by the FinMark Trust observed that “The introduction of formal regulation to the CFI sector in South Africa, and the creation of the CBDA, resulted in the number of registered CFIs decreasing significantly.</w:t>
            </w:r>
          </w:p>
          <w:p w:rsidR="00312E22" w:rsidRPr="0027083E" w:rsidRDefault="00312E22" w:rsidP="00936EE2">
            <w:pPr>
              <w:pStyle w:val="ListParagraph"/>
              <w:numPr>
                <w:ilvl w:val="0"/>
                <w:numId w:val="43"/>
              </w:numPr>
              <w:rPr>
                <w:rFonts w:cs="Tahoma"/>
                <w:color w:val="000000"/>
              </w:rPr>
            </w:pPr>
            <w:r w:rsidRPr="0027083E">
              <w:rPr>
                <w:rFonts w:cs="Tahoma"/>
                <w:color w:val="000000"/>
              </w:rPr>
              <w:t xml:space="preserve">The Ernst &amp; Young study cites as key reasons for the depressed recognition of cooperatives, insufficient advocacy and neglect by academics, and mainly economists who over-emphasise top down solutions. In South Africa cooperatives in general are seen as a preserve of rural communities and aged. </w:t>
            </w:r>
          </w:p>
          <w:p w:rsidR="00312E22" w:rsidRPr="0027083E" w:rsidRDefault="00312E22" w:rsidP="00936EE2">
            <w:pPr>
              <w:pStyle w:val="ListParagraph"/>
              <w:numPr>
                <w:ilvl w:val="0"/>
                <w:numId w:val="43"/>
              </w:numPr>
              <w:rPr>
                <w:rFonts w:cs="Tahoma"/>
                <w:color w:val="000000"/>
              </w:rPr>
            </w:pPr>
            <w:r w:rsidRPr="0027083E">
              <w:rPr>
                <w:rFonts w:cs="Tahoma"/>
                <w:color w:val="000000"/>
              </w:rPr>
              <w:t>Most of the CFI are not registered with the regulator because they don’t meet the registration requirements, while some are closed and some are deregistered because of the following reasons</w:t>
            </w:r>
          </w:p>
          <w:p w:rsidR="00312E22" w:rsidRPr="0027083E" w:rsidRDefault="00312E22" w:rsidP="00936EE2">
            <w:pPr>
              <w:pStyle w:val="ListParagraph"/>
              <w:numPr>
                <w:ilvl w:val="0"/>
                <w:numId w:val="43"/>
              </w:numPr>
              <w:rPr>
                <w:rFonts w:cs="Tahoma"/>
                <w:color w:val="000000"/>
              </w:rPr>
            </w:pPr>
            <w:r w:rsidRPr="0027083E">
              <w:rPr>
                <w:rFonts w:cs="Tahoma"/>
                <w:color w:val="000000"/>
              </w:rPr>
              <w:t>No fund</w:t>
            </w:r>
            <w:r>
              <w:rPr>
                <w:rFonts w:cs="Tahoma"/>
                <w:color w:val="000000"/>
              </w:rPr>
              <w:t>ing assistance available to CFI</w:t>
            </w:r>
            <w:r w:rsidRPr="0027083E">
              <w:rPr>
                <w:rFonts w:cs="Tahoma"/>
                <w:color w:val="000000"/>
              </w:rPr>
              <w:t>s thus they:</w:t>
            </w:r>
          </w:p>
          <w:p w:rsidR="00312E22" w:rsidRPr="0027083E" w:rsidRDefault="00312E22" w:rsidP="00936EE2">
            <w:pPr>
              <w:pStyle w:val="ListParagraph"/>
              <w:numPr>
                <w:ilvl w:val="1"/>
                <w:numId w:val="43"/>
              </w:numPr>
              <w:rPr>
                <w:rFonts w:cs="Tahoma"/>
                <w:color w:val="000000"/>
              </w:rPr>
            </w:pPr>
            <w:r w:rsidRPr="0027083E">
              <w:rPr>
                <w:rFonts w:cs="Tahoma"/>
                <w:color w:val="000000"/>
              </w:rPr>
              <w:t>Lack proper operating funds</w:t>
            </w:r>
          </w:p>
          <w:p w:rsidR="00312E22" w:rsidRPr="0027083E" w:rsidRDefault="00312E22" w:rsidP="00936EE2">
            <w:pPr>
              <w:pStyle w:val="ListParagraph"/>
              <w:numPr>
                <w:ilvl w:val="1"/>
                <w:numId w:val="43"/>
              </w:numPr>
              <w:rPr>
                <w:rFonts w:cs="Tahoma"/>
                <w:color w:val="000000"/>
              </w:rPr>
            </w:pPr>
            <w:r w:rsidRPr="0027083E">
              <w:rPr>
                <w:rFonts w:cs="Tahoma"/>
                <w:color w:val="000000"/>
              </w:rPr>
              <w:t>Lack proper operating facilities</w:t>
            </w:r>
          </w:p>
          <w:p w:rsidR="00312E22" w:rsidRPr="0027083E" w:rsidRDefault="00312E22" w:rsidP="00936EE2">
            <w:pPr>
              <w:pStyle w:val="ListParagraph"/>
              <w:numPr>
                <w:ilvl w:val="1"/>
                <w:numId w:val="43"/>
              </w:numPr>
              <w:rPr>
                <w:rFonts w:cs="Tahoma"/>
                <w:color w:val="000000"/>
              </w:rPr>
            </w:pPr>
            <w:r w:rsidRPr="0027083E">
              <w:rPr>
                <w:rFonts w:cs="Tahoma"/>
                <w:color w:val="000000"/>
              </w:rPr>
              <w:t>Lack funds to disburse loans</w:t>
            </w:r>
          </w:p>
          <w:p w:rsidR="00312E22" w:rsidRPr="0027083E" w:rsidRDefault="00312E22" w:rsidP="00936EE2">
            <w:pPr>
              <w:pStyle w:val="ListParagraph"/>
              <w:numPr>
                <w:ilvl w:val="1"/>
                <w:numId w:val="43"/>
              </w:numPr>
              <w:rPr>
                <w:rFonts w:cs="Tahoma"/>
                <w:color w:val="000000"/>
              </w:rPr>
            </w:pPr>
            <w:r w:rsidRPr="0027083E">
              <w:rPr>
                <w:rFonts w:cs="Tahoma"/>
                <w:color w:val="000000"/>
              </w:rPr>
              <w:t xml:space="preserve">Lack of marketing material </w:t>
            </w:r>
          </w:p>
          <w:p w:rsidR="00312E22" w:rsidRPr="0027083E" w:rsidRDefault="00312E22" w:rsidP="00936EE2">
            <w:pPr>
              <w:pStyle w:val="ListParagraph"/>
              <w:numPr>
                <w:ilvl w:val="0"/>
                <w:numId w:val="43"/>
              </w:numPr>
              <w:rPr>
                <w:rFonts w:cs="Tahoma"/>
                <w:color w:val="000000"/>
              </w:rPr>
            </w:pPr>
            <w:r w:rsidRPr="0027083E">
              <w:rPr>
                <w:rFonts w:cs="Tahoma"/>
                <w:color w:val="000000"/>
              </w:rPr>
              <w:lastRenderedPageBreak/>
              <w:t xml:space="preserve">Communities have no knowledge of the co-operative banking sector. </w:t>
            </w:r>
          </w:p>
          <w:p w:rsidR="00312E22" w:rsidRPr="0027083E" w:rsidRDefault="00312E22" w:rsidP="00936EE2">
            <w:pPr>
              <w:pStyle w:val="ListParagraph"/>
              <w:numPr>
                <w:ilvl w:val="0"/>
                <w:numId w:val="43"/>
              </w:numPr>
              <w:rPr>
                <w:rFonts w:cs="Tahoma"/>
                <w:color w:val="000000"/>
              </w:rPr>
            </w:pPr>
            <w:r w:rsidRPr="0027083E">
              <w:rPr>
                <w:rFonts w:cs="Tahoma"/>
                <w:color w:val="000000"/>
              </w:rPr>
              <w:t>Lack of capacity building support</w:t>
            </w:r>
          </w:p>
          <w:p w:rsidR="00312E22" w:rsidRPr="0027083E" w:rsidRDefault="00312E22" w:rsidP="00312E22">
            <w:pPr>
              <w:rPr>
                <w:rFonts w:cs="Tahoma"/>
                <w:color w:val="000000"/>
              </w:rPr>
            </w:pPr>
          </w:p>
          <w:p w:rsidR="00142063" w:rsidRPr="0027083E" w:rsidRDefault="00142063" w:rsidP="00142063">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312E22" w:rsidRPr="0027083E" w:rsidRDefault="00312E22" w:rsidP="00936EE2">
            <w:pPr>
              <w:pStyle w:val="ListParagraph"/>
              <w:numPr>
                <w:ilvl w:val="0"/>
                <w:numId w:val="44"/>
              </w:numPr>
              <w:rPr>
                <w:rFonts w:cs="Tahoma"/>
                <w:color w:val="000000"/>
              </w:rPr>
            </w:pPr>
            <w:r w:rsidRPr="0027083E">
              <w:rPr>
                <w:rFonts w:cs="Tahoma"/>
                <w:color w:val="000000"/>
              </w:rPr>
              <w:t>The Government should come up with the ideas of strengthening the CFI’s as the CFI’s are serving the South African society to address the socio-economic challenges of poverty and unemployment.</w:t>
            </w:r>
          </w:p>
          <w:p w:rsidR="00312E22" w:rsidRPr="0027083E" w:rsidRDefault="00312E22" w:rsidP="00936EE2">
            <w:pPr>
              <w:pStyle w:val="ListParagraph"/>
              <w:numPr>
                <w:ilvl w:val="0"/>
                <w:numId w:val="44"/>
              </w:numPr>
              <w:rPr>
                <w:rFonts w:cs="Tahoma"/>
                <w:color w:val="000000"/>
              </w:rPr>
            </w:pPr>
            <w:r w:rsidRPr="0027083E">
              <w:rPr>
                <w:rFonts w:cs="Tahoma"/>
                <w:color w:val="000000"/>
              </w:rPr>
              <w:t>Provide at least once off grant of R150K and loan fund of R250K PER STRUGGLING CFI’S</w:t>
            </w:r>
          </w:p>
          <w:p w:rsidR="00312E22" w:rsidRPr="0027083E" w:rsidRDefault="00312E22" w:rsidP="00936EE2">
            <w:pPr>
              <w:pStyle w:val="ListParagraph"/>
              <w:numPr>
                <w:ilvl w:val="0"/>
                <w:numId w:val="44"/>
              </w:numPr>
              <w:rPr>
                <w:rFonts w:cs="Tahoma"/>
                <w:color w:val="000000"/>
              </w:rPr>
            </w:pPr>
            <w:r w:rsidRPr="0027083E">
              <w:rPr>
                <w:rFonts w:cs="Tahoma"/>
                <w:color w:val="000000"/>
              </w:rPr>
              <w:t>The Government shoul</w:t>
            </w:r>
            <w:r>
              <w:rPr>
                <w:rFonts w:cs="Tahoma"/>
                <w:color w:val="000000"/>
              </w:rPr>
              <w:t>d encourage and  facilitate CFI</w:t>
            </w:r>
            <w:r w:rsidRPr="0027083E">
              <w:rPr>
                <w:rFonts w:cs="Tahoma"/>
                <w:color w:val="000000"/>
              </w:rPr>
              <w:t>s to meet and form secondary co-operatives at the provincial level ,so that the provincial secondary’s can meet at national level to form tertiary Co-operative bank as the sector currently does not have a convincing structure to can help each other nationally</w:t>
            </w:r>
          </w:p>
          <w:p w:rsidR="00312E22" w:rsidRPr="0027083E" w:rsidRDefault="00312E22" w:rsidP="00936EE2">
            <w:pPr>
              <w:pStyle w:val="ListParagraph"/>
              <w:numPr>
                <w:ilvl w:val="0"/>
                <w:numId w:val="44"/>
              </w:numPr>
              <w:rPr>
                <w:rFonts w:cs="Tahoma"/>
                <w:color w:val="000000"/>
              </w:rPr>
            </w:pPr>
            <w:r w:rsidRPr="0027083E">
              <w:rPr>
                <w:rFonts w:cs="Tahoma"/>
                <w:color w:val="000000"/>
              </w:rPr>
              <w:t>Government sh</w:t>
            </w:r>
            <w:r>
              <w:rPr>
                <w:rFonts w:cs="Tahoma"/>
                <w:color w:val="000000"/>
              </w:rPr>
              <w:t xml:space="preserve">ould give to CFIs </w:t>
            </w:r>
            <w:r w:rsidRPr="0027083E">
              <w:rPr>
                <w:rFonts w:cs="Tahoma"/>
                <w:color w:val="000000"/>
              </w:rPr>
              <w:t>the SASSA grant payment system and these will have a great impact o</w:t>
            </w:r>
            <w:r>
              <w:rPr>
                <w:rFonts w:cs="Tahoma"/>
                <w:color w:val="000000"/>
              </w:rPr>
              <w:t>n the income centres of the CFI</w:t>
            </w:r>
            <w:r w:rsidRPr="0027083E">
              <w:rPr>
                <w:rFonts w:cs="Tahoma"/>
                <w:color w:val="000000"/>
              </w:rPr>
              <w:t>s</w:t>
            </w:r>
          </w:p>
          <w:p w:rsidR="00312E22" w:rsidRPr="0027083E" w:rsidRDefault="00312E22" w:rsidP="00312E22">
            <w:pPr>
              <w:rPr>
                <w:rFonts w:cs="Tahoma"/>
                <w:color w:val="000000"/>
              </w:rPr>
            </w:pPr>
          </w:p>
        </w:tc>
      </w:tr>
      <w:tr w:rsidR="00312E22" w:rsidRPr="0027083E" w:rsidTr="0027083E">
        <w:tc>
          <w:tcPr>
            <w:tcW w:w="1219" w:type="pct"/>
          </w:tcPr>
          <w:p w:rsidR="00312E22" w:rsidRPr="0027083E" w:rsidRDefault="00312E22" w:rsidP="00312E22">
            <w:pPr>
              <w:rPr>
                <w:rFonts w:cs="Tahoma"/>
                <w:b/>
              </w:rPr>
            </w:pPr>
            <w:r w:rsidRPr="0027083E">
              <w:rPr>
                <w:rFonts w:cs="Tahoma"/>
                <w:b/>
              </w:rPr>
              <w:lastRenderedPageBreak/>
              <w:t>National Apex Cooperative of SA</w:t>
            </w:r>
          </w:p>
        </w:tc>
        <w:tc>
          <w:tcPr>
            <w:tcW w:w="3781" w:type="pct"/>
          </w:tcPr>
          <w:p w:rsidR="00312E22" w:rsidRPr="0027083E" w:rsidRDefault="00312E22" w:rsidP="00312E22">
            <w:pPr>
              <w:rPr>
                <w:rFonts w:cs="Tahoma"/>
                <w:b/>
                <w:u w:val="single"/>
              </w:rPr>
            </w:pPr>
            <w:r w:rsidRPr="0027083E">
              <w:rPr>
                <w:rFonts w:cs="Tahoma"/>
                <w:b/>
                <w:u w:val="single"/>
              </w:rPr>
              <w:t>Intro:</w:t>
            </w:r>
          </w:p>
          <w:p w:rsidR="00312E22" w:rsidRPr="0027083E" w:rsidRDefault="00312E22" w:rsidP="00312E22">
            <w:pPr>
              <w:rPr>
                <w:rFonts w:cs="Tahoma"/>
              </w:rPr>
            </w:pPr>
            <w:r w:rsidRPr="0027083E">
              <w:rPr>
                <w:rFonts w:cs="Tahoma"/>
              </w:rPr>
              <w:t>NACSA unites, represents and capacitates cooperatives by harnessing knowledge and technology for radical socio-economic transformation and sustainable development.</w:t>
            </w:r>
          </w:p>
          <w:p w:rsidR="00312E22" w:rsidRPr="0027083E" w:rsidRDefault="00312E22" w:rsidP="00312E22">
            <w:pPr>
              <w:rPr>
                <w:rFonts w:cs="Tahoma"/>
              </w:rPr>
            </w:pPr>
          </w:p>
          <w:p w:rsidR="00312E22" w:rsidRPr="0027083E" w:rsidRDefault="00312E22" w:rsidP="00312E22">
            <w:pPr>
              <w:rPr>
                <w:rFonts w:cs="Tahoma"/>
                <w:b/>
                <w:u w:val="single"/>
              </w:rPr>
            </w:pPr>
            <w:r w:rsidRPr="0027083E">
              <w:rPr>
                <w:rFonts w:cs="Tahoma"/>
                <w:b/>
                <w:u w:val="single"/>
              </w:rPr>
              <w:t>Overview:</w:t>
            </w:r>
          </w:p>
          <w:p w:rsidR="00312E22" w:rsidRPr="0027083E" w:rsidRDefault="00312E22" w:rsidP="00936EE2">
            <w:pPr>
              <w:pStyle w:val="ListParagraph"/>
              <w:numPr>
                <w:ilvl w:val="0"/>
                <w:numId w:val="78"/>
              </w:numPr>
              <w:rPr>
                <w:rFonts w:cs="Tahoma"/>
              </w:rPr>
            </w:pPr>
            <w:r w:rsidRPr="0027083E">
              <w:rPr>
                <w:rFonts w:cs="Tahoma"/>
              </w:rPr>
              <w:t>The Co-op Act 2005 as amended by 2013 indicates that there are three levels of co-operatives</w:t>
            </w:r>
          </w:p>
          <w:p w:rsidR="00312E22" w:rsidRPr="0027083E" w:rsidRDefault="00312E22" w:rsidP="00936EE2">
            <w:pPr>
              <w:pStyle w:val="ListParagraph"/>
              <w:numPr>
                <w:ilvl w:val="0"/>
                <w:numId w:val="81"/>
              </w:numPr>
              <w:rPr>
                <w:rFonts w:cs="Tahoma"/>
              </w:rPr>
            </w:pPr>
            <w:r w:rsidRPr="0027083E">
              <w:rPr>
                <w:rFonts w:cs="Tahoma"/>
              </w:rPr>
              <w:t>Primary co-operatives</w:t>
            </w:r>
          </w:p>
          <w:p w:rsidR="00312E22" w:rsidRPr="0027083E" w:rsidRDefault="00312E22" w:rsidP="00936EE2">
            <w:pPr>
              <w:pStyle w:val="ListParagraph"/>
              <w:numPr>
                <w:ilvl w:val="0"/>
                <w:numId w:val="81"/>
              </w:numPr>
              <w:rPr>
                <w:rFonts w:cs="Tahoma"/>
              </w:rPr>
            </w:pPr>
            <w:r w:rsidRPr="0027083E">
              <w:rPr>
                <w:rFonts w:cs="Tahoma"/>
              </w:rPr>
              <w:t>Secondary co-operatives and</w:t>
            </w:r>
          </w:p>
          <w:p w:rsidR="00312E22" w:rsidRPr="0027083E" w:rsidRDefault="00312E22" w:rsidP="00936EE2">
            <w:pPr>
              <w:pStyle w:val="ListParagraph"/>
              <w:numPr>
                <w:ilvl w:val="0"/>
                <w:numId w:val="81"/>
              </w:numPr>
              <w:rPr>
                <w:rFonts w:cs="Tahoma"/>
              </w:rPr>
            </w:pPr>
            <w:r w:rsidRPr="0027083E">
              <w:rPr>
                <w:rFonts w:cs="Tahoma"/>
              </w:rPr>
              <w:t>Tertiary co-operatives</w:t>
            </w:r>
          </w:p>
          <w:p w:rsidR="00312E22" w:rsidRPr="0027083E" w:rsidRDefault="00312E22" w:rsidP="00936EE2">
            <w:pPr>
              <w:pStyle w:val="ListParagraph"/>
              <w:numPr>
                <w:ilvl w:val="0"/>
                <w:numId w:val="79"/>
              </w:numPr>
              <w:ind w:left="722"/>
              <w:rPr>
                <w:rFonts w:cs="Tahoma"/>
              </w:rPr>
            </w:pPr>
            <w:r w:rsidRPr="0027083E">
              <w:rPr>
                <w:rFonts w:cs="Tahoma"/>
              </w:rPr>
              <w:t>Co-operative Sectors:</w:t>
            </w:r>
          </w:p>
          <w:p w:rsidR="00312E22" w:rsidRPr="0027083E" w:rsidRDefault="00312E22" w:rsidP="00936EE2">
            <w:pPr>
              <w:pStyle w:val="ListParagraph"/>
              <w:numPr>
                <w:ilvl w:val="0"/>
                <w:numId w:val="80"/>
              </w:numPr>
              <w:ind w:left="1082"/>
              <w:rPr>
                <w:rFonts w:cs="Tahoma"/>
              </w:rPr>
            </w:pPr>
            <w:r w:rsidRPr="0027083E">
              <w:rPr>
                <w:rFonts w:cs="Tahoma"/>
              </w:rPr>
              <w:t>Financial Co-operatives (Co-op Banks)</w:t>
            </w:r>
          </w:p>
          <w:p w:rsidR="00312E22" w:rsidRPr="0027083E" w:rsidRDefault="00312E22" w:rsidP="00936EE2">
            <w:pPr>
              <w:pStyle w:val="ListParagraph"/>
              <w:numPr>
                <w:ilvl w:val="0"/>
                <w:numId w:val="80"/>
              </w:numPr>
              <w:ind w:left="1082"/>
              <w:rPr>
                <w:rFonts w:cs="Tahoma"/>
              </w:rPr>
            </w:pPr>
            <w:r w:rsidRPr="0027083E">
              <w:rPr>
                <w:rFonts w:cs="Tahoma"/>
              </w:rPr>
              <w:t>Agricultural Co-operatives</w:t>
            </w:r>
          </w:p>
          <w:p w:rsidR="00312E22" w:rsidRPr="0027083E" w:rsidRDefault="00312E22" w:rsidP="00936EE2">
            <w:pPr>
              <w:pStyle w:val="ListParagraph"/>
              <w:numPr>
                <w:ilvl w:val="0"/>
                <w:numId w:val="80"/>
              </w:numPr>
              <w:ind w:left="1082"/>
              <w:rPr>
                <w:rFonts w:cs="Tahoma"/>
              </w:rPr>
            </w:pPr>
            <w:r w:rsidRPr="0027083E">
              <w:rPr>
                <w:rFonts w:cs="Tahoma"/>
              </w:rPr>
              <w:t>Consumer Co-operatives</w:t>
            </w:r>
          </w:p>
          <w:p w:rsidR="00312E22" w:rsidRPr="0027083E" w:rsidRDefault="00312E22" w:rsidP="00936EE2">
            <w:pPr>
              <w:pStyle w:val="ListParagraph"/>
              <w:numPr>
                <w:ilvl w:val="0"/>
                <w:numId w:val="80"/>
              </w:numPr>
              <w:ind w:left="1082"/>
              <w:rPr>
                <w:rFonts w:cs="Tahoma"/>
              </w:rPr>
            </w:pPr>
            <w:r w:rsidRPr="0027083E">
              <w:rPr>
                <w:rFonts w:cs="Tahoma"/>
              </w:rPr>
              <w:t>Housing Co-operatives</w:t>
            </w:r>
          </w:p>
          <w:p w:rsidR="00312E22" w:rsidRPr="0027083E" w:rsidRDefault="00312E22" w:rsidP="00936EE2">
            <w:pPr>
              <w:pStyle w:val="ListParagraph"/>
              <w:numPr>
                <w:ilvl w:val="0"/>
                <w:numId w:val="80"/>
              </w:numPr>
              <w:ind w:left="1082"/>
              <w:rPr>
                <w:rFonts w:cs="Tahoma"/>
              </w:rPr>
            </w:pPr>
            <w:r w:rsidRPr="0027083E">
              <w:rPr>
                <w:rFonts w:cs="Tahoma"/>
              </w:rPr>
              <w:t>Services Co-operatives (Transport etc.)</w:t>
            </w:r>
          </w:p>
          <w:p w:rsidR="00312E22" w:rsidRPr="0027083E" w:rsidRDefault="00312E22" w:rsidP="00936EE2">
            <w:pPr>
              <w:pStyle w:val="ListParagraph"/>
              <w:numPr>
                <w:ilvl w:val="0"/>
                <w:numId w:val="80"/>
              </w:numPr>
              <w:ind w:left="1082"/>
              <w:rPr>
                <w:rFonts w:cs="Tahoma"/>
              </w:rPr>
            </w:pPr>
            <w:r w:rsidRPr="0027083E">
              <w:rPr>
                <w:rFonts w:cs="Tahoma"/>
              </w:rPr>
              <w:t>Arts &amp; Crafts Co-operatives</w:t>
            </w:r>
          </w:p>
          <w:p w:rsidR="00312E22" w:rsidRPr="0027083E" w:rsidRDefault="00312E22" w:rsidP="00936EE2">
            <w:pPr>
              <w:pStyle w:val="ListParagraph"/>
              <w:numPr>
                <w:ilvl w:val="0"/>
                <w:numId w:val="80"/>
              </w:numPr>
              <w:ind w:left="1082"/>
              <w:rPr>
                <w:rFonts w:cs="Tahoma"/>
              </w:rPr>
            </w:pPr>
            <w:r w:rsidRPr="0027083E">
              <w:rPr>
                <w:rFonts w:cs="Tahoma"/>
              </w:rPr>
              <w:t>Marketing Co-operatives</w:t>
            </w:r>
          </w:p>
          <w:p w:rsidR="00312E22" w:rsidRPr="0027083E" w:rsidRDefault="00312E22" w:rsidP="00312E22">
            <w:pPr>
              <w:rPr>
                <w:rFonts w:cs="Tahoma"/>
              </w:rPr>
            </w:pPr>
          </w:p>
          <w:p w:rsidR="00142063" w:rsidRPr="0027083E" w:rsidRDefault="00142063" w:rsidP="00142063">
            <w:pPr>
              <w:rPr>
                <w:rFonts w:cs="Tahoma"/>
                <w:b/>
                <w:u w:val="single"/>
              </w:rPr>
            </w:pPr>
            <w:r w:rsidRPr="0027083E">
              <w:rPr>
                <w:rFonts w:cs="Tahoma"/>
                <w:b/>
                <w:u w:val="single"/>
              </w:rPr>
              <w:lastRenderedPageBreak/>
              <w:t>Recommendations</w:t>
            </w:r>
            <w:r>
              <w:rPr>
                <w:rFonts w:cs="Tahoma"/>
                <w:b/>
                <w:u w:val="single"/>
              </w:rPr>
              <w:t xml:space="preserve"> contained in submission</w:t>
            </w:r>
            <w:r w:rsidRPr="0027083E">
              <w:rPr>
                <w:rFonts w:cs="Tahoma"/>
                <w:b/>
                <w:u w:val="single"/>
              </w:rPr>
              <w:t>:</w:t>
            </w:r>
          </w:p>
          <w:p w:rsidR="00312E22" w:rsidRPr="0027083E" w:rsidRDefault="00312E22" w:rsidP="00936EE2">
            <w:pPr>
              <w:pStyle w:val="ListParagraph"/>
              <w:numPr>
                <w:ilvl w:val="0"/>
                <w:numId w:val="79"/>
              </w:numPr>
              <w:ind w:left="632" w:hanging="630"/>
              <w:rPr>
                <w:rFonts w:cs="Tahoma"/>
              </w:rPr>
            </w:pPr>
            <w:r w:rsidRPr="0027083E">
              <w:rPr>
                <w:rFonts w:cs="Tahoma"/>
              </w:rPr>
              <w:t>Develop a national Co-operative Bank with the following functions:</w:t>
            </w:r>
          </w:p>
          <w:p w:rsidR="00312E22" w:rsidRPr="0027083E" w:rsidRDefault="00312E22" w:rsidP="00936EE2">
            <w:pPr>
              <w:pStyle w:val="ListParagraph"/>
              <w:numPr>
                <w:ilvl w:val="0"/>
                <w:numId w:val="82"/>
              </w:numPr>
              <w:rPr>
                <w:rFonts w:cs="Tahoma"/>
              </w:rPr>
            </w:pPr>
            <w:r w:rsidRPr="0027083E">
              <w:rPr>
                <w:rFonts w:cs="Tahoma"/>
              </w:rPr>
              <w:t>Serve as reserve bank of Co-operatives in South Africa</w:t>
            </w:r>
          </w:p>
          <w:p w:rsidR="00312E22" w:rsidRPr="0027083E" w:rsidRDefault="00312E22" w:rsidP="00936EE2">
            <w:pPr>
              <w:pStyle w:val="ListParagraph"/>
              <w:numPr>
                <w:ilvl w:val="0"/>
                <w:numId w:val="82"/>
              </w:numPr>
              <w:rPr>
                <w:rFonts w:cs="Tahoma"/>
              </w:rPr>
            </w:pPr>
            <w:r w:rsidRPr="0027083E">
              <w:rPr>
                <w:rFonts w:cs="Tahoma"/>
              </w:rPr>
              <w:t>Wholesale productive loans</w:t>
            </w:r>
          </w:p>
          <w:p w:rsidR="00312E22" w:rsidRPr="0027083E" w:rsidRDefault="00312E22" w:rsidP="00936EE2">
            <w:pPr>
              <w:pStyle w:val="ListParagraph"/>
              <w:numPr>
                <w:ilvl w:val="0"/>
                <w:numId w:val="82"/>
              </w:numPr>
              <w:rPr>
                <w:rFonts w:cs="Tahoma"/>
              </w:rPr>
            </w:pPr>
            <w:r w:rsidRPr="0027083E">
              <w:rPr>
                <w:rFonts w:cs="Tahoma"/>
              </w:rPr>
              <w:t>Large investment loans</w:t>
            </w:r>
          </w:p>
          <w:p w:rsidR="00312E22" w:rsidRPr="0027083E" w:rsidRDefault="00312E22" w:rsidP="00936EE2">
            <w:pPr>
              <w:pStyle w:val="ListParagraph"/>
              <w:numPr>
                <w:ilvl w:val="0"/>
                <w:numId w:val="82"/>
              </w:numPr>
              <w:rPr>
                <w:rFonts w:cs="Tahoma"/>
              </w:rPr>
            </w:pPr>
            <w:r w:rsidRPr="0027083E">
              <w:rPr>
                <w:rFonts w:cs="Tahoma"/>
              </w:rPr>
              <w:t>Development funding loans</w:t>
            </w:r>
          </w:p>
          <w:p w:rsidR="00312E22" w:rsidRPr="0027083E" w:rsidRDefault="00312E22" w:rsidP="00936EE2">
            <w:pPr>
              <w:pStyle w:val="ListParagraph"/>
              <w:numPr>
                <w:ilvl w:val="0"/>
                <w:numId w:val="82"/>
              </w:numPr>
              <w:rPr>
                <w:rFonts w:cs="Tahoma"/>
              </w:rPr>
            </w:pPr>
            <w:r w:rsidRPr="0027083E">
              <w:rPr>
                <w:rFonts w:cs="Tahoma"/>
              </w:rPr>
              <w:t>Assets acquisition finance</w:t>
            </w:r>
          </w:p>
          <w:p w:rsidR="00312E22" w:rsidRPr="0027083E" w:rsidRDefault="00312E22" w:rsidP="00936EE2">
            <w:pPr>
              <w:pStyle w:val="ListParagraph"/>
              <w:numPr>
                <w:ilvl w:val="0"/>
                <w:numId w:val="82"/>
              </w:numPr>
              <w:rPr>
                <w:rFonts w:cs="Tahoma"/>
              </w:rPr>
            </w:pPr>
            <w:r w:rsidRPr="0027083E">
              <w:rPr>
                <w:rFonts w:cs="Tahoma"/>
              </w:rPr>
              <w:t>Co-operative business restructuring finance</w:t>
            </w:r>
          </w:p>
          <w:p w:rsidR="00312E22" w:rsidRPr="0027083E" w:rsidRDefault="00312E22" w:rsidP="00936EE2">
            <w:pPr>
              <w:pStyle w:val="ListParagraph"/>
              <w:numPr>
                <w:ilvl w:val="0"/>
                <w:numId w:val="82"/>
              </w:numPr>
              <w:rPr>
                <w:rFonts w:cs="Tahoma"/>
              </w:rPr>
            </w:pPr>
            <w:r w:rsidRPr="0027083E">
              <w:rPr>
                <w:rFonts w:cs="Tahoma"/>
              </w:rPr>
              <w:t>Bailout and mergers finance</w:t>
            </w:r>
          </w:p>
          <w:p w:rsidR="00312E22" w:rsidRPr="0027083E" w:rsidRDefault="00312E22" w:rsidP="00936EE2">
            <w:pPr>
              <w:pStyle w:val="ListParagraph"/>
              <w:numPr>
                <w:ilvl w:val="0"/>
                <w:numId w:val="82"/>
              </w:numPr>
              <w:rPr>
                <w:rFonts w:cs="Tahoma"/>
              </w:rPr>
            </w:pPr>
            <w:r w:rsidRPr="0027083E">
              <w:rPr>
                <w:rFonts w:cs="Tahoma"/>
              </w:rPr>
              <w:t>Co-operatives and SMEs bridging finance</w:t>
            </w:r>
          </w:p>
          <w:p w:rsidR="00312E22" w:rsidRPr="0027083E" w:rsidRDefault="00312E22" w:rsidP="00936EE2">
            <w:pPr>
              <w:pStyle w:val="ListParagraph"/>
              <w:numPr>
                <w:ilvl w:val="0"/>
                <w:numId w:val="82"/>
              </w:numPr>
              <w:rPr>
                <w:rFonts w:cs="Tahoma"/>
              </w:rPr>
            </w:pPr>
            <w:r w:rsidRPr="0027083E">
              <w:rPr>
                <w:rFonts w:cs="Tahoma"/>
              </w:rPr>
              <w:t>Credit and deposit insurance</w:t>
            </w:r>
          </w:p>
          <w:p w:rsidR="00312E22" w:rsidRPr="0027083E" w:rsidRDefault="00312E22" w:rsidP="00936EE2">
            <w:pPr>
              <w:pStyle w:val="ListParagraph"/>
              <w:numPr>
                <w:ilvl w:val="0"/>
                <w:numId w:val="82"/>
              </w:numPr>
              <w:rPr>
                <w:rFonts w:cs="Tahoma"/>
              </w:rPr>
            </w:pPr>
            <w:r w:rsidRPr="0027083E">
              <w:rPr>
                <w:rFonts w:cs="Tahoma"/>
              </w:rPr>
              <w:t>Insurance (including health) and assurance products</w:t>
            </w:r>
          </w:p>
          <w:p w:rsidR="00312E22" w:rsidRPr="0027083E" w:rsidRDefault="00312E22" w:rsidP="00936EE2">
            <w:pPr>
              <w:pStyle w:val="ListParagraph"/>
              <w:numPr>
                <w:ilvl w:val="0"/>
                <w:numId w:val="82"/>
              </w:numPr>
              <w:rPr>
                <w:rFonts w:cs="Tahoma"/>
              </w:rPr>
            </w:pPr>
            <w:r w:rsidRPr="0027083E">
              <w:rPr>
                <w:rFonts w:cs="Tahoma"/>
              </w:rPr>
              <w:t>Mobile payments and ecommerce administration</w:t>
            </w:r>
          </w:p>
          <w:p w:rsidR="00312E22" w:rsidRPr="0027083E" w:rsidRDefault="00312E22" w:rsidP="00936EE2">
            <w:pPr>
              <w:pStyle w:val="ListParagraph"/>
              <w:numPr>
                <w:ilvl w:val="0"/>
                <w:numId w:val="79"/>
              </w:numPr>
              <w:ind w:left="632" w:hanging="630"/>
              <w:rPr>
                <w:rFonts w:cs="Tahoma"/>
              </w:rPr>
            </w:pPr>
            <w:r w:rsidRPr="0027083E">
              <w:rPr>
                <w:rFonts w:cs="Tahoma"/>
              </w:rPr>
              <w:t>The establishment of a Deposit Guarantee Fund</w:t>
            </w:r>
          </w:p>
          <w:p w:rsidR="00312E22" w:rsidRPr="0027083E" w:rsidRDefault="00312E22" w:rsidP="00936EE2">
            <w:pPr>
              <w:pStyle w:val="ListParagraph"/>
              <w:numPr>
                <w:ilvl w:val="0"/>
                <w:numId w:val="79"/>
              </w:numPr>
              <w:ind w:left="632" w:hanging="630"/>
              <w:rPr>
                <w:rFonts w:cs="Tahoma"/>
              </w:rPr>
            </w:pPr>
            <w:r w:rsidRPr="0027083E">
              <w:rPr>
                <w:rFonts w:cs="Tahoma"/>
              </w:rPr>
              <w:t>The establishment of a Solidarity Fund</w:t>
            </w:r>
          </w:p>
          <w:p w:rsidR="00312E22" w:rsidRPr="0027083E" w:rsidRDefault="00312E22" w:rsidP="00936EE2">
            <w:pPr>
              <w:pStyle w:val="ListParagraph"/>
              <w:numPr>
                <w:ilvl w:val="0"/>
                <w:numId w:val="79"/>
              </w:numPr>
              <w:ind w:left="632" w:hanging="630"/>
              <w:rPr>
                <w:rFonts w:cs="Tahoma"/>
              </w:rPr>
            </w:pPr>
            <w:r w:rsidRPr="0027083E">
              <w:rPr>
                <w:rFonts w:cs="Tahoma"/>
              </w:rPr>
              <w:t>The establishment of an Audit Fund</w:t>
            </w:r>
          </w:p>
          <w:p w:rsidR="00312E22" w:rsidRPr="0027083E" w:rsidRDefault="00312E22" w:rsidP="00936EE2">
            <w:pPr>
              <w:pStyle w:val="ListParagraph"/>
              <w:numPr>
                <w:ilvl w:val="0"/>
                <w:numId w:val="79"/>
              </w:numPr>
              <w:ind w:left="632" w:hanging="630"/>
              <w:rPr>
                <w:rFonts w:cs="Tahoma"/>
              </w:rPr>
            </w:pPr>
            <w:r w:rsidRPr="0027083E">
              <w:rPr>
                <w:rFonts w:cs="Tahoma"/>
              </w:rPr>
              <w:t>Move the CBDA to DSBD</w:t>
            </w:r>
          </w:p>
          <w:p w:rsidR="00312E22" w:rsidRPr="0027083E" w:rsidRDefault="00312E22" w:rsidP="00312E22">
            <w:pPr>
              <w:pStyle w:val="ListParagraph"/>
              <w:ind w:left="1080"/>
              <w:rPr>
                <w:rFonts w:cs="Tahoma"/>
              </w:rPr>
            </w:pPr>
          </w:p>
        </w:tc>
      </w:tr>
      <w:tr w:rsidR="00312E22" w:rsidRPr="0027083E" w:rsidTr="0027083E">
        <w:tc>
          <w:tcPr>
            <w:tcW w:w="1219" w:type="pct"/>
          </w:tcPr>
          <w:p w:rsidR="00312E22" w:rsidRPr="0027083E" w:rsidRDefault="00312E22" w:rsidP="00312E22">
            <w:pPr>
              <w:rPr>
                <w:rFonts w:cs="Tahoma"/>
                <w:b/>
              </w:rPr>
            </w:pPr>
            <w:r w:rsidRPr="0027083E">
              <w:rPr>
                <w:rFonts w:cs="Tahoma"/>
                <w:b/>
              </w:rPr>
              <w:lastRenderedPageBreak/>
              <w:t>DGRV - Ludwig Ehard  (German Cooperative and Raiffeisen Confederation)</w:t>
            </w:r>
          </w:p>
        </w:tc>
        <w:tc>
          <w:tcPr>
            <w:tcW w:w="3781" w:type="pct"/>
          </w:tcPr>
          <w:p w:rsidR="00312E22" w:rsidRPr="0027083E" w:rsidRDefault="00312E22" w:rsidP="00312E22">
            <w:pPr>
              <w:rPr>
                <w:rFonts w:cs="Tahoma"/>
              </w:rPr>
            </w:pPr>
            <w:r w:rsidRPr="0027083E">
              <w:rPr>
                <w:rFonts w:cs="Tahoma"/>
                <w:b/>
                <w:u w:val="single"/>
              </w:rPr>
              <w:t>Intro:</w:t>
            </w:r>
          </w:p>
          <w:p w:rsidR="00312E22" w:rsidRPr="0027083E" w:rsidRDefault="00312E22" w:rsidP="00312E22">
            <w:pPr>
              <w:rPr>
                <w:rFonts w:cs="Tahoma"/>
              </w:rPr>
            </w:pPr>
            <w:r w:rsidRPr="0027083E">
              <w:rPr>
                <w:rFonts w:cs="Tahoma"/>
              </w:rPr>
              <w:t>DGRV is a national co-operative apex organization and -top-level auditing federation; it unites as an apex</w:t>
            </w:r>
            <w:r>
              <w:rPr>
                <w:rFonts w:cs="Tahoma"/>
              </w:rPr>
              <w:t xml:space="preserve"> </w:t>
            </w:r>
            <w:r w:rsidRPr="0027083E">
              <w:rPr>
                <w:rFonts w:cs="Tahoma"/>
              </w:rPr>
              <w:t>organization with co-operatives in 4 sectors:</w:t>
            </w:r>
            <w:r>
              <w:rPr>
                <w:rFonts w:cs="Tahoma"/>
              </w:rPr>
              <w:t xml:space="preserve"> </w:t>
            </w:r>
            <w:r w:rsidRPr="0027083E">
              <w:rPr>
                <w:rFonts w:cs="Tahoma"/>
              </w:rPr>
              <w:t>banking,</w:t>
            </w:r>
            <w:r>
              <w:rPr>
                <w:rFonts w:cs="Tahoma"/>
              </w:rPr>
              <w:t xml:space="preserve"> </w:t>
            </w:r>
            <w:r w:rsidRPr="0027083E">
              <w:rPr>
                <w:rFonts w:cs="Tahoma"/>
              </w:rPr>
              <w:t>agriculture, crafts/trade/services and consumers</w:t>
            </w:r>
          </w:p>
          <w:p w:rsidR="00312E22" w:rsidRPr="0027083E" w:rsidRDefault="00312E22" w:rsidP="00312E22">
            <w:pPr>
              <w:rPr>
                <w:rFonts w:cs="Tahoma"/>
              </w:rPr>
            </w:pPr>
          </w:p>
          <w:p w:rsidR="00142063" w:rsidRPr="0027083E" w:rsidRDefault="00142063" w:rsidP="00142063">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312E22" w:rsidRPr="0027083E" w:rsidRDefault="00312E22" w:rsidP="00936EE2">
            <w:pPr>
              <w:pStyle w:val="ListParagraph"/>
              <w:numPr>
                <w:ilvl w:val="0"/>
                <w:numId w:val="87"/>
              </w:numPr>
              <w:rPr>
                <w:rFonts w:cs="Tahoma"/>
              </w:rPr>
            </w:pPr>
            <w:r w:rsidRPr="0027083E">
              <w:rPr>
                <w:rFonts w:cs="Tahoma"/>
              </w:rPr>
              <w:t>A multilevel approach in Setting-up co-operative Financial Systems should be adopted with (National co-operative - central bank; Regional co-operative central institute; Local co-operatives)</w:t>
            </w:r>
          </w:p>
          <w:p w:rsidR="00312E22" w:rsidRPr="0027083E" w:rsidRDefault="00312E22" w:rsidP="00936EE2">
            <w:pPr>
              <w:pStyle w:val="ListParagraph"/>
              <w:numPr>
                <w:ilvl w:val="0"/>
                <w:numId w:val="87"/>
              </w:numPr>
              <w:rPr>
                <w:rFonts w:cs="Tahoma"/>
              </w:rPr>
            </w:pPr>
            <w:r w:rsidRPr="0027083E">
              <w:rPr>
                <w:rFonts w:cs="Tahoma"/>
              </w:rPr>
              <w:t>Establish a legal framework for co-operatives, for SME and rural finance institutions</w:t>
            </w:r>
          </w:p>
          <w:p w:rsidR="00312E22" w:rsidRPr="0027083E" w:rsidRDefault="00312E22" w:rsidP="00936EE2">
            <w:pPr>
              <w:pStyle w:val="ListParagraph"/>
              <w:numPr>
                <w:ilvl w:val="0"/>
                <w:numId w:val="87"/>
              </w:numPr>
              <w:rPr>
                <w:rFonts w:cs="Tahoma"/>
              </w:rPr>
            </w:pPr>
            <w:r w:rsidRPr="0027083E">
              <w:rPr>
                <w:rFonts w:cs="Tahoma"/>
              </w:rPr>
              <w:t>Develop regulation, rules, supervision, licensing, norms, standards</w:t>
            </w:r>
          </w:p>
          <w:p w:rsidR="00312E22" w:rsidRPr="0027083E" w:rsidRDefault="00312E22" w:rsidP="00312E22">
            <w:pPr>
              <w:rPr>
                <w:rFonts w:cs="Tahoma"/>
              </w:rPr>
            </w:pPr>
          </w:p>
        </w:tc>
      </w:tr>
      <w:tr w:rsidR="00312E22" w:rsidRPr="0027083E" w:rsidTr="0027083E">
        <w:tc>
          <w:tcPr>
            <w:tcW w:w="1219" w:type="pct"/>
          </w:tcPr>
          <w:p w:rsidR="00312E22" w:rsidRPr="0027083E" w:rsidRDefault="00312E22" w:rsidP="00312E22">
            <w:pPr>
              <w:rPr>
                <w:rFonts w:cs="Tahoma"/>
                <w:b/>
              </w:rPr>
            </w:pPr>
            <w:r w:rsidRPr="0027083E">
              <w:rPr>
                <w:rFonts w:cs="Tahoma"/>
                <w:b/>
              </w:rPr>
              <w:t xml:space="preserve">National Association of Cooperative Financial Institutions of South Africa </w:t>
            </w:r>
            <w:r w:rsidRPr="0027083E">
              <w:rPr>
                <w:rFonts w:cs="Tahoma"/>
                <w:b/>
              </w:rPr>
              <w:lastRenderedPageBreak/>
              <w:t>(NACFISA)</w:t>
            </w:r>
            <w:r w:rsidRPr="0027083E">
              <w:rPr>
                <w:rFonts w:cs="Tahoma"/>
                <w:b/>
              </w:rPr>
              <w:tab/>
            </w:r>
          </w:p>
        </w:tc>
        <w:tc>
          <w:tcPr>
            <w:tcW w:w="3781" w:type="pct"/>
          </w:tcPr>
          <w:p w:rsidR="00312E22" w:rsidRPr="0027083E" w:rsidRDefault="00312E22" w:rsidP="00312E22">
            <w:pPr>
              <w:rPr>
                <w:rFonts w:cs="Tahoma"/>
                <w:b/>
                <w:u w:val="single"/>
              </w:rPr>
            </w:pPr>
            <w:r w:rsidRPr="0027083E">
              <w:rPr>
                <w:rFonts w:cs="Tahoma"/>
                <w:b/>
                <w:u w:val="single"/>
              </w:rPr>
              <w:lastRenderedPageBreak/>
              <w:t>Intro:</w:t>
            </w:r>
          </w:p>
          <w:p w:rsidR="00312E22" w:rsidRPr="0027083E" w:rsidRDefault="00312E22" w:rsidP="00312E22">
            <w:pPr>
              <w:rPr>
                <w:rFonts w:cs="Tahoma"/>
              </w:rPr>
            </w:pPr>
            <w:r w:rsidRPr="0027083E">
              <w:rPr>
                <w:rFonts w:cs="Tahoma"/>
              </w:rPr>
              <w:t xml:space="preserve">NACFISA was registered in March 2013 under the Cooperatives Act of 2005. It represents the sector with a membership of 28 Cooperative Financial Institutions and 2 Cooperative banks which are </w:t>
            </w:r>
            <w:r w:rsidRPr="0027083E">
              <w:rPr>
                <w:rFonts w:cs="Tahoma"/>
              </w:rPr>
              <w:lastRenderedPageBreak/>
              <w:t xml:space="preserve">registered with the Cooperative Bank Development Agency (CBDA)  and the Reserve Bank respectively. </w:t>
            </w:r>
          </w:p>
          <w:p w:rsidR="00312E22" w:rsidRPr="0027083E" w:rsidRDefault="00312E22" w:rsidP="00312E22">
            <w:pPr>
              <w:rPr>
                <w:rFonts w:cs="Tahoma"/>
              </w:rPr>
            </w:pPr>
          </w:p>
          <w:p w:rsidR="00312E22" w:rsidRPr="0027083E" w:rsidRDefault="00312E22" w:rsidP="00312E22">
            <w:pPr>
              <w:rPr>
                <w:rFonts w:cs="Tahoma"/>
                <w:b/>
                <w:u w:val="single"/>
              </w:rPr>
            </w:pPr>
            <w:r w:rsidRPr="0027083E">
              <w:rPr>
                <w:rFonts w:cs="Tahoma"/>
                <w:b/>
                <w:u w:val="single"/>
              </w:rPr>
              <w:t>Overview of the sector:</w:t>
            </w:r>
          </w:p>
          <w:p w:rsidR="00312E22" w:rsidRPr="0027083E" w:rsidRDefault="00312E22" w:rsidP="00312E22">
            <w:pPr>
              <w:rPr>
                <w:rFonts w:cs="Tahoma"/>
              </w:rPr>
            </w:pPr>
            <w:r w:rsidRPr="0027083E">
              <w:rPr>
                <w:rFonts w:cs="Tahoma"/>
              </w:rPr>
              <w:t>The cooperative sector has grown by 13, 33% from 26 CFIs in 2013 February to 30 in 2016 February, with an asset growth of 15.41%, from R231million to 280 million. (CBDA annual report 2015/16)</w:t>
            </w:r>
          </w:p>
          <w:p w:rsidR="00312E22" w:rsidRPr="0027083E" w:rsidRDefault="00312E22" w:rsidP="00312E22">
            <w:pPr>
              <w:rPr>
                <w:rFonts w:cs="Tahoma"/>
              </w:rPr>
            </w:pPr>
          </w:p>
          <w:p w:rsidR="00312E22" w:rsidRPr="0027083E" w:rsidRDefault="00312E22" w:rsidP="00312E22">
            <w:pPr>
              <w:rPr>
                <w:b/>
                <w:u w:val="single"/>
              </w:rPr>
            </w:pPr>
            <w:r w:rsidRPr="0027083E">
              <w:rPr>
                <w:b/>
                <w:u w:val="single"/>
              </w:rPr>
              <w:t>Challenges/concerns raised:</w:t>
            </w:r>
          </w:p>
          <w:p w:rsidR="00312E22" w:rsidRPr="0027083E" w:rsidRDefault="00312E22" w:rsidP="00936EE2">
            <w:pPr>
              <w:pStyle w:val="ListParagraph"/>
              <w:numPr>
                <w:ilvl w:val="0"/>
                <w:numId w:val="89"/>
              </w:numPr>
              <w:rPr>
                <w:rFonts w:cs="Tahoma"/>
              </w:rPr>
            </w:pPr>
            <w:r w:rsidRPr="0027083E">
              <w:rPr>
                <w:rFonts w:cs="Tahoma"/>
              </w:rPr>
              <w:t>Regulations are too restrictive to allow for a rapid growth in the sector and to bring about tangible transformation that makes the cooperative sector attractive to those who are yet to join.</w:t>
            </w:r>
          </w:p>
          <w:p w:rsidR="00312E22" w:rsidRPr="0027083E" w:rsidRDefault="00312E22" w:rsidP="00936EE2">
            <w:pPr>
              <w:pStyle w:val="ListParagraph"/>
              <w:numPr>
                <w:ilvl w:val="0"/>
                <w:numId w:val="89"/>
              </w:numPr>
              <w:rPr>
                <w:rFonts w:cs="Tahoma"/>
              </w:rPr>
            </w:pPr>
            <w:r w:rsidRPr="0027083E">
              <w:rPr>
                <w:rFonts w:cs="Tahoma"/>
              </w:rPr>
              <w:t xml:space="preserve">The legislative processes in existence currently (Cooperatives Bank Act 40 of 2007) are not supportive enough to the development of cooperatives in the financial sector.  </w:t>
            </w:r>
          </w:p>
          <w:p w:rsidR="00312E22" w:rsidRPr="0027083E" w:rsidRDefault="00312E22" w:rsidP="00936EE2">
            <w:pPr>
              <w:pStyle w:val="ListParagraph"/>
              <w:numPr>
                <w:ilvl w:val="0"/>
                <w:numId w:val="89"/>
              </w:numPr>
              <w:rPr>
                <w:rFonts w:cs="Tahoma"/>
              </w:rPr>
            </w:pPr>
            <w:r w:rsidRPr="0027083E">
              <w:rPr>
                <w:rFonts w:cs="Tahoma"/>
              </w:rPr>
              <w:t>The different classification of cooperative financial institutions and cooperative banks by CBDA rules gives the impression that the one is inferior to the other. Thus members are more attracted to cooperative banks than cooperative finance institutions.</w:t>
            </w:r>
          </w:p>
          <w:p w:rsidR="00312E22" w:rsidRPr="0027083E" w:rsidRDefault="00312E22" w:rsidP="00936EE2">
            <w:pPr>
              <w:pStyle w:val="ListParagraph"/>
              <w:numPr>
                <w:ilvl w:val="0"/>
                <w:numId w:val="89"/>
              </w:numPr>
              <w:rPr>
                <w:rFonts w:cs="Tahoma"/>
              </w:rPr>
            </w:pPr>
            <w:r w:rsidRPr="0027083E">
              <w:rPr>
                <w:rFonts w:cs="Tahoma"/>
              </w:rPr>
              <w:t>The singular regulatory body which is the CBDA has no independent appeal process and therefore renders the regulatory mechanism unfair.</w:t>
            </w:r>
          </w:p>
          <w:p w:rsidR="00312E22" w:rsidRPr="0027083E" w:rsidRDefault="00312E22" w:rsidP="00936EE2">
            <w:pPr>
              <w:pStyle w:val="ListParagraph"/>
              <w:numPr>
                <w:ilvl w:val="0"/>
                <w:numId w:val="89"/>
              </w:numPr>
              <w:rPr>
                <w:rFonts w:cs="Tahoma"/>
              </w:rPr>
            </w:pPr>
            <w:r w:rsidRPr="0027083E">
              <w:rPr>
                <w:rFonts w:cs="Tahoma"/>
              </w:rPr>
              <w:t>The banking platform software project is a giant step that government has extended to cooperative banks however the system is too costly for cooperative banks to acquire, this if not considered may lead to the system being a white.</w:t>
            </w:r>
          </w:p>
          <w:p w:rsidR="00312E22" w:rsidRPr="0027083E" w:rsidRDefault="00312E22" w:rsidP="00312E22">
            <w:pPr>
              <w:pStyle w:val="ListParagraph"/>
              <w:rPr>
                <w:rFonts w:cs="Tahoma"/>
              </w:rPr>
            </w:pPr>
          </w:p>
          <w:p w:rsidR="00142063" w:rsidRPr="0027083E" w:rsidRDefault="00142063" w:rsidP="00142063">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312E22" w:rsidRPr="0027083E" w:rsidRDefault="00312E22" w:rsidP="00936EE2">
            <w:pPr>
              <w:pStyle w:val="ListParagraph"/>
              <w:numPr>
                <w:ilvl w:val="0"/>
                <w:numId w:val="90"/>
              </w:numPr>
              <w:rPr>
                <w:rFonts w:cs="Tahoma"/>
              </w:rPr>
            </w:pPr>
            <w:r w:rsidRPr="0027083E">
              <w:rPr>
                <w:rFonts w:cs="Tahoma"/>
              </w:rPr>
              <w:t>The development and design of the rules as conferred to the CBDA by section 57 of act 40 of the Cooperative Banks Act must be reviewed to read as “in consultation with the Cooperative Sector”.</w:t>
            </w:r>
          </w:p>
          <w:p w:rsidR="00312E22" w:rsidRPr="0027083E" w:rsidRDefault="00312E22" w:rsidP="00936EE2">
            <w:pPr>
              <w:pStyle w:val="ListParagraph"/>
              <w:numPr>
                <w:ilvl w:val="0"/>
                <w:numId w:val="90"/>
              </w:numPr>
              <w:rPr>
                <w:rFonts w:cs="Tahoma"/>
              </w:rPr>
            </w:pPr>
            <w:r w:rsidRPr="0027083E">
              <w:rPr>
                <w:rFonts w:cs="Tahoma"/>
              </w:rPr>
              <w:t>The budget of the CBDA needs to be reviewed to ensure that it carries out its mandate in support of the Cooperative sector.</w:t>
            </w:r>
          </w:p>
          <w:p w:rsidR="00312E22" w:rsidRPr="0027083E" w:rsidRDefault="00312E22" w:rsidP="00936EE2">
            <w:pPr>
              <w:pStyle w:val="ListParagraph"/>
              <w:numPr>
                <w:ilvl w:val="0"/>
                <w:numId w:val="90"/>
              </w:numPr>
              <w:rPr>
                <w:rFonts w:cs="Tahoma"/>
              </w:rPr>
            </w:pPr>
            <w:r w:rsidRPr="0027083E">
              <w:rPr>
                <w:rFonts w:cs="Tahoma"/>
              </w:rPr>
              <w:t>The CBDA should extend its reach by opening provincial offices in all provinces with a view of adequately allocating time to assess, establish and registration cooperative banks instead of a single centralised office in Pretoria.</w:t>
            </w:r>
          </w:p>
          <w:p w:rsidR="00312E22" w:rsidRPr="0027083E" w:rsidRDefault="00312E22" w:rsidP="00936EE2">
            <w:pPr>
              <w:pStyle w:val="ListParagraph"/>
              <w:numPr>
                <w:ilvl w:val="0"/>
                <w:numId w:val="90"/>
              </w:numPr>
              <w:rPr>
                <w:rFonts w:cs="Tahoma"/>
              </w:rPr>
            </w:pPr>
            <w:r w:rsidRPr="0027083E">
              <w:rPr>
                <w:rFonts w:cs="Tahoma"/>
              </w:rPr>
              <w:t>In order to build awareness and confidence in the sector government has to assist to drive campaigns on the importance of saving in cooperative banks.</w:t>
            </w:r>
          </w:p>
          <w:p w:rsidR="00312E22" w:rsidRPr="0027083E" w:rsidRDefault="00312E22" w:rsidP="00936EE2">
            <w:pPr>
              <w:pStyle w:val="ListParagraph"/>
              <w:numPr>
                <w:ilvl w:val="0"/>
                <w:numId w:val="90"/>
              </w:numPr>
              <w:rPr>
                <w:rFonts w:cs="Tahoma"/>
              </w:rPr>
            </w:pPr>
            <w:r w:rsidRPr="0027083E">
              <w:rPr>
                <w:rFonts w:cs="Tahoma"/>
              </w:rPr>
              <w:t xml:space="preserve">The CBDA rule that differentiate cooperative financial institution must be done away with and </w:t>
            </w:r>
            <w:r w:rsidRPr="0027083E">
              <w:rPr>
                <w:rFonts w:cs="Tahoma"/>
              </w:rPr>
              <w:lastRenderedPageBreak/>
              <w:t>replaced by different levels of cooperative banking.</w:t>
            </w:r>
          </w:p>
          <w:p w:rsidR="00312E22" w:rsidRPr="0027083E" w:rsidRDefault="00312E22" w:rsidP="00936EE2">
            <w:pPr>
              <w:pStyle w:val="ListParagraph"/>
              <w:numPr>
                <w:ilvl w:val="0"/>
                <w:numId w:val="90"/>
              </w:numPr>
              <w:rPr>
                <w:rFonts w:cs="Tahoma"/>
              </w:rPr>
            </w:pPr>
            <w:r w:rsidRPr="0027083E">
              <w:rPr>
                <w:rFonts w:cs="Tahoma"/>
              </w:rPr>
              <w:t>An independent appeals authority should be established to ensure a fair and credible process.</w:t>
            </w:r>
          </w:p>
          <w:p w:rsidR="00312E22" w:rsidRPr="0027083E" w:rsidRDefault="00312E22" w:rsidP="00936EE2">
            <w:pPr>
              <w:pStyle w:val="ListParagraph"/>
              <w:numPr>
                <w:ilvl w:val="0"/>
                <w:numId w:val="90"/>
              </w:numPr>
              <w:rPr>
                <w:rFonts w:cs="Tahoma"/>
              </w:rPr>
            </w:pPr>
            <w:r w:rsidRPr="0027083E">
              <w:rPr>
                <w:rFonts w:cs="Tahoma"/>
              </w:rPr>
              <w:t>The Cooperative sector must be part of a team of formulating rules together with the CBDA so that the rules are fairly consultative.</w:t>
            </w:r>
          </w:p>
          <w:p w:rsidR="00312E22" w:rsidRPr="0027083E" w:rsidRDefault="00312E22" w:rsidP="00936EE2">
            <w:pPr>
              <w:pStyle w:val="ListParagraph"/>
              <w:numPr>
                <w:ilvl w:val="0"/>
                <w:numId w:val="90"/>
              </w:numPr>
              <w:rPr>
                <w:rFonts w:cs="Tahoma"/>
              </w:rPr>
            </w:pPr>
            <w:r w:rsidRPr="0027083E">
              <w:rPr>
                <w:rFonts w:cs="Tahoma"/>
              </w:rPr>
              <w:t>The banking platform must be extended to all cooperative banks with no cost, to improve reporting and efficiency.</w:t>
            </w:r>
          </w:p>
          <w:p w:rsidR="00312E22" w:rsidRPr="0027083E" w:rsidRDefault="00312E22" w:rsidP="00312E22">
            <w:pPr>
              <w:pStyle w:val="ListParagraph"/>
              <w:rPr>
                <w:rFonts w:cs="Tahoma"/>
              </w:rPr>
            </w:pPr>
          </w:p>
        </w:tc>
      </w:tr>
      <w:tr w:rsidR="00312E22" w:rsidRPr="0027083E" w:rsidTr="0027083E">
        <w:tc>
          <w:tcPr>
            <w:tcW w:w="5000" w:type="pct"/>
            <w:gridSpan w:val="2"/>
            <w:shd w:val="clear" w:color="auto" w:fill="D9D9D9" w:themeFill="background1" w:themeFillShade="D9"/>
          </w:tcPr>
          <w:p w:rsidR="00312E22" w:rsidRPr="0027083E" w:rsidRDefault="00312E22" w:rsidP="00312E22">
            <w:pPr>
              <w:jc w:val="center"/>
              <w:rPr>
                <w:b/>
                <w:u w:val="single"/>
              </w:rPr>
            </w:pPr>
            <w:r w:rsidRPr="0027083E">
              <w:rPr>
                <w:b/>
                <w:u w:val="single"/>
              </w:rPr>
              <w:lastRenderedPageBreak/>
              <w:t>Civic society</w:t>
            </w:r>
          </w:p>
        </w:tc>
      </w:tr>
      <w:tr w:rsidR="00312E22" w:rsidRPr="0027083E" w:rsidTr="0027083E">
        <w:tc>
          <w:tcPr>
            <w:tcW w:w="1219" w:type="pct"/>
          </w:tcPr>
          <w:p w:rsidR="00312E22" w:rsidRPr="0027083E" w:rsidRDefault="00312E22" w:rsidP="00312E22">
            <w:pPr>
              <w:rPr>
                <w:rFonts w:eastAsia="Times New Roman" w:cs="Helvetica"/>
                <w:b/>
                <w:bCs/>
                <w:color w:val="333333"/>
              </w:rPr>
            </w:pPr>
            <w:r w:rsidRPr="0027083E">
              <w:rPr>
                <w:rFonts w:eastAsia="Times New Roman" w:cs="Helvetica"/>
                <w:b/>
                <w:bCs/>
                <w:color w:val="333333"/>
              </w:rPr>
              <w:t xml:space="preserve">Centre for Competition, Regulation and Economic Development (CCRED) </w:t>
            </w:r>
          </w:p>
        </w:tc>
        <w:tc>
          <w:tcPr>
            <w:tcW w:w="3781" w:type="pct"/>
          </w:tcPr>
          <w:p w:rsidR="00312E22" w:rsidRPr="0027083E" w:rsidRDefault="00312E22" w:rsidP="00312E22">
            <w:pPr>
              <w:rPr>
                <w:rFonts w:eastAsia="Times New Roman" w:cs="Helvetica"/>
                <w:b/>
                <w:color w:val="333333"/>
                <w:u w:val="single"/>
              </w:rPr>
            </w:pPr>
            <w:r w:rsidRPr="0027083E">
              <w:rPr>
                <w:rFonts w:eastAsia="Times New Roman" w:cs="Helvetica"/>
                <w:b/>
                <w:color w:val="333333"/>
                <w:u w:val="single"/>
              </w:rPr>
              <w:t xml:space="preserve">Intro: </w:t>
            </w:r>
          </w:p>
          <w:p w:rsidR="00312E22" w:rsidRPr="0027083E" w:rsidRDefault="00312E22" w:rsidP="00312E22">
            <w:pPr>
              <w:rPr>
                <w:rFonts w:eastAsia="Times New Roman" w:cs="Helvetica"/>
                <w:color w:val="333333"/>
              </w:rPr>
            </w:pPr>
            <w:r w:rsidRPr="0027083E">
              <w:rPr>
                <w:rFonts w:eastAsia="Times New Roman" w:cs="Helvetica"/>
                <w:color w:val="333333"/>
              </w:rPr>
              <w:t xml:space="preserve">Banking transformation is only part of a broader set of measures to shift the economy towards greater inclusion. </w:t>
            </w:r>
          </w:p>
          <w:p w:rsidR="00312E22" w:rsidRPr="0027083E" w:rsidRDefault="00312E22" w:rsidP="00312E22">
            <w:pPr>
              <w:rPr>
                <w:rFonts w:eastAsia="Times New Roman" w:cs="Helvetica"/>
                <w:color w:val="333333"/>
              </w:rPr>
            </w:pPr>
          </w:p>
          <w:p w:rsidR="00312E22" w:rsidRPr="0027083E" w:rsidRDefault="00312E22" w:rsidP="00312E22">
            <w:pPr>
              <w:rPr>
                <w:rFonts w:eastAsia="Times New Roman" w:cs="Helvetica"/>
                <w:b/>
                <w:color w:val="333333"/>
                <w:u w:val="single"/>
              </w:rPr>
            </w:pPr>
            <w:r w:rsidRPr="0027083E">
              <w:rPr>
                <w:rFonts w:eastAsia="Times New Roman" w:cs="Helvetica"/>
                <w:b/>
                <w:color w:val="333333"/>
                <w:u w:val="single"/>
              </w:rPr>
              <w:t>Challenges/concerns raised:</w:t>
            </w:r>
          </w:p>
          <w:p w:rsidR="00312E22" w:rsidRPr="0027083E" w:rsidRDefault="00312E22" w:rsidP="00936EE2">
            <w:pPr>
              <w:pStyle w:val="ListParagraph"/>
              <w:numPr>
                <w:ilvl w:val="0"/>
                <w:numId w:val="45"/>
              </w:numPr>
              <w:rPr>
                <w:rFonts w:eastAsia="Times New Roman" w:cs="Helvetica"/>
                <w:color w:val="333333"/>
              </w:rPr>
            </w:pPr>
            <w:r w:rsidRPr="0027083E">
              <w:rPr>
                <w:rFonts w:eastAsia="Times New Roman" w:cs="Helvetica"/>
                <w:color w:val="333333"/>
              </w:rPr>
              <w:t xml:space="preserve">Barriers to entry remain high. Entry brings benefits in lower fees, more dynamic products, and competition for low income customers. There are natural and strategic barriers. </w:t>
            </w:r>
          </w:p>
          <w:p w:rsidR="00312E22" w:rsidRPr="0027083E" w:rsidRDefault="00312E22" w:rsidP="00936EE2">
            <w:pPr>
              <w:pStyle w:val="ListParagraph"/>
              <w:numPr>
                <w:ilvl w:val="0"/>
                <w:numId w:val="45"/>
              </w:numPr>
              <w:rPr>
                <w:rFonts w:eastAsia="Times New Roman" w:cs="Helvetica"/>
                <w:color w:val="333333"/>
              </w:rPr>
            </w:pPr>
            <w:r w:rsidRPr="0027083E">
              <w:rPr>
                <w:rFonts w:eastAsia="Times New Roman" w:cs="Helvetica"/>
                <w:color w:val="333333"/>
              </w:rPr>
              <w:t>There is limited transparency and comparability of bank offerings.</w:t>
            </w:r>
          </w:p>
          <w:p w:rsidR="00312E22" w:rsidRPr="0027083E" w:rsidRDefault="00312E22" w:rsidP="00936EE2">
            <w:pPr>
              <w:pStyle w:val="ListParagraph"/>
              <w:numPr>
                <w:ilvl w:val="0"/>
                <w:numId w:val="45"/>
              </w:numPr>
              <w:rPr>
                <w:rFonts w:eastAsia="Times New Roman" w:cs="Helvetica"/>
                <w:color w:val="333333"/>
              </w:rPr>
            </w:pPr>
            <w:r w:rsidRPr="0027083E">
              <w:rPr>
                <w:rFonts w:eastAsia="Times New Roman" w:cs="Helvetica"/>
                <w:color w:val="333333"/>
              </w:rPr>
              <w:t>Obtaining a banking licence is difficult without a tiered structure.</w:t>
            </w:r>
            <w:r>
              <w:rPr>
                <w:rFonts w:eastAsia="Times New Roman" w:cs="Helvetica"/>
                <w:color w:val="333333"/>
              </w:rPr>
              <w:t xml:space="preserve"> </w:t>
            </w:r>
            <w:r w:rsidRPr="0027083E">
              <w:rPr>
                <w:rFonts w:eastAsia="Times New Roman" w:cs="Helvetica"/>
                <w:color w:val="333333"/>
              </w:rPr>
              <w:t>Failure to encourage and support entry through permissive regulation has the same effect as high barriers to entry.</w:t>
            </w:r>
          </w:p>
          <w:p w:rsidR="00312E22" w:rsidRPr="0027083E" w:rsidRDefault="00312E22" w:rsidP="00936EE2">
            <w:pPr>
              <w:pStyle w:val="ListParagraph"/>
              <w:numPr>
                <w:ilvl w:val="0"/>
                <w:numId w:val="45"/>
              </w:numPr>
              <w:rPr>
                <w:rFonts w:eastAsia="Times New Roman" w:cs="Helvetica"/>
                <w:color w:val="333333"/>
              </w:rPr>
            </w:pPr>
            <w:r w:rsidRPr="0027083E">
              <w:rPr>
                <w:rFonts w:eastAsia="Times New Roman" w:cs="Helvetica"/>
                <w:color w:val="333333"/>
              </w:rPr>
              <w:t>Collusion by banks is part of the story. It is important to recognise the collusion case as part of global cartel arrangement and it highlights the limited transparency and flaws in supervision. It also demonstrates that competition law is not enough to correct harm. Harm from cartels is generally larger than the penalties allowed by law. Cartels arise and are fighting off entrants and are sustained by high barriers.</w:t>
            </w:r>
          </w:p>
          <w:p w:rsidR="00312E22" w:rsidRPr="0027083E" w:rsidRDefault="00312E22" w:rsidP="00936EE2">
            <w:pPr>
              <w:pStyle w:val="ListParagraph"/>
              <w:numPr>
                <w:ilvl w:val="0"/>
                <w:numId w:val="45"/>
              </w:numPr>
              <w:rPr>
                <w:rFonts w:eastAsia="Times New Roman" w:cs="Helvetica"/>
                <w:color w:val="333333"/>
              </w:rPr>
            </w:pPr>
            <w:r w:rsidRPr="0027083E">
              <w:rPr>
                <w:rFonts w:eastAsia="Times New Roman" w:cs="Helvetica"/>
                <w:color w:val="333333"/>
              </w:rPr>
              <w:t>Comparative studies on Mobile Money demonstrate the role of regulation in stifling the growth of MM in SA. The benefits of Mobile Money in Zimbabwe and Kenya arose from a flexible, adaptive, risk-taking regulatory environment.</w:t>
            </w:r>
          </w:p>
          <w:p w:rsidR="00312E22" w:rsidRPr="0027083E" w:rsidRDefault="00312E22" w:rsidP="00936EE2">
            <w:pPr>
              <w:pStyle w:val="ListParagraph"/>
              <w:numPr>
                <w:ilvl w:val="0"/>
                <w:numId w:val="45"/>
              </w:numPr>
              <w:rPr>
                <w:rFonts w:eastAsia="Times New Roman" w:cs="Helvetica"/>
                <w:color w:val="333333"/>
              </w:rPr>
            </w:pPr>
            <w:r w:rsidRPr="0027083E">
              <w:rPr>
                <w:rFonts w:eastAsia="Times New Roman" w:cs="Helvetica"/>
                <w:color w:val="333333"/>
              </w:rPr>
              <w:t>There has been slow progress in implementing the banking inquiry recommendations.</w:t>
            </w:r>
          </w:p>
          <w:p w:rsidR="00312E22" w:rsidRPr="0027083E" w:rsidRDefault="00312E22" w:rsidP="00936EE2">
            <w:pPr>
              <w:pStyle w:val="ListParagraph"/>
              <w:numPr>
                <w:ilvl w:val="0"/>
                <w:numId w:val="45"/>
              </w:numPr>
              <w:rPr>
                <w:rFonts w:eastAsia="Times New Roman" w:cs="Helvetica"/>
                <w:color w:val="333333"/>
              </w:rPr>
            </w:pPr>
            <w:r w:rsidRPr="0027083E">
              <w:rPr>
                <w:rFonts w:eastAsia="Times New Roman" w:cs="Helvetica"/>
                <w:color w:val="333333"/>
              </w:rPr>
              <w:t>Developmental finance is not enough.</w:t>
            </w:r>
          </w:p>
          <w:p w:rsidR="00312E22" w:rsidRPr="0027083E" w:rsidRDefault="00312E22" w:rsidP="00312E22">
            <w:pPr>
              <w:rPr>
                <w:rFonts w:eastAsia="Times New Roman" w:cs="Helvetica"/>
                <w:b/>
                <w:color w:val="333333"/>
                <w:u w:val="single"/>
              </w:rPr>
            </w:pPr>
          </w:p>
          <w:p w:rsidR="00142063" w:rsidRPr="0027083E" w:rsidRDefault="00142063" w:rsidP="00142063">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312E22" w:rsidRPr="0027083E" w:rsidRDefault="00312E22" w:rsidP="00936EE2">
            <w:pPr>
              <w:pStyle w:val="ListParagraph"/>
              <w:numPr>
                <w:ilvl w:val="0"/>
                <w:numId w:val="46"/>
              </w:numPr>
              <w:rPr>
                <w:rFonts w:eastAsia="Times New Roman" w:cs="Helvetica"/>
                <w:color w:val="333333"/>
              </w:rPr>
            </w:pPr>
            <w:r w:rsidRPr="0027083E">
              <w:rPr>
                <w:rFonts w:eastAsia="Times New Roman" w:cs="Helvetica"/>
                <w:color w:val="333333"/>
              </w:rPr>
              <w:t xml:space="preserve">Transformative finance is inclusive and rules of the game should be changed, not to favour the insiders only. </w:t>
            </w:r>
          </w:p>
          <w:p w:rsidR="00312E22" w:rsidRPr="0027083E" w:rsidRDefault="00312E22" w:rsidP="00936EE2">
            <w:pPr>
              <w:pStyle w:val="ListParagraph"/>
              <w:numPr>
                <w:ilvl w:val="0"/>
                <w:numId w:val="46"/>
              </w:numPr>
              <w:rPr>
                <w:rFonts w:eastAsia="Times New Roman" w:cs="Helvetica"/>
                <w:color w:val="333333"/>
              </w:rPr>
            </w:pPr>
            <w:r w:rsidRPr="0027083E">
              <w:rPr>
                <w:rFonts w:eastAsia="Times New Roman" w:cs="Helvetica"/>
                <w:color w:val="333333"/>
              </w:rPr>
              <w:t xml:space="preserve">It is important to introduce better monitoring and publishing of commercial lending to SMEs </w:t>
            </w:r>
            <w:r w:rsidRPr="0027083E">
              <w:rPr>
                <w:rFonts w:eastAsia="Times New Roman" w:cs="Helvetica"/>
                <w:color w:val="333333"/>
              </w:rPr>
              <w:lastRenderedPageBreak/>
              <w:t xml:space="preserve">and black-owned businesses. </w:t>
            </w:r>
          </w:p>
          <w:p w:rsidR="00312E22" w:rsidRPr="0027083E" w:rsidRDefault="00312E22" w:rsidP="00936EE2">
            <w:pPr>
              <w:pStyle w:val="ListParagraph"/>
              <w:numPr>
                <w:ilvl w:val="0"/>
                <w:numId w:val="46"/>
              </w:numPr>
              <w:rPr>
                <w:rFonts w:eastAsia="Times New Roman" w:cs="Helvetica"/>
                <w:color w:val="333333"/>
              </w:rPr>
            </w:pPr>
            <w:r w:rsidRPr="0027083E">
              <w:rPr>
                <w:rFonts w:eastAsia="Times New Roman" w:cs="Helvetica"/>
                <w:color w:val="333333"/>
              </w:rPr>
              <w:t xml:space="preserve">South Africa requires a long-term, risk-taking, patient funding for new investments in productive assets. </w:t>
            </w:r>
          </w:p>
          <w:p w:rsidR="00312E22" w:rsidRPr="0027083E" w:rsidRDefault="00312E22" w:rsidP="00936EE2">
            <w:pPr>
              <w:pStyle w:val="ListParagraph"/>
              <w:numPr>
                <w:ilvl w:val="0"/>
                <w:numId w:val="46"/>
              </w:numPr>
              <w:rPr>
                <w:rFonts w:eastAsia="Times New Roman" w:cs="Helvetica"/>
                <w:color w:val="333333"/>
              </w:rPr>
            </w:pPr>
            <w:r w:rsidRPr="0027083E">
              <w:rPr>
                <w:rFonts w:eastAsia="Times New Roman" w:cs="Helvetica"/>
                <w:color w:val="333333"/>
              </w:rPr>
              <w:t xml:space="preserve">Provision of services to SMEs and black-owned entrants should be incentivised. </w:t>
            </w:r>
          </w:p>
          <w:p w:rsidR="00312E22" w:rsidRPr="0027083E" w:rsidRDefault="00312E22" w:rsidP="00936EE2">
            <w:pPr>
              <w:pStyle w:val="ListParagraph"/>
              <w:numPr>
                <w:ilvl w:val="0"/>
                <w:numId w:val="46"/>
              </w:numPr>
              <w:rPr>
                <w:rFonts w:eastAsia="Times New Roman" w:cs="Helvetica"/>
                <w:color w:val="333333"/>
              </w:rPr>
            </w:pPr>
            <w:r w:rsidRPr="0027083E">
              <w:rPr>
                <w:rFonts w:eastAsia="Times New Roman" w:cs="Helvetica"/>
                <w:color w:val="333333"/>
              </w:rPr>
              <w:t>Licensing should be opened up to promote the diversity of offering. Bank regulations should be viewed as contributing to the goals of industrial policy.</w:t>
            </w:r>
            <w:r w:rsidRPr="0027083E">
              <w:rPr>
                <w:rFonts w:eastAsia="Times New Roman" w:cs="Helvetica"/>
                <w:color w:val="333333"/>
              </w:rPr>
              <w:br/>
            </w:r>
          </w:p>
        </w:tc>
      </w:tr>
      <w:tr w:rsidR="00312E22" w:rsidRPr="0027083E" w:rsidTr="0027083E">
        <w:tc>
          <w:tcPr>
            <w:tcW w:w="1219" w:type="pct"/>
          </w:tcPr>
          <w:p w:rsidR="00312E22" w:rsidRPr="0027083E" w:rsidRDefault="00312E22" w:rsidP="00312E22">
            <w:pPr>
              <w:rPr>
                <w:rFonts w:cs="Tahoma"/>
                <w:b/>
              </w:rPr>
            </w:pPr>
            <w:r w:rsidRPr="0027083E">
              <w:rPr>
                <w:rFonts w:cs="Tahoma"/>
                <w:b/>
              </w:rPr>
              <w:lastRenderedPageBreak/>
              <w:t>Finmark Trust</w:t>
            </w:r>
          </w:p>
        </w:tc>
        <w:tc>
          <w:tcPr>
            <w:tcW w:w="3781" w:type="pct"/>
          </w:tcPr>
          <w:p w:rsidR="00312E22" w:rsidRPr="0027083E" w:rsidRDefault="00312E22" w:rsidP="00312E22">
            <w:pPr>
              <w:rPr>
                <w:rFonts w:cs="Tahoma"/>
                <w:b/>
                <w:u w:val="single"/>
              </w:rPr>
            </w:pPr>
            <w:r w:rsidRPr="0027083E">
              <w:rPr>
                <w:rFonts w:cs="Tahoma"/>
                <w:b/>
                <w:u w:val="single"/>
              </w:rPr>
              <w:t>Intro:</w:t>
            </w:r>
          </w:p>
          <w:p w:rsidR="00312E22" w:rsidRPr="0027083E" w:rsidRDefault="00312E22" w:rsidP="00312E22">
            <w:pPr>
              <w:rPr>
                <w:rFonts w:cs="Tahoma"/>
              </w:rPr>
            </w:pPr>
            <w:r w:rsidRPr="0027083E">
              <w:rPr>
                <w:rFonts w:cs="Tahoma"/>
              </w:rPr>
              <w:t xml:space="preserve">FinMark Trust is an independent trust whose purpose it is to make financial markets work for the poor by promoting financial inclusion and regional financial integration. </w:t>
            </w:r>
          </w:p>
          <w:p w:rsidR="00312E22" w:rsidRPr="0027083E" w:rsidRDefault="00312E22" w:rsidP="00312E22">
            <w:pPr>
              <w:rPr>
                <w:rFonts w:cs="Tahoma"/>
              </w:rPr>
            </w:pPr>
          </w:p>
          <w:p w:rsidR="00312E22" w:rsidRPr="0027083E" w:rsidRDefault="00312E22" w:rsidP="00312E22">
            <w:pPr>
              <w:rPr>
                <w:rFonts w:cs="Tahoma"/>
                <w:b/>
                <w:u w:val="single"/>
              </w:rPr>
            </w:pPr>
            <w:r w:rsidRPr="0027083E">
              <w:rPr>
                <w:rFonts w:cs="Tahoma"/>
                <w:b/>
                <w:u w:val="single"/>
              </w:rPr>
              <w:t>Overview:</w:t>
            </w:r>
          </w:p>
          <w:p w:rsidR="00312E22" w:rsidRPr="0027083E" w:rsidRDefault="00312E22" w:rsidP="00312E22">
            <w:pPr>
              <w:rPr>
                <w:rFonts w:cs="Tahoma"/>
              </w:rPr>
            </w:pPr>
            <w:r w:rsidRPr="0027083E">
              <w:rPr>
                <w:rFonts w:cs="Tahoma"/>
              </w:rPr>
              <w:t>In 2000 the SACP and COSATU tabled at NEDLAC the demand that government and the financial institutions address deficiencies within the financial sector. In the subsequent engagements, all the parties agreed on the need for all the participants to ensure that the financial sector contributes more to the socio-economic development in the country. At the same time, the parties agreed on the need to maintain the long-run viability of the financial sector, and recognised that the problems identified were in large part due to external constraints.</w:t>
            </w:r>
          </w:p>
          <w:p w:rsidR="00312E22" w:rsidRPr="0027083E" w:rsidRDefault="00312E22" w:rsidP="00312E22">
            <w:pPr>
              <w:rPr>
                <w:rFonts w:cs="Tahoma"/>
              </w:rPr>
            </w:pPr>
          </w:p>
          <w:p w:rsidR="00312E22" w:rsidRPr="0027083E" w:rsidRDefault="00312E22" w:rsidP="00312E22">
            <w:pPr>
              <w:rPr>
                <w:rFonts w:cs="Tahoma"/>
              </w:rPr>
            </w:pPr>
            <w:r w:rsidRPr="0027083E">
              <w:rPr>
                <w:rFonts w:cs="Tahoma"/>
              </w:rPr>
              <w:t>The critical objective of the constituencies’ engagement at NEDLAC was to ensure that the financial sector as a whole does more to support economic and social development, in particular by:</w:t>
            </w:r>
          </w:p>
          <w:p w:rsidR="00312E22" w:rsidRPr="0027083E" w:rsidRDefault="00312E22" w:rsidP="00936EE2">
            <w:pPr>
              <w:pStyle w:val="ListParagraph"/>
              <w:numPr>
                <w:ilvl w:val="0"/>
                <w:numId w:val="91"/>
              </w:numPr>
              <w:rPr>
                <w:rFonts w:cs="Tahoma"/>
              </w:rPr>
            </w:pPr>
            <w:r w:rsidRPr="0027083E">
              <w:rPr>
                <w:rFonts w:cs="Tahoma"/>
              </w:rPr>
              <w:t>Providing sustainable banking services, contractual savings schemes and credit for small and micro enterprise and poor households</w:t>
            </w:r>
          </w:p>
          <w:p w:rsidR="00312E22" w:rsidRPr="0027083E" w:rsidRDefault="00312E22" w:rsidP="00936EE2">
            <w:pPr>
              <w:pStyle w:val="ListParagraph"/>
              <w:numPr>
                <w:ilvl w:val="0"/>
                <w:numId w:val="91"/>
              </w:numPr>
              <w:rPr>
                <w:rFonts w:cs="Tahoma"/>
              </w:rPr>
            </w:pPr>
            <w:r w:rsidRPr="0027083E">
              <w:rPr>
                <w:rFonts w:cs="Tahoma"/>
              </w:rPr>
              <w:t>Supporting higher levels of savings and investment overall</w:t>
            </w:r>
          </w:p>
          <w:p w:rsidR="00312E22" w:rsidRPr="0027083E" w:rsidRDefault="00312E22" w:rsidP="00936EE2">
            <w:pPr>
              <w:pStyle w:val="ListParagraph"/>
              <w:numPr>
                <w:ilvl w:val="0"/>
                <w:numId w:val="91"/>
              </w:numPr>
              <w:rPr>
                <w:rFonts w:cs="Tahoma"/>
              </w:rPr>
            </w:pPr>
            <w:r w:rsidRPr="0027083E">
              <w:rPr>
                <w:rFonts w:cs="Tahoma"/>
              </w:rPr>
              <w:t>Expanding developmental investments that strengthen the economy, create employment, improve the access of the poor to productive assets and housing and/or raise living standards by improving infrastructure or production of basic goods and services.</w:t>
            </w:r>
          </w:p>
          <w:p w:rsidR="00312E22" w:rsidRPr="0027083E" w:rsidRDefault="00312E22" w:rsidP="00312E22">
            <w:pPr>
              <w:rPr>
                <w:rFonts w:cs="Tahoma"/>
              </w:rPr>
            </w:pPr>
          </w:p>
          <w:p w:rsidR="00312E22" w:rsidRPr="0027083E" w:rsidRDefault="00312E22" w:rsidP="00312E22">
            <w:pPr>
              <w:rPr>
                <w:rFonts w:eastAsia="Times New Roman" w:cs="Helvetica"/>
                <w:b/>
                <w:color w:val="333333"/>
                <w:u w:val="single"/>
              </w:rPr>
            </w:pPr>
            <w:r w:rsidRPr="0027083E">
              <w:rPr>
                <w:rFonts w:eastAsia="Times New Roman" w:cs="Helvetica"/>
                <w:b/>
                <w:color w:val="333333"/>
                <w:u w:val="single"/>
              </w:rPr>
              <w:t>Current assessment of transformation:</w:t>
            </w:r>
          </w:p>
          <w:p w:rsidR="00312E22" w:rsidRPr="0027083E" w:rsidRDefault="00312E22" w:rsidP="00312E22">
            <w:pPr>
              <w:rPr>
                <w:rFonts w:cs="Tahoma"/>
              </w:rPr>
            </w:pPr>
            <w:r w:rsidRPr="0027083E">
              <w:rPr>
                <w:rFonts w:cs="Tahoma"/>
              </w:rPr>
              <w:t>Access to banking has increased across all social boundaries, but most noticeably for those who are the vulnerable group (LSM 1-5). Further analyses shows that the growth was driven by both legislative and commercial initiatives.</w:t>
            </w:r>
          </w:p>
          <w:p w:rsidR="00312E22" w:rsidRPr="0027083E" w:rsidRDefault="00312E22" w:rsidP="00312E22">
            <w:pPr>
              <w:rPr>
                <w:rFonts w:cs="Tahoma"/>
              </w:rPr>
            </w:pPr>
          </w:p>
        </w:tc>
      </w:tr>
      <w:tr w:rsidR="00312E22" w:rsidRPr="0027083E" w:rsidTr="0027083E">
        <w:tc>
          <w:tcPr>
            <w:tcW w:w="1219" w:type="pct"/>
          </w:tcPr>
          <w:p w:rsidR="00312E22" w:rsidRPr="0027083E" w:rsidRDefault="00312E22" w:rsidP="00312E22">
            <w:pPr>
              <w:rPr>
                <w:rFonts w:eastAsia="Times New Roman" w:cs="Helvetica"/>
                <w:b/>
                <w:bCs/>
                <w:color w:val="333333"/>
              </w:rPr>
            </w:pPr>
            <w:r w:rsidRPr="0027083E">
              <w:rPr>
                <w:rFonts w:eastAsia="Times New Roman" w:cs="Helvetica"/>
                <w:b/>
                <w:bCs/>
                <w:color w:val="333333"/>
              </w:rPr>
              <w:lastRenderedPageBreak/>
              <w:t>Firstsource Money</w:t>
            </w:r>
          </w:p>
        </w:tc>
        <w:tc>
          <w:tcPr>
            <w:tcW w:w="3781" w:type="pct"/>
          </w:tcPr>
          <w:p w:rsidR="00312E22" w:rsidRPr="0027083E" w:rsidRDefault="00312E22" w:rsidP="00312E22">
            <w:pPr>
              <w:rPr>
                <w:rFonts w:eastAsia="Times New Roman" w:cs="Helvetica"/>
                <w:b/>
                <w:color w:val="333333"/>
                <w:u w:val="single"/>
              </w:rPr>
            </w:pPr>
            <w:r w:rsidRPr="0027083E">
              <w:rPr>
                <w:rFonts w:eastAsia="Times New Roman" w:cs="Helvetica"/>
                <w:b/>
                <w:color w:val="333333"/>
                <w:u w:val="single"/>
              </w:rPr>
              <w:t>Intro:</w:t>
            </w:r>
          </w:p>
          <w:p w:rsidR="00312E22" w:rsidRPr="0027083E" w:rsidRDefault="00312E22" w:rsidP="00936EE2">
            <w:pPr>
              <w:pStyle w:val="ListParagraph"/>
              <w:numPr>
                <w:ilvl w:val="0"/>
                <w:numId w:val="52"/>
              </w:numPr>
              <w:rPr>
                <w:rFonts w:eastAsia="Times New Roman" w:cs="Helvetica"/>
                <w:b/>
                <w:color w:val="333333"/>
                <w:u w:val="single"/>
              </w:rPr>
            </w:pPr>
            <w:r w:rsidRPr="0027083E">
              <w:rPr>
                <w:rFonts w:eastAsia="Times New Roman" w:cs="Helvetica"/>
                <w:color w:val="333333"/>
              </w:rPr>
              <w:t>Banks are not “financial intermediaries” as our government, Treasury and Reserve Bank officials think they are. Policies that are made with assumptions or understanding that banks are “financial intermediaries” always fail and that is why there is no growth in South Africa. Banks do not collect money from savers and lend it to borrowers. They have never done so. One of the key reasons why we had the global financial crisis (GFC) is because of the erroneous understanding of what banks do.</w:t>
            </w:r>
          </w:p>
          <w:p w:rsidR="00312E22" w:rsidRPr="0027083E" w:rsidRDefault="00312E22" w:rsidP="00936EE2">
            <w:pPr>
              <w:pStyle w:val="ListParagraph"/>
              <w:numPr>
                <w:ilvl w:val="0"/>
                <w:numId w:val="52"/>
              </w:numPr>
              <w:rPr>
                <w:rFonts w:eastAsia="Times New Roman" w:cs="Helvetica"/>
                <w:b/>
                <w:color w:val="333333"/>
                <w:u w:val="single"/>
              </w:rPr>
            </w:pPr>
            <w:r w:rsidRPr="0027083E">
              <w:rPr>
                <w:rFonts w:eastAsia="Times New Roman" w:cs="Helvetica"/>
                <w:color w:val="333333"/>
              </w:rPr>
              <w:t>5% of South Africa’s money supply is created by government (Reserve Bank) while the 95% comes from the private commercial banks. Money creation and allocation power vests with commercial banks - the Big Four, yet the prerogative for money creation lies with the state. Our laws do not recognise this transfer of such immense power from state to individuals and firms. Once we recognise this 95% reality, it stands to reason that some kind of responsibility goes with the privilege.</w:t>
            </w:r>
          </w:p>
          <w:p w:rsidR="00312E22" w:rsidRPr="0027083E" w:rsidRDefault="00312E22" w:rsidP="00936EE2">
            <w:pPr>
              <w:pStyle w:val="ListParagraph"/>
              <w:numPr>
                <w:ilvl w:val="0"/>
                <w:numId w:val="52"/>
              </w:numPr>
              <w:rPr>
                <w:rFonts w:eastAsia="Times New Roman" w:cs="Helvetica"/>
                <w:b/>
                <w:color w:val="333333"/>
                <w:u w:val="single"/>
              </w:rPr>
            </w:pPr>
            <w:r w:rsidRPr="0027083E">
              <w:rPr>
                <w:rFonts w:eastAsia="Times New Roman" w:cs="Helvetica"/>
                <w:color w:val="333333"/>
              </w:rPr>
              <w:t>Banks do not consider or even care about the macroeconomic and related economic and social implications of their power to create and allocate money. The state does not know that it has abrogated its responsibilities and rights to banks, and it does not even know how much poverty and unemployment including crises are caused by banks. Banks shape the economy whether we like it or not. We either choose to leave it that way or do something now urgently.</w:t>
            </w:r>
          </w:p>
          <w:p w:rsidR="00312E22" w:rsidRPr="0027083E" w:rsidRDefault="00312E22" w:rsidP="00312E22">
            <w:pPr>
              <w:rPr>
                <w:rFonts w:eastAsia="Times New Roman" w:cs="Helvetica"/>
                <w:b/>
                <w:color w:val="333333"/>
                <w:u w:val="single"/>
              </w:rPr>
            </w:pPr>
            <w:r w:rsidRPr="0027083E">
              <w:rPr>
                <w:rFonts w:eastAsia="Times New Roman" w:cs="Helvetica"/>
                <w:color w:val="333333"/>
              </w:rPr>
              <w:br/>
            </w:r>
            <w:r w:rsidR="00142063" w:rsidRPr="0027083E">
              <w:rPr>
                <w:rFonts w:cs="Tahoma"/>
                <w:b/>
                <w:u w:val="single"/>
              </w:rPr>
              <w:t>Recommendations</w:t>
            </w:r>
            <w:r w:rsidR="00142063">
              <w:rPr>
                <w:rFonts w:cs="Tahoma"/>
                <w:b/>
                <w:u w:val="single"/>
              </w:rPr>
              <w:t xml:space="preserve"> contained in submission</w:t>
            </w:r>
            <w:r w:rsidR="00142063" w:rsidRPr="0027083E">
              <w:rPr>
                <w:rFonts w:cs="Tahoma"/>
                <w:b/>
                <w:u w:val="single"/>
              </w:rPr>
              <w:t>:</w:t>
            </w:r>
          </w:p>
          <w:p w:rsidR="00312E22" w:rsidRPr="0027083E" w:rsidRDefault="00312E22" w:rsidP="00936EE2">
            <w:pPr>
              <w:pStyle w:val="ListParagraph"/>
              <w:numPr>
                <w:ilvl w:val="0"/>
                <w:numId w:val="53"/>
              </w:numPr>
              <w:rPr>
                <w:rFonts w:eastAsia="Times New Roman" w:cs="Helvetica"/>
                <w:b/>
                <w:bCs/>
                <w:color w:val="333333"/>
              </w:rPr>
            </w:pPr>
            <w:r w:rsidRPr="0027083E">
              <w:rPr>
                <w:rFonts w:eastAsia="Times New Roman" w:cs="Helvetica"/>
                <w:color w:val="333333"/>
              </w:rPr>
              <w:t>The Reserve Bank must be subjected to democratic control and fall under Treasury, and its mandate of price stability be changed to include targeting unemployment. The Reserve Bank should be instructed by Parliament to supply sovereign money to all state banks and public banks, new or old.</w:t>
            </w:r>
            <w:r w:rsidRPr="0027083E">
              <w:rPr>
                <w:rFonts w:eastAsia="Times New Roman" w:cs="Helvetica"/>
                <w:color w:val="333333"/>
              </w:rPr>
              <w:br/>
              <w:t>No state bank should ever go to markets for money, but to the Reserve Bank only.</w:t>
            </w:r>
          </w:p>
          <w:p w:rsidR="00312E22" w:rsidRPr="0027083E" w:rsidRDefault="00312E22" w:rsidP="00936EE2">
            <w:pPr>
              <w:pStyle w:val="ListParagraph"/>
              <w:numPr>
                <w:ilvl w:val="0"/>
                <w:numId w:val="53"/>
              </w:numPr>
              <w:rPr>
                <w:rFonts w:eastAsia="Times New Roman" w:cs="Helvetica"/>
                <w:b/>
                <w:bCs/>
                <w:color w:val="333333"/>
              </w:rPr>
            </w:pPr>
            <w:r w:rsidRPr="0027083E">
              <w:rPr>
                <w:rFonts w:eastAsia="Times New Roman" w:cs="Helvetica"/>
                <w:color w:val="333333"/>
              </w:rPr>
              <w:t xml:space="preserve">New policy banks (state banks) to be created. Public banks (Community, Regional Government Banks) catering for SMMEs should be in place: All of them should not be for profit. Community public banks should also include co-operatives. </w:t>
            </w:r>
          </w:p>
          <w:p w:rsidR="00312E22" w:rsidRPr="0027083E" w:rsidRDefault="00312E22" w:rsidP="00936EE2">
            <w:pPr>
              <w:pStyle w:val="ListParagraph"/>
              <w:numPr>
                <w:ilvl w:val="0"/>
                <w:numId w:val="53"/>
              </w:numPr>
              <w:rPr>
                <w:rFonts w:eastAsia="Times New Roman" w:cs="Helvetica"/>
                <w:b/>
                <w:bCs/>
                <w:color w:val="333333"/>
              </w:rPr>
            </w:pPr>
            <w:r w:rsidRPr="0027083E">
              <w:rPr>
                <w:rFonts w:eastAsia="Times New Roman" w:cs="Helvetica"/>
                <w:color w:val="333333"/>
              </w:rPr>
              <w:t xml:space="preserve">New macro-prudential policies must be put in place; and credit guidance should be at the centre of all public banks. </w:t>
            </w:r>
            <w:r w:rsidRPr="0027083E">
              <w:rPr>
                <w:rFonts w:eastAsia="Times New Roman" w:cs="Helvetica"/>
                <w:color w:val="333333"/>
              </w:rPr>
              <w:br/>
            </w:r>
          </w:p>
        </w:tc>
      </w:tr>
      <w:tr w:rsidR="00312E22" w:rsidRPr="0027083E" w:rsidTr="0027083E">
        <w:tc>
          <w:tcPr>
            <w:tcW w:w="1219" w:type="pct"/>
          </w:tcPr>
          <w:p w:rsidR="00312E22" w:rsidRPr="0027083E" w:rsidRDefault="00312E22" w:rsidP="00312E22">
            <w:pPr>
              <w:rPr>
                <w:b/>
              </w:rPr>
            </w:pPr>
            <w:r w:rsidRPr="0027083E">
              <w:rPr>
                <w:b/>
              </w:rPr>
              <w:t>Keith Levenstein</w:t>
            </w:r>
          </w:p>
        </w:tc>
        <w:tc>
          <w:tcPr>
            <w:tcW w:w="3781" w:type="pct"/>
          </w:tcPr>
          <w:p w:rsidR="00312E22" w:rsidRPr="0027083E" w:rsidRDefault="00312E22" w:rsidP="00312E22">
            <w:pPr>
              <w:rPr>
                <w:b/>
                <w:u w:val="single"/>
              </w:rPr>
            </w:pPr>
            <w:r w:rsidRPr="0027083E">
              <w:rPr>
                <w:b/>
                <w:u w:val="single"/>
              </w:rPr>
              <w:t>Intro:</w:t>
            </w:r>
          </w:p>
          <w:p w:rsidR="00312E22" w:rsidRPr="0027083E" w:rsidRDefault="00312E22" w:rsidP="00312E22">
            <w:r w:rsidRPr="0027083E">
              <w:t>The presentation provides an overview of the B-BBEE Act as well as the relationship thereof the FSC.</w:t>
            </w:r>
          </w:p>
          <w:p w:rsidR="00312E22" w:rsidRPr="0027083E" w:rsidRDefault="00312E22" w:rsidP="00312E22"/>
          <w:p w:rsidR="00312E22" w:rsidRPr="0027083E" w:rsidRDefault="00312E22" w:rsidP="00312E22">
            <w:pPr>
              <w:rPr>
                <w:b/>
                <w:u w:val="single"/>
              </w:rPr>
            </w:pPr>
            <w:r w:rsidRPr="0027083E">
              <w:rPr>
                <w:b/>
                <w:u w:val="single"/>
              </w:rPr>
              <w:t>Current assessment of transformation:</w:t>
            </w:r>
          </w:p>
          <w:p w:rsidR="00312E22" w:rsidRPr="0027083E" w:rsidRDefault="00312E22" w:rsidP="00936EE2">
            <w:pPr>
              <w:pStyle w:val="ListParagraph"/>
              <w:numPr>
                <w:ilvl w:val="0"/>
                <w:numId w:val="37"/>
              </w:numPr>
            </w:pPr>
            <w:r w:rsidRPr="0027083E">
              <w:t>The minister has issued many comments and gazettes in trying to ensure that the sector codes would be aligned with the Amended Codes. At the time (2013) 9 sectors had their own sector codes (FSC, Transport, AgriBEE, Property, ICT, Construction, Chartered Accountancy and Forestry and Tourism).</w:t>
            </w:r>
          </w:p>
          <w:p w:rsidR="00312E22" w:rsidRPr="0027083E" w:rsidRDefault="00312E22" w:rsidP="00936EE2">
            <w:pPr>
              <w:pStyle w:val="ListParagraph"/>
              <w:numPr>
                <w:ilvl w:val="0"/>
                <w:numId w:val="37"/>
              </w:numPr>
            </w:pPr>
            <w:r w:rsidRPr="0027083E">
              <w:t>In March 2014 the minister issued notice 226 of 2014 stating that the transitional period would end on 30 April 2015. Therefore the Amended Codes of Good Practice came into effect on 1 May 2015. At the time the Amended codes, i.e. those emphasizing a stronger transformation policy, only affected industries that did not have a sector code. The existing sector codes remained in place, and would have to remain in place until amended or repealed.</w:t>
            </w:r>
          </w:p>
          <w:p w:rsidR="00312E22" w:rsidRPr="0027083E" w:rsidRDefault="00312E22" w:rsidP="00936EE2">
            <w:pPr>
              <w:pStyle w:val="ListParagraph"/>
              <w:numPr>
                <w:ilvl w:val="0"/>
                <w:numId w:val="37"/>
              </w:numPr>
              <w:rPr>
                <w:b/>
                <w:u w:val="single"/>
              </w:rPr>
            </w:pPr>
            <w:r w:rsidRPr="0027083E">
              <w:t>The minister stated in May 2015 that he wished to repeal all sector codes if they were not aligned by October 2015. To date, March 2017, nearly two years later he has not followed up on his intention with regards to FSC.</w:t>
            </w:r>
          </w:p>
          <w:p w:rsidR="00312E22" w:rsidRPr="0027083E" w:rsidRDefault="00312E22" w:rsidP="00312E22">
            <w:pPr>
              <w:pStyle w:val="ListParagraph"/>
              <w:rPr>
                <w:b/>
                <w:u w:val="single"/>
              </w:rPr>
            </w:pPr>
          </w:p>
          <w:p w:rsidR="00312E22" w:rsidRPr="0027083E" w:rsidRDefault="00312E22" w:rsidP="00312E22">
            <w:pPr>
              <w:rPr>
                <w:b/>
                <w:u w:val="single"/>
              </w:rPr>
            </w:pPr>
            <w:r w:rsidRPr="0027083E">
              <w:rPr>
                <w:b/>
                <w:u w:val="single"/>
              </w:rPr>
              <w:t>Challenges/concerns raised:</w:t>
            </w:r>
          </w:p>
          <w:p w:rsidR="00312E22" w:rsidRPr="0027083E" w:rsidRDefault="00312E22" w:rsidP="00936EE2">
            <w:pPr>
              <w:pStyle w:val="ListParagraph"/>
              <w:numPr>
                <w:ilvl w:val="0"/>
                <w:numId w:val="36"/>
              </w:numPr>
            </w:pPr>
            <w:r w:rsidRPr="0027083E">
              <w:t xml:space="preserve">The delay in finalizing the FSC is responsible for lower levels of transformation. </w:t>
            </w:r>
          </w:p>
          <w:p w:rsidR="00312E22" w:rsidRPr="0027083E" w:rsidRDefault="00312E22" w:rsidP="00936EE2">
            <w:pPr>
              <w:pStyle w:val="ListParagraph"/>
              <w:numPr>
                <w:ilvl w:val="0"/>
                <w:numId w:val="36"/>
              </w:numPr>
            </w:pPr>
            <w:r w:rsidRPr="0027083E">
              <w:t>The FSC Council is dysfunctional and needs to be improved.</w:t>
            </w:r>
          </w:p>
          <w:p w:rsidR="00312E22" w:rsidRPr="0027083E" w:rsidRDefault="00312E22" w:rsidP="00936EE2">
            <w:pPr>
              <w:pStyle w:val="ListParagraph"/>
              <w:numPr>
                <w:ilvl w:val="0"/>
                <w:numId w:val="36"/>
              </w:numPr>
            </w:pPr>
            <w:r w:rsidRPr="0027083E">
              <w:t>The objective of a sector code is to achieve more transformation than the generic codes would require but this is currently not the case, sector codes are more lenient</w:t>
            </w:r>
          </w:p>
          <w:p w:rsidR="00312E22" w:rsidRPr="0027083E" w:rsidRDefault="00312E22" w:rsidP="00936EE2">
            <w:pPr>
              <w:pStyle w:val="ListParagraph"/>
              <w:numPr>
                <w:ilvl w:val="0"/>
                <w:numId w:val="36"/>
              </w:numPr>
            </w:pPr>
            <w:r w:rsidRPr="0027083E">
              <w:t>Annual reports are to being produced by the FS as is required by the generic codes.</w:t>
            </w:r>
          </w:p>
          <w:p w:rsidR="00312E22" w:rsidRPr="0027083E" w:rsidRDefault="00312E22" w:rsidP="00312E22">
            <w:pPr>
              <w:pStyle w:val="ListParagraph"/>
            </w:pPr>
          </w:p>
          <w:p w:rsidR="00142063" w:rsidRPr="0027083E" w:rsidRDefault="00142063" w:rsidP="00142063">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312E22" w:rsidRPr="0027083E" w:rsidRDefault="00312E22" w:rsidP="00936EE2">
            <w:pPr>
              <w:pStyle w:val="ListParagraph"/>
              <w:numPr>
                <w:ilvl w:val="0"/>
                <w:numId w:val="36"/>
              </w:numPr>
            </w:pPr>
            <w:r w:rsidRPr="0027083E">
              <w:t>The FSC needs to berepealed until such time as an amended FSC can be issued.</w:t>
            </w:r>
          </w:p>
          <w:p w:rsidR="00312E22" w:rsidRPr="0027083E" w:rsidRDefault="00312E22" w:rsidP="00936EE2">
            <w:pPr>
              <w:pStyle w:val="ListParagraph"/>
              <w:numPr>
                <w:ilvl w:val="0"/>
                <w:numId w:val="36"/>
              </w:numPr>
            </w:pPr>
            <w:r w:rsidRPr="0027083E">
              <w:t>The FS must follow the amended generic codes until such time as a final FSC can be issued.</w:t>
            </w:r>
          </w:p>
          <w:p w:rsidR="00312E22" w:rsidRPr="0027083E" w:rsidRDefault="00312E22" w:rsidP="00936EE2">
            <w:pPr>
              <w:pStyle w:val="ListParagraph"/>
              <w:numPr>
                <w:ilvl w:val="0"/>
                <w:numId w:val="36"/>
              </w:numPr>
            </w:pPr>
            <w:r w:rsidRPr="0027083E">
              <w:t>I recommend the FSC Council be disbanded in line with the FSC being repealed and reconstituted properly with better oversight.</w:t>
            </w:r>
          </w:p>
          <w:p w:rsidR="00312E22" w:rsidRPr="0027083E" w:rsidRDefault="00312E22" w:rsidP="00312E22"/>
        </w:tc>
      </w:tr>
      <w:tr w:rsidR="00312E22" w:rsidRPr="0027083E" w:rsidTr="0027083E">
        <w:tc>
          <w:tcPr>
            <w:tcW w:w="1219" w:type="pct"/>
          </w:tcPr>
          <w:p w:rsidR="00312E22" w:rsidRPr="0027083E" w:rsidRDefault="00312E22" w:rsidP="00312E22">
            <w:pPr>
              <w:contextualSpacing/>
              <w:rPr>
                <w:rFonts w:cs="Tahoma"/>
                <w:b/>
                <w:color w:val="000000"/>
              </w:rPr>
            </w:pPr>
            <w:r w:rsidRPr="0027083E">
              <w:rPr>
                <w:rFonts w:cs="Tahoma"/>
                <w:b/>
                <w:color w:val="000000"/>
              </w:rPr>
              <w:lastRenderedPageBreak/>
              <w:t>Brigitte Brun</w:t>
            </w:r>
          </w:p>
        </w:tc>
        <w:tc>
          <w:tcPr>
            <w:tcW w:w="3781" w:type="pct"/>
          </w:tcPr>
          <w:p w:rsidR="00312E22" w:rsidRPr="0027083E" w:rsidRDefault="00312E22" w:rsidP="00312E22">
            <w:pPr>
              <w:rPr>
                <w:rFonts w:cs="Tahoma"/>
                <w:b/>
                <w:color w:val="000000"/>
                <w:u w:val="single"/>
              </w:rPr>
            </w:pPr>
            <w:r w:rsidRPr="0027083E">
              <w:rPr>
                <w:rFonts w:cs="Tahoma"/>
                <w:b/>
                <w:color w:val="000000"/>
                <w:u w:val="single"/>
              </w:rPr>
              <w:t>Intro:</w:t>
            </w:r>
          </w:p>
          <w:p w:rsidR="00312E22" w:rsidRPr="0027083E" w:rsidRDefault="00312E22" w:rsidP="00312E22">
            <w:pPr>
              <w:rPr>
                <w:rFonts w:cs="Tahoma"/>
                <w:color w:val="000000"/>
              </w:rPr>
            </w:pPr>
            <w:r w:rsidRPr="0027083E">
              <w:rPr>
                <w:rFonts w:cs="Tahoma"/>
                <w:color w:val="000000"/>
              </w:rPr>
              <w:t>A concern with regard to the draft Amended FinancialSector Code Gazette No.39818 issued on the 17th March 2016 was raised as they are perceived to be detrimental to Black African South Africans and will not assist in thetransformation of the Banking Sector for Black African people.</w:t>
            </w:r>
          </w:p>
          <w:p w:rsidR="00312E22" w:rsidRPr="0027083E" w:rsidRDefault="00312E22" w:rsidP="00312E22">
            <w:pPr>
              <w:rPr>
                <w:rFonts w:cs="Tahoma"/>
                <w:color w:val="000000"/>
              </w:rPr>
            </w:pPr>
          </w:p>
          <w:p w:rsidR="00312E22" w:rsidRPr="0027083E" w:rsidRDefault="00312E22" w:rsidP="00312E22">
            <w:pPr>
              <w:rPr>
                <w:b/>
                <w:u w:val="single"/>
              </w:rPr>
            </w:pPr>
            <w:r w:rsidRPr="0027083E">
              <w:rPr>
                <w:b/>
                <w:u w:val="single"/>
              </w:rPr>
              <w:lastRenderedPageBreak/>
              <w:t>Challenges/concerns raised:</w:t>
            </w:r>
          </w:p>
          <w:p w:rsidR="00312E22" w:rsidRPr="0027083E" w:rsidRDefault="00312E22" w:rsidP="00936EE2">
            <w:pPr>
              <w:pStyle w:val="ListParagraph"/>
              <w:numPr>
                <w:ilvl w:val="0"/>
                <w:numId w:val="47"/>
              </w:numPr>
              <w:rPr>
                <w:rFonts w:cs="Tahoma"/>
                <w:color w:val="000000"/>
              </w:rPr>
            </w:pPr>
            <w:r w:rsidRPr="0027083E">
              <w:rPr>
                <w:rFonts w:cs="Tahoma"/>
                <w:color w:val="000000"/>
              </w:rPr>
              <w:t>Statement FS200: Measurement of the Management Control element of Broad-Based Black Economic Empowerment(B-BBEE) - deviates from the generic codes by allocating “a meagre bonus</w:t>
            </w:r>
          </w:p>
          <w:p w:rsidR="00312E22" w:rsidRPr="0027083E" w:rsidRDefault="00312E22" w:rsidP="00312E22">
            <w:pPr>
              <w:pStyle w:val="ListParagraph"/>
              <w:rPr>
                <w:rFonts w:cs="Tahoma"/>
                <w:color w:val="000000"/>
              </w:rPr>
            </w:pPr>
            <w:r w:rsidRPr="0027083E">
              <w:rPr>
                <w:rFonts w:cs="Tahoma"/>
                <w:color w:val="000000"/>
              </w:rPr>
              <w:t>point” to Financial companies if their staff compliment is made up of Black AfricanSouth Africans.In essence a Financial Institution could employ no Black African South Africans at allin its institution and only lose a total of 5 out of 20 points on the Management ControlScorecard</w:t>
            </w:r>
          </w:p>
          <w:p w:rsidR="00312E22" w:rsidRPr="0027083E" w:rsidRDefault="00312E22" w:rsidP="00936EE2">
            <w:pPr>
              <w:pStyle w:val="ListParagraph"/>
              <w:numPr>
                <w:ilvl w:val="0"/>
                <w:numId w:val="47"/>
              </w:numPr>
              <w:rPr>
                <w:rFonts w:cs="Tahoma"/>
                <w:color w:val="000000"/>
              </w:rPr>
            </w:pPr>
            <w:r w:rsidRPr="0027083E">
              <w:rPr>
                <w:rFonts w:cs="Tahoma"/>
                <w:color w:val="000000"/>
              </w:rPr>
              <w:t xml:space="preserve">Statement FS300: Measurement of the Skills Development element of B-BBEE - no obligation to spend any training development spend on Black African South Africans and full points can be scored by the Financial Institution.  </w:t>
            </w:r>
          </w:p>
          <w:p w:rsidR="00312E22" w:rsidRPr="0027083E" w:rsidRDefault="00312E22" w:rsidP="00312E22">
            <w:pPr>
              <w:rPr>
                <w:rFonts w:cs="Tahoma"/>
                <w:color w:val="000000"/>
              </w:rPr>
            </w:pPr>
          </w:p>
        </w:tc>
      </w:tr>
      <w:tr w:rsidR="00312E22" w:rsidRPr="0027083E" w:rsidTr="0027083E">
        <w:tc>
          <w:tcPr>
            <w:tcW w:w="1219" w:type="pct"/>
          </w:tcPr>
          <w:p w:rsidR="00312E22" w:rsidRPr="0027083E" w:rsidRDefault="00312E22" w:rsidP="00312E22">
            <w:pPr>
              <w:rPr>
                <w:rFonts w:cs="Tahoma"/>
                <w:b/>
              </w:rPr>
            </w:pPr>
            <w:r w:rsidRPr="0027083E">
              <w:rPr>
                <w:rFonts w:cs="Tahoma"/>
                <w:b/>
              </w:rPr>
              <w:lastRenderedPageBreak/>
              <w:t>Osiba Holdings</w:t>
            </w:r>
            <w:r w:rsidRPr="0027083E">
              <w:rPr>
                <w:rFonts w:cs="Tahoma"/>
                <w:b/>
              </w:rPr>
              <w:tab/>
            </w:r>
          </w:p>
        </w:tc>
        <w:tc>
          <w:tcPr>
            <w:tcW w:w="3781" w:type="pct"/>
          </w:tcPr>
          <w:p w:rsidR="00312E22" w:rsidRPr="0027083E" w:rsidRDefault="00312E22" w:rsidP="00312E22">
            <w:pPr>
              <w:rPr>
                <w:rFonts w:cs="Tahoma"/>
                <w:b/>
                <w:u w:val="single"/>
              </w:rPr>
            </w:pPr>
            <w:r w:rsidRPr="0027083E">
              <w:rPr>
                <w:rFonts w:cs="Tahoma"/>
                <w:b/>
                <w:u w:val="single"/>
              </w:rPr>
              <w:t>Intro:</w:t>
            </w:r>
          </w:p>
          <w:p w:rsidR="00312E22" w:rsidRPr="0027083E" w:rsidRDefault="00312E22" w:rsidP="00312E22">
            <w:pPr>
              <w:rPr>
                <w:rFonts w:cs="Tahoma"/>
              </w:rPr>
            </w:pPr>
            <w:r w:rsidRPr="0027083E">
              <w:rPr>
                <w:rFonts w:cs="Tahoma"/>
              </w:rPr>
              <w:t>It is generally recognised in small business development circles internationally that business advising plays a crucial role in enabling small businesses to survive their early years and grow, as the quotes below clearly indicate.</w:t>
            </w:r>
          </w:p>
          <w:p w:rsidR="00312E22" w:rsidRPr="0027083E" w:rsidRDefault="00312E22" w:rsidP="00312E22">
            <w:pPr>
              <w:rPr>
                <w:rFonts w:cs="Tahoma"/>
                <w:b/>
                <w:u w:val="single"/>
              </w:rPr>
            </w:pPr>
          </w:p>
          <w:p w:rsidR="00312E22" w:rsidRPr="0027083E" w:rsidRDefault="00312E22" w:rsidP="00312E22">
            <w:pPr>
              <w:rPr>
                <w:rFonts w:cs="Tahoma"/>
              </w:rPr>
            </w:pPr>
            <w:r w:rsidRPr="0027083E">
              <w:rPr>
                <w:rFonts w:cs="Tahoma"/>
              </w:rPr>
              <w:t>Credit guarantee schemes play an important role in mitigating the risk of lending to SMMEs and thereby increasing access to finance by SMMEs.</w:t>
            </w:r>
          </w:p>
          <w:p w:rsidR="00312E22" w:rsidRPr="0027083E" w:rsidRDefault="00312E22" w:rsidP="00312E22">
            <w:pPr>
              <w:rPr>
                <w:rFonts w:cs="Tahoma"/>
                <w:b/>
                <w:u w:val="single"/>
              </w:rPr>
            </w:pPr>
          </w:p>
          <w:p w:rsidR="00312E22" w:rsidRPr="0027083E" w:rsidRDefault="00312E22" w:rsidP="00312E22">
            <w:pPr>
              <w:rPr>
                <w:b/>
                <w:u w:val="single"/>
              </w:rPr>
            </w:pPr>
            <w:r w:rsidRPr="0027083E">
              <w:rPr>
                <w:b/>
                <w:u w:val="single"/>
              </w:rPr>
              <w:t>Challenges/concerns raised:</w:t>
            </w:r>
          </w:p>
          <w:p w:rsidR="00312E22" w:rsidRPr="0027083E" w:rsidRDefault="00312E22" w:rsidP="00312E22">
            <w:pPr>
              <w:rPr>
                <w:rFonts w:cs="Tahoma"/>
              </w:rPr>
            </w:pPr>
            <w:r w:rsidRPr="0027083E">
              <w:rPr>
                <w:rFonts w:cs="Tahoma"/>
              </w:rPr>
              <w:t>The work we did with the motor body repair industry showed clearly that one of the biggest challenges faced by small, mainly black-owned motor body repairers, is lack of access to insurance work - Short-term insurers play an important role in channeling body repair work and they use a panel system that excludes the majority of black-owned panelbeating shops and favours established, mainly white-owned, repairers.</w:t>
            </w:r>
          </w:p>
          <w:p w:rsidR="00312E22" w:rsidRPr="0027083E" w:rsidRDefault="00312E22" w:rsidP="00312E22">
            <w:pPr>
              <w:rPr>
                <w:b/>
                <w:u w:val="single"/>
              </w:rPr>
            </w:pPr>
          </w:p>
          <w:p w:rsidR="007267AD" w:rsidRPr="0027083E" w:rsidRDefault="007267AD" w:rsidP="007267AD">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312E22" w:rsidRPr="0027083E" w:rsidRDefault="00312E22" w:rsidP="00936EE2">
            <w:pPr>
              <w:pStyle w:val="ListParagraph"/>
              <w:numPr>
                <w:ilvl w:val="0"/>
                <w:numId w:val="47"/>
              </w:numPr>
              <w:rPr>
                <w:rFonts w:cs="Tahoma"/>
              </w:rPr>
            </w:pPr>
            <w:r w:rsidRPr="0027083E">
              <w:rPr>
                <w:rFonts w:cs="Tahoma"/>
              </w:rPr>
              <w:t>Commercial banks should be required to establish and fund a universal business advisory service open to all small businesses, regardless of whether or not they are bank clients.</w:t>
            </w:r>
          </w:p>
          <w:p w:rsidR="00312E22" w:rsidRPr="0027083E" w:rsidRDefault="00312E22" w:rsidP="00936EE2">
            <w:pPr>
              <w:pStyle w:val="ListParagraph"/>
              <w:numPr>
                <w:ilvl w:val="0"/>
                <w:numId w:val="47"/>
              </w:numPr>
              <w:rPr>
                <w:rFonts w:cs="Tahoma"/>
              </w:rPr>
            </w:pPr>
            <w:r w:rsidRPr="0027083E">
              <w:rPr>
                <w:rFonts w:cs="Tahoma"/>
              </w:rPr>
              <w:t xml:space="preserve">Banks should be required to constructively re-engage with the Khula Credit Guarantee Scheme so that the quantum of lending to SMMEs can be significantly improved. Where there are problems with the scheme – either in terms of design of execution – these should be resolved collaboratively and constructively instead of simply dumping the scheme altogether. Should </w:t>
            </w:r>
            <w:r w:rsidRPr="0027083E">
              <w:rPr>
                <w:rFonts w:cs="Tahoma"/>
              </w:rPr>
              <w:lastRenderedPageBreak/>
              <w:t>banks not be willing to collaborate with the scheme, they should then be required to introduce other innovative instruments to enable increased lending to SMMEs.</w:t>
            </w:r>
          </w:p>
          <w:p w:rsidR="00312E22" w:rsidRPr="0027083E" w:rsidRDefault="00312E22" w:rsidP="00936EE2">
            <w:pPr>
              <w:pStyle w:val="ListParagraph"/>
              <w:numPr>
                <w:ilvl w:val="0"/>
                <w:numId w:val="47"/>
              </w:numPr>
              <w:rPr>
                <w:rFonts w:cs="Tahoma"/>
              </w:rPr>
            </w:pPr>
            <w:r w:rsidRPr="0027083E">
              <w:rPr>
                <w:rFonts w:cs="Tahoma"/>
              </w:rPr>
              <w:t>Short term insurers, should be required to put in place a mechanism to significantly increase the quantum of repair work available to small, mainly black-owned body repairers nationally, and should be closely monitored and required to report regularly on this.</w:t>
            </w:r>
          </w:p>
          <w:p w:rsidR="00312E22" w:rsidRPr="0027083E" w:rsidRDefault="00312E22" w:rsidP="00312E22">
            <w:pPr>
              <w:rPr>
                <w:rFonts w:cs="Tahoma"/>
              </w:rPr>
            </w:pPr>
          </w:p>
        </w:tc>
      </w:tr>
      <w:tr w:rsidR="00312E22" w:rsidRPr="0027083E" w:rsidTr="0027083E">
        <w:tc>
          <w:tcPr>
            <w:tcW w:w="1219" w:type="pct"/>
          </w:tcPr>
          <w:p w:rsidR="00312E22" w:rsidRPr="0027083E" w:rsidRDefault="00312E22" w:rsidP="00312E22">
            <w:pPr>
              <w:rPr>
                <w:rFonts w:cs="Tahoma"/>
                <w:b/>
              </w:rPr>
            </w:pPr>
            <w:r w:rsidRPr="0027083E">
              <w:rPr>
                <w:rFonts w:cs="Tahoma"/>
                <w:b/>
              </w:rPr>
              <w:lastRenderedPageBreak/>
              <w:t>Yvonne Oberholzer</w:t>
            </w:r>
          </w:p>
        </w:tc>
        <w:tc>
          <w:tcPr>
            <w:tcW w:w="3781" w:type="pct"/>
          </w:tcPr>
          <w:p w:rsidR="00312E22" w:rsidRPr="0027083E" w:rsidRDefault="00312E22" w:rsidP="00312E22">
            <w:pPr>
              <w:rPr>
                <w:rFonts w:cs="Tahoma"/>
                <w:b/>
                <w:u w:val="single"/>
              </w:rPr>
            </w:pPr>
            <w:r w:rsidRPr="0027083E">
              <w:rPr>
                <w:rFonts w:cs="Tahoma"/>
                <w:b/>
                <w:u w:val="single"/>
              </w:rPr>
              <w:t>Intro:</w:t>
            </w:r>
          </w:p>
          <w:p w:rsidR="00312E22" w:rsidRPr="0027083E" w:rsidRDefault="00312E22" w:rsidP="00312E22">
            <w:pPr>
              <w:rPr>
                <w:rFonts w:cs="Tahoma"/>
              </w:rPr>
            </w:pPr>
            <w:r w:rsidRPr="0027083E">
              <w:rPr>
                <w:rFonts w:cs="Tahoma"/>
              </w:rPr>
              <w:t xml:space="preserve">The submission was provided on the premise of informing the house on the undue sequestration process undertaken by ABSA against Y Oberholzer by taking advantage of  section 8(g) of the insolvency act of 1936 which has now been amended by section 8(A) as highlight some of the unjust malpractices by ABSA. </w:t>
            </w:r>
          </w:p>
          <w:p w:rsidR="00312E22" w:rsidRPr="0027083E" w:rsidRDefault="00312E22" w:rsidP="00312E22">
            <w:pPr>
              <w:rPr>
                <w:rFonts w:cs="Tahoma"/>
              </w:rPr>
            </w:pPr>
          </w:p>
          <w:p w:rsidR="00312E22" w:rsidRPr="0027083E" w:rsidRDefault="00312E22" w:rsidP="00312E22">
            <w:pPr>
              <w:rPr>
                <w:b/>
                <w:u w:val="single"/>
              </w:rPr>
            </w:pPr>
            <w:r w:rsidRPr="0027083E">
              <w:rPr>
                <w:b/>
                <w:u w:val="single"/>
              </w:rPr>
              <w:t>Challenges/concerns raised:</w:t>
            </w:r>
          </w:p>
          <w:p w:rsidR="00312E22" w:rsidRPr="0027083E" w:rsidRDefault="00312E22" w:rsidP="00936EE2">
            <w:pPr>
              <w:pStyle w:val="ListParagraph"/>
              <w:numPr>
                <w:ilvl w:val="0"/>
                <w:numId w:val="69"/>
              </w:numPr>
              <w:rPr>
                <w:rFonts w:cs="Tahoma"/>
              </w:rPr>
            </w:pPr>
            <w:r w:rsidRPr="0027083E">
              <w:rPr>
                <w:rFonts w:cs="Tahoma"/>
              </w:rPr>
              <w:t xml:space="preserve">The banking code of practice states that a client should be referred to a debt counsellor to avoid sequestration but even under debt review sequestration could not be halted. </w:t>
            </w:r>
          </w:p>
          <w:p w:rsidR="00312E22" w:rsidRPr="0027083E" w:rsidRDefault="00312E22" w:rsidP="00936EE2">
            <w:pPr>
              <w:pStyle w:val="ListParagraph"/>
              <w:numPr>
                <w:ilvl w:val="0"/>
                <w:numId w:val="69"/>
              </w:numPr>
              <w:rPr>
                <w:rFonts w:cs="Tahoma"/>
              </w:rPr>
            </w:pPr>
            <w:r w:rsidRPr="0027083E">
              <w:rPr>
                <w:rFonts w:cs="Tahoma"/>
              </w:rPr>
              <w:t xml:space="preserve">A forensic audit sponsored by a stranger was done on the mortgage bond account which ABSA used as the reason for sequestration and it was discovered that the account was overcharged. For 3 months requests for statements of the bond account have been sent to ABSA but these have not been provide yet. </w:t>
            </w:r>
          </w:p>
          <w:p w:rsidR="00312E22" w:rsidRPr="0027083E" w:rsidRDefault="00312E22" w:rsidP="00312E22">
            <w:pPr>
              <w:pStyle w:val="ListParagraph"/>
              <w:rPr>
                <w:rFonts w:cs="Tahoma"/>
              </w:rPr>
            </w:pPr>
          </w:p>
          <w:p w:rsidR="007267AD" w:rsidRPr="0027083E" w:rsidRDefault="007267AD" w:rsidP="007267AD">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312E22" w:rsidRPr="0027083E" w:rsidRDefault="00312E22" w:rsidP="00312E22">
            <w:pPr>
              <w:rPr>
                <w:rFonts w:cs="Tahoma"/>
              </w:rPr>
            </w:pPr>
            <w:r w:rsidRPr="0027083E">
              <w:rPr>
                <w:rFonts w:cs="Tahoma"/>
              </w:rPr>
              <w:t>The insolvency act dates back to colonial days and should be overhauled, as it is not in line with our constitution</w:t>
            </w:r>
          </w:p>
        </w:tc>
      </w:tr>
      <w:tr w:rsidR="00312E22" w:rsidRPr="0027083E" w:rsidTr="0027083E">
        <w:tc>
          <w:tcPr>
            <w:tcW w:w="1219" w:type="pct"/>
          </w:tcPr>
          <w:p w:rsidR="00312E22" w:rsidRPr="0027083E" w:rsidRDefault="00312E22" w:rsidP="00312E22">
            <w:pPr>
              <w:rPr>
                <w:rFonts w:cs="Tahoma"/>
                <w:b/>
                <w:color w:val="000000"/>
              </w:rPr>
            </w:pPr>
            <w:r w:rsidRPr="0027083E">
              <w:rPr>
                <w:rFonts w:cs="Tahoma"/>
                <w:b/>
                <w:color w:val="000000"/>
              </w:rPr>
              <w:t>Regiments</w:t>
            </w:r>
          </w:p>
        </w:tc>
        <w:tc>
          <w:tcPr>
            <w:tcW w:w="3781" w:type="pct"/>
          </w:tcPr>
          <w:p w:rsidR="00312E22" w:rsidRPr="0027083E" w:rsidRDefault="00312E22" w:rsidP="00312E22">
            <w:pPr>
              <w:rPr>
                <w:rFonts w:cs="Tahoma"/>
                <w:color w:val="000000"/>
              </w:rPr>
            </w:pPr>
            <w:r w:rsidRPr="0027083E">
              <w:rPr>
                <w:rFonts w:cs="Tahoma"/>
                <w:b/>
                <w:color w:val="000000"/>
                <w:u w:val="single"/>
              </w:rPr>
              <w:t>Issues identified</w:t>
            </w:r>
            <w:r w:rsidRPr="0027083E">
              <w:rPr>
                <w:rFonts w:cs="Tahoma"/>
                <w:color w:val="000000"/>
              </w:rPr>
              <w:t>:</w:t>
            </w:r>
          </w:p>
          <w:p w:rsidR="00312E22" w:rsidRPr="0027083E" w:rsidRDefault="00312E22" w:rsidP="00936EE2">
            <w:pPr>
              <w:pStyle w:val="ListParagraph"/>
              <w:numPr>
                <w:ilvl w:val="0"/>
                <w:numId w:val="74"/>
              </w:numPr>
              <w:rPr>
                <w:rFonts w:cs="Tahoma"/>
                <w:color w:val="000000"/>
              </w:rPr>
            </w:pPr>
            <w:r w:rsidRPr="0027083E">
              <w:rPr>
                <w:rFonts w:cs="Tahoma"/>
                <w:color w:val="000000"/>
              </w:rPr>
              <w:t>The sector focus is skewed to wealthy and high earners with limited innovation and competition compared to vibrant emerging markets.</w:t>
            </w:r>
          </w:p>
          <w:p w:rsidR="00312E22" w:rsidRPr="0027083E" w:rsidRDefault="00312E22" w:rsidP="00936EE2">
            <w:pPr>
              <w:pStyle w:val="ListParagraph"/>
              <w:numPr>
                <w:ilvl w:val="0"/>
                <w:numId w:val="74"/>
              </w:numPr>
              <w:rPr>
                <w:rFonts w:cs="Tahoma"/>
                <w:color w:val="000000"/>
              </w:rPr>
            </w:pPr>
            <w:r w:rsidRPr="0027083E">
              <w:rPr>
                <w:rFonts w:cs="Tahoma"/>
                <w:color w:val="000000"/>
              </w:rPr>
              <w:t>Credit Allocation, Interest and Service Charges are individual customer focused with no evident risk pooling or cross-subsidization. The poor borrow little and pay more.</w:t>
            </w:r>
          </w:p>
          <w:p w:rsidR="00312E22" w:rsidRPr="0027083E" w:rsidRDefault="00312E22" w:rsidP="00936EE2">
            <w:pPr>
              <w:pStyle w:val="ListParagraph"/>
              <w:numPr>
                <w:ilvl w:val="0"/>
                <w:numId w:val="74"/>
              </w:numPr>
              <w:rPr>
                <w:rFonts w:cs="Tahoma"/>
                <w:color w:val="000000"/>
              </w:rPr>
            </w:pPr>
            <w:r w:rsidRPr="0027083E">
              <w:rPr>
                <w:rFonts w:cs="Tahoma"/>
                <w:color w:val="000000"/>
              </w:rPr>
              <w:t>Capital Allocation is economically inefficient due to legislation, tax policy, gatekeeping and vertical integration.</w:t>
            </w:r>
          </w:p>
          <w:p w:rsidR="00312E22" w:rsidRPr="0027083E" w:rsidRDefault="00312E22" w:rsidP="00936EE2">
            <w:pPr>
              <w:pStyle w:val="ListParagraph"/>
              <w:numPr>
                <w:ilvl w:val="1"/>
                <w:numId w:val="74"/>
              </w:numPr>
              <w:rPr>
                <w:rFonts w:cs="Tahoma"/>
                <w:color w:val="000000"/>
              </w:rPr>
            </w:pPr>
            <w:r w:rsidRPr="0027083E">
              <w:rPr>
                <w:rFonts w:cs="Tahoma"/>
                <w:color w:val="000000"/>
              </w:rPr>
              <w:t>Regulation 28 limits asset allocation to alternative asset classes under the guise of prudence ignoring economic imperatives as expressed in the NDP.</w:t>
            </w:r>
          </w:p>
          <w:p w:rsidR="00312E22" w:rsidRPr="0027083E" w:rsidRDefault="00312E22" w:rsidP="00936EE2">
            <w:pPr>
              <w:pStyle w:val="ListParagraph"/>
              <w:numPr>
                <w:ilvl w:val="0"/>
                <w:numId w:val="74"/>
              </w:numPr>
              <w:rPr>
                <w:rFonts w:cs="Tahoma"/>
                <w:color w:val="000000"/>
              </w:rPr>
            </w:pPr>
            <w:r w:rsidRPr="0027083E">
              <w:rPr>
                <w:rFonts w:cs="Tahoma"/>
                <w:color w:val="000000"/>
              </w:rPr>
              <w:t xml:space="preserve">Provider-Customer power dynamic empowers customer with limited recourse in the face of </w:t>
            </w:r>
            <w:r w:rsidRPr="0027083E">
              <w:rPr>
                <w:rFonts w:cs="Tahoma"/>
                <w:color w:val="000000"/>
              </w:rPr>
              <w:lastRenderedPageBreak/>
              <w:t>procedural and substantive unfairness.</w:t>
            </w:r>
          </w:p>
          <w:p w:rsidR="00312E22" w:rsidRPr="0027083E" w:rsidRDefault="00312E22" w:rsidP="00312E22">
            <w:pPr>
              <w:rPr>
                <w:rFonts w:cs="Tahoma"/>
                <w:color w:val="000000"/>
              </w:rPr>
            </w:pPr>
          </w:p>
          <w:p w:rsidR="007267AD" w:rsidRPr="0027083E" w:rsidRDefault="007267AD" w:rsidP="007267AD">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312E22" w:rsidRPr="0027083E" w:rsidRDefault="00312E22" w:rsidP="00936EE2">
            <w:pPr>
              <w:pStyle w:val="ListParagraph"/>
              <w:numPr>
                <w:ilvl w:val="0"/>
                <w:numId w:val="70"/>
              </w:numPr>
              <w:rPr>
                <w:rFonts w:cs="Tahoma"/>
                <w:color w:val="000000"/>
              </w:rPr>
            </w:pPr>
            <w:r w:rsidRPr="0027083E">
              <w:rPr>
                <w:rFonts w:cs="Tahoma"/>
                <w:color w:val="000000"/>
              </w:rPr>
              <w:t>Sector arrangements with respect to transactional banking, insurance and the payments system, including the relevant legislation including the NPS Act must be reviewed and reformed in line with the recommendations of the Competition Commission Banking Enquiry of 2008to ensure true value for services, especially for the poor, is achieved</w:t>
            </w:r>
          </w:p>
          <w:p w:rsidR="00312E22" w:rsidRPr="0027083E" w:rsidRDefault="00312E22" w:rsidP="00936EE2">
            <w:pPr>
              <w:pStyle w:val="ListParagraph"/>
              <w:numPr>
                <w:ilvl w:val="0"/>
                <w:numId w:val="71"/>
              </w:numPr>
              <w:rPr>
                <w:rFonts w:cs="Tahoma"/>
                <w:color w:val="000000"/>
              </w:rPr>
            </w:pPr>
            <w:r w:rsidRPr="0027083E">
              <w:rPr>
                <w:rFonts w:cs="Tahoma"/>
                <w:color w:val="000000"/>
              </w:rPr>
              <w:t>Legislation for second and third tier banks</w:t>
            </w:r>
          </w:p>
          <w:p w:rsidR="00312E22" w:rsidRPr="0027083E" w:rsidRDefault="00312E22" w:rsidP="00936EE2">
            <w:pPr>
              <w:pStyle w:val="ListParagraph"/>
              <w:numPr>
                <w:ilvl w:val="0"/>
                <w:numId w:val="71"/>
              </w:numPr>
              <w:rPr>
                <w:rFonts w:cs="Tahoma"/>
                <w:color w:val="000000"/>
              </w:rPr>
            </w:pPr>
            <w:r w:rsidRPr="0027083E">
              <w:rPr>
                <w:rFonts w:cs="Tahoma"/>
                <w:color w:val="000000"/>
              </w:rPr>
              <w:t>Separation of acquirers from issuers</w:t>
            </w:r>
          </w:p>
          <w:p w:rsidR="00312E22" w:rsidRPr="0027083E" w:rsidRDefault="00312E22" w:rsidP="00312E22">
            <w:pPr>
              <w:pStyle w:val="ListParagraph"/>
              <w:ind w:left="1080"/>
              <w:rPr>
                <w:rFonts w:cs="Tahoma"/>
                <w:color w:val="000000"/>
              </w:rPr>
            </w:pPr>
          </w:p>
          <w:p w:rsidR="00312E22" w:rsidRPr="0027083E" w:rsidRDefault="00312E22" w:rsidP="00936EE2">
            <w:pPr>
              <w:pStyle w:val="ListParagraph"/>
              <w:numPr>
                <w:ilvl w:val="0"/>
                <w:numId w:val="71"/>
              </w:numPr>
              <w:rPr>
                <w:rFonts w:cs="Tahoma"/>
                <w:color w:val="000000"/>
              </w:rPr>
            </w:pPr>
            <w:r w:rsidRPr="0027083E">
              <w:rPr>
                <w:rFonts w:cs="Tahoma"/>
                <w:color w:val="000000"/>
              </w:rPr>
              <w:t>Equitable PASA membership that encourages innovation</w:t>
            </w:r>
          </w:p>
          <w:p w:rsidR="00312E22" w:rsidRPr="00746692" w:rsidRDefault="00312E22" w:rsidP="00312E22">
            <w:pPr>
              <w:rPr>
                <w:rFonts w:cs="Tahoma"/>
                <w:color w:val="000000"/>
              </w:rPr>
            </w:pPr>
          </w:p>
          <w:p w:rsidR="00312E22" w:rsidRPr="0027083E" w:rsidRDefault="00312E22" w:rsidP="00936EE2">
            <w:pPr>
              <w:pStyle w:val="ListParagraph"/>
              <w:numPr>
                <w:ilvl w:val="0"/>
                <w:numId w:val="70"/>
              </w:numPr>
              <w:rPr>
                <w:rFonts w:cs="Tahoma"/>
                <w:color w:val="000000"/>
              </w:rPr>
            </w:pPr>
            <w:r w:rsidRPr="0027083E">
              <w:rPr>
                <w:rFonts w:cs="Tahoma"/>
                <w:color w:val="000000"/>
              </w:rPr>
              <w:t>A solution must be designed and implemented that embodies principles of risk pooling, cross-subsidization and government guarantees to enable the poor to access credit at comparable rates to the wealthy or high earners.</w:t>
            </w:r>
          </w:p>
          <w:p w:rsidR="00312E22" w:rsidRPr="0027083E" w:rsidRDefault="00312E22" w:rsidP="00936EE2">
            <w:pPr>
              <w:pStyle w:val="ListParagraph"/>
              <w:numPr>
                <w:ilvl w:val="0"/>
                <w:numId w:val="72"/>
              </w:numPr>
              <w:rPr>
                <w:rFonts w:cs="Tahoma"/>
                <w:color w:val="000000"/>
              </w:rPr>
            </w:pPr>
            <w:r w:rsidRPr="0027083E">
              <w:rPr>
                <w:rFonts w:cs="Tahoma"/>
                <w:color w:val="000000"/>
              </w:rPr>
              <w:t>Credit allocation to the poor can be enhanced by risk pooling in the same manner as health and retirement insurance to eliminate the current cherry picking</w:t>
            </w:r>
          </w:p>
          <w:p w:rsidR="00312E22" w:rsidRPr="0027083E" w:rsidRDefault="00312E22" w:rsidP="00936EE2">
            <w:pPr>
              <w:pStyle w:val="ListParagraph"/>
              <w:numPr>
                <w:ilvl w:val="0"/>
                <w:numId w:val="72"/>
              </w:numPr>
              <w:rPr>
                <w:rFonts w:cs="Tahoma"/>
                <w:color w:val="000000"/>
              </w:rPr>
            </w:pPr>
            <w:r w:rsidRPr="0027083E">
              <w:rPr>
                <w:rFonts w:cs="Tahoma"/>
                <w:color w:val="000000"/>
              </w:rPr>
              <w:t>Availability of affordable credit backed by a government guaranteed structure</w:t>
            </w:r>
          </w:p>
          <w:p w:rsidR="00312E22" w:rsidRPr="0027083E" w:rsidRDefault="00312E22" w:rsidP="00936EE2">
            <w:pPr>
              <w:pStyle w:val="ListParagraph"/>
              <w:numPr>
                <w:ilvl w:val="0"/>
                <w:numId w:val="72"/>
              </w:numPr>
              <w:rPr>
                <w:rFonts w:cs="Tahoma"/>
                <w:color w:val="000000"/>
              </w:rPr>
            </w:pPr>
            <w:r w:rsidRPr="0027083E">
              <w:rPr>
                <w:rFonts w:cs="Tahoma"/>
                <w:color w:val="000000"/>
              </w:rPr>
              <w:t>Services charges to the poor can be reduced by cross subsidisation</w:t>
            </w:r>
          </w:p>
          <w:p w:rsidR="00312E22" w:rsidRPr="0027083E" w:rsidRDefault="00312E22" w:rsidP="00936EE2">
            <w:pPr>
              <w:pStyle w:val="ListParagraph"/>
              <w:numPr>
                <w:ilvl w:val="0"/>
                <w:numId w:val="73"/>
              </w:numPr>
              <w:rPr>
                <w:rFonts w:cs="Tahoma"/>
                <w:color w:val="000000"/>
              </w:rPr>
            </w:pPr>
            <w:r w:rsidRPr="0027083E">
              <w:rPr>
                <w:rFonts w:cs="Tahoma"/>
                <w:color w:val="000000"/>
              </w:rPr>
              <w:t>The National Treasury, DTI and Competition Commission need to evaluate the regulatory regime, tax regime, concentration risk and vertical integration in the investment industry in order to more rationally align these with national imperatives as per the NDP</w:t>
            </w:r>
          </w:p>
          <w:p w:rsidR="00312E22" w:rsidRPr="0027083E" w:rsidRDefault="00312E22" w:rsidP="00936EE2">
            <w:pPr>
              <w:pStyle w:val="ListParagraph"/>
              <w:numPr>
                <w:ilvl w:val="0"/>
                <w:numId w:val="73"/>
              </w:numPr>
              <w:rPr>
                <w:rFonts w:cs="Tahoma"/>
                <w:color w:val="000000"/>
              </w:rPr>
            </w:pPr>
            <w:r w:rsidRPr="0027083E">
              <w:rPr>
                <w:rFonts w:cs="Tahoma"/>
                <w:color w:val="000000"/>
              </w:rPr>
              <w:t>Establishment of a Financial Services Commission for Conciliation, Mediation and Arbitration (FSCCMA) to mirror the arrangements for the Employer-Employee relationship.</w:t>
            </w:r>
          </w:p>
          <w:p w:rsidR="00312E22" w:rsidRPr="0027083E" w:rsidRDefault="00312E22" w:rsidP="00936EE2">
            <w:pPr>
              <w:pStyle w:val="ListParagraph"/>
              <w:numPr>
                <w:ilvl w:val="0"/>
                <w:numId w:val="73"/>
              </w:numPr>
              <w:rPr>
                <w:rFonts w:cs="Tahoma"/>
                <w:color w:val="000000"/>
              </w:rPr>
            </w:pPr>
            <w:r w:rsidRPr="0027083E">
              <w:rPr>
                <w:rFonts w:cs="Tahoma"/>
                <w:color w:val="000000"/>
              </w:rPr>
              <w:t>Fintech development should be supported by legislation to ensure start-ups and innovations are encouraged</w:t>
            </w:r>
          </w:p>
          <w:p w:rsidR="00312E22" w:rsidRPr="0027083E" w:rsidRDefault="00312E22" w:rsidP="00312E22">
            <w:pPr>
              <w:rPr>
                <w:rFonts w:cs="Tahoma"/>
                <w:color w:val="000000"/>
              </w:rPr>
            </w:pPr>
          </w:p>
        </w:tc>
      </w:tr>
      <w:tr w:rsidR="00312E22" w:rsidRPr="00313815" w:rsidTr="0027083E">
        <w:tc>
          <w:tcPr>
            <w:tcW w:w="1219" w:type="pct"/>
          </w:tcPr>
          <w:p w:rsidR="00312E22" w:rsidRPr="0027083E" w:rsidRDefault="00312E22" w:rsidP="00312E22">
            <w:pPr>
              <w:contextualSpacing/>
              <w:rPr>
                <w:rFonts w:cs="Tahoma"/>
                <w:b/>
                <w:color w:val="000000"/>
              </w:rPr>
            </w:pPr>
            <w:r w:rsidRPr="0027083E">
              <w:rPr>
                <w:rFonts w:cs="Tahoma"/>
                <w:b/>
                <w:color w:val="000000"/>
              </w:rPr>
              <w:lastRenderedPageBreak/>
              <w:t xml:space="preserve">Wealth Creation Global </w:t>
            </w:r>
          </w:p>
          <w:p w:rsidR="00312E22" w:rsidRPr="0027083E" w:rsidRDefault="00312E22" w:rsidP="00312E22">
            <w:pPr>
              <w:contextualSpacing/>
              <w:rPr>
                <w:rFonts w:cs="Tahoma"/>
                <w:color w:val="000000"/>
              </w:rPr>
            </w:pPr>
          </w:p>
        </w:tc>
        <w:tc>
          <w:tcPr>
            <w:tcW w:w="3781" w:type="pct"/>
          </w:tcPr>
          <w:p w:rsidR="00312E22" w:rsidRPr="0027083E" w:rsidRDefault="00312E22" w:rsidP="00312E22">
            <w:pPr>
              <w:rPr>
                <w:rFonts w:cs="Tahoma"/>
                <w:b/>
                <w:color w:val="000000"/>
                <w:u w:val="single"/>
              </w:rPr>
            </w:pPr>
            <w:r w:rsidRPr="0027083E">
              <w:rPr>
                <w:rFonts w:cs="Tahoma"/>
                <w:b/>
                <w:color w:val="000000"/>
                <w:u w:val="single"/>
              </w:rPr>
              <w:t>Intro:</w:t>
            </w:r>
          </w:p>
          <w:p w:rsidR="00312E22" w:rsidRPr="0027083E" w:rsidRDefault="00312E22" w:rsidP="00312E22">
            <w:pPr>
              <w:rPr>
                <w:rFonts w:cs="Tahoma"/>
                <w:color w:val="000000"/>
              </w:rPr>
            </w:pPr>
            <w:r w:rsidRPr="0027083E">
              <w:rPr>
                <w:rFonts w:cs="Tahoma"/>
                <w:color w:val="000000"/>
              </w:rPr>
              <w:t>The submission was with regard to the proposed amendments to the Cooperatives Bank Act 40 of 2007</w:t>
            </w:r>
          </w:p>
          <w:p w:rsidR="00312E22" w:rsidRPr="0027083E" w:rsidRDefault="00312E22" w:rsidP="00312E22">
            <w:pPr>
              <w:rPr>
                <w:rFonts w:cs="Tahoma"/>
                <w:b/>
                <w:color w:val="000000"/>
                <w:u w:val="single"/>
              </w:rPr>
            </w:pPr>
          </w:p>
          <w:p w:rsidR="00312E22" w:rsidRPr="0027083E" w:rsidRDefault="00312E22" w:rsidP="00312E22">
            <w:pPr>
              <w:rPr>
                <w:rFonts w:cs="Tahoma"/>
                <w:color w:val="000000"/>
              </w:rPr>
            </w:pPr>
            <w:r w:rsidRPr="0027083E">
              <w:rPr>
                <w:rFonts w:cs="Tahoma"/>
                <w:b/>
                <w:color w:val="000000"/>
                <w:u w:val="single"/>
              </w:rPr>
              <w:t>Challenges/concerns raised:</w:t>
            </w:r>
          </w:p>
          <w:p w:rsidR="00312E22" w:rsidRPr="0027083E" w:rsidRDefault="00312E22" w:rsidP="00936EE2">
            <w:pPr>
              <w:pStyle w:val="ListParagraph"/>
              <w:numPr>
                <w:ilvl w:val="0"/>
                <w:numId w:val="56"/>
              </w:numPr>
              <w:rPr>
                <w:rFonts w:cs="Tahoma"/>
                <w:color w:val="000000"/>
              </w:rPr>
            </w:pPr>
            <w:r w:rsidRPr="0027083E">
              <w:rPr>
                <w:rFonts w:cs="Tahoma"/>
                <w:color w:val="000000"/>
              </w:rPr>
              <w:t xml:space="preserve">The Cooperative Banks  Act 20 0F 2007  in its current form is a barrier to entry to the sector as it gas stringent minimum requirements </w:t>
            </w:r>
          </w:p>
          <w:p w:rsidR="00312E22" w:rsidRPr="0027083E" w:rsidRDefault="00312E22" w:rsidP="00936EE2">
            <w:pPr>
              <w:pStyle w:val="ListParagraph"/>
              <w:numPr>
                <w:ilvl w:val="0"/>
                <w:numId w:val="56"/>
              </w:numPr>
              <w:rPr>
                <w:rFonts w:cs="Tahoma"/>
                <w:color w:val="000000"/>
              </w:rPr>
            </w:pPr>
            <w:r w:rsidRPr="0027083E">
              <w:rPr>
                <w:rFonts w:cs="Tahoma"/>
                <w:color w:val="000000"/>
              </w:rPr>
              <w:lastRenderedPageBreak/>
              <w:t>The CBDA as established under S55 of the Act does not add value nor does the section under which it is established shows  any piece of evidence that by establishing CBDA  it purpo</w:t>
            </w:r>
            <w:r>
              <w:rPr>
                <w:rFonts w:cs="Tahoma"/>
                <w:color w:val="000000"/>
              </w:rPr>
              <w:t>r</w:t>
            </w:r>
            <w:r w:rsidRPr="0027083E">
              <w:rPr>
                <w:rFonts w:cs="Tahoma"/>
                <w:color w:val="000000"/>
              </w:rPr>
              <w:t>ted for the institution to drive and encourage development in the sector specifically and economic development in general</w:t>
            </w:r>
          </w:p>
          <w:p w:rsidR="00312E22" w:rsidRPr="0027083E" w:rsidRDefault="00312E22" w:rsidP="00312E22">
            <w:pPr>
              <w:rPr>
                <w:rFonts w:cs="Tahoma"/>
                <w:b/>
                <w:color w:val="000000"/>
                <w:u w:val="single"/>
              </w:rPr>
            </w:pPr>
          </w:p>
          <w:p w:rsidR="007267AD" w:rsidRPr="0027083E" w:rsidRDefault="007267AD" w:rsidP="007267AD">
            <w:pPr>
              <w:rPr>
                <w:rFonts w:cs="Tahoma"/>
                <w:b/>
                <w:u w:val="single"/>
              </w:rPr>
            </w:pPr>
            <w:r w:rsidRPr="0027083E">
              <w:rPr>
                <w:rFonts w:cs="Tahoma"/>
                <w:b/>
                <w:u w:val="single"/>
              </w:rPr>
              <w:t>Recommendations</w:t>
            </w:r>
            <w:r>
              <w:rPr>
                <w:rFonts w:cs="Tahoma"/>
                <w:b/>
                <w:u w:val="single"/>
              </w:rPr>
              <w:t xml:space="preserve"> contained in submission</w:t>
            </w:r>
            <w:r w:rsidRPr="0027083E">
              <w:rPr>
                <w:rFonts w:cs="Tahoma"/>
                <w:b/>
                <w:u w:val="single"/>
              </w:rPr>
              <w:t>:</w:t>
            </w:r>
          </w:p>
          <w:p w:rsidR="00312E22" w:rsidRPr="0027083E" w:rsidRDefault="00312E22" w:rsidP="00936EE2">
            <w:pPr>
              <w:pStyle w:val="ListParagraph"/>
              <w:numPr>
                <w:ilvl w:val="0"/>
                <w:numId w:val="54"/>
              </w:numPr>
              <w:rPr>
                <w:rFonts w:cs="Tahoma"/>
                <w:b/>
                <w:color w:val="000000"/>
                <w:u w:val="single"/>
              </w:rPr>
            </w:pPr>
            <w:r w:rsidRPr="0027083E">
              <w:rPr>
                <w:rFonts w:cs="Tahoma"/>
                <w:color w:val="000000"/>
              </w:rPr>
              <w:t>Do away with the common bond requirement in the act as it is not enabling nor encouraging communities to work together</w:t>
            </w:r>
          </w:p>
          <w:p w:rsidR="00312E22" w:rsidRPr="0027083E" w:rsidRDefault="00312E22" w:rsidP="00936EE2">
            <w:pPr>
              <w:pStyle w:val="ListParagraph"/>
              <w:numPr>
                <w:ilvl w:val="0"/>
                <w:numId w:val="54"/>
              </w:numPr>
              <w:rPr>
                <w:rFonts w:cs="Tahoma"/>
                <w:b/>
                <w:color w:val="000000"/>
                <w:u w:val="single"/>
              </w:rPr>
            </w:pPr>
            <w:r w:rsidRPr="0027083E">
              <w:rPr>
                <w:rFonts w:cs="Tahoma"/>
                <w:color w:val="000000"/>
              </w:rPr>
              <w:t>Dissolve the CBDA with immediate effect</w:t>
            </w:r>
          </w:p>
          <w:p w:rsidR="00312E22" w:rsidRPr="0027083E" w:rsidRDefault="00312E22" w:rsidP="00936EE2">
            <w:pPr>
              <w:pStyle w:val="ListParagraph"/>
              <w:numPr>
                <w:ilvl w:val="0"/>
                <w:numId w:val="54"/>
              </w:numPr>
              <w:rPr>
                <w:rFonts w:cs="Tahoma"/>
                <w:b/>
                <w:color w:val="000000"/>
                <w:u w:val="single"/>
              </w:rPr>
            </w:pPr>
            <w:r w:rsidRPr="0027083E">
              <w:rPr>
                <w:rFonts w:cs="Tahoma"/>
                <w:color w:val="000000"/>
              </w:rPr>
              <w:t>Do away with proposed limitations as they are barriers to entry, with regard to:</w:t>
            </w:r>
          </w:p>
          <w:p w:rsidR="00312E22" w:rsidRPr="0027083E" w:rsidRDefault="00312E22" w:rsidP="00936EE2">
            <w:pPr>
              <w:pStyle w:val="ListParagraph"/>
              <w:numPr>
                <w:ilvl w:val="0"/>
                <w:numId w:val="55"/>
              </w:numPr>
              <w:rPr>
                <w:rFonts w:cs="Tahoma"/>
                <w:color w:val="000000"/>
              </w:rPr>
            </w:pPr>
            <w:r w:rsidRPr="0027083E">
              <w:rPr>
                <w:rFonts w:cs="Tahoma"/>
                <w:color w:val="000000"/>
              </w:rPr>
              <w:t>R30</w:t>
            </w:r>
            <w:r>
              <w:rPr>
                <w:rFonts w:cs="Tahoma"/>
                <w:color w:val="000000"/>
              </w:rPr>
              <w:t xml:space="preserve"> </w:t>
            </w:r>
            <w:r w:rsidRPr="0027083E">
              <w:rPr>
                <w:rFonts w:cs="Tahoma"/>
                <w:color w:val="000000"/>
              </w:rPr>
              <w:t>m</w:t>
            </w:r>
            <w:r>
              <w:rPr>
                <w:rFonts w:cs="Tahoma"/>
                <w:color w:val="000000"/>
              </w:rPr>
              <w:t>illion</w:t>
            </w:r>
            <w:r w:rsidRPr="0027083E">
              <w:rPr>
                <w:rFonts w:cs="Tahoma"/>
                <w:color w:val="000000"/>
              </w:rPr>
              <w:t xml:space="preserve"> ceiling for an entity to be regarded as a Coop Bank</w:t>
            </w:r>
          </w:p>
          <w:p w:rsidR="00312E22" w:rsidRPr="0027083E" w:rsidRDefault="00312E22" w:rsidP="00936EE2">
            <w:pPr>
              <w:pStyle w:val="ListParagraph"/>
              <w:numPr>
                <w:ilvl w:val="0"/>
                <w:numId w:val="55"/>
              </w:numPr>
              <w:rPr>
                <w:rFonts w:cs="Tahoma"/>
                <w:color w:val="000000"/>
              </w:rPr>
            </w:pPr>
            <w:r w:rsidRPr="0027083E">
              <w:rPr>
                <w:rFonts w:cs="Tahoma"/>
                <w:color w:val="000000"/>
              </w:rPr>
              <w:t>200 minimum number of members required to form a coop bank</w:t>
            </w:r>
          </w:p>
          <w:p w:rsidR="00312E22" w:rsidRPr="00313815" w:rsidRDefault="00312E22" w:rsidP="00312E22">
            <w:pPr>
              <w:rPr>
                <w:rFonts w:cs="Tahoma"/>
                <w:color w:val="000000"/>
              </w:rPr>
            </w:pPr>
          </w:p>
        </w:tc>
      </w:tr>
    </w:tbl>
    <w:p w:rsidR="00DD19D8" w:rsidRDefault="00DD19D8"/>
    <w:p w:rsidR="00274BFF" w:rsidRDefault="00274BFF" w:rsidP="002E59A9">
      <w:pPr>
        <w:pStyle w:val="Heading1"/>
      </w:pPr>
    </w:p>
    <w:sectPr w:rsidR="00274BFF" w:rsidSect="009A7A19">
      <w:pgSz w:w="15840" w:h="12240" w:orient="landscape"/>
      <w:pgMar w:top="1260" w:right="1440" w:bottom="1260" w:left="99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EE2" w:rsidRDefault="00936EE2" w:rsidP="00B02FE6">
      <w:pPr>
        <w:spacing w:after="0" w:line="240" w:lineRule="auto"/>
      </w:pPr>
      <w:r>
        <w:separator/>
      </w:r>
    </w:p>
  </w:endnote>
  <w:endnote w:type="continuationSeparator" w:id="0">
    <w:p w:rsidR="00936EE2" w:rsidRDefault="00936EE2" w:rsidP="00B02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Osak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402289032"/>
      <w:docPartObj>
        <w:docPartGallery w:val="Page Numbers (Bottom of Page)"/>
        <w:docPartUnique/>
      </w:docPartObj>
    </w:sdtPr>
    <w:sdtEndPr>
      <w:rPr>
        <w:b/>
      </w:rPr>
    </w:sdtEndPr>
    <w:sdtContent>
      <w:sdt>
        <w:sdtPr>
          <w:rPr>
            <w:sz w:val="16"/>
            <w:szCs w:val="16"/>
          </w:rPr>
          <w:id w:val="-1676721278"/>
          <w:docPartObj>
            <w:docPartGallery w:val="Page Numbers (Top of Page)"/>
            <w:docPartUnique/>
          </w:docPartObj>
        </w:sdtPr>
        <w:sdtEndPr>
          <w:rPr>
            <w:b/>
          </w:rPr>
        </w:sdtEndPr>
        <w:sdtContent>
          <w:p w:rsidR="00142063" w:rsidRPr="000B7133" w:rsidRDefault="00142063" w:rsidP="005651C3">
            <w:pPr>
              <w:pStyle w:val="Footer"/>
              <w:rPr>
                <w:sz w:val="16"/>
                <w:szCs w:val="16"/>
              </w:rPr>
            </w:pPr>
          </w:p>
          <w:p w:rsidR="00142063" w:rsidRPr="000B7133" w:rsidRDefault="00142063" w:rsidP="005651C3">
            <w:pPr>
              <w:pStyle w:val="Footer"/>
              <w:rPr>
                <w:sz w:val="16"/>
                <w:szCs w:val="16"/>
              </w:rPr>
            </w:pPr>
          </w:p>
          <w:p w:rsidR="00142063" w:rsidRDefault="00277D04" w:rsidP="005651C3">
            <w:pPr>
              <w:pStyle w:val="Footer"/>
              <w:jc w:val="right"/>
              <w:rPr>
                <w:sz w:val="16"/>
                <w:szCs w:val="16"/>
              </w:rPr>
            </w:pPr>
            <w:r w:rsidRPr="00277D04">
              <w:rPr>
                <w:noProof/>
                <w:sz w:val="16"/>
                <w:szCs w:val="16"/>
              </w:rPr>
              <w:pict>
                <v:line id="Straight Connector 7" o:spid="_x0000_s6145"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67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" strokecolor="black [3200]" strokeweight="1.5pt">
                  <v:shadow on="t" color="black" opacity="24903f" origin=",.5" offset="0,.55556mm"/>
                </v:line>
              </w:pict>
            </w:r>
          </w:p>
          <w:p w:rsidR="00142063" w:rsidRPr="000B7133" w:rsidRDefault="00142063" w:rsidP="005651C3">
            <w:pPr>
              <w:pStyle w:val="Footer"/>
              <w:rPr>
                <w:b/>
                <w:sz w:val="16"/>
                <w:szCs w:val="16"/>
              </w:rPr>
            </w:pPr>
            <w:r>
              <w:rPr>
                <w:rFonts w:cs="Arial"/>
                <w:b/>
                <w:sz w:val="18"/>
                <w:szCs w:val="16"/>
              </w:rPr>
              <w:t>Public Hearings on the Transformation of the Financial Sector</w:t>
            </w:r>
            <w:r>
              <w:rPr>
                <w:rFonts w:cs="Arial"/>
                <w:b/>
                <w:sz w:val="20"/>
                <w:szCs w:val="16"/>
              </w:rPr>
              <w:tab/>
            </w:r>
            <w:r>
              <w:rPr>
                <w:rFonts w:cs="Arial"/>
                <w:b/>
                <w:sz w:val="20"/>
                <w:szCs w:val="16"/>
              </w:rPr>
              <w:tab/>
            </w:r>
            <w:r>
              <w:rPr>
                <w:rFonts w:cs="Arial"/>
                <w:b/>
                <w:sz w:val="20"/>
                <w:szCs w:val="16"/>
              </w:rPr>
              <w:tab/>
            </w:r>
            <w:r>
              <w:rPr>
                <w:rFonts w:cs="Arial"/>
                <w:b/>
                <w:sz w:val="20"/>
                <w:szCs w:val="16"/>
              </w:rPr>
              <w:tab/>
            </w:r>
            <w:r>
              <w:rPr>
                <w:rFonts w:cs="Arial"/>
                <w:b/>
                <w:sz w:val="20"/>
                <w:szCs w:val="16"/>
              </w:rPr>
              <w:tab/>
            </w:r>
            <w:r>
              <w:rPr>
                <w:rFonts w:cs="Arial"/>
                <w:b/>
                <w:sz w:val="20"/>
                <w:szCs w:val="16"/>
              </w:rPr>
              <w:tab/>
            </w:r>
            <w:r w:rsidRPr="000B7133">
              <w:rPr>
                <w:b/>
                <w:sz w:val="18"/>
                <w:szCs w:val="16"/>
              </w:rPr>
              <w:t xml:space="preserve">Page </w:t>
            </w:r>
            <w:r w:rsidR="00277D04">
              <w:rPr>
                <w:b/>
                <w:bCs/>
                <w:sz w:val="18"/>
                <w:szCs w:val="16"/>
              </w:rPr>
              <w:fldChar w:fldCharType="begin"/>
            </w:r>
            <w:r>
              <w:rPr>
                <w:b/>
                <w:bCs/>
                <w:sz w:val="18"/>
                <w:szCs w:val="16"/>
              </w:rPr>
              <w:instrText xml:space="preserve"> PAGE  </w:instrText>
            </w:r>
            <w:r w:rsidR="00277D04">
              <w:rPr>
                <w:b/>
                <w:bCs/>
                <w:sz w:val="18"/>
                <w:szCs w:val="16"/>
              </w:rPr>
              <w:fldChar w:fldCharType="separate"/>
            </w:r>
            <w:r w:rsidR="0005036D">
              <w:rPr>
                <w:b/>
                <w:bCs/>
                <w:noProof/>
                <w:sz w:val="18"/>
                <w:szCs w:val="16"/>
              </w:rPr>
              <w:t>49</w:t>
            </w:r>
            <w:r w:rsidR="00277D04">
              <w:rPr>
                <w:b/>
                <w:bCs/>
                <w:sz w:val="18"/>
                <w:szCs w:val="16"/>
              </w:rPr>
              <w:fldChar w:fldCharType="end"/>
            </w:r>
            <w:r w:rsidRPr="000B7133">
              <w:rPr>
                <w:b/>
                <w:sz w:val="18"/>
                <w:szCs w:val="16"/>
              </w:rPr>
              <w:t xml:space="preserve"> of </w:t>
            </w:r>
            <w:r w:rsidR="00277D04" w:rsidRPr="000B7133">
              <w:rPr>
                <w:b/>
                <w:bCs/>
                <w:sz w:val="18"/>
                <w:szCs w:val="16"/>
              </w:rPr>
              <w:fldChar w:fldCharType="begin"/>
            </w:r>
            <w:r w:rsidRPr="000B7133">
              <w:rPr>
                <w:b/>
                <w:bCs/>
                <w:sz w:val="18"/>
                <w:szCs w:val="16"/>
              </w:rPr>
              <w:instrText xml:space="preserve"> NUMPAGES  </w:instrText>
            </w:r>
            <w:r w:rsidR="00277D04" w:rsidRPr="000B7133">
              <w:rPr>
                <w:b/>
                <w:bCs/>
                <w:sz w:val="18"/>
                <w:szCs w:val="16"/>
              </w:rPr>
              <w:fldChar w:fldCharType="separate"/>
            </w:r>
            <w:r w:rsidR="0005036D">
              <w:rPr>
                <w:b/>
                <w:bCs/>
                <w:noProof/>
                <w:sz w:val="18"/>
                <w:szCs w:val="16"/>
              </w:rPr>
              <w:t>50</w:t>
            </w:r>
            <w:r w:rsidR="00277D04" w:rsidRPr="000B7133">
              <w:rPr>
                <w:b/>
                <w:bCs/>
                <w:sz w:val="18"/>
                <w:szCs w:val="16"/>
              </w:rPr>
              <w:fldChar w:fldCharType="end"/>
            </w:r>
          </w:p>
        </w:sdtContent>
      </w:sdt>
    </w:sdtContent>
  </w:sdt>
  <w:p w:rsidR="00142063" w:rsidRPr="005651C3" w:rsidRDefault="00142063" w:rsidP="005651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EE2" w:rsidRDefault="00936EE2" w:rsidP="00B02FE6">
      <w:pPr>
        <w:spacing w:after="0" w:line="240" w:lineRule="auto"/>
      </w:pPr>
      <w:r>
        <w:separator/>
      </w:r>
    </w:p>
  </w:footnote>
  <w:footnote w:type="continuationSeparator" w:id="0">
    <w:p w:rsidR="00936EE2" w:rsidRDefault="00936EE2" w:rsidP="00B02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63" w:rsidRDefault="00142063">
    <w:pPr>
      <w:pStyle w:val="Header"/>
    </w:pPr>
  </w:p>
  <w:p w:rsidR="00142063" w:rsidRPr="00B02FE6" w:rsidRDefault="00142063">
    <w:pPr>
      <w:pStyle w:val="Header"/>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433"/>
    <w:multiLevelType w:val="hybridMultilevel"/>
    <w:tmpl w:val="6C6A7C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9F4386"/>
    <w:multiLevelType w:val="hybridMultilevel"/>
    <w:tmpl w:val="4486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26EB4"/>
    <w:multiLevelType w:val="hybridMultilevel"/>
    <w:tmpl w:val="779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30585"/>
    <w:multiLevelType w:val="hybridMultilevel"/>
    <w:tmpl w:val="BF2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76C1F"/>
    <w:multiLevelType w:val="hybridMultilevel"/>
    <w:tmpl w:val="478E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C4E2F"/>
    <w:multiLevelType w:val="hybridMultilevel"/>
    <w:tmpl w:val="461E790C"/>
    <w:lvl w:ilvl="0" w:tplc="4ED253CE">
      <w:start w:val="1"/>
      <w:numFmt w:val="lowerLetter"/>
      <w:lvlText w:val="(%1)"/>
      <w:lvlJc w:val="left"/>
      <w:pPr>
        <w:ind w:left="1080" w:hanging="360"/>
      </w:pPr>
      <w:rPr>
        <w:rFonts w:hint="default"/>
        <w:b w:val="0"/>
        <w:sz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2481520"/>
    <w:multiLevelType w:val="hybridMultilevel"/>
    <w:tmpl w:val="6C64A13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6143C46"/>
    <w:multiLevelType w:val="multilevel"/>
    <w:tmpl w:val="28721D56"/>
    <w:lvl w:ilvl="0">
      <w:start w:val="1"/>
      <w:numFmt w:val="decimal"/>
      <w:pStyle w:val="WerksmansStyle1"/>
      <w:lvlText w:val="%1"/>
      <w:lvlJc w:val="left"/>
      <w:pPr>
        <w:tabs>
          <w:tab w:val="num" w:pos="510"/>
        </w:tabs>
        <w:ind w:left="510" w:hanging="510"/>
      </w:pPr>
      <w:rPr>
        <w:rFonts w:ascii="Arial" w:hAnsi="Arial" w:cs="Arial" w:hint="default"/>
        <w:b w:val="0"/>
        <w:i w:val="0"/>
        <w:sz w:val="22"/>
        <w:szCs w:val="22"/>
      </w:rPr>
    </w:lvl>
    <w:lvl w:ilvl="1">
      <w:start w:val="1"/>
      <w:numFmt w:val="decimal"/>
      <w:pStyle w:val="WerksmansStyle2"/>
      <w:lvlText w:val="%1.%2"/>
      <w:lvlJc w:val="left"/>
      <w:pPr>
        <w:tabs>
          <w:tab w:val="num" w:pos="1163"/>
        </w:tabs>
        <w:ind w:left="1163" w:hanging="1021"/>
      </w:pPr>
      <w:rPr>
        <w:rFonts w:ascii="Arial" w:hAnsi="Arial" w:cs="Arial" w:hint="default"/>
        <w:b w:val="0"/>
        <w:i w:val="0"/>
        <w:sz w:val="22"/>
        <w:szCs w:val="22"/>
      </w:rPr>
    </w:lvl>
    <w:lvl w:ilvl="2">
      <w:start w:val="1"/>
      <w:numFmt w:val="decimal"/>
      <w:pStyle w:val="WerksmansStyle3"/>
      <w:lvlText w:val="%1.%2.%3"/>
      <w:lvlJc w:val="left"/>
      <w:pPr>
        <w:tabs>
          <w:tab w:val="num" w:pos="1531"/>
        </w:tabs>
        <w:ind w:left="1531" w:hanging="1531"/>
      </w:pPr>
      <w:rPr>
        <w:rFonts w:ascii="Arial" w:hAnsi="Arial" w:cs="Arial" w:hint="default"/>
        <w:b w:val="0"/>
        <w:i w:val="0"/>
        <w:sz w:val="22"/>
        <w:szCs w:val="22"/>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8">
    <w:nsid w:val="180C45CA"/>
    <w:multiLevelType w:val="hybridMultilevel"/>
    <w:tmpl w:val="0CE8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8782C"/>
    <w:multiLevelType w:val="hybridMultilevel"/>
    <w:tmpl w:val="61043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633D4"/>
    <w:multiLevelType w:val="hybridMultilevel"/>
    <w:tmpl w:val="F9D4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97FAC"/>
    <w:multiLevelType w:val="hybridMultilevel"/>
    <w:tmpl w:val="5AF00B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3E7625"/>
    <w:multiLevelType w:val="hybridMultilevel"/>
    <w:tmpl w:val="1B1EB54E"/>
    <w:lvl w:ilvl="0" w:tplc="670A41EE">
      <w:start w:val="1"/>
      <w:numFmt w:val="bullet"/>
      <w:lvlText w:val="-"/>
      <w:lvlJc w:val="left"/>
      <w:pPr>
        <w:tabs>
          <w:tab w:val="num" w:pos="720"/>
        </w:tabs>
        <w:ind w:left="720" w:hanging="360"/>
      </w:pPr>
      <w:rPr>
        <w:rFonts w:ascii="Times New Roman" w:hAnsi="Times New Roman" w:hint="default"/>
      </w:rPr>
    </w:lvl>
    <w:lvl w:ilvl="1" w:tplc="C90C73AE">
      <w:start w:val="1"/>
      <w:numFmt w:val="bullet"/>
      <w:lvlText w:val="-"/>
      <w:lvlJc w:val="left"/>
      <w:pPr>
        <w:tabs>
          <w:tab w:val="num" w:pos="1440"/>
        </w:tabs>
        <w:ind w:left="1440" w:hanging="360"/>
      </w:pPr>
      <w:rPr>
        <w:rFonts w:ascii="Times New Roman" w:hAnsi="Times New Roman" w:hint="default"/>
      </w:rPr>
    </w:lvl>
    <w:lvl w:ilvl="2" w:tplc="35A66D54">
      <w:start w:val="1016"/>
      <w:numFmt w:val="bullet"/>
      <w:lvlText w:val="-"/>
      <w:lvlJc w:val="left"/>
      <w:pPr>
        <w:tabs>
          <w:tab w:val="num" w:pos="2160"/>
        </w:tabs>
        <w:ind w:left="2160" w:hanging="360"/>
      </w:pPr>
      <w:rPr>
        <w:rFonts w:ascii="Times New Roman" w:hAnsi="Times New Roman" w:hint="default"/>
      </w:rPr>
    </w:lvl>
    <w:lvl w:ilvl="3" w:tplc="C2ACCD02" w:tentative="1">
      <w:start w:val="1"/>
      <w:numFmt w:val="bullet"/>
      <w:lvlText w:val="-"/>
      <w:lvlJc w:val="left"/>
      <w:pPr>
        <w:tabs>
          <w:tab w:val="num" w:pos="2880"/>
        </w:tabs>
        <w:ind w:left="2880" w:hanging="360"/>
      </w:pPr>
      <w:rPr>
        <w:rFonts w:ascii="Times New Roman" w:hAnsi="Times New Roman" w:hint="default"/>
      </w:rPr>
    </w:lvl>
    <w:lvl w:ilvl="4" w:tplc="7F463242" w:tentative="1">
      <w:start w:val="1"/>
      <w:numFmt w:val="bullet"/>
      <w:lvlText w:val="-"/>
      <w:lvlJc w:val="left"/>
      <w:pPr>
        <w:tabs>
          <w:tab w:val="num" w:pos="3600"/>
        </w:tabs>
        <w:ind w:left="3600" w:hanging="360"/>
      </w:pPr>
      <w:rPr>
        <w:rFonts w:ascii="Times New Roman" w:hAnsi="Times New Roman" w:hint="default"/>
      </w:rPr>
    </w:lvl>
    <w:lvl w:ilvl="5" w:tplc="81B2EB28" w:tentative="1">
      <w:start w:val="1"/>
      <w:numFmt w:val="bullet"/>
      <w:lvlText w:val="-"/>
      <w:lvlJc w:val="left"/>
      <w:pPr>
        <w:tabs>
          <w:tab w:val="num" w:pos="4320"/>
        </w:tabs>
        <w:ind w:left="4320" w:hanging="360"/>
      </w:pPr>
      <w:rPr>
        <w:rFonts w:ascii="Times New Roman" w:hAnsi="Times New Roman" w:hint="default"/>
      </w:rPr>
    </w:lvl>
    <w:lvl w:ilvl="6" w:tplc="0D5AA13E" w:tentative="1">
      <w:start w:val="1"/>
      <w:numFmt w:val="bullet"/>
      <w:lvlText w:val="-"/>
      <w:lvlJc w:val="left"/>
      <w:pPr>
        <w:tabs>
          <w:tab w:val="num" w:pos="5040"/>
        </w:tabs>
        <w:ind w:left="5040" w:hanging="360"/>
      </w:pPr>
      <w:rPr>
        <w:rFonts w:ascii="Times New Roman" w:hAnsi="Times New Roman" w:hint="default"/>
      </w:rPr>
    </w:lvl>
    <w:lvl w:ilvl="7" w:tplc="4C92F0BC" w:tentative="1">
      <w:start w:val="1"/>
      <w:numFmt w:val="bullet"/>
      <w:lvlText w:val="-"/>
      <w:lvlJc w:val="left"/>
      <w:pPr>
        <w:tabs>
          <w:tab w:val="num" w:pos="5760"/>
        </w:tabs>
        <w:ind w:left="5760" w:hanging="360"/>
      </w:pPr>
      <w:rPr>
        <w:rFonts w:ascii="Times New Roman" w:hAnsi="Times New Roman" w:hint="default"/>
      </w:rPr>
    </w:lvl>
    <w:lvl w:ilvl="8" w:tplc="EC1EC53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5D352C9"/>
    <w:multiLevelType w:val="hybridMultilevel"/>
    <w:tmpl w:val="40B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46CFE"/>
    <w:multiLevelType w:val="hybridMultilevel"/>
    <w:tmpl w:val="175E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865C4"/>
    <w:multiLevelType w:val="hybridMultilevel"/>
    <w:tmpl w:val="A6882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A5886"/>
    <w:multiLevelType w:val="hybridMultilevel"/>
    <w:tmpl w:val="A640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96208"/>
    <w:multiLevelType w:val="hybridMultilevel"/>
    <w:tmpl w:val="152E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290EBC"/>
    <w:multiLevelType w:val="hybridMultilevel"/>
    <w:tmpl w:val="042C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7E17AF"/>
    <w:multiLevelType w:val="hybridMultilevel"/>
    <w:tmpl w:val="9174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3F24FE"/>
    <w:multiLevelType w:val="hybridMultilevel"/>
    <w:tmpl w:val="BC82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635744"/>
    <w:multiLevelType w:val="hybridMultilevel"/>
    <w:tmpl w:val="3596417E"/>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32385503"/>
    <w:multiLevelType w:val="hybridMultilevel"/>
    <w:tmpl w:val="4492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813D96"/>
    <w:multiLevelType w:val="hybridMultilevel"/>
    <w:tmpl w:val="A890134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52C08AE"/>
    <w:multiLevelType w:val="hybridMultilevel"/>
    <w:tmpl w:val="776E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523D8C"/>
    <w:multiLevelType w:val="hybridMultilevel"/>
    <w:tmpl w:val="0D66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DB4545"/>
    <w:multiLevelType w:val="hybridMultilevel"/>
    <w:tmpl w:val="898C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3D574D"/>
    <w:multiLevelType w:val="hybridMultilevel"/>
    <w:tmpl w:val="D998279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38025783"/>
    <w:multiLevelType w:val="hybridMultilevel"/>
    <w:tmpl w:val="2CD072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3AB03744"/>
    <w:multiLevelType w:val="hybridMultilevel"/>
    <w:tmpl w:val="CAA0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C25351"/>
    <w:multiLevelType w:val="hybridMultilevel"/>
    <w:tmpl w:val="476EC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275A26"/>
    <w:multiLevelType w:val="hybridMultilevel"/>
    <w:tmpl w:val="5092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6E741A"/>
    <w:multiLevelType w:val="hybridMultilevel"/>
    <w:tmpl w:val="C844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2426C4"/>
    <w:multiLevelType w:val="hybridMultilevel"/>
    <w:tmpl w:val="E556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592182"/>
    <w:multiLevelType w:val="hybridMultilevel"/>
    <w:tmpl w:val="66C4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FC11D3"/>
    <w:multiLevelType w:val="hybridMultilevel"/>
    <w:tmpl w:val="F6D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042D5C"/>
    <w:multiLevelType w:val="hybridMultilevel"/>
    <w:tmpl w:val="30FE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1B0E73"/>
    <w:multiLevelType w:val="hybridMultilevel"/>
    <w:tmpl w:val="2B3288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44F06211"/>
    <w:multiLevelType w:val="hybridMultilevel"/>
    <w:tmpl w:val="E454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F20597"/>
    <w:multiLevelType w:val="hybridMultilevel"/>
    <w:tmpl w:val="9824325E"/>
    <w:lvl w:ilvl="0" w:tplc="918295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2F38AE"/>
    <w:multiLevelType w:val="hybridMultilevel"/>
    <w:tmpl w:val="C6D4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4854AE"/>
    <w:multiLevelType w:val="hybridMultilevel"/>
    <w:tmpl w:val="C5A0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300BC2"/>
    <w:multiLevelType w:val="hybridMultilevel"/>
    <w:tmpl w:val="8B16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870425"/>
    <w:multiLevelType w:val="hybridMultilevel"/>
    <w:tmpl w:val="4E64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CE36C2"/>
    <w:multiLevelType w:val="hybridMultilevel"/>
    <w:tmpl w:val="A61E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11108F"/>
    <w:multiLevelType w:val="hybridMultilevel"/>
    <w:tmpl w:val="BCD4BA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C95360D"/>
    <w:multiLevelType w:val="hybridMultilevel"/>
    <w:tmpl w:val="4C1A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032412"/>
    <w:multiLevelType w:val="hybridMultilevel"/>
    <w:tmpl w:val="681435D6"/>
    <w:lvl w:ilvl="0" w:tplc="04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8">
    <w:nsid w:val="4F0700B3"/>
    <w:multiLevelType w:val="hybridMultilevel"/>
    <w:tmpl w:val="2936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227F6B"/>
    <w:multiLevelType w:val="hybridMultilevel"/>
    <w:tmpl w:val="0FD8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C16996"/>
    <w:multiLevelType w:val="hybridMultilevel"/>
    <w:tmpl w:val="D704481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1">
    <w:nsid w:val="51E57684"/>
    <w:multiLevelType w:val="hybridMultilevel"/>
    <w:tmpl w:val="0074AE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52CA6661"/>
    <w:multiLevelType w:val="hybridMultilevel"/>
    <w:tmpl w:val="A770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3924D8A"/>
    <w:multiLevelType w:val="hybridMultilevel"/>
    <w:tmpl w:val="E0DA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3DE4355"/>
    <w:multiLevelType w:val="hybridMultilevel"/>
    <w:tmpl w:val="CDB0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40166A0"/>
    <w:multiLevelType w:val="hybridMultilevel"/>
    <w:tmpl w:val="86EC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0F0CE2"/>
    <w:multiLevelType w:val="hybridMultilevel"/>
    <w:tmpl w:val="D388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1B40B8"/>
    <w:multiLevelType w:val="hybridMultilevel"/>
    <w:tmpl w:val="4DB6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351FFE"/>
    <w:multiLevelType w:val="hybridMultilevel"/>
    <w:tmpl w:val="C652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9272F4"/>
    <w:multiLevelType w:val="hybridMultilevel"/>
    <w:tmpl w:val="DA5A723E"/>
    <w:lvl w:ilvl="0" w:tplc="48EA9D00">
      <w:start w:val="1"/>
      <w:numFmt w:val="bullet"/>
      <w:lvlText w:val="-"/>
      <w:lvlJc w:val="left"/>
      <w:pPr>
        <w:tabs>
          <w:tab w:val="num" w:pos="720"/>
        </w:tabs>
        <w:ind w:left="720" w:hanging="360"/>
      </w:pPr>
      <w:rPr>
        <w:rFonts w:ascii="Times New Roman" w:hAnsi="Times New Roman" w:hint="default"/>
      </w:rPr>
    </w:lvl>
    <w:lvl w:ilvl="1" w:tplc="8F2E5F82">
      <w:start w:val="1"/>
      <w:numFmt w:val="bullet"/>
      <w:lvlText w:val="-"/>
      <w:lvlJc w:val="left"/>
      <w:pPr>
        <w:tabs>
          <w:tab w:val="num" w:pos="1440"/>
        </w:tabs>
        <w:ind w:left="1440" w:hanging="360"/>
      </w:pPr>
      <w:rPr>
        <w:rFonts w:ascii="Times New Roman" w:hAnsi="Times New Roman" w:hint="default"/>
      </w:rPr>
    </w:lvl>
    <w:lvl w:ilvl="2" w:tplc="69E046A2">
      <w:start w:val="1016"/>
      <w:numFmt w:val="bullet"/>
      <w:lvlText w:val="-"/>
      <w:lvlJc w:val="left"/>
      <w:pPr>
        <w:tabs>
          <w:tab w:val="num" w:pos="2160"/>
        </w:tabs>
        <w:ind w:left="2160" w:hanging="360"/>
      </w:pPr>
      <w:rPr>
        <w:rFonts w:ascii="Times New Roman" w:hAnsi="Times New Roman" w:hint="default"/>
      </w:rPr>
    </w:lvl>
    <w:lvl w:ilvl="3" w:tplc="238E62FE" w:tentative="1">
      <w:start w:val="1"/>
      <w:numFmt w:val="bullet"/>
      <w:lvlText w:val="-"/>
      <w:lvlJc w:val="left"/>
      <w:pPr>
        <w:tabs>
          <w:tab w:val="num" w:pos="2880"/>
        </w:tabs>
        <w:ind w:left="2880" w:hanging="360"/>
      </w:pPr>
      <w:rPr>
        <w:rFonts w:ascii="Times New Roman" w:hAnsi="Times New Roman" w:hint="default"/>
      </w:rPr>
    </w:lvl>
    <w:lvl w:ilvl="4" w:tplc="0F2EBABE" w:tentative="1">
      <w:start w:val="1"/>
      <w:numFmt w:val="bullet"/>
      <w:lvlText w:val="-"/>
      <w:lvlJc w:val="left"/>
      <w:pPr>
        <w:tabs>
          <w:tab w:val="num" w:pos="3600"/>
        </w:tabs>
        <w:ind w:left="3600" w:hanging="360"/>
      </w:pPr>
      <w:rPr>
        <w:rFonts w:ascii="Times New Roman" w:hAnsi="Times New Roman" w:hint="default"/>
      </w:rPr>
    </w:lvl>
    <w:lvl w:ilvl="5" w:tplc="7DAA5660" w:tentative="1">
      <w:start w:val="1"/>
      <w:numFmt w:val="bullet"/>
      <w:lvlText w:val="-"/>
      <w:lvlJc w:val="left"/>
      <w:pPr>
        <w:tabs>
          <w:tab w:val="num" w:pos="4320"/>
        </w:tabs>
        <w:ind w:left="4320" w:hanging="360"/>
      </w:pPr>
      <w:rPr>
        <w:rFonts w:ascii="Times New Roman" w:hAnsi="Times New Roman" w:hint="default"/>
      </w:rPr>
    </w:lvl>
    <w:lvl w:ilvl="6" w:tplc="19701DD0" w:tentative="1">
      <w:start w:val="1"/>
      <w:numFmt w:val="bullet"/>
      <w:lvlText w:val="-"/>
      <w:lvlJc w:val="left"/>
      <w:pPr>
        <w:tabs>
          <w:tab w:val="num" w:pos="5040"/>
        </w:tabs>
        <w:ind w:left="5040" w:hanging="360"/>
      </w:pPr>
      <w:rPr>
        <w:rFonts w:ascii="Times New Roman" w:hAnsi="Times New Roman" w:hint="default"/>
      </w:rPr>
    </w:lvl>
    <w:lvl w:ilvl="7" w:tplc="0EBCA660" w:tentative="1">
      <w:start w:val="1"/>
      <w:numFmt w:val="bullet"/>
      <w:lvlText w:val="-"/>
      <w:lvlJc w:val="left"/>
      <w:pPr>
        <w:tabs>
          <w:tab w:val="num" w:pos="5760"/>
        </w:tabs>
        <w:ind w:left="5760" w:hanging="360"/>
      </w:pPr>
      <w:rPr>
        <w:rFonts w:ascii="Times New Roman" w:hAnsi="Times New Roman" w:hint="default"/>
      </w:rPr>
    </w:lvl>
    <w:lvl w:ilvl="8" w:tplc="5C988E7C" w:tentative="1">
      <w:start w:val="1"/>
      <w:numFmt w:val="bullet"/>
      <w:lvlText w:val="-"/>
      <w:lvlJc w:val="left"/>
      <w:pPr>
        <w:tabs>
          <w:tab w:val="num" w:pos="6480"/>
        </w:tabs>
        <w:ind w:left="6480" w:hanging="360"/>
      </w:pPr>
      <w:rPr>
        <w:rFonts w:ascii="Times New Roman" w:hAnsi="Times New Roman" w:hint="default"/>
      </w:rPr>
    </w:lvl>
  </w:abstractNum>
  <w:abstractNum w:abstractNumId="60">
    <w:nsid w:val="58161ECB"/>
    <w:multiLevelType w:val="hybridMultilevel"/>
    <w:tmpl w:val="113C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82E173B"/>
    <w:multiLevelType w:val="hybridMultilevel"/>
    <w:tmpl w:val="D920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8D51B83"/>
    <w:multiLevelType w:val="hybridMultilevel"/>
    <w:tmpl w:val="66F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AF2646"/>
    <w:multiLevelType w:val="hybridMultilevel"/>
    <w:tmpl w:val="1A94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C27194A"/>
    <w:multiLevelType w:val="hybridMultilevel"/>
    <w:tmpl w:val="25FEDC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C2C5174"/>
    <w:multiLevelType w:val="hybridMultilevel"/>
    <w:tmpl w:val="273231F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60682EFB"/>
    <w:multiLevelType w:val="hybridMultilevel"/>
    <w:tmpl w:val="3B0E0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2146BD0"/>
    <w:multiLevelType w:val="hybridMultilevel"/>
    <w:tmpl w:val="5510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0C1AB4"/>
    <w:multiLevelType w:val="hybridMultilevel"/>
    <w:tmpl w:val="5D6A2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37C5D23"/>
    <w:multiLevelType w:val="hybridMultilevel"/>
    <w:tmpl w:val="5AE8E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3BB5B57"/>
    <w:multiLevelType w:val="hybridMultilevel"/>
    <w:tmpl w:val="B47A3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43F1D23"/>
    <w:multiLevelType w:val="hybridMultilevel"/>
    <w:tmpl w:val="8A22AB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64A3132E"/>
    <w:multiLevelType w:val="hybridMultilevel"/>
    <w:tmpl w:val="8C82C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67184C71"/>
    <w:multiLevelType w:val="hybridMultilevel"/>
    <w:tmpl w:val="81AC3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nsid w:val="67D47DE2"/>
    <w:multiLevelType w:val="hybridMultilevel"/>
    <w:tmpl w:val="23DA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88B6504"/>
    <w:multiLevelType w:val="hybridMultilevel"/>
    <w:tmpl w:val="930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A3422B8"/>
    <w:multiLevelType w:val="hybridMultilevel"/>
    <w:tmpl w:val="DFEE6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ADA7B26"/>
    <w:multiLevelType w:val="hybridMultilevel"/>
    <w:tmpl w:val="78C0FE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6C111D99"/>
    <w:multiLevelType w:val="hybridMultilevel"/>
    <w:tmpl w:val="6278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C1772CD"/>
    <w:multiLevelType w:val="hybridMultilevel"/>
    <w:tmpl w:val="541C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CDA32C9"/>
    <w:multiLevelType w:val="hybridMultilevel"/>
    <w:tmpl w:val="0EAC171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1">
    <w:nsid w:val="6D732E96"/>
    <w:multiLevelType w:val="hybridMultilevel"/>
    <w:tmpl w:val="FF60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EA2023A"/>
    <w:multiLevelType w:val="hybridMultilevel"/>
    <w:tmpl w:val="5886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F6828F5"/>
    <w:multiLevelType w:val="hybridMultilevel"/>
    <w:tmpl w:val="E7DA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FD50047"/>
    <w:multiLevelType w:val="hybridMultilevel"/>
    <w:tmpl w:val="A8A2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01401FA"/>
    <w:multiLevelType w:val="hybridMultilevel"/>
    <w:tmpl w:val="E36658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6">
    <w:nsid w:val="73A7186E"/>
    <w:multiLevelType w:val="hybridMultilevel"/>
    <w:tmpl w:val="FD2E5DC2"/>
    <w:lvl w:ilvl="0" w:tplc="3BAECDF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3B94943"/>
    <w:multiLevelType w:val="hybridMultilevel"/>
    <w:tmpl w:val="26CCB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74522C46"/>
    <w:multiLevelType w:val="hybridMultilevel"/>
    <w:tmpl w:val="6D0A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74423D"/>
    <w:multiLevelType w:val="hybridMultilevel"/>
    <w:tmpl w:val="ABEAD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nsid w:val="75A63FCB"/>
    <w:multiLevelType w:val="hybridMultilevel"/>
    <w:tmpl w:val="22EAC7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1">
    <w:nsid w:val="77B36EE9"/>
    <w:multiLevelType w:val="hybridMultilevel"/>
    <w:tmpl w:val="4746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9A9180F"/>
    <w:multiLevelType w:val="hybridMultilevel"/>
    <w:tmpl w:val="4702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013522"/>
    <w:multiLevelType w:val="hybridMultilevel"/>
    <w:tmpl w:val="4B5EE6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8750A2"/>
    <w:multiLevelType w:val="hybridMultilevel"/>
    <w:tmpl w:val="FC70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EB3777D"/>
    <w:multiLevelType w:val="hybridMultilevel"/>
    <w:tmpl w:val="AA0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FD73CC0"/>
    <w:multiLevelType w:val="hybridMultilevel"/>
    <w:tmpl w:val="B116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FE4342E"/>
    <w:multiLevelType w:val="hybridMultilevel"/>
    <w:tmpl w:val="AADE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5"/>
  </w:num>
  <w:num w:numId="3">
    <w:abstractNumId w:val="5"/>
  </w:num>
  <w:num w:numId="4">
    <w:abstractNumId w:val="23"/>
  </w:num>
  <w:num w:numId="5">
    <w:abstractNumId w:val="39"/>
  </w:num>
  <w:num w:numId="6">
    <w:abstractNumId w:val="76"/>
  </w:num>
  <w:num w:numId="7">
    <w:abstractNumId w:val="93"/>
  </w:num>
  <w:num w:numId="8">
    <w:abstractNumId w:val="80"/>
  </w:num>
  <w:num w:numId="9">
    <w:abstractNumId w:val="6"/>
  </w:num>
  <w:num w:numId="10">
    <w:abstractNumId w:val="21"/>
  </w:num>
  <w:num w:numId="11">
    <w:abstractNumId w:val="27"/>
  </w:num>
  <w:num w:numId="12">
    <w:abstractNumId w:val="12"/>
  </w:num>
  <w:num w:numId="13">
    <w:abstractNumId w:val="59"/>
  </w:num>
  <w:num w:numId="14">
    <w:abstractNumId w:val="47"/>
  </w:num>
  <w:num w:numId="15">
    <w:abstractNumId w:val="50"/>
  </w:num>
  <w:num w:numId="16">
    <w:abstractNumId w:val="69"/>
  </w:num>
  <w:num w:numId="17">
    <w:abstractNumId w:val="8"/>
  </w:num>
  <w:num w:numId="18">
    <w:abstractNumId w:val="90"/>
  </w:num>
  <w:num w:numId="19">
    <w:abstractNumId w:val="77"/>
  </w:num>
  <w:num w:numId="20">
    <w:abstractNumId w:val="89"/>
  </w:num>
  <w:num w:numId="21">
    <w:abstractNumId w:val="73"/>
  </w:num>
  <w:num w:numId="22">
    <w:abstractNumId w:val="24"/>
  </w:num>
  <w:num w:numId="23">
    <w:abstractNumId w:val="82"/>
  </w:num>
  <w:num w:numId="24">
    <w:abstractNumId w:val="13"/>
  </w:num>
  <w:num w:numId="25">
    <w:abstractNumId w:val="63"/>
  </w:num>
  <w:num w:numId="26">
    <w:abstractNumId w:val="97"/>
  </w:num>
  <w:num w:numId="27">
    <w:abstractNumId w:val="81"/>
  </w:num>
  <w:num w:numId="28">
    <w:abstractNumId w:val="40"/>
  </w:num>
  <w:num w:numId="29">
    <w:abstractNumId w:val="25"/>
  </w:num>
  <w:num w:numId="30">
    <w:abstractNumId w:val="83"/>
  </w:num>
  <w:num w:numId="31">
    <w:abstractNumId w:val="33"/>
  </w:num>
  <w:num w:numId="32">
    <w:abstractNumId w:val="91"/>
  </w:num>
  <w:num w:numId="33">
    <w:abstractNumId w:val="87"/>
  </w:num>
  <w:num w:numId="34">
    <w:abstractNumId w:val="29"/>
  </w:num>
  <w:num w:numId="35">
    <w:abstractNumId w:val="75"/>
  </w:num>
  <w:num w:numId="36">
    <w:abstractNumId w:val="92"/>
  </w:num>
  <w:num w:numId="37">
    <w:abstractNumId w:val="17"/>
  </w:num>
  <w:num w:numId="38">
    <w:abstractNumId w:val="35"/>
  </w:num>
  <w:num w:numId="39">
    <w:abstractNumId w:val="84"/>
  </w:num>
  <w:num w:numId="40">
    <w:abstractNumId w:val="48"/>
  </w:num>
  <w:num w:numId="41">
    <w:abstractNumId w:val="41"/>
  </w:num>
  <w:num w:numId="42">
    <w:abstractNumId w:val="52"/>
  </w:num>
  <w:num w:numId="43">
    <w:abstractNumId w:val="68"/>
  </w:num>
  <w:num w:numId="44">
    <w:abstractNumId w:val="53"/>
  </w:num>
  <w:num w:numId="45">
    <w:abstractNumId w:val="14"/>
  </w:num>
  <w:num w:numId="46">
    <w:abstractNumId w:val="62"/>
  </w:num>
  <w:num w:numId="47">
    <w:abstractNumId w:val="36"/>
  </w:num>
  <w:num w:numId="48">
    <w:abstractNumId w:val="67"/>
  </w:num>
  <w:num w:numId="49">
    <w:abstractNumId w:val="79"/>
  </w:num>
  <w:num w:numId="50">
    <w:abstractNumId w:val="58"/>
  </w:num>
  <w:num w:numId="51">
    <w:abstractNumId w:val="95"/>
  </w:num>
  <w:num w:numId="52">
    <w:abstractNumId w:val="88"/>
  </w:num>
  <w:num w:numId="53">
    <w:abstractNumId w:val="55"/>
  </w:num>
  <w:num w:numId="54">
    <w:abstractNumId w:val="60"/>
  </w:num>
  <w:num w:numId="55">
    <w:abstractNumId w:val="86"/>
  </w:num>
  <w:num w:numId="56">
    <w:abstractNumId w:val="94"/>
  </w:num>
  <w:num w:numId="57">
    <w:abstractNumId w:val="43"/>
  </w:num>
  <w:num w:numId="58">
    <w:abstractNumId w:val="3"/>
  </w:num>
  <w:num w:numId="59">
    <w:abstractNumId w:val="46"/>
  </w:num>
  <w:num w:numId="60">
    <w:abstractNumId w:val="61"/>
  </w:num>
  <w:num w:numId="61">
    <w:abstractNumId w:val="30"/>
  </w:num>
  <w:num w:numId="62">
    <w:abstractNumId w:val="19"/>
  </w:num>
  <w:num w:numId="63">
    <w:abstractNumId w:val="57"/>
  </w:num>
  <w:num w:numId="64">
    <w:abstractNumId w:val="20"/>
  </w:num>
  <w:num w:numId="65">
    <w:abstractNumId w:val="42"/>
  </w:num>
  <w:num w:numId="66">
    <w:abstractNumId w:val="11"/>
  </w:num>
  <w:num w:numId="67">
    <w:abstractNumId w:val="54"/>
  </w:num>
  <w:num w:numId="68">
    <w:abstractNumId w:val="34"/>
  </w:num>
  <w:num w:numId="69">
    <w:abstractNumId w:val="38"/>
  </w:num>
  <w:num w:numId="70">
    <w:abstractNumId w:val="32"/>
  </w:num>
  <w:num w:numId="71">
    <w:abstractNumId w:val="71"/>
  </w:num>
  <w:num w:numId="72">
    <w:abstractNumId w:val="64"/>
  </w:num>
  <w:num w:numId="73">
    <w:abstractNumId w:val="70"/>
  </w:num>
  <w:num w:numId="74">
    <w:abstractNumId w:val="66"/>
  </w:num>
  <w:num w:numId="75">
    <w:abstractNumId w:val="18"/>
  </w:num>
  <w:num w:numId="76">
    <w:abstractNumId w:val="9"/>
  </w:num>
  <w:num w:numId="77">
    <w:abstractNumId w:val="26"/>
  </w:num>
  <w:num w:numId="78">
    <w:abstractNumId w:val="10"/>
  </w:num>
  <w:num w:numId="79">
    <w:abstractNumId w:val="72"/>
  </w:num>
  <w:num w:numId="80">
    <w:abstractNumId w:val="15"/>
  </w:num>
  <w:num w:numId="81">
    <w:abstractNumId w:val="45"/>
  </w:num>
  <w:num w:numId="82">
    <w:abstractNumId w:val="0"/>
  </w:num>
  <w:num w:numId="83">
    <w:abstractNumId w:val="2"/>
  </w:num>
  <w:num w:numId="84">
    <w:abstractNumId w:val="31"/>
  </w:num>
  <w:num w:numId="85">
    <w:abstractNumId w:val="96"/>
  </w:num>
  <w:num w:numId="86">
    <w:abstractNumId w:val="78"/>
  </w:num>
  <w:num w:numId="87">
    <w:abstractNumId w:val="1"/>
  </w:num>
  <w:num w:numId="88">
    <w:abstractNumId w:val="44"/>
  </w:num>
  <w:num w:numId="89">
    <w:abstractNumId w:val="22"/>
  </w:num>
  <w:num w:numId="90">
    <w:abstractNumId w:val="74"/>
  </w:num>
  <w:num w:numId="91">
    <w:abstractNumId w:val="56"/>
  </w:num>
  <w:num w:numId="92">
    <w:abstractNumId w:val="49"/>
  </w:num>
  <w:num w:numId="93">
    <w:abstractNumId w:val="85"/>
  </w:num>
  <w:num w:numId="94">
    <w:abstractNumId w:val="51"/>
  </w:num>
  <w:num w:numId="95">
    <w:abstractNumId w:val="28"/>
  </w:num>
  <w:num w:numId="96">
    <w:abstractNumId w:val="37"/>
  </w:num>
  <w:num w:numId="97">
    <w:abstractNumId w:val="16"/>
  </w:num>
  <w:num w:numId="98">
    <w:abstractNumId w:val="4"/>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B02FE6"/>
    <w:rsid w:val="0000057F"/>
    <w:rsid w:val="00000B61"/>
    <w:rsid w:val="00002D9B"/>
    <w:rsid w:val="00003165"/>
    <w:rsid w:val="000041A7"/>
    <w:rsid w:val="000045AA"/>
    <w:rsid w:val="0000496E"/>
    <w:rsid w:val="000058B9"/>
    <w:rsid w:val="00006239"/>
    <w:rsid w:val="00006EAC"/>
    <w:rsid w:val="000072F3"/>
    <w:rsid w:val="0000773A"/>
    <w:rsid w:val="00010BF1"/>
    <w:rsid w:val="0001160C"/>
    <w:rsid w:val="00011C60"/>
    <w:rsid w:val="00011F74"/>
    <w:rsid w:val="0001373D"/>
    <w:rsid w:val="0001484C"/>
    <w:rsid w:val="000211B6"/>
    <w:rsid w:val="00021AE1"/>
    <w:rsid w:val="00021E40"/>
    <w:rsid w:val="00022EB5"/>
    <w:rsid w:val="00026E64"/>
    <w:rsid w:val="00027129"/>
    <w:rsid w:val="0003092D"/>
    <w:rsid w:val="00030E4A"/>
    <w:rsid w:val="0003176D"/>
    <w:rsid w:val="00031BDB"/>
    <w:rsid w:val="00032452"/>
    <w:rsid w:val="000332EB"/>
    <w:rsid w:val="0003420A"/>
    <w:rsid w:val="000347E6"/>
    <w:rsid w:val="00035227"/>
    <w:rsid w:val="000417B5"/>
    <w:rsid w:val="00041B7D"/>
    <w:rsid w:val="00043E48"/>
    <w:rsid w:val="00044891"/>
    <w:rsid w:val="000464FC"/>
    <w:rsid w:val="0005036D"/>
    <w:rsid w:val="00050966"/>
    <w:rsid w:val="000515F9"/>
    <w:rsid w:val="00051997"/>
    <w:rsid w:val="000523FC"/>
    <w:rsid w:val="0005317B"/>
    <w:rsid w:val="00053A78"/>
    <w:rsid w:val="00054F31"/>
    <w:rsid w:val="00054F65"/>
    <w:rsid w:val="0005529A"/>
    <w:rsid w:val="00056491"/>
    <w:rsid w:val="00056CDB"/>
    <w:rsid w:val="00056E4A"/>
    <w:rsid w:val="00057B16"/>
    <w:rsid w:val="0006128C"/>
    <w:rsid w:val="0006231F"/>
    <w:rsid w:val="0006286D"/>
    <w:rsid w:val="00062F3E"/>
    <w:rsid w:val="00063063"/>
    <w:rsid w:val="00063CEF"/>
    <w:rsid w:val="00064184"/>
    <w:rsid w:val="0006664B"/>
    <w:rsid w:val="00066DEC"/>
    <w:rsid w:val="00067B72"/>
    <w:rsid w:val="00067D35"/>
    <w:rsid w:val="00070A01"/>
    <w:rsid w:val="00070EF7"/>
    <w:rsid w:val="00071506"/>
    <w:rsid w:val="00071F61"/>
    <w:rsid w:val="000726C9"/>
    <w:rsid w:val="00072ED2"/>
    <w:rsid w:val="00073CCB"/>
    <w:rsid w:val="00075327"/>
    <w:rsid w:val="00075BB4"/>
    <w:rsid w:val="000768C5"/>
    <w:rsid w:val="00076FE4"/>
    <w:rsid w:val="00077E32"/>
    <w:rsid w:val="000819E5"/>
    <w:rsid w:val="00082082"/>
    <w:rsid w:val="000824F7"/>
    <w:rsid w:val="00082E2B"/>
    <w:rsid w:val="00084D37"/>
    <w:rsid w:val="00085769"/>
    <w:rsid w:val="00085E51"/>
    <w:rsid w:val="00090395"/>
    <w:rsid w:val="00090D18"/>
    <w:rsid w:val="00090D4B"/>
    <w:rsid w:val="00091A47"/>
    <w:rsid w:val="00092509"/>
    <w:rsid w:val="0009275A"/>
    <w:rsid w:val="00092764"/>
    <w:rsid w:val="0009562B"/>
    <w:rsid w:val="00096B52"/>
    <w:rsid w:val="00097826"/>
    <w:rsid w:val="000A1157"/>
    <w:rsid w:val="000A5ED5"/>
    <w:rsid w:val="000A6278"/>
    <w:rsid w:val="000A6690"/>
    <w:rsid w:val="000B0379"/>
    <w:rsid w:val="000B08AD"/>
    <w:rsid w:val="000B1238"/>
    <w:rsid w:val="000B320E"/>
    <w:rsid w:val="000B56AF"/>
    <w:rsid w:val="000B6A1D"/>
    <w:rsid w:val="000B6B8F"/>
    <w:rsid w:val="000B7031"/>
    <w:rsid w:val="000B7133"/>
    <w:rsid w:val="000B7A82"/>
    <w:rsid w:val="000C0ED5"/>
    <w:rsid w:val="000C1B5B"/>
    <w:rsid w:val="000C1EEE"/>
    <w:rsid w:val="000C217E"/>
    <w:rsid w:val="000C2955"/>
    <w:rsid w:val="000C320D"/>
    <w:rsid w:val="000C371C"/>
    <w:rsid w:val="000C3F74"/>
    <w:rsid w:val="000C45EB"/>
    <w:rsid w:val="000C4ACC"/>
    <w:rsid w:val="000C5B92"/>
    <w:rsid w:val="000C5BDE"/>
    <w:rsid w:val="000C62B5"/>
    <w:rsid w:val="000C77A2"/>
    <w:rsid w:val="000D2831"/>
    <w:rsid w:val="000D37EE"/>
    <w:rsid w:val="000D62CE"/>
    <w:rsid w:val="000D63D7"/>
    <w:rsid w:val="000D7B52"/>
    <w:rsid w:val="000E141A"/>
    <w:rsid w:val="000E1630"/>
    <w:rsid w:val="000E24BE"/>
    <w:rsid w:val="000E4556"/>
    <w:rsid w:val="000E4800"/>
    <w:rsid w:val="000E5129"/>
    <w:rsid w:val="000F0257"/>
    <w:rsid w:val="000F0D00"/>
    <w:rsid w:val="000F1B74"/>
    <w:rsid w:val="000F1BEA"/>
    <w:rsid w:val="000F3996"/>
    <w:rsid w:val="000F3E1F"/>
    <w:rsid w:val="000F455D"/>
    <w:rsid w:val="000F4DD3"/>
    <w:rsid w:val="000F660C"/>
    <w:rsid w:val="000F75A2"/>
    <w:rsid w:val="001009C4"/>
    <w:rsid w:val="00100F97"/>
    <w:rsid w:val="001010BD"/>
    <w:rsid w:val="001013CE"/>
    <w:rsid w:val="00105B98"/>
    <w:rsid w:val="00105BE0"/>
    <w:rsid w:val="00105CD2"/>
    <w:rsid w:val="001102A7"/>
    <w:rsid w:val="00111720"/>
    <w:rsid w:val="00111D43"/>
    <w:rsid w:val="001123C9"/>
    <w:rsid w:val="00112EB4"/>
    <w:rsid w:val="00114E0B"/>
    <w:rsid w:val="001167E6"/>
    <w:rsid w:val="001204CE"/>
    <w:rsid w:val="001234C5"/>
    <w:rsid w:val="00123A5A"/>
    <w:rsid w:val="00124FFF"/>
    <w:rsid w:val="001271B6"/>
    <w:rsid w:val="001271C2"/>
    <w:rsid w:val="00127F3C"/>
    <w:rsid w:val="0013194F"/>
    <w:rsid w:val="00131B69"/>
    <w:rsid w:val="00131C96"/>
    <w:rsid w:val="00131F46"/>
    <w:rsid w:val="001322B9"/>
    <w:rsid w:val="00133C77"/>
    <w:rsid w:val="001342E2"/>
    <w:rsid w:val="001347EA"/>
    <w:rsid w:val="00134B6F"/>
    <w:rsid w:val="001351C1"/>
    <w:rsid w:val="001367FE"/>
    <w:rsid w:val="00137676"/>
    <w:rsid w:val="00137D14"/>
    <w:rsid w:val="00142063"/>
    <w:rsid w:val="001430D3"/>
    <w:rsid w:val="001438CB"/>
    <w:rsid w:val="001439F7"/>
    <w:rsid w:val="00143BEC"/>
    <w:rsid w:val="00145B49"/>
    <w:rsid w:val="00147D58"/>
    <w:rsid w:val="0015140C"/>
    <w:rsid w:val="00153571"/>
    <w:rsid w:val="00153BEA"/>
    <w:rsid w:val="00153ECC"/>
    <w:rsid w:val="001544FA"/>
    <w:rsid w:val="00155F49"/>
    <w:rsid w:val="00157203"/>
    <w:rsid w:val="00160E10"/>
    <w:rsid w:val="00160E9E"/>
    <w:rsid w:val="001612F4"/>
    <w:rsid w:val="001624A6"/>
    <w:rsid w:val="0016281F"/>
    <w:rsid w:val="00164B02"/>
    <w:rsid w:val="001655FD"/>
    <w:rsid w:val="00165E6C"/>
    <w:rsid w:val="00166CE7"/>
    <w:rsid w:val="00170DB3"/>
    <w:rsid w:val="0017153E"/>
    <w:rsid w:val="00172FF4"/>
    <w:rsid w:val="00173448"/>
    <w:rsid w:val="0017350A"/>
    <w:rsid w:val="00173CD0"/>
    <w:rsid w:val="00174B4F"/>
    <w:rsid w:val="00174E66"/>
    <w:rsid w:val="00176131"/>
    <w:rsid w:val="00176B0D"/>
    <w:rsid w:val="0017753B"/>
    <w:rsid w:val="00177AF0"/>
    <w:rsid w:val="00180351"/>
    <w:rsid w:val="00180BDF"/>
    <w:rsid w:val="00180CF9"/>
    <w:rsid w:val="00180D2A"/>
    <w:rsid w:val="00181051"/>
    <w:rsid w:val="00181C39"/>
    <w:rsid w:val="0018242F"/>
    <w:rsid w:val="001829B5"/>
    <w:rsid w:val="001837EF"/>
    <w:rsid w:val="00183BA5"/>
    <w:rsid w:val="00183BB4"/>
    <w:rsid w:val="0018465B"/>
    <w:rsid w:val="0018487E"/>
    <w:rsid w:val="00184A69"/>
    <w:rsid w:val="00184B54"/>
    <w:rsid w:val="001850D2"/>
    <w:rsid w:val="00185DB3"/>
    <w:rsid w:val="00186BBA"/>
    <w:rsid w:val="0018711A"/>
    <w:rsid w:val="00187969"/>
    <w:rsid w:val="00190426"/>
    <w:rsid w:val="001918E8"/>
    <w:rsid w:val="00191B80"/>
    <w:rsid w:val="00191E39"/>
    <w:rsid w:val="00193B52"/>
    <w:rsid w:val="00193E6F"/>
    <w:rsid w:val="0019440C"/>
    <w:rsid w:val="00194B98"/>
    <w:rsid w:val="00195B7B"/>
    <w:rsid w:val="00195D93"/>
    <w:rsid w:val="00195D9D"/>
    <w:rsid w:val="001A032D"/>
    <w:rsid w:val="001A1949"/>
    <w:rsid w:val="001A1D46"/>
    <w:rsid w:val="001A278C"/>
    <w:rsid w:val="001A3D33"/>
    <w:rsid w:val="001A5E5E"/>
    <w:rsid w:val="001A5ED3"/>
    <w:rsid w:val="001A7BAD"/>
    <w:rsid w:val="001B18DB"/>
    <w:rsid w:val="001B2234"/>
    <w:rsid w:val="001B2D9A"/>
    <w:rsid w:val="001B34D9"/>
    <w:rsid w:val="001B40AF"/>
    <w:rsid w:val="001B44CF"/>
    <w:rsid w:val="001B5368"/>
    <w:rsid w:val="001B5570"/>
    <w:rsid w:val="001B59A7"/>
    <w:rsid w:val="001B6709"/>
    <w:rsid w:val="001B7125"/>
    <w:rsid w:val="001C00B4"/>
    <w:rsid w:val="001C02C6"/>
    <w:rsid w:val="001C0DC1"/>
    <w:rsid w:val="001C16D0"/>
    <w:rsid w:val="001C2EA7"/>
    <w:rsid w:val="001C5415"/>
    <w:rsid w:val="001C5AE3"/>
    <w:rsid w:val="001C64F4"/>
    <w:rsid w:val="001C7266"/>
    <w:rsid w:val="001C75B6"/>
    <w:rsid w:val="001C7BD2"/>
    <w:rsid w:val="001D15E8"/>
    <w:rsid w:val="001D2EE7"/>
    <w:rsid w:val="001D4988"/>
    <w:rsid w:val="001D77E7"/>
    <w:rsid w:val="001D7F22"/>
    <w:rsid w:val="001E008B"/>
    <w:rsid w:val="001E06E7"/>
    <w:rsid w:val="001E0958"/>
    <w:rsid w:val="001E1108"/>
    <w:rsid w:val="001E1DC9"/>
    <w:rsid w:val="001E2B62"/>
    <w:rsid w:val="001E5E8B"/>
    <w:rsid w:val="001F289B"/>
    <w:rsid w:val="001F4B93"/>
    <w:rsid w:val="001F4C30"/>
    <w:rsid w:val="001F52D5"/>
    <w:rsid w:val="001F60CE"/>
    <w:rsid w:val="00200FF5"/>
    <w:rsid w:val="00201F7D"/>
    <w:rsid w:val="0020276F"/>
    <w:rsid w:val="002031E6"/>
    <w:rsid w:val="002040E2"/>
    <w:rsid w:val="00204683"/>
    <w:rsid w:val="00204868"/>
    <w:rsid w:val="00204D77"/>
    <w:rsid w:val="00205407"/>
    <w:rsid w:val="00205574"/>
    <w:rsid w:val="00205577"/>
    <w:rsid w:val="0020559C"/>
    <w:rsid w:val="00205B6C"/>
    <w:rsid w:val="002062C2"/>
    <w:rsid w:val="00206390"/>
    <w:rsid w:val="002065B0"/>
    <w:rsid w:val="00207C9C"/>
    <w:rsid w:val="00210B67"/>
    <w:rsid w:val="00211E12"/>
    <w:rsid w:val="00212CA2"/>
    <w:rsid w:val="002136D1"/>
    <w:rsid w:val="002138B4"/>
    <w:rsid w:val="00214875"/>
    <w:rsid w:val="00214B69"/>
    <w:rsid w:val="00214D06"/>
    <w:rsid w:val="00216EDD"/>
    <w:rsid w:val="0022367D"/>
    <w:rsid w:val="002238ED"/>
    <w:rsid w:val="00225F5B"/>
    <w:rsid w:val="00226091"/>
    <w:rsid w:val="00226A19"/>
    <w:rsid w:val="002272F9"/>
    <w:rsid w:val="002305BB"/>
    <w:rsid w:val="00230F61"/>
    <w:rsid w:val="0023195B"/>
    <w:rsid w:val="00231961"/>
    <w:rsid w:val="00231C44"/>
    <w:rsid w:val="0023379A"/>
    <w:rsid w:val="00233891"/>
    <w:rsid w:val="0023408D"/>
    <w:rsid w:val="002340D7"/>
    <w:rsid w:val="002344A1"/>
    <w:rsid w:val="00235D1D"/>
    <w:rsid w:val="00237D5F"/>
    <w:rsid w:val="002408AC"/>
    <w:rsid w:val="00241D9E"/>
    <w:rsid w:val="002431A0"/>
    <w:rsid w:val="00243DE2"/>
    <w:rsid w:val="002440DF"/>
    <w:rsid w:val="00245BEA"/>
    <w:rsid w:val="00246BA7"/>
    <w:rsid w:val="00247A79"/>
    <w:rsid w:val="00247B5D"/>
    <w:rsid w:val="002507D1"/>
    <w:rsid w:val="0025129A"/>
    <w:rsid w:val="0025257A"/>
    <w:rsid w:val="0025263E"/>
    <w:rsid w:val="002527BD"/>
    <w:rsid w:val="002545DC"/>
    <w:rsid w:val="00255D16"/>
    <w:rsid w:val="00260662"/>
    <w:rsid w:val="00260E46"/>
    <w:rsid w:val="00260EFD"/>
    <w:rsid w:val="00261677"/>
    <w:rsid w:val="00262075"/>
    <w:rsid w:val="002628C5"/>
    <w:rsid w:val="00262AD2"/>
    <w:rsid w:val="00262E17"/>
    <w:rsid w:val="00264913"/>
    <w:rsid w:val="00265AFB"/>
    <w:rsid w:val="00266D7E"/>
    <w:rsid w:val="00267156"/>
    <w:rsid w:val="0027083E"/>
    <w:rsid w:val="002712A2"/>
    <w:rsid w:val="0027148F"/>
    <w:rsid w:val="002714E8"/>
    <w:rsid w:val="002716F2"/>
    <w:rsid w:val="00271C84"/>
    <w:rsid w:val="0027447E"/>
    <w:rsid w:val="0027448F"/>
    <w:rsid w:val="00274BFF"/>
    <w:rsid w:val="00275DF4"/>
    <w:rsid w:val="00276076"/>
    <w:rsid w:val="002774C3"/>
    <w:rsid w:val="00277D04"/>
    <w:rsid w:val="00281745"/>
    <w:rsid w:val="002817A6"/>
    <w:rsid w:val="00281AD3"/>
    <w:rsid w:val="00284BBB"/>
    <w:rsid w:val="002854FE"/>
    <w:rsid w:val="00286969"/>
    <w:rsid w:val="00286B0F"/>
    <w:rsid w:val="0028753A"/>
    <w:rsid w:val="00290B40"/>
    <w:rsid w:val="00291576"/>
    <w:rsid w:val="002915B3"/>
    <w:rsid w:val="0029334C"/>
    <w:rsid w:val="00294796"/>
    <w:rsid w:val="00296B87"/>
    <w:rsid w:val="002A0725"/>
    <w:rsid w:val="002A178B"/>
    <w:rsid w:val="002A40EA"/>
    <w:rsid w:val="002A4731"/>
    <w:rsid w:val="002A5C8F"/>
    <w:rsid w:val="002A74B0"/>
    <w:rsid w:val="002A780D"/>
    <w:rsid w:val="002A7B43"/>
    <w:rsid w:val="002B01E1"/>
    <w:rsid w:val="002B0360"/>
    <w:rsid w:val="002B2F46"/>
    <w:rsid w:val="002B4CD2"/>
    <w:rsid w:val="002B4EBE"/>
    <w:rsid w:val="002B6B1B"/>
    <w:rsid w:val="002C0968"/>
    <w:rsid w:val="002C0A75"/>
    <w:rsid w:val="002C165A"/>
    <w:rsid w:val="002C2A8F"/>
    <w:rsid w:val="002C2BE8"/>
    <w:rsid w:val="002C4789"/>
    <w:rsid w:val="002C4C08"/>
    <w:rsid w:val="002C6EFF"/>
    <w:rsid w:val="002C7138"/>
    <w:rsid w:val="002C7509"/>
    <w:rsid w:val="002D0727"/>
    <w:rsid w:val="002D1330"/>
    <w:rsid w:val="002D2782"/>
    <w:rsid w:val="002D3BD3"/>
    <w:rsid w:val="002D469F"/>
    <w:rsid w:val="002D5CD1"/>
    <w:rsid w:val="002D728D"/>
    <w:rsid w:val="002D75CE"/>
    <w:rsid w:val="002D798E"/>
    <w:rsid w:val="002D7BDE"/>
    <w:rsid w:val="002D7DB4"/>
    <w:rsid w:val="002E458D"/>
    <w:rsid w:val="002E55F6"/>
    <w:rsid w:val="002E59A9"/>
    <w:rsid w:val="002E6503"/>
    <w:rsid w:val="002F0790"/>
    <w:rsid w:val="002F08E6"/>
    <w:rsid w:val="002F0C90"/>
    <w:rsid w:val="002F183B"/>
    <w:rsid w:val="002F24F6"/>
    <w:rsid w:val="002F2725"/>
    <w:rsid w:val="002F4CD1"/>
    <w:rsid w:val="002F54A7"/>
    <w:rsid w:val="002F5735"/>
    <w:rsid w:val="002F5825"/>
    <w:rsid w:val="003000FB"/>
    <w:rsid w:val="003003E6"/>
    <w:rsid w:val="0030102C"/>
    <w:rsid w:val="0030401C"/>
    <w:rsid w:val="00304BBA"/>
    <w:rsid w:val="00305182"/>
    <w:rsid w:val="003055AD"/>
    <w:rsid w:val="003059F7"/>
    <w:rsid w:val="003060ED"/>
    <w:rsid w:val="00306931"/>
    <w:rsid w:val="003074AE"/>
    <w:rsid w:val="00310238"/>
    <w:rsid w:val="003115A0"/>
    <w:rsid w:val="00312E22"/>
    <w:rsid w:val="00313446"/>
    <w:rsid w:val="00313815"/>
    <w:rsid w:val="00315552"/>
    <w:rsid w:val="00315E33"/>
    <w:rsid w:val="003162F2"/>
    <w:rsid w:val="00317815"/>
    <w:rsid w:val="003178F2"/>
    <w:rsid w:val="00317AE6"/>
    <w:rsid w:val="00317FB6"/>
    <w:rsid w:val="00323118"/>
    <w:rsid w:val="0032361D"/>
    <w:rsid w:val="00324204"/>
    <w:rsid w:val="00324EF0"/>
    <w:rsid w:val="00324F3A"/>
    <w:rsid w:val="00325250"/>
    <w:rsid w:val="00325674"/>
    <w:rsid w:val="0032603F"/>
    <w:rsid w:val="0032663A"/>
    <w:rsid w:val="00326883"/>
    <w:rsid w:val="003319D1"/>
    <w:rsid w:val="00331D4E"/>
    <w:rsid w:val="003324AC"/>
    <w:rsid w:val="00334DF2"/>
    <w:rsid w:val="00335468"/>
    <w:rsid w:val="003368D2"/>
    <w:rsid w:val="00336913"/>
    <w:rsid w:val="00337DA7"/>
    <w:rsid w:val="003405D1"/>
    <w:rsid w:val="003411B5"/>
    <w:rsid w:val="0034161A"/>
    <w:rsid w:val="0034425E"/>
    <w:rsid w:val="003444DD"/>
    <w:rsid w:val="003446DD"/>
    <w:rsid w:val="00344952"/>
    <w:rsid w:val="00344FDF"/>
    <w:rsid w:val="003456FC"/>
    <w:rsid w:val="003461FF"/>
    <w:rsid w:val="00346349"/>
    <w:rsid w:val="003466A7"/>
    <w:rsid w:val="003475BE"/>
    <w:rsid w:val="003514E2"/>
    <w:rsid w:val="00351738"/>
    <w:rsid w:val="00352FE8"/>
    <w:rsid w:val="0035376E"/>
    <w:rsid w:val="00353CC5"/>
    <w:rsid w:val="003551DF"/>
    <w:rsid w:val="00356F00"/>
    <w:rsid w:val="003575B5"/>
    <w:rsid w:val="00360325"/>
    <w:rsid w:val="00360769"/>
    <w:rsid w:val="003627FD"/>
    <w:rsid w:val="00363CDE"/>
    <w:rsid w:val="00363E11"/>
    <w:rsid w:val="00364DFD"/>
    <w:rsid w:val="00365098"/>
    <w:rsid w:val="003658C4"/>
    <w:rsid w:val="00370492"/>
    <w:rsid w:val="00370E97"/>
    <w:rsid w:val="00370F2A"/>
    <w:rsid w:val="00373415"/>
    <w:rsid w:val="00373529"/>
    <w:rsid w:val="00373C09"/>
    <w:rsid w:val="0037465B"/>
    <w:rsid w:val="0037584D"/>
    <w:rsid w:val="00375A58"/>
    <w:rsid w:val="0037626C"/>
    <w:rsid w:val="00376E81"/>
    <w:rsid w:val="00380494"/>
    <w:rsid w:val="003807FF"/>
    <w:rsid w:val="003833E8"/>
    <w:rsid w:val="00383EE2"/>
    <w:rsid w:val="003855DE"/>
    <w:rsid w:val="00385611"/>
    <w:rsid w:val="003857D3"/>
    <w:rsid w:val="00385D15"/>
    <w:rsid w:val="0038792C"/>
    <w:rsid w:val="003879E0"/>
    <w:rsid w:val="00390FA8"/>
    <w:rsid w:val="00392BAE"/>
    <w:rsid w:val="00393A9C"/>
    <w:rsid w:val="00394D4F"/>
    <w:rsid w:val="00394D68"/>
    <w:rsid w:val="00394EDC"/>
    <w:rsid w:val="003A02C0"/>
    <w:rsid w:val="003A1395"/>
    <w:rsid w:val="003A26B2"/>
    <w:rsid w:val="003A348C"/>
    <w:rsid w:val="003A35F1"/>
    <w:rsid w:val="003A380E"/>
    <w:rsid w:val="003A480E"/>
    <w:rsid w:val="003A4C08"/>
    <w:rsid w:val="003A5B95"/>
    <w:rsid w:val="003A640F"/>
    <w:rsid w:val="003A6F69"/>
    <w:rsid w:val="003A72CE"/>
    <w:rsid w:val="003B0655"/>
    <w:rsid w:val="003B1E21"/>
    <w:rsid w:val="003B26D9"/>
    <w:rsid w:val="003B2E02"/>
    <w:rsid w:val="003B4885"/>
    <w:rsid w:val="003B4B6C"/>
    <w:rsid w:val="003B4C8D"/>
    <w:rsid w:val="003B57E1"/>
    <w:rsid w:val="003B6118"/>
    <w:rsid w:val="003C25D5"/>
    <w:rsid w:val="003C26A5"/>
    <w:rsid w:val="003C5029"/>
    <w:rsid w:val="003C5332"/>
    <w:rsid w:val="003C6C5B"/>
    <w:rsid w:val="003C724C"/>
    <w:rsid w:val="003C73DE"/>
    <w:rsid w:val="003C7908"/>
    <w:rsid w:val="003D014F"/>
    <w:rsid w:val="003D12C9"/>
    <w:rsid w:val="003D159D"/>
    <w:rsid w:val="003D1758"/>
    <w:rsid w:val="003D222D"/>
    <w:rsid w:val="003D31EA"/>
    <w:rsid w:val="003D47C3"/>
    <w:rsid w:val="003D499C"/>
    <w:rsid w:val="003D6D62"/>
    <w:rsid w:val="003D6DD2"/>
    <w:rsid w:val="003E0FBE"/>
    <w:rsid w:val="003E2C82"/>
    <w:rsid w:val="003E4079"/>
    <w:rsid w:val="003E6929"/>
    <w:rsid w:val="003E6ACA"/>
    <w:rsid w:val="003E6F3E"/>
    <w:rsid w:val="003E7DD0"/>
    <w:rsid w:val="003F1565"/>
    <w:rsid w:val="003F1A0B"/>
    <w:rsid w:val="003F3542"/>
    <w:rsid w:val="003F40A2"/>
    <w:rsid w:val="003F45E2"/>
    <w:rsid w:val="003F46EB"/>
    <w:rsid w:val="003F78BE"/>
    <w:rsid w:val="0040162D"/>
    <w:rsid w:val="004024BA"/>
    <w:rsid w:val="004028EE"/>
    <w:rsid w:val="00404BAE"/>
    <w:rsid w:val="0040790F"/>
    <w:rsid w:val="00407CD9"/>
    <w:rsid w:val="00411552"/>
    <w:rsid w:val="004124A8"/>
    <w:rsid w:val="00413BE8"/>
    <w:rsid w:val="00413CF1"/>
    <w:rsid w:val="004144A3"/>
    <w:rsid w:val="004151B6"/>
    <w:rsid w:val="0041642A"/>
    <w:rsid w:val="00421E3B"/>
    <w:rsid w:val="00423EFF"/>
    <w:rsid w:val="004246AF"/>
    <w:rsid w:val="00424B5D"/>
    <w:rsid w:val="00424EFD"/>
    <w:rsid w:val="00425ACB"/>
    <w:rsid w:val="00425DC7"/>
    <w:rsid w:val="00426A6A"/>
    <w:rsid w:val="004277D0"/>
    <w:rsid w:val="00427944"/>
    <w:rsid w:val="00427FEE"/>
    <w:rsid w:val="004309FD"/>
    <w:rsid w:val="00431B1C"/>
    <w:rsid w:val="00432168"/>
    <w:rsid w:val="00432BAD"/>
    <w:rsid w:val="00433A13"/>
    <w:rsid w:val="00434C66"/>
    <w:rsid w:val="0043568D"/>
    <w:rsid w:val="00436731"/>
    <w:rsid w:val="0043788A"/>
    <w:rsid w:val="00440C15"/>
    <w:rsid w:val="00440DDD"/>
    <w:rsid w:val="00441741"/>
    <w:rsid w:val="00443A21"/>
    <w:rsid w:val="00443C92"/>
    <w:rsid w:val="00443CFF"/>
    <w:rsid w:val="00444572"/>
    <w:rsid w:val="0044499C"/>
    <w:rsid w:val="00445F55"/>
    <w:rsid w:val="0044628C"/>
    <w:rsid w:val="00446D14"/>
    <w:rsid w:val="00447644"/>
    <w:rsid w:val="00447BC2"/>
    <w:rsid w:val="00453619"/>
    <w:rsid w:val="004545E0"/>
    <w:rsid w:val="00456D0A"/>
    <w:rsid w:val="0045741B"/>
    <w:rsid w:val="00461818"/>
    <w:rsid w:val="004624FA"/>
    <w:rsid w:val="00462761"/>
    <w:rsid w:val="004629F2"/>
    <w:rsid w:val="00462C41"/>
    <w:rsid w:val="00463BF5"/>
    <w:rsid w:val="00464158"/>
    <w:rsid w:val="004644DA"/>
    <w:rsid w:val="00465220"/>
    <w:rsid w:val="00465465"/>
    <w:rsid w:val="00465EF0"/>
    <w:rsid w:val="00466669"/>
    <w:rsid w:val="00466C00"/>
    <w:rsid w:val="004675C8"/>
    <w:rsid w:val="00467AFE"/>
    <w:rsid w:val="00470077"/>
    <w:rsid w:val="0047065B"/>
    <w:rsid w:val="00471282"/>
    <w:rsid w:val="00472086"/>
    <w:rsid w:val="004725A0"/>
    <w:rsid w:val="00472A67"/>
    <w:rsid w:val="00472FE3"/>
    <w:rsid w:val="00474DB9"/>
    <w:rsid w:val="00476ACF"/>
    <w:rsid w:val="00477366"/>
    <w:rsid w:val="0047796B"/>
    <w:rsid w:val="00477C0D"/>
    <w:rsid w:val="00480E0C"/>
    <w:rsid w:val="00480ED4"/>
    <w:rsid w:val="0048155E"/>
    <w:rsid w:val="00481DE3"/>
    <w:rsid w:val="00482130"/>
    <w:rsid w:val="004828D6"/>
    <w:rsid w:val="00482B69"/>
    <w:rsid w:val="00483665"/>
    <w:rsid w:val="00484793"/>
    <w:rsid w:val="00484CBB"/>
    <w:rsid w:val="004858CA"/>
    <w:rsid w:val="00485C89"/>
    <w:rsid w:val="00486633"/>
    <w:rsid w:val="00486A5A"/>
    <w:rsid w:val="00486D61"/>
    <w:rsid w:val="004870F2"/>
    <w:rsid w:val="00487181"/>
    <w:rsid w:val="0049094D"/>
    <w:rsid w:val="004923C2"/>
    <w:rsid w:val="00492535"/>
    <w:rsid w:val="00492A44"/>
    <w:rsid w:val="00492D22"/>
    <w:rsid w:val="004936FB"/>
    <w:rsid w:val="00493820"/>
    <w:rsid w:val="00493A76"/>
    <w:rsid w:val="004946AA"/>
    <w:rsid w:val="00494E25"/>
    <w:rsid w:val="00495D87"/>
    <w:rsid w:val="00496617"/>
    <w:rsid w:val="004A1861"/>
    <w:rsid w:val="004A3056"/>
    <w:rsid w:val="004A387B"/>
    <w:rsid w:val="004A4C4A"/>
    <w:rsid w:val="004A66D1"/>
    <w:rsid w:val="004A67CE"/>
    <w:rsid w:val="004A6AFF"/>
    <w:rsid w:val="004A7B94"/>
    <w:rsid w:val="004B03BE"/>
    <w:rsid w:val="004B0BC0"/>
    <w:rsid w:val="004B0E80"/>
    <w:rsid w:val="004B2536"/>
    <w:rsid w:val="004B3CF3"/>
    <w:rsid w:val="004B5730"/>
    <w:rsid w:val="004B639D"/>
    <w:rsid w:val="004B773D"/>
    <w:rsid w:val="004B7B14"/>
    <w:rsid w:val="004B7C87"/>
    <w:rsid w:val="004C0194"/>
    <w:rsid w:val="004C022D"/>
    <w:rsid w:val="004C0D2D"/>
    <w:rsid w:val="004C105F"/>
    <w:rsid w:val="004C2644"/>
    <w:rsid w:val="004C296F"/>
    <w:rsid w:val="004C3011"/>
    <w:rsid w:val="004C4374"/>
    <w:rsid w:val="004C594C"/>
    <w:rsid w:val="004C6534"/>
    <w:rsid w:val="004C6B10"/>
    <w:rsid w:val="004D03E0"/>
    <w:rsid w:val="004D202C"/>
    <w:rsid w:val="004D31AD"/>
    <w:rsid w:val="004D3624"/>
    <w:rsid w:val="004D3D04"/>
    <w:rsid w:val="004D7A15"/>
    <w:rsid w:val="004E2400"/>
    <w:rsid w:val="004E2715"/>
    <w:rsid w:val="004E2B2E"/>
    <w:rsid w:val="004E3999"/>
    <w:rsid w:val="004E3D81"/>
    <w:rsid w:val="004E3E55"/>
    <w:rsid w:val="004E43FE"/>
    <w:rsid w:val="004E7C45"/>
    <w:rsid w:val="004E7FB0"/>
    <w:rsid w:val="004F0682"/>
    <w:rsid w:val="004F2C1F"/>
    <w:rsid w:val="004F527B"/>
    <w:rsid w:val="004F66E3"/>
    <w:rsid w:val="00500E05"/>
    <w:rsid w:val="00501EC8"/>
    <w:rsid w:val="005023EB"/>
    <w:rsid w:val="005026E8"/>
    <w:rsid w:val="005032B4"/>
    <w:rsid w:val="00503784"/>
    <w:rsid w:val="00503972"/>
    <w:rsid w:val="00504076"/>
    <w:rsid w:val="005052E6"/>
    <w:rsid w:val="00506695"/>
    <w:rsid w:val="005073AA"/>
    <w:rsid w:val="005105D2"/>
    <w:rsid w:val="00512403"/>
    <w:rsid w:val="00512D13"/>
    <w:rsid w:val="00512D24"/>
    <w:rsid w:val="00513BB8"/>
    <w:rsid w:val="005141E7"/>
    <w:rsid w:val="00514DAE"/>
    <w:rsid w:val="00515A20"/>
    <w:rsid w:val="00515A64"/>
    <w:rsid w:val="005165C1"/>
    <w:rsid w:val="0052389E"/>
    <w:rsid w:val="00523995"/>
    <w:rsid w:val="005240E1"/>
    <w:rsid w:val="005244C6"/>
    <w:rsid w:val="00525191"/>
    <w:rsid w:val="005252A2"/>
    <w:rsid w:val="00525DAE"/>
    <w:rsid w:val="00526BE9"/>
    <w:rsid w:val="0052749E"/>
    <w:rsid w:val="00531311"/>
    <w:rsid w:val="0053188F"/>
    <w:rsid w:val="00533F1E"/>
    <w:rsid w:val="00534406"/>
    <w:rsid w:val="00534613"/>
    <w:rsid w:val="00534A94"/>
    <w:rsid w:val="00534C80"/>
    <w:rsid w:val="0053553C"/>
    <w:rsid w:val="00535614"/>
    <w:rsid w:val="00540325"/>
    <w:rsid w:val="00541A33"/>
    <w:rsid w:val="0054270D"/>
    <w:rsid w:val="00542A72"/>
    <w:rsid w:val="00542EBB"/>
    <w:rsid w:val="00545B0D"/>
    <w:rsid w:val="00545B25"/>
    <w:rsid w:val="00546B44"/>
    <w:rsid w:val="00546DCF"/>
    <w:rsid w:val="005505A9"/>
    <w:rsid w:val="00550D52"/>
    <w:rsid w:val="00550D78"/>
    <w:rsid w:val="005512B4"/>
    <w:rsid w:val="00551C0B"/>
    <w:rsid w:val="00551EEE"/>
    <w:rsid w:val="005529D7"/>
    <w:rsid w:val="005532E0"/>
    <w:rsid w:val="005541F1"/>
    <w:rsid w:val="005544C4"/>
    <w:rsid w:val="0055481E"/>
    <w:rsid w:val="00560A47"/>
    <w:rsid w:val="00561554"/>
    <w:rsid w:val="00561D02"/>
    <w:rsid w:val="00562C28"/>
    <w:rsid w:val="005630A8"/>
    <w:rsid w:val="00563D35"/>
    <w:rsid w:val="00564240"/>
    <w:rsid w:val="005651C3"/>
    <w:rsid w:val="00565610"/>
    <w:rsid w:val="005659EC"/>
    <w:rsid w:val="00565B85"/>
    <w:rsid w:val="00565E27"/>
    <w:rsid w:val="005660A9"/>
    <w:rsid w:val="005664FD"/>
    <w:rsid w:val="00566715"/>
    <w:rsid w:val="00566962"/>
    <w:rsid w:val="00566E35"/>
    <w:rsid w:val="00567147"/>
    <w:rsid w:val="00571418"/>
    <w:rsid w:val="00572AA2"/>
    <w:rsid w:val="00573ED2"/>
    <w:rsid w:val="005757DB"/>
    <w:rsid w:val="00580923"/>
    <w:rsid w:val="005826D2"/>
    <w:rsid w:val="00582753"/>
    <w:rsid w:val="0058307C"/>
    <w:rsid w:val="005836AC"/>
    <w:rsid w:val="00583C95"/>
    <w:rsid w:val="00583CE8"/>
    <w:rsid w:val="00585F2B"/>
    <w:rsid w:val="00586183"/>
    <w:rsid w:val="00586BD6"/>
    <w:rsid w:val="00586C8B"/>
    <w:rsid w:val="00586D71"/>
    <w:rsid w:val="00591151"/>
    <w:rsid w:val="00591518"/>
    <w:rsid w:val="00591C2C"/>
    <w:rsid w:val="00591EB1"/>
    <w:rsid w:val="00592261"/>
    <w:rsid w:val="005934B0"/>
    <w:rsid w:val="00594FC1"/>
    <w:rsid w:val="00596609"/>
    <w:rsid w:val="0059698E"/>
    <w:rsid w:val="00597097"/>
    <w:rsid w:val="005A211C"/>
    <w:rsid w:val="005A3E0A"/>
    <w:rsid w:val="005A4E48"/>
    <w:rsid w:val="005A5972"/>
    <w:rsid w:val="005A65BE"/>
    <w:rsid w:val="005A667E"/>
    <w:rsid w:val="005A68B9"/>
    <w:rsid w:val="005A68FC"/>
    <w:rsid w:val="005A6B87"/>
    <w:rsid w:val="005A6F68"/>
    <w:rsid w:val="005A792F"/>
    <w:rsid w:val="005B14ED"/>
    <w:rsid w:val="005B1775"/>
    <w:rsid w:val="005B19E5"/>
    <w:rsid w:val="005B38D9"/>
    <w:rsid w:val="005B427B"/>
    <w:rsid w:val="005B53D1"/>
    <w:rsid w:val="005B606E"/>
    <w:rsid w:val="005B6326"/>
    <w:rsid w:val="005B673B"/>
    <w:rsid w:val="005B778C"/>
    <w:rsid w:val="005B7BC8"/>
    <w:rsid w:val="005C0209"/>
    <w:rsid w:val="005C0B5A"/>
    <w:rsid w:val="005C1204"/>
    <w:rsid w:val="005C145C"/>
    <w:rsid w:val="005C20C2"/>
    <w:rsid w:val="005C27DA"/>
    <w:rsid w:val="005C44D9"/>
    <w:rsid w:val="005C4898"/>
    <w:rsid w:val="005C640C"/>
    <w:rsid w:val="005C6B92"/>
    <w:rsid w:val="005C7450"/>
    <w:rsid w:val="005C76AA"/>
    <w:rsid w:val="005D041F"/>
    <w:rsid w:val="005D1EBF"/>
    <w:rsid w:val="005D2023"/>
    <w:rsid w:val="005D2DB3"/>
    <w:rsid w:val="005D3689"/>
    <w:rsid w:val="005D3CB2"/>
    <w:rsid w:val="005D400C"/>
    <w:rsid w:val="005D4210"/>
    <w:rsid w:val="005D47BC"/>
    <w:rsid w:val="005D6100"/>
    <w:rsid w:val="005D653C"/>
    <w:rsid w:val="005D7066"/>
    <w:rsid w:val="005D732B"/>
    <w:rsid w:val="005E1A39"/>
    <w:rsid w:val="005E32FE"/>
    <w:rsid w:val="005E4847"/>
    <w:rsid w:val="005E6418"/>
    <w:rsid w:val="005E7031"/>
    <w:rsid w:val="005E72CD"/>
    <w:rsid w:val="005F1658"/>
    <w:rsid w:val="005F2F36"/>
    <w:rsid w:val="005F31BE"/>
    <w:rsid w:val="005F3797"/>
    <w:rsid w:val="005F4FF4"/>
    <w:rsid w:val="005F6A75"/>
    <w:rsid w:val="005F6AAF"/>
    <w:rsid w:val="005F7172"/>
    <w:rsid w:val="005F7C4C"/>
    <w:rsid w:val="00600145"/>
    <w:rsid w:val="00600EE7"/>
    <w:rsid w:val="00600F0B"/>
    <w:rsid w:val="0060438D"/>
    <w:rsid w:val="006047B9"/>
    <w:rsid w:val="00604DE6"/>
    <w:rsid w:val="00604E71"/>
    <w:rsid w:val="00605119"/>
    <w:rsid w:val="006060D1"/>
    <w:rsid w:val="00607DB8"/>
    <w:rsid w:val="00607FFC"/>
    <w:rsid w:val="0061165D"/>
    <w:rsid w:val="00612D28"/>
    <w:rsid w:val="00613311"/>
    <w:rsid w:val="006156BF"/>
    <w:rsid w:val="00620EAD"/>
    <w:rsid w:val="00621067"/>
    <w:rsid w:val="00621728"/>
    <w:rsid w:val="00621C0E"/>
    <w:rsid w:val="00622A4E"/>
    <w:rsid w:val="00623786"/>
    <w:rsid w:val="00624ECA"/>
    <w:rsid w:val="006250FC"/>
    <w:rsid w:val="006256F1"/>
    <w:rsid w:val="0062634A"/>
    <w:rsid w:val="006266C3"/>
    <w:rsid w:val="00626FC8"/>
    <w:rsid w:val="006273BA"/>
    <w:rsid w:val="00627AE8"/>
    <w:rsid w:val="0063004B"/>
    <w:rsid w:val="00630535"/>
    <w:rsid w:val="006308DC"/>
    <w:rsid w:val="006309B1"/>
    <w:rsid w:val="00632E9E"/>
    <w:rsid w:val="00632EB4"/>
    <w:rsid w:val="00633B25"/>
    <w:rsid w:val="0063541E"/>
    <w:rsid w:val="006374E2"/>
    <w:rsid w:val="006377FE"/>
    <w:rsid w:val="00640436"/>
    <w:rsid w:val="00640FE5"/>
    <w:rsid w:val="00641653"/>
    <w:rsid w:val="00641B95"/>
    <w:rsid w:val="00641E9B"/>
    <w:rsid w:val="00641F8E"/>
    <w:rsid w:val="00642A4D"/>
    <w:rsid w:val="00644288"/>
    <w:rsid w:val="006443EF"/>
    <w:rsid w:val="0064520B"/>
    <w:rsid w:val="0064544C"/>
    <w:rsid w:val="00646597"/>
    <w:rsid w:val="0065015F"/>
    <w:rsid w:val="006521A2"/>
    <w:rsid w:val="0065386D"/>
    <w:rsid w:val="00655463"/>
    <w:rsid w:val="006557D5"/>
    <w:rsid w:val="006563EA"/>
    <w:rsid w:val="00656D05"/>
    <w:rsid w:val="006572E0"/>
    <w:rsid w:val="00660B5C"/>
    <w:rsid w:val="00661D0D"/>
    <w:rsid w:val="006624BD"/>
    <w:rsid w:val="00662816"/>
    <w:rsid w:val="00663511"/>
    <w:rsid w:val="00663B21"/>
    <w:rsid w:val="00664236"/>
    <w:rsid w:val="00664E80"/>
    <w:rsid w:val="00665A68"/>
    <w:rsid w:val="00665BFB"/>
    <w:rsid w:val="00666F7A"/>
    <w:rsid w:val="00667095"/>
    <w:rsid w:val="006711E3"/>
    <w:rsid w:val="00671531"/>
    <w:rsid w:val="006720C5"/>
    <w:rsid w:val="006726EE"/>
    <w:rsid w:val="00673031"/>
    <w:rsid w:val="006742D4"/>
    <w:rsid w:val="0067493E"/>
    <w:rsid w:val="006749D4"/>
    <w:rsid w:val="0067665D"/>
    <w:rsid w:val="0067686F"/>
    <w:rsid w:val="006815A1"/>
    <w:rsid w:val="00681D5D"/>
    <w:rsid w:val="006829CF"/>
    <w:rsid w:val="00682C7B"/>
    <w:rsid w:val="00687240"/>
    <w:rsid w:val="006906E1"/>
    <w:rsid w:val="006910FA"/>
    <w:rsid w:val="0069278B"/>
    <w:rsid w:val="00692B7E"/>
    <w:rsid w:val="00692EFA"/>
    <w:rsid w:val="00692FC4"/>
    <w:rsid w:val="00692FDF"/>
    <w:rsid w:val="00693406"/>
    <w:rsid w:val="0069388D"/>
    <w:rsid w:val="0069443B"/>
    <w:rsid w:val="00694A0D"/>
    <w:rsid w:val="0069529A"/>
    <w:rsid w:val="006959C6"/>
    <w:rsid w:val="00696B6E"/>
    <w:rsid w:val="00696F47"/>
    <w:rsid w:val="006A17DC"/>
    <w:rsid w:val="006A6940"/>
    <w:rsid w:val="006A721C"/>
    <w:rsid w:val="006B172D"/>
    <w:rsid w:val="006B24F6"/>
    <w:rsid w:val="006B2AAE"/>
    <w:rsid w:val="006B33D4"/>
    <w:rsid w:val="006B3A9A"/>
    <w:rsid w:val="006B4333"/>
    <w:rsid w:val="006B4AA7"/>
    <w:rsid w:val="006B5664"/>
    <w:rsid w:val="006B7536"/>
    <w:rsid w:val="006B7C9D"/>
    <w:rsid w:val="006B7DAE"/>
    <w:rsid w:val="006C0884"/>
    <w:rsid w:val="006C24BC"/>
    <w:rsid w:val="006C4122"/>
    <w:rsid w:val="006C7D7D"/>
    <w:rsid w:val="006D20BE"/>
    <w:rsid w:val="006D21E7"/>
    <w:rsid w:val="006D29CB"/>
    <w:rsid w:val="006D3949"/>
    <w:rsid w:val="006D514C"/>
    <w:rsid w:val="006E00D0"/>
    <w:rsid w:val="006E02A2"/>
    <w:rsid w:val="006E05AF"/>
    <w:rsid w:val="006E0942"/>
    <w:rsid w:val="006E0C22"/>
    <w:rsid w:val="006E12FA"/>
    <w:rsid w:val="006E179B"/>
    <w:rsid w:val="006E1825"/>
    <w:rsid w:val="006E2D6E"/>
    <w:rsid w:val="006E3697"/>
    <w:rsid w:val="006E402A"/>
    <w:rsid w:val="006E50A7"/>
    <w:rsid w:val="006E6273"/>
    <w:rsid w:val="006E7C05"/>
    <w:rsid w:val="006F0EAC"/>
    <w:rsid w:val="006F1050"/>
    <w:rsid w:val="006F3554"/>
    <w:rsid w:val="006F37FF"/>
    <w:rsid w:val="006F3E34"/>
    <w:rsid w:val="006F407A"/>
    <w:rsid w:val="006F4B0F"/>
    <w:rsid w:val="006F552F"/>
    <w:rsid w:val="00701548"/>
    <w:rsid w:val="00701684"/>
    <w:rsid w:val="00701C50"/>
    <w:rsid w:val="00702023"/>
    <w:rsid w:val="0070683A"/>
    <w:rsid w:val="00706B88"/>
    <w:rsid w:val="00707FC2"/>
    <w:rsid w:val="00710D59"/>
    <w:rsid w:val="00710F3A"/>
    <w:rsid w:val="00711638"/>
    <w:rsid w:val="00712861"/>
    <w:rsid w:val="00716AAC"/>
    <w:rsid w:val="00716F65"/>
    <w:rsid w:val="00721B7D"/>
    <w:rsid w:val="00721C81"/>
    <w:rsid w:val="00721D22"/>
    <w:rsid w:val="00725A0C"/>
    <w:rsid w:val="00725FAF"/>
    <w:rsid w:val="007267AD"/>
    <w:rsid w:val="00727306"/>
    <w:rsid w:val="007274F1"/>
    <w:rsid w:val="007303D5"/>
    <w:rsid w:val="0073261C"/>
    <w:rsid w:val="0073330E"/>
    <w:rsid w:val="0073476C"/>
    <w:rsid w:val="00735F48"/>
    <w:rsid w:val="007379D8"/>
    <w:rsid w:val="00737CC8"/>
    <w:rsid w:val="00740DB3"/>
    <w:rsid w:val="007414B2"/>
    <w:rsid w:val="007414F0"/>
    <w:rsid w:val="007416A0"/>
    <w:rsid w:val="00741D63"/>
    <w:rsid w:val="00741DC9"/>
    <w:rsid w:val="007422E0"/>
    <w:rsid w:val="0074247F"/>
    <w:rsid w:val="007447B9"/>
    <w:rsid w:val="00744B7C"/>
    <w:rsid w:val="00746692"/>
    <w:rsid w:val="00746DE5"/>
    <w:rsid w:val="0074777D"/>
    <w:rsid w:val="00747EFF"/>
    <w:rsid w:val="007521B5"/>
    <w:rsid w:val="007545CF"/>
    <w:rsid w:val="007547AD"/>
    <w:rsid w:val="007555D4"/>
    <w:rsid w:val="0075607B"/>
    <w:rsid w:val="0076050F"/>
    <w:rsid w:val="00760E3B"/>
    <w:rsid w:val="007610DF"/>
    <w:rsid w:val="0076220B"/>
    <w:rsid w:val="00762366"/>
    <w:rsid w:val="00766897"/>
    <w:rsid w:val="007675F8"/>
    <w:rsid w:val="00771A92"/>
    <w:rsid w:val="00773AA8"/>
    <w:rsid w:val="007742CD"/>
    <w:rsid w:val="007747BC"/>
    <w:rsid w:val="0077796E"/>
    <w:rsid w:val="00777C05"/>
    <w:rsid w:val="0078037C"/>
    <w:rsid w:val="00781470"/>
    <w:rsid w:val="00782192"/>
    <w:rsid w:val="00782A17"/>
    <w:rsid w:val="00782E89"/>
    <w:rsid w:val="0078345B"/>
    <w:rsid w:val="00783F75"/>
    <w:rsid w:val="0078548C"/>
    <w:rsid w:val="00786E3C"/>
    <w:rsid w:val="0078739D"/>
    <w:rsid w:val="00790DC4"/>
    <w:rsid w:val="00791645"/>
    <w:rsid w:val="00793661"/>
    <w:rsid w:val="007937A4"/>
    <w:rsid w:val="00794514"/>
    <w:rsid w:val="00794933"/>
    <w:rsid w:val="007961B8"/>
    <w:rsid w:val="007A01C2"/>
    <w:rsid w:val="007A06C3"/>
    <w:rsid w:val="007A100E"/>
    <w:rsid w:val="007A2E5D"/>
    <w:rsid w:val="007A32EA"/>
    <w:rsid w:val="007A4DEB"/>
    <w:rsid w:val="007A6945"/>
    <w:rsid w:val="007A70D2"/>
    <w:rsid w:val="007A7679"/>
    <w:rsid w:val="007A7BC4"/>
    <w:rsid w:val="007B0232"/>
    <w:rsid w:val="007B2C34"/>
    <w:rsid w:val="007B33E5"/>
    <w:rsid w:val="007B590C"/>
    <w:rsid w:val="007B7181"/>
    <w:rsid w:val="007B7621"/>
    <w:rsid w:val="007B791D"/>
    <w:rsid w:val="007C0233"/>
    <w:rsid w:val="007C17E4"/>
    <w:rsid w:val="007C1F6C"/>
    <w:rsid w:val="007C3530"/>
    <w:rsid w:val="007C3A77"/>
    <w:rsid w:val="007C52DF"/>
    <w:rsid w:val="007C5FC3"/>
    <w:rsid w:val="007C603C"/>
    <w:rsid w:val="007C6825"/>
    <w:rsid w:val="007C6E74"/>
    <w:rsid w:val="007C7C24"/>
    <w:rsid w:val="007D129D"/>
    <w:rsid w:val="007D1C93"/>
    <w:rsid w:val="007D2435"/>
    <w:rsid w:val="007D2F57"/>
    <w:rsid w:val="007D4486"/>
    <w:rsid w:val="007D64AC"/>
    <w:rsid w:val="007D6E45"/>
    <w:rsid w:val="007D71E8"/>
    <w:rsid w:val="007D720D"/>
    <w:rsid w:val="007D78D4"/>
    <w:rsid w:val="007E04D2"/>
    <w:rsid w:val="007E186F"/>
    <w:rsid w:val="007E1ECA"/>
    <w:rsid w:val="007E2B5E"/>
    <w:rsid w:val="007E2DC8"/>
    <w:rsid w:val="007E2E95"/>
    <w:rsid w:val="007E4049"/>
    <w:rsid w:val="007E4275"/>
    <w:rsid w:val="007E5D02"/>
    <w:rsid w:val="007E6A3E"/>
    <w:rsid w:val="007E7AE6"/>
    <w:rsid w:val="007F0E05"/>
    <w:rsid w:val="007F10D0"/>
    <w:rsid w:val="007F170E"/>
    <w:rsid w:val="007F2676"/>
    <w:rsid w:val="007F318B"/>
    <w:rsid w:val="007F390A"/>
    <w:rsid w:val="007F3E6C"/>
    <w:rsid w:val="007F4B4F"/>
    <w:rsid w:val="007F736F"/>
    <w:rsid w:val="007F74FF"/>
    <w:rsid w:val="007F7B1A"/>
    <w:rsid w:val="00800029"/>
    <w:rsid w:val="00801F83"/>
    <w:rsid w:val="0080287E"/>
    <w:rsid w:val="00803437"/>
    <w:rsid w:val="0080446C"/>
    <w:rsid w:val="0080467F"/>
    <w:rsid w:val="00804EA5"/>
    <w:rsid w:val="008065A9"/>
    <w:rsid w:val="008079D5"/>
    <w:rsid w:val="00807FFA"/>
    <w:rsid w:val="00811558"/>
    <w:rsid w:val="00812C3D"/>
    <w:rsid w:val="00813943"/>
    <w:rsid w:val="00813A40"/>
    <w:rsid w:val="00814246"/>
    <w:rsid w:val="00814C63"/>
    <w:rsid w:val="00815073"/>
    <w:rsid w:val="008154AB"/>
    <w:rsid w:val="008216AE"/>
    <w:rsid w:val="00821EE6"/>
    <w:rsid w:val="00821F49"/>
    <w:rsid w:val="008244D1"/>
    <w:rsid w:val="00824D05"/>
    <w:rsid w:val="008255A7"/>
    <w:rsid w:val="00826257"/>
    <w:rsid w:val="0082682C"/>
    <w:rsid w:val="008273C9"/>
    <w:rsid w:val="008327DD"/>
    <w:rsid w:val="008334F4"/>
    <w:rsid w:val="00834DAE"/>
    <w:rsid w:val="008352A0"/>
    <w:rsid w:val="00835595"/>
    <w:rsid w:val="00840056"/>
    <w:rsid w:val="00840BBF"/>
    <w:rsid w:val="00841AC7"/>
    <w:rsid w:val="00841B81"/>
    <w:rsid w:val="0084234E"/>
    <w:rsid w:val="00842743"/>
    <w:rsid w:val="00842AA5"/>
    <w:rsid w:val="00843853"/>
    <w:rsid w:val="008439BA"/>
    <w:rsid w:val="00844A5C"/>
    <w:rsid w:val="00845492"/>
    <w:rsid w:val="00850875"/>
    <w:rsid w:val="008520F3"/>
    <w:rsid w:val="00853955"/>
    <w:rsid w:val="00853D45"/>
    <w:rsid w:val="00854E0B"/>
    <w:rsid w:val="008564BC"/>
    <w:rsid w:val="0085789D"/>
    <w:rsid w:val="00857EA1"/>
    <w:rsid w:val="00860881"/>
    <w:rsid w:val="00860E0C"/>
    <w:rsid w:val="00861CAE"/>
    <w:rsid w:val="0086498F"/>
    <w:rsid w:val="00865595"/>
    <w:rsid w:val="00865EBA"/>
    <w:rsid w:val="00865FD5"/>
    <w:rsid w:val="00867A41"/>
    <w:rsid w:val="00867FD3"/>
    <w:rsid w:val="008706F4"/>
    <w:rsid w:val="008707B1"/>
    <w:rsid w:val="00872341"/>
    <w:rsid w:val="008729D2"/>
    <w:rsid w:val="00873C34"/>
    <w:rsid w:val="00873CEF"/>
    <w:rsid w:val="00873F15"/>
    <w:rsid w:val="0087408B"/>
    <w:rsid w:val="00874F96"/>
    <w:rsid w:val="00876E73"/>
    <w:rsid w:val="00877616"/>
    <w:rsid w:val="0087793F"/>
    <w:rsid w:val="00877CCF"/>
    <w:rsid w:val="00877D51"/>
    <w:rsid w:val="00880741"/>
    <w:rsid w:val="00880951"/>
    <w:rsid w:val="00880DEF"/>
    <w:rsid w:val="008831BB"/>
    <w:rsid w:val="008846F4"/>
    <w:rsid w:val="00884DF6"/>
    <w:rsid w:val="00885671"/>
    <w:rsid w:val="00887C0C"/>
    <w:rsid w:val="00892B9F"/>
    <w:rsid w:val="00893B0B"/>
    <w:rsid w:val="00894167"/>
    <w:rsid w:val="0089447D"/>
    <w:rsid w:val="00895832"/>
    <w:rsid w:val="008A07FA"/>
    <w:rsid w:val="008A1DBC"/>
    <w:rsid w:val="008A1E1F"/>
    <w:rsid w:val="008A2BC9"/>
    <w:rsid w:val="008A420C"/>
    <w:rsid w:val="008A4605"/>
    <w:rsid w:val="008A4FCF"/>
    <w:rsid w:val="008A609C"/>
    <w:rsid w:val="008B01B8"/>
    <w:rsid w:val="008B2421"/>
    <w:rsid w:val="008B3D99"/>
    <w:rsid w:val="008B4480"/>
    <w:rsid w:val="008B45D8"/>
    <w:rsid w:val="008B4A18"/>
    <w:rsid w:val="008B64EF"/>
    <w:rsid w:val="008C0A86"/>
    <w:rsid w:val="008C167A"/>
    <w:rsid w:val="008C16AC"/>
    <w:rsid w:val="008C173D"/>
    <w:rsid w:val="008C1930"/>
    <w:rsid w:val="008C251E"/>
    <w:rsid w:val="008C2E5A"/>
    <w:rsid w:val="008C2FE0"/>
    <w:rsid w:val="008C4131"/>
    <w:rsid w:val="008C550D"/>
    <w:rsid w:val="008C55ED"/>
    <w:rsid w:val="008C758D"/>
    <w:rsid w:val="008C7DC0"/>
    <w:rsid w:val="008D0ABD"/>
    <w:rsid w:val="008D398E"/>
    <w:rsid w:val="008D3F8B"/>
    <w:rsid w:val="008D4517"/>
    <w:rsid w:val="008D64DA"/>
    <w:rsid w:val="008D6773"/>
    <w:rsid w:val="008E02C8"/>
    <w:rsid w:val="008E1F32"/>
    <w:rsid w:val="008E2D22"/>
    <w:rsid w:val="008E355E"/>
    <w:rsid w:val="008E3F73"/>
    <w:rsid w:val="008E52FF"/>
    <w:rsid w:val="008E5B08"/>
    <w:rsid w:val="008E7468"/>
    <w:rsid w:val="008F0724"/>
    <w:rsid w:val="008F1BE2"/>
    <w:rsid w:val="008F2778"/>
    <w:rsid w:val="008F31B0"/>
    <w:rsid w:val="008F32F6"/>
    <w:rsid w:val="008F38C8"/>
    <w:rsid w:val="008F4BD7"/>
    <w:rsid w:val="008F4EDF"/>
    <w:rsid w:val="008F50CC"/>
    <w:rsid w:val="008F58CF"/>
    <w:rsid w:val="008F7993"/>
    <w:rsid w:val="00900254"/>
    <w:rsid w:val="00900EFA"/>
    <w:rsid w:val="00902EC0"/>
    <w:rsid w:val="00905208"/>
    <w:rsid w:val="00906B7A"/>
    <w:rsid w:val="009071E3"/>
    <w:rsid w:val="009105B8"/>
    <w:rsid w:val="009117DB"/>
    <w:rsid w:val="00911A1C"/>
    <w:rsid w:val="00912E4D"/>
    <w:rsid w:val="009138E1"/>
    <w:rsid w:val="00913E61"/>
    <w:rsid w:val="00915832"/>
    <w:rsid w:val="009162ED"/>
    <w:rsid w:val="0091633A"/>
    <w:rsid w:val="00916E54"/>
    <w:rsid w:val="00917403"/>
    <w:rsid w:val="00917A33"/>
    <w:rsid w:val="00920A43"/>
    <w:rsid w:val="00920A69"/>
    <w:rsid w:val="00920AD9"/>
    <w:rsid w:val="009214A8"/>
    <w:rsid w:val="00922AD9"/>
    <w:rsid w:val="009242F3"/>
    <w:rsid w:val="009272B2"/>
    <w:rsid w:val="009301CD"/>
    <w:rsid w:val="00930C2F"/>
    <w:rsid w:val="009318A5"/>
    <w:rsid w:val="00933009"/>
    <w:rsid w:val="0093393D"/>
    <w:rsid w:val="00934A6C"/>
    <w:rsid w:val="00935103"/>
    <w:rsid w:val="00936EE2"/>
    <w:rsid w:val="009373A0"/>
    <w:rsid w:val="00937B00"/>
    <w:rsid w:val="0094187F"/>
    <w:rsid w:val="00941C5F"/>
    <w:rsid w:val="00942051"/>
    <w:rsid w:val="009424F1"/>
    <w:rsid w:val="00942C74"/>
    <w:rsid w:val="00944805"/>
    <w:rsid w:val="00944BE9"/>
    <w:rsid w:val="00944EA2"/>
    <w:rsid w:val="009459CF"/>
    <w:rsid w:val="00946515"/>
    <w:rsid w:val="009465C7"/>
    <w:rsid w:val="00950578"/>
    <w:rsid w:val="0095069A"/>
    <w:rsid w:val="009523CD"/>
    <w:rsid w:val="0095347B"/>
    <w:rsid w:val="00953860"/>
    <w:rsid w:val="00953DB2"/>
    <w:rsid w:val="009540C0"/>
    <w:rsid w:val="0095462C"/>
    <w:rsid w:val="00955204"/>
    <w:rsid w:val="0095592E"/>
    <w:rsid w:val="0095596C"/>
    <w:rsid w:val="0095630E"/>
    <w:rsid w:val="00960963"/>
    <w:rsid w:val="0096256F"/>
    <w:rsid w:val="00962A5F"/>
    <w:rsid w:val="00963109"/>
    <w:rsid w:val="009636A7"/>
    <w:rsid w:val="009637C6"/>
    <w:rsid w:val="00963D2A"/>
    <w:rsid w:val="00964C57"/>
    <w:rsid w:val="00965381"/>
    <w:rsid w:val="00965B4C"/>
    <w:rsid w:val="0096721F"/>
    <w:rsid w:val="009672D4"/>
    <w:rsid w:val="0096791B"/>
    <w:rsid w:val="00967D5A"/>
    <w:rsid w:val="009713F4"/>
    <w:rsid w:val="00971BF3"/>
    <w:rsid w:val="00972603"/>
    <w:rsid w:val="00972A8C"/>
    <w:rsid w:val="00973ECB"/>
    <w:rsid w:val="009751E3"/>
    <w:rsid w:val="00976032"/>
    <w:rsid w:val="00976F6B"/>
    <w:rsid w:val="0097717B"/>
    <w:rsid w:val="00977E2A"/>
    <w:rsid w:val="0098026E"/>
    <w:rsid w:val="009803A0"/>
    <w:rsid w:val="009808EE"/>
    <w:rsid w:val="00980C93"/>
    <w:rsid w:val="009818F9"/>
    <w:rsid w:val="00982165"/>
    <w:rsid w:val="00983325"/>
    <w:rsid w:val="0098394A"/>
    <w:rsid w:val="009849E6"/>
    <w:rsid w:val="00985A12"/>
    <w:rsid w:val="00985D98"/>
    <w:rsid w:val="009860CC"/>
    <w:rsid w:val="0099017C"/>
    <w:rsid w:val="00990F89"/>
    <w:rsid w:val="00992279"/>
    <w:rsid w:val="0099228C"/>
    <w:rsid w:val="0099261F"/>
    <w:rsid w:val="00992CBA"/>
    <w:rsid w:val="00994A7A"/>
    <w:rsid w:val="009951E3"/>
    <w:rsid w:val="00995C2E"/>
    <w:rsid w:val="00996BAC"/>
    <w:rsid w:val="009A5F91"/>
    <w:rsid w:val="009A741F"/>
    <w:rsid w:val="009A7A19"/>
    <w:rsid w:val="009B0DCB"/>
    <w:rsid w:val="009B0EC4"/>
    <w:rsid w:val="009B1A14"/>
    <w:rsid w:val="009B2841"/>
    <w:rsid w:val="009B32FF"/>
    <w:rsid w:val="009B3CAB"/>
    <w:rsid w:val="009B4C33"/>
    <w:rsid w:val="009B5D86"/>
    <w:rsid w:val="009B79C2"/>
    <w:rsid w:val="009B7DB4"/>
    <w:rsid w:val="009C266E"/>
    <w:rsid w:val="009C355B"/>
    <w:rsid w:val="009C3E70"/>
    <w:rsid w:val="009C42AC"/>
    <w:rsid w:val="009C4623"/>
    <w:rsid w:val="009C5EAA"/>
    <w:rsid w:val="009C6E3A"/>
    <w:rsid w:val="009C726C"/>
    <w:rsid w:val="009C7705"/>
    <w:rsid w:val="009D2AC0"/>
    <w:rsid w:val="009D2EFF"/>
    <w:rsid w:val="009D5C65"/>
    <w:rsid w:val="009D6973"/>
    <w:rsid w:val="009D6EA4"/>
    <w:rsid w:val="009D7490"/>
    <w:rsid w:val="009E0E37"/>
    <w:rsid w:val="009E0EC9"/>
    <w:rsid w:val="009E181F"/>
    <w:rsid w:val="009E1D94"/>
    <w:rsid w:val="009E2575"/>
    <w:rsid w:val="009E2FFF"/>
    <w:rsid w:val="009E33FA"/>
    <w:rsid w:val="009E3B5A"/>
    <w:rsid w:val="009E3EDA"/>
    <w:rsid w:val="009E4D77"/>
    <w:rsid w:val="009E4DE9"/>
    <w:rsid w:val="009E4E7E"/>
    <w:rsid w:val="009E4F25"/>
    <w:rsid w:val="009E6CE0"/>
    <w:rsid w:val="009E73A5"/>
    <w:rsid w:val="009E7A1B"/>
    <w:rsid w:val="009F03F0"/>
    <w:rsid w:val="009F03FA"/>
    <w:rsid w:val="009F0757"/>
    <w:rsid w:val="009F0B4B"/>
    <w:rsid w:val="009F2318"/>
    <w:rsid w:val="009F2892"/>
    <w:rsid w:val="009F28AD"/>
    <w:rsid w:val="009F37BD"/>
    <w:rsid w:val="009F4FEC"/>
    <w:rsid w:val="009F6848"/>
    <w:rsid w:val="009F69A5"/>
    <w:rsid w:val="009F6A12"/>
    <w:rsid w:val="009F79E1"/>
    <w:rsid w:val="00A00897"/>
    <w:rsid w:val="00A0098B"/>
    <w:rsid w:val="00A016DA"/>
    <w:rsid w:val="00A01F9B"/>
    <w:rsid w:val="00A01FDA"/>
    <w:rsid w:val="00A03275"/>
    <w:rsid w:val="00A036F8"/>
    <w:rsid w:val="00A037F3"/>
    <w:rsid w:val="00A0515F"/>
    <w:rsid w:val="00A115F0"/>
    <w:rsid w:val="00A11976"/>
    <w:rsid w:val="00A1215F"/>
    <w:rsid w:val="00A123DA"/>
    <w:rsid w:val="00A12CC4"/>
    <w:rsid w:val="00A130E9"/>
    <w:rsid w:val="00A13E27"/>
    <w:rsid w:val="00A14A19"/>
    <w:rsid w:val="00A15E0F"/>
    <w:rsid w:val="00A162FB"/>
    <w:rsid w:val="00A16CD7"/>
    <w:rsid w:val="00A1712F"/>
    <w:rsid w:val="00A204D0"/>
    <w:rsid w:val="00A22B12"/>
    <w:rsid w:val="00A2362D"/>
    <w:rsid w:val="00A24F21"/>
    <w:rsid w:val="00A2669D"/>
    <w:rsid w:val="00A276C8"/>
    <w:rsid w:val="00A33134"/>
    <w:rsid w:val="00A33A82"/>
    <w:rsid w:val="00A35930"/>
    <w:rsid w:val="00A361DF"/>
    <w:rsid w:val="00A36267"/>
    <w:rsid w:val="00A3640E"/>
    <w:rsid w:val="00A36AF0"/>
    <w:rsid w:val="00A3704F"/>
    <w:rsid w:val="00A4029D"/>
    <w:rsid w:val="00A40802"/>
    <w:rsid w:val="00A40E65"/>
    <w:rsid w:val="00A418CB"/>
    <w:rsid w:val="00A420DE"/>
    <w:rsid w:val="00A440FE"/>
    <w:rsid w:val="00A4414A"/>
    <w:rsid w:val="00A45389"/>
    <w:rsid w:val="00A459ED"/>
    <w:rsid w:val="00A45D12"/>
    <w:rsid w:val="00A46EF4"/>
    <w:rsid w:val="00A47558"/>
    <w:rsid w:val="00A50E9B"/>
    <w:rsid w:val="00A514E9"/>
    <w:rsid w:val="00A52386"/>
    <w:rsid w:val="00A55268"/>
    <w:rsid w:val="00A5583F"/>
    <w:rsid w:val="00A5712B"/>
    <w:rsid w:val="00A57420"/>
    <w:rsid w:val="00A60674"/>
    <w:rsid w:val="00A63A06"/>
    <w:rsid w:val="00A656C6"/>
    <w:rsid w:val="00A65DC4"/>
    <w:rsid w:val="00A667B4"/>
    <w:rsid w:val="00A678C2"/>
    <w:rsid w:val="00A67B9F"/>
    <w:rsid w:val="00A7043C"/>
    <w:rsid w:val="00A7134D"/>
    <w:rsid w:val="00A713B5"/>
    <w:rsid w:val="00A717A7"/>
    <w:rsid w:val="00A73360"/>
    <w:rsid w:val="00A733D7"/>
    <w:rsid w:val="00A7375D"/>
    <w:rsid w:val="00A74B13"/>
    <w:rsid w:val="00A7594F"/>
    <w:rsid w:val="00A76D35"/>
    <w:rsid w:val="00A7710C"/>
    <w:rsid w:val="00A77378"/>
    <w:rsid w:val="00A774E5"/>
    <w:rsid w:val="00A77887"/>
    <w:rsid w:val="00A77B32"/>
    <w:rsid w:val="00A77F2A"/>
    <w:rsid w:val="00A77F2E"/>
    <w:rsid w:val="00A80A98"/>
    <w:rsid w:val="00A80AA0"/>
    <w:rsid w:val="00A80DA6"/>
    <w:rsid w:val="00A82A38"/>
    <w:rsid w:val="00A83929"/>
    <w:rsid w:val="00A84EA5"/>
    <w:rsid w:val="00A87137"/>
    <w:rsid w:val="00A87392"/>
    <w:rsid w:val="00A8771D"/>
    <w:rsid w:val="00A87C36"/>
    <w:rsid w:val="00A90AD8"/>
    <w:rsid w:val="00A90FA8"/>
    <w:rsid w:val="00A916B5"/>
    <w:rsid w:val="00A9345F"/>
    <w:rsid w:val="00A93BCD"/>
    <w:rsid w:val="00A95D62"/>
    <w:rsid w:val="00AA0737"/>
    <w:rsid w:val="00AA0906"/>
    <w:rsid w:val="00AA0A16"/>
    <w:rsid w:val="00AA187A"/>
    <w:rsid w:val="00AA2329"/>
    <w:rsid w:val="00AA2971"/>
    <w:rsid w:val="00AA2DDD"/>
    <w:rsid w:val="00AA3BD0"/>
    <w:rsid w:val="00AA4F93"/>
    <w:rsid w:val="00AA637C"/>
    <w:rsid w:val="00AA7A81"/>
    <w:rsid w:val="00AB145F"/>
    <w:rsid w:val="00AB3A87"/>
    <w:rsid w:val="00AB40E1"/>
    <w:rsid w:val="00AB52C6"/>
    <w:rsid w:val="00AB56DE"/>
    <w:rsid w:val="00AB599F"/>
    <w:rsid w:val="00AB785B"/>
    <w:rsid w:val="00AC0017"/>
    <w:rsid w:val="00AC044E"/>
    <w:rsid w:val="00AC0769"/>
    <w:rsid w:val="00AC0F63"/>
    <w:rsid w:val="00AC3ABB"/>
    <w:rsid w:val="00AC413F"/>
    <w:rsid w:val="00AD07C4"/>
    <w:rsid w:val="00AD257D"/>
    <w:rsid w:val="00AD2E94"/>
    <w:rsid w:val="00AD3B91"/>
    <w:rsid w:val="00AD418B"/>
    <w:rsid w:val="00AD4749"/>
    <w:rsid w:val="00AD5A45"/>
    <w:rsid w:val="00AD7587"/>
    <w:rsid w:val="00AE0B3C"/>
    <w:rsid w:val="00AE1411"/>
    <w:rsid w:val="00AE32C9"/>
    <w:rsid w:val="00AE44D9"/>
    <w:rsid w:val="00AE5744"/>
    <w:rsid w:val="00AE6DA9"/>
    <w:rsid w:val="00AE794F"/>
    <w:rsid w:val="00AF098D"/>
    <w:rsid w:val="00AF0D41"/>
    <w:rsid w:val="00AF1D67"/>
    <w:rsid w:val="00AF2705"/>
    <w:rsid w:val="00AF6841"/>
    <w:rsid w:val="00AF749F"/>
    <w:rsid w:val="00B000A5"/>
    <w:rsid w:val="00B005DB"/>
    <w:rsid w:val="00B00700"/>
    <w:rsid w:val="00B01575"/>
    <w:rsid w:val="00B016B8"/>
    <w:rsid w:val="00B02457"/>
    <w:rsid w:val="00B02FD6"/>
    <w:rsid w:val="00B02FE6"/>
    <w:rsid w:val="00B03836"/>
    <w:rsid w:val="00B048BF"/>
    <w:rsid w:val="00B05238"/>
    <w:rsid w:val="00B052DC"/>
    <w:rsid w:val="00B05D1C"/>
    <w:rsid w:val="00B05FE7"/>
    <w:rsid w:val="00B0678A"/>
    <w:rsid w:val="00B06D66"/>
    <w:rsid w:val="00B077DC"/>
    <w:rsid w:val="00B11DA8"/>
    <w:rsid w:val="00B123C5"/>
    <w:rsid w:val="00B13238"/>
    <w:rsid w:val="00B1384E"/>
    <w:rsid w:val="00B13A61"/>
    <w:rsid w:val="00B15E6E"/>
    <w:rsid w:val="00B1619E"/>
    <w:rsid w:val="00B20289"/>
    <w:rsid w:val="00B20B19"/>
    <w:rsid w:val="00B2465B"/>
    <w:rsid w:val="00B24B24"/>
    <w:rsid w:val="00B25910"/>
    <w:rsid w:val="00B27B39"/>
    <w:rsid w:val="00B27E3C"/>
    <w:rsid w:val="00B305A6"/>
    <w:rsid w:val="00B33E96"/>
    <w:rsid w:val="00B35163"/>
    <w:rsid w:val="00B35E86"/>
    <w:rsid w:val="00B37188"/>
    <w:rsid w:val="00B371C3"/>
    <w:rsid w:val="00B416B0"/>
    <w:rsid w:val="00B42787"/>
    <w:rsid w:val="00B42A81"/>
    <w:rsid w:val="00B43540"/>
    <w:rsid w:val="00B43C4F"/>
    <w:rsid w:val="00B44568"/>
    <w:rsid w:val="00B4471C"/>
    <w:rsid w:val="00B44FB8"/>
    <w:rsid w:val="00B4510B"/>
    <w:rsid w:val="00B460B8"/>
    <w:rsid w:val="00B50325"/>
    <w:rsid w:val="00B51BBE"/>
    <w:rsid w:val="00B51D90"/>
    <w:rsid w:val="00B521C1"/>
    <w:rsid w:val="00B524EA"/>
    <w:rsid w:val="00B52C2D"/>
    <w:rsid w:val="00B56392"/>
    <w:rsid w:val="00B57F35"/>
    <w:rsid w:val="00B60469"/>
    <w:rsid w:val="00B618C5"/>
    <w:rsid w:val="00B618E5"/>
    <w:rsid w:val="00B62506"/>
    <w:rsid w:val="00B633B4"/>
    <w:rsid w:val="00B6445B"/>
    <w:rsid w:val="00B64DC5"/>
    <w:rsid w:val="00B65BD6"/>
    <w:rsid w:val="00B66124"/>
    <w:rsid w:val="00B6632D"/>
    <w:rsid w:val="00B666DD"/>
    <w:rsid w:val="00B66BE7"/>
    <w:rsid w:val="00B702CC"/>
    <w:rsid w:val="00B70355"/>
    <w:rsid w:val="00B70751"/>
    <w:rsid w:val="00B70C13"/>
    <w:rsid w:val="00B70E37"/>
    <w:rsid w:val="00B71CC3"/>
    <w:rsid w:val="00B73CA6"/>
    <w:rsid w:val="00B74012"/>
    <w:rsid w:val="00B7425D"/>
    <w:rsid w:val="00B74391"/>
    <w:rsid w:val="00B747EB"/>
    <w:rsid w:val="00B759F5"/>
    <w:rsid w:val="00B76B5B"/>
    <w:rsid w:val="00B77D46"/>
    <w:rsid w:val="00B80A71"/>
    <w:rsid w:val="00B81320"/>
    <w:rsid w:val="00B8136B"/>
    <w:rsid w:val="00B83996"/>
    <w:rsid w:val="00B83FB6"/>
    <w:rsid w:val="00B846D1"/>
    <w:rsid w:val="00B86FB7"/>
    <w:rsid w:val="00B87893"/>
    <w:rsid w:val="00B87BE9"/>
    <w:rsid w:val="00B909A9"/>
    <w:rsid w:val="00B91ED7"/>
    <w:rsid w:val="00B92A01"/>
    <w:rsid w:val="00B949D0"/>
    <w:rsid w:val="00B95F5C"/>
    <w:rsid w:val="00B97789"/>
    <w:rsid w:val="00BA013C"/>
    <w:rsid w:val="00BA0520"/>
    <w:rsid w:val="00BA0AB5"/>
    <w:rsid w:val="00BA0B60"/>
    <w:rsid w:val="00BA0D29"/>
    <w:rsid w:val="00BA1A77"/>
    <w:rsid w:val="00BA21F3"/>
    <w:rsid w:val="00BA24DD"/>
    <w:rsid w:val="00BA2514"/>
    <w:rsid w:val="00BA2889"/>
    <w:rsid w:val="00BA2964"/>
    <w:rsid w:val="00BA2BE2"/>
    <w:rsid w:val="00BA2EAD"/>
    <w:rsid w:val="00BA46DB"/>
    <w:rsid w:val="00BB036E"/>
    <w:rsid w:val="00BB18E9"/>
    <w:rsid w:val="00BB223F"/>
    <w:rsid w:val="00BB2890"/>
    <w:rsid w:val="00BB3CEB"/>
    <w:rsid w:val="00BB527E"/>
    <w:rsid w:val="00BB55A0"/>
    <w:rsid w:val="00BB600F"/>
    <w:rsid w:val="00BB6CE4"/>
    <w:rsid w:val="00BB7301"/>
    <w:rsid w:val="00BB74B9"/>
    <w:rsid w:val="00BB7817"/>
    <w:rsid w:val="00BB7E53"/>
    <w:rsid w:val="00BB7F2E"/>
    <w:rsid w:val="00BC0E0A"/>
    <w:rsid w:val="00BC233A"/>
    <w:rsid w:val="00BC3C8F"/>
    <w:rsid w:val="00BC40BC"/>
    <w:rsid w:val="00BC4B80"/>
    <w:rsid w:val="00BC4CFC"/>
    <w:rsid w:val="00BC5E83"/>
    <w:rsid w:val="00BC5FB8"/>
    <w:rsid w:val="00BC621A"/>
    <w:rsid w:val="00BC63BF"/>
    <w:rsid w:val="00BC6B42"/>
    <w:rsid w:val="00BC7421"/>
    <w:rsid w:val="00BD110B"/>
    <w:rsid w:val="00BD2614"/>
    <w:rsid w:val="00BD27DB"/>
    <w:rsid w:val="00BD2CD6"/>
    <w:rsid w:val="00BD3116"/>
    <w:rsid w:val="00BD3523"/>
    <w:rsid w:val="00BD35D1"/>
    <w:rsid w:val="00BD3746"/>
    <w:rsid w:val="00BD57DF"/>
    <w:rsid w:val="00BD5B13"/>
    <w:rsid w:val="00BD6477"/>
    <w:rsid w:val="00BD687A"/>
    <w:rsid w:val="00BD6DCB"/>
    <w:rsid w:val="00BD7114"/>
    <w:rsid w:val="00BD73BB"/>
    <w:rsid w:val="00BD769F"/>
    <w:rsid w:val="00BE144F"/>
    <w:rsid w:val="00BE3287"/>
    <w:rsid w:val="00BE3D0C"/>
    <w:rsid w:val="00BE47EA"/>
    <w:rsid w:val="00BF0C1E"/>
    <w:rsid w:val="00BF1065"/>
    <w:rsid w:val="00BF26DA"/>
    <w:rsid w:val="00BF2ABB"/>
    <w:rsid w:val="00BF3DAF"/>
    <w:rsid w:val="00C00A5E"/>
    <w:rsid w:val="00C0166E"/>
    <w:rsid w:val="00C0193C"/>
    <w:rsid w:val="00C01FBF"/>
    <w:rsid w:val="00C028FB"/>
    <w:rsid w:val="00C034D6"/>
    <w:rsid w:val="00C03AF6"/>
    <w:rsid w:val="00C03B30"/>
    <w:rsid w:val="00C04A71"/>
    <w:rsid w:val="00C06781"/>
    <w:rsid w:val="00C0777B"/>
    <w:rsid w:val="00C1046E"/>
    <w:rsid w:val="00C1050B"/>
    <w:rsid w:val="00C105AC"/>
    <w:rsid w:val="00C10B1F"/>
    <w:rsid w:val="00C11E89"/>
    <w:rsid w:val="00C1310E"/>
    <w:rsid w:val="00C14F49"/>
    <w:rsid w:val="00C15213"/>
    <w:rsid w:val="00C16B4C"/>
    <w:rsid w:val="00C17F3F"/>
    <w:rsid w:val="00C20480"/>
    <w:rsid w:val="00C21632"/>
    <w:rsid w:val="00C21879"/>
    <w:rsid w:val="00C229CF"/>
    <w:rsid w:val="00C237DB"/>
    <w:rsid w:val="00C23FC1"/>
    <w:rsid w:val="00C243C9"/>
    <w:rsid w:val="00C32C6A"/>
    <w:rsid w:val="00C337E3"/>
    <w:rsid w:val="00C34450"/>
    <w:rsid w:val="00C3685A"/>
    <w:rsid w:val="00C37411"/>
    <w:rsid w:val="00C40FC3"/>
    <w:rsid w:val="00C4278E"/>
    <w:rsid w:val="00C42F2D"/>
    <w:rsid w:val="00C44885"/>
    <w:rsid w:val="00C453B0"/>
    <w:rsid w:val="00C469AA"/>
    <w:rsid w:val="00C46AEB"/>
    <w:rsid w:val="00C46C8E"/>
    <w:rsid w:val="00C526DF"/>
    <w:rsid w:val="00C529EA"/>
    <w:rsid w:val="00C53C9C"/>
    <w:rsid w:val="00C53F76"/>
    <w:rsid w:val="00C54392"/>
    <w:rsid w:val="00C54B9B"/>
    <w:rsid w:val="00C566C0"/>
    <w:rsid w:val="00C57B18"/>
    <w:rsid w:val="00C60249"/>
    <w:rsid w:val="00C60810"/>
    <w:rsid w:val="00C60A87"/>
    <w:rsid w:val="00C61264"/>
    <w:rsid w:val="00C62144"/>
    <w:rsid w:val="00C624C9"/>
    <w:rsid w:val="00C65EBB"/>
    <w:rsid w:val="00C66A50"/>
    <w:rsid w:val="00C67BB0"/>
    <w:rsid w:val="00C70C70"/>
    <w:rsid w:val="00C71CFB"/>
    <w:rsid w:val="00C72219"/>
    <w:rsid w:val="00C72769"/>
    <w:rsid w:val="00C72B41"/>
    <w:rsid w:val="00C7369E"/>
    <w:rsid w:val="00C73A74"/>
    <w:rsid w:val="00C749C9"/>
    <w:rsid w:val="00C74C43"/>
    <w:rsid w:val="00C763DF"/>
    <w:rsid w:val="00C76D6F"/>
    <w:rsid w:val="00C76E75"/>
    <w:rsid w:val="00C77661"/>
    <w:rsid w:val="00C822BA"/>
    <w:rsid w:val="00C823B0"/>
    <w:rsid w:val="00C825BD"/>
    <w:rsid w:val="00C82A08"/>
    <w:rsid w:val="00C8346E"/>
    <w:rsid w:val="00C835E7"/>
    <w:rsid w:val="00C846C6"/>
    <w:rsid w:val="00C85626"/>
    <w:rsid w:val="00C85828"/>
    <w:rsid w:val="00C86408"/>
    <w:rsid w:val="00C91280"/>
    <w:rsid w:val="00C913FA"/>
    <w:rsid w:val="00C92159"/>
    <w:rsid w:val="00C93635"/>
    <w:rsid w:val="00C94A15"/>
    <w:rsid w:val="00C95083"/>
    <w:rsid w:val="00C96511"/>
    <w:rsid w:val="00C9751B"/>
    <w:rsid w:val="00CA10C4"/>
    <w:rsid w:val="00CA4032"/>
    <w:rsid w:val="00CA4ED6"/>
    <w:rsid w:val="00CA4FE8"/>
    <w:rsid w:val="00CA74D6"/>
    <w:rsid w:val="00CA74EE"/>
    <w:rsid w:val="00CA7A85"/>
    <w:rsid w:val="00CB082B"/>
    <w:rsid w:val="00CB1342"/>
    <w:rsid w:val="00CB1939"/>
    <w:rsid w:val="00CB222A"/>
    <w:rsid w:val="00CB25B7"/>
    <w:rsid w:val="00CB4A7E"/>
    <w:rsid w:val="00CB53F1"/>
    <w:rsid w:val="00CB5A34"/>
    <w:rsid w:val="00CB5A5D"/>
    <w:rsid w:val="00CB673A"/>
    <w:rsid w:val="00CB75B7"/>
    <w:rsid w:val="00CB7B02"/>
    <w:rsid w:val="00CC0221"/>
    <w:rsid w:val="00CC177F"/>
    <w:rsid w:val="00CC1DDC"/>
    <w:rsid w:val="00CC2A1A"/>
    <w:rsid w:val="00CC3A7B"/>
    <w:rsid w:val="00CC3E46"/>
    <w:rsid w:val="00CC3FD6"/>
    <w:rsid w:val="00CC447C"/>
    <w:rsid w:val="00CC52D6"/>
    <w:rsid w:val="00CC5360"/>
    <w:rsid w:val="00CC5DBE"/>
    <w:rsid w:val="00CC66B8"/>
    <w:rsid w:val="00CC708F"/>
    <w:rsid w:val="00CD0576"/>
    <w:rsid w:val="00CD144A"/>
    <w:rsid w:val="00CD179F"/>
    <w:rsid w:val="00CD1AD7"/>
    <w:rsid w:val="00CD3383"/>
    <w:rsid w:val="00CD3598"/>
    <w:rsid w:val="00CD4195"/>
    <w:rsid w:val="00CD4592"/>
    <w:rsid w:val="00CD527D"/>
    <w:rsid w:val="00CD7565"/>
    <w:rsid w:val="00CE2C2B"/>
    <w:rsid w:val="00CE2D00"/>
    <w:rsid w:val="00CE47DA"/>
    <w:rsid w:val="00CE5460"/>
    <w:rsid w:val="00CE54A9"/>
    <w:rsid w:val="00CE611B"/>
    <w:rsid w:val="00CE630C"/>
    <w:rsid w:val="00CE6DCC"/>
    <w:rsid w:val="00CE7B70"/>
    <w:rsid w:val="00CE7BFF"/>
    <w:rsid w:val="00CF1F0C"/>
    <w:rsid w:val="00CF2A15"/>
    <w:rsid w:val="00CF34AE"/>
    <w:rsid w:val="00CF34B0"/>
    <w:rsid w:val="00CF364F"/>
    <w:rsid w:val="00CF3850"/>
    <w:rsid w:val="00CF4FAD"/>
    <w:rsid w:val="00CF5597"/>
    <w:rsid w:val="00CF69A6"/>
    <w:rsid w:val="00CF7160"/>
    <w:rsid w:val="00CF793C"/>
    <w:rsid w:val="00CF7A2D"/>
    <w:rsid w:val="00D000EE"/>
    <w:rsid w:val="00D00150"/>
    <w:rsid w:val="00D00419"/>
    <w:rsid w:val="00D00880"/>
    <w:rsid w:val="00D00F98"/>
    <w:rsid w:val="00D01CA1"/>
    <w:rsid w:val="00D029AF"/>
    <w:rsid w:val="00D02ECC"/>
    <w:rsid w:val="00D0311F"/>
    <w:rsid w:val="00D03811"/>
    <w:rsid w:val="00D05733"/>
    <w:rsid w:val="00D07E98"/>
    <w:rsid w:val="00D1030B"/>
    <w:rsid w:val="00D1087F"/>
    <w:rsid w:val="00D11944"/>
    <w:rsid w:val="00D151D1"/>
    <w:rsid w:val="00D1665F"/>
    <w:rsid w:val="00D16BC7"/>
    <w:rsid w:val="00D21192"/>
    <w:rsid w:val="00D218FE"/>
    <w:rsid w:val="00D2201B"/>
    <w:rsid w:val="00D220C3"/>
    <w:rsid w:val="00D2647C"/>
    <w:rsid w:val="00D31F9C"/>
    <w:rsid w:val="00D32143"/>
    <w:rsid w:val="00D33B24"/>
    <w:rsid w:val="00D33D98"/>
    <w:rsid w:val="00D34807"/>
    <w:rsid w:val="00D34AF9"/>
    <w:rsid w:val="00D353BE"/>
    <w:rsid w:val="00D358EA"/>
    <w:rsid w:val="00D35BA5"/>
    <w:rsid w:val="00D35F1B"/>
    <w:rsid w:val="00D36196"/>
    <w:rsid w:val="00D365B9"/>
    <w:rsid w:val="00D369C3"/>
    <w:rsid w:val="00D409FD"/>
    <w:rsid w:val="00D40C9A"/>
    <w:rsid w:val="00D410FF"/>
    <w:rsid w:val="00D41948"/>
    <w:rsid w:val="00D41DC4"/>
    <w:rsid w:val="00D42744"/>
    <w:rsid w:val="00D4295C"/>
    <w:rsid w:val="00D42E68"/>
    <w:rsid w:val="00D44867"/>
    <w:rsid w:val="00D510E3"/>
    <w:rsid w:val="00D51513"/>
    <w:rsid w:val="00D53E34"/>
    <w:rsid w:val="00D55BF7"/>
    <w:rsid w:val="00D564C0"/>
    <w:rsid w:val="00D56C5D"/>
    <w:rsid w:val="00D605F7"/>
    <w:rsid w:val="00D60882"/>
    <w:rsid w:val="00D62AD4"/>
    <w:rsid w:val="00D63375"/>
    <w:rsid w:val="00D64442"/>
    <w:rsid w:val="00D6585E"/>
    <w:rsid w:val="00D65A9E"/>
    <w:rsid w:val="00D673BC"/>
    <w:rsid w:val="00D707EC"/>
    <w:rsid w:val="00D72849"/>
    <w:rsid w:val="00D73543"/>
    <w:rsid w:val="00D73DC3"/>
    <w:rsid w:val="00D756AE"/>
    <w:rsid w:val="00D77E60"/>
    <w:rsid w:val="00D807B9"/>
    <w:rsid w:val="00D80B43"/>
    <w:rsid w:val="00D80C8C"/>
    <w:rsid w:val="00D832DA"/>
    <w:rsid w:val="00D84BFD"/>
    <w:rsid w:val="00D8586B"/>
    <w:rsid w:val="00D8621D"/>
    <w:rsid w:val="00D8769D"/>
    <w:rsid w:val="00D87AF4"/>
    <w:rsid w:val="00D912BC"/>
    <w:rsid w:val="00D92CC8"/>
    <w:rsid w:val="00D92FE8"/>
    <w:rsid w:val="00D931D2"/>
    <w:rsid w:val="00D93D3E"/>
    <w:rsid w:val="00D964A4"/>
    <w:rsid w:val="00D96D94"/>
    <w:rsid w:val="00DA1D04"/>
    <w:rsid w:val="00DA1EE4"/>
    <w:rsid w:val="00DA2632"/>
    <w:rsid w:val="00DA3150"/>
    <w:rsid w:val="00DA4F29"/>
    <w:rsid w:val="00DA5BC0"/>
    <w:rsid w:val="00DA667A"/>
    <w:rsid w:val="00DA678A"/>
    <w:rsid w:val="00DA7BA9"/>
    <w:rsid w:val="00DB0AA1"/>
    <w:rsid w:val="00DB1A2E"/>
    <w:rsid w:val="00DB1F5E"/>
    <w:rsid w:val="00DB36A5"/>
    <w:rsid w:val="00DB5634"/>
    <w:rsid w:val="00DB5CB5"/>
    <w:rsid w:val="00DB5FD2"/>
    <w:rsid w:val="00DB6978"/>
    <w:rsid w:val="00DB6982"/>
    <w:rsid w:val="00DB7523"/>
    <w:rsid w:val="00DC07DD"/>
    <w:rsid w:val="00DC127E"/>
    <w:rsid w:val="00DC2332"/>
    <w:rsid w:val="00DC259B"/>
    <w:rsid w:val="00DC4189"/>
    <w:rsid w:val="00DC4F5E"/>
    <w:rsid w:val="00DC5018"/>
    <w:rsid w:val="00DC56BB"/>
    <w:rsid w:val="00DD09FF"/>
    <w:rsid w:val="00DD0BD7"/>
    <w:rsid w:val="00DD19D8"/>
    <w:rsid w:val="00DD3F59"/>
    <w:rsid w:val="00DD46AE"/>
    <w:rsid w:val="00DD4E3B"/>
    <w:rsid w:val="00DD5330"/>
    <w:rsid w:val="00DD6F6C"/>
    <w:rsid w:val="00DE0688"/>
    <w:rsid w:val="00DE0789"/>
    <w:rsid w:val="00DE1125"/>
    <w:rsid w:val="00DE388A"/>
    <w:rsid w:val="00DE4C0D"/>
    <w:rsid w:val="00DE5F8B"/>
    <w:rsid w:val="00DE6B5D"/>
    <w:rsid w:val="00DE6BE7"/>
    <w:rsid w:val="00DE710C"/>
    <w:rsid w:val="00DF01F8"/>
    <w:rsid w:val="00DF0C4D"/>
    <w:rsid w:val="00DF1865"/>
    <w:rsid w:val="00DF26FC"/>
    <w:rsid w:val="00DF5801"/>
    <w:rsid w:val="00DF78DC"/>
    <w:rsid w:val="00E001F3"/>
    <w:rsid w:val="00E00209"/>
    <w:rsid w:val="00E00884"/>
    <w:rsid w:val="00E03576"/>
    <w:rsid w:val="00E04168"/>
    <w:rsid w:val="00E04832"/>
    <w:rsid w:val="00E05A76"/>
    <w:rsid w:val="00E07003"/>
    <w:rsid w:val="00E1043C"/>
    <w:rsid w:val="00E10BD8"/>
    <w:rsid w:val="00E1160D"/>
    <w:rsid w:val="00E119B4"/>
    <w:rsid w:val="00E11E57"/>
    <w:rsid w:val="00E132C0"/>
    <w:rsid w:val="00E156A0"/>
    <w:rsid w:val="00E17223"/>
    <w:rsid w:val="00E176FD"/>
    <w:rsid w:val="00E17751"/>
    <w:rsid w:val="00E1794C"/>
    <w:rsid w:val="00E2054D"/>
    <w:rsid w:val="00E2124A"/>
    <w:rsid w:val="00E22BE3"/>
    <w:rsid w:val="00E248C8"/>
    <w:rsid w:val="00E2506C"/>
    <w:rsid w:val="00E25583"/>
    <w:rsid w:val="00E255D8"/>
    <w:rsid w:val="00E25C3C"/>
    <w:rsid w:val="00E26B12"/>
    <w:rsid w:val="00E26C14"/>
    <w:rsid w:val="00E2777B"/>
    <w:rsid w:val="00E30062"/>
    <w:rsid w:val="00E305EB"/>
    <w:rsid w:val="00E30B54"/>
    <w:rsid w:val="00E31902"/>
    <w:rsid w:val="00E341B6"/>
    <w:rsid w:val="00E3627B"/>
    <w:rsid w:val="00E4030D"/>
    <w:rsid w:val="00E40AAD"/>
    <w:rsid w:val="00E410F8"/>
    <w:rsid w:val="00E41455"/>
    <w:rsid w:val="00E4154B"/>
    <w:rsid w:val="00E437A7"/>
    <w:rsid w:val="00E442A5"/>
    <w:rsid w:val="00E44329"/>
    <w:rsid w:val="00E443AE"/>
    <w:rsid w:val="00E4506B"/>
    <w:rsid w:val="00E46B90"/>
    <w:rsid w:val="00E46CA5"/>
    <w:rsid w:val="00E46D80"/>
    <w:rsid w:val="00E47422"/>
    <w:rsid w:val="00E47C08"/>
    <w:rsid w:val="00E47EA0"/>
    <w:rsid w:val="00E5080D"/>
    <w:rsid w:val="00E50B24"/>
    <w:rsid w:val="00E546E2"/>
    <w:rsid w:val="00E5524F"/>
    <w:rsid w:val="00E560B2"/>
    <w:rsid w:val="00E57A06"/>
    <w:rsid w:val="00E60A0C"/>
    <w:rsid w:val="00E61B55"/>
    <w:rsid w:val="00E61EA0"/>
    <w:rsid w:val="00E61FBC"/>
    <w:rsid w:val="00E63018"/>
    <w:rsid w:val="00E63FC3"/>
    <w:rsid w:val="00E648F9"/>
    <w:rsid w:val="00E64BE4"/>
    <w:rsid w:val="00E65185"/>
    <w:rsid w:val="00E66F68"/>
    <w:rsid w:val="00E67070"/>
    <w:rsid w:val="00E670C5"/>
    <w:rsid w:val="00E674FE"/>
    <w:rsid w:val="00E7041E"/>
    <w:rsid w:val="00E70668"/>
    <w:rsid w:val="00E70D67"/>
    <w:rsid w:val="00E70FE6"/>
    <w:rsid w:val="00E71605"/>
    <w:rsid w:val="00E737D3"/>
    <w:rsid w:val="00E746AD"/>
    <w:rsid w:val="00E7503A"/>
    <w:rsid w:val="00E756FB"/>
    <w:rsid w:val="00E80C14"/>
    <w:rsid w:val="00E81806"/>
    <w:rsid w:val="00E81F78"/>
    <w:rsid w:val="00E865C1"/>
    <w:rsid w:val="00E878F2"/>
    <w:rsid w:val="00E93CCB"/>
    <w:rsid w:val="00E9554C"/>
    <w:rsid w:val="00E96126"/>
    <w:rsid w:val="00E97D51"/>
    <w:rsid w:val="00EA0B99"/>
    <w:rsid w:val="00EA0CFD"/>
    <w:rsid w:val="00EA1405"/>
    <w:rsid w:val="00EA2037"/>
    <w:rsid w:val="00EA4F24"/>
    <w:rsid w:val="00EA6A54"/>
    <w:rsid w:val="00EB09E4"/>
    <w:rsid w:val="00EB4767"/>
    <w:rsid w:val="00EB5C41"/>
    <w:rsid w:val="00EB6E9E"/>
    <w:rsid w:val="00EB7123"/>
    <w:rsid w:val="00EB77E7"/>
    <w:rsid w:val="00EC120E"/>
    <w:rsid w:val="00EC483C"/>
    <w:rsid w:val="00EC65E7"/>
    <w:rsid w:val="00ED2B0A"/>
    <w:rsid w:val="00ED2BB4"/>
    <w:rsid w:val="00ED3637"/>
    <w:rsid w:val="00ED4438"/>
    <w:rsid w:val="00ED4922"/>
    <w:rsid w:val="00ED4A94"/>
    <w:rsid w:val="00ED7AA7"/>
    <w:rsid w:val="00EE0154"/>
    <w:rsid w:val="00EE18FD"/>
    <w:rsid w:val="00EE20C3"/>
    <w:rsid w:val="00EE2353"/>
    <w:rsid w:val="00EE2E2D"/>
    <w:rsid w:val="00EE3456"/>
    <w:rsid w:val="00EE427E"/>
    <w:rsid w:val="00EE480F"/>
    <w:rsid w:val="00EE5003"/>
    <w:rsid w:val="00EE5502"/>
    <w:rsid w:val="00EE6EC6"/>
    <w:rsid w:val="00EF0E45"/>
    <w:rsid w:val="00EF11B7"/>
    <w:rsid w:val="00EF2133"/>
    <w:rsid w:val="00EF4D94"/>
    <w:rsid w:val="00EF5557"/>
    <w:rsid w:val="00EF6139"/>
    <w:rsid w:val="00EF744F"/>
    <w:rsid w:val="00EF7920"/>
    <w:rsid w:val="00F016C6"/>
    <w:rsid w:val="00F01F6B"/>
    <w:rsid w:val="00F02912"/>
    <w:rsid w:val="00F02A98"/>
    <w:rsid w:val="00F02BB9"/>
    <w:rsid w:val="00F0323B"/>
    <w:rsid w:val="00F05549"/>
    <w:rsid w:val="00F05951"/>
    <w:rsid w:val="00F07658"/>
    <w:rsid w:val="00F10236"/>
    <w:rsid w:val="00F119C5"/>
    <w:rsid w:val="00F125EB"/>
    <w:rsid w:val="00F13A07"/>
    <w:rsid w:val="00F13B58"/>
    <w:rsid w:val="00F140AD"/>
    <w:rsid w:val="00F1457C"/>
    <w:rsid w:val="00F1527C"/>
    <w:rsid w:val="00F15471"/>
    <w:rsid w:val="00F172EB"/>
    <w:rsid w:val="00F17478"/>
    <w:rsid w:val="00F200C8"/>
    <w:rsid w:val="00F20D77"/>
    <w:rsid w:val="00F20EC5"/>
    <w:rsid w:val="00F21426"/>
    <w:rsid w:val="00F2182D"/>
    <w:rsid w:val="00F23788"/>
    <w:rsid w:val="00F247A6"/>
    <w:rsid w:val="00F24C98"/>
    <w:rsid w:val="00F272DC"/>
    <w:rsid w:val="00F3115A"/>
    <w:rsid w:val="00F31472"/>
    <w:rsid w:val="00F317DF"/>
    <w:rsid w:val="00F32553"/>
    <w:rsid w:val="00F32BD0"/>
    <w:rsid w:val="00F3537A"/>
    <w:rsid w:val="00F360AA"/>
    <w:rsid w:val="00F37039"/>
    <w:rsid w:val="00F40525"/>
    <w:rsid w:val="00F42CAB"/>
    <w:rsid w:val="00F42EF7"/>
    <w:rsid w:val="00F432B0"/>
    <w:rsid w:val="00F43D83"/>
    <w:rsid w:val="00F44445"/>
    <w:rsid w:val="00F44746"/>
    <w:rsid w:val="00F44B93"/>
    <w:rsid w:val="00F44D9C"/>
    <w:rsid w:val="00F4747A"/>
    <w:rsid w:val="00F501E1"/>
    <w:rsid w:val="00F50D44"/>
    <w:rsid w:val="00F518BE"/>
    <w:rsid w:val="00F51A71"/>
    <w:rsid w:val="00F51AB8"/>
    <w:rsid w:val="00F51FC0"/>
    <w:rsid w:val="00F52744"/>
    <w:rsid w:val="00F547A0"/>
    <w:rsid w:val="00F57E24"/>
    <w:rsid w:val="00F601EB"/>
    <w:rsid w:val="00F609B0"/>
    <w:rsid w:val="00F610BA"/>
    <w:rsid w:val="00F63A07"/>
    <w:rsid w:val="00F648EF"/>
    <w:rsid w:val="00F65B03"/>
    <w:rsid w:val="00F65FD2"/>
    <w:rsid w:val="00F71C2A"/>
    <w:rsid w:val="00F73B41"/>
    <w:rsid w:val="00F73F23"/>
    <w:rsid w:val="00F73F3A"/>
    <w:rsid w:val="00F74F64"/>
    <w:rsid w:val="00F81069"/>
    <w:rsid w:val="00F813AD"/>
    <w:rsid w:val="00F814F4"/>
    <w:rsid w:val="00F81C4F"/>
    <w:rsid w:val="00F81FF9"/>
    <w:rsid w:val="00F834BB"/>
    <w:rsid w:val="00F83683"/>
    <w:rsid w:val="00F83738"/>
    <w:rsid w:val="00F83AA5"/>
    <w:rsid w:val="00F83B1E"/>
    <w:rsid w:val="00F83DA3"/>
    <w:rsid w:val="00F86909"/>
    <w:rsid w:val="00F90025"/>
    <w:rsid w:val="00F90803"/>
    <w:rsid w:val="00F9280C"/>
    <w:rsid w:val="00F94605"/>
    <w:rsid w:val="00F95864"/>
    <w:rsid w:val="00F9608E"/>
    <w:rsid w:val="00F962C9"/>
    <w:rsid w:val="00F967C7"/>
    <w:rsid w:val="00F97571"/>
    <w:rsid w:val="00F97CFB"/>
    <w:rsid w:val="00F97D4A"/>
    <w:rsid w:val="00FA0C59"/>
    <w:rsid w:val="00FA15E9"/>
    <w:rsid w:val="00FA314D"/>
    <w:rsid w:val="00FA41A4"/>
    <w:rsid w:val="00FA597F"/>
    <w:rsid w:val="00FB1456"/>
    <w:rsid w:val="00FB27BC"/>
    <w:rsid w:val="00FB3531"/>
    <w:rsid w:val="00FB4210"/>
    <w:rsid w:val="00FB4240"/>
    <w:rsid w:val="00FB5A43"/>
    <w:rsid w:val="00FB5D71"/>
    <w:rsid w:val="00FB70A8"/>
    <w:rsid w:val="00FB7C22"/>
    <w:rsid w:val="00FC1CAC"/>
    <w:rsid w:val="00FC2EC7"/>
    <w:rsid w:val="00FC3961"/>
    <w:rsid w:val="00FC46BB"/>
    <w:rsid w:val="00FC4BCF"/>
    <w:rsid w:val="00FC4E02"/>
    <w:rsid w:val="00FC4E95"/>
    <w:rsid w:val="00FC55A3"/>
    <w:rsid w:val="00FC7642"/>
    <w:rsid w:val="00FC7B4C"/>
    <w:rsid w:val="00FD07D3"/>
    <w:rsid w:val="00FD10CD"/>
    <w:rsid w:val="00FD304C"/>
    <w:rsid w:val="00FD6C4A"/>
    <w:rsid w:val="00FD7F13"/>
    <w:rsid w:val="00FE106B"/>
    <w:rsid w:val="00FE19DE"/>
    <w:rsid w:val="00FE3BEB"/>
    <w:rsid w:val="00FE3E5A"/>
    <w:rsid w:val="00FE3E94"/>
    <w:rsid w:val="00FE4CA9"/>
    <w:rsid w:val="00FE4E49"/>
    <w:rsid w:val="00FE5AEE"/>
    <w:rsid w:val="00FE5C84"/>
    <w:rsid w:val="00FE63BA"/>
    <w:rsid w:val="00FE6A9F"/>
    <w:rsid w:val="00FE7D79"/>
    <w:rsid w:val="00FF26D8"/>
    <w:rsid w:val="00FF298B"/>
    <w:rsid w:val="00FF2D83"/>
    <w:rsid w:val="00FF3EEA"/>
    <w:rsid w:val="00FF548C"/>
    <w:rsid w:val="00FF71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B87"/>
  </w:style>
  <w:style w:type="paragraph" w:styleId="Heading1">
    <w:name w:val="heading 1"/>
    <w:basedOn w:val="StewartMatrixStyle"/>
    <w:next w:val="NoSpacing"/>
    <w:link w:val="Heading1Char"/>
    <w:autoRedefine/>
    <w:uiPriority w:val="9"/>
    <w:qFormat/>
    <w:rsid w:val="00FB27BC"/>
    <w:pPr>
      <w:spacing w:before="120" w:after="120"/>
      <w:jc w:val="center"/>
      <w:outlineLvl w:val="0"/>
    </w:pPr>
    <w:rPr>
      <w:rFonts w:asciiTheme="majorHAnsi" w:hAnsiTheme="majorHAnsi"/>
      <w:b/>
      <w:sz w:val="24"/>
    </w:rPr>
  </w:style>
  <w:style w:type="paragraph" w:styleId="Heading2">
    <w:name w:val="heading 2"/>
    <w:basedOn w:val="NoSpacing"/>
    <w:next w:val="NoSpacing"/>
    <w:link w:val="Heading2Char"/>
    <w:uiPriority w:val="9"/>
    <w:unhideWhenUsed/>
    <w:qFormat/>
    <w:rsid w:val="005A4E48"/>
    <w:pPr>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FE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B02FE6"/>
    <w:pPr>
      <w:tabs>
        <w:tab w:val="center" w:pos="4680"/>
        <w:tab w:val="right" w:pos="9360"/>
      </w:tabs>
      <w:spacing w:after="0" w:line="240" w:lineRule="auto"/>
    </w:pPr>
  </w:style>
  <w:style w:type="character" w:customStyle="1" w:styleId="HeaderChar">
    <w:name w:val="Header Char"/>
    <w:basedOn w:val="DefaultParagraphFont"/>
    <w:link w:val="Header"/>
    <w:rsid w:val="00B02FE6"/>
  </w:style>
  <w:style w:type="paragraph" w:styleId="Footer">
    <w:name w:val="footer"/>
    <w:basedOn w:val="Normal"/>
    <w:link w:val="FooterChar"/>
    <w:uiPriority w:val="99"/>
    <w:unhideWhenUsed/>
    <w:rsid w:val="00B02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FE6"/>
  </w:style>
  <w:style w:type="paragraph" w:styleId="BalloonText">
    <w:name w:val="Balloon Text"/>
    <w:basedOn w:val="Normal"/>
    <w:link w:val="BalloonTextChar"/>
    <w:uiPriority w:val="99"/>
    <w:semiHidden/>
    <w:unhideWhenUsed/>
    <w:rsid w:val="00B0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FE6"/>
    <w:rPr>
      <w:rFonts w:ascii="Tahoma" w:hAnsi="Tahoma" w:cs="Tahoma"/>
      <w:sz w:val="16"/>
      <w:szCs w:val="16"/>
    </w:rPr>
  </w:style>
  <w:style w:type="table" w:styleId="TableGrid">
    <w:name w:val="Table Grid"/>
    <w:basedOn w:val="TableNormal"/>
    <w:uiPriority w:val="39"/>
    <w:rsid w:val="00B02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D202C"/>
    <w:pPr>
      <w:spacing w:after="0" w:line="240" w:lineRule="auto"/>
    </w:pPr>
  </w:style>
  <w:style w:type="character" w:customStyle="1" w:styleId="Heading1Char">
    <w:name w:val="Heading 1 Char"/>
    <w:basedOn w:val="DefaultParagraphFont"/>
    <w:link w:val="Heading1"/>
    <w:uiPriority w:val="9"/>
    <w:rsid w:val="00FB27BC"/>
    <w:rPr>
      <w:rFonts w:asciiTheme="majorHAnsi" w:hAnsiTheme="majorHAnsi" w:cs="Times New Roman"/>
      <w:b/>
      <w:sz w:val="24"/>
      <w:szCs w:val="21"/>
    </w:rPr>
  </w:style>
  <w:style w:type="paragraph" w:styleId="TOCHeading">
    <w:name w:val="TOC Heading"/>
    <w:basedOn w:val="Heading1"/>
    <w:next w:val="Normal"/>
    <w:uiPriority w:val="39"/>
    <w:unhideWhenUsed/>
    <w:qFormat/>
    <w:rsid w:val="000B7133"/>
    <w:pPr>
      <w:outlineLvl w:val="9"/>
    </w:pPr>
  </w:style>
  <w:style w:type="paragraph" w:styleId="TOC1">
    <w:name w:val="toc 1"/>
    <w:basedOn w:val="Normal"/>
    <w:next w:val="Normal"/>
    <w:autoRedefine/>
    <w:uiPriority w:val="39"/>
    <w:unhideWhenUsed/>
    <w:rsid w:val="009A7A19"/>
    <w:pPr>
      <w:tabs>
        <w:tab w:val="right" w:leader="dot" w:pos="13400"/>
      </w:tabs>
      <w:spacing w:after="100"/>
    </w:pPr>
    <w:rPr>
      <w:rFonts w:ascii="Times New Roman" w:hAnsi="Times New Roman" w:cs="Times New Roman"/>
      <w:noProof/>
      <w:sz w:val="18"/>
    </w:rPr>
  </w:style>
  <w:style w:type="character" w:styleId="Hyperlink">
    <w:name w:val="Hyperlink"/>
    <w:basedOn w:val="DefaultParagraphFont"/>
    <w:uiPriority w:val="99"/>
    <w:unhideWhenUsed/>
    <w:rsid w:val="009F28AD"/>
    <w:rPr>
      <w:color w:val="0000FF" w:themeColor="hyperlink"/>
      <w:u w:val="single"/>
    </w:rPr>
  </w:style>
  <w:style w:type="character" w:customStyle="1" w:styleId="Heading2Char">
    <w:name w:val="Heading 2 Char"/>
    <w:basedOn w:val="DefaultParagraphFont"/>
    <w:link w:val="Heading2"/>
    <w:uiPriority w:val="9"/>
    <w:rsid w:val="005A4E48"/>
    <w:rPr>
      <w:rFonts w:ascii="Times New Roman" w:hAnsi="Times New Roman" w:cs="Times New Roman"/>
      <w:b/>
      <w:sz w:val="24"/>
      <w:szCs w:val="24"/>
    </w:rPr>
  </w:style>
  <w:style w:type="paragraph" w:styleId="TOC2">
    <w:name w:val="toc 2"/>
    <w:basedOn w:val="Normal"/>
    <w:next w:val="Normal"/>
    <w:autoRedefine/>
    <w:uiPriority w:val="39"/>
    <w:unhideWhenUsed/>
    <w:rsid w:val="005A4E48"/>
    <w:pPr>
      <w:spacing w:after="100"/>
      <w:ind w:left="220"/>
    </w:pPr>
  </w:style>
  <w:style w:type="paragraph" w:styleId="PlainText">
    <w:name w:val="Plain Text"/>
    <w:basedOn w:val="Normal"/>
    <w:link w:val="PlainTextChar"/>
    <w:uiPriority w:val="99"/>
    <w:semiHidden/>
    <w:unhideWhenUsed/>
    <w:rsid w:val="00BC742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C7421"/>
    <w:rPr>
      <w:rFonts w:ascii="Calibri" w:hAnsi="Calibri"/>
      <w:szCs w:val="21"/>
    </w:rPr>
  </w:style>
  <w:style w:type="paragraph" w:styleId="NormalWeb">
    <w:name w:val="Normal (Web)"/>
    <w:basedOn w:val="Normal"/>
    <w:uiPriority w:val="99"/>
    <w:unhideWhenUsed/>
    <w:rsid w:val="00D707E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707EC"/>
    <w:rPr>
      <w:b/>
      <w:bCs/>
    </w:rPr>
  </w:style>
  <w:style w:type="paragraph" w:styleId="ListParagraph">
    <w:name w:val="List Paragraph"/>
    <w:basedOn w:val="Normal"/>
    <w:uiPriority w:val="34"/>
    <w:qFormat/>
    <w:rsid w:val="00D63375"/>
    <w:pPr>
      <w:ind w:left="720"/>
      <w:contextualSpacing/>
    </w:pPr>
  </w:style>
  <w:style w:type="paragraph" w:customStyle="1" w:styleId="StewartMatrixStyle">
    <w:name w:val="Stewart Matrix Style"/>
    <w:basedOn w:val="Normal"/>
    <w:link w:val="StewartMatrixStyleChar"/>
    <w:qFormat/>
    <w:rsid w:val="005E32FE"/>
    <w:pPr>
      <w:spacing w:after="0" w:line="240" w:lineRule="auto"/>
    </w:pPr>
    <w:rPr>
      <w:rFonts w:ascii="Times New Roman" w:hAnsi="Times New Roman" w:cs="Times New Roman"/>
      <w:sz w:val="21"/>
      <w:szCs w:val="21"/>
    </w:rPr>
  </w:style>
  <w:style w:type="paragraph" w:customStyle="1" w:styleId="Style1">
    <w:name w:val="Style1"/>
    <w:basedOn w:val="StewartMatrixStyle"/>
    <w:link w:val="Style1Char"/>
    <w:qFormat/>
    <w:rsid w:val="005660A9"/>
  </w:style>
  <w:style w:type="character" w:customStyle="1" w:styleId="StewartMatrixStyleChar">
    <w:name w:val="Stewart Matrix Style Char"/>
    <w:basedOn w:val="DefaultParagraphFont"/>
    <w:link w:val="StewartMatrixStyle"/>
    <w:rsid w:val="005E32FE"/>
    <w:rPr>
      <w:rFonts w:ascii="Times New Roman" w:hAnsi="Times New Roman" w:cs="Times New Roman"/>
      <w:sz w:val="21"/>
      <w:szCs w:val="21"/>
    </w:rPr>
  </w:style>
  <w:style w:type="paragraph" w:customStyle="1" w:styleId="Style2">
    <w:name w:val="Style2"/>
    <w:basedOn w:val="Style1"/>
    <w:link w:val="Style2Char"/>
    <w:qFormat/>
    <w:rsid w:val="005660A9"/>
  </w:style>
  <w:style w:type="character" w:customStyle="1" w:styleId="Style1Char">
    <w:name w:val="Style1 Char"/>
    <w:basedOn w:val="StewartMatrixStyleChar"/>
    <w:link w:val="Style1"/>
    <w:rsid w:val="005660A9"/>
    <w:rPr>
      <w:rFonts w:ascii="Times New Roman" w:hAnsi="Times New Roman" w:cs="Times New Roman"/>
      <w:sz w:val="21"/>
      <w:szCs w:val="21"/>
    </w:rPr>
  </w:style>
  <w:style w:type="paragraph" w:customStyle="1" w:styleId="lg-a-1">
    <w:name w:val="lg-a-1"/>
    <w:basedOn w:val="Normal"/>
    <w:rsid w:val="00225F5B"/>
    <w:pPr>
      <w:spacing w:before="180" w:after="0" w:line="240" w:lineRule="auto"/>
      <w:ind w:left="1361" w:hanging="1361"/>
      <w:jc w:val="both"/>
    </w:pPr>
    <w:rPr>
      <w:rFonts w:ascii="Verdana" w:eastAsia="Times New Roman" w:hAnsi="Verdana" w:cs="Times New Roman"/>
      <w:color w:val="000000"/>
      <w:sz w:val="18"/>
      <w:szCs w:val="18"/>
    </w:rPr>
  </w:style>
  <w:style w:type="character" w:customStyle="1" w:styleId="Style2Char">
    <w:name w:val="Style2 Char"/>
    <w:basedOn w:val="Style1Char"/>
    <w:link w:val="Style2"/>
    <w:rsid w:val="005660A9"/>
    <w:rPr>
      <w:rFonts w:ascii="Times New Roman" w:hAnsi="Times New Roman" w:cs="Times New Roman"/>
      <w:sz w:val="21"/>
      <w:szCs w:val="21"/>
    </w:rPr>
  </w:style>
  <w:style w:type="paragraph" w:customStyle="1" w:styleId="lg-definition">
    <w:name w:val="lg-definition"/>
    <w:basedOn w:val="Normal"/>
    <w:rsid w:val="00225F5B"/>
    <w:pPr>
      <w:spacing w:before="180" w:after="0" w:line="240" w:lineRule="auto"/>
      <w:ind w:left="198" w:firstLine="198"/>
      <w:jc w:val="both"/>
    </w:pPr>
    <w:rPr>
      <w:rFonts w:ascii="Verdana" w:eastAsia="Times New Roman" w:hAnsi="Verdana" w:cs="Times New Roman"/>
      <w:color w:val="000000"/>
      <w:sz w:val="18"/>
      <w:szCs w:val="18"/>
    </w:rPr>
  </w:style>
  <w:style w:type="paragraph" w:customStyle="1" w:styleId="WerksmansStyle2">
    <w:name w:val="Werksmans_Style2"/>
    <w:basedOn w:val="Normal"/>
    <w:next w:val="Normal"/>
    <w:link w:val="WerksmansStyle2Char"/>
    <w:rsid w:val="0029334C"/>
    <w:pPr>
      <w:numPr>
        <w:ilvl w:val="1"/>
        <w:numId w:val="1"/>
      </w:numPr>
      <w:suppressAutoHyphens/>
      <w:spacing w:after="0" w:line="240" w:lineRule="auto"/>
      <w:jc w:val="both"/>
      <w:outlineLvl w:val="1"/>
    </w:pPr>
    <w:rPr>
      <w:rFonts w:ascii="Verdana" w:eastAsia="Times New Roman" w:hAnsi="Verdana" w:cs="Times New Roman"/>
      <w:snapToGrid w:val="0"/>
      <w:sz w:val="20"/>
      <w:szCs w:val="20"/>
      <w:lang w:val="en-GB"/>
    </w:rPr>
  </w:style>
  <w:style w:type="paragraph" w:customStyle="1" w:styleId="WerksmansStyle3">
    <w:name w:val="Werksmans_Style3"/>
    <w:basedOn w:val="Normal"/>
    <w:next w:val="Normal"/>
    <w:rsid w:val="0029334C"/>
    <w:pPr>
      <w:numPr>
        <w:ilvl w:val="2"/>
        <w:numId w:val="1"/>
      </w:numPr>
      <w:suppressAutoHyphens/>
      <w:spacing w:after="0" w:line="240" w:lineRule="auto"/>
      <w:jc w:val="both"/>
      <w:outlineLvl w:val="2"/>
    </w:pPr>
    <w:rPr>
      <w:rFonts w:ascii="Verdana" w:eastAsia="Times New Roman" w:hAnsi="Verdana" w:cs="Times New Roman"/>
      <w:snapToGrid w:val="0"/>
      <w:sz w:val="20"/>
      <w:szCs w:val="20"/>
      <w:lang w:val="en-GB"/>
    </w:rPr>
  </w:style>
  <w:style w:type="paragraph" w:customStyle="1" w:styleId="WerksmansStyle4">
    <w:name w:val="Werksmans_Style4"/>
    <w:basedOn w:val="Normal"/>
    <w:next w:val="Normal"/>
    <w:rsid w:val="0029334C"/>
    <w:pPr>
      <w:numPr>
        <w:ilvl w:val="3"/>
        <w:numId w:val="1"/>
      </w:numPr>
      <w:suppressAutoHyphens/>
      <w:spacing w:after="0" w:line="240" w:lineRule="auto"/>
      <w:jc w:val="both"/>
      <w:outlineLvl w:val="3"/>
    </w:pPr>
    <w:rPr>
      <w:rFonts w:ascii="Verdana" w:eastAsia="Times New Roman" w:hAnsi="Verdana" w:cs="Times New Roman"/>
      <w:snapToGrid w:val="0"/>
      <w:sz w:val="20"/>
      <w:szCs w:val="20"/>
      <w:lang w:val="en-GB"/>
    </w:rPr>
  </w:style>
  <w:style w:type="paragraph" w:customStyle="1" w:styleId="WerksmansStyle5">
    <w:name w:val="Werksmans_Style5"/>
    <w:basedOn w:val="Normal"/>
    <w:next w:val="Normal"/>
    <w:rsid w:val="0029334C"/>
    <w:pPr>
      <w:numPr>
        <w:ilvl w:val="4"/>
        <w:numId w:val="1"/>
      </w:numPr>
      <w:suppressAutoHyphens/>
      <w:spacing w:after="0" w:line="240" w:lineRule="auto"/>
      <w:jc w:val="both"/>
      <w:outlineLvl w:val="4"/>
    </w:pPr>
    <w:rPr>
      <w:rFonts w:ascii="Verdana" w:eastAsia="Times New Roman" w:hAnsi="Verdana" w:cs="Times New Roman"/>
      <w:snapToGrid w:val="0"/>
      <w:sz w:val="20"/>
      <w:szCs w:val="20"/>
      <w:lang w:val="en-GB"/>
    </w:rPr>
  </w:style>
  <w:style w:type="paragraph" w:customStyle="1" w:styleId="WerksmansStyle6">
    <w:name w:val="Werksmans_Style6"/>
    <w:basedOn w:val="Normal"/>
    <w:next w:val="Normal"/>
    <w:rsid w:val="0029334C"/>
    <w:pPr>
      <w:numPr>
        <w:ilvl w:val="5"/>
        <w:numId w:val="1"/>
      </w:numPr>
      <w:suppressAutoHyphens/>
      <w:spacing w:after="0" w:line="240" w:lineRule="auto"/>
      <w:jc w:val="both"/>
      <w:outlineLvl w:val="5"/>
    </w:pPr>
    <w:rPr>
      <w:rFonts w:ascii="Verdana" w:eastAsia="Times New Roman" w:hAnsi="Verdana" w:cs="Times New Roman"/>
      <w:snapToGrid w:val="0"/>
      <w:sz w:val="20"/>
      <w:szCs w:val="20"/>
      <w:lang w:val="en-GB"/>
    </w:rPr>
  </w:style>
  <w:style w:type="paragraph" w:customStyle="1" w:styleId="WerksmansStyle7">
    <w:name w:val="Werksmans_Style7"/>
    <w:basedOn w:val="Normal"/>
    <w:next w:val="Normal"/>
    <w:rsid w:val="0029334C"/>
    <w:pPr>
      <w:numPr>
        <w:ilvl w:val="6"/>
        <w:numId w:val="1"/>
      </w:numPr>
      <w:suppressAutoHyphens/>
      <w:spacing w:after="0" w:line="240" w:lineRule="auto"/>
      <w:jc w:val="both"/>
      <w:outlineLvl w:val="6"/>
    </w:pPr>
    <w:rPr>
      <w:rFonts w:ascii="Verdana" w:eastAsia="Times New Roman" w:hAnsi="Verdana" w:cs="Times New Roman"/>
      <w:snapToGrid w:val="0"/>
      <w:sz w:val="20"/>
      <w:szCs w:val="20"/>
      <w:lang w:val="en-GB"/>
    </w:rPr>
  </w:style>
  <w:style w:type="paragraph" w:customStyle="1" w:styleId="WerksmansStyle8">
    <w:name w:val="Werksmans_Style8"/>
    <w:basedOn w:val="Normal"/>
    <w:next w:val="Normal"/>
    <w:rsid w:val="0029334C"/>
    <w:pPr>
      <w:numPr>
        <w:ilvl w:val="7"/>
        <w:numId w:val="1"/>
      </w:numPr>
      <w:suppressAutoHyphens/>
      <w:spacing w:after="0" w:line="240" w:lineRule="auto"/>
      <w:jc w:val="both"/>
      <w:outlineLvl w:val="7"/>
    </w:pPr>
    <w:rPr>
      <w:rFonts w:ascii="Verdana" w:eastAsia="Times New Roman" w:hAnsi="Verdana" w:cs="Times New Roman"/>
      <w:snapToGrid w:val="0"/>
      <w:sz w:val="20"/>
      <w:szCs w:val="20"/>
      <w:lang w:val="en-GB"/>
    </w:rPr>
  </w:style>
  <w:style w:type="paragraph" w:customStyle="1" w:styleId="WerksmansStyle9">
    <w:name w:val="Werksmans_Style9"/>
    <w:basedOn w:val="Normal"/>
    <w:next w:val="Normal"/>
    <w:rsid w:val="0029334C"/>
    <w:pPr>
      <w:numPr>
        <w:ilvl w:val="8"/>
        <w:numId w:val="1"/>
      </w:numPr>
      <w:suppressAutoHyphens/>
      <w:spacing w:after="0" w:line="240" w:lineRule="auto"/>
      <w:jc w:val="both"/>
      <w:outlineLvl w:val="8"/>
    </w:pPr>
    <w:rPr>
      <w:rFonts w:ascii="Verdana" w:eastAsia="Times New Roman" w:hAnsi="Verdana" w:cs="Times New Roman"/>
      <w:snapToGrid w:val="0"/>
      <w:sz w:val="20"/>
      <w:szCs w:val="20"/>
      <w:lang w:val="en-GB"/>
    </w:rPr>
  </w:style>
  <w:style w:type="paragraph" w:customStyle="1" w:styleId="WerksmansStyle1">
    <w:name w:val="Werksmans_Style1"/>
    <w:basedOn w:val="Normal"/>
    <w:next w:val="Normal"/>
    <w:rsid w:val="0029334C"/>
    <w:pPr>
      <w:numPr>
        <w:numId w:val="1"/>
      </w:numPr>
      <w:suppressAutoHyphens/>
      <w:spacing w:after="0" w:line="240" w:lineRule="auto"/>
      <w:jc w:val="both"/>
      <w:outlineLvl w:val="0"/>
    </w:pPr>
    <w:rPr>
      <w:rFonts w:ascii="Verdana" w:eastAsia="Times New Roman" w:hAnsi="Verdana" w:cs="Times New Roman"/>
      <w:snapToGrid w:val="0"/>
      <w:sz w:val="20"/>
      <w:szCs w:val="20"/>
      <w:lang w:val="en-GB"/>
    </w:rPr>
  </w:style>
  <w:style w:type="character" w:customStyle="1" w:styleId="WerksmansStyle2Char">
    <w:name w:val="Werksmans_Style2 Char"/>
    <w:link w:val="WerksmansStyle2"/>
    <w:rsid w:val="0029334C"/>
    <w:rPr>
      <w:rFonts w:ascii="Verdana" w:eastAsia="Times New Roman" w:hAnsi="Verdana" w:cs="Times New Roman"/>
      <w:snapToGrid w:val="0"/>
      <w:sz w:val="20"/>
      <w:szCs w:val="20"/>
      <w:lang w:val="en-GB"/>
    </w:rPr>
  </w:style>
  <w:style w:type="paragraph" w:customStyle="1" w:styleId="Paragraph">
    <w:name w:val="Paragraph"/>
    <w:basedOn w:val="Normal"/>
    <w:rsid w:val="00534C80"/>
    <w:pPr>
      <w:spacing w:after="120" w:line="240" w:lineRule="auto"/>
      <w:jc w:val="both"/>
    </w:pPr>
    <w:rPr>
      <w:rFonts w:ascii="Arial" w:eastAsia="Arial Unicode MS" w:hAnsi="Arial" w:cs="Times New Roman"/>
      <w:sz w:val="18"/>
      <w:szCs w:val="18"/>
      <w:lang w:val="en-GB" w:eastAsia="nl-NL"/>
    </w:rPr>
  </w:style>
  <w:style w:type="paragraph" w:styleId="CommentText">
    <w:name w:val="annotation text"/>
    <w:basedOn w:val="Normal"/>
    <w:link w:val="CommentTextChar"/>
    <w:uiPriority w:val="99"/>
    <w:unhideWhenUsed/>
    <w:rsid w:val="00534C80"/>
    <w:pPr>
      <w:spacing w:after="0" w:line="240" w:lineRule="auto"/>
    </w:pPr>
    <w:rPr>
      <w:rFonts w:ascii="Arial" w:eastAsia="Arial Unicode MS" w:hAnsi="Arial" w:cs="Times New Roman"/>
      <w:sz w:val="20"/>
      <w:szCs w:val="20"/>
      <w:lang w:val="en-GB" w:eastAsia="nl-NL"/>
    </w:rPr>
  </w:style>
  <w:style w:type="character" w:customStyle="1" w:styleId="CommentTextChar">
    <w:name w:val="Comment Text Char"/>
    <w:basedOn w:val="DefaultParagraphFont"/>
    <w:link w:val="CommentText"/>
    <w:uiPriority w:val="99"/>
    <w:rsid w:val="00534C80"/>
    <w:rPr>
      <w:rFonts w:ascii="Arial" w:eastAsia="Arial Unicode MS" w:hAnsi="Arial" w:cs="Times New Roman"/>
      <w:sz w:val="20"/>
      <w:szCs w:val="20"/>
      <w:lang w:val="en-GB" w:eastAsia="nl-NL"/>
    </w:rPr>
  </w:style>
  <w:style w:type="paragraph" w:customStyle="1" w:styleId="TableTitle">
    <w:name w:val="TableTitle"/>
    <w:basedOn w:val="Paragraph"/>
    <w:rsid w:val="00912E4D"/>
    <w:pPr>
      <w:keepNext/>
      <w:spacing w:before="120"/>
      <w:jc w:val="center"/>
    </w:pPr>
    <w:rPr>
      <w:b/>
    </w:rPr>
  </w:style>
  <w:style w:type="character" w:styleId="FollowedHyperlink">
    <w:name w:val="FollowedHyperlink"/>
    <w:basedOn w:val="DefaultParagraphFont"/>
    <w:uiPriority w:val="99"/>
    <w:semiHidden/>
    <w:unhideWhenUsed/>
    <w:rsid w:val="007A7679"/>
    <w:rPr>
      <w:color w:val="800080" w:themeColor="followedHyperlink"/>
      <w:u w:val="single"/>
    </w:rPr>
  </w:style>
  <w:style w:type="character" w:customStyle="1" w:styleId="WW8Num7z1">
    <w:name w:val="WW8Num7z1"/>
    <w:rsid w:val="00857EA1"/>
    <w:rPr>
      <w:rFonts w:ascii="Courier New" w:hAnsi="Courier New" w:cs="Courier New"/>
    </w:rPr>
  </w:style>
  <w:style w:type="paragraph" w:customStyle="1" w:styleId="StewartMatrixx">
    <w:name w:val="Stewart Matrixx"/>
    <w:basedOn w:val="Normal"/>
    <w:link w:val="StewartMatrixxChar"/>
    <w:qFormat/>
    <w:rsid w:val="003E4079"/>
    <w:pPr>
      <w:autoSpaceDE w:val="0"/>
      <w:autoSpaceDN w:val="0"/>
      <w:adjustRightInd w:val="0"/>
      <w:spacing w:after="0" w:line="240" w:lineRule="auto"/>
    </w:pPr>
    <w:rPr>
      <w:rFonts w:ascii="Times New Roman" w:hAnsi="Times New Roman" w:cs="Times New Roman"/>
      <w:sz w:val="21"/>
      <w:szCs w:val="21"/>
      <w:lang w:val="en-GB"/>
    </w:rPr>
  </w:style>
  <w:style w:type="character" w:customStyle="1" w:styleId="StewartMatrixxChar">
    <w:name w:val="Stewart Matrixx Char"/>
    <w:basedOn w:val="DefaultParagraphFont"/>
    <w:link w:val="StewartMatrixx"/>
    <w:rsid w:val="003E4079"/>
    <w:rPr>
      <w:rFonts w:ascii="Times New Roman" w:hAnsi="Times New Roman" w:cs="Times New Roman"/>
      <w:sz w:val="21"/>
      <w:szCs w:val="21"/>
      <w:lang w:val="en-GB"/>
    </w:rPr>
  </w:style>
  <w:style w:type="character" w:customStyle="1" w:styleId="apple-converted-space">
    <w:name w:val="apple-converted-space"/>
    <w:basedOn w:val="DefaultParagraphFont"/>
    <w:rsid w:val="00071F61"/>
  </w:style>
  <w:style w:type="paragraph" w:customStyle="1" w:styleId="LegSection">
    <w:name w:val="Leg Section"/>
    <w:rsid w:val="00E41455"/>
    <w:pPr>
      <w:widowControl w:val="0"/>
      <w:spacing w:after="0" w:line="220" w:lineRule="exact"/>
      <w:ind w:left="709" w:right="794" w:firstLine="284"/>
      <w:jc w:val="both"/>
    </w:pPr>
    <w:rPr>
      <w:rFonts w:ascii="Times New Roman" w:eastAsia="Times New Roman" w:hAnsi="Times New Roman" w:cs="Times New Roman"/>
      <w:sz w:val="20"/>
      <w:szCs w:val="20"/>
      <w:lang w:val="en-ZA"/>
    </w:rPr>
  </w:style>
  <w:style w:type="paragraph" w:customStyle="1" w:styleId="LegPara">
    <w:name w:val="Leg Para"/>
    <w:basedOn w:val="Normal"/>
    <w:rsid w:val="00E41455"/>
    <w:pPr>
      <w:widowControl w:val="0"/>
      <w:spacing w:after="0" w:line="220" w:lineRule="exact"/>
      <w:ind w:left="1560" w:right="743" w:hanging="446"/>
      <w:jc w:val="both"/>
    </w:pPr>
    <w:rPr>
      <w:rFonts w:ascii="Times New Roman" w:eastAsia="Times New Roman" w:hAnsi="Times New Roman" w:cs="Times New Roman"/>
      <w:sz w:val="20"/>
      <w:szCs w:val="20"/>
      <w:lang w:val="en-ZA"/>
    </w:rPr>
  </w:style>
  <w:style w:type="character" w:styleId="CommentReference">
    <w:name w:val="annotation reference"/>
    <w:basedOn w:val="DefaultParagraphFont"/>
    <w:uiPriority w:val="99"/>
    <w:semiHidden/>
    <w:unhideWhenUsed/>
    <w:rsid w:val="009B32FF"/>
    <w:rPr>
      <w:sz w:val="16"/>
      <w:szCs w:val="16"/>
    </w:rPr>
  </w:style>
  <w:style w:type="paragraph" w:styleId="FootnoteText">
    <w:name w:val="footnote text"/>
    <w:basedOn w:val="Normal"/>
    <w:link w:val="FootnoteTextChar"/>
    <w:uiPriority w:val="99"/>
    <w:semiHidden/>
    <w:unhideWhenUsed/>
    <w:rsid w:val="00FE63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3BA"/>
    <w:rPr>
      <w:sz w:val="20"/>
      <w:szCs w:val="20"/>
    </w:rPr>
  </w:style>
  <w:style w:type="character" w:styleId="FootnoteReference">
    <w:name w:val="footnote reference"/>
    <w:basedOn w:val="DefaultParagraphFont"/>
    <w:uiPriority w:val="99"/>
    <w:semiHidden/>
    <w:unhideWhenUsed/>
    <w:rsid w:val="00FE63BA"/>
    <w:rPr>
      <w:vertAlign w:val="superscript"/>
    </w:rPr>
  </w:style>
  <w:style w:type="paragraph" w:styleId="CommentSubject">
    <w:name w:val="annotation subject"/>
    <w:basedOn w:val="CommentText"/>
    <w:next w:val="CommentText"/>
    <w:link w:val="CommentSubjectChar"/>
    <w:uiPriority w:val="99"/>
    <w:semiHidden/>
    <w:unhideWhenUsed/>
    <w:rsid w:val="00FC4BCF"/>
    <w:rPr>
      <w:rFonts w:ascii="Tahoma" w:eastAsia="MS Mincho" w:hAnsi="Tahoma"/>
      <w:b/>
      <w:bCs/>
      <w:lang w:val="en-US" w:eastAsia="en-US"/>
    </w:rPr>
  </w:style>
  <w:style w:type="character" w:customStyle="1" w:styleId="CommentSubjectChar">
    <w:name w:val="Comment Subject Char"/>
    <w:basedOn w:val="CommentTextChar"/>
    <w:link w:val="CommentSubject"/>
    <w:uiPriority w:val="99"/>
    <w:semiHidden/>
    <w:rsid w:val="00FC4BCF"/>
    <w:rPr>
      <w:rFonts w:ascii="Tahoma" w:eastAsia="MS Mincho" w:hAnsi="Tahoma" w:cs="Times New Roman"/>
      <w:b/>
      <w:bCs/>
      <w:sz w:val="20"/>
      <w:szCs w:val="20"/>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B87"/>
  </w:style>
  <w:style w:type="paragraph" w:styleId="Heading1">
    <w:name w:val="heading 1"/>
    <w:basedOn w:val="StewartMatrixStyle"/>
    <w:next w:val="NoSpacing"/>
    <w:link w:val="Heading1Char"/>
    <w:autoRedefine/>
    <w:uiPriority w:val="9"/>
    <w:qFormat/>
    <w:rsid w:val="00FB27BC"/>
    <w:pPr>
      <w:spacing w:before="120" w:after="120"/>
      <w:jc w:val="center"/>
      <w:outlineLvl w:val="0"/>
    </w:pPr>
    <w:rPr>
      <w:rFonts w:asciiTheme="majorHAnsi" w:hAnsiTheme="majorHAnsi"/>
      <w:b/>
      <w:sz w:val="24"/>
    </w:rPr>
  </w:style>
  <w:style w:type="paragraph" w:styleId="Heading2">
    <w:name w:val="heading 2"/>
    <w:basedOn w:val="NoSpacing"/>
    <w:next w:val="NoSpacing"/>
    <w:link w:val="Heading2Char"/>
    <w:uiPriority w:val="9"/>
    <w:unhideWhenUsed/>
    <w:qFormat/>
    <w:rsid w:val="005A4E48"/>
    <w:pPr>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FE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B02FE6"/>
    <w:pPr>
      <w:tabs>
        <w:tab w:val="center" w:pos="4680"/>
        <w:tab w:val="right" w:pos="9360"/>
      </w:tabs>
      <w:spacing w:after="0" w:line="240" w:lineRule="auto"/>
    </w:pPr>
  </w:style>
  <w:style w:type="character" w:customStyle="1" w:styleId="HeaderChar">
    <w:name w:val="Header Char"/>
    <w:basedOn w:val="DefaultParagraphFont"/>
    <w:link w:val="Header"/>
    <w:rsid w:val="00B02FE6"/>
  </w:style>
  <w:style w:type="paragraph" w:styleId="Footer">
    <w:name w:val="footer"/>
    <w:basedOn w:val="Normal"/>
    <w:link w:val="FooterChar"/>
    <w:uiPriority w:val="99"/>
    <w:unhideWhenUsed/>
    <w:rsid w:val="00B02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FE6"/>
  </w:style>
  <w:style w:type="paragraph" w:styleId="BalloonText">
    <w:name w:val="Balloon Text"/>
    <w:basedOn w:val="Normal"/>
    <w:link w:val="BalloonTextChar"/>
    <w:uiPriority w:val="99"/>
    <w:semiHidden/>
    <w:unhideWhenUsed/>
    <w:rsid w:val="00B0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FE6"/>
    <w:rPr>
      <w:rFonts w:ascii="Tahoma" w:hAnsi="Tahoma" w:cs="Tahoma"/>
      <w:sz w:val="16"/>
      <w:szCs w:val="16"/>
    </w:rPr>
  </w:style>
  <w:style w:type="table" w:styleId="TableGrid">
    <w:name w:val="Table Grid"/>
    <w:basedOn w:val="TableNormal"/>
    <w:uiPriority w:val="39"/>
    <w:rsid w:val="00B02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D202C"/>
    <w:pPr>
      <w:spacing w:after="0" w:line="240" w:lineRule="auto"/>
    </w:pPr>
  </w:style>
  <w:style w:type="character" w:customStyle="1" w:styleId="Heading1Char">
    <w:name w:val="Heading 1 Char"/>
    <w:basedOn w:val="DefaultParagraphFont"/>
    <w:link w:val="Heading1"/>
    <w:uiPriority w:val="9"/>
    <w:rsid w:val="00FB27BC"/>
    <w:rPr>
      <w:rFonts w:asciiTheme="majorHAnsi" w:hAnsiTheme="majorHAnsi" w:cs="Times New Roman"/>
      <w:b/>
      <w:sz w:val="24"/>
      <w:szCs w:val="21"/>
    </w:rPr>
  </w:style>
  <w:style w:type="paragraph" w:styleId="TOCHeading">
    <w:name w:val="TOC Heading"/>
    <w:basedOn w:val="Heading1"/>
    <w:next w:val="Normal"/>
    <w:uiPriority w:val="39"/>
    <w:unhideWhenUsed/>
    <w:qFormat/>
    <w:rsid w:val="000B7133"/>
    <w:pPr>
      <w:outlineLvl w:val="9"/>
    </w:pPr>
  </w:style>
  <w:style w:type="paragraph" w:styleId="TOC1">
    <w:name w:val="toc 1"/>
    <w:basedOn w:val="Normal"/>
    <w:next w:val="Normal"/>
    <w:autoRedefine/>
    <w:uiPriority w:val="39"/>
    <w:unhideWhenUsed/>
    <w:rsid w:val="009A7A19"/>
    <w:pPr>
      <w:tabs>
        <w:tab w:val="right" w:leader="dot" w:pos="13400"/>
      </w:tabs>
      <w:spacing w:after="100"/>
    </w:pPr>
    <w:rPr>
      <w:rFonts w:ascii="Times New Roman" w:hAnsi="Times New Roman" w:cs="Times New Roman"/>
      <w:noProof/>
      <w:sz w:val="18"/>
    </w:rPr>
  </w:style>
  <w:style w:type="character" w:styleId="Hyperlink">
    <w:name w:val="Hyperlink"/>
    <w:basedOn w:val="DefaultParagraphFont"/>
    <w:uiPriority w:val="99"/>
    <w:unhideWhenUsed/>
    <w:rsid w:val="009F28AD"/>
    <w:rPr>
      <w:color w:val="0000FF" w:themeColor="hyperlink"/>
      <w:u w:val="single"/>
    </w:rPr>
  </w:style>
  <w:style w:type="character" w:customStyle="1" w:styleId="Heading2Char">
    <w:name w:val="Heading 2 Char"/>
    <w:basedOn w:val="DefaultParagraphFont"/>
    <w:link w:val="Heading2"/>
    <w:uiPriority w:val="9"/>
    <w:rsid w:val="005A4E48"/>
    <w:rPr>
      <w:rFonts w:ascii="Times New Roman" w:hAnsi="Times New Roman" w:cs="Times New Roman"/>
      <w:b/>
      <w:sz w:val="24"/>
      <w:szCs w:val="24"/>
    </w:rPr>
  </w:style>
  <w:style w:type="paragraph" w:styleId="TOC2">
    <w:name w:val="toc 2"/>
    <w:basedOn w:val="Normal"/>
    <w:next w:val="Normal"/>
    <w:autoRedefine/>
    <w:uiPriority w:val="39"/>
    <w:unhideWhenUsed/>
    <w:rsid w:val="005A4E48"/>
    <w:pPr>
      <w:spacing w:after="100"/>
      <w:ind w:left="220"/>
    </w:pPr>
  </w:style>
  <w:style w:type="paragraph" w:styleId="PlainText">
    <w:name w:val="Plain Text"/>
    <w:basedOn w:val="Normal"/>
    <w:link w:val="PlainTextChar"/>
    <w:uiPriority w:val="99"/>
    <w:semiHidden/>
    <w:unhideWhenUsed/>
    <w:rsid w:val="00BC742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C7421"/>
    <w:rPr>
      <w:rFonts w:ascii="Calibri" w:hAnsi="Calibri"/>
      <w:szCs w:val="21"/>
    </w:rPr>
  </w:style>
  <w:style w:type="paragraph" w:styleId="NormalWeb">
    <w:name w:val="Normal (Web)"/>
    <w:basedOn w:val="Normal"/>
    <w:uiPriority w:val="99"/>
    <w:unhideWhenUsed/>
    <w:rsid w:val="00D707E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707EC"/>
    <w:rPr>
      <w:b/>
      <w:bCs/>
    </w:rPr>
  </w:style>
  <w:style w:type="paragraph" w:styleId="ListParagraph">
    <w:name w:val="List Paragraph"/>
    <w:basedOn w:val="Normal"/>
    <w:uiPriority w:val="34"/>
    <w:qFormat/>
    <w:rsid w:val="00D63375"/>
    <w:pPr>
      <w:ind w:left="720"/>
      <w:contextualSpacing/>
    </w:pPr>
  </w:style>
  <w:style w:type="paragraph" w:customStyle="1" w:styleId="StewartMatrixStyle">
    <w:name w:val="Stewart Matrix Style"/>
    <w:basedOn w:val="Normal"/>
    <w:link w:val="StewartMatrixStyleChar"/>
    <w:qFormat/>
    <w:rsid w:val="005E32FE"/>
    <w:pPr>
      <w:spacing w:after="0" w:line="240" w:lineRule="auto"/>
    </w:pPr>
    <w:rPr>
      <w:rFonts w:ascii="Times New Roman" w:hAnsi="Times New Roman" w:cs="Times New Roman"/>
      <w:sz w:val="21"/>
      <w:szCs w:val="21"/>
    </w:rPr>
  </w:style>
  <w:style w:type="paragraph" w:customStyle="1" w:styleId="Style1">
    <w:name w:val="Style1"/>
    <w:basedOn w:val="StewartMatrixStyle"/>
    <w:link w:val="Style1Char"/>
    <w:qFormat/>
    <w:rsid w:val="005660A9"/>
  </w:style>
  <w:style w:type="character" w:customStyle="1" w:styleId="StewartMatrixStyleChar">
    <w:name w:val="Stewart Matrix Style Char"/>
    <w:basedOn w:val="DefaultParagraphFont"/>
    <w:link w:val="StewartMatrixStyle"/>
    <w:rsid w:val="005E32FE"/>
    <w:rPr>
      <w:rFonts w:ascii="Times New Roman" w:hAnsi="Times New Roman" w:cs="Times New Roman"/>
      <w:sz w:val="21"/>
      <w:szCs w:val="21"/>
    </w:rPr>
  </w:style>
  <w:style w:type="paragraph" w:customStyle="1" w:styleId="Style2">
    <w:name w:val="Style2"/>
    <w:basedOn w:val="Style1"/>
    <w:link w:val="Style2Char"/>
    <w:qFormat/>
    <w:rsid w:val="005660A9"/>
  </w:style>
  <w:style w:type="character" w:customStyle="1" w:styleId="Style1Char">
    <w:name w:val="Style1 Char"/>
    <w:basedOn w:val="StewartMatrixStyleChar"/>
    <w:link w:val="Style1"/>
    <w:rsid w:val="005660A9"/>
    <w:rPr>
      <w:rFonts w:ascii="Times New Roman" w:hAnsi="Times New Roman" w:cs="Times New Roman"/>
      <w:sz w:val="21"/>
      <w:szCs w:val="21"/>
    </w:rPr>
  </w:style>
  <w:style w:type="paragraph" w:customStyle="1" w:styleId="lg-a-1">
    <w:name w:val="lg-a-1"/>
    <w:basedOn w:val="Normal"/>
    <w:rsid w:val="00225F5B"/>
    <w:pPr>
      <w:spacing w:before="180" w:after="0" w:line="240" w:lineRule="auto"/>
      <w:ind w:left="1361" w:hanging="1361"/>
      <w:jc w:val="both"/>
    </w:pPr>
    <w:rPr>
      <w:rFonts w:ascii="Verdana" w:eastAsia="Times New Roman" w:hAnsi="Verdana" w:cs="Times New Roman"/>
      <w:color w:val="000000"/>
      <w:sz w:val="18"/>
      <w:szCs w:val="18"/>
    </w:rPr>
  </w:style>
  <w:style w:type="character" w:customStyle="1" w:styleId="Style2Char">
    <w:name w:val="Style2 Char"/>
    <w:basedOn w:val="Style1Char"/>
    <w:link w:val="Style2"/>
    <w:rsid w:val="005660A9"/>
    <w:rPr>
      <w:rFonts w:ascii="Times New Roman" w:hAnsi="Times New Roman" w:cs="Times New Roman"/>
      <w:sz w:val="21"/>
      <w:szCs w:val="21"/>
    </w:rPr>
  </w:style>
  <w:style w:type="paragraph" w:customStyle="1" w:styleId="lg-definition">
    <w:name w:val="lg-definition"/>
    <w:basedOn w:val="Normal"/>
    <w:rsid w:val="00225F5B"/>
    <w:pPr>
      <w:spacing w:before="180" w:after="0" w:line="240" w:lineRule="auto"/>
      <w:ind w:left="198" w:firstLine="198"/>
      <w:jc w:val="both"/>
    </w:pPr>
    <w:rPr>
      <w:rFonts w:ascii="Verdana" w:eastAsia="Times New Roman" w:hAnsi="Verdana" w:cs="Times New Roman"/>
      <w:color w:val="000000"/>
      <w:sz w:val="18"/>
      <w:szCs w:val="18"/>
    </w:rPr>
  </w:style>
  <w:style w:type="paragraph" w:customStyle="1" w:styleId="WerksmansStyle2">
    <w:name w:val="Werksmans_Style2"/>
    <w:basedOn w:val="Normal"/>
    <w:next w:val="Normal"/>
    <w:link w:val="WerksmansStyle2Char"/>
    <w:rsid w:val="0029334C"/>
    <w:pPr>
      <w:numPr>
        <w:ilvl w:val="1"/>
        <w:numId w:val="1"/>
      </w:numPr>
      <w:suppressAutoHyphens/>
      <w:spacing w:after="0" w:line="240" w:lineRule="auto"/>
      <w:jc w:val="both"/>
      <w:outlineLvl w:val="1"/>
    </w:pPr>
    <w:rPr>
      <w:rFonts w:ascii="Verdana" w:eastAsia="Times New Roman" w:hAnsi="Verdana" w:cs="Times New Roman"/>
      <w:snapToGrid w:val="0"/>
      <w:sz w:val="20"/>
      <w:szCs w:val="20"/>
      <w:lang w:val="en-GB"/>
    </w:rPr>
  </w:style>
  <w:style w:type="paragraph" w:customStyle="1" w:styleId="WerksmansStyle3">
    <w:name w:val="Werksmans_Style3"/>
    <w:basedOn w:val="Normal"/>
    <w:next w:val="Normal"/>
    <w:rsid w:val="0029334C"/>
    <w:pPr>
      <w:numPr>
        <w:ilvl w:val="2"/>
        <w:numId w:val="1"/>
      </w:numPr>
      <w:suppressAutoHyphens/>
      <w:spacing w:after="0" w:line="240" w:lineRule="auto"/>
      <w:jc w:val="both"/>
      <w:outlineLvl w:val="2"/>
    </w:pPr>
    <w:rPr>
      <w:rFonts w:ascii="Verdana" w:eastAsia="Times New Roman" w:hAnsi="Verdana" w:cs="Times New Roman"/>
      <w:snapToGrid w:val="0"/>
      <w:sz w:val="20"/>
      <w:szCs w:val="20"/>
      <w:lang w:val="en-GB"/>
    </w:rPr>
  </w:style>
  <w:style w:type="paragraph" w:customStyle="1" w:styleId="WerksmansStyle4">
    <w:name w:val="Werksmans_Style4"/>
    <w:basedOn w:val="Normal"/>
    <w:next w:val="Normal"/>
    <w:rsid w:val="0029334C"/>
    <w:pPr>
      <w:numPr>
        <w:ilvl w:val="3"/>
        <w:numId w:val="1"/>
      </w:numPr>
      <w:suppressAutoHyphens/>
      <w:spacing w:after="0" w:line="240" w:lineRule="auto"/>
      <w:jc w:val="both"/>
      <w:outlineLvl w:val="3"/>
    </w:pPr>
    <w:rPr>
      <w:rFonts w:ascii="Verdana" w:eastAsia="Times New Roman" w:hAnsi="Verdana" w:cs="Times New Roman"/>
      <w:snapToGrid w:val="0"/>
      <w:sz w:val="20"/>
      <w:szCs w:val="20"/>
      <w:lang w:val="en-GB"/>
    </w:rPr>
  </w:style>
  <w:style w:type="paragraph" w:customStyle="1" w:styleId="WerksmansStyle5">
    <w:name w:val="Werksmans_Style5"/>
    <w:basedOn w:val="Normal"/>
    <w:next w:val="Normal"/>
    <w:rsid w:val="0029334C"/>
    <w:pPr>
      <w:numPr>
        <w:ilvl w:val="4"/>
        <w:numId w:val="1"/>
      </w:numPr>
      <w:suppressAutoHyphens/>
      <w:spacing w:after="0" w:line="240" w:lineRule="auto"/>
      <w:jc w:val="both"/>
      <w:outlineLvl w:val="4"/>
    </w:pPr>
    <w:rPr>
      <w:rFonts w:ascii="Verdana" w:eastAsia="Times New Roman" w:hAnsi="Verdana" w:cs="Times New Roman"/>
      <w:snapToGrid w:val="0"/>
      <w:sz w:val="20"/>
      <w:szCs w:val="20"/>
      <w:lang w:val="en-GB"/>
    </w:rPr>
  </w:style>
  <w:style w:type="paragraph" w:customStyle="1" w:styleId="WerksmansStyle6">
    <w:name w:val="Werksmans_Style6"/>
    <w:basedOn w:val="Normal"/>
    <w:next w:val="Normal"/>
    <w:rsid w:val="0029334C"/>
    <w:pPr>
      <w:numPr>
        <w:ilvl w:val="5"/>
        <w:numId w:val="1"/>
      </w:numPr>
      <w:suppressAutoHyphens/>
      <w:spacing w:after="0" w:line="240" w:lineRule="auto"/>
      <w:jc w:val="both"/>
      <w:outlineLvl w:val="5"/>
    </w:pPr>
    <w:rPr>
      <w:rFonts w:ascii="Verdana" w:eastAsia="Times New Roman" w:hAnsi="Verdana" w:cs="Times New Roman"/>
      <w:snapToGrid w:val="0"/>
      <w:sz w:val="20"/>
      <w:szCs w:val="20"/>
      <w:lang w:val="en-GB"/>
    </w:rPr>
  </w:style>
  <w:style w:type="paragraph" w:customStyle="1" w:styleId="WerksmansStyle7">
    <w:name w:val="Werksmans_Style7"/>
    <w:basedOn w:val="Normal"/>
    <w:next w:val="Normal"/>
    <w:rsid w:val="0029334C"/>
    <w:pPr>
      <w:numPr>
        <w:ilvl w:val="6"/>
        <w:numId w:val="1"/>
      </w:numPr>
      <w:suppressAutoHyphens/>
      <w:spacing w:after="0" w:line="240" w:lineRule="auto"/>
      <w:jc w:val="both"/>
      <w:outlineLvl w:val="6"/>
    </w:pPr>
    <w:rPr>
      <w:rFonts w:ascii="Verdana" w:eastAsia="Times New Roman" w:hAnsi="Verdana" w:cs="Times New Roman"/>
      <w:snapToGrid w:val="0"/>
      <w:sz w:val="20"/>
      <w:szCs w:val="20"/>
      <w:lang w:val="en-GB"/>
    </w:rPr>
  </w:style>
  <w:style w:type="paragraph" w:customStyle="1" w:styleId="WerksmansStyle8">
    <w:name w:val="Werksmans_Style8"/>
    <w:basedOn w:val="Normal"/>
    <w:next w:val="Normal"/>
    <w:rsid w:val="0029334C"/>
    <w:pPr>
      <w:numPr>
        <w:ilvl w:val="7"/>
        <w:numId w:val="1"/>
      </w:numPr>
      <w:suppressAutoHyphens/>
      <w:spacing w:after="0" w:line="240" w:lineRule="auto"/>
      <w:jc w:val="both"/>
      <w:outlineLvl w:val="7"/>
    </w:pPr>
    <w:rPr>
      <w:rFonts w:ascii="Verdana" w:eastAsia="Times New Roman" w:hAnsi="Verdana" w:cs="Times New Roman"/>
      <w:snapToGrid w:val="0"/>
      <w:sz w:val="20"/>
      <w:szCs w:val="20"/>
      <w:lang w:val="en-GB"/>
    </w:rPr>
  </w:style>
  <w:style w:type="paragraph" w:customStyle="1" w:styleId="WerksmansStyle9">
    <w:name w:val="Werksmans_Style9"/>
    <w:basedOn w:val="Normal"/>
    <w:next w:val="Normal"/>
    <w:rsid w:val="0029334C"/>
    <w:pPr>
      <w:numPr>
        <w:ilvl w:val="8"/>
        <w:numId w:val="1"/>
      </w:numPr>
      <w:suppressAutoHyphens/>
      <w:spacing w:after="0" w:line="240" w:lineRule="auto"/>
      <w:jc w:val="both"/>
      <w:outlineLvl w:val="8"/>
    </w:pPr>
    <w:rPr>
      <w:rFonts w:ascii="Verdana" w:eastAsia="Times New Roman" w:hAnsi="Verdana" w:cs="Times New Roman"/>
      <w:snapToGrid w:val="0"/>
      <w:sz w:val="20"/>
      <w:szCs w:val="20"/>
      <w:lang w:val="en-GB"/>
    </w:rPr>
  </w:style>
  <w:style w:type="paragraph" w:customStyle="1" w:styleId="WerksmansStyle1">
    <w:name w:val="Werksmans_Style1"/>
    <w:basedOn w:val="Normal"/>
    <w:next w:val="Normal"/>
    <w:rsid w:val="0029334C"/>
    <w:pPr>
      <w:numPr>
        <w:numId w:val="1"/>
      </w:numPr>
      <w:suppressAutoHyphens/>
      <w:spacing w:after="0" w:line="240" w:lineRule="auto"/>
      <w:jc w:val="both"/>
      <w:outlineLvl w:val="0"/>
    </w:pPr>
    <w:rPr>
      <w:rFonts w:ascii="Verdana" w:eastAsia="Times New Roman" w:hAnsi="Verdana" w:cs="Times New Roman"/>
      <w:snapToGrid w:val="0"/>
      <w:sz w:val="20"/>
      <w:szCs w:val="20"/>
      <w:lang w:val="en-GB"/>
    </w:rPr>
  </w:style>
  <w:style w:type="character" w:customStyle="1" w:styleId="WerksmansStyle2Char">
    <w:name w:val="Werksmans_Style2 Char"/>
    <w:link w:val="WerksmansStyle2"/>
    <w:rsid w:val="0029334C"/>
    <w:rPr>
      <w:rFonts w:ascii="Verdana" w:eastAsia="Times New Roman" w:hAnsi="Verdana" w:cs="Times New Roman"/>
      <w:snapToGrid w:val="0"/>
      <w:sz w:val="20"/>
      <w:szCs w:val="20"/>
      <w:lang w:val="en-GB"/>
    </w:rPr>
  </w:style>
  <w:style w:type="paragraph" w:customStyle="1" w:styleId="Paragraph">
    <w:name w:val="Paragraph"/>
    <w:basedOn w:val="Normal"/>
    <w:rsid w:val="00534C80"/>
    <w:pPr>
      <w:spacing w:after="120" w:line="240" w:lineRule="auto"/>
      <w:jc w:val="both"/>
    </w:pPr>
    <w:rPr>
      <w:rFonts w:ascii="Arial" w:eastAsia="Arial Unicode MS" w:hAnsi="Arial" w:cs="Times New Roman"/>
      <w:sz w:val="18"/>
      <w:szCs w:val="18"/>
      <w:lang w:val="en-GB" w:eastAsia="nl-NL"/>
    </w:rPr>
  </w:style>
  <w:style w:type="paragraph" w:styleId="CommentText">
    <w:name w:val="annotation text"/>
    <w:basedOn w:val="Normal"/>
    <w:link w:val="CommentTextChar"/>
    <w:uiPriority w:val="99"/>
    <w:unhideWhenUsed/>
    <w:rsid w:val="00534C80"/>
    <w:pPr>
      <w:spacing w:after="0" w:line="240" w:lineRule="auto"/>
    </w:pPr>
    <w:rPr>
      <w:rFonts w:ascii="Arial" w:eastAsia="Arial Unicode MS" w:hAnsi="Arial" w:cs="Times New Roman"/>
      <w:sz w:val="20"/>
      <w:szCs w:val="20"/>
      <w:lang w:val="en-GB" w:eastAsia="nl-NL"/>
    </w:rPr>
  </w:style>
  <w:style w:type="character" w:customStyle="1" w:styleId="CommentTextChar">
    <w:name w:val="Comment Text Char"/>
    <w:basedOn w:val="DefaultParagraphFont"/>
    <w:link w:val="CommentText"/>
    <w:uiPriority w:val="99"/>
    <w:rsid w:val="00534C80"/>
    <w:rPr>
      <w:rFonts w:ascii="Arial" w:eastAsia="Arial Unicode MS" w:hAnsi="Arial" w:cs="Times New Roman"/>
      <w:sz w:val="20"/>
      <w:szCs w:val="20"/>
      <w:lang w:val="en-GB" w:eastAsia="nl-NL"/>
    </w:rPr>
  </w:style>
  <w:style w:type="paragraph" w:customStyle="1" w:styleId="TableTitle">
    <w:name w:val="TableTitle"/>
    <w:basedOn w:val="Paragraph"/>
    <w:rsid w:val="00912E4D"/>
    <w:pPr>
      <w:keepNext/>
      <w:spacing w:before="120"/>
      <w:jc w:val="center"/>
    </w:pPr>
    <w:rPr>
      <w:b/>
    </w:rPr>
  </w:style>
  <w:style w:type="character" w:styleId="FollowedHyperlink">
    <w:name w:val="FollowedHyperlink"/>
    <w:basedOn w:val="DefaultParagraphFont"/>
    <w:uiPriority w:val="99"/>
    <w:semiHidden/>
    <w:unhideWhenUsed/>
    <w:rsid w:val="007A7679"/>
    <w:rPr>
      <w:color w:val="800080" w:themeColor="followedHyperlink"/>
      <w:u w:val="single"/>
    </w:rPr>
  </w:style>
  <w:style w:type="character" w:customStyle="1" w:styleId="WW8Num7z1">
    <w:name w:val="WW8Num7z1"/>
    <w:rsid w:val="00857EA1"/>
    <w:rPr>
      <w:rFonts w:ascii="Courier New" w:hAnsi="Courier New" w:cs="Courier New"/>
    </w:rPr>
  </w:style>
  <w:style w:type="paragraph" w:customStyle="1" w:styleId="StewartMatrixx">
    <w:name w:val="Stewart Matrixx"/>
    <w:basedOn w:val="Normal"/>
    <w:link w:val="StewartMatrixxChar"/>
    <w:qFormat/>
    <w:rsid w:val="003E4079"/>
    <w:pPr>
      <w:autoSpaceDE w:val="0"/>
      <w:autoSpaceDN w:val="0"/>
      <w:adjustRightInd w:val="0"/>
      <w:spacing w:after="0" w:line="240" w:lineRule="auto"/>
    </w:pPr>
    <w:rPr>
      <w:rFonts w:ascii="Times New Roman" w:hAnsi="Times New Roman" w:cs="Times New Roman"/>
      <w:sz w:val="21"/>
      <w:szCs w:val="21"/>
      <w:lang w:val="en-GB"/>
    </w:rPr>
  </w:style>
  <w:style w:type="character" w:customStyle="1" w:styleId="StewartMatrixxChar">
    <w:name w:val="Stewart Matrixx Char"/>
    <w:basedOn w:val="DefaultParagraphFont"/>
    <w:link w:val="StewartMatrixx"/>
    <w:rsid w:val="003E4079"/>
    <w:rPr>
      <w:rFonts w:ascii="Times New Roman" w:hAnsi="Times New Roman" w:cs="Times New Roman"/>
      <w:sz w:val="21"/>
      <w:szCs w:val="21"/>
      <w:lang w:val="en-GB"/>
    </w:rPr>
  </w:style>
  <w:style w:type="character" w:customStyle="1" w:styleId="apple-converted-space">
    <w:name w:val="apple-converted-space"/>
    <w:basedOn w:val="DefaultParagraphFont"/>
    <w:rsid w:val="00071F61"/>
  </w:style>
  <w:style w:type="paragraph" w:customStyle="1" w:styleId="LegSection">
    <w:name w:val="Leg Section"/>
    <w:rsid w:val="00E41455"/>
    <w:pPr>
      <w:widowControl w:val="0"/>
      <w:spacing w:after="0" w:line="220" w:lineRule="exact"/>
      <w:ind w:left="709" w:right="794" w:firstLine="284"/>
      <w:jc w:val="both"/>
    </w:pPr>
    <w:rPr>
      <w:rFonts w:ascii="Times New Roman" w:eastAsia="Times New Roman" w:hAnsi="Times New Roman" w:cs="Times New Roman"/>
      <w:sz w:val="20"/>
      <w:szCs w:val="20"/>
      <w:lang w:val="en-ZA"/>
    </w:rPr>
  </w:style>
  <w:style w:type="paragraph" w:customStyle="1" w:styleId="LegPara">
    <w:name w:val="Leg Para"/>
    <w:basedOn w:val="Normal"/>
    <w:rsid w:val="00E41455"/>
    <w:pPr>
      <w:widowControl w:val="0"/>
      <w:spacing w:after="0" w:line="220" w:lineRule="exact"/>
      <w:ind w:left="1560" w:right="743" w:hanging="446"/>
      <w:jc w:val="both"/>
    </w:pPr>
    <w:rPr>
      <w:rFonts w:ascii="Times New Roman" w:eastAsia="Times New Roman" w:hAnsi="Times New Roman" w:cs="Times New Roman"/>
      <w:sz w:val="20"/>
      <w:szCs w:val="20"/>
      <w:lang w:val="en-ZA"/>
    </w:rPr>
  </w:style>
  <w:style w:type="character" w:styleId="CommentReference">
    <w:name w:val="annotation reference"/>
    <w:basedOn w:val="DefaultParagraphFont"/>
    <w:uiPriority w:val="99"/>
    <w:semiHidden/>
    <w:unhideWhenUsed/>
    <w:rsid w:val="009B32FF"/>
    <w:rPr>
      <w:sz w:val="16"/>
      <w:szCs w:val="16"/>
    </w:rPr>
  </w:style>
  <w:style w:type="paragraph" w:styleId="FootnoteText">
    <w:name w:val="footnote text"/>
    <w:basedOn w:val="Normal"/>
    <w:link w:val="FootnoteTextChar"/>
    <w:uiPriority w:val="99"/>
    <w:semiHidden/>
    <w:unhideWhenUsed/>
    <w:rsid w:val="00FE63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3BA"/>
    <w:rPr>
      <w:sz w:val="20"/>
      <w:szCs w:val="20"/>
    </w:rPr>
  </w:style>
  <w:style w:type="character" w:styleId="FootnoteReference">
    <w:name w:val="footnote reference"/>
    <w:basedOn w:val="DefaultParagraphFont"/>
    <w:uiPriority w:val="99"/>
    <w:semiHidden/>
    <w:unhideWhenUsed/>
    <w:rsid w:val="00FE63BA"/>
    <w:rPr>
      <w:vertAlign w:val="superscript"/>
    </w:rPr>
  </w:style>
  <w:style w:type="paragraph" w:styleId="CommentSubject">
    <w:name w:val="annotation subject"/>
    <w:basedOn w:val="CommentText"/>
    <w:next w:val="CommentText"/>
    <w:link w:val="CommentSubjectChar"/>
    <w:uiPriority w:val="99"/>
    <w:semiHidden/>
    <w:unhideWhenUsed/>
    <w:rsid w:val="00FC4BCF"/>
    <w:rPr>
      <w:rFonts w:ascii="Tahoma" w:eastAsia="MS Mincho" w:hAnsi="Tahoma"/>
      <w:b/>
      <w:bCs/>
      <w:lang w:val="en-US" w:eastAsia="en-US"/>
    </w:rPr>
  </w:style>
  <w:style w:type="character" w:customStyle="1" w:styleId="CommentSubjectChar">
    <w:name w:val="Comment Subject Char"/>
    <w:basedOn w:val="CommentTextChar"/>
    <w:link w:val="CommentSubject"/>
    <w:uiPriority w:val="99"/>
    <w:semiHidden/>
    <w:rsid w:val="00FC4BCF"/>
    <w:rPr>
      <w:rFonts w:ascii="Tahoma" w:eastAsia="MS Mincho" w:hAnsi="Tahoma" w:cs="Times New Roman"/>
      <w:b/>
      <w:bCs/>
      <w:sz w:val="20"/>
      <w:szCs w:val="20"/>
      <w:lang w:val="en-GB" w:eastAsia="nl-NL"/>
    </w:rPr>
  </w:style>
</w:styles>
</file>

<file path=word/webSettings.xml><?xml version="1.0" encoding="utf-8"?>
<w:webSettings xmlns:r="http://schemas.openxmlformats.org/officeDocument/2006/relationships" xmlns:w="http://schemas.openxmlformats.org/wordprocessingml/2006/main">
  <w:divs>
    <w:div w:id="22220039">
      <w:bodyDiv w:val="1"/>
      <w:marLeft w:val="0"/>
      <w:marRight w:val="0"/>
      <w:marTop w:val="0"/>
      <w:marBottom w:val="0"/>
      <w:divBdr>
        <w:top w:val="none" w:sz="0" w:space="0" w:color="auto"/>
        <w:left w:val="none" w:sz="0" w:space="0" w:color="auto"/>
        <w:bottom w:val="none" w:sz="0" w:space="0" w:color="auto"/>
        <w:right w:val="none" w:sz="0" w:space="0" w:color="auto"/>
      </w:divBdr>
    </w:div>
    <w:div w:id="26834423">
      <w:bodyDiv w:val="1"/>
      <w:marLeft w:val="0"/>
      <w:marRight w:val="0"/>
      <w:marTop w:val="0"/>
      <w:marBottom w:val="0"/>
      <w:divBdr>
        <w:top w:val="none" w:sz="0" w:space="0" w:color="auto"/>
        <w:left w:val="none" w:sz="0" w:space="0" w:color="auto"/>
        <w:bottom w:val="none" w:sz="0" w:space="0" w:color="auto"/>
        <w:right w:val="none" w:sz="0" w:space="0" w:color="auto"/>
      </w:divBdr>
    </w:div>
    <w:div w:id="34694844">
      <w:bodyDiv w:val="1"/>
      <w:marLeft w:val="0"/>
      <w:marRight w:val="0"/>
      <w:marTop w:val="0"/>
      <w:marBottom w:val="0"/>
      <w:divBdr>
        <w:top w:val="none" w:sz="0" w:space="0" w:color="auto"/>
        <w:left w:val="none" w:sz="0" w:space="0" w:color="auto"/>
        <w:bottom w:val="none" w:sz="0" w:space="0" w:color="auto"/>
        <w:right w:val="none" w:sz="0" w:space="0" w:color="auto"/>
      </w:divBdr>
    </w:div>
    <w:div w:id="37946854">
      <w:bodyDiv w:val="1"/>
      <w:marLeft w:val="0"/>
      <w:marRight w:val="0"/>
      <w:marTop w:val="0"/>
      <w:marBottom w:val="0"/>
      <w:divBdr>
        <w:top w:val="none" w:sz="0" w:space="0" w:color="auto"/>
        <w:left w:val="none" w:sz="0" w:space="0" w:color="auto"/>
        <w:bottom w:val="none" w:sz="0" w:space="0" w:color="auto"/>
        <w:right w:val="none" w:sz="0" w:space="0" w:color="auto"/>
      </w:divBdr>
    </w:div>
    <w:div w:id="67000309">
      <w:bodyDiv w:val="1"/>
      <w:marLeft w:val="0"/>
      <w:marRight w:val="0"/>
      <w:marTop w:val="0"/>
      <w:marBottom w:val="0"/>
      <w:divBdr>
        <w:top w:val="none" w:sz="0" w:space="0" w:color="auto"/>
        <w:left w:val="none" w:sz="0" w:space="0" w:color="auto"/>
        <w:bottom w:val="none" w:sz="0" w:space="0" w:color="auto"/>
        <w:right w:val="none" w:sz="0" w:space="0" w:color="auto"/>
      </w:divBdr>
    </w:div>
    <w:div w:id="70278924">
      <w:bodyDiv w:val="1"/>
      <w:marLeft w:val="0"/>
      <w:marRight w:val="0"/>
      <w:marTop w:val="0"/>
      <w:marBottom w:val="0"/>
      <w:divBdr>
        <w:top w:val="none" w:sz="0" w:space="0" w:color="auto"/>
        <w:left w:val="none" w:sz="0" w:space="0" w:color="auto"/>
        <w:bottom w:val="none" w:sz="0" w:space="0" w:color="auto"/>
        <w:right w:val="none" w:sz="0" w:space="0" w:color="auto"/>
      </w:divBdr>
    </w:div>
    <w:div w:id="74477261">
      <w:bodyDiv w:val="1"/>
      <w:marLeft w:val="0"/>
      <w:marRight w:val="0"/>
      <w:marTop w:val="0"/>
      <w:marBottom w:val="0"/>
      <w:divBdr>
        <w:top w:val="none" w:sz="0" w:space="0" w:color="auto"/>
        <w:left w:val="none" w:sz="0" w:space="0" w:color="auto"/>
        <w:bottom w:val="none" w:sz="0" w:space="0" w:color="auto"/>
        <w:right w:val="none" w:sz="0" w:space="0" w:color="auto"/>
      </w:divBdr>
    </w:div>
    <w:div w:id="76635553">
      <w:bodyDiv w:val="1"/>
      <w:marLeft w:val="0"/>
      <w:marRight w:val="0"/>
      <w:marTop w:val="0"/>
      <w:marBottom w:val="0"/>
      <w:divBdr>
        <w:top w:val="none" w:sz="0" w:space="0" w:color="auto"/>
        <w:left w:val="none" w:sz="0" w:space="0" w:color="auto"/>
        <w:bottom w:val="none" w:sz="0" w:space="0" w:color="auto"/>
        <w:right w:val="none" w:sz="0" w:space="0" w:color="auto"/>
      </w:divBdr>
    </w:div>
    <w:div w:id="87583516">
      <w:bodyDiv w:val="1"/>
      <w:marLeft w:val="0"/>
      <w:marRight w:val="0"/>
      <w:marTop w:val="0"/>
      <w:marBottom w:val="0"/>
      <w:divBdr>
        <w:top w:val="none" w:sz="0" w:space="0" w:color="auto"/>
        <w:left w:val="none" w:sz="0" w:space="0" w:color="auto"/>
        <w:bottom w:val="none" w:sz="0" w:space="0" w:color="auto"/>
        <w:right w:val="none" w:sz="0" w:space="0" w:color="auto"/>
      </w:divBdr>
    </w:div>
    <w:div w:id="89862671">
      <w:bodyDiv w:val="1"/>
      <w:marLeft w:val="0"/>
      <w:marRight w:val="0"/>
      <w:marTop w:val="0"/>
      <w:marBottom w:val="0"/>
      <w:divBdr>
        <w:top w:val="none" w:sz="0" w:space="0" w:color="auto"/>
        <w:left w:val="none" w:sz="0" w:space="0" w:color="auto"/>
        <w:bottom w:val="none" w:sz="0" w:space="0" w:color="auto"/>
        <w:right w:val="none" w:sz="0" w:space="0" w:color="auto"/>
      </w:divBdr>
    </w:div>
    <w:div w:id="97071161">
      <w:bodyDiv w:val="1"/>
      <w:marLeft w:val="0"/>
      <w:marRight w:val="0"/>
      <w:marTop w:val="0"/>
      <w:marBottom w:val="0"/>
      <w:divBdr>
        <w:top w:val="none" w:sz="0" w:space="0" w:color="auto"/>
        <w:left w:val="none" w:sz="0" w:space="0" w:color="auto"/>
        <w:bottom w:val="none" w:sz="0" w:space="0" w:color="auto"/>
        <w:right w:val="none" w:sz="0" w:space="0" w:color="auto"/>
      </w:divBdr>
    </w:div>
    <w:div w:id="106434036">
      <w:bodyDiv w:val="1"/>
      <w:marLeft w:val="0"/>
      <w:marRight w:val="0"/>
      <w:marTop w:val="0"/>
      <w:marBottom w:val="0"/>
      <w:divBdr>
        <w:top w:val="none" w:sz="0" w:space="0" w:color="auto"/>
        <w:left w:val="none" w:sz="0" w:space="0" w:color="auto"/>
        <w:bottom w:val="none" w:sz="0" w:space="0" w:color="auto"/>
        <w:right w:val="none" w:sz="0" w:space="0" w:color="auto"/>
      </w:divBdr>
    </w:div>
    <w:div w:id="110974333">
      <w:bodyDiv w:val="1"/>
      <w:marLeft w:val="0"/>
      <w:marRight w:val="0"/>
      <w:marTop w:val="0"/>
      <w:marBottom w:val="0"/>
      <w:divBdr>
        <w:top w:val="none" w:sz="0" w:space="0" w:color="auto"/>
        <w:left w:val="none" w:sz="0" w:space="0" w:color="auto"/>
        <w:bottom w:val="none" w:sz="0" w:space="0" w:color="auto"/>
        <w:right w:val="none" w:sz="0" w:space="0" w:color="auto"/>
      </w:divBdr>
    </w:div>
    <w:div w:id="111556480">
      <w:bodyDiv w:val="1"/>
      <w:marLeft w:val="0"/>
      <w:marRight w:val="0"/>
      <w:marTop w:val="0"/>
      <w:marBottom w:val="0"/>
      <w:divBdr>
        <w:top w:val="none" w:sz="0" w:space="0" w:color="auto"/>
        <w:left w:val="none" w:sz="0" w:space="0" w:color="auto"/>
        <w:bottom w:val="none" w:sz="0" w:space="0" w:color="auto"/>
        <w:right w:val="none" w:sz="0" w:space="0" w:color="auto"/>
      </w:divBdr>
    </w:div>
    <w:div w:id="126825515">
      <w:bodyDiv w:val="1"/>
      <w:marLeft w:val="0"/>
      <w:marRight w:val="0"/>
      <w:marTop w:val="0"/>
      <w:marBottom w:val="0"/>
      <w:divBdr>
        <w:top w:val="none" w:sz="0" w:space="0" w:color="auto"/>
        <w:left w:val="none" w:sz="0" w:space="0" w:color="auto"/>
        <w:bottom w:val="none" w:sz="0" w:space="0" w:color="auto"/>
        <w:right w:val="none" w:sz="0" w:space="0" w:color="auto"/>
      </w:divBdr>
    </w:div>
    <w:div w:id="187989116">
      <w:bodyDiv w:val="1"/>
      <w:marLeft w:val="0"/>
      <w:marRight w:val="0"/>
      <w:marTop w:val="0"/>
      <w:marBottom w:val="0"/>
      <w:divBdr>
        <w:top w:val="none" w:sz="0" w:space="0" w:color="auto"/>
        <w:left w:val="none" w:sz="0" w:space="0" w:color="auto"/>
        <w:bottom w:val="none" w:sz="0" w:space="0" w:color="auto"/>
        <w:right w:val="none" w:sz="0" w:space="0" w:color="auto"/>
      </w:divBdr>
    </w:div>
    <w:div w:id="192621785">
      <w:bodyDiv w:val="1"/>
      <w:marLeft w:val="0"/>
      <w:marRight w:val="0"/>
      <w:marTop w:val="0"/>
      <w:marBottom w:val="0"/>
      <w:divBdr>
        <w:top w:val="none" w:sz="0" w:space="0" w:color="auto"/>
        <w:left w:val="none" w:sz="0" w:space="0" w:color="auto"/>
        <w:bottom w:val="none" w:sz="0" w:space="0" w:color="auto"/>
        <w:right w:val="none" w:sz="0" w:space="0" w:color="auto"/>
      </w:divBdr>
      <w:divsChild>
        <w:div w:id="669021789">
          <w:marLeft w:val="1166"/>
          <w:marRight w:val="0"/>
          <w:marTop w:val="96"/>
          <w:marBottom w:val="0"/>
          <w:divBdr>
            <w:top w:val="none" w:sz="0" w:space="0" w:color="auto"/>
            <w:left w:val="none" w:sz="0" w:space="0" w:color="auto"/>
            <w:bottom w:val="none" w:sz="0" w:space="0" w:color="auto"/>
            <w:right w:val="none" w:sz="0" w:space="0" w:color="auto"/>
          </w:divBdr>
        </w:div>
        <w:div w:id="330375676">
          <w:marLeft w:val="1166"/>
          <w:marRight w:val="0"/>
          <w:marTop w:val="96"/>
          <w:marBottom w:val="0"/>
          <w:divBdr>
            <w:top w:val="none" w:sz="0" w:space="0" w:color="auto"/>
            <w:left w:val="none" w:sz="0" w:space="0" w:color="auto"/>
            <w:bottom w:val="none" w:sz="0" w:space="0" w:color="auto"/>
            <w:right w:val="none" w:sz="0" w:space="0" w:color="auto"/>
          </w:divBdr>
        </w:div>
        <w:div w:id="1040587346">
          <w:marLeft w:val="1166"/>
          <w:marRight w:val="0"/>
          <w:marTop w:val="96"/>
          <w:marBottom w:val="0"/>
          <w:divBdr>
            <w:top w:val="none" w:sz="0" w:space="0" w:color="auto"/>
            <w:left w:val="none" w:sz="0" w:space="0" w:color="auto"/>
            <w:bottom w:val="none" w:sz="0" w:space="0" w:color="auto"/>
            <w:right w:val="none" w:sz="0" w:space="0" w:color="auto"/>
          </w:divBdr>
        </w:div>
        <w:div w:id="618879059">
          <w:marLeft w:val="1166"/>
          <w:marRight w:val="0"/>
          <w:marTop w:val="96"/>
          <w:marBottom w:val="0"/>
          <w:divBdr>
            <w:top w:val="none" w:sz="0" w:space="0" w:color="auto"/>
            <w:left w:val="none" w:sz="0" w:space="0" w:color="auto"/>
            <w:bottom w:val="none" w:sz="0" w:space="0" w:color="auto"/>
            <w:right w:val="none" w:sz="0" w:space="0" w:color="auto"/>
          </w:divBdr>
        </w:div>
        <w:div w:id="362898713">
          <w:marLeft w:val="1166"/>
          <w:marRight w:val="0"/>
          <w:marTop w:val="96"/>
          <w:marBottom w:val="0"/>
          <w:divBdr>
            <w:top w:val="none" w:sz="0" w:space="0" w:color="auto"/>
            <w:left w:val="none" w:sz="0" w:space="0" w:color="auto"/>
            <w:bottom w:val="none" w:sz="0" w:space="0" w:color="auto"/>
            <w:right w:val="none" w:sz="0" w:space="0" w:color="auto"/>
          </w:divBdr>
        </w:div>
      </w:divsChild>
    </w:div>
    <w:div w:id="193425902">
      <w:bodyDiv w:val="1"/>
      <w:marLeft w:val="0"/>
      <w:marRight w:val="0"/>
      <w:marTop w:val="0"/>
      <w:marBottom w:val="0"/>
      <w:divBdr>
        <w:top w:val="none" w:sz="0" w:space="0" w:color="auto"/>
        <w:left w:val="none" w:sz="0" w:space="0" w:color="auto"/>
        <w:bottom w:val="none" w:sz="0" w:space="0" w:color="auto"/>
        <w:right w:val="none" w:sz="0" w:space="0" w:color="auto"/>
      </w:divBdr>
    </w:div>
    <w:div w:id="221674365">
      <w:bodyDiv w:val="1"/>
      <w:marLeft w:val="0"/>
      <w:marRight w:val="0"/>
      <w:marTop w:val="0"/>
      <w:marBottom w:val="0"/>
      <w:divBdr>
        <w:top w:val="none" w:sz="0" w:space="0" w:color="auto"/>
        <w:left w:val="none" w:sz="0" w:space="0" w:color="auto"/>
        <w:bottom w:val="none" w:sz="0" w:space="0" w:color="auto"/>
        <w:right w:val="none" w:sz="0" w:space="0" w:color="auto"/>
      </w:divBdr>
      <w:divsChild>
        <w:div w:id="1749182323">
          <w:marLeft w:val="1166"/>
          <w:marRight w:val="0"/>
          <w:marTop w:val="96"/>
          <w:marBottom w:val="0"/>
          <w:divBdr>
            <w:top w:val="none" w:sz="0" w:space="0" w:color="auto"/>
            <w:left w:val="none" w:sz="0" w:space="0" w:color="auto"/>
            <w:bottom w:val="none" w:sz="0" w:space="0" w:color="auto"/>
            <w:right w:val="none" w:sz="0" w:space="0" w:color="auto"/>
          </w:divBdr>
        </w:div>
        <w:div w:id="1127505928">
          <w:marLeft w:val="1166"/>
          <w:marRight w:val="0"/>
          <w:marTop w:val="96"/>
          <w:marBottom w:val="0"/>
          <w:divBdr>
            <w:top w:val="none" w:sz="0" w:space="0" w:color="auto"/>
            <w:left w:val="none" w:sz="0" w:space="0" w:color="auto"/>
            <w:bottom w:val="none" w:sz="0" w:space="0" w:color="auto"/>
            <w:right w:val="none" w:sz="0" w:space="0" w:color="auto"/>
          </w:divBdr>
        </w:div>
        <w:div w:id="1243249082">
          <w:marLeft w:val="1166"/>
          <w:marRight w:val="0"/>
          <w:marTop w:val="96"/>
          <w:marBottom w:val="0"/>
          <w:divBdr>
            <w:top w:val="none" w:sz="0" w:space="0" w:color="auto"/>
            <w:left w:val="none" w:sz="0" w:space="0" w:color="auto"/>
            <w:bottom w:val="none" w:sz="0" w:space="0" w:color="auto"/>
            <w:right w:val="none" w:sz="0" w:space="0" w:color="auto"/>
          </w:divBdr>
        </w:div>
      </w:divsChild>
    </w:div>
    <w:div w:id="241987712">
      <w:bodyDiv w:val="1"/>
      <w:marLeft w:val="0"/>
      <w:marRight w:val="0"/>
      <w:marTop w:val="0"/>
      <w:marBottom w:val="0"/>
      <w:divBdr>
        <w:top w:val="none" w:sz="0" w:space="0" w:color="auto"/>
        <w:left w:val="none" w:sz="0" w:space="0" w:color="auto"/>
        <w:bottom w:val="none" w:sz="0" w:space="0" w:color="auto"/>
        <w:right w:val="none" w:sz="0" w:space="0" w:color="auto"/>
      </w:divBdr>
    </w:div>
    <w:div w:id="248122373">
      <w:bodyDiv w:val="1"/>
      <w:marLeft w:val="0"/>
      <w:marRight w:val="0"/>
      <w:marTop w:val="0"/>
      <w:marBottom w:val="0"/>
      <w:divBdr>
        <w:top w:val="none" w:sz="0" w:space="0" w:color="auto"/>
        <w:left w:val="none" w:sz="0" w:space="0" w:color="auto"/>
        <w:bottom w:val="none" w:sz="0" w:space="0" w:color="auto"/>
        <w:right w:val="none" w:sz="0" w:space="0" w:color="auto"/>
      </w:divBdr>
    </w:div>
    <w:div w:id="261888260">
      <w:bodyDiv w:val="1"/>
      <w:marLeft w:val="0"/>
      <w:marRight w:val="0"/>
      <w:marTop w:val="0"/>
      <w:marBottom w:val="0"/>
      <w:divBdr>
        <w:top w:val="none" w:sz="0" w:space="0" w:color="auto"/>
        <w:left w:val="none" w:sz="0" w:space="0" w:color="auto"/>
        <w:bottom w:val="none" w:sz="0" w:space="0" w:color="auto"/>
        <w:right w:val="none" w:sz="0" w:space="0" w:color="auto"/>
      </w:divBdr>
    </w:div>
    <w:div w:id="265307527">
      <w:bodyDiv w:val="1"/>
      <w:marLeft w:val="0"/>
      <w:marRight w:val="0"/>
      <w:marTop w:val="0"/>
      <w:marBottom w:val="0"/>
      <w:divBdr>
        <w:top w:val="none" w:sz="0" w:space="0" w:color="auto"/>
        <w:left w:val="none" w:sz="0" w:space="0" w:color="auto"/>
        <w:bottom w:val="none" w:sz="0" w:space="0" w:color="auto"/>
        <w:right w:val="none" w:sz="0" w:space="0" w:color="auto"/>
      </w:divBdr>
    </w:div>
    <w:div w:id="273446598">
      <w:bodyDiv w:val="1"/>
      <w:marLeft w:val="0"/>
      <w:marRight w:val="0"/>
      <w:marTop w:val="0"/>
      <w:marBottom w:val="0"/>
      <w:divBdr>
        <w:top w:val="none" w:sz="0" w:space="0" w:color="auto"/>
        <w:left w:val="none" w:sz="0" w:space="0" w:color="auto"/>
        <w:bottom w:val="none" w:sz="0" w:space="0" w:color="auto"/>
        <w:right w:val="none" w:sz="0" w:space="0" w:color="auto"/>
      </w:divBdr>
    </w:div>
    <w:div w:id="281765222">
      <w:bodyDiv w:val="1"/>
      <w:marLeft w:val="0"/>
      <w:marRight w:val="0"/>
      <w:marTop w:val="0"/>
      <w:marBottom w:val="0"/>
      <w:divBdr>
        <w:top w:val="none" w:sz="0" w:space="0" w:color="auto"/>
        <w:left w:val="none" w:sz="0" w:space="0" w:color="auto"/>
        <w:bottom w:val="none" w:sz="0" w:space="0" w:color="auto"/>
        <w:right w:val="none" w:sz="0" w:space="0" w:color="auto"/>
      </w:divBdr>
    </w:div>
    <w:div w:id="282613810">
      <w:bodyDiv w:val="1"/>
      <w:marLeft w:val="0"/>
      <w:marRight w:val="0"/>
      <w:marTop w:val="0"/>
      <w:marBottom w:val="0"/>
      <w:divBdr>
        <w:top w:val="none" w:sz="0" w:space="0" w:color="auto"/>
        <w:left w:val="none" w:sz="0" w:space="0" w:color="auto"/>
        <w:bottom w:val="none" w:sz="0" w:space="0" w:color="auto"/>
        <w:right w:val="none" w:sz="0" w:space="0" w:color="auto"/>
      </w:divBdr>
    </w:div>
    <w:div w:id="316812507">
      <w:bodyDiv w:val="1"/>
      <w:marLeft w:val="0"/>
      <w:marRight w:val="0"/>
      <w:marTop w:val="0"/>
      <w:marBottom w:val="0"/>
      <w:divBdr>
        <w:top w:val="none" w:sz="0" w:space="0" w:color="auto"/>
        <w:left w:val="none" w:sz="0" w:space="0" w:color="auto"/>
        <w:bottom w:val="none" w:sz="0" w:space="0" w:color="auto"/>
        <w:right w:val="none" w:sz="0" w:space="0" w:color="auto"/>
      </w:divBdr>
    </w:div>
    <w:div w:id="336923519">
      <w:bodyDiv w:val="1"/>
      <w:marLeft w:val="0"/>
      <w:marRight w:val="0"/>
      <w:marTop w:val="0"/>
      <w:marBottom w:val="0"/>
      <w:divBdr>
        <w:top w:val="none" w:sz="0" w:space="0" w:color="auto"/>
        <w:left w:val="none" w:sz="0" w:space="0" w:color="auto"/>
        <w:bottom w:val="none" w:sz="0" w:space="0" w:color="auto"/>
        <w:right w:val="none" w:sz="0" w:space="0" w:color="auto"/>
      </w:divBdr>
    </w:div>
    <w:div w:id="358432163">
      <w:bodyDiv w:val="1"/>
      <w:marLeft w:val="0"/>
      <w:marRight w:val="0"/>
      <w:marTop w:val="0"/>
      <w:marBottom w:val="0"/>
      <w:divBdr>
        <w:top w:val="none" w:sz="0" w:space="0" w:color="auto"/>
        <w:left w:val="none" w:sz="0" w:space="0" w:color="auto"/>
        <w:bottom w:val="none" w:sz="0" w:space="0" w:color="auto"/>
        <w:right w:val="none" w:sz="0" w:space="0" w:color="auto"/>
      </w:divBdr>
    </w:div>
    <w:div w:id="372775954">
      <w:bodyDiv w:val="1"/>
      <w:marLeft w:val="0"/>
      <w:marRight w:val="0"/>
      <w:marTop w:val="0"/>
      <w:marBottom w:val="0"/>
      <w:divBdr>
        <w:top w:val="none" w:sz="0" w:space="0" w:color="auto"/>
        <w:left w:val="none" w:sz="0" w:space="0" w:color="auto"/>
        <w:bottom w:val="none" w:sz="0" w:space="0" w:color="auto"/>
        <w:right w:val="none" w:sz="0" w:space="0" w:color="auto"/>
      </w:divBdr>
    </w:div>
    <w:div w:id="373696101">
      <w:bodyDiv w:val="1"/>
      <w:marLeft w:val="0"/>
      <w:marRight w:val="0"/>
      <w:marTop w:val="0"/>
      <w:marBottom w:val="0"/>
      <w:divBdr>
        <w:top w:val="none" w:sz="0" w:space="0" w:color="auto"/>
        <w:left w:val="none" w:sz="0" w:space="0" w:color="auto"/>
        <w:bottom w:val="none" w:sz="0" w:space="0" w:color="auto"/>
        <w:right w:val="none" w:sz="0" w:space="0" w:color="auto"/>
      </w:divBdr>
    </w:div>
    <w:div w:id="440684228">
      <w:bodyDiv w:val="1"/>
      <w:marLeft w:val="0"/>
      <w:marRight w:val="0"/>
      <w:marTop w:val="0"/>
      <w:marBottom w:val="0"/>
      <w:divBdr>
        <w:top w:val="none" w:sz="0" w:space="0" w:color="auto"/>
        <w:left w:val="none" w:sz="0" w:space="0" w:color="auto"/>
        <w:bottom w:val="none" w:sz="0" w:space="0" w:color="auto"/>
        <w:right w:val="none" w:sz="0" w:space="0" w:color="auto"/>
      </w:divBdr>
    </w:div>
    <w:div w:id="448932032">
      <w:bodyDiv w:val="1"/>
      <w:marLeft w:val="0"/>
      <w:marRight w:val="0"/>
      <w:marTop w:val="0"/>
      <w:marBottom w:val="0"/>
      <w:divBdr>
        <w:top w:val="none" w:sz="0" w:space="0" w:color="auto"/>
        <w:left w:val="none" w:sz="0" w:space="0" w:color="auto"/>
        <w:bottom w:val="none" w:sz="0" w:space="0" w:color="auto"/>
        <w:right w:val="none" w:sz="0" w:space="0" w:color="auto"/>
      </w:divBdr>
    </w:div>
    <w:div w:id="456147713">
      <w:bodyDiv w:val="1"/>
      <w:marLeft w:val="0"/>
      <w:marRight w:val="0"/>
      <w:marTop w:val="0"/>
      <w:marBottom w:val="0"/>
      <w:divBdr>
        <w:top w:val="none" w:sz="0" w:space="0" w:color="auto"/>
        <w:left w:val="none" w:sz="0" w:space="0" w:color="auto"/>
        <w:bottom w:val="none" w:sz="0" w:space="0" w:color="auto"/>
        <w:right w:val="none" w:sz="0" w:space="0" w:color="auto"/>
      </w:divBdr>
    </w:div>
    <w:div w:id="461582378">
      <w:bodyDiv w:val="1"/>
      <w:marLeft w:val="0"/>
      <w:marRight w:val="0"/>
      <w:marTop w:val="0"/>
      <w:marBottom w:val="0"/>
      <w:divBdr>
        <w:top w:val="none" w:sz="0" w:space="0" w:color="auto"/>
        <w:left w:val="none" w:sz="0" w:space="0" w:color="auto"/>
        <w:bottom w:val="none" w:sz="0" w:space="0" w:color="auto"/>
        <w:right w:val="none" w:sz="0" w:space="0" w:color="auto"/>
      </w:divBdr>
      <w:divsChild>
        <w:div w:id="1607348440">
          <w:marLeft w:val="547"/>
          <w:marRight w:val="0"/>
          <w:marTop w:val="96"/>
          <w:marBottom w:val="0"/>
          <w:divBdr>
            <w:top w:val="none" w:sz="0" w:space="0" w:color="auto"/>
            <w:left w:val="none" w:sz="0" w:space="0" w:color="auto"/>
            <w:bottom w:val="none" w:sz="0" w:space="0" w:color="auto"/>
            <w:right w:val="none" w:sz="0" w:space="0" w:color="auto"/>
          </w:divBdr>
        </w:div>
        <w:div w:id="1950236651">
          <w:marLeft w:val="547"/>
          <w:marRight w:val="0"/>
          <w:marTop w:val="96"/>
          <w:marBottom w:val="0"/>
          <w:divBdr>
            <w:top w:val="none" w:sz="0" w:space="0" w:color="auto"/>
            <w:left w:val="none" w:sz="0" w:space="0" w:color="auto"/>
            <w:bottom w:val="none" w:sz="0" w:space="0" w:color="auto"/>
            <w:right w:val="none" w:sz="0" w:space="0" w:color="auto"/>
          </w:divBdr>
        </w:div>
        <w:div w:id="694037900">
          <w:marLeft w:val="1166"/>
          <w:marRight w:val="0"/>
          <w:marTop w:val="96"/>
          <w:marBottom w:val="0"/>
          <w:divBdr>
            <w:top w:val="none" w:sz="0" w:space="0" w:color="auto"/>
            <w:left w:val="none" w:sz="0" w:space="0" w:color="auto"/>
            <w:bottom w:val="none" w:sz="0" w:space="0" w:color="auto"/>
            <w:right w:val="none" w:sz="0" w:space="0" w:color="auto"/>
          </w:divBdr>
        </w:div>
        <w:div w:id="1850438741">
          <w:marLeft w:val="1166"/>
          <w:marRight w:val="0"/>
          <w:marTop w:val="96"/>
          <w:marBottom w:val="0"/>
          <w:divBdr>
            <w:top w:val="none" w:sz="0" w:space="0" w:color="auto"/>
            <w:left w:val="none" w:sz="0" w:space="0" w:color="auto"/>
            <w:bottom w:val="none" w:sz="0" w:space="0" w:color="auto"/>
            <w:right w:val="none" w:sz="0" w:space="0" w:color="auto"/>
          </w:divBdr>
        </w:div>
        <w:div w:id="162667065">
          <w:marLeft w:val="547"/>
          <w:marRight w:val="0"/>
          <w:marTop w:val="96"/>
          <w:marBottom w:val="0"/>
          <w:divBdr>
            <w:top w:val="none" w:sz="0" w:space="0" w:color="auto"/>
            <w:left w:val="none" w:sz="0" w:space="0" w:color="auto"/>
            <w:bottom w:val="none" w:sz="0" w:space="0" w:color="auto"/>
            <w:right w:val="none" w:sz="0" w:space="0" w:color="auto"/>
          </w:divBdr>
        </w:div>
      </w:divsChild>
    </w:div>
    <w:div w:id="481772350">
      <w:bodyDiv w:val="1"/>
      <w:marLeft w:val="0"/>
      <w:marRight w:val="0"/>
      <w:marTop w:val="0"/>
      <w:marBottom w:val="0"/>
      <w:divBdr>
        <w:top w:val="none" w:sz="0" w:space="0" w:color="auto"/>
        <w:left w:val="none" w:sz="0" w:space="0" w:color="auto"/>
        <w:bottom w:val="none" w:sz="0" w:space="0" w:color="auto"/>
        <w:right w:val="none" w:sz="0" w:space="0" w:color="auto"/>
      </w:divBdr>
    </w:div>
    <w:div w:id="497229779">
      <w:bodyDiv w:val="1"/>
      <w:marLeft w:val="0"/>
      <w:marRight w:val="0"/>
      <w:marTop w:val="0"/>
      <w:marBottom w:val="0"/>
      <w:divBdr>
        <w:top w:val="none" w:sz="0" w:space="0" w:color="auto"/>
        <w:left w:val="none" w:sz="0" w:space="0" w:color="auto"/>
        <w:bottom w:val="none" w:sz="0" w:space="0" w:color="auto"/>
        <w:right w:val="none" w:sz="0" w:space="0" w:color="auto"/>
      </w:divBdr>
    </w:div>
    <w:div w:id="499394766">
      <w:bodyDiv w:val="1"/>
      <w:marLeft w:val="0"/>
      <w:marRight w:val="0"/>
      <w:marTop w:val="0"/>
      <w:marBottom w:val="0"/>
      <w:divBdr>
        <w:top w:val="none" w:sz="0" w:space="0" w:color="auto"/>
        <w:left w:val="none" w:sz="0" w:space="0" w:color="auto"/>
        <w:bottom w:val="none" w:sz="0" w:space="0" w:color="auto"/>
        <w:right w:val="none" w:sz="0" w:space="0" w:color="auto"/>
      </w:divBdr>
    </w:div>
    <w:div w:id="524487049">
      <w:bodyDiv w:val="1"/>
      <w:marLeft w:val="0"/>
      <w:marRight w:val="0"/>
      <w:marTop w:val="0"/>
      <w:marBottom w:val="0"/>
      <w:divBdr>
        <w:top w:val="none" w:sz="0" w:space="0" w:color="auto"/>
        <w:left w:val="none" w:sz="0" w:space="0" w:color="auto"/>
        <w:bottom w:val="none" w:sz="0" w:space="0" w:color="auto"/>
        <w:right w:val="none" w:sz="0" w:space="0" w:color="auto"/>
      </w:divBdr>
    </w:div>
    <w:div w:id="529877453">
      <w:bodyDiv w:val="1"/>
      <w:marLeft w:val="0"/>
      <w:marRight w:val="0"/>
      <w:marTop w:val="0"/>
      <w:marBottom w:val="0"/>
      <w:divBdr>
        <w:top w:val="none" w:sz="0" w:space="0" w:color="auto"/>
        <w:left w:val="none" w:sz="0" w:space="0" w:color="auto"/>
        <w:bottom w:val="none" w:sz="0" w:space="0" w:color="auto"/>
        <w:right w:val="none" w:sz="0" w:space="0" w:color="auto"/>
      </w:divBdr>
    </w:div>
    <w:div w:id="566646620">
      <w:bodyDiv w:val="1"/>
      <w:marLeft w:val="0"/>
      <w:marRight w:val="0"/>
      <w:marTop w:val="0"/>
      <w:marBottom w:val="0"/>
      <w:divBdr>
        <w:top w:val="none" w:sz="0" w:space="0" w:color="auto"/>
        <w:left w:val="none" w:sz="0" w:space="0" w:color="auto"/>
        <w:bottom w:val="none" w:sz="0" w:space="0" w:color="auto"/>
        <w:right w:val="none" w:sz="0" w:space="0" w:color="auto"/>
      </w:divBdr>
    </w:div>
    <w:div w:id="569655606">
      <w:bodyDiv w:val="1"/>
      <w:marLeft w:val="0"/>
      <w:marRight w:val="0"/>
      <w:marTop w:val="0"/>
      <w:marBottom w:val="0"/>
      <w:divBdr>
        <w:top w:val="none" w:sz="0" w:space="0" w:color="auto"/>
        <w:left w:val="none" w:sz="0" w:space="0" w:color="auto"/>
        <w:bottom w:val="none" w:sz="0" w:space="0" w:color="auto"/>
        <w:right w:val="none" w:sz="0" w:space="0" w:color="auto"/>
      </w:divBdr>
    </w:div>
    <w:div w:id="573006744">
      <w:bodyDiv w:val="1"/>
      <w:marLeft w:val="0"/>
      <w:marRight w:val="0"/>
      <w:marTop w:val="0"/>
      <w:marBottom w:val="0"/>
      <w:divBdr>
        <w:top w:val="none" w:sz="0" w:space="0" w:color="auto"/>
        <w:left w:val="none" w:sz="0" w:space="0" w:color="auto"/>
        <w:bottom w:val="none" w:sz="0" w:space="0" w:color="auto"/>
        <w:right w:val="none" w:sz="0" w:space="0" w:color="auto"/>
      </w:divBdr>
    </w:div>
    <w:div w:id="586690183">
      <w:bodyDiv w:val="1"/>
      <w:marLeft w:val="0"/>
      <w:marRight w:val="0"/>
      <w:marTop w:val="0"/>
      <w:marBottom w:val="0"/>
      <w:divBdr>
        <w:top w:val="none" w:sz="0" w:space="0" w:color="auto"/>
        <w:left w:val="none" w:sz="0" w:space="0" w:color="auto"/>
        <w:bottom w:val="none" w:sz="0" w:space="0" w:color="auto"/>
        <w:right w:val="none" w:sz="0" w:space="0" w:color="auto"/>
      </w:divBdr>
    </w:div>
    <w:div w:id="588273949">
      <w:bodyDiv w:val="1"/>
      <w:marLeft w:val="0"/>
      <w:marRight w:val="0"/>
      <w:marTop w:val="0"/>
      <w:marBottom w:val="0"/>
      <w:divBdr>
        <w:top w:val="none" w:sz="0" w:space="0" w:color="auto"/>
        <w:left w:val="none" w:sz="0" w:space="0" w:color="auto"/>
        <w:bottom w:val="none" w:sz="0" w:space="0" w:color="auto"/>
        <w:right w:val="none" w:sz="0" w:space="0" w:color="auto"/>
      </w:divBdr>
    </w:div>
    <w:div w:id="591402043">
      <w:bodyDiv w:val="1"/>
      <w:marLeft w:val="0"/>
      <w:marRight w:val="0"/>
      <w:marTop w:val="0"/>
      <w:marBottom w:val="0"/>
      <w:divBdr>
        <w:top w:val="none" w:sz="0" w:space="0" w:color="auto"/>
        <w:left w:val="none" w:sz="0" w:space="0" w:color="auto"/>
        <w:bottom w:val="none" w:sz="0" w:space="0" w:color="auto"/>
        <w:right w:val="none" w:sz="0" w:space="0" w:color="auto"/>
      </w:divBdr>
    </w:div>
    <w:div w:id="602497968">
      <w:bodyDiv w:val="1"/>
      <w:marLeft w:val="0"/>
      <w:marRight w:val="0"/>
      <w:marTop w:val="0"/>
      <w:marBottom w:val="0"/>
      <w:divBdr>
        <w:top w:val="none" w:sz="0" w:space="0" w:color="auto"/>
        <w:left w:val="none" w:sz="0" w:space="0" w:color="auto"/>
        <w:bottom w:val="none" w:sz="0" w:space="0" w:color="auto"/>
        <w:right w:val="none" w:sz="0" w:space="0" w:color="auto"/>
      </w:divBdr>
    </w:div>
    <w:div w:id="610090478">
      <w:bodyDiv w:val="1"/>
      <w:marLeft w:val="0"/>
      <w:marRight w:val="0"/>
      <w:marTop w:val="0"/>
      <w:marBottom w:val="0"/>
      <w:divBdr>
        <w:top w:val="none" w:sz="0" w:space="0" w:color="auto"/>
        <w:left w:val="none" w:sz="0" w:space="0" w:color="auto"/>
        <w:bottom w:val="none" w:sz="0" w:space="0" w:color="auto"/>
        <w:right w:val="none" w:sz="0" w:space="0" w:color="auto"/>
      </w:divBdr>
    </w:div>
    <w:div w:id="619265593">
      <w:bodyDiv w:val="1"/>
      <w:marLeft w:val="0"/>
      <w:marRight w:val="0"/>
      <w:marTop w:val="0"/>
      <w:marBottom w:val="0"/>
      <w:divBdr>
        <w:top w:val="none" w:sz="0" w:space="0" w:color="auto"/>
        <w:left w:val="none" w:sz="0" w:space="0" w:color="auto"/>
        <w:bottom w:val="none" w:sz="0" w:space="0" w:color="auto"/>
        <w:right w:val="none" w:sz="0" w:space="0" w:color="auto"/>
      </w:divBdr>
    </w:div>
    <w:div w:id="621690320">
      <w:bodyDiv w:val="1"/>
      <w:marLeft w:val="0"/>
      <w:marRight w:val="0"/>
      <w:marTop w:val="0"/>
      <w:marBottom w:val="0"/>
      <w:divBdr>
        <w:top w:val="none" w:sz="0" w:space="0" w:color="auto"/>
        <w:left w:val="none" w:sz="0" w:space="0" w:color="auto"/>
        <w:bottom w:val="none" w:sz="0" w:space="0" w:color="auto"/>
        <w:right w:val="none" w:sz="0" w:space="0" w:color="auto"/>
      </w:divBdr>
    </w:div>
    <w:div w:id="624970553">
      <w:bodyDiv w:val="1"/>
      <w:marLeft w:val="0"/>
      <w:marRight w:val="0"/>
      <w:marTop w:val="0"/>
      <w:marBottom w:val="0"/>
      <w:divBdr>
        <w:top w:val="none" w:sz="0" w:space="0" w:color="auto"/>
        <w:left w:val="none" w:sz="0" w:space="0" w:color="auto"/>
        <w:bottom w:val="none" w:sz="0" w:space="0" w:color="auto"/>
        <w:right w:val="none" w:sz="0" w:space="0" w:color="auto"/>
      </w:divBdr>
    </w:div>
    <w:div w:id="626014306">
      <w:bodyDiv w:val="1"/>
      <w:marLeft w:val="0"/>
      <w:marRight w:val="0"/>
      <w:marTop w:val="0"/>
      <w:marBottom w:val="0"/>
      <w:divBdr>
        <w:top w:val="none" w:sz="0" w:space="0" w:color="auto"/>
        <w:left w:val="none" w:sz="0" w:space="0" w:color="auto"/>
        <w:bottom w:val="none" w:sz="0" w:space="0" w:color="auto"/>
        <w:right w:val="none" w:sz="0" w:space="0" w:color="auto"/>
      </w:divBdr>
    </w:div>
    <w:div w:id="636379399">
      <w:bodyDiv w:val="1"/>
      <w:marLeft w:val="0"/>
      <w:marRight w:val="0"/>
      <w:marTop w:val="0"/>
      <w:marBottom w:val="0"/>
      <w:divBdr>
        <w:top w:val="none" w:sz="0" w:space="0" w:color="auto"/>
        <w:left w:val="none" w:sz="0" w:space="0" w:color="auto"/>
        <w:bottom w:val="none" w:sz="0" w:space="0" w:color="auto"/>
        <w:right w:val="none" w:sz="0" w:space="0" w:color="auto"/>
      </w:divBdr>
    </w:div>
    <w:div w:id="655764596">
      <w:bodyDiv w:val="1"/>
      <w:marLeft w:val="0"/>
      <w:marRight w:val="0"/>
      <w:marTop w:val="0"/>
      <w:marBottom w:val="0"/>
      <w:divBdr>
        <w:top w:val="none" w:sz="0" w:space="0" w:color="auto"/>
        <w:left w:val="none" w:sz="0" w:space="0" w:color="auto"/>
        <w:bottom w:val="none" w:sz="0" w:space="0" w:color="auto"/>
        <w:right w:val="none" w:sz="0" w:space="0" w:color="auto"/>
      </w:divBdr>
    </w:div>
    <w:div w:id="656148844">
      <w:bodyDiv w:val="1"/>
      <w:marLeft w:val="0"/>
      <w:marRight w:val="0"/>
      <w:marTop w:val="0"/>
      <w:marBottom w:val="0"/>
      <w:divBdr>
        <w:top w:val="none" w:sz="0" w:space="0" w:color="auto"/>
        <w:left w:val="none" w:sz="0" w:space="0" w:color="auto"/>
        <w:bottom w:val="none" w:sz="0" w:space="0" w:color="auto"/>
        <w:right w:val="none" w:sz="0" w:space="0" w:color="auto"/>
      </w:divBdr>
    </w:div>
    <w:div w:id="676812844">
      <w:bodyDiv w:val="1"/>
      <w:marLeft w:val="0"/>
      <w:marRight w:val="0"/>
      <w:marTop w:val="0"/>
      <w:marBottom w:val="0"/>
      <w:divBdr>
        <w:top w:val="none" w:sz="0" w:space="0" w:color="auto"/>
        <w:left w:val="none" w:sz="0" w:space="0" w:color="auto"/>
        <w:bottom w:val="none" w:sz="0" w:space="0" w:color="auto"/>
        <w:right w:val="none" w:sz="0" w:space="0" w:color="auto"/>
      </w:divBdr>
    </w:div>
    <w:div w:id="689836880">
      <w:bodyDiv w:val="1"/>
      <w:marLeft w:val="0"/>
      <w:marRight w:val="0"/>
      <w:marTop w:val="0"/>
      <w:marBottom w:val="0"/>
      <w:divBdr>
        <w:top w:val="none" w:sz="0" w:space="0" w:color="auto"/>
        <w:left w:val="none" w:sz="0" w:space="0" w:color="auto"/>
        <w:bottom w:val="none" w:sz="0" w:space="0" w:color="auto"/>
        <w:right w:val="none" w:sz="0" w:space="0" w:color="auto"/>
      </w:divBdr>
    </w:div>
    <w:div w:id="694231659">
      <w:bodyDiv w:val="1"/>
      <w:marLeft w:val="0"/>
      <w:marRight w:val="0"/>
      <w:marTop w:val="0"/>
      <w:marBottom w:val="0"/>
      <w:divBdr>
        <w:top w:val="none" w:sz="0" w:space="0" w:color="auto"/>
        <w:left w:val="none" w:sz="0" w:space="0" w:color="auto"/>
        <w:bottom w:val="none" w:sz="0" w:space="0" w:color="auto"/>
        <w:right w:val="none" w:sz="0" w:space="0" w:color="auto"/>
      </w:divBdr>
    </w:div>
    <w:div w:id="703529030">
      <w:bodyDiv w:val="1"/>
      <w:marLeft w:val="0"/>
      <w:marRight w:val="0"/>
      <w:marTop w:val="0"/>
      <w:marBottom w:val="0"/>
      <w:divBdr>
        <w:top w:val="none" w:sz="0" w:space="0" w:color="auto"/>
        <w:left w:val="none" w:sz="0" w:space="0" w:color="auto"/>
        <w:bottom w:val="none" w:sz="0" w:space="0" w:color="auto"/>
        <w:right w:val="none" w:sz="0" w:space="0" w:color="auto"/>
      </w:divBdr>
    </w:div>
    <w:div w:id="727067555">
      <w:bodyDiv w:val="1"/>
      <w:marLeft w:val="0"/>
      <w:marRight w:val="0"/>
      <w:marTop w:val="0"/>
      <w:marBottom w:val="0"/>
      <w:divBdr>
        <w:top w:val="none" w:sz="0" w:space="0" w:color="auto"/>
        <w:left w:val="none" w:sz="0" w:space="0" w:color="auto"/>
        <w:bottom w:val="none" w:sz="0" w:space="0" w:color="auto"/>
        <w:right w:val="none" w:sz="0" w:space="0" w:color="auto"/>
      </w:divBdr>
      <w:divsChild>
        <w:div w:id="1002007787">
          <w:marLeft w:val="1166"/>
          <w:marRight w:val="0"/>
          <w:marTop w:val="96"/>
          <w:marBottom w:val="0"/>
          <w:divBdr>
            <w:top w:val="none" w:sz="0" w:space="0" w:color="auto"/>
            <w:left w:val="none" w:sz="0" w:space="0" w:color="auto"/>
            <w:bottom w:val="none" w:sz="0" w:space="0" w:color="auto"/>
            <w:right w:val="none" w:sz="0" w:space="0" w:color="auto"/>
          </w:divBdr>
        </w:div>
        <w:div w:id="460809989">
          <w:marLeft w:val="1166"/>
          <w:marRight w:val="0"/>
          <w:marTop w:val="96"/>
          <w:marBottom w:val="0"/>
          <w:divBdr>
            <w:top w:val="none" w:sz="0" w:space="0" w:color="auto"/>
            <w:left w:val="none" w:sz="0" w:space="0" w:color="auto"/>
            <w:bottom w:val="none" w:sz="0" w:space="0" w:color="auto"/>
            <w:right w:val="none" w:sz="0" w:space="0" w:color="auto"/>
          </w:divBdr>
        </w:div>
        <w:div w:id="1237519899">
          <w:marLeft w:val="1166"/>
          <w:marRight w:val="0"/>
          <w:marTop w:val="96"/>
          <w:marBottom w:val="0"/>
          <w:divBdr>
            <w:top w:val="none" w:sz="0" w:space="0" w:color="auto"/>
            <w:left w:val="none" w:sz="0" w:space="0" w:color="auto"/>
            <w:bottom w:val="none" w:sz="0" w:space="0" w:color="auto"/>
            <w:right w:val="none" w:sz="0" w:space="0" w:color="auto"/>
          </w:divBdr>
        </w:div>
        <w:div w:id="716272758">
          <w:marLeft w:val="1166"/>
          <w:marRight w:val="0"/>
          <w:marTop w:val="96"/>
          <w:marBottom w:val="0"/>
          <w:divBdr>
            <w:top w:val="none" w:sz="0" w:space="0" w:color="auto"/>
            <w:left w:val="none" w:sz="0" w:space="0" w:color="auto"/>
            <w:bottom w:val="none" w:sz="0" w:space="0" w:color="auto"/>
            <w:right w:val="none" w:sz="0" w:space="0" w:color="auto"/>
          </w:divBdr>
        </w:div>
        <w:div w:id="2051489477">
          <w:marLeft w:val="1166"/>
          <w:marRight w:val="0"/>
          <w:marTop w:val="96"/>
          <w:marBottom w:val="0"/>
          <w:divBdr>
            <w:top w:val="none" w:sz="0" w:space="0" w:color="auto"/>
            <w:left w:val="none" w:sz="0" w:space="0" w:color="auto"/>
            <w:bottom w:val="none" w:sz="0" w:space="0" w:color="auto"/>
            <w:right w:val="none" w:sz="0" w:space="0" w:color="auto"/>
          </w:divBdr>
        </w:div>
      </w:divsChild>
    </w:div>
    <w:div w:id="750738291">
      <w:bodyDiv w:val="1"/>
      <w:marLeft w:val="0"/>
      <w:marRight w:val="0"/>
      <w:marTop w:val="0"/>
      <w:marBottom w:val="0"/>
      <w:divBdr>
        <w:top w:val="none" w:sz="0" w:space="0" w:color="auto"/>
        <w:left w:val="none" w:sz="0" w:space="0" w:color="auto"/>
        <w:bottom w:val="none" w:sz="0" w:space="0" w:color="auto"/>
        <w:right w:val="none" w:sz="0" w:space="0" w:color="auto"/>
      </w:divBdr>
    </w:div>
    <w:div w:id="757940487">
      <w:bodyDiv w:val="1"/>
      <w:marLeft w:val="0"/>
      <w:marRight w:val="0"/>
      <w:marTop w:val="0"/>
      <w:marBottom w:val="0"/>
      <w:divBdr>
        <w:top w:val="none" w:sz="0" w:space="0" w:color="auto"/>
        <w:left w:val="none" w:sz="0" w:space="0" w:color="auto"/>
        <w:bottom w:val="none" w:sz="0" w:space="0" w:color="auto"/>
        <w:right w:val="none" w:sz="0" w:space="0" w:color="auto"/>
      </w:divBdr>
    </w:div>
    <w:div w:id="777676414">
      <w:bodyDiv w:val="1"/>
      <w:marLeft w:val="0"/>
      <w:marRight w:val="0"/>
      <w:marTop w:val="0"/>
      <w:marBottom w:val="0"/>
      <w:divBdr>
        <w:top w:val="none" w:sz="0" w:space="0" w:color="auto"/>
        <w:left w:val="none" w:sz="0" w:space="0" w:color="auto"/>
        <w:bottom w:val="none" w:sz="0" w:space="0" w:color="auto"/>
        <w:right w:val="none" w:sz="0" w:space="0" w:color="auto"/>
      </w:divBdr>
    </w:div>
    <w:div w:id="792599037">
      <w:bodyDiv w:val="1"/>
      <w:marLeft w:val="0"/>
      <w:marRight w:val="0"/>
      <w:marTop w:val="0"/>
      <w:marBottom w:val="0"/>
      <w:divBdr>
        <w:top w:val="none" w:sz="0" w:space="0" w:color="auto"/>
        <w:left w:val="none" w:sz="0" w:space="0" w:color="auto"/>
        <w:bottom w:val="none" w:sz="0" w:space="0" w:color="auto"/>
        <w:right w:val="none" w:sz="0" w:space="0" w:color="auto"/>
      </w:divBdr>
    </w:div>
    <w:div w:id="801192495">
      <w:bodyDiv w:val="1"/>
      <w:marLeft w:val="0"/>
      <w:marRight w:val="0"/>
      <w:marTop w:val="0"/>
      <w:marBottom w:val="0"/>
      <w:divBdr>
        <w:top w:val="none" w:sz="0" w:space="0" w:color="auto"/>
        <w:left w:val="none" w:sz="0" w:space="0" w:color="auto"/>
        <w:bottom w:val="none" w:sz="0" w:space="0" w:color="auto"/>
        <w:right w:val="none" w:sz="0" w:space="0" w:color="auto"/>
      </w:divBdr>
    </w:div>
    <w:div w:id="834032719">
      <w:bodyDiv w:val="1"/>
      <w:marLeft w:val="0"/>
      <w:marRight w:val="0"/>
      <w:marTop w:val="0"/>
      <w:marBottom w:val="0"/>
      <w:divBdr>
        <w:top w:val="none" w:sz="0" w:space="0" w:color="auto"/>
        <w:left w:val="none" w:sz="0" w:space="0" w:color="auto"/>
        <w:bottom w:val="none" w:sz="0" w:space="0" w:color="auto"/>
        <w:right w:val="none" w:sz="0" w:space="0" w:color="auto"/>
      </w:divBdr>
    </w:div>
    <w:div w:id="837187612">
      <w:bodyDiv w:val="1"/>
      <w:marLeft w:val="0"/>
      <w:marRight w:val="0"/>
      <w:marTop w:val="0"/>
      <w:marBottom w:val="0"/>
      <w:divBdr>
        <w:top w:val="none" w:sz="0" w:space="0" w:color="auto"/>
        <w:left w:val="none" w:sz="0" w:space="0" w:color="auto"/>
        <w:bottom w:val="none" w:sz="0" w:space="0" w:color="auto"/>
        <w:right w:val="none" w:sz="0" w:space="0" w:color="auto"/>
      </w:divBdr>
    </w:div>
    <w:div w:id="852377467">
      <w:bodyDiv w:val="1"/>
      <w:marLeft w:val="0"/>
      <w:marRight w:val="0"/>
      <w:marTop w:val="0"/>
      <w:marBottom w:val="0"/>
      <w:divBdr>
        <w:top w:val="none" w:sz="0" w:space="0" w:color="auto"/>
        <w:left w:val="none" w:sz="0" w:space="0" w:color="auto"/>
        <w:bottom w:val="none" w:sz="0" w:space="0" w:color="auto"/>
        <w:right w:val="none" w:sz="0" w:space="0" w:color="auto"/>
      </w:divBdr>
    </w:div>
    <w:div w:id="861473256">
      <w:bodyDiv w:val="1"/>
      <w:marLeft w:val="0"/>
      <w:marRight w:val="0"/>
      <w:marTop w:val="0"/>
      <w:marBottom w:val="0"/>
      <w:divBdr>
        <w:top w:val="none" w:sz="0" w:space="0" w:color="auto"/>
        <w:left w:val="none" w:sz="0" w:space="0" w:color="auto"/>
        <w:bottom w:val="none" w:sz="0" w:space="0" w:color="auto"/>
        <w:right w:val="none" w:sz="0" w:space="0" w:color="auto"/>
      </w:divBdr>
    </w:div>
    <w:div w:id="861749339">
      <w:bodyDiv w:val="1"/>
      <w:marLeft w:val="0"/>
      <w:marRight w:val="0"/>
      <w:marTop w:val="0"/>
      <w:marBottom w:val="0"/>
      <w:divBdr>
        <w:top w:val="none" w:sz="0" w:space="0" w:color="auto"/>
        <w:left w:val="none" w:sz="0" w:space="0" w:color="auto"/>
        <w:bottom w:val="none" w:sz="0" w:space="0" w:color="auto"/>
        <w:right w:val="none" w:sz="0" w:space="0" w:color="auto"/>
      </w:divBdr>
    </w:div>
    <w:div w:id="862284278">
      <w:bodyDiv w:val="1"/>
      <w:marLeft w:val="0"/>
      <w:marRight w:val="0"/>
      <w:marTop w:val="0"/>
      <w:marBottom w:val="0"/>
      <w:divBdr>
        <w:top w:val="none" w:sz="0" w:space="0" w:color="auto"/>
        <w:left w:val="none" w:sz="0" w:space="0" w:color="auto"/>
        <w:bottom w:val="none" w:sz="0" w:space="0" w:color="auto"/>
        <w:right w:val="none" w:sz="0" w:space="0" w:color="auto"/>
      </w:divBdr>
    </w:div>
    <w:div w:id="868690257">
      <w:bodyDiv w:val="1"/>
      <w:marLeft w:val="0"/>
      <w:marRight w:val="0"/>
      <w:marTop w:val="0"/>
      <w:marBottom w:val="0"/>
      <w:divBdr>
        <w:top w:val="none" w:sz="0" w:space="0" w:color="auto"/>
        <w:left w:val="none" w:sz="0" w:space="0" w:color="auto"/>
        <w:bottom w:val="none" w:sz="0" w:space="0" w:color="auto"/>
        <w:right w:val="none" w:sz="0" w:space="0" w:color="auto"/>
      </w:divBdr>
    </w:div>
    <w:div w:id="889539075">
      <w:bodyDiv w:val="1"/>
      <w:marLeft w:val="0"/>
      <w:marRight w:val="0"/>
      <w:marTop w:val="0"/>
      <w:marBottom w:val="0"/>
      <w:divBdr>
        <w:top w:val="none" w:sz="0" w:space="0" w:color="auto"/>
        <w:left w:val="none" w:sz="0" w:space="0" w:color="auto"/>
        <w:bottom w:val="none" w:sz="0" w:space="0" w:color="auto"/>
        <w:right w:val="none" w:sz="0" w:space="0" w:color="auto"/>
      </w:divBdr>
    </w:div>
    <w:div w:id="892691822">
      <w:bodyDiv w:val="1"/>
      <w:marLeft w:val="0"/>
      <w:marRight w:val="0"/>
      <w:marTop w:val="0"/>
      <w:marBottom w:val="0"/>
      <w:divBdr>
        <w:top w:val="none" w:sz="0" w:space="0" w:color="auto"/>
        <w:left w:val="none" w:sz="0" w:space="0" w:color="auto"/>
        <w:bottom w:val="none" w:sz="0" w:space="0" w:color="auto"/>
        <w:right w:val="none" w:sz="0" w:space="0" w:color="auto"/>
      </w:divBdr>
    </w:div>
    <w:div w:id="901407869">
      <w:bodyDiv w:val="1"/>
      <w:marLeft w:val="0"/>
      <w:marRight w:val="0"/>
      <w:marTop w:val="0"/>
      <w:marBottom w:val="0"/>
      <w:divBdr>
        <w:top w:val="none" w:sz="0" w:space="0" w:color="auto"/>
        <w:left w:val="none" w:sz="0" w:space="0" w:color="auto"/>
        <w:bottom w:val="none" w:sz="0" w:space="0" w:color="auto"/>
        <w:right w:val="none" w:sz="0" w:space="0" w:color="auto"/>
      </w:divBdr>
    </w:div>
    <w:div w:id="931552187">
      <w:bodyDiv w:val="1"/>
      <w:marLeft w:val="0"/>
      <w:marRight w:val="0"/>
      <w:marTop w:val="0"/>
      <w:marBottom w:val="0"/>
      <w:divBdr>
        <w:top w:val="none" w:sz="0" w:space="0" w:color="auto"/>
        <w:left w:val="none" w:sz="0" w:space="0" w:color="auto"/>
        <w:bottom w:val="none" w:sz="0" w:space="0" w:color="auto"/>
        <w:right w:val="none" w:sz="0" w:space="0" w:color="auto"/>
      </w:divBdr>
    </w:div>
    <w:div w:id="933973207">
      <w:bodyDiv w:val="1"/>
      <w:marLeft w:val="0"/>
      <w:marRight w:val="0"/>
      <w:marTop w:val="0"/>
      <w:marBottom w:val="0"/>
      <w:divBdr>
        <w:top w:val="none" w:sz="0" w:space="0" w:color="auto"/>
        <w:left w:val="none" w:sz="0" w:space="0" w:color="auto"/>
        <w:bottom w:val="none" w:sz="0" w:space="0" w:color="auto"/>
        <w:right w:val="none" w:sz="0" w:space="0" w:color="auto"/>
      </w:divBdr>
    </w:div>
    <w:div w:id="936254433">
      <w:bodyDiv w:val="1"/>
      <w:marLeft w:val="0"/>
      <w:marRight w:val="0"/>
      <w:marTop w:val="0"/>
      <w:marBottom w:val="0"/>
      <w:divBdr>
        <w:top w:val="none" w:sz="0" w:space="0" w:color="auto"/>
        <w:left w:val="none" w:sz="0" w:space="0" w:color="auto"/>
        <w:bottom w:val="none" w:sz="0" w:space="0" w:color="auto"/>
        <w:right w:val="none" w:sz="0" w:space="0" w:color="auto"/>
      </w:divBdr>
    </w:div>
    <w:div w:id="951936025">
      <w:bodyDiv w:val="1"/>
      <w:marLeft w:val="0"/>
      <w:marRight w:val="0"/>
      <w:marTop w:val="0"/>
      <w:marBottom w:val="0"/>
      <w:divBdr>
        <w:top w:val="none" w:sz="0" w:space="0" w:color="auto"/>
        <w:left w:val="none" w:sz="0" w:space="0" w:color="auto"/>
        <w:bottom w:val="none" w:sz="0" w:space="0" w:color="auto"/>
        <w:right w:val="none" w:sz="0" w:space="0" w:color="auto"/>
      </w:divBdr>
    </w:div>
    <w:div w:id="985276182">
      <w:bodyDiv w:val="1"/>
      <w:marLeft w:val="0"/>
      <w:marRight w:val="0"/>
      <w:marTop w:val="0"/>
      <w:marBottom w:val="0"/>
      <w:divBdr>
        <w:top w:val="none" w:sz="0" w:space="0" w:color="auto"/>
        <w:left w:val="none" w:sz="0" w:space="0" w:color="auto"/>
        <w:bottom w:val="none" w:sz="0" w:space="0" w:color="auto"/>
        <w:right w:val="none" w:sz="0" w:space="0" w:color="auto"/>
      </w:divBdr>
    </w:div>
    <w:div w:id="1003513181">
      <w:bodyDiv w:val="1"/>
      <w:marLeft w:val="0"/>
      <w:marRight w:val="0"/>
      <w:marTop w:val="0"/>
      <w:marBottom w:val="0"/>
      <w:divBdr>
        <w:top w:val="none" w:sz="0" w:space="0" w:color="auto"/>
        <w:left w:val="none" w:sz="0" w:space="0" w:color="auto"/>
        <w:bottom w:val="none" w:sz="0" w:space="0" w:color="auto"/>
        <w:right w:val="none" w:sz="0" w:space="0" w:color="auto"/>
      </w:divBdr>
    </w:div>
    <w:div w:id="1026950721">
      <w:bodyDiv w:val="1"/>
      <w:marLeft w:val="0"/>
      <w:marRight w:val="0"/>
      <w:marTop w:val="0"/>
      <w:marBottom w:val="0"/>
      <w:divBdr>
        <w:top w:val="none" w:sz="0" w:space="0" w:color="auto"/>
        <w:left w:val="none" w:sz="0" w:space="0" w:color="auto"/>
        <w:bottom w:val="none" w:sz="0" w:space="0" w:color="auto"/>
        <w:right w:val="none" w:sz="0" w:space="0" w:color="auto"/>
      </w:divBdr>
    </w:div>
    <w:div w:id="1030716007">
      <w:bodyDiv w:val="1"/>
      <w:marLeft w:val="0"/>
      <w:marRight w:val="0"/>
      <w:marTop w:val="0"/>
      <w:marBottom w:val="0"/>
      <w:divBdr>
        <w:top w:val="none" w:sz="0" w:space="0" w:color="auto"/>
        <w:left w:val="none" w:sz="0" w:space="0" w:color="auto"/>
        <w:bottom w:val="none" w:sz="0" w:space="0" w:color="auto"/>
        <w:right w:val="none" w:sz="0" w:space="0" w:color="auto"/>
      </w:divBdr>
    </w:div>
    <w:div w:id="1045565782">
      <w:bodyDiv w:val="1"/>
      <w:marLeft w:val="0"/>
      <w:marRight w:val="0"/>
      <w:marTop w:val="0"/>
      <w:marBottom w:val="0"/>
      <w:divBdr>
        <w:top w:val="none" w:sz="0" w:space="0" w:color="auto"/>
        <w:left w:val="none" w:sz="0" w:space="0" w:color="auto"/>
        <w:bottom w:val="none" w:sz="0" w:space="0" w:color="auto"/>
        <w:right w:val="none" w:sz="0" w:space="0" w:color="auto"/>
      </w:divBdr>
    </w:div>
    <w:div w:id="1060641151">
      <w:bodyDiv w:val="1"/>
      <w:marLeft w:val="0"/>
      <w:marRight w:val="0"/>
      <w:marTop w:val="0"/>
      <w:marBottom w:val="0"/>
      <w:divBdr>
        <w:top w:val="none" w:sz="0" w:space="0" w:color="auto"/>
        <w:left w:val="none" w:sz="0" w:space="0" w:color="auto"/>
        <w:bottom w:val="none" w:sz="0" w:space="0" w:color="auto"/>
        <w:right w:val="none" w:sz="0" w:space="0" w:color="auto"/>
      </w:divBdr>
    </w:div>
    <w:div w:id="1067266211">
      <w:bodyDiv w:val="1"/>
      <w:marLeft w:val="0"/>
      <w:marRight w:val="0"/>
      <w:marTop w:val="0"/>
      <w:marBottom w:val="0"/>
      <w:divBdr>
        <w:top w:val="none" w:sz="0" w:space="0" w:color="auto"/>
        <w:left w:val="none" w:sz="0" w:space="0" w:color="auto"/>
        <w:bottom w:val="none" w:sz="0" w:space="0" w:color="auto"/>
        <w:right w:val="none" w:sz="0" w:space="0" w:color="auto"/>
      </w:divBdr>
    </w:div>
    <w:div w:id="1093357875">
      <w:bodyDiv w:val="1"/>
      <w:marLeft w:val="0"/>
      <w:marRight w:val="0"/>
      <w:marTop w:val="0"/>
      <w:marBottom w:val="0"/>
      <w:divBdr>
        <w:top w:val="none" w:sz="0" w:space="0" w:color="auto"/>
        <w:left w:val="none" w:sz="0" w:space="0" w:color="auto"/>
        <w:bottom w:val="none" w:sz="0" w:space="0" w:color="auto"/>
        <w:right w:val="none" w:sz="0" w:space="0" w:color="auto"/>
      </w:divBdr>
    </w:div>
    <w:div w:id="1107001134">
      <w:bodyDiv w:val="1"/>
      <w:marLeft w:val="0"/>
      <w:marRight w:val="0"/>
      <w:marTop w:val="0"/>
      <w:marBottom w:val="0"/>
      <w:divBdr>
        <w:top w:val="none" w:sz="0" w:space="0" w:color="auto"/>
        <w:left w:val="none" w:sz="0" w:space="0" w:color="auto"/>
        <w:bottom w:val="none" w:sz="0" w:space="0" w:color="auto"/>
        <w:right w:val="none" w:sz="0" w:space="0" w:color="auto"/>
      </w:divBdr>
      <w:divsChild>
        <w:div w:id="637489406">
          <w:marLeft w:val="1166"/>
          <w:marRight w:val="0"/>
          <w:marTop w:val="96"/>
          <w:marBottom w:val="0"/>
          <w:divBdr>
            <w:top w:val="none" w:sz="0" w:space="0" w:color="auto"/>
            <w:left w:val="none" w:sz="0" w:space="0" w:color="auto"/>
            <w:bottom w:val="none" w:sz="0" w:space="0" w:color="auto"/>
            <w:right w:val="none" w:sz="0" w:space="0" w:color="auto"/>
          </w:divBdr>
        </w:div>
      </w:divsChild>
    </w:div>
    <w:div w:id="1108282406">
      <w:bodyDiv w:val="1"/>
      <w:marLeft w:val="0"/>
      <w:marRight w:val="0"/>
      <w:marTop w:val="0"/>
      <w:marBottom w:val="0"/>
      <w:divBdr>
        <w:top w:val="none" w:sz="0" w:space="0" w:color="auto"/>
        <w:left w:val="none" w:sz="0" w:space="0" w:color="auto"/>
        <w:bottom w:val="none" w:sz="0" w:space="0" w:color="auto"/>
        <w:right w:val="none" w:sz="0" w:space="0" w:color="auto"/>
      </w:divBdr>
    </w:div>
    <w:div w:id="1110659440">
      <w:bodyDiv w:val="1"/>
      <w:marLeft w:val="0"/>
      <w:marRight w:val="0"/>
      <w:marTop w:val="0"/>
      <w:marBottom w:val="0"/>
      <w:divBdr>
        <w:top w:val="none" w:sz="0" w:space="0" w:color="auto"/>
        <w:left w:val="none" w:sz="0" w:space="0" w:color="auto"/>
        <w:bottom w:val="none" w:sz="0" w:space="0" w:color="auto"/>
        <w:right w:val="none" w:sz="0" w:space="0" w:color="auto"/>
      </w:divBdr>
    </w:div>
    <w:div w:id="1120681538">
      <w:bodyDiv w:val="1"/>
      <w:marLeft w:val="0"/>
      <w:marRight w:val="0"/>
      <w:marTop w:val="0"/>
      <w:marBottom w:val="0"/>
      <w:divBdr>
        <w:top w:val="none" w:sz="0" w:space="0" w:color="auto"/>
        <w:left w:val="none" w:sz="0" w:space="0" w:color="auto"/>
        <w:bottom w:val="none" w:sz="0" w:space="0" w:color="auto"/>
        <w:right w:val="none" w:sz="0" w:space="0" w:color="auto"/>
      </w:divBdr>
    </w:div>
    <w:div w:id="1132481190">
      <w:bodyDiv w:val="1"/>
      <w:marLeft w:val="0"/>
      <w:marRight w:val="0"/>
      <w:marTop w:val="0"/>
      <w:marBottom w:val="0"/>
      <w:divBdr>
        <w:top w:val="none" w:sz="0" w:space="0" w:color="auto"/>
        <w:left w:val="none" w:sz="0" w:space="0" w:color="auto"/>
        <w:bottom w:val="none" w:sz="0" w:space="0" w:color="auto"/>
        <w:right w:val="none" w:sz="0" w:space="0" w:color="auto"/>
      </w:divBdr>
    </w:div>
    <w:div w:id="1144008595">
      <w:bodyDiv w:val="1"/>
      <w:marLeft w:val="0"/>
      <w:marRight w:val="0"/>
      <w:marTop w:val="0"/>
      <w:marBottom w:val="0"/>
      <w:divBdr>
        <w:top w:val="none" w:sz="0" w:space="0" w:color="auto"/>
        <w:left w:val="none" w:sz="0" w:space="0" w:color="auto"/>
        <w:bottom w:val="none" w:sz="0" w:space="0" w:color="auto"/>
        <w:right w:val="none" w:sz="0" w:space="0" w:color="auto"/>
      </w:divBdr>
    </w:div>
    <w:div w:id="1171945331">
      <w:bodyDiv w:val="1"/>
      <w:marLeft w:val="0"/>
      <w:marRight w:val="0"/>
      <w:marTop w:val="0"/>
      <w:marBottom w:val="0"/>
      <w:divBdr>
        <w:top w:val="none" w:sz="0" w:space="0" w:color="auto"/>
        <w:left w:val="none" w:sz="0" w:space="0" w:color="auto"/>
        <w:bottom w:val="none" w:sz="0" w:space="0" w:color="auto"/>
        <w:right w:val="none" w:sz="0" w:space="0" w:color="auto"/>
      </w:divBdr>
    </w:div>
    <w:div w:id="1203205310">
      <w:bodyDiv w:val="1"/>
      <w:marLeft w:val="0"/>
      <w:marRight w:val="0"/>
      <w:marTop w:val="0"/>
      <w:marBottom w:val="0"/>
      <w:divBdr>
        <w:top w:val="none" w:sz="0" w:space="0" w:color="auto"/>
        <w:left w:val="none" w:sz="0" w:space="0" w:color="auto"/>
        <w:bottom w:val="none" w:sz="0" w:space="0" w:color="auto"/>
        <w:right w:val="none" w:sz="0" w:space="0" w:color="auto"/>
      </w:divBdr>
      <w:divsChild>
        <w:div w:id="1104227759">
          <w:marLeft w:val="547"/>
          <w:marRight w:val="0"/>
          <w:marTop w:val="96"/>
          <w:marBottom w:val="0"/>
          <w:divBdr>
            <w:top w:val="none" w:sz="0" w:space="0" w:color="auto"/>
            <w:left w:val="none" w:sz="0" w:space="0" w:color="auto"/>
            <w:bottom w:val="none" w:sz="0" w:space="0" w:color="auto"/>
            <w:right w:val="none" w:sz="0" w:space="0" w:color="auto"/>
          </w:divBdr>
        </w:div>
        <w:div w:id="821894101">
          <w:marLeft w:val="547"/>
          <w:marRight w:val="0"/>
          <w:marTop w:val="96"/>
          <w:marBottom w:val="0"/>
          <w:divBdr>
            <w:top w:val="none" w:sz="0" w:space="0" w:color="auto"/>
            <w:left w:val="none" w:sz="0" w:space="0" w:color="auto"/>
            <w:bottom w:val="none" w:sz="0" w:space="0" w:color="auto"/>
            <w:right w:val="none" w:sz="0" w:space="0" w:color="auto"/>
          </w:divBdr>
        </w:div>
        <w:div w:id="1292980118">
          <w:marLeft w:val="1166"/>
          <w:marRight w:val="0"/>
          <w:marTop w:val="96"/>
          <w:marBottom w:val="0"/>
          <w:divBdr>
            <w:top w:val="none" w:sz="0" w:space="0" w:color="auto"/>
            <w:left w:val="none" w:sz="0" w:space="0" w:color="auto"/>
            <w:bottom w:val="none" w:sz="0" w:space="0" w:color="auto"/>
            <w:right w:val="none" w:sz="0" w:space="0" w:color="auto"/>
          </w:divBdr>
        </w:div>
        <w:div w:id="1595474872">
          <w:marLeft w:val="1166"/>
          <w:marRight w:val="0"/>
          <w:marTop w:val="96"/>
          <w:marBottom w:val="0"/>
          <w:divBdr>
            <w:top w:val="none" w:sz="0" w:space="0" w:color="auto"/>
            <w:left w:val="none" w:sz="0" w:space="0" w:color="auto"/>
            <w:bottom w:val="none" w:sz="0" w:space="0" w:color="auto"/>
            <w:right w:val="none" w:sz="0" w:space="0" w:color="auto"/>
          </w:divBdr>
        </w:div>
        <w:div w:id="821123250">
          <w:marLeft w:val="1166"/>
          <w:marRight w:val="0"/>
          <w:marTop w:val="96"/>
          <w:marBottom w:val="0"/>
          <w:divBdr>
            <w:top w:val="none" w:sz="0" w:space="0" w:color="auto"/>
            <w:left w:val="none" w:sz="0" w:space="0" w:color="auto"/>
            <w:bottom w:val="none" w:sz="0" w:space="0" w:color="auto"/>
            <w:right w:val="none" w:sz="0" w:space="0" w:color="auto"/>
          </w:divBdr>
        </w:div>
        <w:div w:id="1122456860">
          <w:marLeft w:val="547"/>
          <w:marRight w:val="0"/>
          <w:marTop w:val="96"/>
          <w:marBottom w:val="0"/>
          <w:divBdr>
            <w:top w:val="none" w:sz="0" w:space="0" w:color="auto"/>
            <w:left w:val="none" w:sz="0" w:space="0" w:color="auto"/>
            <w:bottom w:val="none" w:sz="0" w:space="0" w:color="auto"/>
            <w:right w:val="none" w:sz="0" w:space="0" w:color="auto"/>
          </w:divBdr>
        </w:div>
      </w:divsChild>
    </w:div>
    <w:div w:id="1204905332">
      <w:bodyDiv w:val="1"/>
      <w:marLeft w:val="0"/>
      <w:marRight w:val="0"/>
      <w:marTop w:val="0"/>
      <w:marBottom w:val="0"/>
      <w:divBdr>
        <w:top w:val="none" w:sz="0" w:space="0" w:color="auto"/>
        <w:left w:val="none" w:sz="0" w:space="0" w:color="auto"/>
        <w:bottom w:val="none" w:sz="0" w:space="0" w:color="auto"/>
        <w:right w:val="none" w:sz="0" w:space="0" w:color="auto"/>
      </w:divBdr>
    </w:div>
    <w:div w:id="1242831436">
      <w:bodyDiv w:val="1"/>
      <w:marLeft w:val="0"/>
      <w:marRight w:val="0"/>
      <w:marTop w:val="0"/>
      <w:marBottom w:val="0"/>
      <w:divBdr>
        <w:top w:val="none" w:sz="0" w:space="0" w:color="auto"/>
        <w:left w:val="none" w:sz="0" w:space="0" w:color="auto"/>
        <w:bottom w:val="none" w:sz="0" w:space="0" w:color="auto"/>
        <w:right w:val="none" w:sz="0" w:space="0" w:color="auto"/>
      </w:divBdr>
    </w:div>
    <w:div w:id="1253317537">
      <w:bodyDiv w:val="1"/>
      <w:marLeft w:val="0"/>
      <w:marRight w:val="0"/>
      <w:marTop w:val="0"/>
      <w:marBottom w:val="0"/>
      <w:divBdr>
        <w:top w:val="none" w:sz="0" w:space="0" w:color="auto"/>
        <w:left w:val="none" w:sz="0" w:space="0" w:color="auto"/>
        <w:bottom w:val="none" w:sz="0" w:space="0" w:color="auto"/>
        <w:right w:val="none" w:sz="0" w:space="0" w:color="auto"/>
      </w:divBdr>
    </w:div>
    <w:div w:id="1259485444">
      <w:bodyDiv w:val="1"/>
      <w:marLeft w:val="0"/>
      <w:marRight w:val="0"/>
      <w:marTop w:val="0"/>
      <w:marBottom w:val="0"/>
      <w:divBdr>
        <w:top w:val="none" w:sz="0" w:space="0" w:color="auto"/>
        <w:left w:val="none" w:sz="0" w:space="0" w:color="auto"/>
        <w:bottom w:val="none" w:sz="0" w:space="0" w:color="auto"/>
        <w:right w:val="none" w:sz="0" w:space="0" w:color="auto"/>
      </w:divBdr>
    </w:div>
    <w:div w:id="1273440307">
      <w:bodyDiv w:val="1"/>
      <w:marLeft w:val="0"/>
      <w:marRight w:val="0"/>
      <w:marTop w:val="0"/>
      <w:marBottom w:val="0"/>
      <w:divBdr>
        <w:top w:val="none" w:sz="0" w:space="0" w:color="auto"/>
        <w:left w:val="none" w:sz="0" w:space="0" w:color="auto"/>
        <w:bottom w:val="none" w:sz="0" w:space="0" w:color="auto"/>
        <w:right w:val="none" w:sz="0" w:space="0" w:color="auto"/>
      </w:divBdr>
      <w:divsChild>
        <w:div w:id="750664327">
          <w:marLeft w:val="1166"/>
          <w:marRight w:val="0"/>
          <w:marTop w:val="96"/>
          <w:marBottom w:val="0"/>
          <w:divBdr>
            <w:top w:val="none" w:sz="0" w:space="0" w:color="auto"/>
            <w:left w:val="none" w:sz="0" w:space="0" w:color="auto"/>
            <w:bottom w:val="none" w:sz="0" w:space="0" w:color="auto"/>
            <w:right w:val="none" w:sz="0" w:space="0" w:color="auto"/>
          </w:divBdr>
        </w:div>
        <w:div w:id="1956785775">
          <w:marLeft w:val="1800"/>
          <w:marRight w:val="0"/>
          <w:marTop w:val="86"/>
          <w:marBottom w:val="0"/>
          <w:divBdr>
            <w:top w:val="none" w:sz="0" w:space="0" w:color="auto"/>
            <w:left w:val="none" w:sz="0" w:space="0" w:color="auto"/>
            <w:bottom w:val="none" w:sz="0" w:space="0" w:color="auto"/>
            <w:right w:val="none" w:sz="0" w:space="0" w:color="auto"/>
          </w:divBdr>
        </w:div>
        <w:div w:id="1674604023">
          <w:marLeft w:val="1800"/>
          <w:marRight w:val="0"/>
          <w:marTop w:val="86"/>
          <w:marBottom w:val="0"/>
          <w:divBdr>
            <w:top w:val="none" w:sz="0" w:space="0" w:color="auto"/>
            <w:left w:val="none" w:sz="0" w:space="0" w:color="auto"/>
            <w:bottom w:val="none" w:sz="0" w:space="0" w:color="auto"/>
            <w:right w:val="none" w:sz="0" w:space="0" w:color="auto"/>
          </w:divBdr>
        </w:div>
        <w:div w:id="1807428551">
          <w:marLeft w:val="1166"/>
          <w:marRight w:val="0"/>
          <w:marTop w:val="96"/>
          <w:marBottom w:val="0"/>
          <w:divBdr>
            <w:top w:val="none" w:sz="0" w:space="0" w:color="auto"/>
            <w:left w:val="none" w:sz="0" w:space="0" w:color="auto"/>
            <w:bottom w:val="none" w:sz="0" w:space="0" w:color="auto"/>
            <w:right w:val="none" w:sz="0" w:space="0" w:color="auto"/>
          </w:divBdr>
        </w:div>
        <w:div w:id="2061399407">
          <w:marLeft w:val="1800"/>
          <w:marRight w:val="0"/>
          <w:marTop w:val="86"/>
          <w:marBottom w:val="0"/>
          <w:divBdr>
            <w:top w:val="none" w:sz="0" w:space="0" w:color="auto"/>
            <w:left w:val="none" w:sz="0" w:space="0" w:color="auto"/>
            <w:bottom w:val="none" w:sz="0" w:space="0" w:color="auto"/>
            <w:right w:val="none" w:sz="0" w:space="0" w:color="auto"/>
          </w:divBdr>
        </w:div>
        <w:div w:id="1476606211">
          <w:marLeft w:val="1800"/>
          <w:marRight w:val="0"/>
          <w:marTop w:val="86"/>
          <w:marBottom w:val="0"/>
          <w:divBdr>
            <w:top w:val="none" w:sz="0" w:space="0" w:color="auto"/>
            <w:left w:val="none" w:sz="0" w:space="0" w:color="auto"/>
            <w:bottom w:val="none" w:sz="0" w:space="0" w:color="auto"/>
            <w:right w:val="none" w:sz="0" w:space="0" w:color="auto"/>
          </w:divBdr>
        </w:div>
        <w:div w:id="1201818261">
          <w:marLeft w:val="1800"/>
          <w:marRight w:val="0"/>
          <w:marTop w:val="86"/>
          <w:marBottom w:val="0"/>
          <w:divBdr>
            <w:top w:val="none" w:sz="0" w:space="0" w:color="auto"/>
            <w:left w:val="none" w:sz="0" w:space="0" w:color="auto"/>
            <w:bottom w:val="none" w:sz="0" w:space="0" w:color="auto"/>
            <w:right w:val="none" w:sz="0" w:space="0" w:color="auto"/>
          </w:divBdr>
        </w:div>
        <w:div w:id="1367025198">
          <w:marLeft w:val="1800"/>
          <w:marRight w:val="0"/>
          <w:marTop w:val="86"/>
          <w:marBottom w:val="0"/>
          <w:divBdr>
            <w:top w:val="none" w:sz="0" w:space="0" w:color="auto"/>
            <w:left w:val="none" w:sz="0" w:space="0" w:color="auto"/>
            <w:bottom w:val="none" w:sz="0" w:space="0" w:color="auto"/>
            <w:right w:val="none" w:sz="0" w:space="0" w:color="auto"/>
          </w:divBdr>
        </w:div>
      </w:divsChild>
    </w:div>
    <w:div w:id="1278102290">
      <w:bodyDiv w:val="1"/>
      <w:marLeft w:val="0"/>
      <w:marRight w:val="0"/>
      <w:marTop w:val="0"/>
      <w:marBottom w:val="0"/>
      <w:divBdr>
        <w:top w:val="none" w:sz="0" w:space="0" w:color="auto"/>
        <w:left w:val="none" w:sz="0" w:space="0" w:color="auto"/>
        <w:bottom w:val="none" w:sz="0" w:space="0" w:color="auto"/>
        <w:right w:val="none" w:sz="0" w:space="0" w:color="auto"/>
      </w:divBdr>
    </w:div>
    <w:div w:id="1331835720">
      <w:bodyDiv w:val="1"/>
      <w:marLeft w:val="0"/>
      <w:marRight w:val="0"/>
      <w:marTop w:val="0"/>
      <w:marBottom w:val="0"/>
      <w:divBdr>
        <w:top w:val="none" w:sz="0" w:space="0" w:color="auto"/>
        <w:left w:val="none" w:sz="0" w:space="0" w:color="auto"/>
        <w:bottom w:val="none" w:sz="0" w:space="0" w:color="auto"/>
        <w:right w:val="none" w:sz="0" w:space="0" w:color="auto"/>
      </w:divBdr>
    </w:div>
    <w:div w:id="1358234935">
      <w:bodyDiv w:val="1"/>
      <w:marLeft w:val="0"/>
      <w:marRight w:val="0"/>
      <w:marTop w:val="0"/>
      <w:marBottom w:val="0"/>
      <w:divBdr>
        <w:top w:val="none" w:sz="0" w:space="0" w:color="auto"/>
        <w:left w:val="none" w:sz="0" w:space="0" w:color="auto"/>
        <w:bottom w:val="none" w:sz="0" w:space="0" w:color="auto"/>
        <w:right w:val="none" w:sz="0" w:space="0" w:color="auto"/>
      </w:divBdr>
    </w:div>
    <w:div w:id="1371146205">
      <w:bodyDiv w:val="1"/>
      <w:marLeft w:val="0"/>
      <w:marRight w:val="0"/>
      <w:marTop w:val="0"/>
      <w:marBottom w:val="0"/>
      <w:divBdr>
        <w:top w:val="none" w:sz="0" w:space="0" w:color="auto"/>
        <w:left w:val="none" w:sz="0" w:space="0" w:color="auto"/>
        <w:bottom w:val="none" w:sz="0" w:space="0" w:color="auto"/>
        <w:right w:val="none" w:sz="0" w:space="0" w:color="auto"/>
      </w:divBdr>
    </w:div>
    <w:div w:id="1382823264">
      <w:bodyDiv w:val="1"/>
      <w:marLeft w:val="0"/>
      <w:marRight w:val="0"/>
      <w:marTop w:val="0"/>
      <w:marBottom w:val="0"/>
      <w:divBdr>
        <w:top w:val="none" w:sz="0" w:space="0" w:color="auto"/>
        <w:left w:val="none" w:sz="0" w:space="0" w:color="auto"/>
        <w:bottom w:val="none" w:sz="0" w:space="0" w:color="auto"/>
        <w:right w:val="none" w:sz="0" w:space="0" w:color="auto"/>
      </w:divBdr>
    </w:div>
    <w:div w:id="1391726358">
      <w:bodyDiv w:val="1"/>
      <w:marLeft w:val="0"/>
      <w:marRight w:val="0"/>
      <w:marTop w:val="0"/>
      <w:marBottom w:val="0"/>
      <w:divBdr>
        <w:top w:val="none" w:sz="0" w:space="0" w:color="auto"/>
        <w:left w:val="none" w:sz="0" w:space="0" w:color="auto"/>
        <w:bottom w:val="none" w:sz="0" w:space="0" w:color="auto"/>
        <w:right w:val="none" w:sz="0" w:space="0" w:color="auto"/>
      </w:divBdr>
    </w:div>
    <w:div w:id="1402605338">
      <w:bodyDiv w:val="1"/>
      <w:marLeft w:val="0"/>
      <w:marRight w:val="0"/>
      <w:marTop w:val="0"/>
      <w:marBottom w:val="0"/>
      <w:divBdr>
        <w:top w:val="none" w:sz="0" w:space="0" w:color="auto"/>
        <w:left w:val="none" w:sz="0" w:space="0" w:color="auto"/>
        <w:bottom w:val="none" w:sz="0" w:space="0" w:color="auto"/>
        <w:right w:val="none" w:sz="0" w:space="0" w:color="auto"/>
      </w:divBdr>
    </w:div>
    <w:div w:id="1407145605">
      <w:bodyDiv w:val="1"/>
      <w:marLeft w:val="0"/>
      <w:marRight w:val="0"/>
      <w:marTop w:val="0"/>
      <w:marBottom w:val="0"/>
      <w:divBdr>
        <w:top w:val="none" w:sz="0" w:space="0" w:color="auto"/>
        <w:left w:val="none" w:sz="0" w:space="0" w:color="auto"/>
        <w:bottom w:val="none" w:sz="0" w:space="0" w:color="auto"/>
        <w:right w:val="none" w:sz="0" w:space="0" w:color="auto"/>
      </w:divBdr>
    </w:div>
    <w:div w:id="1409502195">
      <w:bodyDiv w:val="1"/>
      <w:marLeft w:val="0"/>
      <w:marRight w:val="0"/>
      <w:marTop w:val="0"/>
      <w:marBottom w:val="0"/>
      <w:divBdr>
        <w:top w:val="none" w:sz="0" w:space="0" w:color="auto"/>
        <w:left w:val="none" w:sz="0" w:space="0" w:color="auto"/>
        <w:bottom w:val="none" w:sz="0" w:space="0" w:color="auto"/>
        <w:right w:val="none" w:sz="0" w:space="0" w:color="auto"/>
      </w:divBdr>
    </w:div>
    <w:div w:id="1414089121">
      <w:bodyDiv w:val="1"/>
      <w:marLeft w:val="0"/>
      <w:marRight w:val="0"/>
      <w:marTop w:val="0"/>
      <w:marBottom w:val="0"/>
      <w:divBdr>
        <w:top w:val="none" w:sz="0" w:space="0" w:color="auto"/>
        <w:left w:val="none" w:sz="0" w:space="0" w:color="auto"/>
        <w:bottom w:val="none" w:sz="0" w:space="0" w:color="auto"/>
        <w:right w:val="none" w:sz="0" w:space="0" w:color="auto"/>
      </w:divBdr>
    </w:div>
    <w:div w:id="1422801960">
      <w:bodyDiv w:val="1"/>
      <w:marLeft w:val="0"/>
      <w:marRight w:val="0"/>
      <w:marTop w:val="0"/>
      <w:marBottom w:val="0"/>
      <w:divBdr>
        <w:top w:val="none" w:sz="0" w:space="0" w:color="auto"/>
        <w:left w:val="none" w:sz="0" w:space="0" w:color="auto"/>
        <w:bottom w:val="none" w:sz="0" w:space="0" w:color="auto"/>
        <w:right w:val="none" w:sz="0" w:space="0" w:color="auto"/>
      </w:divBdr>
    </w:div>
    <w:div w:id="1425833152">
      <w:bodyDiv w:val="1"/>
      <w:marLeft w:val="0"/>
      <w:marRight w:val="0"/>
      <w:marTop w:val="0"/>
      <w:marBottom w:val="0"/>
      <w:divBdr>
        <w:top w:val="none" w:sz="0" w:space="0" w:color="auto"/>
        <w:left w:val="none" w:sz="0" w:space="0" w:color="auto"/>
        <w:bottom w:val="none" w:sz="0" w:space="0" w:color="auto"/>
        <w:right w:val="none" w:sz="0" w:space="0" w:color="auto"/>
      </w:divBdr>
    </w:div>
    <w:div w:id="1436293861">
      <w:bodyDiv w:val="1"/>
      <w:marLeft w:val="0"/>
      <w:marRight w:val="0"/>
      <w:marTop w:val="0"/>
      <w:marBottom w:val="0"/>
      <w:divBdr>
        <w:top w:val="none" w:sz="0" w:space="0" w:color="auto"/>
        <w:left w:val="none" w:sz="0" w:space="0" w:color="auto"/>
        <w:bottom w:val="none" w:sz="0" w:space="0" w:color="auto"/>
        <w:right w:val="none" w:sz="0" w:space="0" w:color="auto"/>
      </w:divBdr>
    </w:div>
    <w:div w:id="1459907973">
      <w:bodyDiv w:val="1"/>
      <w:marLeft w:val="0"/>
      <w:marRight w:val="0"/>
      <w:marTop w:val="0"/>
      <w:marBottom w:val="0"/>
      <w:divBdr>
        <w:top w:val="none" w:sz="0" w:space="0" w:color="auto"/>
        <w:left w:val="none" w:sz="0" w:space="0" w:color="auto"/>
        <w:bottom w:val="none" w:sz="0" w:space="0" w:color="auto"/>
        <w:right w:val="none" w:sz="0" w:space="0" w:color="auto"/>
      </w:divBdr>
    </w:div>
    <w:div w:id="1499350311">
      <w:bodyDiv w:val="1"/>
      <w:marLeft w:val="0"/>
      <w:marRight w:val="0"/>
      <w:marTop w:val="0"/>
      <w:marBottom w:val="0"/>
      <w:divBdr>
        <w:top w:val="none" w:sz="0" w:space="0" w:color="auto"/>
        <w:left w:val="none" w:sz="0" w:space="0" w:color="auto"/>
        <w:bottom w:val="none" w:sz="0" w:space="0" w:color="auto"/>
        <w:right w:val="none" w:sz="0" w:space="0" w:color="auto"/>
      </w:divBdr>
    </w:div>
    <w:div w:id="1513833351">
      <w:bodyDiv w:val="1"/>
      <w:marLeft w:val="0"/>
      <w:marRight w:val="0"/>
      <w:marTop w:val="0"/>
      <w:marBottom w:val="0"/>
      <w:divBdr>
        <w:top w:val="none" w:sz="0" w:space="0" w:color="auto"/>
        <w:left w:val="none" w:sz="0" w:space="0" w:color="auto"/>
        <w:bottom w:val="none" w:sz="0" w:space="0" w:color="auto"/>
        <w:right w:val="none" w:sz="0" w:space="0" w:color="auto"/>
      </w:divBdr>
    </w:div>
    <w:div w:id="1521428392">
      <w:bodyDiv w:val="1"/>
      <w:marLeft w:val="0"/>
      <w:marRight w:val="0"/>
      <w:marTop w:val="0"/>
      <w:marBottom w:val="0"/>
      <w:divBdr>
        <w:top w:val="none" w:sz="0" w:space="0" w:color="auto"/>
        <w:left w:val="none" w:sz="0" w:space="0" w:color="auto"/>
        <w:bottom w:val="none" w:sz="0" w:space="0" w:color="auto"/>
        <w:right w:val="none" w:sz="0" w:space="0" w:color="auto"/>
      </w:divBdr>
    </w:div>
    <w:div w:id="1534340777">
      <w:bodyDiv w:val="1"/>
      <w:marLeft w:val="0"/>
      <w:marRight w:val="0"/>
      <w:marTop w:val="0"/>
      <w:marBottom w:val="0"/>
      <w:divBdr>
        <w:top w:val="none" w:sz="0" w:space="0" w:color="auto"/>
        <w:left w:val="none" w:sz="0" w:space="0" w:color="auto"/>
        <w:bottom w:val="none" w:sz="0" w:space="0" w:color="auto"/>
        <w:right w:val="none" w:sz="0" w:space="0" w:color="auto"/>
      </w:divBdr>
    </w:div>
    <w:div w:id="1541822829">
      <w:bodyDiv w:val="1"/>
      <w:marLeft w:val="0"/>
      <w:marRight w:val="0"/>
      <w:marTop w:val="0"/>
      <w:marBottom w:val="0"/>
      <w:divBdr>
        <w:top w:val="none" w:sz="0" w:space="0" w:color="auto"/>
        <w:left w:val="none" w:sz="0" w:space="0" w:color="auto"/>
        <w:bottom w:val="none" w:sz="0" w:space="0" w:color="auto"/>
        <w:right w:val="none" w:sz="0" w:space="0" w:color="auto"/>
      </w:divBdr>
    </w:div>
    <w:div w:id="1543324236">
      <w:bodyDiv w:val="1"/>
      <w:marLeft w:val="0"/>
      <w:marRight w:val="0"/>
      <w:marTop w:val="0"/>
      <w:marBottom w:val="0"/>
      <w:divBdr>
        <w:top w:val="none" w:sz="0" w:space="0" w:color="auto"/>
        <w:left w:val="none" w:sz="0" w:space="0" w:color="auto"/>
        <w:bottom w:val="none" w:sz="0" w:space="0" w:color="auto"/>
        <w:right w:val="none" w:sz="0" w:space="0" w:color="auto"/>
      </w:divBdr>
    </w:div>
    <w:div w:id="1609391201">
      <w:bodyDiv w:val="1"/>
      <w:marLeft w:val="0"/>
      <w:marRight w:val="0"/>
      <w:marTop w:val="0"/>
      <w:marBottom w:val="0"/>
      <w:divBdr>
        <w:top w:val="none" w:sz="0" w:space="0" w:color="auto"/>
        <w:left w:val="none" w:sz="0" w:space="0" w:color="auto"/>
        <w:bottom w:val="none" w:sz="0" w:space="0" w:color="auto"/>
        <w:right w:val="none" w:sz="0" w:space="0" w:color="auto"/>
      </w:divBdr>
    </w:div>
    <w:div w:id="1615821115">
      <w:bodyDiv w:val="1"/>
      <w:marLeft w:val="0"/>
      <w:marRight w:val="0"/>
      <w:marTop w:val="0"/>
      <w:marBottom w:val="0"/>
      <w:divBdr>
        <w:top w:val="none" w:sz="0" w:space="0" w:color="auto"/>
        <w:left w:val="none" w:sz="0" w:space="0" w:color="auto"/>
        <w:bottom w:val="none" w:sz="0" w:space="0" w:color="auto"/>
        <w:right w:val="none" w:sz="0" w:space="0" w:color="auto"/>
      </w:divBdr>
    </w:div>
    <w:div w:id="1656950092">
      <w:bodyDiv w:val="1"/>
      <w:marLeft w:val="0"/>
      <w:marRight w:val="0"/>
      <w:marTop w:val="0"/>
      <w:marBottom w:val="0"/>
      <w:divBdr>
        <w:top w:val="none" w:sz="0" w:space="0" w:color="auto"/>
        <w:left w:val="none" w:sz="0" w:space="0" w:color="auto"/>
        <w:bottom w:val="none" w:sz="0" w:space="0" w:color="auto"/>
        <w:right w:val="none" w:sz="0" w:space="0" w:color="auto"/>
      </w:divBdr>
    </w:div>
    <w:div w:id="1659268033">
      <w:bodyDiv w:val="1"/>
      <w:marLeft w:val="0"/>
      <w:marRight w:val="0"/>
      <w:marTop w:val="0"/>
      <w:marBottom w:val="0"/>
      <w:divBdr>
        <w:top w:val="none" w:sz="0" w:space="0" w:color="auto"/>
        <w:left w:val="none" w:sz="0" w:space="0" w:color="auto"/>
        <w:bottom w:val="none" w:sz="0" w:space="0" w:color="auto"/>
        <w:right w:val="none" w:sz="0" w:space="0" w:color="auto"/>
      </w:divBdr>
    </w:div>
    <w:div w:id="1660763763">
      <w:bodyDiv w:val="1"/>
      <w:marLeft w:val="0"/>
      <w:marRight w:val="0"/>
      <w:marTop w:val="0"/>
      <w:marBottom w:val="0"/>
      <w:divBdr>
        <w:top w:val="none" w:sz="0" w:space="0" w:color="auto"/>
        <w:left w:val="none" w:sz="0" w:space="0" w:color="auto"/>
        <w:bottom w:val="none" w:sz="0" w:space="0" w:color="auto"/>
        <w:right w:val="none" w:sz="0" w:space="0" w:color="auto"/>
      </w:divBdr>
    </w:div>
    <w:div w:id="1691100672">
      <w:bodyDiv w:val="1"/>
      <w:marLeft w:val="0"/>
      <w:marRight w:val="0"/>
      <w:marTop w:val="0"/>
      <w:marBottom w:val="0"/>
      <w:divBdr>
        <w:top w:val="none" w:sz="0" w:space="0" w:color="auto"/>
        <w:left w:val="none" w:sz="0" w:space="0" w:color="auto"/>
        <w:bottom w:val="none" w:sz="0" w:space="0" w:color="auto"/>
        <w:right w:val="none" w:sz="0" w:space="0" w:color="auto"/>
      </w:divBdr>
    </w:div>
    <w:div w:id="1723820505">
      <w:bodyDiv w:val="1"/>
      <w:marLeft w:val="0"/>
      <w:marRight w:val="0"/>
      <w:marTop w:val="0"/>
      <w:marBottom w:val="0"/>
      <w:divBdr>
        <w:top w:val="none" w:sz="0" w:space="0" w:color="auto"/>
        <w:left w:val="none" w:sz="0" w:space="0" w:color="auto"/>
        <w:bottom w:val="none" w:sz="0" w:space="0" w:color="auto"/>
        <w:right w:val="none" w:sz="0" w:space="0" w:color="auto"/>
      </w:divBdr>
    </w:div>
    <w:div w:id="1730760848">
      <w:bodyDiv w:val="1"/>
      <w:marLeft w:val="0"/>
      <w:marRight w:val="0"/>
      <w:marTop w:val="0"/>
      <w:marBottom w:val="0"/>
      <w:divBdr>
        <w:top w:val="none" w:sz="0" w:space="0" w:color="auto"/>
        <w:left w:val="none" w:sz="0" w:space="0" w:color="auto"/>
        <w:bottom w:val="none" w:sz="0" w:space="0" w:color="auto"/>
        <w:right w:val="none" w:sz="0" w:space="0" w:color="auto"/>
      </w:divBdr>
    </w:div>
    <w:div w:id="1736782487">
      <w:bodyDiv w:val="1"/>
      <w:marLeft w:val="0"/>
      <w:marRight w:val="0"/>
      <w:marTop w:val="0"/>
      <w:marBottom w:val="0"/>
      <w:divBdr>
        <w:top w:val="none" w:sz="0" w:space="0" w:color="auto"/>
        <w:left w:val="none" w:sz="0" w:space="0" w:color="auto"/>
        <w:bottom w:val="none" w:sz="0" w:space="0" w:color="auto"/>
        <w:right w:val="none" w:sz="0" w:space="0" w:color="auto"/>
      </w:divBdr>
    </w:div>
    <w:div w:id="1748646559">
      <w:bodyDiv w:val="1"/>
      <w:marLeft w:val="0"/>
      <w:marRight w:val="0"/>
      <w:marTop w:val="0"/>
      <w:marBottom w:val="0"/>
      <w:divBdr>
        <w:top w:val="none" w:sz="0" w:space="0" w:color="auto"/>
        <w:left w:val="none" w:sz="0" w:space="0" w:color="auto"/>
        <w:bottom w:val="none" w:sz="0" w:space="0" w:color="auto"/>
        <w:right w:val="none" w:sz="0" w:space="0" w:color="auto"/>
      </w:divBdr>
    </w:div>
    <w:div w:id="1749762149">
      <w:bodyDiv w:val="1"/>
      <w:marLeft w:val="0"/>
      <w:marRight w:val="0"/>
      <w:marTop w:val="0"/>
      <w:marBottom w:val="0"/>
      <w:divBdr>
        <w:top w:val="none" w:sz="0" w:space="0" w:color="auto"/>
        <w:left w:val="none" w:sz="0" w:space="0" w:color="auto"/>
        <w:bottom w:val="none" w:sz="0" w:space="0" w:color="auto"/>
        <w:right w:val="none" w:sz="0" w:space="0" w:color="auto"/>
      </w:divBdr>
    </w:div>
    <w:div w:id="1789156502">
      <w:bodyDiv w:val="1"/>
      <w:marLeft w:val="0"/>
      <w:marRight w:val="0"/>
      <w:marTop w:val="0"/>
      <w:marBottom w:val="0"/>
      <w:divBdr>
        <w:top w:val="none" w:sz="0" w:space="0" w:color="auto"/>
        <w:left w:val="none" w:sz="0" w:space="0" w:color="auto"/>
        <w:bottom w:val="none" w:sz="0" w:space="0" w:color="auto"/>
        <w:right w:val="none" w:sz="0" w:space="0" w:color="auto"/>
      </w:divBdr>
    </w:div>
    <w:div w:id="1792092247">
      <w:bodyDiv w:val="1"/>
      <w:marLeft w:val="0"/>
      <w:marRight w:val="0"/>
      <w:marTop w:val="0"/>
      <w:marBottom w:val="0"/>
      <w:divBdr>
        <w:top w:val="none" w:sz="0" w:space="0" w:color="auto"/>
        <w:left w:val="none" w:sz="0" w:space="0" w:color="auto"/>
        <w:bottom w:val="none" w:sz="0" w:space="0" w:color="auto"/>
        <w:right w:val="none" w:sz="0" w:space="0" w:color="auto"/>
      </w:divBdr>
    </w:div>
    <w:div w:id="1793943004">
      <w:bodyDiv w:val="1"/>
      <w:marLeft w:val="0"/>
      <w:marRight w:val="0"/>
      <w:marTop w:val="0"/>
      <w:marBottom w:val="0"/>
      <w:divBdr>
        <w:top w:val="none" w:sz="0" w:space="0" w:color="auto"/>
        <w:left w:val="none" w:sz="0" w:space="0" w:color="auto"/>
        <w:bottom w:val="none" w:sz="0" w:space="0" w:color="auto"/>
        <w:right w:val="none" w:sz="0" w:space="0" w:color="auto"/>
      </w:divBdr>
    </w:div>
    <w:div w:id="1837644478">
      <w:bodyDiv w:val="1"/>
      <w:marLeft w:val="0"/>
      <w:marRight w:val="0"/>
      <w:marTop w:val="0"/>
      <w:marBottom w:val="0"/>
      <w:divBdr>
        <w:top w:val="none" w:sz="0" w:space="0" w:color="auto"/>
        <w:left w:val="none" w:sz="0" w:space="0" w:color="auto"/>
        <w:bottom w:val="none" w:sz="0" w:space="0" w:color="auto"/>
        <w:right w:val="none" w:sz="0" w:space="0" w:color="auto"/>
      </w:divBdr>
    </w:div>
    <w:div w:id="1847473305">
      <w:bodyDiv w:val="1"/>
      <w:marLeft w:val="0"/>
      <w:marRight w:val="0"/>
      <w:marTop w:val="0"/>
      <w:marBottom w:val="0"/>
      <w:divBdr>
        <w:top w:val="none" w:sz="0" w:space="0" w:color="auto"/>
        <w:left w:val="none" w:sz="0" w:space="0" w:color="auto"/>
        <w:bottom w:val="none" w:sz="0" w:space="0" w:color="auto"/>
        <w:right w:val="none" w:sz="0" w:space="0" w:color="auto"/>
      </w:divBdr>
    </w:div>
    <w:div w:id="1865626945">
      <w:bodyDiv w:val="1"/>
      <w:marLeft w:val="0"/>
      <w:marRight w:val="0"/>
      <w:marTop w:val="0"/>
      <w:marBottom w:val="0"/>
      <w:divBdr>
        <w:top w:val="none" w:sz="0" w:space="0" w:color="auto"/>
        <w:left w:val="none" w:sz="0" w:space="0" w:color="auto"/>
        <w:bottom w:val="none" w:sz="0" w:space="0" w:color="auto"/>
        <w:right w:val="none" w:sz="0" w:space="0" w:color="auto"/>
      </w:divBdr>
    </w:div>
    <w:div w:id="1870024215">
      <w:bodyDiv w:val="1"/>
      <w:marLeft w:val="0"/>
      <w:marRight w:val="0"/>
      <w:marTop w:val="0"/>
      <w:marBottom w:val="0"/>
      <w:divBdr>
        <w:top w:val="none" w:sz="0" w:space="0" w:color="auto"/>
        <w:left w:val="none" w:sz="0" w:space="0" w:color="auto"/>
        <w:bottom w:val="none" w:sz="0" w:space="0" w:color="auto"/>
        <w:right w:val="none" w:sz="0" w:space="0" w:color="auto"/>
      </w:divBdr>
    </w:div>
    <w:div w:id="1884974153">
      <w:bodyDiv w:val="1"/>
      <w:marLeft w:val="0"/>
      <w:marRight w:val="0"/>
      <w:marTop w:val="0"/>
      <w:marBottom w:val="0"/>
      <w:divBdr>
        <w:top w:val="none" w:sz="0" w:space="0" w:color="auto"/>
        <w:left w:val="none" w:sz="0" w:space="0" w:color="auto"/>
        <w:bottom w:val="none" w:sz="0" w:space="0" w:color="auto"/>
        <w:right w:val="none" w:sz="0" w:space="0" w:color="auto"/>
      </w:divBdr>
    </w:div>
    <w:div w:id="1885631939">
      <w:bodyDiv w:val="1"/>
      <w:marLeft w:val="0"/>
      <w:marRight w:val="0"/>
      <w:marTop w:val="0"/>
      <w:marBottom w:val="0"/>
      <w:divBdr>
        <w:top w:val="none" w:sz="0" w:space="0" w:color="auto"/>
        <w:left w:val="none" w:sz="0" w:space="0" w:color="auto"/>
        <w:bottom w:val="none" w:sz="0" w:space="0" w:color="auto"/>
        <w:right w:val="none" w:sz="0" w:space="0" w:color="auto"/>
      </w:divBdr>
    </w:div>
    <w:div w:id="1918779391">
      <w:bodyDiv w:val="1"/>
      <w:marLeft w:val="0"/>
      <w:marRight w:val="0"/>
      <w:marTop w:val="0"/>
      <w:marBottom w:val="0"/>
      <w:divBdr>
        <w:top w:val="none" w:sz="0" w:space="0" w:color="auto"/>
        <w:left w:val="none" w:sz="0" w:space="0" w:color="auto"/>
        <w:bottom w:val="none" w:sz="0" w:space="0" w:color="auto"/>
        <w:right w:val="none" w:sz="0" w:space="0" w:color="auto"/>
      </w:divBdr>
    </w:div>
    <w:div w:id="1920868106">
      <w:bodyDiv w:val="1"/>
      <w:marLeft w:val="0"/>
      <w:marRight w:val="0"/>
      <w:marTop w:val="0"/>
      <w:marBottom w:val="0"/>
      <w:divBdr>
        <w:top w:val="none" w:sz="0" w:space="0" w:color="auto"/>
        <w:left w:val="none" w:sz="0" w:space="0" w:color="auto"/>
        <w:bottom w:val="none" w:sz="0" w:space="0" w:color="auto"/>
        <w:right w:val="none" w:sz="0" w:space="0" w:color="auto"/>
      </w:divBdr>
    </w:div>
    <w:div w:id="1922180166">
      <w:bodyDiv w:val="1"/>
      <w:marLeft w:val="0"/>
      <w:marRight w:val="0"/>
      <w:marTop w:val="0"/>
      <w:marBottom w:val="0"/>
      <w:divBdr>
        <w:top w:val="none" w:sz="0" w:space="0" w:color="auto"/>
        <w:left w:val="none" w:sz="0" w:space="0" w:color="auto"/>
        <w:bottom w:val="none" w:sz="0" w:space="0" w:color="auto"/>
        <w:right w:val="none" w:sz="0" w:space="0" w:color="auto"/>
      </w:divBdr>
      <w:divsChild>
        <w:div w:id="1636373367">
          <w:marLeft w:val="1166"/>
          <w:marRight w:val="0"/>
          <w:marTop w:val="96"/>
          <w:marBottom w:val="0"/>
          <w:divBdr>
            <w:top w:val="none" w:sz="0" w:space="0" w:color="auto"/>
            <w:left w:val="none" w:sz="0" w:space="0" w:color="auto"/>
            <w:bottom w:val="none" w:sz="0" w:space="0" w:color="auto"/>
            <w:right w:val="none" w:sz="0" w:space="0" w:color="auto"/>
          </w:divBdr>
        </w:div>
        <w:div w:id="1066336499">
          <w:marLeft w:val="1166"/>
          <w:marRight w:val="0"/>
          <w:marTop w:val="96"/>
          <w:marBottom w:val="0"/>
          <w:divBdr>
            <w:top w:val="none" w:sz="0" w:space="0" w:color="auto"/>
            <w:left w:val="none" w:sz="0" w:space="0" w:color="auto"/>
            <w:bottom w:val="none" w:sz="0" w:space="0" w:color="auto"/>
            <w:right w:val="none" w:sz="0" w:space="0" w:color="auto"/>
          </w:divBdr>
        </w:div>
        <w:div w:id="1924676568">
          <w:marLeft w:val="1166"/>
          <w:marRight w:val="0"/>
          <w:marTop w:val="96"/>
          <w:marBottom w:val="0"/>
          <w:divBdr>
            <w:top w:val="none" w:sz="0" w:space="0" w:color="auto"/>
            <w:left w:val="none" w:sz="0" w:space="0" w:color="auto"/>
            <w:bottom w:val="none" w:sz="0" w:space="0" w:color="auto"/>
            <w:right w:val="none" w:sz="0" w:space="0" w:color="auto"/>
          </w:divBdr>
        </w:div>
      </w:divsChild>
    </w:div>
    <w:div w:id="1960843113">
      <w:bodyDiv w:val="1"/>
      <w:marLeft w:val="0"/>
      <w:marRight w:val="0"/>
      <w:marTop w:val="0"/>
      <w:marBottom w:val="0"/>
      <w:divBdr>
        <w:top w:val="none" w:sz="0" w:space="0" w:color="auto"/>
        <w:left w:val="none" w:sz="0" w:space="0" w:color="auto"/>
        <w:bottom w:val="none" w:sz="0" w:space="0" w:color="auto"/>
        <w:right w:val="none" w:sz="0" w:space="0" w:color="auto"/>
      </w:divBdr>
    </w:div>
    <w:div w:id="1983658488">
      <w:bodyDiv w:val="1"/>
      <w:marLeft w:val="0"/>
      <w:marRight w:val="0"/>
      <w:marTop w:val="0"/>
      <w:marBottom w:val="0"/>
      <w:divBdr>
        <w:top w:val="none" w:sz="0" w:space="0" w:color="auto"/>
        <w:left w:val="none" w:sz="0" w:space="0" w:color="auto"/>
        <w:bottom w:val="none" w:sz="0" w:space="0" w:color="auto"/>
        <w:right w:val="none" w:sz="0" w:space="0" w:color="auto"/>
      </w:divBdr>
    </w:div>
    <w:div w:id="1989166804">
      <w:bodyDiv w:val="1"/>
      <w:marLeft w:val="0"/>
      <w:marRight w:val="0"/>
      <w:marTop w:val="0"/>
      <w:marBottom w:val="0"/>
      <w:divBdr>
        <w:top w:val="none" w:sz="0" w:space="0" w:color="auto"/>
        <w:left w:val="none" w:sz="0" w:space="0" w:color="auto"/>
        <w:bottom w:val="none" w:sz="0" w:space="0" w:color="auto"/>
        <w:right w:val="none" w:sz="0" w:space="0" w:color="auto"/>
      </w:divBdr>
    </w:div>
    <w:div w:id="2004771206">
      <w:bodyDiv w:val="1"/>
      <w:marLeft w:val="0"/>
      <w:marRight w:val="0"/>
      <w:marTop w:val="0"/>
      <w:marBottom w:val="0"/>
      <w:divBdr>
        <w:top w:val="none" w:sz="0" w:space="0" w:color="auto"/>
        <w:left w:val="none" w:sz="0" w:space="0" w:color="auto"/>
        <w:bottom w:val="none" w:sz="0" w:space="0" w:color="auto"/>
        <w:right w:val="none" w:sz="0" w:space="0" w:color="auto"/>
      </w:divBdr>
    </w:div>
    <w:div w:id="2048752424">
      <w:bodyDiv w:val="1"/>
      <w:marLeft w:val="0"/>
      <w:marRight w:val="0"/>
      <w:marTop w:val="0"/>
      <w:marBottom w:val="0"/>
      <w:divBdr>
        <w:top w:val="none" w:sz="0" w:space="0" w:color="auto"/>
        <w:left w:val="none" w:sz="0" w:space="0" w:color="auto"/>
        <w:bottom w:val="none" w:sz="0" w:space="0" w:color="auto"/>
        <w:right w:val="none" w:sz="0" w:space="0" w:color="auto"/>
      </w:divBdr>
    </w:div>
    <w:div w:id="2067951745">
      <w:bodyDiv w:val="1"/>
      <w:marLeft w:val="0"/>
      <w:marRight w:val="0"/>
      <w:marTop w:val="0"/>
      <w:marBottom w:val="0"/>
      <w:divBdr>
        <w:top w:val="none" w:sz="0" w:space="0" w:color="auto"/>
        <w:left w:val="none" w:sz="0" w:space="0" w:color="auto"/>
        <w:bottom w:val="none" w:sz="0" w:space="0" w:color="auto"/>
        <w:right w:val="none" w:sz="0" w:space="0" w:color="auto"/>
      </w:divBdr>
    </w:div>
    <w:div w:id="2109960594">
      <w:bodyDiv w:val="1"/>
      <w:marLeft w:val="0"/>
      <w:marRight w:val="0"/>
      <w:marTop w:val="0"/>
      <w:marBottom w:val="0"/>
      <w:divBdr>
        <w:top w:val="none" w:sz="0" w:space="0" w:color="auto"/>
        <w:left w:val="none" w:sz="0" w:space="0" w:color="auto"/>
        <w:bottom w:val="none" w:sz="0" w:space="0" w:color="auto"/>
        <w:right w:val="none" w:sz="0" w:space="0" w:color="auto"/>
      </w:divBdr>
    </w:div>
    <w:div w:id="2114354784">
      <w:bodyDiv w:val="1"/>
      <w:marLeft w:val="0"/>
      <w:marRight w:val="0"/>
      <w:marTop w:val="0"/>
      <w:marBottom w:val="0"/>
      <w:divBdr>
        <w:top w:val="none" w:sz="0" w:space="0" w:color="auto"/>
        <w:left w:val="none" w:sz="0" w:space="0" w:color="auto"/>
        <w:bottom w:val="none" w:sz="0" w:space="0" w:color="auto"/>
        <w:right w:val="none" w:sz="0" w:space="0" w:color="auto"/>
      </w:divBdr>
    </w:div>
    <w:div w:id="2131587321">
      <w:bodyDiv w:val="1"/>
      <w:marLeft w:val="0"/>
      <w:marRight w:val="0"/>
      <w:marTop w:val="0"/>
      <w:marBottom w:val="0"/>
      <w:divBdr>
        <w:top w:val="none" w:sz="0" w:space="0" w:color="auto"/>
        <w:left w:val="none" w:sz="0" w:space="0" w:color="auto"/>
        <w:bottom w:val="none" w:sz="0" w:space="0" w:color="auto"/>
        <w:right w:val="none" w:sz="0" w:space="0" w:color="auto"/>
      </w:divBdr>
    </w:div>
    <w:div w:id="21451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F932-DB6F-4C63-BD94-5A7A30AB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14031</Words>
  <Characters>79983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Bobo</dc:creator>
  <cp:lastModifiedBy>PUMZA</cp:lastModifiedBy>
  <cp:revision>2</cp:revision>
  <cp:lastPrinted>2017-05-29T12:15:00Z</cp:lastPrinted>
  <dcterms:created xsi:type="dcterms:W3CDTF">2017-05-31T11:45:00Z</dcterms:created>
  <dcterms:modified xsi:type="dcterms:W3CDTF">2017-05-31T11:45:00Z</dcterms:modified>
</cp:coreProperties>
</file>