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DE" w:rsidRPr="00A001A7" w:rsidRDefault="00212B43">
      <w:pPr>
        <w:rPr>
          <w:rFonts w:ascii="Arial" w:hAnsi="Arial" w:cs="Arial"/>
          <w:b/>
        </w:rPr>
      </w:pPr>
      <w:r>
        <w:rPr>
          <w:rFonts w:ascii="Arial" w:hAnsi="Arial" w:cs="Arial"/>
          <w:b/>
        </w:rPr>
        <w:t>STATUS UPDATE OF IRREGULAR, FRUITLESS &amp; WASTEFUL EXPENDITURE (IFWE)</w:t>
      </w:r>
    </w:p>
    <w:p w:rsidR="005E550E" w:rsidRDefault="005E550E" w:rsidP="00A001A7">
      <w:pPr>
        <w:jc w:val="both"/>
        <w:rPr>
          <w:rFonts w:ascii="Arial" w:hAnsi="Arial" w:cs="Arial"/>
        </w:rPr>
      </w:pPr>
      <w:r>
        <w:rPr>
          <w:rFonts w:ascii="Arial" w:hAnsi="Arial" w:cs="Arial"/>
        </w:rPr>
        <w:t xml:space="preserve">The SABC has detailed the following requests by the members of SCOPA for a </w:t>
      </w:r>
      <w:r w:rsidR="00A001A7">
        <w:rPr>
          <w:rFonts w:ascii="Arial" w:hAnsi="Arial" w:cs="Arial"/>
        </w:rPr>
        <w:t>meeting scheduled for the 17</w:t>
      </w:r>
      <w:r w:rsidR="00A001A7" w:rsidRPr="00A001A7">
        <w:rPr>
          <w:rFonts w:ascii="Arial" w:hAnsi="Arial" w:cs="Arial"/>
          <w:vertAlign w:val="superscript"/>
        </w:rPr>
        <w:t>th</w:t>
      </w:r>
      <w:r>
        <w:rPr>
          <w:rFonts w:ascii="Arial" w:hAnsi="Arial" w:cs="Arial"/>
        </w:rPr>
        <w:t xml:space="preserve"> May 2017:</w:t>
      </w:r>
    </w:p>
    <w:p w:rsidR="005E550E" w:rsidRDefault="005E550E" w:rsidP="005E550E">
      <w:pPr>
        <w:pStyle w:val="ListParagraph"/>
        <w:numPr>
          <w:ilvl w:val="0"/>
          <w:numId w:val="4"/>
        </w:numPr>
        <w:jc w:val="both"/>
        <w:rPr>
          <w:rFonts w:ascii="Arial" w:hAnsi="Arial" w:cs="Arial"/>
        </w:rPr>
      </w:pPr>
      <w:r>
        <w:rPr>
          <w:rFonts w:ascii="Arial" w:hAnsi="Arial" w:cs="Arial"/>
        </w:rPr>
        <w:t xml:space="preserve">Detailed information regarding contract with </w:t>
      </w:r>
      <w:proofErr w:type="spellStart"/>
      <w:r>
        <w:rPr>
          <w:rFonts w:ascii="Arial" w:hAnsi="Arial" w:cs="Arial"/>
        </w:rPr>
        <w:t>Sekela</w:t>
      </w:r>
      <w:proofErr w:type="spellEnd"/>
      <w:r>
        <w:rPr>
          <w:rFonts w:ascii="Arial" w:hAnsi="Arial" w:cs="Arial"/>
        </w:rPr>
        <w:t xml:space="preserve"> </w:t>
      </w:r>
      <w:proofErr w:type="spellStart"/>
      <w:r>
        <w:rPr>
          <w:rFonts w:ascii="Arial" w:hAnsi="Arial" w:cs="Arial"/>
        </w:rPr>
        <w:t>Xabiso</w:t>
      </w:r>
      <w:proofErr w:type="spellEnd"/>
    </w:p>
    <w:p w:rsidR="005E550E" w:rsidRPr="005E550E" w:rsidRDefault="005E550E" w:rsidP="005E550E">
      <w:pPr>
        <w:pStyle w:val="ListParagraph"/>
        <w:numPr>
          <w:ilvl w:val="0"/>
          <w:numId w:val="4"/>
        </w:numPr>
        <w:jc w:val="both"/>
        <w:rPr>
          <w:rFonts w:ascii="Arial" w:hAnsi="Arial" w:cs="Arial"/>
        </w:rPr>
      </w:pPr>
      <w:r>
        <w:rPr>
          <w:rFonts w:ascii="Arial" w:hAnsi="Arial" w:cs="Arial"/>
        </w:rPr>
        <w:t>Update report on irregular, fruitless and wasteful expenditure (IFWE)</w:t>
      </w:r>
    </w:p>
    <w:p w:rsidR="001150DE" w:rsidRPr="00A001A7" w:rsidRDefault="00A001A7" w:rsidP="00A001A7">
      <w:pPr>
        <w:jc w:val="both"/>
        <w:rPr>
          <w:rFonts w:ascii="Arial" w:hAnsi="Arial" w:cs="Arial"/>
        </w:rPr>
      </w:pPr>
      <w:r>
        <w:rPr>
          <w:rFonts w:ascii="Arial" w:hAnsi="Arial" w:cs="Arial"/>
        </w:rPr>
        <w:t xml:space="preserve"> </w:t>
      </w:r>
      <w:r w:rsidR="00212B43">
        <w:rPr>
          <w:rFonts w:ascii="Arial" w:hAnsi="Arial" w:cs="Arial"/>
        </w:rPr>
        <w:t xml:space="preserve">The intention </w:t>
      </w:r>
      <w:r w:rsidR="005E550E">
        <w:rPr>
          <w:rFonts w:ascii="Arial" w:hAnsi="Arial" w:cs="Arial"/>
        </w:rPr>
        <w:t xml:space="preserve">of this briefing document </w:t>
      </w:r>
      <w:r w:rsidR="00212B43">
        <w:rPr>
          <w:rFonts w:ascii="Arial" w:hAnsi="Arial" w:cs="Arial"/>
        </w:rPr>
        <w:t xml:space="preserve">is to provide </w:t>
      </w:r>
      <w:r w:rsidR="005E550E">
        <w:rPr>
          <w:rFonts w:ascii="Arial" w:hAnsi="Arial" w:cs="Arial"/>
        </w:rPr>
        <w:t xml:space="preserve">a detailed </w:t>
      </w:r>
      <w:r w:rsidR="00212B43">
        <w:rPr>
          <w:rFonts w:ascii="Arial" w:hAnsi="Arial" w:cs="Arial"/>
        </w:rPr>
        <w:t xml:space="preserve">background to the </w:t>
      </w:r>
      <w:r>
        <w:rPr>
          <w:rFonts w:ascii="Arial" w:hAnsi="Arial" w:cs="Arial"/>
        </w:rPr>
        <w:t>misunderstanding and the difference in expectation between the SABC and members of SCOPA, emanating from the SCOPA visit on the 28</w:t>
      </w:r>
      <w:r w:rsidRPr="00A001A7">
        <w:rPr>
          <w:rFonts w:ascii="Arial" w:hAnsi="Arial" w:cs="Arial"/>
          <w:vertAlign w:val="superscript"/>
        </w:rPr>
        <w:t>th</w:t>
      </w:r>
      <w:r>
        <w:rPr>
          <w:rFonts w:ascii="Arial" w:hAnsi="Arial" w:cs="Arial"/>
        </w:rPr>
        <w:t xml:space="preserve"> March 2017. The </w:t>
      </w:r>
      <w:r w:rsidR="00212B43">
        <w:rPr>
          <w:rFonts w:ascii="Arial" w:hAnsi="Arial" w:cs="Arial"/>
        </w:rPr>
        <w:t>reasons for the misunderstanding are detailed below</w:t>
      </w:r>
      <w:r>
        <w:rPr>
          <w:rFonts w:ascii="Arial" w:hAnsi="Arial" w:cs="Arial"/>
        </w:rPr>
        <w:t xml:space="preserve">: </w:t>
      </w:r>
      <w:r w:rsidR="001D4511" w:rsidRPr="00A001A7">
        <w:rPr>
          <w:rFonts w:ascii="Arial" w:hAnsi="Arial" w:cs="Arial"/>
        </w:rPr>
        <w:t xml:space="preserve"> </w:t>
      </w:r>
    </w:p>
    <w:p w:rsidR="001D4511" w:rsidRDefault="00A001A7" w:rsidP="00A001A7">
      <w:pPr>
        <w:pStyle w:val="ListParagraph"/>
        <w:numPr>
          <w:ilvl w:val="0"/>
          <w:numId w:val="1"/>
        </w:numPr>
        <w:ind w:left="270" w:hanging="270"/>
        <w:rPr>
          <w:rFonts w:ascii="Arial" w:hAnsi="Arial" w:cs="Arial"/>
          <w:b/>
        </w:rPr>
      </w:pPr>
      <w:r w:rsidRPr="00A001A7">
        <w:rPr>
          <w:rFonts w:ascii="Arial" w:hAnsi="Arial" w:cs="Arial"/>
          <w:b/>
        </w:rPr>
        <w:t xml:space="preserve">External auditor’s audit </w:t>
      </w:r>
      <w:r w:rsidR="001D4511" w:rsidRPr="00A001A7">
        <w:rPr>
          <w:rFonts w:ascii="Arial" w:hAnsi="Arial" w:cs="Arial"/>
          <w:b/>
        </w:rPr>
        <w:t>opinion</w:t>
      </w:r>
    </w:p>
    <w:p w:rsidR="002B4B06" w:rsidRDefault="002B4B06" w:rsidP="002B4B06">
      <w:pPr>
        <w:spacing w:after="0" w:line="240" w:lineRule="auto"/>
        <w:jc w:val="both"/>
        <w:rPr>
          <w:rFonts w:ascii="Arial" w:hAnsi="Arial" w:cs="Arial"/>
        </w:rPr>
      </w:pPr>
      <w:r w:rsidRPr="002B4B06">
        <w:rPr>
          <w:rFonts w:ascii="Arial" w:hAnsi="Arial" w:cs="Arial"/>
        </w:rPr>
        <w:t>Below is the IFWE amounts disclosed by the SABC in the annual reports</w:t>
      </w:r>
      <w:r>
        <w:rPr>
          <w:rFonts w:ascii="Arial" w:hAnsi="Arial" w:cs="Arial"/>
        </w:rPr>
        <w:t>:</w:t>
      </w:r>
    </w:p>
    <w:p w:rsidR="002B4B06" w:rsidRPr="002B4B06" w:rsidRDefault="002B4B06" w:rsidP="002B4B06">
      <w:pPr>
        <w:spacing w:after="0" w:line="240" w:lineRule="auto"/>
        <w:jc w:val="both"/>
        <w:rPr>
          <w:rFonts w:ascii="Arial" w:hAnsi="Arial" w:cs="Arial"/>
        </w:rPr>
      </w:pPr>
    </w:p>
    <w:tbl>
      <w:tblPr>
        <w:tblStyle w:val="TableGrid"/>
        <w:tblW w:w="0" w:type="auto"/>
        <w:tblInd w:w="108" w:type="dxa"/>
        <w:tblLayout w:type="fixed"/>
        <w:tblLook w:val="04A0"/>
      </w:tblPr>
      <w:tblGrid>
        <w:gridCol w:w="2250"/>
        <w:gridCol w:w="1260"/>
        <w:gridCol w:w="1260"/>
        <w:gridCol w:w="1530"/>
        <w:gridCol w:w="1620"/>
        <w:gridCol w:w="1530"/>
      </w:tblGrid>
      <w:tr w:rsidR="00C35015" w:rsidRPr="00C35015" w:rsidTr="00C35015">
        <w:tc>
          <w:tcPr>
            <w:tcW w:w="2250" w:type="dxa"/>
            <w:shd w:val="clear" w:color="auto" w:fill="92CDDC" w:themeFill="accent5" w:themeFillTint="99"/>
            <w:vAlign w:val="center"/>
          </w:tcPr>
          <w:p w:rsidR="00C35015" w:rsidRPr="00C35015" w:rsidRDefault="00C35015" w:rsidP="00C35015">
            <w:pPr>
              <w:jc w:val="center"/>
              <w:rPr>
                <w:rFonts w:ascii="Arial" w:hAnsi="Arial" w:cs="Arial"/>
                <w:b/>
                <w:sz w:val="18"/>
              </w:rPr>
            </w:pPr>
            <w:r w:rsidRPr="00C35015">
              <w:rPr>
                <w:rFonts w:ascii="Arial" w:hAnsi="Arial" w:cs="Arial"/>
                <w:b/>
                <w:sz w:val="18"/>
              </w:rPr>
              <w:t>Financial Year</w:t>
            </w:r>
          </w:p>
        </w:tc>
        <w:tc>
          <w:tcPr>
            <w:tcW w:w="1260" w:type="dxa"/>
            <w:shd w:val="clear" w:color="auto" w:fill="92CDDC" w:themeFill="accent5" w:themeFillTint="99"/>
            <w:vAlign w:val="center"/>
          </w:tcPr>
          <w:p w:rsidR="00C35015" w:rsidRDefault="00C35015" w:rsidP="00C35015">
            <w:pPr>
              <w:jc w:val="center"/>
              <w:rPr>
                <w:rFonts w:ascii="Arial" w:hAnsi="Arial" w:cs="Arial"/>
                <w:b/>
                <w:sz w:val="18"/>
              </w:rPr>
            </w:pPr>
            <w:r w:rsidRPr="00C35015">
              <w:rPr>
                <w:rFonts w:ascii="Arial" w:hAnsi="Arial" w:cs="Arial"/>
                <w:b/>
                <w:sz w:val="18"/>
              </w:rPr>
              <w:t>Irregular expenditure</w:t>
            </w:r>
          </w:p>
          <w:p w:rsidR="00A46951" w:rsidRPr="00C35015" w:rsidRDefault="00A46951" w:rsidP="00C35015">
            <w:pPr>
              <w:jc w:val="center"/>
              <w:rPr>
                <w:rFonts w:ascii="Arial" w:hAnsi="Arial" w:cs="Arial"/>
                <w:b/>
                <w:sz w:val="18"/>
              </w:rPr>
            </w:pPr>
            <w:r>
              <w:rPr>
                <w:rFonts w:ascii="Arial" w:hAnsi="Arial" w:cs="Arial"/>
                <w:b/>
                <w:sz w:val="18"/>
              </w:rPr>
              <w:t>R’000</w:t>
            </w:r>
          </w:p>
        </w:tc>
        <w:tc>
          <w:tcPr>
            <w:tcW w:w="1260" w:type="dxa"/>
            <w:shd w:val="clear" w:color="auto" w:fill="92CDDC" w:themeFill="accent5" w:themeFillTint="99"/>
            <w:vAlign w:val="center"/>
          </w:tcPr>
          <w:p w:rsidR="00C35015" w:rsidRDefault="00C35015" w:rsidP="00C35015">
            <w:pPr>
              <w:jc w:val="center"/>
              <w:rPr>
                <w:rFonts w:ascii="Arial" w:hAnsi="Arial" w:cs="Arial"/>
                <w:b/>
                <w:sz w:val="18"/>
              </w:rPr>
            </w:pPr>
            <w:r w:rsidRPr="00C35015">
              <w:rPr>
                <w:rFonts w:ascii="Arial" w:hAnsi="Arial" w:cs="Arial"/>
                <w:b/>
                <w:sz w:val="18"/>
              </w:rPr>
              <w:t>Fruitless &amp; wasteful expenditure</w:t>
            </w:r>
          </w:p>
          <w:p w:rsidR="00A46951" w:rsidRPr="00C35015" w:rsidRDefault="00A46951" w:rsidP="00C35015">
            <w:pPr>
              <w:jc w:val="center"/>
              <w:rPr>
                <w:rFonts w:ascii="Arial" w:hAnsi="Arial" w:cs="Arial"/>
                <w:b/>
                <w:sz w:val="18"/>
              </w:rPr>
            </w:pPr>
            <w:r>
              <w:rPr>
                <w:rFonts w:ascii="Arial" w:hAnsi="Arial" w:cs="Arial"/>
                <w:b/>
                <w:sz w:val="18"/>
              </w:rPr>
              <w:t>R’000</w:t>
            </w:r>
          </w:p>
        </w:tc>
        <w:tc>
          <w:tcPr>
            <w:tcW w:w="1530" w:type="dxa"/>
            <w:shd w:val="clear" w:color="auto" w:fill="92CDDC" w:themeFill="accent5" w:themeFillTint="99"/>
            <w:vAlign w:val="center"/>
          </w:tcPr>
          <w:p w:rsidR="00C35015" w:rsidRPr="00C35015" w:rsidRDefault="00C35015" w:rsidP="00C35015">
            <w:pPr>
              <w:jc w:val="center"/>
              <w:rPr>
                <w:rFonts w:ascii="Arial" w:hAnsi="Arial" w:cs="Arial"/>
                <w:b/>
                <w:sz w:val="18"/>
              </w:rPr>
            </w:pPr>
            <w:r w:rsidRPr="00C35015">
              <w:rPr>
                <w:rFonts w:ascii="Arial" w:hAnsi="Arial" w:cs="Arial"/>
                <w:b/>
                <w:sz w:val="18"/>
              </w:rPr>
              <w:t>Overstatement</w:t>
            </w:r>
          </w:p>
        </w:tc>
        <w:tc>
          <w:tcPr>
            <w:tcW w:w="1620" w:type="dxa"/>
            <w:shd w:val="clear" w:color="auto" w:fill="92CDDC" w:themeFill="accent5" w:themeFillTint="99"/>
            <w:vAlign w:val="center"/>
          </w:tcPr>
          <w:p w:rsidR="00C35015" w:rsidRPr="00C35015" w:rsidRDefault="00C35015" w:rsidP="00C35015">
            <w:pPr>
              <w:jc w:val="center"/>
              <w:rPr>
                <w:rFonts w:ascii="Arial" w:hAnsi="Arial" w:cs="Arial"/>
                <w:b/>
                <w:sz w:val="18"/>
              </w:rPr>
            </w:pPr>
            <w:r w:rsidRPr="00C35015">
              <w:rPr>
                <w:rFonts w:ascii="Arial" w:hAnsi="Arial" w:cs="Arial"/>
                <w:b/>
                <w:sz w:val="18"/>
              </w:rPr>
              <w:t>Understatement</w:t>
            </w:r>
          </w:p>
        </w:tc>
        <w:tc>
          <w:tcPr>
            <w:tcW w:w="1530" w:type="dxa"/>
            <w:shd w:val="clear" w:color="auto" w:fill="92CDDC" w:themeFill="accent5" w:themeFillTint="99"/>
            <w:vAlign w:val="center"/>
          </w:tcPr>
          <w:p w:rsidR="00C35015" w:rsidRPr="00C35015" w:rsidRDefault="00C35015" w:rsidP="00C35015">
            <w:pPr>
              <w:jc w:val="center"/>
              <w:rPr>
                <w:rFonts w:ascii="Arial" w:hAnsi="Arial" w:cs="Arial"/>
                <w:b/>
                <w:sz w:val="18"/>
              </w:rPr>
            </w:pPr>
            <w:r w:rsidRPr="00C35015">
              <w:rPr>
                <w:rFonts w:ascii="Arial" w:hAnsi="Arial" w:cs="Arial"/>
                <w:b/>
                <w:sz w:val="18"/>
              </w:rPr>
              <w:t>Poor documentation</w:t>
            </w:r>
          </w:p>
        </w:tc>
      </w:tr>
      <w:tr w:rsidR="00A46951" w:rsidRPr="00C35015" w:rsidTr="00C35015">
        <w:tc>
          <w:tcPr>
            <w:tcW w:w="2250" w:type="dxa"/>
          </w:tcPr>
          <w:p w:rsidR="00A46951" w:rsidRPr="00C35015" w:rsidRDefault="00A46951" w:rsidP="00C35015">
            <w:pPr>
              <w:jc w:val="center"/>
              <w:rPr>
                <w:rFonts w:ascii="Arial" w:hAnsi="Arial" w:cs="Arial"/>
                <w:b/>
                <w:sz w:val="18"/>
              </w:rPr>
            </w:pPr>
            <w:r w:rsidRPr="00C35015">
              <w:rPr>
                <w:rFonts w:ascii="Arial" w:hAnsi="Arial" w:cs="Arial"/>
                <w:b/>
                <w:sz w:val="18"/>
              </w:rPr>
              <w:t>15/16</w:t>
            </w:r>
          </w:p>
        </w:tc>
        <w:tc>
          <w:tcPr>
            <w:tcW w:w="1260" w:type="dxa"/>
          </w:tcPr>
          <w:p w:rsidR="00A46951" w:rsidRPr="00C35015" w:rsidRDefault="00A46951" w:rsidP="00A46951">
            <w:pPr>
              <w:jc w:val="right"/>
              <w:rPr>
                <w:rFonts w:ascii="Arial" w:hAnsi="Arial" w:cs="Arial"/>
                <w:sz w:val="18"/>
              </w:rPr>
            </w:pPr>
            <w:r>
              <w:rPr>
                <w:rFonts w:ascii="Arial" w:hAnsi="Arial" w:cs="Arial"/>
                <w:sz w:val="18"/>
              </w:rPr>
              <w:t>5 148 526</w:t>
            </w:r>
          </w:p>
        </w:tc>
        <w:tc>
          <w:tcPr>
            <w:tcW w:w="1260" w:type="dxa"/>
          </w:tcPr>
          <w:p w:rsidR="00A46951" w:rsidRPr="00C35015" w:rsidRDefault="00A46951" w:rsidP="00A46951">
            <w:pPr>
              <w:jc w:val="right"/>
              <w:rPr>
                <w:rFonts w:ascii="Arial" w:hAnsi="Arial" w:cs="Arial"/>
                <w:sz w:val="18"/>
              </w:rPr>
            </w:pPr>
            <w:r>
              <w:rPr>
                <w:rFonts w:ascii="Arial" w:hAnsi="Arial" w:cs="Arial"/>
                <w:sz w:val="18"/>
              </w:rPr>
              <w:t>92 461</w:t>
            </w:r>
          </w:p>
        </w:tc>
        <w:tc>
          <w:tcPr>
            <w:tcW w:w="1530" w:type="dxa"/>
          </w:tcPr>
          <w:p w:rsidR="00A46951" w:rsidRPr="00A46951" w:rsidRDefault="00A46951" w:rsidP="00A46951">
            <w:pPr>
              <w:jc w:val="center"/>
              <w:rPr>
                <w:rFonts w:ascii="Arial" w:hAnsi="Arial" w:cs="Arial"/>
                <w:b/>
                <w:sz w:val="18"/>
              </w:rPr>
            </w:pPr>
            <w:r w:rsidRPr="00A46951">
              <w:rPr>
                <w:rFonts w:ascii="Arial" w:hAnsi="Arial" w:cs="Arial"/>
                <w:b/>
                <w:sz w:val="18"/>
              </w:rPr>
              <w:t>X</w:t>
            </w:r>
          </w:p>
        </w:tc>
        <w:tc>
          <w:tcPr>
            <w:tcW w:w="1620" w:type="dxa"/>
          </w:tcPr>
          <w:p w:rsidR="00A46951" w:rsidRPr="00A46951" w:rsidRDefault="00A46951" w:rsidP="00613879">
            <w:pPr>
              <w:jc w:val="center"/>
              <w:rPr>
                <w:rFonts w:ascii="Arial" w:hAnsi="Arial" w:cs="Arial"/>
                <w:b/>
                <w:sz w:val="18"/>
              </w:rPr>
            </w:pPr>
            <w:r w:rsidRPr="00A46951">
              <w:rPr>
                <w:rFonts w:ascii="Arial" w:hAnsi="Arial" w:cs="Arial"/>
                <w:b/>
                <w:sz w:val="18"/>
              </w:rPr>
              <w:t>X</w:t>
            </w:r>
          </w:p>
        </w:tc>
        <w:tc>
          <w:tcPr>
            <w:tcW w:w="1530" w:type="dxa"/>
          </w:tcPr>
          <w:p w:rsidR="00A46951" w:rsidRPr="00A46951" w:rsidRDefault="00A46951" w:rsidP="00613879">
            <w:pPr>
              <w:jc w:val="center"/>
              <w:rPr>
                <w:rFonts w:ascii="Arial" w:hAnsi="Arial" w:cs="Arial"/>
                <w:b/>
                <w:sz w:val="18"/>
              </w:rPr>
            </w:pPr>
            <w:r w:rsidRPr="00A46951">
              <w:rPr>
                <w:rFonts w:ascii="Arial" w:hAnsi="Arial" w:cs="Arial"/>
                <w:b/>
                <w:sz w:val="18"/>
              </w:rPr>
              <w:t>X</w:t>
            </w:r>
          </w:p>
        </w:tc>
      </w:tr>
      <w:tr w:rsidR="007F3ABC" w:rsidRPr="00C35015" w:rsidTr="00C35015">
        <w:tc>
          <w:tcPr>
            <w:tcW w:w="2250" w:type="dxa"/>
          </w:tcPr>
          <w:p w:rsidR="007F3ABC" w:rsidRPr="00A46951" w:rsidRDefault="007F3ABC" w:rsidP="00C35015">
            <w:pPr>
              <w:jc w:val="center"/>
              <w:rPr>
                <w:rFonts w:ascii="Arial" w:hAnsi="Arial" w:cs="Arial"/>
                <w:b/>
                <w:sz w:val="18"/>
              </w:rPr>
            </w:pPr>
            <w:r w:rsidRPr="00A46951">
              <w:rPr>
                <w:rFonts w:ascii="Arial" w:hAnsi="Arial" w:cs="Arial"/>
                <w:b/>
                <w:sz w:val="18"/>
              </w:rPr>
              <w:t>14/15</w:t>
            </w:r>
          </w:p>
        </w:tc>
        <w:tc>
          <w:tcPr>
            <w:tcW w:w="1260" w:type="dxa"/>
          </w:tcPr>
          <w:p w:rsidR="007F3ABC" w:rsidRPr="00C35015" w:rsidRDefault="007F3ABC" w:rsidP="00A46951">
            <w:pPr>
              <w:jc w:val="right"/>
              <w:rPr>
                <w:rFonts w:ascii="Arial" w:hAnsi="Arial" w:cs="Arial"/>
                <w:sz w:val="18"/>
              </w:rPr>
            </w:pPr>
            <w:r>
              <w:rPr>
                <w:rFonts w:ascii="Arial" w:hAnsi="Arial" w:cs="Arial"/>
                <w:sz w:val="18"/>
              </w:rPr>
              <w:t>2 677 521</w:t>
            </w:r>
          </w:p>
        </w:tc>
        <w:tc>
          <w:tcPr>
            <w:tcW w:w="1260" w:type="dxa"/>
          </w:tcPr>
          <w:p w:rsidR="007F3ABC" w:rsidRPr="00C35015" w:rsidRDefault="007F3ABC" w:rsidP="00A46951">
            <w:pPr>
              <w:jc w:val="right"/>
              <w:rPr>
                <w:rFonts w:ascii="Arial" w:hAnsi="Arial" w:cs="Arial"/>
                <w:sz w:val="18"/>
              </w:rPr>
            </w:pPr>
            <w:r>
              <w:rPr>
                <w:rFonts w:ascii="Arial" w:hAnsi="Arial" w:cs="Arial"/>
                <w:sz w:val="18"/>
              </w:rPr>
              <w:t>60 985</w:t>
            </w:r>
          </w:p>
        </w:tc>
        <w:tc>
          <w:tcPr>
            <w:tcW w:w="1530" w:type="dxa"/>
          </w:tcPr>
          <w:p w:rsidR="007F3ABC" w:rsidRPr="00A46951" w:rsidRDefault="007F3ABC" w:rsidP="00A46951">
            <w:pPr>
              <w:jc w:val="center"/>
              <w:rPr>
                <w:rFonts w:ascii="Arial" w:hAnsi="Arial" w:cs="Arial"/>
                <w:b/>
                <w:sz w:val="18"/>
              </w:rPr>
            </w:pPr>
          </w:p>
        </w:tc>
        <w:tc>
          <w:tcPr>
            <w:tcW w:w="1620" w:type="dxa"/>
          </w:tcPr>
          <w:p w:rsidR="007F3ABC" w:rsidRPr="00A46951" w:rsidRDefault="007F3ABC" w:rsidP="00613879">
            <w:pPr>
              <w:jc w:val="center"/>
              <w:rPr>
                <w:rFonts w:ascii="Arial" w:hAnsi="Arial" w:cs="Arial"/>
                <w:b/>
                <w:sz w:val="18"/>
              </w:rPr>
            </w:pPr>
            <w:r w:rsidRPr="00A46951">
              <w:rPr>
                <w:rFonts w:ascii="Arial" w:hAnsi="Arial" w:cs="Arial"/>
                <w:b/>
                <w:sz w:val="18"/>
              </w:rPr>
              <w:t>X</w:t>
            </w:r>
          </w:p>
        </w:tc>
        <w:tc>
          <w:tcPr>
            <w:tcW w:w="1530" w:type="dxa"/>
          </w:tcPr>
          <w:p w:rsidR="007F3ABC" w:rsidRPr="00A46951" w:rsidRDefault="007F3ABC" w:rsidP="00613879">
            <w:pPr>
              <w:jc w:val="center"/>
              <w:rPr>
                <w:rFonts w:ascii="Arial" w:hAnsi="Arial" w:cs="Arial"/>
                <w:b/>
                <w:sz w:val="18"/>
              </w:rPr>
            </w:pPr>
            <w:r w:rsidRPr="00A46951">
              <w:rPr>
                <w:rFonts w:ascii="Arial" w:hAnsi="Arial" w:cs="Arial"/>
                <w:b/>
                <w:sz w:val="18"/>
              </w:rPr>
              <w:t>X</w:t>
            </w:r>
          </w:p>
        </w:tc>
      </w:tr>
      <w:tr w:rsidR="007F3ABC" w:rsidRPr="00C35015" w:rsidTr="00C35015">
        <w:tc>
          <w:tcPr>
            <w:tcW w:w="2250" w:type="dxa"/>
          </w:tcPr>
          <w:p w:rsidR="007F3ABC" w:rsidRPr="007F3ABC" w:rsidRDefault="007F3ABC" w:rsidP="00C35015">
            <w:pPr>
              <w:jc w:val="center"/>
              <w:rPr>
                <w:rFonts w:ascii="Arial" w:hAnsi="Arial" w:cs="Arial"/>
                <w:b/>
                <w:sz w:val="18"/>
              </w:rPr>
            </w:pPr>
            <w:r w:rsidRPr="007F3ABC">
              <w:rPr>
                <w:rFonts w:ascii="Arial" w:hAnsi="Arial" w:cs="Arial"/>
                <w:b/>
                <w:sz w:val="18"/>
              </w:rPr>
              <w:t>13/14</w:t>
            </w:r>
          </w:p>
        </w:tc>
        <w:tc>
          <w:tcPr>
            <w:tcW w:w="1260" w:type="dxa"/>
          </w:tcPr>
          <w:p w:rsidR="007F3ABC" w:rsidRPr="00C35015" w:rsidRDefault="007F3ABC" w:rsidP="00A46951">
            <w:pPr>
              <w:jc w:val="right"/>
              <w:rPr>
                <w:rFonts w:ascii="Arial" w:hAnsi="Arial" w:cs="Arial"/>
                <w:sz w:val="18"/>
              </w:rPr>
            </w:pPr>
            <w:r>
              <w:rPr>
                <w:rFonts w:ascii="Arial" w:hAnsi="Arial" w:cs="Arial"/>
                <w:sz w:val="18"/>
              </w:rPr>
              <w:t>3 376 809</w:t>
            </w:r>
          </w:p>
        </w:tc>
        <w:tc>
          <w:tcPr>
            <w:tcW w:w="1260" w:type="dxa"/>
          </w:tcPr>
          <w:p w:rsidR="007F3ABC" w:rsidRPr="00C35015" w:rsidRDefault="007F3ABC" w:rsidP="00A46951">
            <w:pPr>
              <w:jc w:val="right"/>
              <w:rPr>
                <w:rFonts w:ascii="Arial" w:hAnsi="Arial" w:cs="Arial"/>
                <w:sz w:val="18"/>
              </w:rPr>
            </w:pPr>
            <w:r>
              <w:rPr>
                <w:rFonts w:ascii="Arial" w:hAnsi="Arial" w:cs="Arial"/>
                <w:sz w:val="18"/>
              </w:rPr>
              <w:t>42 000</w:t>
            </w:r>
          </w:p>
        </w:tc>
        <w:tc>
          <w:tcPr>
            <w:tcW w:w="1530" w:type="dxa"/>
          </w:tcPr>
          <w:p w:rsidR="007F3ABC" w:rsidRPr="00A46951" w:rsidRDefault="007F3ABC" w:rsidP="00613879">
            <w:pPr>
              <w:jc w:val="center"/>
              <w:rPr>
                <w:rFonts w:ascii="Arial" w:hAnsi="Arial" w:cs="Arial"/>
                <w:b/>
                <w:sz w:val="18"/>
              </w:rPr>
            </w:pPr>
            <w:r w:rsidRPr="00A46951">
              <w:rPr>
                <w:rFonts w:ascii="Arial" w:hAnsi="Arial" w:cs="Arial"/>
                <w:b/>
                <w:sz w:val="18"/>
              </w:rPr>
              <w:t>X</w:t>
            </w:r>
          </w:p>
        </w:tc>
        <w:tc>
          <w:tcPr>
            <w:tcW w:w="1620" w:type="dxa"/>
          </w:tcPr>
          <w:p w:rsidR="007F3ABC" w:rsidRPr="00A46951" w:rsidRDefault="007F3ABC" w:rsidP="00613879">
            <w:pPr>
              <w:jc w:val="center"/>
              <w:rPr>
                <w:rFonts w:ascii="Arial" w:hAnsi="Arial" w:cs="Arial"/>
                <w:b/>
                <w:sz w:val="18"/>
              </w:rPr>
            </w:pPr>
            <w:r w:rsidRPr="00A46951">
              <w:rPr>
                <w:rFonts w:ascii="Arial" w:hAnsi="Arial" w:cs="Arial"/>
                <w:b/>
                <w:sz w:val="18"/>
              </w:rPr>
              <w:t>X</w:t>
            </w:r>
          </w:p>
        </w:tc>
        <w:tc>
          <w:tcPr>
            <w:tcW w:w="1530" w:type="dxa"/>
          </w:tcPr>
          <w:p w:rsidR="007F3ABC" w:rsidRPr="00A46951" w:rsidRDefault="007F3ABC" w:rsidP="00613879">
            <w:pPr>
              <w:jc w:val="center"/>
              <w:rPr>
                <w:rFonts w:ascii="Arial" w:hAnsi="Arial" w:cs="Arial"/>
                <w:b/>
                <w:sz w:val="18"/>
              </w:rPr>
            </w:pPr>
            <w:r w:rsidRPr="00A46951">
              <w:rPr>
                <w:rFonts w:ascii="Arial" w:hAnsi="Arial" w:cs="Arial"/>
                <w:b/>
                <w:sz w:val="18"/>
              </w:rPr>
              <w:t>X</w:t>
            </w:r>
          </w:p>
        </w:tc>
      </w:tr>
      <w:tr w:rsidR="007F3ABC" w:rsidRPr="00C35015" w:rsidTr="00C35015">
        <w:tc>
          <w:tcPr>
            <w:tcW w:w="2250" w:type="dxa"/>
          </w:tcPr>
          <w:p w:rsidR="007F3ABC" w:rsidRPr="007F3ABC" w:rsidRDefault="007F3ABC" w:rsidP="00C35015">
            <w:pPr>
              <w:jc w:val="center"/>
              <w:rPr>
                <w:rFonts w:ascii="Arial" w:hAnsi="Arial" w:cs="Arial"/>
                <w:b/>
                <w:sz w:val="18"/>
              </w:rPr>
            </w:pPr>
            <w:r w:rsidRPr="007F3ABC">
              <w:rPr>
                <w:rFonts w:ascii="Arial" w:hAnsi="Arial" w:cs="Arial"/>
                <w:b/>
                <w:sz w:val="18"/>
              </w:rPr>
              <w:t>12/13</w:t>
            </w:r>
          </w:p>
        </w:tc>
        <w:tc>
          <w:tcPr>
            <w:tcW w:w="1260" w:type="dxa"/>
          </w:tcPr>
          <w:p w:rsidR="007F3ABC" w:rsidRPr="00C35015" w:rsidRDefault="007F3ABC" w:rsidP="00A46951">
            <w:pPr>
              <w:jc w:val="right"/>
              <w:rPr>
                <w:rFonts w:ascii="Arial" w:hAnsi="Arial" w:cs="Arial"/>
                <w:sz w:val="18"/>
              </w:rPr>
            </w:pPr>
            <w:r>
              <w:rPr>
                <w:rFonts w:ascii="Arial" w:hAnsi="Arial" w:cs="Arial"/>
                <w:sz w:val="18"/>
              </w:rPr>
              <w:t>106 322</w:t>
            </w:r>
          </w:p>
        </w:tc>
        <w:tc>
          <w:tcPr>
            <w:tcW w:w="1260" w:type="dxa"/>
          </w:tcPr>
          <w:p w:rsidR="007F3ABC" w:rsidRPr="00C35015" w:rsidRDefault="007F3ABC" w:rsidP="00A46951">
            <w:pPr>
              <w:jc w:val="right"/>
              <w:rPr>
                <w:rFonts w:ascii="Arial" w:hAnsi="Arial" w:cs="Arial"/>
                <w:sz w:val="18"/>
              </w:rPr>
            </w:pPr>
            <w:r>
              <w:rPr>
                <w:rFonts w:ascii="Arial" w:hAnsi="Arial" w:cs="Arial"/>
                <w:sz w:val="18"/>
              </w:rPr>
              <w:t>22 116</w:t>
            </w:r>
          </w:p>
        </w:tc>
        <w:tc>
          <w:tcPr>
            <w:tcW w:w="1530" w:type="dxa"/>
          </w:tcPr>
          <w:p w:rsidR="007F3ABC" w:rsidRPr="00A46951" w:rsidRDefault="007F3ABC" w:rsidP="00A46951">
            <w:pPr>
              <w:jc w:val="center"/>
              <w:rPr>
                <w:rFonts w:ascii="Arial" w:hAnsi="Arial" w:cs="Arial"/>
                <w:b/>
                <w:sz w:val="18"/>
              </w:rPr>
            </w:pPr>
          </w:p>
        </w:tc>
        <w:tc>
          <w:tcPr>
            <w:tcW w:w="1620" w:type="dxa"/>
          </w:tcPr>
          <w:p w:rsidR="007F3ABC" w:rsidRPr="00A46951" w:rsidRDefault="007F3ABC" w:rsidP="00A46951">
            <w:pPr>
              <w:jc w:val="center"/>
              <w:rPr>
                <w:rFonts w:ascii="Arial" w:hAnsi="Arial" w:cs="Arial"/>
                <w:b/>
                <w:sz w:val="18"/>
              </w:rPr>
            </w:pPr>
          </w:p>
        </w:tc>
        <w:tc>
          <w:tcPr>
            <w:tcW w:w="1530" w:type="dxa"/>
          </w:tcPr>
          <w:p w:rsidR="007F3ABC" w:rsidRPr="00A46951" w:rsidRDefault="007F3ABC" w:rsidP="00613879">
            <w:pPr>
              <w:jc w:val="center"/>
              <w:rPr>
                <w:rFonts w:ascii="Arial" w:hAnsi="Arial" w:cs="Arial"/>
                <w:b/>
                <w:sz w:val="18"/>
              </w:rPr>
            </w:pPr>
            <w:r w:rsidRPr="00A46951">
              <w:rPr>
                <w:rFonts w:ascii="Arial" w:hAnsi="Arial" w:cs="Arial"/>
                <w:b/>
                <w:sz w:val="18"/>
              </w:rPr>
              <w:t>X</w:t>
            </w:r>
          </w:p>
        </w:tc>
      </w:tr>
      <w:tr w:rsidR="007F3ABC" w:rsidRPr="00C35015" w:rsidTr="00C35015">
        <w:tc>
          <w:tcPr>
            <w:tcW w:w="2250" w:type="dxa"/>
          </w:tcPr>
          <w:p w:rsidR="007F3ABC" w:rsidRPr="007F3ABC" w:rsidRDefault="007F3ABC" w:rsidP="00C35015">
            <w:pPr>
              <w:jc w:val="center"/>
              <w:rPr>
                <w:rFonts w:ascii="Arial" w:hAnsi="Arial" w:cs="Arial"/>
                <w:b/>
                <w:sz w:val="18"/>
              </w:rPr>
            </w:pPr>
            <w:r w:rsidRPr="007F3ABC">
              <w:rPr>
                <w:rFonts w:ascii="Arial" w:hAnsi="Arial" w:cs="Arial"/>
                <w:b/>
                <w:sz w:val="18"/>
              </w:rPr>
              <w:t>11/12</w:t>
            </w:r>
          </w:p>
        </w:tc>
        <w:tc>
          <w:tcPr>
            <w:tcW w:w="1260" w:type="dxa"/>
          </w:tcPr>
          <w:p w:rsidR="007F3ABC" w:rsidRPr="00C35015" w:rsidRDefault="007F3ABC" w:rsidP="00A46951">
            <w:pPr>
              <w:jc w:val="right"/>
              <w:rPr>
                <w:rFonts w:ascii="Arial" w:hAnsi="Arial" w:cs="Arial"/>
                <w:sz w:val="18"/>
              </w:rPr>
            </w:pPr>
            <w:r>
              <w:rPr>
                <w:rFonts w:ascii="Arial" w:hAnsi="Arial" w:cs="Arial"/>
                <w:sz w:val="18"/>
              </w:rPr>
              <w:t>136 960</w:t>
            </w:r>
          </w:p>
        </w:tc>
        <w:tc>
          <w:tcPr>
            <w:tcW w:w="1260" w:type="dxa"/>
          </w:tcPr>
          <w:p w:rsidR="007F3ABC" w:rsidRPr="00C35015" w:rsidRDefault="007F3ABC" w:rsidP="00A46951">
            <w:pPr>
              <w:jc w:val="right"/>
              <w:rPr>
                <w:rFonts w:ascii="Arial" w:hAnsi="Arial" w:cs="Arial"/>
                <w:sz w:val="18"/>
              </w:rPr>
            </w:pPr>
            <w:r>
              <w:rPr>
                <w:rFonts w:ascii="Arial" w:hAnsi="Arial" w:cs="Arial"/>
                <w:sz w:val="18"/>
              </w:rPr>
              <w:t>104 615</w:t>
            </w:r>
          </w:p>
        </w:tc>
        <w:tc>
          <w:tcPr>
            <w:tcW w:w="1530" w:type="dxa"/>
          </w:tcPr>
          <w:p w:rsidR="007F3ABC" w:rsidRPr="00A46951" w:rsidRDefault="007F3ABC" w:rsidP="00A46951">
            <w:pPr>
              <w:jc w:val="center"/>
              <w:rPr>
                <w:rFonts w:ascii="Arial" w:hAnsi="Arial" w:cs="Arial"/>
                <w:b/>
                <w:sz w:val="18"/>
              </w:rPr>
            </w:pPr>
          </w:p>
        </w:tc>
        <w:tc>
          <w:tcPr>
            <w:tcW w:w="1620" w:type="dxa"/>
          </w:tcPr>
          <w:p w:rsidR="007F3ABC" w:rsidRPr="00A46951" w:rsidRDefault="007F3ABC" w:rsidP="00A46951">
            <w:pPr>
              <w:jc w:val="center"/>
              <w:rPr>
                <w:rFonts w:ascii="Arial" w:hAnsi="Arial" w:cs="Arial"/>
                <w:b/>
                <w:sz w:val="18"/>
              </w:rPr>
            </w:pPr>
          </w:p>
        </w:tc>
        <w:tc>
          <w:tcPr>
            <w:tcW w:w="1530" w:type="dxa"/>
          </w:tcPr>
          <w:p w:rsidR="007F3ABC" w:rsidRPr="00A46951" w:rsidRDefault="007F3ABC" w:rsidP="00613879">
            <w:pPr>
              <w:jc w:val="center"/>
              <w:rPr>
                <w:rFonts w:ascii="Arial" w:hAnsi="Arial" w:cs="Arial"/>
                <w:b/>
                <w:sz w:val="18"/>
              </w:rPr>
            </w:pPr>
            <w:r w:rsidRPr="00A46951">
              <w:rPr>
                <w:rFonts w:ascii="Arial" w:hAnsi="Arial" w:cs="Arial"/>
                <w:b/>
                <w:sz w:val="18"/>
              </w:rPr>
              <w:t>X</w:t>
            </w:r>
          </w:p>
        </w:tc>
      </w:tr>
    </w:tbl>
    <w:p w:rsidR="00A001A7" w:rsidRDefault="00A001A7" w:rsidP="002B4B06">
      <w:pPr>
        <w:spacing w:after="0" w:line="240" w:lineRule="auto"/>
        <w:rPr>
          <w:rFonts w:ascii="Arial" w:hAnsi="Arial" w:cs="Arial"/>
        </w:rPr>
      </w:pPr>
    </w:p>
    <w:p w:rsidR="002B4B06" w:rsidRDefault="002B4B06" w:rsidP="002B4B06">
      <w:pPr>
        <w:spacing w:after="0" w:line="240" w:lineRule="auto"/>
        <w:jc w:val="both"/>
        <w:rPr>
          <w:rFonts w:ascii="Arial" w:hAnsi="Arial" w:cs="Arial"/>
        </w:rPr>
      </w:pPr>
      <w:r>
        <w:rPr>
          <w:rFonts w:ascii="Arial" w:hAnsi="Arial" w:cs="Arial"/>
        </w:rPr>
        <w:t xml:space="preserve">The SABC has been receiving qualified audit opinion on its disclosure of irregular, fruitless and wasteful expenditure for the past five financial years. The disclosure numbers were reported by the SABC and are cumulative. The external auditors expressed a negative audit opinion that these numbers could not be reliable and accurate.  What has been prevalent in these financial years is poor records management.   </w:t>
      </w:r>
    </w:p>
    <w:p w:rsidR="002B4B06" w:rsidRDefault="002B4B06" w:rsidP="002B4B06">
      <w:pPr>
        <w:spacing w:after="0" w:line="240" w:lineRule="auto"/>
        <w:rPr>
          <w:rFonts w:ascii="Arial" w:hAnsi="Arial" w:cs="Arial"/>
        </w:rPr>
      </w:pPr>
    </w:p>
    <w:p w:rsidR="000E7592" w:rsidRDefault="000E7592" w:rsidP="000E7592">
      <w:pPr>
        <w:spacing w:after="0" w:line="240" w:lineRule="auto"/>
        <w:jc w:val="both"/>
        <w:rPr>
          <w:rFonts w:ascii="Arial" w:hAnsi="Arial" w:cs="Arial"/>
        </w:rPr>
      </w:pPr>
      <w:r>
        <w:rPr>
          <w:rFonts w:ascii="Arial" w:hAnsi="Arial" w:cs="Arial"/>
        </w:rPr>
        <w:t xml:space="preserve">The R5.1 billion (cumulative for the past five years) was the amount detected and reported by the SABC as irregular expenditure in the 2015/16 financial year. As depicted in the table above, this amount was found to be unreliable, incomplete and inaccurate by the AGSA after they performed their audit tests. </w:t>
      </w:r>
    </w:p>
    <w:p w:rsidR="002B4B06" w:rsidRDefault="002B4B06" w:rsidP="002B4B06">
      <w:pPr>
        <w:spacing w:after="0" w:line="240" w:lineRule="auto"/>
        <w:rPr>
          <w:rFonts w:ascii="Arial" w:hAnsi="Arial" w:cs="Arial"/>
        </w:rPr>
      </w:pPr>
    </w:p>
    <w:p w:rsidR="002B4B06" w:rsidRDefault="00EF59F4" w:rsidP="00EF59F4">
      <w:pPr>
        <w:pStyle w:val="ListParagraph"/>
        <w:numPr>
          <w:ilvl w:val="0"/>
          <w:numId w:val="1"/>
        </w:numPr>
        <w:ind w:left="270" w:hanging="270"/>
        <w:rPr>
          <w:rFonts w:ascii="Arial" w:hAnsi="Arial" w:cs="Arial"/>
          <w:b/>
        </w:rPr>
      </w:pPr>
      <w:r w:rsidRPr="00EF59F4">
        <w:rPr>
          <w:rFonts w:ascii="Arial" w:hAnsi="Arial" w:cs="Arial"/>
          <w:b/>
        </w:rPr>
        <w:t>Process to resolve audit qualification</w:t>
      </w:r>
    </w:p>
    <w:p w:rsidR="00C718B8" w:rsidRDefault="00EF59F4" w:rsidP="00C718B8">
      <w:pPr>
        <w:spacing w:after="120" w:line="240" w:lineRule="auto"/>
        <w:jc w:val="both"/>
        <w:rPr>
          <w:rFonts w:ascii="Arial" w:hAnsi="Arial" w:cs="Arial"/>
        </w:rPr>
      </w:pPr>
      <w:r w:rsidRPr="00EF59F4">
        <w:rPr>
          <w:rFonts w:ascii="Arial" w:hAnsi="Arial" w:cs="Arial"/>
        </w:rPr>
        <w:t>In order to resolve the audit qualification, the process entailed revisiting all the expenditure/ payments made in the financial years when the SABC received the qualification</w:t>
      </w:r>
      <w:r>
        <w:rPr>
          <w:rFonts w:ascii="Arial" w:hAnsi="Arial" w:cs="Arial"/>
        </w:rPr>
        <w:t xml:space="preserve">. The process started in the 2012/13 </w:t>
      </w:r>
      <w:r w:rsidR="00C718B8">
        <w:rPr>
          <w:rFonts w:ascii="Arial" w:hAnsi="Arial" w:cs="Arial"/>
        </w:rPr>
        <w:t>financial</w:t>
      </w:r>
      <w:r>
        <w:rPr>
          <w:rFonts w:ascii="Arial" w:hAnsi="Arial" w:cs="Arial"/>
        </w:rPr>
        <w:t xml:space="preserve"> year where the SABC had to revisit all expenditure/ payments made in the 2011/12 </w:t>
      </w:r>
      <w:r w:rsidR="00C718B8">
        <w:rPr>
          <w:rFonts w:ascii="Arial" w:hAnsi="Arial" w:cs="Arial"/>
        </w:rPr>
        <w:t>financial</w:t>
      </w:r>
      <w:r>
        <w:rPr>
          <w:rFonts w:ascii="Arial" w:hAnsi="Arial" w:cs="Arial"/>
        </w:rPr>
        <w:t xml:space="preserve"> year. This process was performed using the internal capacity (procurement division employees). The process did not yield the anticipated outcome. Similar process was followed again in 2013/14 financial year. Again the process did not yield the anticipated outcome. Deficiencies</w:t>
      </w:r>
      <w:r w:rsidR="00C718B8">
        <w:rPr>
          <w:rFonts w:ascii="Arial" w:hAnsi="Arial" w:cs="Arial"/>
        </w:rPr>
        <w:t>/ weaknesses</w:t>
      </w:r>
      <w:r>
        <w:rPr>
          <w:rFonts w:ascii="Arial" w:hAnsi="Arial" w:cs="Arial"/>
        </w:rPr>
        <w:t xml:space="preserve"> noted using</w:t>
      </w:r>
      <w:r w:rsidR="00C718B8">
        <w:rPr>
          <w:rFonts w:ascii="Arial" w:hAnsi="Arial" w:cs="Arial"/>
        </w:rPr>
        <w:t xml:space="preserve"> this process is as follows: </w:t>
      </w:r>
    </w:p>
    <w:p w:rsidR="00C718B8" w:rsidRDefault="00C718B8" w:rsidP="00C718B8">
      <w:pPr>
        <w:pStyle w:val="ListParagraph"/>
        <w:numPr>
          <w:ilvl w:val="0"/>
          <w:numId w:val="2"/>
        </w:numPr>
        <w:spacing w:after="0" w:line="240" w:lineRule="auto"/>
        <w:jc w:val="both"/>
        <w:rPr>
          <w:rFonts w:ascii="Arial" w:hAnsi="Arial" w:cs="Arial"/>
        </w:rPr>
      </w:pPr>
      <w:r>
        <w:rPr>
          <w:rFonts w:ascii="Arial" w:hAnsi="Arial" w:cs="Arial"/>
        </w:rPr>
        <w:t>Procurement division was not capacitated to under such engagement</w:t>
      </w:r>
    </w:p>
    <w:p w:rsidR="00C718B8" w:rsidRDefault="00C718B8" w:rsidP="00C718B8">
      <w:pPr>
        <w:pStyle w:val="ListParagraph"/>
        <w:numPr>
          <w:ilvl w:val="0"/>
          <w:numId w:val="2"/>
        </w:numPr>
        <w:spacing w:after="0" w:line="240" w:lineRule="auto"/>
        <w:jc w:val="both"/>
        <w:rPr>
          <w:rFonts w:ascii="Arial" w:hAnsi="Arial" w:cs="Arial"/>
        </w:rPr>
      </w:pPr>
      <w:r>
        <w:rPr>
          <w:rFonts w:ascii="Arial" w:hAnsi="Arial" w:cs="Arial"/>
        </w:rPr>
        <w:t>Record management was previously decentralized, meaning procurement documents were located everywhere in SABC</w:t>
      </w:r>
    </w:p>
    <w:p w:rsidR="00C718B8" w:rsidRDefault="00C718B8" w:rsidP="00C718B8">
      <w:pPr>
        <w:pStyle w:val="ListParagraph"/>
        <w:numPr>
          <w:ilvl w:val="0"/>
          <w:numId w:val="2"/>
        </w:numPr>
        <w:spacing w:after="0" w:line="240" w:lineRule="auto"/>
        <w:jc w:val="both"/>
        <w:rPr>
          <w:rFonts w:ascii="Arial" w:hAnsi="Arial" w:cs="Arial"/>
        </w:rPr>
      </w:pPr>
      <w:r>
        <w:rPr>
          <w:rFonts w:ascii="Arial" w:hAnsi="Arial" w:cs="Arial"/>
        </w:rPr>
        <w:lastRenderedPageBreak/>
        <w:t>Electronic filing was not optimally utilized, meaning alternative ways of sourcing such documentation was impractical</w:t>
      </w:r>
    </w:p>
    <w:p w:rsidR="00C718B8" w:rsidRDefault="00C718B8" w:rsidP="00C718B8">
      <w:pPr>
        <w:pStyle w:val="ListParagraph"/>
        <w:numPr>
          <w:ilvl w:val="0"/>
          <w:numId w:val="2"/>
        </w:numPr>
        <w:spacing w:after="0" w:line="240" w:lineRule="auto"/>
        <w:jc w:val="both"/>
        <w:rPr>
          <w:rFonts w:ascii="Arial" w:hAnsi="Arial" w:cs="Arial"/>
        </w:rPr>
      </w:pPr>
      <w:r>
        <w:rPr>
          <w:rFonts w:ascii="Arial" w:hAnsi="Arial" w:cs="Arial"/>
        </w:rPr>
        <w:t>Procurement personnel had to both deliver on their daily operational duties whilst involved in the detecting of IFWE project</w:t>
      </w:r>
    </w:p>
    <w:p w:rsidR="00EF59F4" w:rsidRPr="00C718B8" w:rsidRDefault="00C718B8" w:rsidP="00C718B8">
      <w:pPr>
        <w:pStyle w:val="ListParagraph"/>
        <w:numPr>
          <w:ilvl w:val="0"/>
          <w:numId w:val="2"/>
        </w:numPr>
        <w:spacing w:after="0" w:line="240" w:lineRule="auto"/>
        <w:jc w:val="both"/>
        <w:rPr>
          <w:rFonts w:ascii="Arial" w:hAnsi="Arial" w:cs="Arial"/>
        </w:rPr>
      </w:pPr>
      <w:r>
        <w:rPr>
          <w:rFonts w:ascii="Arial" w:hAnsi="Arial" w:cs="Arial"/>
        </w:rPr>
        <w:t xml:space="preserve">Lack of supply chain analytical expertise to identify expenditure/ payments which meet the definition IFWE  </w:t>
      </w:r>
      <w:r w:rsidR="00EF59F4" w:rsidRPr="00C718B8">
        <w:rPr>
          <w:rFonts w:ascii="Arial" w:hAnsi="Arial" w:cs="Arial"/>
        </w:rPr>
        <w:t xml:space="preserve">   </w:t>
      </w:r>
    </w:p>
    <w:p w:rsidR="00EF59F4" w:rsidRDefault="00EF59F4" w:rsidP="002B4B06">
      <w:pPr>
        <w:spacing w:after="0" w:line="240" w:lineRule="auto"/>
        <w:rPr>
          <w:rFonts w:ascii="Arial" w:hAnsi="Arial" w:cs="Arial"/>
        </w:rPr>
      </w:pPr>
    </w:p>
    <w:p w:rsidR="00EF59F4" w:rsidRDefault="00C718B8" w:rsidP="00E05590">
      <w:pPr>
        <w:spacing w:after="0" w:line="240" w:lineRule="auto"/>
        <w:jc w:val="both"/>
        <w:rPr>
          <w:rFonts w:ascii="Arial" w:hAnsi="Arial" w:cs="Arial"/>
        </w:rPr>
      </w:pPr>
      <w:r>
        <w:rPr>
          <w:rFonts w:ascii="Arial" w:hAnsi="Arial" w:cs="Arial"/>
        </w:rPr>
        <w:t xml:space="preserve">It became </w:t>
      </w:r>
      <w:r w:rsidR="00E05590">
        <w:rPr>
          <w:rFonts w:ascii="Arial" w:hAnsi="Arial" w:cs="Arial"/>
        </w:rPr>
        <w:t xml:space="preserve">apparent that using the internal resources was not resolving the IFWE qualification by the external auditors. The SABC required experienced and reputable independent firm to undertake such project objectively and diligently. This therefore reported in the appointment of </w:t>
      </w:r>
      <w:proofErr w:type="spellStart"/>
      <w:r w:rsidR="00E05590">
        <w:rPr>
          <w:rFonts w:ascii="Arial" w:hAnsi="Arial" w:cs="Arial"/>
        </w:rPr>
        <w:t>Sekela</w:t>
      </w:r>
      <w:proofErr w:type="spellEnd"/>
      <w:r w:rsidR="00E05590">
        <w:rPr>
          <w:rFonts w:ascii="Arial" w:hAnsi="Arial" w:cs="Arial"/>
        </w:rPr>
        <w:t xml:space="preserve"> </w:t>
      </w:r>
      <w:proofErr w:type="spellStart"/>
      <w:r w:rsidR="00E05590">
        <w:rPr>
          <w:rFonts w:ascii="Arial" w:hAnsi="Arial" w:cs="Arial"/>
        </w:rPr>
        <w:t>Xabiso</w:t>
      </w:r>
      <w:proofErr w:type="spellEnd"/>
      <w:r w:rsidR="00E05590">
        <w:rPr>
          <w:rFonts w:ascii="Arial" w:hAnsi="Arial" w:cs="Arial"/>
        </w:rPr>
        <w:t xml:space="preserve"> (</w:t>
      </w:r>
      <w:proofErr w:type="spellStart"/>
      <w:r w:rsidR="00E05590">
        <w:rPr>
          <w:rFonts w:ascii="Arial" w:hAnsi="Arial" w:cs="Arial"/>
        </w:rPr>
        <w:t>SkX</w:t>
      </w:r>
      <w:proofErr w:type="spellEnd"/>
      <w:r w:rsidR="00E05590">
        <w:rPr>
          <w:rFonts w:ascii="Arial" w:hAnsi="Arial" w:cs="Arial"/>
        </w:rPr>
        <w:t xml:space="preserve">) in the </w:t>
      </w:r>
      <w:r w:rsidR="00E05590" w:rsidRPr="00F41D8E">
        <w:rPr>
          <w:rFonts w:ascii="Arial" w:hAnsi="Arial" w:cs="Arial"/>
        </w:rPr>
        <w:t>2014/15 financial year.</w:t>
      </w:r>
      <w:r w:rsidR="00E05590">
        <w:rPr>
          <w:rFonts w:ascii="Arial" w:hAnsi="Arial" w:cs="Arial"/>
        </w:rPr>
        <w:t xml:space="preserve">  </w:t>
      </w:r>
    </w:p>
    <w:p w:rsidR="00C718B8" w:rsidRDefault="00C718B8" w:rsidP="002B4B06">
      <w:pPr>
        <w:spacing w:after="0" w:line="240" w:lineRule="auto"/>
        <w:rPr>
          <w:rFonts w:ascii="Arial" w:hAnsi="Arial" w:cs="Arial"/>
        </w:rPr>
      </w:pPr>
    </w:p>
    <w:p w:rsidR="00C718B8" w:rsidRDefault="00E05590" w:rsidP="00E05590">
      <w:pPr>
        <w:pStyle w:val="ListParagraph"/>
        <w:numPr>
          <w:ilvl w:val="0"/>
          <w:numId w:val="1"/>
        </w:numPr>
        <w:ind w:left="270" w:hanging="270"/>
        <w:rPr>
          <w:rFonts w:ascii="Arial" w:hAnsi="Arial" w:cs="Arial"/>
          <w:b/>
        </w:rPr>
      </w:pPr>
      <w:r w:rsidRPr="00E05590">
        <w:rPr>
          <w:rFonts w:ascii="Arial" w:hAnsi="Arial" w:cs="Arial"/>
          <w:b/>
        </w:rPr>
        <w:t>Scope of the independent firm</w:t>
      </w:r>
    </w:p>
    <w:p w:rsidR="00287BC6" w:rsidRPr="00E05590" w:rsidRDefault="00287BC6" w:rsidP="00287BC6">
      <w:pPr>
        <w:pStyle w:val="ListParagraph"/>
        <w:ind w:left="270"/>
        <w:rPr>
          <w:rFonts w:ascii="Arial" w:hAnsi="Arial" w:cs="Arial"/>
          <w:b/>
        </w:rPr>
      </w:pPr>
    </w:p>
    <w:p w:rsidR="00C718B8" w:rsidRDefault="00287BC6" w:rsidP="00287BC6">
      <w:pPr>
        <w:pStyle w:val="ListParagraph"/>
        <w:numPr>
          <w:ilvl w:val="0"/>
          <w:numId w:val="2"/>
        </w:numPr>
        <w:spacing w:after="0" w:line="240" w:lineRule="auto"/>
        <w:rPr>
          <w:rFonts w:ascii="Arial" w:hAnsi="Arial" w:cs="Arial"/>
        </w:rPr>
      </w:pPr>
      <w:r>
        <w:rPr>
          <w:rFonts w:ascii="Arial" w:hAnsi="Arial" w:cs="Arial"/>
        </w:rPr>
        <w:t>Phase 1</w:t>
      </w:r>
    </w:p>
    <w:p w:rsidR="00287BC6" w:rsidRDefault="00287BC6" w:rsidP="002B4B06">
      <w:pPr>
        <w:spacing w:after="0" w:line="240" w:lineRule="auto"/>
        <w:rPr>
          <w:rFonts w:ascii="Arial" w:hAnsi="Arial" w:cs="Arial"/>
        </w:rPr>
      </w:pPr>
    </w:p>
    <w:p w:rsidR="00AC4F4A" w:rsidRDefault="00AC4F4A" w:rsidP="002B4B06">
      <w:pPr>
        <w:spacing w:after="0" w:line="240" w:lineRule="auto"/>
        <w:rPr>
          <w:rFonts w:ascii="Arial" w:hAnsi="Arial" w:cs="Arial"/>
        </w:rPr>
      </w:pPr>
      <w:r>
        <w:rPr>
          <w:rFonts w:ascii="Arial" w:hAnsi="Arial" w:cs="Arial"/>
        </w:rPr>
        <w:t xml:space="preserve">Appointment date: 7 April </w:t>
      </w:r>
      <w:r w:rsidRPr="00AC4F4A">
        <w:rPr>
          <w:rFonts w:ascii="Arial" w:hAnsi="Arial" w:cs="Arial"/>
        </w:rPr>
        <w:t>2015 to 31 July 2015</w:t>
      </w:r>
    </w:p>
    <w:p w:rsidR="00287BC6" w:rsidRDefault="00AC4F4A" w:rsidP="002B4B06">
      <w:pPr>
        <w:spacing w:after="0" w:line="240" w:lineRule="auto"/>
        <w:rPr>
          <w:rFonts w:ascii="Arial" w:hAnsi="Arial" w:cs="Arial"/>
        </w:rPr>
      </w:pPr>
      <w:r>
        <w:rPr>
          <w:rFonts w:ascii="Arial" w:hAnsi="Arial" w:cs="Arial"/>
        </w:rPr>
        <w:t xml:space="preserve">Contract value: </w:t>
      </w:r>
      <w:r w:rsidR="00AD3159">
        <w:rPr>
          <w:rFonts w:ascii="Arial" w:hAnsi="Arial" w:cs="Arial"/>
        </w:rPr>
        <w:t>R4 797 596</w:t>
      </w:r>
    </w:p>
    <w:p w:rsidR="00AC4F4A" w:rsidRDefault="00AC4F4A" w:rsidP="00AC4F4A">
      <w:pPr>
        <w:spacing w:after="0" w:line="240" w:lineRule="auto"/>
        <w:rPr>
          <w:rFonts w:ascii="Arial" w:hAnsi="Arial" w:cs="Arial"/>
        </w:rPr>
      </w:pPr>
      <w:r>
        <w:rPr>
          <w:rFonts w:ascii="Arial" w:hAnsi="Arial" w:cs="Arial"/>
        </w:rPr>
        <w:t>Scope of services (summary):</w:t>
      </w:r>
    </w:p>
    <w:p w:rsidR="00AC4F4A" w:rsidRDefault="00AC4F4A" w:rsidP="00AC4F4A">
      <w:pPr>
        <w:pStyle w:val="ListParagraph"/>
        <w:numPr>
          <w:ilvl w:val="0"/>
          <w:numId w:val="3"/>
        </w:numPr>
        <w:spacing w:after="0" w:line="240" w:lineRule="auto"/>
        <w:rPr>
          <w:rFonts w:ascii="Arial" w:hAnsi="Arial" w:cs="Arial"/>
        </w:rPr>
      </w:pPr>
      <w:r>
        <w:rPr>
          <w:rFonts w:ascii="Arial" w:hAnsi="Arial" w:cs="Arial"/>
        </w:rPr>
        <w:t>Preparation of IFWE disclosure note for the 2014/15 annual financial statements</w:t>
      </w:r>
    </w:p>
    <w:p w:rsidR="00AC4F4A" w:rsidRDefault="00AC4F4A" w:rsidP="00AC4F4A">
      <w:pPr>
        <w:pStyle w:val="ListParagraph"/>
        <w:numPr>
          <w:ilvl w:val="0"/>
          <w:numId w:val="3"/>
        </w:numPr>
        <w:spacing w:after="0" w:line="240" w:lineRule="auto"/>
        <w:rPr>
          <w:rFonts w:ascii="Arial" w:hAnsi="Arial" w:cs="Arial"/>
        </w:rPr>
      </w:pPr>
      <w:r>
        <w:rPr>
          <w:rFonts w:ascii="Arial" w:hAnsi="Arial" w:cs="Arial"/>
        </w:rPr>
        <w:t>Updating of the cumulative IFWE registers/ schedules</w:t>
      </w:r>
    </w:p>
    <w:p w:rsidR="00AC4F4A" w:rsidRPr="007140F1" w:rsidRDefault="00AC4F4A" w:rsidP="00AC4F4A">
      <w:pPr>
        <w:pStyle w:val="ListParagraph"/>
        <w:numPr>
          <w:ilvl w:val="0"/>
          <w:numId w:val="3"/>
        </w:numPr>
        <w:spacing w:after="0" w:line="240" w:lineRule="auto"/>
        <w:rPr>
          <w:rFonts w:ascii="Arial" w:hAnsi="Arial" w:cs="Arial"/>
        </w:rPr>
      </w:pPr>
      <w:r>
        <w:rPr>
          <w:rFonts w:ascii="Arial" w:hAnsi="Arial" w:cs="Arial"/>
        </w:rPr>
        <w:t>Audit support during the testing by the AGSA (2014/15 audit process)</w:t>
      </w:r>
    </w:p>
    <w:p w:rsidR="00AD3159" w:rsidRDefault="00AD3159" w:rsidP="002B4B06">
      <w:pPr>
        <w:spacing w:after="0" w:line="240" w:lineRule="auto"/>
        <w:rPr>
          <w:rFonts w:ascii="Arial" w:hAnsi="Arial" w:cs="Arial"/>
        </w:rPr>
      </w:pPr>
    </w:p>
    <w:p w:rsidR="00287BC6" w:rsidRDefault="00287BC6" w:rsidP="002B4B06">
      <w:pPr>
        <w:spacing w:after="0" w:line="240" w:lineRule="auto"/>
        <w:rPr>
          <w:rFonts w:ascii="Arial" w:hAnsi="Arial" w:cs="Arial"/>
        </w:rPr>
      </w:pPr>
    </w:p>
    <w:p w:rsidR="007140F1" w:rsidRPr="007140F1" w:rsidRDefault="007140F1" w:rsidP="007140F1">
      <w:pPr>
        <w:pStyle w:val="ListParagraph"/>
        <w:numPr>
          <w:ilvl w:val="0"/>
          <w:numId w:val="2"/>
        </w:numPr>
        <w:spacing w:after="0" w:line="240" w:lineRule="auto"/>
        <w:rPr>
          <w:rFonts w:ascii="Arial" w:hAnsi="Arial" w:cs="Arial"/>
        </w:rPr>
      </w:pPr>
      <w:r>
        <w:rPr>
          <w:rFonts w:ascii="Arial" w:hAnsi="Arial" w:cs="Arial"/>
        </w:rPr>
        <w:t>Phase 2</w:t>
      </w:r>
    </w:p>
    <w:p w:rsidR="007140F1" w:rsidRDefault="007140F1" w:rsidP="002B4B06">
      <w:pPr>
        <w:spacing w:after="0" w:line="240" w:lineRule="auto"/>
        <w:rPr>
          <w:rFonts w:ascii="Arial" w:hAnsi="Arial" w:cs="Arial"/>
        </w:rPr>
      </w:pPr>
    </w:p>
    <w:p w:rsidR="007140F1" w:rsidRDefault="007140F1" w:rsidP="007140F1">
      <w:pPr>
        <w:spacing w:after="0" w:line="240" w:lineRule="auto"/>
        <w:rPr>
          <w:rFonts w:ascii="Arial" w:hAnsi="Arial" w:cs="Arial"/>
        </w:rPr>
      </w:pPr>
      <w:r>
        <w:rPr>
          <w:rFonts w:ascii="Arial" w:hAnsi="Arial" w:cs="Arial"/>
        </w:rPr>
        <w:t xml:space="preserve">Appointment date: 1 December </w:t>
      </w:r>
      <w:r w:rsidRPr="00F41D8E">
        <w:rPr>
          <w:rFonts w:ascii="Arial" w:hAnsi="Arial" w:cs="Arial"/>
        </w:rPr>
        <w:t>2015 to 31 July 2016</w:t>
      </w:r>
    </w:p>
    <w:p w:rsidR="007140F1" w:rsidRDefault="007140F1" w:rsidP="007140F1">
      <w:pPr>
        <w:spacing w:after="0" w:line="240" w:lineRule="auto"/>
        <w:rPr>
          <w:rFonts w:ascii="Arial" w:hAnsi="Arial" w:cs="Arial"/>
        </w:rPr>
      </w:pPr>
      <w:r>
        <w:rPr>
          <w:rFonts w:ascii="Arial" w:hAnsi="Arial" w:cs="Arial"/>
        </w:rPr>
        <w:t>Contract value: R10 395 375</w:t>
      </w:r>
    </w:p>
    <w:p w:rsidR="007140F1" w:rsidRDefault="007140F1" w:rsidP="007140F1">
      <w:pPr>
        <w:spacing w:after="0" w:line="240" w:lineRule="auto"/>
        <w:rPr>
          <w:rFonts w:ascii="Arial" w:hAnsi="Arial" w:cs="Arial"/>
        </w:rPr>
      </w:pPr>
      <w:r>
        <w:rPr>
          <w:rFonts w:ascii="Arial" w:hAnsi="Arial" w:cs="Arial"/>
        </w:rPr>
        <w:t>Scope of services</w:t>
      </w:r>
      <w:r w:rsidR="00287BC6">
        <w:rPr>
          <w:rFonts w:ascii="Arial" w:hAnsi="Arial" w:cs="Arial"/>
        </w:rPr>
        <w:t xml:space="preserve"> (summary)</w:t>
      </w:r>
      <w:r>
        <w:rPr>
          <w:rFonts w:ascii="Arial" w:hAnsi="Arial" w:cs="Arial"/>
        </w:rPr>
        <w:t>:</w:t>
      </w:r>
    </w:p>
    <w:p w:rsidR="007140F1" w:rsidRDefault="007140F1" w:rsidP="007140F1">
      <w:pPr>
        <w:pStyle w:val="ListParagraph"/>
        <w:numPr>
          <w:ilvl w:val="0"/>
          <w:numId w:val="3"/>
        </w:numPr>
        <w:spacing w:after="0" w:line="240" w:lineRule="auto"/>
        <w:rPr>
          <w:rFonts w:ascii="Arial" w:hAnsi="Arial" w:cs="Arial"/>
        </w:rPr>
      </w:pPr>
      <w:r>
        <w:rPr>
          <w:rFonts w:ascii="Arial" w:hAnsi="Arial" w:cs="Arial"/>
        </w:rPr>
        <w:t>Review of the SCM policy to ensure alignment to applicable laws &amp; regula</w:t>
      </w:r>
      <w:r w:rsidR="00F41D8E">
        <w:rPr>
          <w:rFonts w:ascii="Arial" w:hAnsi="Arial" w:cs="Arial"/>
        </w:rPr>
        <w:t>t</w:t>
      </w:r>
      <w:r>
        <w:rPr>
          <w:rFonts w:ascii="Arial" w:hAnsi="Arial" w:cs="Arial"/>
        </w:rPr>
        <w:t>ions</w:t>
      </w:r>
    </w:p>
    <w:p w:rsidR="007140F1" w:rsidRDefault="007140F1" w:rsidP="007140F1">
      <w:pPr>
        <w:pStyle w:val="ListParagraph"/>
        <w:numPr>
          <w:ilvl w:val="0"/>
          <w:numId w:val="3"/>
        </w:numPr>
        <w:spacing w:after="0" w:line="240" w:lineRule="auto"/>
        <w:rPr>
          <w:rFonts w:ascii="Arial" w:hAnsi="Arial" w:cs="Arial"/>
        </w:rPr>
      </w:pPr>
      <w:r>
        <w:rPr>
          <w:rFonts w:ascii="Arial" w:hAnsi="Arial" w:cs="Arial"/>
        </w:rPr>
        <w:t>Assist Supply Chain &amp; Fi</w:t>
      </w:r>
      <w:r w:rsidR="00F41D8E">
        <w:rPr>
          <w:rFonts w:ascii="Arial" w:hAnsi="Arial" w:cs="Arial"/>
        </w:rPr>
        <w:t>n</w:t>
      </w:r>
      <w:r>
        <w:rPr>
          <w:rFonts w:ascii="Arial" w:hAnsi="Arial" w:cs="Arial"/>
        </w:rPr>
        <w:t>ance division with enforcement controls to prevent IFWE</w:t>
      </w:r>
    </w:p>
    <w:p w:rsidR="007140F1" w:rsidRDefault="007140F1" w:rsidP="007140F1">
      <w:pPr>
        <w:pStyle w:val="ListParagraph"/>
        <w:numPr>
          <w:ilvl w:val="0"/>
          <w:numId w:val="3"/>
        </w:numPr>
        <w:spacing w:after="0" w:line="240" w:lineRule="auto"/>
        <w:rPr>
          <w:rFonts w:ascii="Arial" w:hAnsi="Arial" w:cs="Arial"/>
        </w:rPr>
      </w:pPr>
      <w:r>
        <w:rPr>
          <w:rFonts w:ascii="Arial" w:hAnsi="Arial" w:cs="Arial"/>
        </w:rPr>
        <w:t>Preparation of IFWE registers (including the disclosure note for the annu</w:t>
      </w:r>
      <w:r w:rsidR="00F41D8E">
        <w:rPr>
          <w:rFonts w:ascii="Arial" w:hAnsi="Arial" w:cs="Arial"/>
        </w:rPr>
        <w:t>a</w:t>
      </w:r>
      <w:r>
        <w:rPr>
          <w:rFonts w:ascii="Arial" w:hAnsi="Arial" w:cs="Arial"/>
        </w:rPr>
        <w:t>l</w:t>
      </w:r>
      <w:r w:rsidR="00F41D8E">
        <w:rPr>
          <w:rFonts w:ascii="Arial" w:hAnsi="Arial" w:cs="Arial"/>
        </w:rPr>
        <w:t xml:space="preserve"> </w:t>
      </w:r>
      <w:r>
        <w:rPr>
          <w:rFonts w:ascii="Arial" w:hAnsi="Arial" w:cs="Arial"/>
        </w:rPr>
        <w:t>fi</w:t>
      </w:r>
      <w:r w:rsidR="00F41D8E">
        <w:rPr>
          <w:rFonts w:ascii="Arial" w:hAnsi="Arial" w:cs="Arial"/>
        </w:rPr>
        <w:t>n</w:t>
      </w:r>
      <w:r>
        <w:rPr>
          <w:rFonts w:ascii="Arial" w:hAnsi="Arial" w:cs="Arial"/>
        </w:rPr>
        <w:t>ancial statements)</w:t>
      </w:r>
    </w:p>
    <w:p w:rsidR="007140F1" w:rsidRDefault="007140F1" w:rsidP="007140F1">
      <w:pPr>
        <w:pStyle w:val="ListParagraph"/>
        <w:numPr>
          <w:ilvl w:val="0"/>
          <w:numId w:val="3"/>
        </w:numPr>
        <w:spacing w:after="0" w:line="240" w:lineRule="auto"/>
        <w:rPr>
          <w:rFonts w:ascii="Arial" w:hAnsi="Arial" w:cs="Arial"/>
        </w:rPr>
      </w:pPr>
      <w:r>
        <w:rPr>
          <w:rFonts w:ascii="Arial" w:hAnsi="Arial" w:cs="Arial"/>
        </w:rPr>
        <w:t>Rev</w:t>
      </w:r>
      <w:r w:rsidR="00F41D8E">
        <w:rPr>
          <w:rFonts w:ascii="Arial" w:hAnsi="Arial" w:cs="Arial"/>
        </w:rPr>
        <w:t>iew</w:t>
      </w:r>
      <w:r>
        <w:rPr>
          <w:rFonts w:ascii="Arial" w:hAnsi="Arial" w:cs="Arial"/>
        </w:rPr>
        <w:t xml:space="preserve"> of IFWE discl</w:t>
      </w:r>
      <w:r w:rsidR="00F41D8E">
        <w:rPr>
          <w:rFonts w:ascii="Arial" w:hAnsi="Arial" w:cs="Arial"/>
        </w:rPr>
        <w:t>osed in the previous years’ annu</w:t>
      </w:r>
      <w:r>
        <w:rPr>
          <w:rFonts w:ascii="Arial" w:hAnsi="Arial" w:cs="Arial"/>
        </w:rPr>
        <w:t>a</w:t>
      </w:r>
      <w:r w:rsidR="00F41D8E">
        <w:rPr>
          <w:rFonts w:ascii="Arial" w:hAnsi="Arial" w:cs="Arial"/>
        </w:rPr>
        <w:t>l</w:t>
      </w:r>
      <w:r>
        <w:rPr>
          <w:rFonts w:ascii="Arial" w:hAnsi="Arial" w:cs="Arial"/>
        </w:rPr>
        <w:t xml:space="preserve"> reports</w:t>
      </w:r>
    </w:p>
    <w:p w:rsidR="007140F1" w:rsidRPr="007140F1" w:rsidRDefault="007140F1" w:rsidP="007140F1">
      <w:pPr>
        <w:pStyle w:val="ListParagraph"/>
        <w:numPr>
          <w:ilvl w:val="0"/>
          <w:numId w:val="3"/>
        </w:numPr>
        <w:spacing w:after="0" w:line="240" w:lineRule="auto"/>
        <w:rPr>
          <w:rFonts w:ascii="Arial" w:hAnsi="Arial" w:cs="Arial"/>
        </w:rPr>
      </w:pPr>
      <w:r>
        <w:rPr>
          <w:rFonts w:ascii="Arial" w:hAnsi="Arial" w:cs="Arial"/>
        </w:rPr>
        <w:t>Audit support during the testing by the AGSA (2015/16 audit process)</w:t>
      </w:r>
    </w:p>
    <w:p w:rsidR="007140F1" w:rsidRDefault="007140F1" w:rsidP="002B4B06">
      <w:pPr>
        <w:spacing w:after="0" w:line="240" w:lineRule="auto"/>
        <w:rPr>
          <w:rFonts w:ascii="Arial" w:hAnsi="Arial" w:cs="Arial"/>
        </w:rPr>
      </w:pPr>
    </w:p>
    <w:p w:rsidR="009668CC" w:rsidRDefault="009668CC" w:rsidP="002B4B06">
      <w:pPr>
        <w:spacing w:after="0" w:line="240" w:lineRule="auto"/>
        <w:rPr>
          <w:rFonts w:ascii="Arial" w:hAnsi="Arial" w:cs="Arial"/>
        </w:rPr>
      </w:pPr>
    </w:p>
    <w:p w:rsidR="009668CC" w:rsidRPr="009668CC" w:rsidRDefault="009668CC" w:rsidP="009668CC">
      <w:pPr>
        <w:pStyle w:val="ListParagraph"/>
        <w:numPr>
          <w:ilvl w:val="0"/>
          <w:numId w:val="2"/>
        </w:numPr>
        <w:spacing w:after="0" w:line="240" w:lineRule="auto"/>
        <w:rPr>
          <w:rFonts w:ascii="Arial" w:hAnsi="Arial" w:cs="Arial"/>
          <w:i/>
        </w:rPr>
      </w:pPr>
      <w:r w:rsidRPr="009668CC">
        <w:rPr>
          <w:rFonts w:ascii="Arial" w:hAnsi="Arial" w:cs="Arial"/>
          <w:i/>
        </w:rPr>
        <w:t>Phase 3</w:t>
      </w:r>
    </w:p>
    <w:p w:rsidR="00E05590" w:rsidRDefault="00E05590" w:rsidP="002B4B06">
      <w:pPr>
        <w:spacing w:after="0" w:line="240" w:lineRule="auto"/>
        <w:rPr>
          <w:rFonts w:ascii="Arial" w:hAnsi="Arial" w:cs="Arial"/>
        </w:rPr>
      </w:pPr>
    </w:p>
    <w:p w:rsidR="009668CC" w:rsidRDefault="009668CC" w:rsidP="002B4B06">
      <w:pPr>
        <w:spacing w:after="0" w:line="240" w:lineRule="auto"/>
        <w:rPr>
          <w:rFonts w:ascii="Arial" w:hAnsi="Arial" w:cs="Arial"/>
        </w:rPr>
      </w:pPr>
      <w:r>
        <w:rPr>
          <w:rFonts w:ascii="Arial" w:hAnsi="Arial" w:cs="Arial"/>
        </w:rPr>
        <w:t xml:space="preserve">Appointment date: 1 November </w:t>
      </w:r>
      <w:r w:rsidR="007140F1">
        <w:rPr>
          <w:rFonts w:ascii="Arial" w:hAnsi="Arial" w:cs="Arial"/>
        </w:rPr>
        <w:t xml:space="preserve">2016 </w:t>
      </w:r>
      <w:r>
        <w:rPr>
          <w:rFonts w:ascii="Arial" w:hAnsi="Arial" w:cs="Arial"/>
        </w:rPr>
        <w:t>to 31 July 2017</w:t>
      </w:r>
    </w:p>
    <w:p w:rsidR="009668CC" w:rsidRDefault="009668CC" w:rsidP="002B4B06">
      <w:pPr>
        <w:spacing w:after="0" w:line="240" w:lineRule="auto"/>
        <w:rPr>
          <w:rFonts w:ascii="Arial" w:hAnsi="Arial" w:cs="Arial"/>
        </w:rPr>
      </w:pPr>
      <w:r>
        <w:rPr>
          <w:rFonts w:ascii="Arial" w:hAnsi="Arial" w:cs="Arial"/>
        </w:rPr>
        <w:t>Contract value: R9 816 023.52</w:t>
      </w:r>
    </w:p>
    <w:p w:rsidR="009B001B" w:rsidRDefault="009B001B" w:rsidP="002B4B06">
      <w:pPr>
        <w:spacing w:after="0" w:line="240" w:lineRule="auto"/>
        <w:rPr>
          <w:rFonts w:ascii="Arial" w:hAnsi="Arial" w:cs="Arial"/>
        </w:rPr>
      </w:pPr>
      <w:r>
        <w:rPr>
          <w:rFonts w:ascii="Arial" w:hAnsi="Arial" w:cs="Arial"/>
        </w:rPr>
        <w:t>Scope of services</w:t>
      </w:r>
      <w:r w:rsidR="00287BC6">
        <w:rPr>
          <w:rFonts w:ascii="Arial" w:hAnsi="Arial" w:cs="Arial"/>
        </w:rPr>
        <w:t xml:space="preserve"> (summary)</w:t>
      </w:r>
      <w:r>
        <w:rPr>
          <w:rFonts w:ascii="Arial" w:hAnsi="Arial" w:cs="Arial"/>
        </w:rPr>
        <w:t>:</w:t>
      </w:r>
    </w:p>
    <w:p w:rsidR="009B001B" w:rsidRDefault="009B001B" w:rsidP="009B001B">
      <w:pPr>
        <w:pStyle w:val="ListParagraph"/>
        <w:numPr>
          <w:ilvl w:val="0"/>
          <w:numId w:val="3"/>
        </w:numPr>
        <w:spacing w:after="0" w:line="240" w:lineRule="auto"/>
        <w:rPr>
          <w:rFonts w:ascii="Arial" w:hAnsi="Arial" w:cs="Arial"/>
        </w:rPr>
      </w:pPr>
      <w:r>
        <w:rPr>
          <w:rFonts w:ascii="Arial" w:hAnsi="Arial" w:cs="Arial"/>
        </w:rPr>
        <w:t xml:space="preserve">Comprehensive evaluation of expenditure/ payments for the </w:t>
      </w:r>
      <w:proofErr w:type="spellStart"/>
      <w:r>
        <w:rPr>
          <w:rFonts w:ascii="Arial" w:hAnsi="Arial" w:cs="Arial"/>
        </w:rPr>
        <w:t>finacila</w:t>
      </w:r>
      <w:proofErr w:type="spellEnd"/>
      <w:r>
        <w:rPr>
          <w:rFonts w:ascii="Arial" w:hAnsi="Arial" w:cs="Arial"/>
        </w:rPr>
        <w:t xml:space="preserve"> years affected by the audit qualification</w:t>
      </w:r>
    </w:p>
    <w:p w:rsidR="009B001B" w:rsidRDefault="009B001B" w:rsidP="009B001B">
      <w:pPr>
        <w:pStyle w:val="ListParagraph"/>
        <w:numPr>
          <w:ilvl w:val="0"/>
          <w:numId w:val="3"/>
        </w:numPr>
        <w:spacing w:after="0" w:line="240" w:lineRule="auto"/>
        <w:rPr>
          <w:rFonts w:ascii="Arial" w:hAnsi="Arial" w:cs="Arial"/>
        </w:rPr>
      </w:pPr>
      <w:r>
        <w:rPr>
          <w:rFonts w:ascii="Arial" w:hAnsi="Arial" w:cs="Arial"/>
        </w:rPr>
        <w:t>Updating of the cumulative IFWE registers/ schedules</w:t>
      </w:r>
    </w:p>
    <w:p w:rsidR="009B001B" w:rsidRDefault="009B001B" w:rsidP="009B001B">
      <w:pPr>
        <w:pStyle w:val="ListParagraph"/>
        <w:numPr>
          <w:ilvl w:val="0"/>
          <w:numId w:val="3"/>
        </w:numPr>
        <w:spacing w:after="0" w:line="240" w:lineRule="auto"/>
        <w:rPr>
          <w:rFonts w:ascii="Arial" w:hAnsi="Arial" w:cs="Arial"/>
        </w:rPr>
      </w:pPr>
      <w:r>
        <w:rPr>
          <w:rFonts w:ascii="Arial" w:hAnsi="Arial" w:cs="Arial"/>
        </w:rPr>
        <w:t xml:space="preserve">Review of the IFWE already disclosed by the SABC in the previous </w:t>
      </w:r>
      <w:proofErr w:type="spellStart"/>
      <w:r>
        <w:rPr>
          <w:rFonts w:ascii="Arial" w:hAnsi="Arial" w:cs="Arial"/>
        </w:rPr>
        <w:t>annula</w:t>
      </w:r>
      <w:proofErr w:type="spellEnd"/>
      <w:r>
        <w:rPr>
          <w:rFonts w:ascii="Arial" w:hAnsi="Arial" w:cs="Arial"/>
        </w:rPr>
        <w:t xml:space="preserve"> reports for completeness and accuracy</w:t>
      </w:r>
    </w:p>
    <w:p w:rsidR="009B001B" w:rsidRDefault="009B001B" w:rsidP="009B001B">
      <w:pPr>
        <w:pStyle w:val="ListParagraph"/>
        <w:numPr>
          <w:ilvl w:val="0"/>
          <w:numId w:val="3"/>
        </w:numPr>
        <w:spacing w:after="0" w:line="240" w:lineRule="auto"/>
        <w:rPr>
          <w:rFonts w:ascii="Arial" w:hAnsi="Arial" w:cs="Arial"/>
        </w:rPr>
      </w:pPr>
      <w:r>
        <w:rPr>
          <w:rFonts w:ascii="Arial" w:hAnsi="Arial" w:cs="Arial"/>
        </w:rPr>
        <w:t>Preparation of IFWE disclosure note for the 2016/17 annual financial statements</w:t>
      </w:r>
    </w:p>
    <w:p w:rsidR="009B001B" w:rsidRDefault="009B001B" w:rsidP="009B001B">
      <w:pPr>
        <w:pStyle w:val="ListParagraph"/>
        <w:numPr>
          <w:ilvl w:val="0"/>
          <w:numId w:val="3"/>
        </w:numPr>
        <w:spacing w:after="0" w:line="240" w:lineRule="auto"/>
        <w:rPr>
          <w:rFonts w:ascii="Arial" w:hAnsi="Arial" w:cs="Arial"/>
        </w:rPr>
      </w:pPr>
      <w:r>
        <w:rPr>
          <w:rFonts w:ascii="Arial" w:hAnsi="Arial" w:cs="Arial"/>
        </w:rPr>
        <w:t>Preparation of the portfolio of evidence for the IFWE registers/ schedules</w:t>
      </w:r>
    </w:p>
    <w:p w:rsidR="009B001B" w:rsidRDefault="009B001B" w:rsidP="009B001B">
      <w:pPr>
        <w:pStyle w:val="ListParagraph"/>
        <w:numPr>
          <w:ilvl w:val="0"/>
          <w:numId w:val="3"/>
        </w:numPr>
        <w:spacing w:after="0" w:line="240" w:lineRule="auto"/>
        <w:rPr>
          <w:rFonts w:ascii="Arial" w:hAnsi="Arial" w:cs="Arial"/>
        </w:rPr>
      </w:pPr>
      <w:r>
        <w:rPr>
          <w:rFonts w:ascii="Arial" w:hAnsi="Arial" w:cs="Arial"/>
        </w:rPr>
        <w:t>Determination of IFWE causes/ incidents</w:t>
      </w:r>
    </w:p>
    <w:p w:rsidR="009B001B" w:rsidRDefault="009B001B" w:rsidP="009B001B">
      <w:pPr>
        <w:pStyle w:val="ListParagraph"/>
        <w:numPr>
          <w:ilvl w:val="0"/>
          <w:numId w:val="3"/>
        </w:numPr>
        <w:spacing w:after="0" w:line="240" w:lineRule="auto"/>
        <w:rPr>
          <w:rFonts w:ascii="Arial" w:hAnsi="Arial" w:cs="Arial"/>
        </w:rPr>
      </w:pPr>
      <w:r>
        <w:rPr>
          <w:rFonts w:ascii="Arial" w:hAnsi="Arial" w:cs="Arial"/>
        </w:rPr>
        <w:lastRenderedPageBreak/>
        <w:t>Audit support during the testing by the AGSA (2016/17 audit process)</w:t>
      </w:r>
    </w:p>
    <w:p w:rsidR="009B001B" w:rsidRPr="009B001B" w:rsidRDefault="009B001B" w:rsidP="009B001B">
      <w:pPr>
        <w:spacing w:after="0" w:line="240" w:lineRule="auto"/>
        <w:rPr>
          <w:rFonts w:ascii="Arial" w:hAnsi="Arial" w:cs="Arial"/>
        </w:rPr>
      </w:pPr>
      <w:r w:rsidRPr="009B001B">
        <w:rPr>
          <w:rFonts w:ascii="Arial" w:hAnsi="Arial" w:cs="Arial"/>
        </w:rPr>
        <w:t xml:space="preserve"> </w:t>
      </w:r>
    </w:p>
    <w:p w:rsidR="00E05590" w:rsidRPr="0063659E" w:rsidRDefault="00287BC6" w:rsidP="0063659E">
      <w:pPr>
        <w:pStyle w:val="ListParagraph"/>
        <w:numPr>
          <w:ilvl w:val="0"/>
          <w:numId w:val="1"/>
        </w:numPr>
        <w:ind w:left="270" w:hanging="270"/>
        <w:rPr>
          <w:rFonts w:ascii="Arial" w:hAnsi="Arial" w:cs="Arial"/>
          <w:b/>
        </w:rPr>
      </w:pPr>
      <w:r w:rsidRPr="0063659E">
        <w:rPr>
          <w:rFonts w:ascii="Arial" w:hAnsi="Arial" w:cs="Arial"/>
          <w:b/>
        </w:rPr>
        <w:t>Challenges faced by independent firm (Phase 1 &amp; 2)</w:t>
      </w:r>
    </w:p>
    <w:p w:rsidR="00E05590" w:rsidRDefault="00E05590" w:rsidP="002B4B06">
      <w:pPr>
        <w:spacing w:after="0" w:line="240" w:lineRule="auto"/>
        <w:rPr>
          <w:rFonts w:ascii="Arial" w:hAnsi="Arial" w:cs="Arial"/>
        </w:rPr>
      </w:pPr>
    </w:p>
    <w:p w:rsidR="00E05590" w:rsidRDefault="0063659E" w:rsidP="00A97BCA">
      <w:pPr>
        <w:spacing w:after="0" w:line="240" w:lineRule="auto"/>
        <w:jc w:val="both"/>
        <w:rPr>
          <w:rFonts w:ascii="Arial" w:hAnsi="Arial" w:cs="Arial"/>
        </w:rPr>
      </w:pPr>
      <w:r>
        <w:rPr>
          <w:rFonts w:ascii="Arial" w:hAnsi="Arial" w:cs="Arial"/>
        </w:rPr>
        <w:t xml:space="preserve">The following </w:t>
      </w:r>
      <w:r w:rsidR="00CB6BBE">
        <w:rPr>
          <w:rFonts w:ascii="Arial" w:hAnsi="Arial" w:cs="Arial"/>
        </w:rPr>
        <w:t xml:space="preserve">core </w:t>
      </w:r>
      <w:r>
        <w:rPr>
          <w:rFonts w:ascii="Arial" w:hAnsi="Arial" w:cs="Arial"/>
        </w:rPr>
        <w:t xml:space="preserve">challenges were experienced during the </w:t>
      </w:r>
      <w:r w:rsidR="00AC4F4A">
        <w:rPr>
          <w:rFonts w:ascii="Arial" w:hAnsi="Arial" w:cs="Arial"/>
        </w:rPr>
        <w:t xml:space="preserve">first two </w:t>
      </w:r>
      <w:r>
        <w:rPr>
          <w:rFonts w:ascii="Arial" w:hAnsi="Arial" w:cs="Arial"/>
        </w:rPr>
        <w:t>phase</w:t>
      </w:r>
      <w:r w:rsidR="00AC4F4A">
        <w:rPr>
          <w:rFonts w:ascii="Arial" w:hAnsi="Arial" w:cs="Arial"/>
        </w:rPr>
        <w:t>s</w:t>
      </w:r>
      <w:r>
        <w:rPr>
          <w:rFonts w:ascii="Arial" w:hAnsi="Arial" w:cs="Arial"/>
        </w:rPr>
        <w:t xml:space="preserve"> of the project:</w:t>
      </w:r>
    </w:p>
    <w:p w:rsidR="0063659E" w:rsidRDefault="0063659E" w:rsidP="00A97BCA">
      <w:pPr>
        <w:pStyle w:val="ListParagraph"/>
        <w:numPr>
          <w:ilvl w:val="0"/>
          <w:numId w:val="3"/>
        </w:numPr>
        <w:spacing w:after="0" w:line="240" w:lineRule="auto"/>
        <w:jc w:val="both"/>
        <w:rPr>
          <w:rFonts w:ascii="Arial" w:hAnsi="Arial" w:cs="Arial"/>
        </w:rPr>
      </w:pPr>
      <w:r>
        <w:rPr>
          <w:rFonts w:ascii="Arial" w:hAnsi="Arial" w:cs="Arial"/>
        </w:rPr>
        <w:t>Not all the procurement documents were retrieved during the</w:t>
      </w:r>
      <w:r w:rsidR="00F41D8E">
        <w:rPr>
          <w:rFonts w:ascii="Arial" w:hAnsi="Arial" w:cs="Arial"/>
        </w:rPr>
        <w:t xml:space="preserve"> detection of irregular expenditure, due to the decentralization</w:t>
      </w:r>
    </w:p>
    <w:p w:rsidR="0063659E" w:rsidRDefault="0063659E" w:rsidP="00A97BCA">
      <w:pPr>
        <w:pStyle w:val="ListParagraph"/>
        <w:numPr>
          <w:ilvl w:val="0"/>
          <w:numId w:val="3"/>
        </w:numPr>
        <w:spacing w:after="0" w:line="240" w:lineRule="auto"/>
        <w:jc w:val="both"/>
        <w:rPr>
          <w:rFonts w:ascii="Arial" w:hAnsi="Arial" w:cs="Arial"/>
        </w:rPr>
      </w:pPr>
      <w:r>
        <w:rPr>
          <w:rFonts w:ascii="Arial" w:hAnsi="Arial" w:cs="Arial"/>
        </w:rPr>
        <w:t>There wasn’t effective co-operation and co-ordination between divisions and independent firm</w:t>
      </w:r>
    </w:p>
    <w:p w:rsidR="0063659E" w:rsidRDefault="0063659E" w:rsidP="00A97BCA">
      <w:pPr>
        <w:pStyle w:val="ListParagraph"/>
        <w:numPr>
          <w:ilvl w:val="0"/>
          <w:numId w:val="3"/>
        </w:numPr>
        <w:spacing w:after="0" w:line="240" w:lineRule="auto"/>
        <w:jc w:val="both"/>
        <w:rPr>
          <w:rFonts w:ascii="Arial" w:hAnsi="Arial" w:cs="Arial"/>
        </w:rPr>
      </w:pPr>
      <w:r>
        <w:rPr>
          <w:rFonts w:ascii="Arial" w:hAnsi="Arial" w:cs="Arial"/>
        </w:rPr>
        <w:t>There was insufficient timeline to effectively execute all the services in the scope</w:t>
      </w:r>
    </w:p>
    <w:p w:rsidR="0063659E" w:rsidRDefault="0063659E" w:rsidP="00A97BCA">
      <w:pPr>
        <w:pStyle w:val="ListParagraph"/>
        <w:numPr>
          <w:ilvl w:val="0"/>
          <w:numId w:val="3"/>
        </w:numPr>
        <w:spacing w:after="0" w:line="240" w:lineRule="auto"/>
        <w:jc w:val="both"/>
        <w:rPr>
          <w:rFonts w:ascii="Arial" w:hAnsi="Arial" w:cs="Arial"/>
        </w:rPr>
      </w:pPr>
      <w:r>
        <w:rPr>
          <w:rFonts w:ascii="Arial" w:hAnsi="Arial" w:cs="Arial"/>
        </w:rPr>
        <w:t>Expenditure/ payments were not easily linked to procurement documents due to poor contract management</w:t>
      </w:r>
    </w:p>
    <w:p w:rsidR="0063659E" w:rsidRDefault="0063659E" w:rsidP="00A97BCA">
      <w:pPr>
        <w:pStyle w:val="ListParagraph"/>
        <w:numPr>
          <w:ilvl w:val="0"/>
          <w:numId w:val="3"/>
        </w:numPr>
        <w:spacing w:after="0" w:line="240" w:lineRule="auto"/>
        <w:jc w:val="both"/>
        <w:rPr>
          <w:rFonts w:ascii="Arial" w:hAnsi="Arial" w:cs="Arial"/>
        </w:rPr>
      </w:pPr>
      <w:r>
        <w:rPr>
          <w:rFonts w:ascii="Arial" w:hAnsi="Arial" w:cs="Arial"/>
        </w:rPr>
        <w:t>IFWE was possible non-compliances which thereafter had to be followed up and re-verified</w:t>
      </w:r>
    </w:p>
    <w:p w:rsidR="0063659E" w:rsidRDefault="0063659E" w:rsidP="00A97BCA">
      <w:pPr>
        <w:pStyle w:val="ListParagraph"/>
        <w:numPr>
          <w:ilvl w:val="0"/>
          <w:numId w:val="3"/>
        </w:numPr>
        <w:spacing w:after="0" w:line="240" w:lineRule="auto"/>
        <w:jc w:val="both"/>
        <w:rPr>
          <w:rFonts w:ascii="Arial" w:hAnsi="Arial" w:cs="Arial"/>
        </w:rPr>
      </w:pPr>
      <w:r>
        <w:rPr>
          <w:rFonts w:ascii="Arial" w:hAnsi="Arial" w:cs="Arial"/>
        </w:rPr>
        <w:t>Suggested internal controls were still not fully effectively implemented  for both prevention and detection of IFWE by the SABC</w:t>
      </w:r>
    </w:p>
    <w:p w:rsidR="0063659E" w:rsidRDefault="0063659E" w:rsidP="00A97BCA">
      <w:pPr>
        <w:spacing w:after="0" w:line="240" w:lineRule="auto"/>
        <w:jc w:val="both"/>
        <w:rPr>
          <w:rFonts w:ascii="Arial" w:hAnsi="Arial" w:cs="Arial"/>
        </w:rPr>
      </w:pPr>
    </w:p>
    <w:p w:rsidR="0063659E" w:rsidRDefault="00CB6BBE" w:rsidP="00A97BCA">
      <w:pPr>
        <w:spacing w:after="0" w:line="240" w:lineRule="auto"/>
        <w:jc w:val="both"/>
        <w:rPr>
          <w:rFonts w:ascii="Arial" w:hAnsi="Arial" w:cs="Arial"/>
        </w:rPr>
      </w:pPr>
      <w:r>
        <w:rPr>
          <w:rFonts w:ascii="Arial" w:hAnsi="Arial" w:cs="Arial"/>
        </w:rPr>
        <w:t>The above challenges necessitated a detailed follow up of the possible non-compliances to determine whether they all meet the definition of IFWE. More detailed work was also required in collating all the procurement documents to ensure that they are located centrally. Second phase had to be extended into the third phase, mainly due to:</w:t>
      </w:r>
    </w:p>
    <w:p w:rsidR="00CB6BBE" w:rsidRDefault="00CB6BBE" w:rsidP="00A97BCA">
      <w:pPr>
        <w:spacing w:after="0" w:line="240" w:lineRule="auto"/>
        <w:jc w:val="both"/>
        <w:rPr>
          <w:rFonts w:ascii="Arial" w:hAnsi="Arial" w:cs="Arial"/>
        </w:rPr>
      </w:pPr>
    </w:p>
    <w:p w:rsidR="00CB6BBE" w:rsidRDefault="00CB6BBE" w:rsidP="00A97BCA">
      <w:pPr>
        <w:pStyle w:val="ListParagraph"/>
        <w:numPr>
          <w:ilvl w:val="0"/>
          <w:numId w:val="3"/>
        </w:numPr>
        <w:spacing w:after="0" w:line="240" w:lineRule="auto"/>
        <w:jc w:val="both"/>
        <w:rPr>
          <w:rFonts w:ascii="Arial" w:hAnsi="Arial" w:cs="Arial"/>
        </w:rPr>
      </w:pPr>
      <w:r>
        <w:rPr>
          <w:rFonts w:ascii="Arial" w:hAnsi="Arial" w:cs="Arial"/>
        </w:rPr>
        <w:t>Significant amount of ground work which had been performed in the previous phases</w:t>
      </w:r>
    </w:p>
    <w:p w:rsidR="00CB6BBE" w:rsidRDefault="00CB6BBE" w:rsidP="00A97BCA">
      <w:pPr>
        <w:pStyle w:val="ListParagraph"/>
        <w:numPr>
          <w:ilvl w:val="0"/>
          <w:numId w:val="3"/>
        </w:numPr>
        <w:spacing w:after="0" w:line="240" w:lineRule="auto"/>
        <w:jc w:val="both"/>
        <w:rPr>
          <w:rFonts w:ascii="Arial" w:hAnsi="Arial" w:cs="Arial"/>
        </w:rPr>
      </w:pPr>
      <w:r>
        <w:rPr>
          <w:rFonts w:ascii="Arial" w:hAnsi="Arial" w:cs="Arial"/>
        </w:rPr>
        <w:t xml:space="preserve">Learning curve benefits which would assist in </w:t>
      </w:r>
      <w:r w:rsidR="00F41D8E">
        <w:rPr>
          <w:rFonts w:ascii="Arial" w:hAnsi="Arial" w:cs="Arial"/>
        </w:rPr>
        <w:t>efficiencies</w:t>
      </w:r>
      <w:r>
        <w:rPr>
          <w:rFonts w:ascii="Arial" w:hAnsi="Arial" w:cs="Arial"/>
        </w:rPr>
        <w:t xml:space="preserve"> and effectiveness</w:t>
      </w:r>
    </w:p>
    <w:p w:rsidR="00CB6BBE" w:rsidRDefault="00CB6BBE" w:rsidP="00A97BCA">
      <w:pPr>
        <w:pStyle w:val="ListParagraph"/>
        <w:numPr>
          <w:ilvl w:val="0"/>
          <w:numId w:val="3"/>
        </w:numPr>
        <w:spacing w:after="0" w:line="240" w:lineRule="auto"/>
        <w:jc w:val="both"/>
        <w:rPr>
          <w:rFonts w:ascii="Arial" w:hAnsi="Arial" w:cs="Arial"/>
        </w:rPr>
      </w:pPr>
      <w:r>
        <w:rPr>
          <w:rFonts w:ascii="Arial" w:hAnsi="Arial" w:cs="Arial"/>
        </w:rPr>
        <w:t>Understanding of SABC challenges (highlighted above) and effective methodo</w:t>
      </w:r>
      <w:r w:rsidR="00F41D8E">
        <w:rPr>
          <w:rFonts w:ascii="Arial" w:hAnsi="Arial" w:cs="Arial"/>
        </w:rPr>
        <w:t>lo</w:t>
      </w:r>
      <w:r>
        <w:rPr>
          <w:rFonts w:ascii="Arial" w:hAnsi="Arial" w:cs="Arial"/>
        </w:rPr>
        <w:t>gies implemented. Elimination of the investment costs in starting a new engagements</w:t>
      </w:r>
    </w:p>
    <w:p w:rsidR="0063659E" w:rsidRPr="00A001A7" w:rsidRDefault="0063659E" w:rsidP="002B4B06">
      <w:pPr>
        <w:spacing w:after="0" w:line="240" w:lineRule="auto"/>
        <w:rPr>
          <w:rFonts w:ascii="Arial" w:hAnsi="Arial" w:cs="Arial"/>
        </w:rPr>
      </w:pPr>
    </w:p>
    <w:p w:rsidR="00CB6BBE" w:rsidRPr="00A97BCA" w:rsidRDefault="00CB6BBE" w:rsidP="00A97BCA">
      <w:pPr>
        <w:pStyle w:val="ListParagraph"/>
        <w:numPr>
          <w:ilvl w:val="0"/>
          <w:numId w:val="1"/>
        </w:numPr>
        <w:ind w:left="270" w:hanging="270"/>
        <w:rPr>
          <w:rFonts w:ascii="Arial" w:hAnsi="Arial" w:cs="Arial"/>
          <w:b/>
        </w:rPr>
      </w:pPr>
      <w:r w:rsidRPr="00A97BCA">
        <w:rPr>
          <w:rFonts w:ascii="Arial" w:hAnsi="Arial" w:cs="Arial"/>
          <w:b/>
        </w:rPr>
        <w:t>Project approach/ methodology</w:t>
      </w:r>
      <w:r w:rsidR="00A97BCA" w:rsidRPr="00A97BCA">
        <w:rPr>
          <w:rFonts w:ascii="Arial" w:hAnsi="Arial" w:cs="Arial"/>
          <w:b/>
        </w:rPr>
        <w:t xml:space="preserve"> (Phase 3)</w:t>
      </w:r>
    </w:p>
    <w:p w:rsidR="00CB6BBE" w:rsidRDefault="00A97BCA">
      <w:pPr>
        <w:rPr>
          <w:rFonts w:ascii="Arial" w:hAnsi="Arial" w:cs="Arial"/>
        </w:rPr>
      </w:pPr>
      <w:r>
        <w:rPr>
          <w:rFonts w:ascii="Arial" w:hAnsi="Arial" w:cs="Arial"/>
        </w:rPr>
        <w:t>The project approach followed in this was mainly built in the strides achieved in the previous two phases. The following process was implemented/ being implemented:</w:t>
      </w:r>
    </w:p>
    <w:p w:rsidR="00A97BCA" w:rsidRDefault="00A97BCA" w:rsidP="00A97BCA">
      <w:pPr>
        <w:pStyle w:val="ListParagraph"/>
        <w:numPr>
          <w:ilvl w:val="0"/>
          <w:numId w:val="3"/>
        </w:numPr>
        <w:spacing w:after="0" w:line="240" w:lineRule="auto"/>
        <w:jc w:val="both"/>
        <w:rPr>
          <w:rFonts w:ascii="Arial" w:hAnsi="Arial" w:cs="Arial"/>
        </w:rPr>
      </w:pPr>
      <w:r>
        <w:rPr>
          <w:rFonts w:ascii="Arial" w:hAnsi="Arial" w:cs="Arial"/>
        </w:rPr>
        <w:t>Collate all the procurement documents/ files located in different divisions, especially documents located in the provinces</w:t>
      </w:r>
    </w:p>
    <w:p w:rsidR="00A97BCA" w:rsidRDefault="00A97BCA" w:rsidP="00A97BCA">
      <w:pPr>
        <w:pStyle w:val="ListParagraph"/>
        <w:numPr>
          <w:ilvl w:val="0"/>
          <w:numId w:val="3"/>
        </w:numPr>
        <w:spacing w:after="0" w:line="240" w:lineRule="auto"/>
        <w:jc w:val="both"/>
        <w:rPr>
          <w:rFonts w:ascii="Arial" w:hAnsi="Arial" w:cs="Arial"/>
        </w:rPr>
      </w:pPr>
      <w:r>
        <w:rPr>
          <w:rFonts w:ascii="Arial" w:hAnsi="Arial" w:cs="Arial"/>
        </w:rPr>
        <w:t>Clearly defining to all the SABC personnel what constitutes procurement documents, in ensuring that all documents kept in personal filing cabinets and archives are centralized</w:t>
      </w:r>
    </w:p>
    <w:p w:rsidR="00A97BCA" w:rsidRDefault="00A97BCA" w:rsidP="00A97BCA">
      <w:pPr>
        <w:pStyle w:val="ListParagraph"/>
        <w:numPr>
          <w:ilvl w:val="0"/>
          <w:numId w:val="3"/>
        </w:numPr>
        <w:spacing w:after="0" w:line="240" w:lineRule="auto"/>
        <w:jc w:val="both"/>
        <w:rPr>
          <w:rFonts w:ascii="Arial" w:hAnsi="Arial" w:cs="Arial"/>
        </w:rPr>
      </w:pPr>
      <w:r>
        <w:rPr>
          <w:rFonts w:ascii="Arial" w:hAnsi="Arial" w:cs="Arial"/>
        </w:rPr>
        <w:t>These files were tested for compliance with the SCM policies (including Delegation of Authority) and treasury guidelines</w:t>
      </w:r>
    </w:p>
    <w:p w:rsidR="00A97BCA" w:rsidRDefault="00A97BCA" w:rsidP="00A97BCA">
      <w:pPr>
        <w:pStyle w:val="ListParagraph"/>
        <w:numPr>
          <w:ilvl w:val="0"/>
          <w:numId w:val="3"/>
        </w:numPr>
        <w:spacing w:after="0" w:line="240" w:lineRule="auto"/>
        <w:jc w:val="both"/>
        <w:rPr>
          <w:rFonts w:ascii="Arial" w:hAnsi="Arial" w:cs="Arial"/>
        </w:rPr>
      </w:pPr>
      <w:r>
        <w:rPr>
          <w:rFonts w:ascii="Arial" w:hAnsi="Arial" w:cs="Arial"/>
        </w:rPr>
        <w:t>These files were traced to the respective expenditure/ payments made</w:t>
      </w:r>
      <w:r w:rsidR="00976B8A">
        <w:rPr>
          <w:rFonts w:ascii="Arial" w:hAnsi="Arial" w:cs="Arial"/>
        </w:rPr>
        <w:t xml:space="preserve"> (for the 2016/17 </w:t>
      </w:r>
      <w:r w:rsidR="00F41D8E">
        <w:rPr>
          <w:rFonts w:ascii="Arial" w:hAnsi="Arial" w:cs="Arial"/>
        </w:rPr>
        <w:t>financial</w:t>
      </w:r>
      <w:r w:rsidR="00976B8A">
        <w:rPr>
          <w:rFonts w:ascii="Arial" w:hAnsi="Arial" w:cs="Arial"/>
        </w:rPr>
        <w:t xml:space="preserve"> year and previous years)</w:t>
      </w:r>
    </w:p>
    <w:p w:rsidR="00976B8A" w:rsidRDefault="00976B8A" w:rsidP="00A97BCA">
      <w:pPr>
        <w:pStyle w:val="ListParagraph"/>
        <w:numPr>
          <w:ilvl w:val="0"/>
          <w:numId w:val="3"/>
        </w:numPr>
        <w:spacing w:after="0" w:line="240" w:lineRule="auto"/>
        <w:jc w:val="both"/>
        <w:rPr>
          <w:rFonts w:ascii="Arial" w:hAnsi="Arial" w:cs="Arial"/>
        </w:rPr>
      </w:pPr>
      <w:r>
        <w:rPr>
          <w:rFonts w:ascii="Arial" w:hAnsi="Arial" w:cs="Arial"/>
        </w:rPr>
        <w:t xml:space="preserve">Any payments/ expenditure which could not be traced to procurement files, were then traced to the supporting documents electronically attached on the </w:t>
      </w:r>
      <w:r w:rsidR="00F41D8E">
        <w:rPr>
          <w:rFonts w:ascii="Arial" w:hAnsi="Arial" w:cs="Arial"/>
        </w:rPr>
        <w:t>accounting</w:t>
      </w:r>
      <w:r>
        <w:rPr>
          <w:rFonts w:ascii="Arial" w:hAnsi="Arial" w:cs="Arial"/>
        </w:rPr>
        <w:t xml:space="preserve"> system</w:t>
      </w:r>
    </w:p>
    <w:p w:rsidR="00976B8A" w:rsidRDefault="00976B8A" w:rsidP="00A97BCA">
      <w:pPr>
        <w:pStyle w:val="ListParagraph"/>
        <w:numPr>
          <w:ilvl w:val="0"/>
          <w:numId w:val="3"/>
        </w:numPr>
        <w:spacing w:after="0" w:line="240" w:lineRule="auto"/>
        <w:jc w:val="both"/>
        <w:rPr>
          <w:rFonts w:ascii="Arial" w:hAnsi="Arial" w:cs="Arial"/>
        </w:rPr>
      </w:pPr>
      <w:r>
        <w:rPr>
          <w:rFonts w:ascii="Arial" w:hAnsi="Arial" w:cs="Arial"/>
        </w:rPr>
        <w:t xml:space="preserve">Remainder of the payments/ expenditure which may neither </w:t>
      </w:r>
      <w:r w:rsidR="00F41D8E">
        <w:rPr>
          <w:rFonts w:ascii="Arial" w:hAnsi="Arial" w:cs="Arial"/>
        </w:rPr>
        <w:t>be</w:t>
      </w:r>
      <w:r>
        <w:rPr>
          <w:rFonts w:ascii="Arial" w:hAnsi="Arial" w:cs="Arial"/>
        </w:rPr>
        <w:t xml:space="preserve"> traced to the physical files nor electronic </w:t>
      </w:r>
      <w:r w:rsidR="00F41D8E">
        <w:rPr>
          <w:rFonts w:ascii="Arial" w:hAnsi="Arial" w:cs="Arial"/>
        </w:rPr>
        <w:t>attachments</w:t>
      </w:r>
      <w:r>
        <w:rPr>
          <w:rFonts w:ascii="Arial" w:hAnsi="Arial" w:cs="Arial"/>
        </w:rPr>
        <w:t xml:space="preserve"> are then being followed up by the Heads of Divi</w:t>
      </w:r>
      <w:r w:rsidR="00F41D8E">
        <w:rPr>
          <w:rFonts w:ascii="Arial" w:hAnsi="Arial" w:cs="Arial"/>
        </w:rPr>
        <w:t>si</w:t>
      </w:r>
      <w:r>
        <w:rPr>
          <w:rFonts w:ascii="Arial" w:hAnsi="Arial" w:cs="Arial"/>
        </w:rPr>
        <w:t>ons</w:t>
      </w:r>
    </w:p>
    <w:p w:rsidR="00976B8A" w:rsidRDefault="00976B8A" w:rsidP="00A97BCA">
      <w:pPr>
        <w:pStyle w:val="ListParagraph"/>
        <w:numPr>
          <w:ilvl w:val="0"/>
          <w:numId w:val="3"/>
        </w:numPr>
        <w:spacing w:after="0" w:line="240" w:lineRule="auto"/>
        <w:jc w:val="both"/>
        <w:rPr>
          <w:rFonts w:ascii="Arial" w:hAnsi="Arial" w:cs="Arial"/>
        </w:rPr>
      </w:pPr>
      <w:r>
        <w:rPr>
          <w:rFonts w:ascii="Arial" w:hAnsi="Arial" w:cs="Arial"/>
        </w:rPr>
        <w:t>The draft IFWE registers/ schedules have been shared with the AGSA for the interim audit testing</w:t>
      </w:r>
    </w:p>
    <w:p w:rsidR="00976B8A" w:rsidRDefault="00976B8A" w:rsidP="00A97BCA">
      <w:pPr>
        <w:pStyle w:val="ListParagraph"/>
        <w:numPr>
          <w:ilvl w:val="0"/>
          <w:numId w:val="3"/>
        </w:numPr>
        <w:spacing w:after="0" w:line="240" w:lineRule="auto"/>
        <w:jc w:val="both"/>
        <w:rPr>
          <w:rFonts w:ascii="Arial" w:hAnsi="Arial" w:cs="Arial"/>
        </w:rPr>
      </w:pPr>
      <w:r>
        <w:rPr>
          <w:rFonts w:ascii="Arial" w:hAnsi="Arial" w:cs="Arial"/>
        </w:rPr>
        <w:t>The final IFWE and disclosure note will then be submitted to the AGSA when the SABC is submitting the annual financial statements on the 31</w:t>
      </w:r>
      <w:r w:rsidRPr="00976B8A">
        <w:rPr>
          <w:rFonts w:ascii="Arial" w:hAnsi="Arial" w:cs="Arial"/>
          <w:vertAlign w:val="superscript"/>
        </w:rPr>
        <w:t>st</w:t>
      </w:r>
      <w:r>
        <w:rPr>
          <w:rFonts w:ascii="Arial" w:hAnsi="Arial" w:cs="Arial"/>
        </w:rPr>
        <w:t xml:space="preserve"> May 2017. </w:t>
      </w:r>
    </w:p>
    <w:p w:rsidR="00CB6BBE" w:rsidRDefault="00CB6BBE">
      <w:pPr>
        <w:rPr>
          <w:rFonts w:ascii="Arial" w:hAnsi="Arial" w:cs="Arial"/>
        </w:rPr>
      </w:pPr>
    </w:p>
    <w:p w:rsidR="00190073" w:rsidRPr="00792566" w:rsidRDefault="00792566" w:rsidP="00792566">
      <w:pPr>
        <w:pStyle w:val="ListParagraph"/>
        <w:numPr>
          <w:ilvl w:val="0"/>
          <w:numId w:val="1"/>
        </w:numPr>
        <w:ind w:left="270" w:hanging="270"/>
        <w:rPr>
          <w:rFonts w:ascii="Arial" w:hAnsi="Arial" w:cs="Arial"/>
          <w:b/>
        </w:rPr>
      </w:pPr>
      <w:r w:rsidRPr="00792566">
        <w:rPr>
          <w:rFonts w:ascii="Arial" w:hAnsi="Arial" w:cs="Arial"/>
          <w:b/>
        </w:rPr>
        <w:lastRenderedPageBreak/>
        <w:t>Analysis of IFWE (status update)</w:t>
      </w:r>
    </w:p>
    <w:p w:rsidR="00190073" w:rsidRDefault="00792566">
      <w:pPr>
        <w:rPr>
          <w:rFonts w:ascii="Arial" w:hAnsi="Arial" w:cs="Arial"/>
        </w:rPr>
      </w:pPr>
      <w:r>
        <w:rPr>
          <w:rFonts w:ascii="Arial" w:hAnsi="Arial" w:cs="Arial"/>
        </w:rPr>
        <w:t xml:space="preserve">Below is the analysis of irregular expenditure identified/ verified thus far categorized under respective incidents: </w:t>
      </w:r>
    </w:p>
    <w:p w:rsidR="00792566" w:rsidRDefault="00792566" w:rsidP="00792566">
      <w:pPr>
        <w:pStyle w:val="ListParagraph"/>
        <w:numPr>
          <w:ilvl w:val="0"/>
          <w:numId w:val="2"/>
        </w:numPr>
        <w:rPr>
          <w:rFonts w:ascii="Arial" w:hAnsi="Arial" w:cs="Arial"/>
        </w:rPr>
      </w:pPr>
      <w:r>
        <w:rPr>
          <w:rFonts w:ascii="Arial" w:hAnsi="Arial" w:cs="Arial"/>
        </w:rPr>
        <w:t>Content</w:t>
      </w:r>
    </w:p>
    <w:tbl>
      <w:tblPr>
        <w:tblStyle w:val="TableGrid"/>
        <w:tblW w:w="10218" w:type="dxa"/>
        <w:tblInd w:w="60" w:type="dxa"/>
        <w:tblLayout w:type="fixed"/>
        <w:tblLook w:val="04A0"/>
      </w:tblPr>
      <w:tblGrid>
        <w:gridCol w:w="5718"/>
        <w:gridCol w:w="900"/>
        <w:gridCol w:w="900"/>
        <w:gridCol w:w="900"/>
        <w:gridCol w:w="900"/>
        <w:gridCol w:w="900"/>
      </w:tblGrid>
      <w:tr w:rsidR="00332FE1" w:rsidRPr="00792566" w:rsidTr="00332FE1">
        <w:trPr>
          <w:trHeight w:val="557"/>
          <w:tblHeader/>
        </w:trPr>
        <w:tc>
          <w:tcPr>
            <w:tcW w:w="5718" w:type="dxa"/>
            <w:shd w:val="clear" w:color="auto" w:fill="92CDDC" w:themeFill="accent5" w:themeFillTint="99"/>
            <w:vAlign w:val="center"/>
          </w:tcPr>
          <w:p w:rsidR="00792566" w:rsidRPr="00792566" w:rsidRDefault="00792566" w:rsidP="00792566">
            <w:pPr>
              <w:jc w:val="center"/>
              <w:rPr>
                <w:rFonts w:ascii="Arial" w:hAnsi="Arial" w:cs="Arial"/>
                <w:b/>
                <w:sz w:val="18"/>
              </w:rPr>
            </w:pPr>
            <w:r w:rsidRPr="00792566">
              <w:rPr>
                <w:rFonts w:ascii="Arial" w:hAnsi="Arial" w:cs="Arial"/>
                <w:b/>
                <w:sz w:val="18"/>
              </w:rPr>
              <w:t>Incidents</w:t>
            </w:r>
          </w:p>
        </w:tc>
        <w:tc>
          <w:tcPr>
            <w:tcW w:w="900" w:type="dxa"/>
            <w:shd w:val="clear" w:color="auto" w:fill="92CDDC" w:themeFill="accent5" w:themeFillTint="99"/>
            <w:vAlign w:val="center"/>
          </w:tcPr>
          <w:p w:rsidR="00792566" w:rsidRDefault="00792566" w:rsidP="00792566">
            <w:pPr>
              <w:jc w:val="center"/>
              <w:rPr>
                <w:rFonts w:ascii="Arial" w:hAnsi="Arial" w:cs="Arial"/>
                <w:b/>
                <w:sz w:val="18"/>
              </w:rPr>
            </w:pPr>
            <w:r w:rsidRPr="00792566">
              <w:rPr>
                <w:rFonts w:ascii="Arial" w:hAnsi="Arial" w:cs="Arial"/>
                <w:b/>
                <w:sz w:val="18"/>
              </w:rPr>
              <w:t>2016/17</w:t>
            </w:r>
          </w:p>
          <w:p w:rsidR="00792566" w:rsidRPr="00792566" w:rsidRDefault="00792566" w:rsidP="00792566">
            <w:pPr>
              <w:jc w:val="center"/>
              <w:rPr>
                <w:rFonts w:ascii="Arial" w:hAnsi="Arial" w:cs="Arial"/>
                <w:b/>
                <w:sz w:val="18"/>
              </w:rPr>
            </w:pPr>
            <w:r>
              <w:rPr>
                <w:rFonts w:ascii="Arial" w:hAnsi="Arial" w:cs="Arial"/>
                <w:b/>
                <w:sz w:val="18"/>
              </w:rPr>
              <w:t>R’000</w:t>
            </w:r>
          </w:p>
        </w:tc>
        <w:tc>
          <w:tcPr>
            <w:tcW w:w="900" w:type="dxa"/>
            <w:shd w:val="clear" w:color="auto" w:fill="92CDDC" w:themeFill="accent5" w:themeFillTint="99"/>
            <w:vAlign w:val="center"/>
          </w:tcPr>
          <w:p w:rsidR="00792566" w:rsidRDefault="00792566" w:rsidP="00792566">
            <w:pPr>
              <w:jc w:val="center"/>
              <w:rPr>
                <w:rFonts w:ascii="Arial" w:hAnsi="Arial" w:cs="Arial"/>
                <w:b/>
                <w:sz w:val="18"/>
              </w:rPr>
            </w:pPr>
            <w:r w:rsidRPr="00792566">
              <w:rPr>
                <w:rFonts w:ascii="Arial" w:hAnsi="Arial" w:cs="Arial"/>
                <w:b/>
                <w:sz w:val="18"/>
              </w:rPr>
              <w:t>2015/16</w:t>
            </w:r>
          </w:p>
          <w:p w:rsidR="00792566" w:rsidRPr="00792566" w:rsidRDefault="00792566" w:rsidP="00792566">
            <w:pPr>
              <w:jc w:val="center"/>
              <w:rPr>
                <w:rFonts w:ascii="Arial" w:hAnsi="Arial" w:cs="Arial"/>
                <w:b/>
                <w:sz w:val="18"/>
              </w:rPr>
            </w:pPr>
            <w:r>
              <w:rPr>
                <w:rFonts w:ascii="Arial" w:hAnsi="Arial" w:cs="Arial"/>
                <w:b/>
                <w:sz w:val="18"/>
              </w:rPr>
              <w:t>R’000</w:t>
            </w:r>
          </w:p>
        </w:tc>
        <w:tc>
          <w:tcPr>
            <w:tcW w:w="900" w:type="dxa"/>
            <w:shd w:val="clear" w:color="auto" w:fill="92CDDC" w:themeFill="accent5" w:themeFillTint="99"/>
            <w:vAlign w:val="center"/>
          </w:tcPr>
          <w:p w:rsidR="00792566" w:rsidRDefault="00792566" w:rsidP="00792566">
            <w:pPr>
              <w:jc w:val="center"/>
              <w:rPr>
                <w:rFonts w:ascii="Arial" w:hAnsi="Arial" w:cs="Arial"/>
                <w:b/>
                <w:sz w:val="18"/>
              </w:rPr>
            </w:pPr>
            <w:r w:rsidRPr="00792566">
              <w:rPr>
                <w:rFonts w:ascii="Arial" w:hAnsi="Arial" w:cs="Arial"/>
                <w:b/>
                <w:sz w:val="18"/>
              </w:rPr>
              <w:t>2014/15</w:t>
            </w:r>
          </w:p>
          <w:p w:rsidR="00792566" w:rsidRPr="00792566" w:rsidRDefault="00792566" w:rsidP="00792566">
            <w:pPr>
              <w:jc w:val="center"/>
              <w:rPr>
                <w:rFonts w:ascii="Arial" w:hAnsi="Arial" w:cs="Arial"/>
                <w:b/>
                <w:sz w:val="18"/>
              </w:rPr>
            </w:pPr>
            <w:r>
              <w:rPr>
                <w:rFonts w:ascii="Arial" w:hAnsi="Arial" w:cs="Arial"/>
                <w:b/>
                <w:sz w:val="18"/>
              </w:rPr>
              <w:t>R’000</w:t>
            </w:r>
          </w:p>
        </w:tc>
        <w:tc>
          <w:tcPr>
            <w:tcW w:w="900" w:type="dxa"/>
            <w:shd w:val="clear" w:color="auto" w:fill="92CDDC" w:themeFill="accent5" w:themeFillTint="99"/>
            <w:vAlign w:val="center"/>
          </w:tcPr>
          <w:p w:rsidR="00792566" w:rsidRDefault="00792566" w:rsidP="00792566">
            <w:pPr>
              <w:jc w:val="center"/>
              <w:rPr>
                <w:rFonts w:ascii="Arial" w:hAnsi="Arial" w:cs="Arial"/>
                <w:b/>
                <w:sz w:val="18"/>
              </w:rPr>
            </w:pPr>
            <w:r w:rsidRPr="00792566">
              <w:rPr>
                <w:rFonts w:ascii="Arial" w:hAnsi="Arial" w:cs="Arial"/>
                <w:b/>
                <w:sz w:val="18"/>
              </w:rPr>
              <w:t>2013/14</w:t>
            </w:r>
          </w:p>
          <w:p w:rsidR="00792566" w:rsidRPr="00792566" w:rsidRDefault="00792566" w:rsidP="00792566">
            <w:pPr>
              <w:jc w:val="center"/>
              <w:rPr>
                <w:rFonts w:ascii="Arial" w:hAnsi="Arial" w:cs="Arial"/>
                <w:b/>
                <w:sz w:val="18"/>
              </w:rPr>
            </w:pPr>
            <w:r>
              <w:rPr>
                <w:rFonts w:ascii="Arial" w:hAnsi="Arial" w:cs="Arial"/>
                <w:b/>
                <w:sz w:val="18"/>
              </w:rPr>
              <w:t>R’000</w:t>
            </w:r>
          </w:p>
        </w:tc>
        <w:tc>
          <w:tcPr>
            <w:tcW w:w="900" w:type="dxa"/>
            <w:shd w:val="clear" w:color="auto" w:fill="92CDDC" w:themeFill="accent5" w:themeFillTint="99"/>
            <w:vAlign w:val="center"/>
          </w:tcPr>
          <w:p w:rsidR="00792566" w:rsidRDefault="00792566" w:rsidP="00792566">
            <w:pPr>
              <w:jc w:val="center"/>
              <w:rPr>
                <w:rFonts w:ascii="Arial" w:hAnsi="Arial" w:cs="Arial"/>
                <w:b/>
                <w:sz w:val="18"/>
              </w:rPr>
            </w:pPr>
            <w:r w:rsidRPr="00792566">
              <w:rPr>
                <w:rFonts w:ascii="Arial" w:hAnsi="Arial" w:cs="Arial"/>
                <w:b/>
                <w:sz w:val="18"/>
              </w:rPr>
              <w:t>2012/13</w:t>
            </w:r>
          </w:p>
          <w:p w:rsidR="00792566" w:rsidRPr="00792566" w:rsidRDefault="00792566" w:rsidP="00792566">
            <w:pPr>
              <w:jc w:val="center"/>
              <w:rPr>
                <w:rFonts w:ascii="Arial" w:hAnsi="Arial" w:cs="Arial"/>
                <w:b/>
                <w:sz w:val="18"/>
              </w:rPr>
            </w:pPr>
            <w:r>
              <w:rPr>
                <w:rFonts w:ascii="Arial" w:hAnsi="Arial" w:cs="Arial"/>
                <w:b/>
                <w:sz w:val="18"/>
              </w:rPr>
              <w:t>R’000</w:t>
            </w:r>
          </w:p>
        </w:tc>
      </w:tr>
      <w:tr w:rsidR="00332FE1" w:rsidRPr="00792566" w:rsidTr="00332FE1">
        <w:tc>
          <w:tcPr>
            <w:tcW w:w="5718" w:type="dxa"/>
            <w:vAlign w:val="bottom"/>
          </w:tcPr>
          <w:p w:rsidR="00792566" w:rsidRPr="00792566" w:rsidRDefault="00792566">
            <w:pPr>
              <w:pStyle w:val="NormalWeb"/>
              <w:spacing w:before="0" w:beforeAutospacing="0" w:after="0" w:afterAutospacing="0"/>
              <w:textAlignment w:val="bottom"/>
              <w:rPr>
                <w:rFonts w:ascii="Arial" w:hAnsi="Arial" w:cs="Arial"/>
                <w:sz w:val="18"/>
                <w:szCs w:val="36"/>
              </w:rPr>
            </w:pPr>
            <w:r w:rsidRPr="00792566">
              <w:rPr>
                <w:rFonts w:ascii="Arial" w:hAnsi="Arial" w:cs="Arial"/>
                <w:color w:val="000000" w:themeColor="dark1"/>
                <w:kern w:val="24"/>
                <w:sz w:val="18"/>
                <w:szCs w:val="30"/>
              </w:rPr>
              <w:t>Content acquisition process for unsolicited offers not followed</w:t>
            </w:r>
          </w:p>
        </w:tc>
        <w:tc>
          <w:tcPr>
            <w:tcW w:w="900" w:type="dxa"/>
            <w:vAlign w:val="bottom"/>
          </w:tcPr>
          <w:p w:rsidR="00792566" w:rsidRPr="00792566" w:rsidRDefault="00792566" w:rsidP="00332FE1">
            <w:pPr>
              <w:jc w:val="right"/>
              <w:rPr>
                <w:rFonts w:ascii="Arial" w:hAnsi="Arial" w:cs="Arial"/>
                <w:sz w:val="18"/>
                <w:szCs w:val="36"/>
              </w:rPr>
            </w:pPr>
          </w:p>
        </w:tc>
        <w:tc>
          <w:tcPr>
            <w:tcW w:w="900" w:type="dxa"/>
            <w:vAlign w:val="bottom"/>
          </w:tcPr>
          <w:p w:rsidR="00792566" w:rsidRPr="00792566" w:rsidRDefault="00332FE1" w:rsidP="00332FE1">
            <w:pPr>
              <w:pStyle w:val="NormalWeb"/>
              <w:spacing w:before="0" w:beforeAutospacing="0" w:after="0" w:afterAutospacing="0"/>
              <w:jc w:val="right"/>
              <w:textAlignment w:val="bottom"/>
              <w:rPr>
                <w:rFonts w:ascii="Arial" w:hAnsi="Arial" w:cs="Arial"/>
                <w:sz w:val="18"/>
                <w:szCs w:val="36"/>
              </w:rPr>
            </w:pPr>
            <w:r>
              <w:rPr>
                <w:rFonts w:ascii="Arial" w:hAnsi="Arial" w:cs="Arial"/>
                <w:color w:val="000000" w:themeColor="dark1"/>
                <w:kern w:val="24"/>
                <w:sz w:val="18"/>
                <w:szCs w:val="30"/>
              </w:rPr>
              <w:t>3,297</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p>
        </w:tc>
      </w:tr>
      <w:tr w:rsidR="00332FE1" w:rsidRPr="00792566" w:rsidTr="00332FE1">
        <w:tc>
          <w:tcPr>
            <w:tcW w:w="5718" w:type="dxa"/>
            <w:vAlign w:val="bottom"/>
          </w:tcPr>
          <w:p w:rsidR="00792566" w:rsidRPr="00792566" w:rsidRDefault="00792566">
            <w:pPr>
              <w:pStyle w:val="NormalWeb"/>
              <w:spacing w:before="0" w:beforeAutospacing="0" w:after="0" w:afterAutospacing="0"/>
              <w:textAlignment w:val="bottom"/>
              <w:rPr>
                <w:rFonts w:ascii="Arial" w:hAnsi="Arial" w:cs="Arial"/>
                <w:sz w:val="18"/>
                <w:szCs w:val="36"/>
              </w:rPr>
            </w:pPr>
            <w:r w:rsidRPr="00792566">
              <w:rPr>
                <w:rFonts w:ascii="Arial" w:hAnsi="Arial" w:cs="Arial"/>
                <w:color w:val="000000" w:themeColor="dark1"/>
                <w:kern w:val="24"/>
                <w:sz w:val="18"/>
                <w:szCs w:val="30"/>
              </w:rPr>
              <w:t>Re</w:t>
            </w:r>
            <w:r w:rsidR="00332FE1">
              <w:rPr>
                <w:rFonts w:ascii="Arial" w:hAnsi="Arial" w:cs="Arial"/>
                <w:color w:val="000000" w:themeColor="dark1"/>
                <w:kern w:val="24"/>
                <w:sz w:val="18"/>
                <w:szCs w:val="30"/>
              </w:rPr>
              <w:t>-</w:t>
            </w:r>
            <w:r w:rsidRPr="00792566">
              <w:rPr>
                <w:rFonts w:ascii="Arial" w:hAnsi="Arial" w:cs="Arial"/>
                <w:color w:val="000000" w:themeColor="dark1"/>
                <w:kern w:val="24"/>
                <w:sz w:val="18"/>
                <w:szCs w:val="30"/>
              </w:rPr>
              <w:t>commissioning process not followed</w:t>
            </w:r>
          </w:p>
        </w:tc>
        <w:tc>
          <w:tcPr>
            <w:tcW w:w="900" w:type="dxa"/>
            <w:vAlign w:val="bottom"/>
          </w:tcPr>
          <w:p w:rsidR="00792566" w:rsidRPr="00792566" w:rsidRDefault="00332FE1" w:rsidP="00332FE1">
            <w:pPr>
              <w:pStyle w:val="NormalWeb"/>
              <w:spacing w:before="0" w:beforeAutospacing="0" w:after="0" w:afterAutospacing="0"/>
              <w:jc w:val="right"/>
              <w:textAlignment w:val="bottom"/>
              <w:rPr>
                <w:rFonts w:ascii="Arial" w:hAnsi="Arial" w:cs="Arial"/>
                <w:sz w:val="18"/>
                <w:szCs w:val="36"/>
              </w:rPr>
            </w:pPr>
            <w:r>
              <w:rPr>
                <w:rFonts w:ascii="Arial" w:hAnsi="Arial" w:cs="Arial"/>
                <w:color w:val="000000" w:themeColor="dark1"/>
                <w:kern w:val="24"/>
                <w:sz w:val="18"/>
                <w:szCs w:val="30"/>
              </w:rPr>
              <w:t>10,584</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r>
              <w:rPr>
                <w:rFonts w:ascii="Arial" w:hAnsi="Arial" w:cs="Arial"/>
                <w:color w:val="000000" w:themeColor="dark1"/>
                <w:kern w:val="24"/>
                <w:sz w:val="18"/>
                <w:szCs w:val="30"/>
              </w:rPr>
              <w:t>75</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p>
        </w:tc>
      </w:tr>
      <w:tr w:rsidR="00332FE1" w:rsidRPr="00792566" w:rsidTr="00332FE1">
        <w:tc>
          <w:tcPr>
            <w:tcW w:w="5718" w:type="dxa"/>
            <w:vAlign w:val="bottom"/>
          </w:tcPr>
          <w:p w:rsidR="00792566" w:rsidRPr="00792566" w:rsidRDefault="00792566">
            <w:pPr>
              <w:pStyle w:val="NormalWeb"/>
              <w:spacing w:before="0" w:beforeAutospacing="0" w:after="0" w:afterAutospacing="0"/>
              <w:textAlignment w:val="bottom"/>
              <w:rPr>
                <w:rFonts w:ascii="Arial" w:hAnsi="Arial" w:cs="Arial"/>
                <w:sz w:val="18"/>
                <w:szCs w:val="36"/>
              </w:rPr>
            </w:pPr>
            <w:r w:rsidRPr="00792566">
              <w:rPr>
                <w:rFonts w:ascii="Arial" w:hAnsi="Arial" w:cs="Arial"/>
                <w:color w:val="000000" w:themeColor="dark1"/>
                <w:kern w:val="24"/>
                <w:sz w:val="18"/>
                <w:szCs w:val="30"/>
              </w:rPr>
              <w:t>Evaluation criteria not followed</w:t>
            </w:r>
          </w:p>
        </w:tc>
        <w:tc>
          <w:tcPr>
            <w:tcW w:w="900" w:type="dxa"/>
            <w:vAlign w:val="bottom"/>
          </w:tcPr>
          <w:p w:rsidR="00792566" w:rsidRPr="00792566" w:rsidRDefault="00332FE1" w:rsidP="00332FE1">
            <w:pPr>
              <w:pStyle w:val="NormalWeb"/>
              <w:spacing w:before="0" w:beforeAutospacing="0" w:after="0" w:afterAutospacing="0"/>
              <w:jc w:val="right"/>
              <w:textAlignment w:val="bottom"/>
              <w:rPr>
                <w:rFonts w:ascii="Arial" w:hAnsi="Arial" w:cs="Arial"/>
                <w:sz w:val="18"/>
                <w:szCs w:val="36"/>
              </w:rPr>
            </w:pPr>
            <w:r>
              <w:rPr>
                <w:rFonts w:ascii="Arial" w:hAnsi="Arial" w:cs="Arial"/>
                <w:color w:val="000000" w:themeColor="dark1"/>
                <w:kern w:val="24"/>
                <w:sz w:val="18"/>
                <w:szCs w:val="30"/>
              </w:rPr>
              <w:t>358</w:t>
            </w:r>
          </w:p>
        </w:tc>
        <w:tc>
          <w:tcPr>
            <w:tcW w:w="900" w:type="dxa"/>
            <w:vAlign w:val="bottom"/>
          </w:tcPr>
          <w:p w:rsidR="00792566" w:rsidRPr="00792566" w:rsidRDefault="00332FE1" w:rsidP="00332FE1">
            <w:pPr>
              <w:pStyle w:val="NormalWeb"/>
              <w:spacing w:before="0" w:beforeAutospacing="0" w:after="0" w:afterAutospacing="0"/>
              <w:jc w:val="right"/>
              <w:textAlignment w:val="bottom"/>
              <w:rPr>
                <w:rFonts w:ascii="Arial" w:hAnsi="Arial" w:cs="Arial"/>
                <w:sz w:val="18"/>
                <w:szCs w:val="36"/>
              </w:rPr>
            </w:pPr>
            <w:r>
              <w:rPr>
                <w:rFonts w:ascii="Arial" w:hAnsi="Arial" w:cs="Arial"/>
                <w:color w:val="000000" w:themeColor="dark1"/>
                <w:kern w:val="24"/>
                <w:sz w:val="18"/>
                <w:szCs w:val="30"/>
              </w:rPr>
              <w:t>447</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r>
              <w:rPr>
                <w:rFonts w:ascii="Arial" w:hAnsi="Arial" w:cs="Arial"/>
                <w:color w:val="000000" w:themeColor="dark1"/>
                <w:kern w:val="24"/>
                <w:sz w:val="18"/>
                <w:szCs w:val="30"/>
              </w:rPr>
              <w:t>1,192</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r>
              <w:rPr>
                <w:rFonts w:ascii="Arial" w:hAnsi="Arial" w:cs="Arial"/>
                <w:color w:val="000000" w:themeColor="dark1"/>
                <w:kern w:val="24"/>
                <w:sz w:val="18"/>
                <w:szCs w:val="30"/>
              </w:rPr>
              <w:t>29,281</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r>
              <w:rPr>
                <w:rFonts w:ascii="Arial" w:hAnsi="Arial" w:cs="Arial"/>
                <w:color w:val="000000" w:themeColor="dark1"/>
                <w:kern w:val="24"/>
                <w:sz w:val="18"/>
                <w:szCs w:val="30"/>
              </w:rPr>
              <w:t>1,499</w:t>
            </w:r>
          </w:p>
        </w:tc>
      </w:tr>
      <w:tr w:rsidR="00332FE1" w:rsidRPr="00792566" w:rsidTr="00332FE1">
        <w:tc>
          <w:tcPr>
            <w:tcW w:w="5718" w:type="dxa"/>
            <w:vAlign w:val="bottom"/>
          </w:tcPr>
          <w:p w:rsidR="00792566" w:rsidRPr="00792566" w:rsidRDefault="00792566">
            <w:pPr>
              <w:pStyle w:val="NormalWeb"/>
              <w:spacing w:before="0" w:beforeAutospacing="0" w:after="0" w:afterAutospacing="0"/>
              <w:textAlignment w:val="bottom"/>
              <w:rPr>
                <w:rFonts w:ascii="Arial" w:hAnsi="Arial" w:cs="Arial"/>
                <w:sz w:val="18"/>
                <w:szCs w:val="36"/>
              </w:rPr>
            </w:pPr>
            <w:r w:rsidRPr="00792566">
              <w:rPr>
                <w:rFonts w:ascii="Arial" w:hAnsi="Arial" w:cs="Arial"/>
                <w:color w:val="000000" w:themeColor="dark1"/>
                <w:kern w:val="24"/>
                <w:sz w:val="18"/>
                <w:szCs w:val="30"/>
              </w:rPr>
              <w:t>No valid (Original) T</w:t>
            </w:r>
            <w:r w:rsidR="00332FE1">
              <w:rPr>
                <w:rFonts w:ascii="Arial" w:hAnsi="Arial" w:cs="Arial"/>
                <w:color w:val="000000" w:themeColor="dark1"/>
                <w:kern w:val="24"/>
                <w:sz w:val="18"/>
                <w:szCs w:val="30"/>
              </w:rPr>
              <w:t xml:space="preserve">ax </w:t>
            </w:r>
            <w:r w:rsidRPr="00792566">
              <w:rPr>
                <w:rFonts w:ascii="Arial" w:hAnsi="Arial" w:cs="Arial"/>
                <w:color w:val="000000" w:themeColor="dark1"/>
                <w:kern w:val="24"/>
                <w:sz w:val="18"/>
                <w:szCs w:val="30"/>
              </w:rPr>
              <w:t>C</w:t>
            </w:r>
            <w:r w:rsidR="00332FE1">
              <w:rPr>
                <w:rFonts w:ascii="Arial" w:hAnsi="Arial" w:cs="Arial"/>
                <w:color w:val="000000" w:themeColor="dark1"/>
                <w:kern w:val="24"/>
                <w:sz w:val="18"/>
                <w:szCs w:val="30"/>
              </w:rPr>
              <w:t xml:space="preserve">learance </w:t>
            </w:r>
            <w:r w:rsidRPr="00792566">
              <w:rPr>
                <w:rFonts w:ascii="Arial" w:hAnsi="Arial" w:cs="Arial"/>
                <w:color w:val="000000" w:themeColor="dark1"/>
                <w:kern w:val="24"/>
                <w:sz w:val="18"/>
                <w:szCs w:val="30"/>
              </w:rPr>
              <w:t>C</w:t>
            </w:r>
            <w:r w:rsidR="00332FE1">
              <w:rPr>
                <w:rFonts w:ascii="Arial" w:hAnsi="Arial" w:cs="Arial"/>
                <w:color w:val="000000" w:themeColor="dark1"/>
                <w:kern w:val="24"/>
                <w:sz w:val="18"/>
                <w:szCs w:val="30"/>
              </w:rPr>
              <w:t>ertificate</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r w:rsidRPr="00792566">
              <w:rPr>
                <w:rFonts w:ascii="Arial" w:hAnsi="Arial" w:cs="Arial"/>
                <w:color w:val="000000" w:themeColor="dark1"/>
                <w:kern w:val="24"/>
                <w:sz w:val="18"/>
                <w:szCs w:val="30"/>
              </w:rPr>
              <w:t>51,403</w:t>
            </w:r>
          </w:p>
        </w:tc>
        <w:tc>
          <w:tcPr>
            <w:tcW w:w="900" w:type="dxa"/>
            <w:vAlign w:val="bottom"/>
          </w:tcPr>
          <w:p w:rsidR="00792566" w:rsidRPr="00792566" w:rsidRDefault="00332FE1" w:rsidP="00332FE1">
            <w:pPr>
              <w:pStyle w:val="NormalWeb"/>
              <w:spacing w:before="0" w:beforeAutospacing="0" w:after="0" w:afterAutospacing="0"/>
              <w:jc w:val="right"/>
              <w:textAlignment w:val="bottom"/>
              <w:rPr>
                <w:rFonts w:ascii="Arial" w:hAnsi="Arial" w:cs="Arial"/>
                <w:sz w:val="18"/>
                <w:szCs w:val="36"/>
              </w:rPr>
            </w:pPr>
            <w:r>
              <w:rPr>
                <w:rFonts w:ascii="Arial" w:hAnsi="Arial" w:cs="Arial"/>
                <w:color w:val="000000" w:themeColor="dark1"/>
                <w:kern w:val="24"/>
                <w:sz w:val="18"/>
                <w:szCs w:val="30"/>
              </w:rPr>
              <w:t>236,363</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r w:rsidRPr="00792566">
              <w:rPr>
                <w:rFonts w:ascii="Arial" w:hAnsi="Arial" w:cs="Arial"/>
                <w:color w:val="000000" w:themeColor="dark1"/>
                <w:kern w:val="24"/>
                <w:sz w:val="18"/>
                <w:szCs w:val="30"/>
              </w:rPr>
              <w:t>350,752</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r w:rsidRPr="00792566">
              <w:rPr>
                <w:rFonts w:ascii="Arial" w:hAnsi="Arial" w:cs="Arial"/>
                <w:color w:val="000000" w:themeColor="dark1"/>
                <w:kern w:val="24"/>
                <w:sz w:val="18"/>
                <w:szCs w:val="30"/>
              </w:rPr>
              <w:t>770,384</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r>
              <w:rPr>
                <w:rFonts w:ascii="Arial" w:hAnsi="Arial" w:cs="Arial"/>
                <w:color w:val="000000" w:themeColor="dark1"/>
                <w:kern w:val="24"/>
                <w:sz w:val="18"/>
                <w:szCs w:val="30"/>
              </w:rPr>
              <w:t>877,967</w:t>
            </w:r>
          </w:p>
        </w:tc>
      </w:tr>
      <w:tr w:rsidR="00332FE1" w:rsidRPr="00792566" w:rsidTr="00332FE1">
        <w:tc>
          <w:tcPr>
            <w:tcW w:w="5718" w:type="dxa"/>
            <w:vAlign w:val="bottom"/>
          </w:tcPr>
          <w:p w:rsidR="00792566" w:rsidRPr="00792566" w:rsidRDefault="00792566">
            <w:pPr>
              <w:pStyle w:val="NormalWeb"/>
              <w:spacing w:before="0" w:beforeAutospacing="0" w:after="0" w:afterAutospacing="0"/>
              <w:textAlignment w:val="bottom"/>
              <w:rPr>
                <w:rFonts w:ascii="Arial" w:hAnsi="Arial" w:cs="Arial"/>
                <w:sz w:val="18"/>
                <w:szCs w:val="36"/>
              </w:rPr>
            </w:pPr>
            <w:r w:rsidRPr="00792566">
              <w:rPr>
                <w:rFonts w:ascii="Arial" w:hAnsi="Arial" w:cs="Arial"/>
                <w:color w:val="000000" w:themeColor="dark1"/>
                <w:kern w:val="24"/>
                <w:sz w:val="18"/>
                <w:szCs w:val="30"/>
              </w:rPr>
              <w:t>D</w:t>
            </w:r>
            <w:r w:rsidR="00332FE1">
              <w:rPr>
                <w:rFonts w:ascii="Arial" w:hAnsi="Arial" w:cs="Arial"/>
                <w:color w:val="000000" w:themeColor="dark1"/>
                <w:kern w:val="24"/>
                <w:sz w:val="18"/>
                <w:szCs w:val="30"/>
              </w:rPr>
              <w:t xml:space="preserve">elegation of </w:t>
            </w:r>
            <w:r w:rsidRPr="00792566">
              <w:rPr>
                <w:rFonts w:ascii="Arial" w:hAnsi="Arial" w:cs="Arial"/>
                <w:color w:val="000000" w:themeColor="dark1"/>
                <w:kern w:val="24"/>
                <w:sz w:val="18"/>
                <w:szCs w:val="30"/>
              </w:rPr>
              <w:t>A</w:t>
            </w:r>
            <w:r w:rsidR="00332FE1">
              <w:rPr>
                <w:rFonts w:ascii="Arial" w:hAnsi="Arial" w:cs="Arial"/>
                <w:color w:val="000000" w:themeColor="dark1"/>
                <w:kern w:val="24"/>
                <w:sz w:val="18"/>
                <w:szCs w:val="30"/>
              </w:rPr>
              <w:t xml:space="preserve">uthority </w:t>
            </w:r>
            <w:r w:rsidRPr="00792566">
              <w:rPr>
                <w:rFonts w:ascii="Arial" w:hAnsi="Arial" w:cs="Arial"/>
                <w:color w:val="000000" w:themeColor="dark1"/>
                <w:kern w:val="24"/>
                <w:sz w:val="18"/>
                <w:szCs w:val="30"/>
              </w:rPr>
              <w:t>F</w:t>
            </w:r>
            <w:r w:rsidR="00332FE1">
              <w:rPr>
                <w:rFonts w:ascii="Arial" w:hAnsi="Arial" w:cs="Arial"/>
                <w:color w:val="000000" w:themeColor="dark1"/>
                <w:kern w:val="24"/>
                <w:sz w:val="18"/>
                <w:szCs w:val="30"/>
              </w:rPr>
              <w:t>ramework contravention</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r w:rsidRPr="00792566">
              <w:rPr>
                <w:rFonts w:ascii="Arial" w:hAnsi="Arial" w:cs="Arial"/>
                <w:color w:val="000000" w:themeColor="dark1"/>
                <w:kern w:val="24"/>
                <w:sz w:val="18"/>
                <w:szCs w:val="30"/>
              </w:rPr>
              <w:t>6</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p>
        </w:tc>
      </w:tr>
      <w:tr w:rsidR="00332FE1" w:rsidRPr="00792566" w:rsidTr="00332FE1">
        <w:tc>
          <w:tcPr>
            <w:tcW w:w="5718" w:type="dxa"/>
            <w:vAlign w:val="bottom"/>
          </w:tcPr>
          <w:p w:rsidR="00792566" w:rsidRPr="00792566" w:rsidRDefault="00332FE1" w:rsidP="00332FE1">
            <w:pPr>
              <w:pStyle w:val="NormalWeb"/>
              <w:spacing w:before="0" w:beforeAutospacing="0" w:after="0" w:afterAutospacing="0"/>
              <w:textAlignment w:val="bottom"/>
              <w:rPr>
                <w:rFonts w:ascii="Arial" w:hAnsi="Arial" w:cs="Arial"/>
                <w:sz w:val="18"/>
                <w:szCs w:val="36"/>
              </w:rPr>
            </w:pPr>
            <w:r>
              <w:rPr>
                <w:rFonts w:ascii="Arial" w:hAnsi="Arial" w:cs="Arial"/>
                <w:color w:val="000000" w:themeColor="dark1"/>
                <w:kern w:val="24"/>
                <w:sz w:val="18"/>
                <w:szCs w:val="30"/>
              </w:rPr>
              <w:t>Insufficient d</w:t>
            </w:r>
            <w:r w:rsidR="00792566" w:rsidRPr="00792566">
              <w:rPr>
                <w:rFonts w:ascii="Arial" w:hAnsi="Arial" w:cs="Arial"/>
                <w:color w:val="000000" w:themeColor="dark1"/>
                <w:kern w:val="24"/>
                <w:sz w:val="18"/>
                <w:szCs w:val="30"/>
              </w:rPr>
              <w:t>ocumentation</w:t>
            </w:r>
          </w:p>
        </w:tc>
        <w:tc>
          <w:tcPr>
            <w:tcW w:w="900" w:type="dxa"/>
            <w:vAlign w:val="bottom"/>
          </w:tcPr>
          <w:p w:rsidR="00792566" w:rsidRPr="00792566" w:rsidRDefault="00332FE1" w:rsidP="00332FE1">
            <w:pPr>
              <w:pStyle w:val="NormalWeb"/>
              <w:spacing w:before="0" w:beforeAutospacing="0" w:after="0" w:afterAutospacing="0"/>
              <w:jc w:val="right"/>
              <w:textAlignment w:val="bottom"/>
              <w:rPr>
                <w:rFonts w:ascii="Arial" w:hAnsi="Arial" w:cs="Arial"/>
                <w:sz w:val="18"/>
                <w:szCs w:val="36"/>
              </w:rPr>
            </w:pPr>
            <w:r>
              <w:rPr>
                <w:rFonts w:ascii="Arial" w:hAnsi="Arial" w:cs="Arial"/>
                <w:color w:val="000000" w:themeColor="dark1"/>
                <w:kern w:val="24"/>
                <w:sz w:val="18"/>
                <w:szCs w:val="30"/>
              </w:rPr>
              <w:t>916</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r w:rsidRPr="00792566">
              <w:rPr>
                <w:rFonts w:ascii="Arial" w:hAnsi="Arial" w:cs="Arial"/>
                <w:color w:val="000000" w:themeColor="dark1"/>
                <w:kern w:val="24"/>
                <w:sz w:val="18"/>
                <w:szCs w:val="30"/>
              </w:rPr>
              <w:t>72,163</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r>
              <w:rPr>
                <w:rFonts w:ascii="Arial" w:hAnsi="Arial" w:cs="Arial"/>
                <w:color w:val="000000" w:themeColor="dark1"/>
                <w:kern w:val="24"/>
                <w:sz w:val="18"/>
                <w:szCs w:val="30"/>
              </w:rPr>
              <w:t>215</w:t>
            </w:r>
          </w:p>
        </w:tc>
        <w:tc>
          <w:tcPr>
            <w:tcW w:w="900" w:type="dxa"/>
            <w:vAlign w:val="bottom"/>
          </w:tcPr>
          <w:p w:rsidR="00792566" w:rsidRPr="00792566" w:rsidRDefault="00792566" w:rsidP="00332FE1">
            <w:pPr>
              <w:pStyle w:val="NormalWeb"/>
              <w:spacing w:before="0" w:beforeAutospacing="0" w:after="0" w:afterAutospacing="0"/>
              <w:jc w:val="right"/>
              <w:textAlignment w:val="bottom"/>
              <w:rPr>
                <w:rFonts w:ascii="Arial" w:hAnsi="Arial" w:cs="Arial"/>
                <w:sz w:val="18"/>
                <w:szCs w:val="36"/>
              </w:rPr>
            </w:pPr>
            <w:r w:rsidRPr="00792566">
              <w:rPr>
                <w:rFonts w:ascii="Arial" w:hAnsi="Arial" w:cs="Arial"/>
                <w:color w:val="000000" w:themeColor="dark1"/>
                <w:kern w:val="24"/>
                <w:sz w:val="18"/>
                <w:szCs w:val="30"/>
              </w:rPr>
              <w:t>233</w:t>
            </w:r>
          </w:p>
        </w:tc>
      </w:tr>
      <w:tr w:rsidR="00332FE1" w:rsidRPr="00332FE1" w:rsidTr="00332FE1">
        <w:tc>
          <w:tcPr>
            <w:tcW w:w="5718" w:type="dxa"/>
            <w:vAlign w:val="bottom"/>
          </w:tcPr>
          <w:p w:rsidR="00332FE1" w:rsidRPr="00332FE1" w:rsidRDefault="00332FE1">
            <w:pPr>
              <w:pStyle w:val="NormalWeb"/>
              <w:spacing w:before="0" w:beforeAutospacing="0" w:after="0" w:afterAutospacing="0"/>
              <w:textAlignment w:val="bottom"/>
              <w:rPr>
                <w:rFonts w:ascii="Arial" w:hAnsi="Arial" w:cs="Arial"/>
                <w:b/>
                <w:sz w:val="18"/>
                <w:szCs w:val="36"/>
              </w:rPr>
            </w:pPr>
            <w:r w:rsidRPr="00332FE1">
              <w:rPr>
                <w:rFonts w:ascii="Arial" w:hAnsi="Arial" w:cs="Arial"/>
                <w:b/>
                <w:sz w:val="18"/>
                <w:szCs w:val="36"/>
              </w:rPr>
              <w:t>Total</w:t>
            </w:r>
          </w:p>
        </w:tc>
        <w:tc>
          <w:tcPr>
            <w:tcW w:w="900" w:type="dxa"/>
            <w:vAlign w:val="bottom"/>
          </w:tcPr>
          <w:p w:rsidR="00332FE1" w:rsidRPr="001B743B" w:rsidRDefault="001B743B" w:rsidP="001B743B">
            <w:pPr>
              <w:pStyle w:val="NormalWeb"/>
              <w:spacing w:before="0" w:beforeAutospacing="0" w:after="0" w:afterAutospacing="0"/>
              <w:jc w:val="right"/>
              <w:textAlignment w:val="bottom"/>
              <w:rPr>
                <w:rFonts w:ascii="Arial" w:hAnsi="Arial" w:cs="Arial"/>
                <w:b/>
                <w:color w:val="000000" w:themeColor="dark1"/>
                <w:kern w:val="24"/>
                <w:sz w:val="18"/>
                <w:szCs w:val="30"/>
              </w:rPr>
            </w:pPr>
            <w:r w:rsidRPr="001B743B">
              <w:rPr>
                <w:rFonts w:ascii="Arial" w:hAnsi="Arial" w:cs="Arial"/>
                <w:b/>
                <w:color w:val="000000" w:themeColor="dark1"/>
                <w:kern w:val="24"/>
                <w:sz w:val="18"/>
                <w:szCs w:val="30"/>
              </w:rPr>
              <w:t>63,261</w:t>
            </w:r>
            <w:r w:rsidR="00332FE1" w:rsidRPr="001B743B">
              <w:rPr>
                <w:rFonts w:ascii="Arial" w:hAnsi="Arial" w:cs="Arial"/>
                <w:b/>
                <w:color w:val="000000" w:themeColor="dark1"/>
                <w:kern w:val="24"/>
                <w:sz w:val="18"/>
                <w:szCs w:val="30"/>
              </w:rPr>
              <w:t xml:space="preserve"> </w:t>
            </w:r>
          </w:p>
        </w:tc>
        <w:tc>
          <w:tcPr>
            <w:tcW w:w="900" w:type="dxa"/>
            <w:vAlign w:val="bottom"/>
          </w:tcPr>
          <w:p w:rsidR="00332FE1" w:rsidRPr="001B743B" w:rsidRDefault="00332FE1" w:rsidP="001B743B">
            <w:pPr>
              <w:pStyle w:val="NormalWeb"/>
              <w:spacing w:before="0" w:beforeAutospacing="0" w:after="0" w:afterAutospacing="0"/>
              <w:jc w:val="right"/>
              <w:textAlignment w:val="bottom"/>
              <w:rPr>
                <w:rFonts w:ascii="Arial" w:hAnsi="Arial" w:cs="Arial"/>
                <w:b/>
                <w:color w:val="000000" w:themeColor="dark1"/>
                <w:kern w:val="24"/>
                <w:sz w:val="18"/>
                <w:szCs w:val="30"/>
              </w:rPr>
            </w:pPr>
            <w:r w:rsidRPr="001B743B">
              <w:rPr>
                <w:rFonts w:ascii="Arial" w:hAnsi="Arial" w:cs="Arial"/>
                <w:b/>
                <w:color w:val="000000" w:themeColor="dark1"/>
                <w:kern w:val="24"/>
                <w:sz w:val="18"/>
                <w:szCs w:val="30"/>
              </w:rPr>
              <w:t>240,107</w:t>
            </w:r>
          </w:p>
        </w:tc>
        <w:tc>
          <w:tcPr>
            <w:tcW w:w="900" w:type="dxa"/>
            <w:vAlign w:val="bottom"/>
          </w:tcPr>
          <w:p w:rsidR="00332FE1" w:rsidRPr="001B743B" w:rsidRDefault="00332FE1" w:rsidP="001B743B">
            <w:pPr>
              <w:pStyle w:val="NormalWeb"/>
              <w:spacing w:before="0" w:beforeAutospacing="0" w:after="0" w:afterAutospacing="0"/>
              <w:jc w:val="right"/>
              <w:textAlignment w:val="bottom"/>
              <w:rPr>
                <w:rFonts w:ascii="Arial" w:hAnsi="Arial" w:cs="Arial"/>
                <w:b/>
                <w:color w:val="000000" w:themeColor="dark1"/>
                <w:kern w:val="24"/>
                <w:sz w:val="18"/>
                <w:szCs w:val="30"/>
              </w:rPr>
            </w:pPr>
            <w:r w:rsidRPr="001B743B">
              <w:rPr>
                <w:rFonts w:ascii="Arial" w:hAnsi="Arial" w:cs="Arial"/>
                <w:b/>
                <w:color w:val="000000" w:themeColor="dark1"/>
                <w:kern w:val="24"/>
                <w:sz w:val="18"/>
                <w:szCs w:val="30"/>
              </w:rPr>
              <w:t>424,182</w:t>
            </w:r>
          </w:p>
        </w:tc>
        <w:tc>
          <w:tcPr>
            <w:tcW w:w="900" w:type="dxa"/>
            <w:vAlign w:val="bottom"/>
          </w:tcPr>
          <w:p w:rsidR="00332FE1" w:rsidRPr="001B743B" w:rsidRDefault="00332FE1" w:rsidP="001B743B">
            <w:pPr>
              <w:pStyle w:val="NormalWeb"/>
              <w:spacing w:before="0" w:beforeAutospacing="0" w:after="0" w:afterAutospacing="0"/>
              <w:jc w:val="right"/>
              <w:textAlignment w:val="bottom"/>
              <w:rPr>
                <w:rFonts w:ascii="Arial" w:hAnsi="Arial" w:cs="Arial"/>
                <w:b/>
                <w:color w:val="000000" w:themeColor="dark1"/>
                <w:kern w:val="24"/>
                <w:sz w:val="18"/>
                <w:szCs w:val="30"/>
              </w:rPr>
            </w:pPr>
            <w:r w:rsidRPr="001B743B">
              <w:rPr>
                <w:rFonts w:ascii="Arial" w:hAnsi="Arial" w:cs="Arial"/>
                <w:b/>
                <w:color w:val="000000" w:themeColor="dark1"/>
                <w:kern w:val="24"/>
                <w:sz w:val="18"/>
                <w:szCs w:val="30"/>
              </w:rPr>
              <w:t>799,886</w:t>
            </w:r>
          </w:p>
        </w:tc>
        <w:tc>
          <w:tcPr>
            <w:tcW w:w="900" w:type="dxa"/>
            <w:vAlign w:val="bottom"/>
          </w:tcPr>
          <w:p w:rsidR="00332FE1" w:rsidRPr="001B743B" w:rsidRDefault="00332FE1" w:rsidP="001B743B">
            <w:pPr>
              <w:pStyle w:val="NormalWeb"/>
              <w:spacing w:before="0" w:beforeAutospacing="0" w:after="0" w:afterAutospacing="0"/>
              <w:jc w:val="right"/>
              <w:textAlignment w:val="bottom"/>
              <w:rPr>
                <w:rFonts w:ascii="Arial" w:hAnsi="Arial" w:cs="Arial"/>
                <w:b/>
                <w:color w:val="000000" w:themeColor="dark1"/>
                <w:kern w:val="24"/>
                <w:sz w:val="18"/>
                <w:szCs w:val="30"/>
              </w:rPr>
            </w:pPr>
            <w:r w:rsidRPr="001B743B">
              <w:rPr>
                <w:rFonts w:ascii="Arial" w:hAnsi="Arial" w:cs="Arial"/>
                <w:b/>
                <w:color w:val="000000" w:themeColor="dark1"/>
                <w:kern w:val="24"/>
                <w:sz w:val="18"/>
                <w:szCs w:val="30"/>
              </w:rPr>
              <w:t>879,699</w:t>
            </w:r>
          </w:p>
        </w:tc>
      </w:tr>
    </w:tbl>
    <w:p w:rsidR="00792566" w:rsidRPr="00792566" w:rsidRDefault="00792566" w:rsidP="00792566">
      <w:pPr>
        <w:ind w:left="60"/>
        <w:rPr>
          <w:rFonts w:ascii="Arial" w:hAnsi="Arial" w:cs="Arial"/>
        </w:rPr>
      </w:pPr>
    </w:p>
    <w:p w:rsidR="00190073" w:rsidRPr="001B743B" w:rsidRDefault="001B743B" w:rsidP="001B743B">
      <w:pPr>
        <w:pStyle w:val="ListParagraph"/>
        <w:numPr>
          <w:ilvl w:val="0"/>
          <w:numId w:val="2"/>
        </w:numPr>
        <w:rPr>
          <w:rFonts w:ascii="Arial" w:hAnsi="Arial" w:cs="Arial"/>
        </w:rPr>
      </w:pPr>
      <w:r>
        <w:rPr>
          <w:rFonts w:ascii="Arial" w:hAnsi="Arial" w:cs="Arial"/>
        </w:rPr>
        <w:t>Normal procurement</w:t>
      </w:r>
    </w:p>
    <w:tbl>
      <w:tblPr>
        <w:tblStyle w:val="TableGrid"/>
        <w:tblW w:w="10218" w:type="dxa"/>
        <w:tblInd w:w="60" w:type="dxa"/>
        <w:tblLayout w:type="fixed"/>
        <w:tblLook w:val="04A0"/>
      </w:tblPr>
      <w:tblGrid>
        <w:gridCol w:w="5718"/>
        <w:gridCol w:w="900"/>
        <w:gridCol w:w="900"/>
        <w:gridCol w:w="900"/>
        <w:gridCol w:w="900"/>
        <w:gridCol w:w="900"/>
      </w:tblGrid>
      <w:tr w:rsidR="001B743B" w:rsidRPr="00792566" w:rsidTr="00613879">
        <w:trPr>
          <w:trHeight w:val="557"/>
          <w:tblHeader/>
        </w:trPr>
        <w:tc>
          <w:tcPr>
            <w:tcW w:w="5718" w:type="dxa"/>
            <w:shd w:val="clear" w:color="auto" w:fill="92CDDC" w:themeFill="accent5" w:themeFillTint="99"/>
            <w:vAlign w:val="center"/>
          </w:tcPr>
          <w:p w:rsidR="001B743B" w:rsidRPr="00792566" w:rsidRDefault="001B743B" w:rsidP="00613879">
            <w:pPr>
              <w:jc w:val="center"/>
              <w:rPr>
                <w:rFonts w:ascii="Arial" w:hAnsi="Arial" w:cs="Arial"/>
                <w:b/>
                <w:sz w:val="18"/>
              </w:rPr>
            </w:pPr>
            <w:r w:rsidRPr="00792566">
              <w:rPr>
                <w:rFonts w:ascii="Arial" w:hAnsi="Arial" w:cs="Arial"/>
                <w:b/>
                <w:sz w:val="18"/>
              </w:rPr>
              <w:t>Incidents</w:t>
            </w:r>
          </w:p>
        </w:tc>
        <w:tc>
          <w:tcPr>
            <w:tcW w:w="900" w:type="dxa"/>
            <w:shd w:val="clear" w:color="auto" w:fill="92CDDC" w:themeFill="accent5" w:themeFillTint="99"/>
            <w:vAlign w:val="center"/>
          </w:tcPr>
          <w:p w:rsidR="001B743B" w:rsidRDefault="001B743B" w:rsidP="00613879">
            <w:pPr>
              <w:jc w:val="center"/>
              <w:rPr>
                <w:rFonts w:ascii="Arial" w:hAnsi="Arial" w:cs="Arial"/>
                <w:b/>
                <w:sz w:val="18"/>
              </w:rPr>
            </w:pPr>
            <w:r w:rsidRPr="00792566">
              <w:rPr>
                <w:rFonts w:ascii="Arial" w:hAnsi="Arial" w:cs="Arial"/>
                <w:b/>
                <w:sz w:val="18"/>
              </w:rPr>
              <w:t>2016/17</w:t>
            </w:r>
          </w:p>
          <w:p w:rsidR="001B743B" w:rsidRPr="00792566" w:rsidRDefault="001B743B" w:rsidP="00613879">
            <w:pPr>
              <w:jc w:val="center"/>
              <w:rPr>
                <w:rFonts w:ascii="Arial" w:hAnsi="Arial" w:cs="Arial"/>
                <w:b/>
                <w:sz w:val="18"/>
              </w:rPr>
            </w:pPr>
            <w:r>
              <w:rPr>
                <w:rFonts w:ascii="Arial" w:hAnsi="Arial" w:cs="Arial"/>
                <w:b/>
                <w:sz w:val="18"/>
              </w:rPr>
              <w:t>R’000</w:t>
            </w:r>
          </w:p>
        </w:tc>
        <w:tc>
          <w:tcPr>
            <w:tcW w:w="900" w:type="dxa"/>
            <w:shd w:val="clear" w:color="auto" w:fill="92CDDC" w:themeFill="accent5" w:themeFillTint="99"/>
            <w:vAlign w:val="center"/>
          </w:tcPr>
          <w:p w:rsidR="001B743B" w:rsidRDefault="001B743B" w:rsidP="00613879">
            <w:pPr>
              <w:jc w:val="center"/>
              <w:rPr>
                <w:rFonts w:ascii="Arial" w:hAnsi="Arial" w:cs="Arial"/>
                <w:b/>
                <w:sz w:val="18"/>
              </w:rPr>
            </w:pPr>
            <w:r w:rsidRPr="00792566">
              <w:rPr>
                <w:rFonts w:ascii="Arial" w:hAnsi="Arial" w:cs="Arial"/>
                <w:b/>
                <w:sz w:val="18"/>
              </w:rPr>
              <w:t>2015/16</w:t>
            </w:r>
          </w:p>
          <w:p w:rsidR="001B743B" w:rsidRPr="00792566" w:rsidRDefault="001B743B" w:rsidP="00613879">
            <w:pPr>
              <w:jc w:val="center"/>
              <w:rPr>
                <w:rFonts w:ascii="Arial" w:hAnsi="Arial" w:cs="Arial"/>
                <w:b/>
                <w:sz w:val="18"/>
              </w:rPr>
            </w:pPr>
            <w:r>
              <w:rPr>
                <w:rFonts w:ascii="Arial" w:hAnsi="Arial" w:cs="Arial"/>
                <w:b/>
                <w:sz w:val="18"/>
              </w:rPr>
              <w:t>R’000</w:t>
            </w:r>
          </w:p>
        </w:tc>
        <w:tc>
          <w:tcPr>
            <w:tcW w:w="900" w:type="dxa"/>
            <w:shd w:val="clear" w:color="auto" w:fill="92CDDC" w:themeFill="accent5" w:themeFillTint="99"/>
            <w:vAlign w:val="center"/>
          </w:tcPr>
          <w:p w:rsidR="001B743B" w:rsidRDefault="001B743B" w:rsidP="00613879">
            <w:pPr>
              <w:jc w:val="center"/>
              <w:rPr>
                <w:rFonts w:ascii="Arial" w:hAnsi="Arial" w:cs="Arial"/>
                <w:b/>
                <w:sz w:val="18"/>
              </w:rPr>
            </w:pPr>
            <w:r w:rsidRPr="00792566">
              <w:rPr>
                <w:rFonts w:ascii="Arial" w:hAnsi="Arial" w:cs="Arial"/>
                <w:b/>
                <w:sz w:val="18"/>
              </w:rPr>
              <w:t>2014/15</w:t>
            </w:r>
          </w:p>
          <w:p w:rsidR="001B743B" w:rsidRPr="00792566" w:rsidRDefault="001B743B" w:rsidP="00613879">
            <w:pPr>
              <w:jc w:val="center"/>
              <w:rPr>
                <w:rFonts w:ascii="Arial" w:hAnsi="Arial" w:cs="Arial"/>
                <w:b/>
                <w:sz w:val="18"/>
              </w:rPr>
            </w:pPr>
            <w:r>
              <w:rPr>
                <w:rFonts w:ascii="Arial" w:hAnsi="Arial" w:cs="Arial"/>
                <w:b/>
                <w:sz w:val="18"/>
              </w:rPr>
              <w:t>R’000</w:t>
            </w:r>
          </w:p>
        </w:tc>
        <w:tc>
          <w:tcPr>
            <w:tcW w:w="900" w:type="dxa"/>
            <w:shd w:val="clear" w:color="auto" w:fill="92CDDC" w:themeFill="accent5" w:themeFillTint="99"/>
            <w:vAlign w:val="center"/>
          </w:tcPr>
          <w:p w:rsidR="001B743B" w:rsidRDefault="001B743B" w:rsidP="00613879">
            <w:pPr>
              <w:jc w:val="center"/>
              <w:rPr>
                <w:rFonts w:ascii="Arial" w:hAnsi="Arial" w:cs="Arial"/>
                <w:b/>
                <w:sz w:val="18"/>
              </w:rPr>
            </w:pPr>
            <w:r w:rsidRPr="00792566">
              <w:rPr>
                <w:rFonts w:ascii="Arial" w:hAnsi="Arial" w:cs="Arial"/>
                <w:b/>
                <w:sz w:val="18"/>
              </w:rPr>
              <w:t>2013/14</w:t>
            </w:r>
          </w:p>
          <w:p w:rsidR="001B743B" w:rsidRPr="00792566" w:rsidRDefault="001B743B" w:rsidP="00613879">
            <w:pPr>
              <w:jc w:val="center"/>
              <w:rPr>
                <w:rFonts w:ascii="Arial" w:hAnsi="Arial" w:cs="Arial"/>
                <w:b/>
                <w:sz w:val="18"/>
              </w:rPr>
            </w:pPr>
            <w:r>
              <w:rPr>
                <w:rFonts w:ascii="Arial" w:hAnsi="Arial" w:cs="Arial"/>
                <w:b/>
                <w:sz w:val="18"/>
              </w:rPr>
              <w:t>R’000</w:t>
            </w:r>
          </w:p>
        </w:tc>
        <w:tc>
          <w:tcPr>
            <w:tcW w:w="900" w:type="dxa"/>
            <w:shd w:val="clear" w:color="auto" w:fill="92CDDC" w:themeFill="accent5" w:themeFillTint="99"/>
            <w:vAlign w:val="center"/>
          </w:tcPr>
          <w:p w:rsidR="001B743B" w:rsidRDefault="001B743B" w:rsidP="00613879">
            <w:pPr>
              <w:jc w:val="center"/>
              <w:rPr>
                <w:rFonts w:ascii="Arial" w:hAnsi="Arial" w:cs="Arial"/>
                <w:b/>
                <w:sz w:val="18"/>
              </w:rPr>
            </w:pPr>
            <w:r w:rsidRPr="00792566">
              <w:rPr>
                <w:rFonts w:ascii="Arial" w:hAnsi="Arial" w:cs="Arial"/>
                <w:b/>
                <w:sz w:val="18"/>
              </w:rPr>
              <w:t>2012/13</w:t>
            </w:r>
          </w:p>
          <w:p w:rsidR="001B743B" w:rsidRPr="00792566" w:rsidRDefault="001B743B" w:rsidP="00613879">
            <w:pPr>
              <w:jc w:val="center"/>
              <w:rPr>
                <w:rFonts w:ascii="Arial" w:hAnsi="Arial" w:cs="Arial"/>
                <w:b/>
                <w:sz w:val="18"/>
              </w:rPr>
            </w:pPr>
            <w:r>
              <w:rPr>
                <w:rFonts w:ascii="Arial" w:hAnsi="Arial" w:cs="Arial"/>
                <w:b/>
                <w:sz w:val="18"/>
              </w:rPr>
              <w:t>R’000</w:t>
            </w:r>
          </w:p>
        </w:tc>
      </w:tr>
      <w:tr w:rsidR="003757C8" w:rsidRPr="00792566" w:rsidTr="003757C8">
        <w:trPr>
          <w:trHeight w:val="215"/>
        </w:trPr>
        <w:tc>
          <w:tcPr>
            <w:tcW w:w="5718" w:type="dxa"/>
          </w:tcPr>
          <w:p w:rsidR="003757C8" w:rsidRPr="00792566" w:rsidRDefault="003757C8" w:rsidP="003757C8">
            <w:pPr>
              <w:pStyle w:val="NormalWeb"/>
              <w:spacing w:before="0" w:beforeAutospacing="0" w:after="0" w:afterAutospacing="0"/>
              <w:textAlignment w:val="bottom"/>
              <w:rPr>
                <w:rFonts w:ascii="Arial" w:hAnsi="Arial" w:cs="Arial"/>
                <w:sz w:val="18"/>
                <w:szCs w:val="36"/>
              </w:rPr>
            </w:pPr>
            <w:r w:rsidRPr="00792566">
              <w:rPr>
                <w:rFonts w:ascii="Arial" w:hAnsi="Arial" w:cs="Arial"/>
                <w:color w:val="000000" w:themeColor="dark1"/>
                <w:kern w:val="24"/>
                <w:sz w:val="18"/>
                <w:szCs w:val="30"/>
              </w:rPr>
              <w:t>D</w:t>
            </w:r>
            <w:r>
              <w:rPr>
                <w:rFonts w:ascii="Arial" w:hAnsi="Arial" w:cs="Arial"/>
                <w:color w:val="000000" w:themeColor="dark1"/>
                <w:kern w:val="24"/>
                <w:sz w:val="18"/>
                <w:szCs w:val="30"/>
              </w:rPr>
              <w:t xml:space="preserve">elegation of </w:t>
            </w:r>
            <w:r w:rsidRPr="00792566">
              <w:rPr>
                <w:rFonts w:ascii="Arial" w:hAnsi="Arial" w:cs="Arial"/>
                <w:color w:val="000000" w:themeColor="dark1"/>
                <w:kern w:val="24"/>
                <w:sz w:val="18"/>
                <w:szCs w:val="30"/>
              </w:rPr>
              <w:t>A</w:t>
            </w:r>
            <w:r>
              <w:rPr>
                <w:rFonts w:ascii="Arial" w:hAnsi="Arial" w:cs="Arial"/>
                <w:color w:val="000000" w:themeColor="dark1"/>
                <w:kern w:val="24"/>
                <w:sz w:val="18"/>
                <w:szCs w:val="30"/>
              </w:rPr>
              <w:t xml:space="preserve">uthority </w:t>
            </w:r>
            <w:r w:rsidRPr="00792566">
              <w:rPr>
                <w:rFonts w:ascii="Arial" w:hAnsi="Arial" w:cs="Arial"/>
                <w:color w:val="000000" w:themeColor="dark1"/>
                <w:kern w:val="24"/>
                <w:sz w:val="18"/>
                <w:szCs w:val="30"/>
              </w:rPr>
              <w:t>F</w:t>
            </w:r>
            <w:r>
              <w:rPr>
                <w:rFonts w:ascii="Arial" w:hAnsi="Arial" w:cs="Arial"/>
                <w:color w:val="000000" w:themeColor="dark1"/>
                <w:kern w:val="24"/>
                <w:sz w:val="18"/>
                <w:szCs w:val="30"/>
              </w:rPr>
              <w:t>ramework contravention</w:t>
            </w:r>
          </w:p>
        </w:tc>
        <w:tc>
          <w:tcPr>
            <w:tcW w:w="900" w:type="dxa"/>
          </w:tcPr>
          <w:p w:rsidR="003757C8" w:rsidRPr="001B743B" w:rsidRDefault="003757C8" w:rsidP="003757C8">
            <w:pPr>
              <w:pStyle w:val="NormalWeb"/>
              <w:spacing w:before="0" w:beforeAutospacing="0" w:after="0" w:afterAutospacing="0" w:line="334"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78,62</w:t>
            </w:r>
            <w:r>
              <w:rPr>
                <w:rFonts w:ascii="Arial" w:hAnsi="Arial" w:cs="Arial"/>
                <w:color w:val="000000" w:themeColor="dark1"/>
                <w:kern w:val="24"/>
                <w:sz w:val="18"/>
                <w:szCs w:val="32"/>
              </w:rPr>
              <w:t>1</w:t>
            </w:r>
            <w:r w:rsidRPr="001B743B">
              <w:rPr>
                <w:rFonts w:ascii="Arial" w:hAnsi="Arial" w:cs="Arial"/>
                <w:color w:val="000000" w:themeColor="dark1"/>
                <w:kern w:val="24"/>
                <w:sz w:val="18"/>
                <w:szCs w:val="32"/>
              </w:rPr>
              <w:t xml:space="preserve"> </w:t>
            </w:r>
          </w:p>
        </w:tc>
        <w:tc>
          <w:tcPr>
            <w:tcW w:w="900" w:type="dxa"/>
          </w:tcPr>
          <w:p w:rsidR="003757C8" w:rsidRPr="001B743B" w:rsidRDefault="003757C8" w:rsidP="003757C8">
            <w:pPr>
              <w:pStyle w:val="NormalWeb"/>
              <w:spacing w:before="0" w:beforeAutospacing="0" w:after="0" w:afterAutospacing="0" w:line="334"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81,084</w:t>
            </w:r>
          </w:p>
        </w:tc>
        <w:tc>
          <w:tcPr>
            <w:tcW w:w="900" w:type="dxa"/>
          </w:tcPr>
          <w:p w:rsidR="003757C8" w:rsidRPr="001B743B" w:rsidRDefault="003757C8" w:rsidP="003757C8">
            <w:pPr>
              <w:pStyle w:val="NormalWeb"/>
              <w:spacing w:before="0" w:beforeAutospacing="0" w:after="0" w:afterAutospacing="0" w:line="334"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49,157</w:t>
            </w:r>
          </w:p>
        </w:tc>
        <w:tc>
          <w:tcPr>
            <w:tcW w:w="900" w:type="dxa"/>
          </w:tcPr>
          <w:p w:rsidR="003757C8" w:rsidRPr="001B743B" w:rsidRDefault="003757C8" w:rsidP="003757C8">
            <w:pPr>
              <w:pStyle w:val="NormalWeb"/>
              <w:spacing w:before="0" w:beforeAutospacing="0" w:after="0" w:afterAutospacing="0" w:line="334"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26,941</w:t>
            </w:r>
          </w:p>
        </w:tc>
        <w:tc>
          <w:tcPr>
            <w:tcW w:w="900" w:type="dxa"/>
          </w:tcPr>
          <w:p w:rsidR="003757C8" w:rsidRPr="001B743B" w:rsidRDefault="003757C8" w:rsidP="003757C8">
            <w:pPr>
              <w:pStyle w:val="NormalWeb"/>
              <w:spacing w:before="0" w:beforeAutospacing="0" w:after="0" w:afterAutospacing="0" w:line="334"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19,446</w:t>
            </w:r>
          </w:p>
        </w:tc>
      </w:tr>
      <w:tr w:rsidR="001B743B" w:rsidRPr="00792566" w:rsidTr="003757C8">
        <w:tc>
          <w:tcPr>
            <w:tcW w:w="5718" w:type="dxa"/>
          </w:tcPr>
          <w:p w:rsidR="001B743B" w:rsidRPr="001B743B" w:rsidRDefault="001B743B" w:rsidP="003757C8">
            <w:pPr>
              <w:pStyle w:val="NormalWeb"/>
              <w:spacing w:before="0" w:beforeAutospacing="0" w:after="0" w:afterAutospacing="0" w:line="296" w:lineRule="atLeast"/>
              <w:textAlignment w:val="bottom"/>
              <w:rPr>
                <w:rFonts w:ascii="Arial" w:hAnsi="Arial" w:cs="Arial"/>
                <w:sz w:val="18"/>
                <w:szCs w:val="36"/>
              </w:rPr>
            </w:pPr>
            <w:r w:rsidRPr="001B743B">
              <w:rPr>
                <w:rFonts w:ascii="Arial" w:hAnsi="Arial" w:cs="Arial"/>
                <w:color w:val="000000" w:themeColor="dark1"/>
                <w:kern w:val="24"/>
                <w:sz w:val="18"/>
                <w:szCs w:val="32"/>
              </w:rPr>
              <w:t>Irregular contracts due to lack of planning</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236,21</w:t>
            </w:r>
            <w:r>
              <w:rPr>
                <w:rFonts w:ascii="Arial" w:hAnsi="Arial" w:cs="Arial"/>
                <w:color w:val="000000" w:themeColor="dark1"/>
                <w:kern w:val="24"/>
                <w:sz w:val="18"/>
                <w:szCs w:val="32"/>
              </w:rPr>
              <w:t>1</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254,38</w:t>
            </w:r>
            <w:r>
              <w:rPr>
                <w:rFonts w:ascii="Arial" w:hAnsi="Arial" w:cs="Arial"/>
                <w:color w:val="000000" w:themeColor="dark1"/>
                <w:kern w:val="24"/>
                <w:sz w:val="18"/>
                <w:szCs w:val="32"/>
              </w:rPr>
              <w:t>8</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211,79</w:t>
            </w:r>
            <w:r>
              <w:rPr>
                <w:rFonts w:ascii="Arial" w:hAnsi="Arial" w:cs="Arial"/>
                <w:color w:val="000000" w:themeColor="dark1"/>
                <w:kern w:val="24"/>
                <w:sz w:val="18"/>
                <w:szCs w:val="32"/>
              </w:rPr>
              <w:t>6</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107,58</w:t>
            </w:r>
            <w:r>
              <w:rPr>
                <w:rFonts w:ascii="Arial" w:hAnsi="Arial" w:cs="Arial"/>
                <w:color w:val="000000" w:themeColor="dark1"/>
                <w:kern w:val="24"/>
                <w:sz w:val="18"/>
                <w:szCs w:val="32"/>
              </w:rPr>
              <w:t>4</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32,986</w:t>
            </w:r>
          </w:p>
        </w:tc>
      </w:tr>
      <w:tr w:rsidR="001B743B" w:rsidRPr="00792566" w:rsidTr="003757C8">
        <w:tc>
          <w:tcPr>
            <w:tcW w:w="5718" w:type="dxa"/>
          </w:tcPr>
          <w:p w:rsidR="001B743B" w:rsidRPr="001B743B" w:rsidRDefault="001B743B" w:rsidP="003757C8">
            <w:pPr>
              <w:pStyle w:val="NormalWeb"/>
              <w:spacing w:before="0" w:beforeAutospacing="0" w:after="0" w:afterAutospacing="0" w:line="296" w:lineRule="atLeast"/>
              <w:textAlignment w:val="bottom"/>
              <w:rPr>
                <w:rFonts w:ascii="Arial" w:hAnsi="Arial" w:cs="Arial"/>
                <w:sz w:val="18"/>
                <w:szCs w:val="36"/>
              </w:rPr>
            </w:pPr>
            <w:r w:rsidRPr="001B743B">
              <w:rPr>
                <w:rFonts w:ascii="Arial" w:hAnsi="Arial" w:cs="Arial"/>
                <w:color w:val="000000" w:themeColor="dark1"/>
                <w:kern w:val="24"/>
                <w:sz w:val="18"/>
                <w:szCs w:val="32"/>
              </w:rPr>
              <w:t>Minimum number of quotes not obtained</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29,16</w:t>
            </w:r>
            <w:r>
              <w:rPr>
                <w:rFonts w:ascii="Arial" w:hAnsi="Arial" w:cs="Arial"/>
                <w:color w:val="000000" w:themeColor="dark1"/>
                <w:kern w:val="24"/>
                <w:sz w:val="18"/>
                <w:szCs w:val="32"/>
              </w:rPr>
              <w:t>6</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76,091</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51,23</w:t>
            </w:r>
            <w:r>
              <w:rPr>
                <w:rFonts w:ascii="Arial" w:hAnsi="Arial" w:cs="Arial"/>
                <w:color w:val="000000" w:themeColor="dark1"/>
                <w:kern w:val="24"/>
                <w:sz w:val="18"/>
                <w:szCs w:val="32"/>
              </w:rPr>
              <w:t>9</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35,33</w:t>
            </w:r>
            <w:r>
              <w:rPr>
                <w:rFonts w:ascii="Arial" w:hAnsi="Arial" w:cs="Arial"/>
                <w:color w:val="000000" w:themeColor="dark1"/>
                <w:kern w:val="24"/>
                <w:sz w:val="18"/>
                <w:szCs w:val="32"/>
              </w:rPr>
              <w:t>7</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9,900</w:t>
            </w:r>
          </w:p>
        </w:tc>
      </w:tr>
      <w:tr w:rsidR="003757C8" w:rsidRPr="00792566" w:rsidTr="0036397B">
        <w:tc>
          <w:tcPr>
            <w:tcW w:w="5718" w:type="dxa"/>
            <w:vAlign w:val="bottom"/>
          </w:tcPr>
          <w:p w:rsidR="003757C8" w:rsidRPr="00792566" w:rsidRDefault="003757C8" w:rsidP="00613879">
            <w:pPr>
              <w:pStyle w:val="NormalWeb"/>
              <w:spacing w:before="0" w:beforeAutospacing="0" w:after="0" w:afterAutospacing="0"/>
              <w:textAlignment w:val="bottom"/>
              <w:rPr>
                <w:rFonts w:ascii="Arial" w:hAnsi="Arial" w:cs="Arial"/>
                <w:sz w:val="18"/>
                <w:szCs w:val="36"/>
              </w:rPr>
            </w:pPr>
            <w:r w:rsidRPr="00792566">
              <w:rPr>
                <w:rFonts w:ascii="Arial" w:hAnsi="Arial" w:cs="Arial"/>
                <w:color w:val="000000" w:themeColor="dark1"/>
                <w:kern w:val="24"/>
                <w:sz w:val="18"/>
                <w:szCs w:val="30"/>
              </w:rPr>
              <w:t>No valid (Original) T</w:t>
            </w:r>
            <w:r>
              <w:rPr>
                <w:rFonts w:ascii="Arial" w:hAnsi="Arial" w:cs="Arial"/>
                <w:color w:val="000000" w:themeColor="dark1"/>
                <w:kern w:val="24"/>
                <w:sz w:val="18"/>
                <w:szCs w:val="30"/>
              </w:rPr>
              <w:t xml:space="preserve">ax </w:t>
            </w:r>
            <w:r w:rsidRPr="00792566">
              <w:rPr>
                <w:rFonts w:ascii="Arial" w:hAnsi="Arial" w:cs="Arial"/>
                <w:color w:val="000000" w:themeColor="dark1"/>
                <w:kern w:val="24"/>
                <w:sz w:val="18"/>
                <w:szCs w:val="30"/>
              </w:rPr>
              <w:t>C</w:t>
            </w:r>
            <w:r>
              <w:rPr>
                <w:rFonts w:ascii="Arial" w:hAnsi="Arial" w:cs="Arial"/>
                <w:color w:val="000000" w:themeColor="dark1"/>
                <w:kern w:val="24"/>
                <w:sz w:val="18"/>
                <w:szCs w:val="30"/>
              </w:rPr>
              <w:t xml:space="preserve">learance </w:t>
            </w:r>
            <w:r w:rsidRPr="00792566">
              <w:rPr>
                <w:rFonts w:ascii="Arial" w:hAnsi="Arial" w:cs="Arial"/>
                <w:color w:val="000000" w:themeColor="dark1"/>
                <w:kern w:val="24"/>
                <w:sz w:val="18"/>
                <w:szCs w:val="30"/>
              </w:rPr>
              <w:t>C</w:t>
            </w:r>
            <w:r>
              <w:rPr>
                <w:rFonts w:ascii="Arial" w:hAnsi="Arial" w:cs="Arial"/>
                <w:color w:val="000000" w:themeColor="dark1"/>
                <w:kern w:val="24"/>
                <w:sz w:val="18"/>
                <w:szCs w:val="30"/>
              </w:rPr>
              <w:t>ertificate</w:t>
            </w:r>
          </w:p>
        </w:tc>
        <w:tc>
          <w:tcPr>
            <w:tcW w:w="900" w:type="dxa"/>
          </w:tcPr>
          <w:p w:rsidR="003757C8" w:rsidRPr="001B743B" w:rsidRDefault="003757C8"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24,906</w:t>
            </w:r>
          </w:p>
        </w:tc>
        <w:tc>
          <w:tcPr>
            <w:tcW w:w="900" w:type="dxa"/>
          </w:tcPr>
          <w:p w:rsidR="003757C8" w:rsidRPr="001B743B" w:rsidRDefault="003757C8"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37,49</w:t>
            </w:r>
            <w:r>
              <w:rPr>
                <w:rFonts w:ascii="Arial" w:hAnsi="Arial" w:cs="Arial"/>
                <w:color w:val="000000" w:themeColor="dark1"/>
                <w:kern w:val="24"/>
                <w:sz w:val="18"/>
                <w:szCs w:val="32"/>
              </w:rPr>
              <w:t>7</w:t>
            </w:r>
          </w:p>
        </w:tc>
        <w:tc>
          <w:tcPr>
            <w:tcW w:w="900" w:type="dxa"/>
          </w:tcPr>
          <w:p w:rsidR="003757C8" w:rsidRPr="001B743B" w:rsidRDefault="003757C8"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51,722</w:t>
            </w:r>
          </w:p>
        </w:tc>
        <w:tc>
          <w:tcPr>
            <w:tcW w:w="900" w:type="dxa"/>
          </w:tcPr>
          <w:p w:rsidR="003757C8" w:rsidRPr="001B743B" w:rsidRDefault="003757C8"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41,485</w:t>
            </w:r>
          </w:p>
        </w:tc>
        <w:tc>
          <w:tcPr>
            <w:tcW w:w="900" w:type="dxa"/>
          </w:tcPr>
          <w:p w:rsidR="003757C8" w:rsidRPr="001B743B" w:rsidRDefault="003757C8"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18,37</w:t>
            </w:r>
            <w:r>
              <w:rPr>
                <w:rFonts w:ascii="Arial" w:hAnsi="Arial" w:cs="Arial"/>
                <w:color w:val="000000" w:themeColor="dark1"/>
                <w:kern w:val="24"/>
                <w:sz w:val="18"/>
                <w:szCs w:val="32"/>
              </w:rPr>
              <w:t>7</w:t>
            </w:r>
          </w:p>
        </w:tc>
      </w:tr>
      <w:tr w:rsidR="003757C8" w:rsidRPr="00792566" w:rsidTr="003757C8">
        <w:tc>
          <w:tcPr>
            <w:tcW w:w="5718" w:type="dxa"/>
          </w:tcPr>
          <w:p w:rsidR="001B743B" w:rsidRPr="001B743B" w:rsidRDefault="001B743B" w:rsidP="003757C8">
            <w:pPr>
              <w:pStyle w:val="NormalWeb"/>
              <w:spacing w:before="0" w:beforeAutospacing="0" w:after="0" w:afterAutospacing="0" w:line="296" w:lineRule="atLeast"/>
              <w:textAlignment w:val="bottom"/>
              <w:rPr>
                <w:rFonts w:ascii="Arial" w:hAnsi="Arial" w:cs="Arial"/>
                <w:sz w:val="18"/>
                <w:szCs w:val="36"/>
              </w:rPr>
            </w:pPr>
            <w:r w:rsidRPr="001B743B">
              <w:rPr>
                <w:rFonts w:ascii="Arial" w:hAnsi="Arial" w:cs="Arial"/>
                <w:color w:val="000000" w:themeColor="dark1"/>
                <w:kern w:val="24"/>
                <w:sz w:val="18"/>
                <w:szCs w:val="32"/>
              </w:rPr>
              <w:t>Incorrect evaluation of bids</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12,470</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42,504</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35,497</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6,32</w:t>
            </w:r>
            <w:r>
              <w:rPr>
                <w:rFonts w:ascii="Arial" w:hAnsi="Arial" w:cs="Arial"/>
                <w:color w:val="000000" w:themeColor="dark1"/>
                <w:kern w:val="24"/>
                <w:sz w:val="18"/>
                <w:szCs w:val="32"/>
              </w:rPr>
              <w:t>9</w:t>
            </w:r>
          </w:p>
        </w:tc>
        <w:tc>
          <w:tcPr>
            <w:tcW w:w="900" w:type="dxa"/>
          </w:tcPr>
          <w:p w:rsidR="001B743B" w:rsidRPr="001B743B" w:rsidRDefault="001B743B" w:rsidP="003757C8">
            <w:pPr>
              <w:pStyle w:val="NormalWeb"/>
              <w:spacing w:before="0" w:beforeAutospacing="0" w:after="0" w:afterAutospacing="0" w:line="296" w:lineRule="atLeast"/>
              <w:jc w:val="right"/>
              <w:textAlignment w:val="bottom"/>
              <w:rPr>
                <w:rFonts w:ascii="Arial" w:hAnsi="Arial" w:cs="Arial"/>
                <w:sz w:val="18"/>
                <w:szCs w:val="36"/>
              </w:rPr>
            </w:pPr>
            <w:r>
              <w:rPr>
                <w:rFonts w:ascii="Arial" w:hAnsi="Arial" w:cs="Arial"/>
                <w:color w:val="000000" w:themeColor="dark1"/>
                <w:kern w:val="24"/>
                <w:sz w:val="18"/>
                <w:szCs w:val="32"/>
              </w:rPr>
              <w:t xml:space="preserve">              </w:t>
            </w:r>
            <w:r w:rsidRPr="001B743B">
              <w:rPr>
                <w:rFonts w:ascii="Arial" w:hAnsi="Arial" w:cs="Arial"/>
                <w:color w:val="000000" w:themeColor="dark1"/>
                <w:kern w:val="24"/>
                <w:sz w:val="18"/>
                <w:szCs w:val="32"/>
              </w:rPr>
              <w:t xml:space="preserve">   </w:t>
            </w:r>
          </w:p>
        </w:tc>
      </w:tr>
      <w:tr w:rsidR="001B743B" w:rsidRPr="00792566" w:rsidTr="003757C8">
        <w:tc>
          <w:tcPr>
            <w:tcW w:w="5718" w:type="dxa"/>
          </w:tcPr>
          <w:p w:rsidR="001B743B" w:rsidRPr="001B743B" w:rsidRDefault="001B743B" w:rsidP="003757C8">
            <w:pPr>
              <w:pStyle w:val="NormalWeb"/>
              <w:spacing w:before="0" w:beforeAutospacing="0" w:after="0" w:afterAutospacing="0"/>
              <w:textAlignment w:val="bottom"/>
              <w:rPr>
                <w:rFonts w:ascii="Arial" w:hAnsi="Arial" w:cs="Arial"/>
                <w:sz w:val="18"/>
                <w:szCs w:val="36"/>
              </w:rPr>
            </w:pPr>
            <w:r w:rsidRPr="001B743B">
              <w:rPr>
                <w:rFonts w:ascii="Arial" w:hAnsi="Arial" w:cs="Arial"/>
                <w:color w:val="000000" w:themeColor="dark1"/>
                <w:kern w:val="24"/>
                <w:sz w:val="18"/>
                <w:szCs w:val="32"/>
              </w:rPr>
              <w:t>Bids not advertised for minimum period as per policy</w:t>
            </w:r>
          </w:p>
        </w:tc>
        <w:tc>
          <w:tcPr>
            <w:tcW w:w="900" w:type="dxa"/>
          </w:tcPr>
          <w:p w:rsidR="001B743B" w:rsidRPr="001B743B" w:rsidRDefault="001B743B" w:rsidP="003757C8">
            <w:pPr>
              <w:pStyle w:val="NormalWeb"/>
              <w:spacing w:before="0" w:beforeAutospacing="0" w:after="0" w:afterAutospacing="0"/>
              <w:jc w:val="right"/>
              <w:textAlignment w:val="bottom"/>
              <w:rPr>
                <w:rFonts w:ascii="Arial" w:hAnsi="Arial" w:cs="Arial"/>
                <w:sz w:val="18"/>
                <w:szCs w:val="36"/>
              </w:rPr>
            </w:pPr>
            <w:r w:rsidRPr="001B743B">
              <w:rPr>
                <w:rFonts w:ascii="Arial" w:hAnsi="Arial" w:cs="Arial"/>
                <w:color w:val="000000" w:themeColor="dark1"/>
                <w:kern w:val="24"/>
                <w:sz w:val="18"/>
                <w:szCs w:val="32"/>
              </w:rPr>
              <w:t>59,43</w:t>
            </w:r>
            <w:r>
              <w:rPr>
                <w:rFonts w:ascii="Arial" w:hAnsi="Arial" w:cs="Arial"/>
                <w:color w:val="000000" w:themeColor="dark1"/>
                <w:kern w:val="24"/>
                <w:sz w:val="18"/>
                <w:szCs w:val="32"/>
              </w:rPr>
              <w:t>4</w:t>
            </w:r>
          </w:p>
        </w:tc>
        <w:tc>
          <w:tcPr>
            <w:tcW w:w="900" w:type="dxa"/>
          </w:tcPr>
          <w:p w:rsidR="001B743B" w:rsidRPr="001B743B" w:rsidRDefault="001B743B" w:rsidP="003757C8">
            <w:pPr>
              <w:pStyle w:val="NormalWeb"/>
              <w:spacing w:before="0" w:beforeAutospacing="0" w:after="0" w:afterAutospacing="0"/>
              <w:jc w:val="right"/>
              <w:textAlignment w:val="bottom"/>
              <w:rPr>
                <w:rFonts w:ascii="Arial" w:hAnsi="Arial" w:cs="Arial"/>
                <w:sz w:val="18"/>
                <w:szCs w:val="36"/>
              </w:rPr>
            </w:pPr>
            <w:r w:rsidRPr="001B743B">
              <w:rPr>
                <w:rFonts w:ascii="Arial" w:hAnsi="Arial" w:cs="Arial"/>
                <w:color w:val="000000" w:themeColor="dark1"/>
                <w:kern w:val="24"/>
                <w:sz w:val="18"/>
                <w:szCs w:val="32"/>
              </w:rPr>
              <w:t>15,505</w:t>
            </w:r>
          </w:p>
        </w:tc>
        <w:tc>
          <w:tcPr>
            <w:tcW w:w="900" w:type="dxa"/>
          </w:tcPr>
          <w:p w:rsidR="001B743B" w:rsidRPr="001B743B" w:rsidRDefault="001B743B" w:rsidP="003757C8">
            <w:pPr>
              <w:pStyle w:val="NormalWeb"/>
              <w:spacing w:before="0" w:beforeAutospacing="0" w:after="0" w:afterAutospacing="0"/>
              <w:jc w:val="right"/>
              <w:textAlignment w:val="bottom"/>
              <w:rPr>
                <w:rFonts w:ascii="Arial" w:hAnsi="Arial" w:cs="Arial"/>
                <w:sz w:val="18"/>
                <w:szCs w:val="36"/>
              </w:rPr>
            </w:pPr>
            <w:r w:rsidRPr="001B743B">
              <w:rPr>
                <w:rFonts w:ascii="Arial" w:hAnsi="Arial" w:cs="Arial"/>
                <w:color w:val="000000" w:themeColor="dark1"/>
                <w:kern w:val="24"/>
                <w:sz w:val="18"/>
                <w:szCs w:val="32"/>
              </w:rPr>
              <w:t>40,23</w:t>
            </w:r>
            <w:r>
              <w:rPr>
                <w:rFonts w:ascii="Arial" w:hAnsi="Arial" w:cs="Arial"/>
                <w:color w:val="000000" w:themeColor="dark1"/>
                <w:kern w:val="24"/>
                <w:sz w:val="18"/>
                <w:szCs w:val="32"/>
              </w:rPr>
              <w:t>5</w:t>
            </w:r>
          </w:p>
        </w:tc>
        <w:tc>
          <w:tcPr>
            <w:tcW w:w="900" w:type="dxa"/>
          </w:tcPr>
          <w:p w:rsidR="001B743B" w:rsidRPr="001B743B" w:rsidRDefault="001B743B" w:rsidP="003757C8">
            <w:pPr>
              <w:pStyle w:val="NormalWeb"/>
              <w:spacing w:before="0" w:beforeAutospacing="0" w:after="0" w:afterAutospacing="0"/>
              <w:jc w:val="right"/>
              <w:textAlignment w:val="bottom"/>
              <w:rPr>
                <w:rFonts w:ascii="Arial" w:hAnsi="Arial" w:cs="Arial"/>
                <w:sz w:val="18"/>
                <w:szCs w:val="36"/>
              </w:rPr>
            </w:pPr>
            <w:r w:rsidRPr="001B743B">
              <w:rPr>
                <w:rFonts w:ascii="Arial" w:hAnsi="Arial" w:cs="Arial"/>
                <w:color w:val="000000" w:themeColor="dark1"/>
                <w:kern w:val="24"/>
                <w:sz w:val="18"/>
                <w:szCs w:val="32"/>
              </w:rPr>
              <w:t>12,66</w:t>
            </w:r>
            <w:r>
              <w:rPr>
                <w:rFonts w:ascii="Arial" w:hAnsi="Arial" w:cs="Arial"/>
                <w:color w:val="000000" w:themeColor="dark1"/>
                <w:kern w:val="24"/>
                <w:sz w:val="18"/>
                <w:szCs w:val="32"/>
              </w:rPr>
              <w:t>3</w:t>
            </w:r>
          </w:p>
        </w:tc>
        <w:tc>
          <w:tcPr>
            <w:tcW w:w="900" w:type="dxa"/>
          </w:tcPr>
          <w:p w:rsidR="001B743B" w:rsidRPr="001B743B" w:rsidRDefault="001B743B" w:rsidP="003757C8">
            <w:pPr>
              <w:pStyle w:val="NormalWeb"/>
              <w:spacing w:before="0" w:beforeAutospacing="0" w:after="0" w:afterAutospacing="0"/>
              <w:jc w:val="right"/>
              <w:textAlignment w:val="bottom"/>
              <w:rPr>
                <w:rFonts w:ascii="Arial" w:hAnsi="Arial" w:cs="Arial"/>
                <w:sz w:val="18"/>
                <w:szCs w:val="36"/>
              </w:rPr>
            </w:pPr>
            <w:r w:rsidRPr="001B743B">
              <w:rPr>
                <w:rFonts w:ascii="Arial" w:hAnsi="Arial" w:cs="Arial"/>
                <w:color w:val="000000" w:themeColor="dark1"/>
                <w:kern w:val="24"/>
                <w:sz w:val="18"/>
                <w:szCs w:val="32"/>
              </w:rPr>
              <w:t>4,31</w:t>
            </w:r>
            <w:r>
              <w:rPr>
                <w:rFonts w:ascii="Arial" w:hAnsi="Arial" w:cs="Arial"/>
                <w:color w:val="000000" w:themeColor="dark1"/>
                <w:kern w:val="24"/>
                <w:sz w:val="18"/>
                <w:szCs w:val="32"/>
              </w:rPr>
              <w:t>2</w:t>
            </w:r>
          </w:p>
        </w:tc>
      </w:tr>
      <w:tr w:rsidR="003757C8" w:rsidRPr="00792566" w:rsidTr="00680CFB">
        <w:tc>
          <w:tcPr>
            <w:tcW w:w="5718" w:type="dxa"/>
            <w:vAlign w:val="bottom"/>
          </w:tcPr>
          <w:p w:rsidR="003757C8" w:rsidRPr="00792566" w:rsidRDefault="003757C8" w:rsidP="00613879">
            <w:pPr>
              <w:pStyle w:val="NormalWeb"/>
              <w:spacing w:before="0" w:beforeAutospacing="0" w:after="0" w:afterAutospacing="0"/>
              <w:textAlignment w:val="bottom"/>
              <w:rPr>
                <w:rFonts w:ascii="Arial" w:hAnsi="Arial" w:cs="Arial"/>
                <w:sz w:val="18"/>
                <w:szCs w:val="36"/>
              </w:rPr>
            </w:pPr>
            <w:r>
              <w:rPr>
                <w:rFonts w:ascii="Arial" w:hAnsi="Arial" w:cs="Arial"/>
                <w:color w:val="000000" w:themeColor="dark1"/>
                <w:kern w:val="24"/>
                <w:sz w:val="18"/>
                <w:szCs w:val="30"/>
              </w:rPr>
              <w:t>Insufficient d</w:t>
            </w:r>
            <w:r w:rsidRPr="00792566">
              <w:rPr>
                <w:rFonts w:ascii="Arial" w:hAnsi="Arial" w:cs="Arial"/>
                <w:color w:val="000000" w:themeColor="dark1"/>
                <w:kern w:val="24"/>
                <w:sz w:val="18"/>
                <w:szCs w:val="30"/>
              </w:rPr>
              <w:t>ocumentation</w:t>
            </w:r>
          </w:p>
        </w:tc>
        <w:tc>
          <w:tcPr>
            <w:tcW w:w="900" w:type="dxa"/>
          </w:tcPr>
          <w:p w:rsidR="003757C8" w:rsidRPr="001B743B" w:rsidRDefault="003757C8"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138,75</w:t>
            </w:r>
            <w:r>
              <w:rPr>
                <w:rFonts w:ascii="Arial" w:hAnsi="Arial" w:cs="Arial"/>
                <w:color w:val="000000" w:themeColor="dark1"/>
                <w:kern w:val="24"/>
                <w:sz w:val="18"/>
                <w:szCs w:val="32"/>
              </w:rPr>
              <w:t>8</w:t>
            </w:r>
          </w:p>
        </w:tc>
        <w:tc>
          <w:tcPr>
            <w:tcW w:w="900" w:type="dxa"/>
          </w:tcPr>
          <w:p w:rsidR="003757C8" w:rsidRPr="001B743B" w:rsidRDefault="003757C8"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322,733</w:t>
            </w:r>
          </w:p>
        </w:tc>
        <w:tc>
          <w:tcPr>
            <w:tcW w:w="900" w:type="dxa"/>
          </w:tcPr>
          <w:p w:rsidR="003757C8" w:rsidRPr="001B743B" w:rsidRDefault="003757C8"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207,871</w:t>
            </w:r>
          </w:p>
        </w:tc>
        <w:tc>
          <w:tcPr>
            <w:tcW w:w="900" w:type="dxa"/>
          </w:tcPr>
          <w:p w:rsidR="003757C8" w:rsidRPr="001B743B" w:rsidRDefault="003757C8"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162,34</w:t>
            </w:r>
            <w:r>
              <w:rPr>
                <w:rFonts w:ascii="Arial" w:hAnsi="Arial" w:cs="Arial"/>
                <w:color w:val="000000" w:themeColor="dark1"/>
                <w:kern w:val="24"/>
                <w:sz w:val="18"/>
                <w:szCs w:val="32"/>
              </w:rPr>
              <w:t>7</w:t>
            </w:r>
          </w:p>
        </w:tc>
        <w:tc>
          <w:tcPr>
            <w:tcW w:w="900" w:type="dxa"/>
          </w:tcPr>
          <w:p w:rsidR="003757C8" w:rsidRPr="001B743B" w:rsidRDefault="003757C8" w:rsidP="003757C8">
            <w:pPr>
              <w:pStyle w:val="NormalWeb"/>
              <w:spacing w:before="0" w:beforeAutospacing="0" w:after="0" w:afterAutospacing="0" w:line="296" w:lineRule="atLeast"/>
              <w:jc w:val="right"/>
              <w:textAlignment w:val="bottom"/>
              <w:rPr>
                <w:rFonts w:ascii="Arial" w:hAnsi="Arial" w:cs="Arial"/>
                <w:sz w:val="18"/>
                <w:szCs w:val="36"/>
              </w:rPr>
            </w:pPr>
            <w:r w:rsidRPr="001B743B">
              <w:rPr>
                <w:rFonts w:ascii="Arial" w:hAnsi="Arial" w:cs="Arial"/>
                <w:color w:val="000000" w:themeColor="dark1"/>
                <w:kern w:val="24"/>
                <w:sz w:val="18"/>
                <w:szCs w:val="32"/>
              </w:rPr>
              <w:t>260,83</w:t>
            </w:r>
            <w:r>
              <w:rPr>
                <w:rFonts w:ascii="Arial" w:hAnsi="Arial" w:cs="Arial"/>
                <w:color w:val="000000" w:themeColor="dark1"/>
                <w:kern w:val="24"/>
                <w:sz w:val="18"/>
                <w:szCs w:val="32"/>
              </w:rPr>
              <w:t>1</w:t>
            </w:r>
          </w:p>
        </w:tc>
      </w:tr>
      <w:tr w:rsidR="001B743B" w:rsidRPr="00332FE1" w:rsidTr="003757C8">
        <w:tc>
          <w:tcPr>
            <w:tcW w:w="5718" w:type="dxa"/>
          </w:tcPr>
          <w:p w:rsidR="001B743B" w:rsidRPr="00332FE1" w:rsidRDefault="001B743B" w:rsidP="003757C8">
            <w:pPr>
              <w:pStyle w:val="NormalWeb"/>
              <w:spacing w:before="0" w:beforeAutospacing="0" w:after="0" w:afterAutospacing="0"/>
              <w:textAlignment w:val="bottom"/>
              <w:rPr>
                <w:rFonts w:ascii="Arial" w:hAnsi="Arial" w:cs="Arial"/>
                <w:b/>
                <w:sz w:val="18"/>
                <w:szCs w:val="36"/>
              </w:rPr>
            </w:pPr>
            <w:r w:rsidRPr="00332FE1">
              <w:rPr>
                <w:rFonts w:ascii="Arial" w:hAnsi="Arial" w:cs="Arial"/>
                <w:b/>
                <w:sz w:val="18"/>
                <w:szCs w:val="36"/>
              </w:rPr>
              <w:t>Total</w:t>
            </w:r>
          </w:p>
        </w:tc>
        <w:tc>
          <w:tcPr>
            <w:tcW w:w="900" w:type="dxa"/>
          </w:tcPr>
          <w:p w:rsidR="001B743B" w:rsidRPr="003757C8" w:rsidRDefault="001B743B" w:rsidP="003757C8">
            <w:pPr>
              <w:pStyle w:val="NormalWeb"/>
              <w:spacing w:before="0" w:beforeAutospacing="0" w:after="0" w:afterAutospacing="0" w:line="296" w:lineRule="atLeast"/>
              <w:jc w:val="right"/>
              <w:textAlignment w:val="bottom"/>
              <w:rPr>
                <w:rFonts w:ascii="Arial" w:hAnsi="Arial" w:cs="Arial"/>
                <w:b/>
                <w:color w:val="000000" w:themeColor="dark1"/>
                <w:kern w:val="24"/>
                <w:sz w:val="18"/>
                <w:szCs w:val="32"/>
              </w:rPr>
            </w:pPr>
            <w:r w:rsidRPr="003757C8">
              <w:rPr>
                <w:rFonts w:ascii="Arial" w:hAnsi="Arial" w:cs="Arial"/>
                <w:b/>
                <w:color w:val="000000" w:themeColor="dark1"/>
                <w:kern w:val="24"/>
                <w:sz w:val="18"/>
                <w:szCs w:val="32"/>
              </w:rPr>
              <w:t>579,566</w:t>
            </w:r>
          </w:p>
        </w:tc>
        <w:tc>
          <w:tcPr>
            <w:tcW w:w="900" w:type="dxa"/>
          </w:tcPr>
          <w:p w:rsidR="001B743B" w:rsidRPr="003757C8" w:rsidRDefault="001B743B" w:rsidP="003757C8">
            <w:pPr>
              <w:pStyle w:val="NormalWeb"/>
              <w:spacing w:before="0" w:beforeAutospacing="0" w:after="0" w:afterAutospacing="0" w:line="296" w:lineRule="atLeast"/>
              <w:jc w:val="right"/>
              <w:textAlignment w:val="bottom"/>
              <w:rPr>
                <w:rFonts w:ascii="Arial" w:hAnsi="Arial" w:cs="Arial"/>
                <w:b/>
                <w:color w:val="000000" w:themeColor="dark1"/>
                <w:kern w:val="24"/>
                <w:sz w:val="18"/>
                <w:szCs w:val="32"/>
              </w:rPr>
            </w:pPr>
            <w:r w:rsidRPr="003757C8">
              <w:rPr>
                <w:rFonts w:ascii="Arial" w:hAnsi="Arial" w:cs="Arial"/>
                <w:b/>
                <w:color w:val="000000" w:themeColor="dark1"/>
                <w:kern w:val="24"/>
                <w:sz w:val="18"/>
                <w:szCs w:val="32"/>
              </w:rPr>
              <w:t>829,802</w:t>
            </w:r>
          </w:p>
        </w:tc>
        <w:tc>
          <w:tcPr>
            <w:tcW w:w="900" w:type="dxa"/>
          </w:tcPr>
          <w:p w:rsidR="001B743B" w:rsidRPr="003757C8" w:rsidRDefault="001B743B" w:rsidP="003757C8">
            <w:pPr>
              <w:pStyle w:val="NormalWeb"/>
              <w:spacing w:before="0" w:beforeAutospacing="0" w:after="0" w:afterAutospacing="0" w:line="296" w:lineRule="atLeast"/>
              <w:jc w:val="right"/>
              <w:textAlignment w:val="bottom"/>
              <w:rPr>
                <w:rFonts w:ascii="Arial" w:hAnsi="Arial" w:cs="Arial"/>
                <w:b/>
                <w:color w:val="000000" w:themeColor="dark1"/>
                <w:kern w:val="24"/>
                <w:sz w:val="18"/>
                <w:szCs w:val="32"/>
              </w:rPr>
            </w:pPr>
            <w:r w:rsidRPr="003757C8">
              <w:rPr>
                <w:rFonts w:ascii="Arial" w:hAnsi="Arial" w:cs="Arial"/>
                <w:b/>
                <w:color w:val="000000" w:themeColor="dark1"/>
                <w:kern w:val="24"/>
                <w:sz w:val="18"/>
                <w:szCs w:val="32"/>
              </w:rPr>
              <w:t>647,517</w:t>
            </w:r>
          </w:p>
        </w:tc>
        <w:tc>
          <w:tcPr>
            <w:tcW w:w="900" w:type="dxa"/>
          </w:tcPr>
          <w:p w:rsidR="001B743B" w:rsidRPr="003757C8" w:rsidRDefault="001B743B" w:rsidP="003757C8">
            <w:pPr>
              <w:pStyle w:val="NormalWeb"/>
              <w:spacing w:before="0" w:beforeAutospacing="0" w:after="0" w:afterAutospacing="0" w:line="296" w:lineRule="atLeast"/>
              <w:jc w:val="right"/>
              <w:textAlignment w:val="bottom"/>
              <w:rPr>
                <w:rFonts w:ascii="Arial" w:hAnsi="Arial" w:cs="Arial"/>
                <w:b/>
                <w:color w:val="000000" w:themeColor="dark1"/>
                <w:kern w:val="24"/>
                <w:sz w:val="18"/>
                <w:szCs w:val="32"/>
              </w:rPr>
            </w:pPr>
            <w:r w:rsidRPr="003757C8">
              <w:rPr>
                <w:rFonts w:ascii="Arial" w:hAnsi="Arial" w:cs="Arial"/>
                <w:b/>
                <w:color w:val="000000" w:themeColor="dark1"/>
                <w:kern w:val="24"/>
                <w:sz w:val="18"/>
                <w:szCs w:val="32"/>
              </w:rPr>
              <w:t>392,686</w:t>
            </w:r>
          </w:p>
        </w:tc>
        <w:tc>
          <w:tcPr>
            <w:tcW w:w="900" w:type="dxa"/>
          </w:tcPr>
          <w:p w:rsidR="001B743B" w:rsidRPr="003757C8" w:rsidRDefault="001B743B" w:rsidP="003757C8">
            <w:pPr>
              <w:pStyle w:val="NormalWeb"/>
              <w:spacing w:before="0" w:beforeAutospacing="0" w:after="0" w:afterAutospacing="0" w:line="296" w:lineRule="atLeast"/>
              <w:jc w:val="right"/>
              <w:textAlignment w:val="bottom"/>
              <w:rPr>
                <w:rFonts w:ascii="Arial" w:hAnsi="Arial" w:cs="Arial"/>
                <w:b/>
                <w:color w:val="000000" w:themeColor="dark1"/>
                <w:kern w:val="24"/>
                <w:sz w:val="18"/>
                <w:szCs w:val="32"/>
              </w:rPr>
            </w:pPr>
            <w:r w:rsidRPr="003757C8">
              <w:rPr>
                <w:rFonts w:ascii="Arial" w:hAnsi="Arial" w:cs="Arial"/>
                <w:b/>
                <w:color w:val="000000" w:themeColor="dark1"/>
                <w:kern w:val="24"/>
                <w:sz w:val="18"/>
                <w:szCs w:val="32"/>
              </w:rPr>
              <w:t>345,852</w:t>
            </w:r>
          </w:p>
        </w:tc>
      </w:tr>
    </w:tbl>
    <w:p w:rsidR="001B743B" w:rsidRDefault="001B743B">
      <w:pPr>
        <w:rPr>
          <w:rFonts w:ascii="Arial" w:hAnsi="Arial" w:cs="Arial"/>
        </w:rPr>
      </w:pPr>
    </w:p>
    <w:p w:rsidR="001B743B" w:rsidRPr="003757C8" w:rsidRDefault="003757C8" w:rsidP="003757C8">
      <w:pPr>
        <w:pStyle w:val="ListParagraph"/>
        <w:numPr>
          <w:ilvl w:val="0"/>
          <w:numId w:val="2"/>
        </w:numPr>
        <w:rPr>
          <w:rFonts w:ascii="Arial" w:hAnsi="Arial" w:cs="Arial"/>
        </w:rPr>
      </w:pPr>
      <w:r>
        <w:rPr>
          <w:rFonts w:ascii="Arial" w:hAnsi="Arial" w:cs="Arial"/>
        </w:rPr>
        <w:t>Consolidated/ cumulative irregular expenditure</w:t>
      </w:r>
    </w:p>
    <w:tbl>
      <w:tblPr>
        <w:tblStyle w:val="TableGrid"/>
        <w:tblW w:w="10170" w:type="dxa"/>
        <w:tblInd w:w="108" w:type="dxa"/>
        <w:tblLook w:val="04A0"/>
      </w:tblPr>
      <w:tblGrid>
        <w:gridCol w:w="7470"/>
        <w:gridCol w:w="900"/>
        <w:gridCol w:w="1800"/>
      </w:tblGrid>
      <w:tr w:rsidR="004F79C4" w:rsidTr="00772053">
        <w:trPr>
          <w:trHeight w:val="422"/>
        </w:trPr>
        <w:tc>
          <w:tcPr>
            <w:tcW w:w="7470" w:type="dxa"/>
            <w:shd w:val="clear" w:color="auto" w:fill="92CDDC" w:themeFill="accent5" w:themeFillTint="99"/>
            <w:vAlign w:val="center"/>
          </w:tcPr>
          <w:p w:rsidR="004F79C4" w:rsidRPr="003757C8" w:rsidRDefault="004F79C4" w:rsidP="003757C8">
            <w:pPr>
              <w:jc w:val="center"/>
              <w:rPr>
                <w:rFonts w:ascii="Arial" w:hAnsi="Arial" w:cs="Arial"/>
                <w:b/>
                <w:sz w:val="18"/>
              </w:rPr>
            </w:pPr>
            <w:r w:rsidRPr="003757C8">
              <w:rPr>
                <w:rFonts w:ascii="Arial" w:hAnsi="Arial" w:cs="Arial"/>
                <w:b/>
                <w:sz w:val="18"/>
              </w:rPr>
              <w:t>Incidents</w:t>
            </w:r>
          </w:p>
        </w:tc>
        <w:tc>
          <w:tcPr>
            <w:tcW w:w="900" w:type="dxa"/>
            <w:shd w:val="clear" w:color="auto" w:fill="92CDDC" w:themeFill="accent5" w:themeFillTint="99"/>
            <w:vAlign w:val="center"/>
          </w:tcPr>
          <w:p w:rsidR="004F79C4" w:rsidRPr="003757C8" w:rsidRDefault="004F79C4" w:rsidP="004F79C4">
            <w:pPr>
              <w:jc w:val="center"/>
              <w:rPr>
                <w:rFonts w:ascii="Arial" w:hAnsi="Arial" w:cs="Arial"/>
                <w:b/>
                <w:sz w:val="18"/>
              </w:rPr>
            </w:pPr>
            <w:r>
              <w:rPr>
                <w:rFonts w:ascii="Arial" w:hAnsi="Arial" w:cs="Arial"/>
                <w:b/>
                <w:sz w:val="18"/>
              </w:rPr>
              <w:t>%</w:t>
            </w:r>
          </w:p>
        </w:tc>
        <w:tc>
          <w:tcPr>
            <w:tcW w:w="1800" w:type="dxa"/>
            <w:shd w:val="clear" w:color="auto" w:fill="92CDDC" w:themeFill="accent5" w:themeFillTint="99"/>
            <w:vAlign w:val="center"/>
          </w:tcPr>
          <w:p w:rsidR="004F79C4" w:rsidRDefault="004F79C4" w:rsidP="003757C8">
            <w:pPr>
              <w:jc w:val="center"/>
              <w:rPr>
                <w:rFonts w:ascii="Arial" w:hAnsi="Arial" w:cs="Arial"/>
                <w:b/>
                <w:sz w:val="18"/>
              </w:rPr>
            </w:pPr>
            <w:r w:rsidRPr="003757C8">
              <w:rPr>
                <w:rFonts w:ascii="Arial" w:hAnsi="Arial" w:cs="Arial"/>
                <w:b/>
                <w:sz w:val="18"/>
              </w:rPr>
              <w:t>Total</w:t>
            </w:r>
          </w:p>
          <w:p w:rsidR="00BB182B" w:rsidRPr="003757C8" w:rsidRDefault="00BB182B" w:rsidP="003757C8">
            <w:pPr>
              <w:jc w:val="center"/>
              <w:rPr>
                <w:rFonts w:ascii="Arial" w:hAnsi="Arial" w:cs="Arial"/>
                <w:b/>
                <w:sz w:val="18"/>
              </w:rPr>
            </w:pPr>
            <w:r>
              <w:rPr>
                <w:rFonts w:ascii="Arial" w:hAnsi="Arial" w:cs="Arial"/>
                <w:b/>
                <w:sz w:val="18"/>
              </w:rPr>
              <w:t>R’000</w:t>
            </w:r>
          </w:p>
        </w:tc>
      </w:tr>
      <w:tr w:rsidR="004F79C4" w:rsidTr="00772053">
        <w:tc>
          <w:tcPr>
            <w:tcW w:w="7470" w:type="dxa"/>
            <w:vAlign w:val="bottom"/>
          </w:tcPr>
          <w:p w:rsidR="004F79C4" w:rsidRPr="00792566" w:rsidRDefault="004F79C4" w:rsidP="00613879">
            <w:pPr>
              <w:pStyle w:val="NormalWeb"/>
              <w:spacing w:before="0" w:beforeAutospacing="0" w:after="0" w:afterAutospacing="0"/>
              <w:textAlignment w:val="bottom"/>
              <w:rPr>
                <w:rFonts w:ascii="Arial" w:hAnsi="Arial" w:cs="Arial"/>
                <w:sz w:val="18"/>
                <w:szCs w:val="36"/>
              </w:rPr>
            </w:pPr>
            <w:r w:rsidRPr="00792566">
              <w:rPr>
                <w:rFonts w:ascii="Arial" w:hAnsi="Arial" w:cs="Arial"/>
                <w:color w:val="000000" w:themeColor="dark1"/>
                <w:kern w:val="24"/>
                <w:sz w:val="18"/>
                <w:szCs w:val="30"/>
              </w:rPr>
              <w:t>Content acquisition process for unsolicited offers not followed</w:t>
            </w:r>
          </w:p>
        </w:tc>
        <w:tc>
          <w:tcPr>
            <w:tcW w:w="900" w:type="dxa"/>
            <w:vAlign w:val="bottom"/>
          </w:tcPr>
          <w:p w:rsidR="004F79C4" w:rsidRPr="004F79C4" w:rsidRDefault="004F79C4" w:rsidP="004F79C4">
            <w:pPr>
              <w:jc w:val="center"/>
              <w:rPr>
                <w:rFonts w:ascii="Arial" w:hAnsi="Arial" w:cs="Arial"/>
                <w:color w:val="000000"/>
                <w:sz w:val="18"/>
              </w:rPr>
            </w:pPr>
            <w:r w:rsidRPr="004F79C4">
              <w:rPr>
                <w:rFonts w:ascii="Arial" w:hAnsi="Arial" w:cs="Arial"/>
                <w:color w:val="000000"/>
                <w:sz w:val="18"/>
              </w:rPr>
              <w:t>0%</w:t>
            </w:r>
          </w:p>
        </w:tc>
        <w:tc>
          <w:tcPr>
            <w:tcW w:w="1800" w:type="dxa"/>
            <w:vAlign w:val="bottom"/>
          </w:tcPr>
          <w:p w:rsidR="004F79C4" w:rsidRPr="004F79C4" w:rsidRDefault="004F79C4" w:rsidP="004F79C4">
            <w:pPr>
              <w:pStyle w:val="NormalWeb"/>
              <w:spacing w:before="0" w:beforeAutospacing="0" w:after="0" w:afterAutospacing="0" w:line="296" w:lineRule="atLeast"/>
              <w:jc w:val="right"/>
              <w:textAlignment w:val="bottom"/>
              <w:rPr>
                <w:rFonts w:ascii="Arial" w:hAnsi="Arial" w:cs="Arial"/>
                <w:color w:val="000000" w:themeColor="dark1"/>
                <w:kern w:val="24"/>
                <w:sz w:val="18"/>
                <w:szCs w:val="32"/>
              </w:rPr>
            </w:pPr>
            <w:r w:rsidRPr="004F79C4">
              <w:rPr>
                <w:rFonts w:ascii="Arial" w:hAnsi="Arial" w:cs="Arial"/>
                <w:color w:val="000000" w:themeColor="dark1"/>
                <w:kern w:val="24"/>
                <w:sz w:val="18"/>
                <w:szCs w:val="32"/>
              </w:rPr>
              <w:t>3,297</w:t>
            </w:r>
          </w:p>
        </w:tc>
      </w:tr>
      <w:tr w:rsidR="004F79C4" w:rsidTr="00772053">
        <w:tc>
          <w:tcPr>
            <w:tcW w:w="7470" w:type="dxa"/>
            <w:vAlign w:val="bottom"/>
          </w:tcPr>
          <w:p w:rsidR="004F79C4" w:rsidRPr="00792566" w:rsidRDefault="004F79C4" w:rsidP="00613879">
            <w:pPr>
              <w:pStyle w:val="NormalWeb"/>
              <w:spacing w:before="0" w:beforeAutospacing="0" w:after="0" w:afterAutospacing="0"/>
              <w:textAlignment w:val="bottom"/>
              <w:rPr>
                <w:rFonts w:ascii="Arial" w:hAnsi="Arial" w:cs="Arial"/>
                <w:sz w:val="18"/>
                <w:szCs w:val="36"/>
              </w:rPr>
            </w:pPr>
            <w:r w:rsidRPr="00792566">
              <w:rPr>
                <w:rFonts w:ascii="Arial" w:hAnsi="Arial" w:cs="Arial"/>
                <w:color w:val="000000" w:themeColor="dark1"/>
                <w:kern w:val="24"/>
                <w:sz w:val="18"/>
                <w:szCs w:val="30"/>
              </w:rPr>
              <w:t>Re</w:t>
            </w:r>
            <w:r>
              <w:rPr>
                <w:rFonts w:ascii="Arial" w:hAnsi="Arial" w:cs="Arial"/>
                <w:color w:val="000000" w:themeColor="dark1"/>
                <w:kern w:val="24"/>
                <w:sz w:val="18"/>
                <w:szCs w:val="30"/>
              </w:rPr>
              <w:t>-</w:t>
            </w:r>
            <w:r w:rsidRPr="00792566">
              <w:rPr>
                <w:rFonts w:ascii="Arial" w:hAnsi="Arial" w:cs="Arial"/>
                <w:color w:val="000000" w:themeColor="dark1"/>
                <w:kern w:val="24"/>
                <w:sz w:val="18"/>
                <w:szCs w:val="30"/>
              </w:rPr>
              <w:t>commissioning process not followed</w:t>
            </w:r>
          </w:p>
        </w:tc>
        <w:tc>
          <w:tcPr>
            <w:tcW w:w="900" w:type="dxa"/>
            <w:vAlign w:val="bottom"/>
          </w:tcPr>
          <w:p w:rsidR="004F79C4" w:rsidRPr="004F79C4" w:rsidRDefault="004F79C4" w:rsidP="004F79C4">
            <w:pPr>
              <w:jc w:val="center"/>
              <w:rPr>
                <w:rFonts w:ascii="Arial" w:hAnsi="Arial" w:cs="Arial"/>
                <w:color w:val="000000"/>
                <w:sz w:val="18"/>
              </w:rPr>
            </w:pPr>
            <w:r w:rsidRPr="004F79C4">
              <w:rPr>
                <w:rFonts w:ascii="Arial" w:hAnsi="Arial" w:cs="Arial"/>
                <w:color w:val="000000"/>
                <w:sz w:val="18"/>
              </w:rPr>
              <w:t>0%</w:t>
            </w:r>
          </w:p>
        </w:tc>
        <w:tc>
          <w:tcPr>
            <w:tcW w:w="1800" w:type="dxa"/>
          </w:tcPr>
          <w:p w:rsidR="004F79C4" w:rsidRPr="004F79C4" w:rsidRDefault="004F79C4" w:rsidP="004F79C4">
            <w:pPr>
              <w:pStyle w:val="NormalWeb"/>
              <w:spacing w:before="0" w:beforeAutospacing="0" w:after="0" w:afterAutospacing="0" w:line="296" w:lineRule="atLeast"/>
              <w:jc w:val="right"/>
              <w:textAlignment w:val="bottom"/>
              <w:rPr>
                <w:rFonts w:ascii="Arial" w:hAnsi="Arial" w:cs="Arial"/>
                <w:color w:val="000000" w:themeColor="dark1"/>
                <w:kern w:val="24"/>
                <w:sz w:val="18"/>
                <w:szCs w:val="32"/>
              </w:rPr>
            </w:pPr>
            <w:r w:rsidRPr="004F79C4">
              <w:rPr>
                <w:rFonts w:ascii="Arial" w:hAnsi="Arial" w:cs="Arial"/>
                <w:color w:val="000000" w:themeColor="dark1"/>
                <w:kern w:val="24"/>
                <w:sz w:val="18"/>
                <w:szCs w:val="32"/>
              </w:rPr>
              <w:t xml:space="preserve">         10,659.00 </w:t>
            </w:r>
          </w:p>
        </w:tc>
      </w:tr>
      <w:tr w:rsidR="004F79C4" w:rsidTr="00772053">
        <w:tc>
          <w:tcPr>
            <w:tcW w:w="7470" w:type="dxa"/>
          </w:tcPr>
          <w:p w:rsidR="004F79C4" w:rsidRPr="001B743B" w:rsidRDefault="004F79C4" w:rsidP="00613879">
            <w:pPr>
              <w:pStyle w:val="NormalWeb"/>
              <w:spacing w:before="0" w:beforeAutospacing="0" w:after="0" w:afterAutospacing="0" w:line="296" w:lineRule="atLeast"/>
              <w:textAlignment w:val="bottom"/>
              <w:rPr>
                <w:rFonts w:ascii="Arial" w:hAnsi="Arial" w:cs="Arial"/>
                <w:sz w:val="18"/>
                <w:szCs w:val="36"/>
              </w:rPr>
            </w:pPr>
            <w:r w:rsidRPr="001B743B">
              <w:rPr>
                <w:rFonts w:ascii="Arial" w:hAnsi="Arial" w:cs="Arial"/>
                <w:color w:val="000000" w:themeColor="dark1"/>
                <w:kern w:val="24"/>
                <w:sz w:val="18"/>
                <w:szCs w:val="32"/>
              </w:rPr>
              <w:t>Incorrect evaluation of bids</w:t>
            </w:r>
            <w:r>
              <w:rPr>
                <w:rFonts w:ascii="Arial" w:hAnsi="Arial" w:cs="Arial"/>
                <w:color w:val="000000" w:themeColor="dark1"/>
                <w:kern w:val="24"/>
                <w:sz w:val="18"/>
                <w:szCs w:val="32"/>
              </w:rPr>
              <w:t>/ not followed</w:t>
            </w:r>
          </w:p>
        </w:tc>
        <w:tc>
          <w:tcPr>
            <w:tcW w:w="900" w:type="dxa"/>
            <w:vAlign w:val="bottom"/>
          </w:tcPr>
          <w:p w:rsidR="004F79C4" w:rsidRPr="004F79C4" w:rsidRDefault="004F79C4" w:rsidP="004F79C4">
            <w:pPr>
              <w:jc w:val="center"/>
              <w:rPr>
                <w:rFonts w:ascii="Arial" w:hAnsi="Arial" w:cs="Arial"/>
                <w:color w:val="000000"/>
                <w:sz w:val="18"/>
              </w:rPr>
            </w:pPr>
            <w:r w:rsidRPr="004F79C4">
              <w:rPr>
                <w:rFonts w:ascii="Arial" w:hAnsi="Arial" w:cs="Arial"/>
                <w:color w:val="000000"/>
                <w:sz w:val="18"/>
              </w:rPr>
              <w:t>2%</w:t>
            </w:r>
          </w:p>
        </w:tc>
        <w:tc>
          <w:tcPr>
            <w:tcW w:w="1800" w:type="dxa"/>
          </w:tcPr>
          <w:p w:rsidR="004F79C4" w:rsidRPr="004F79C4" w:rsidRDefault="004F79C4" w:rsidP="004F79C4">
            <w:pPr>
              <w:pStyle w:val="NormalWeb"/>
              <w:spacing w:before="0" w:beforeAutospacing="0" w:after="0" w:afterAutospacing="0" w:line="296" w:lineRule="atLeast"/>
              <w:jc w:val="right"/>
              <w:textAlignment w:val="bottom"/>
              <w:rPr>
                <w:rFonts w:ascii="Arial" w:hAnsi="Arial" w:cs="Arial"/>
                <w:color w:val="000000" w:themeColor="dark1"/>
                <w:kern w:val="24"/>
                <w:sz w:val="18"/>
                <w:szCs w:val="32"/>
              </w:rPr>
            </w:pPr>
            <w:r w:rsidRPr="004F79C4">
              <w:rPr>
                <w:rFonts w:ascii="Arial" w:hAnsi="Arial" w:cs="Arial"/>
                <w:color w:val="000000" w:themeColor="dark1"/>
                <w:kern w:val="24"/>
                <w:sz w:val="18"/>
                <w:szCs w:val="32"/>
              </w:rPr>
              <w:t xml:space="preserve">   129,577.00 </w:t>
            </w:r>
          </w:p>
        </w:tc>
      </w:tr>
      <w:tr w:rsidR="004F79C4" w:rsidTr="00772053">
        <w:tc>
          <w:tcPr>
            <w:tcW w:w="7470" w:type="dxa"/>
            <w:vAlign w:val="bottom"/>
          </w:tcPr>
          <w:p w:rsidR="004F79C4" w:rsidRPr="00792566" w:rsidRDefault="004F79C4" w:rsidP="00613879">
            <w:pPr>
              <w:pStyle w:val="NormalWeb"/>
              <w:spacing w:before="0" w:beforeAutospacing="0" w:after="0" w:afterAutospacing="0"/>
              <w:textAlignment w:val="bottom"/>
              <w:rPr>
                <w:rFonts w:ascii="Arial" w:hAnsi="Arial" w:cs="Arial"/>
                <w:sz w:val="18"/>
                <w:szCs w:val="36"/>
              </w:rPr>
            </w:pPr>
            <w:r w:rsidRPr="00792566">
              <w:rPr>
                <w:rFonts w:ascii="Arial" w:hAnsi="Arial" w:cs="Arial"/>
                <w:color w:val="000000" w:themeColor="dark1"/>
                <w:kern w:val="24"/>
                <w:sz w:val="18"/>
                <w:szCs w:val="30"/>
              </w:rPr>
              <w:t>No valid (Original) T</w:t>
            </w:r>
            <w:r>
              <w:rPr>
                <w:rFonts w:ascii="Arial" w:hAnsi="Arial" w:cs="Arial"/>
                <w:color w:val="000000" w:themeColor="dark1"/>
                <w:kern w:val="24"/>
                <w:sz w:val="18"/>
                <w:szCs w:val="30"/>
              </w:rPr>
              <w:t xml:space="preserve">ax </w:t>
            </w:r>
            <w:r w:rsidRPr="00792566">
              <w:rPr>
                <w:rFonts w:ascii="Arial" w:hAnsi="Arial" w:cs="Arial"/>
                <w:color w:val="000000" w:themeColor="dark1"/>
                <w:kern w:val="24"/>
                <w:sz w:val="18"/>
                <w:szCs w:val="30"/>
              </w:rPr>
              <w:t>C</w:t>
            </w:r>
            <w:r>
              <w:rPr>
                <w:rFonts w:ascii="Arial" w:hAnsi="Arial" w:cs="Arial"/>
                <w:color w:val="000000" w:themeColor="dark1"/>
                <w:kern w:val="24"/>
                <w:sz w:val="18"/>
                <w:szCs w:val="30"/>
              </w:rPr>
              <w:t xml:space="preserve">learance </w:t>
            </w:r>
            <w:r w:rsidRPr="00792566">
              <w:rPr>
                <w:rFonts w:ascii="Arial" w:hAnsi="Arial" w:cs="Arial"/>
                <w:color w:val="000000" w:themeColor="dark1"/>
                <w:kern w:val="24"/>
                <w:sz w:val="18"/>
                <w:szCs w:val="30"/>
              </w:rPr>
              <w:t>C</w:t>
            </w:r>
            <w:r>
              <w:rPr>
                <w:rFonts w:ascii="Arial" w:hAnsi="Arial" w:cs="Arial"/>
                <w:color w:val="000000" w:themeColor="dark1"/>
                <w:kern w:val="24"/>
                <w:sz w:val="18"/>
                <w:szCs w:val="30"/>
              </w:rPr>
              <w:t>ertificate</w:t>
            </w:r>
          </w:p>
        </w:tc>
        <w:tc>
          <w:tcPr>
            <w:tcW w:w="900" w:type="dxa"/>
            <w:vAlign w:val="bottom"/>
          </w:tcPr>
          <w:p w:rsidR="004F79C4" w:rsidRPr="004F79C4" w:rsidRDefault="004F79C4" w:rsidP="004F79C4">
            <w:pPr>
              <w:jc w:val="center"/>
              <w:rPr>
                <w:rFonts w:ascii="Arial" w:hAnsi="Arial" w:cs="Arial"/>
                <w:color w:val="000000"/>
                <w:sz w:val="18"/>
              </w:rPr>
            </w:pPr>
            <w:r w:rsidRPr="004F79C4">
              <w:rPr>
                <w:rFonts w:ascii="Arial" w:hAnsi="Arial" w:cs="Arial"/>
                <w:color w:val="000000"/>
                <w:sz w:val="18"/>
              </w:rPr>
              <w:t>47%</w:t>
            </w:r>
          </w:p>
        </w:tc>
        <w:tc>
          <w:tcPr>
            <w:tcW w:w="1800" w:type="dxa"/>
          </w:tcPr>
          <w:p w:rsidR="004F79C4" w:rsidRPr="004F79C4" w:rsidRDefault="004F79C4" w:rsidP="004F79C4">
            <w:pPr>
              <w:pStyle w:val="NormalWeb"/>
              <w:spacing w:before="0" w:beforeAutospacing="0" w:after="0" w:afterAutospacing="0" w:line="296" w:lineRule="atLeast"/>
              <w:jc w:val="right"/>
              <w:textAlignment w:val="bottom"/>
              <w:rPr>
                <w:rFonts w:ascii="Arial" w:hAnsi="Arial" w:cs="Arial"/>
                <w:color w:val="000000" w:themeColor="dark1"/>
                <w:kern w:val="24"/>
                <w:sz w:val="18"/>
                <w:szCs w:val="32"/>
              </w:rPr>
            </w:pPr>
            <w:r w:rsidRPr="004F79C4">
              <w:rPr>
                <w:rFonts w:ascii="Arial" w:hAnsi="Arial" w:cs="Arial"/>
                <w:color w:val="000000" w:themeColor="dark1"/>
                <w:kern w:val="24"/>
                <w:sz w:val="18"/>
                <w:szCs w:val="32"/>
              </w:rPr>
              <w:t xml:space="preserve">   2,460,856.00 </w:t>
            </w:r>
          </w:p>
        </w:tc>
      </w:tr>
      <w:tr w:rsidR="004F79C4" w:rsidTr="00772053">
        <w:tc>
          <w:tcPr>
            <w:tcW w:w="7470" w:type="dxa"/>
            <w:vAlign w:val="bottom"/>
          </w:tcPr>
          <w:p w:rsidR="004F79C4" w:rsidRPr="00792566" w:rsidRDefault="004F79C4" w:rsidP="00613879">
            <w:pPr>
              <w:pStyle w:val="NormalWeb"/>
              <w:spacing w:before="0" w:beforeAutospacing="0" w:after="0" w:afterAutospacing="0"/>
              <w:textAlignment w:val="bottom"/>
              <w:rPr>
                <w:rFonts w:ascii="Arial" w:hAnsi="Arial" w:cs="Arial"/>
                <w:sz w:val="18"/>
                <w:szCs w:val="36"/>
              </w:rPr>
            </w:pPr>
            <w:r w:rsidRPr="00792566">
              <w:rPr>
                <w:rFonts w:ascii="Arial" w:hAnsi="Arial" w:cs="Arial"/>
                <w:color w:val="000000" w:themeColor="dark1"/>
                <w:kern w:val="24"/>
                <w:sz w:val="18"/>
                <w:szCs w:val="30"/>
              </w:rPr>
              <w:t>D</w:t>
            </w:r>
            <w:r>
              <w:rPr>
                <w:rFonts w:ascii="Arial" w:hAnsi="Arial" w:cs="Arial"/>
                <w:color w:val="000000" w:themeColor="dark1"/>
                <w:kern w:val="24"/>
                <w:sz w:val="18"/>
                <w:szCs w:val="30"/>
              </w:rPr>
              <w:t xml:space="preserve">elegation of </w:t>
            </w:r>
            <w:r w:rsidRPr="00792566">
              <w:rPr>
                <w:rFonts w:ascii="Arial" w:hAnsi="Arial" w:cs="Arial"/>
                <w:color w:val="000000" w:themeColor="dark1"/>
                <w:kern w:val="24"/>
                <w:sz w:val="18"/>
                <w:szCs w:val="30"/>
              </w:rPr>
              <w:t>A</w:t>
            </w:r>
            <w:r>
              <w:rPr>
                <w:rFonts w:ascii="Arial" w:hAnsi="Arial" w:cs="Arial"/>
                <w:color w:val="000000" w:themeColor="dark1"/>
                <w:kern w:val="24"/>
                <w:sz w:val="18"/>
                <w:szCs w:val="30"/>
              </w:rPr>
              <w:t xml:space="preserve">uthority </w:t>
            </w:r>
            <w:r w:rsidRPr="00792566">
              <w:rPr>
                <w:rFonts w:ascii="Arial" w:hAnsi="Arial" w:cs="Arial"/>
                <w:color w:val="000000" w:themeColor="dark1"/>
                <w:kern w:val="24"/>
                <w:sz w:val="18"/>
                <w:szCs w:val="30"/>
              </w:rPr>
              <w:t>F</w:t>
            </w:r>
            <w:r>
              <w:rPr>
                <w:rFonts w:ascii="Arial" w:hAnsi="Arial" w:cs="Arial"/>
                <w:color w:val="000000" w:themeColor="dark1"/>
                <w:kern w:val="24"/>
                <w:sz w:val="18"/>
                <w:szCs w:val="30"/>
              </w:rPr>
              <w:t>ramework contravention</w:t>
            </w:r>
          </w:p>
        </w:tc>
        <w:tc>
          <w:tcPr>
            <w:tcW w:w="900" w:type="dxa"/>
            <w:vAlign w:val="bottom"/>
          </w:tcPr>
          <w:p w:rsidR="004F79C4" w:rsidRPr="004F79C4" w:rsidRDefault="004F79C4" w:rsidP="004F79C4">
            <w:pPr>
              <w:jc w:val="center"/>
              <w:rPr>
                <w:rFonts w:ascii="Arial" w:hAnsi="Arial" w:cs="Arial"/>
                <w:color w:val="000000"/>
                <w:sz w:val="18"/>
              </w:rPr>
            </w:pPr>
            <w:r w:rsidRPr="004F79C4">
              <w:rPr>
                <w:rFonts w:ascii="Arial" w:hAnsi="Arial" w:cs="Arial"/>
                <w:color w:val="000000"/>
                <w:sz w:val="18"/>
              </w:rPr>
              <w:t>5%</w:t>
            </w:r>
          </w:p>
        </w:tc>
        <w:tc>
          <w:tcPr>
            <w:tcW w:w="1800" w:type="dxa"/>
          </w:tcPr>
          <w:p w:rsidR="004F79C4" w:rsidRPr="004F79C4" w:rsidRDefault="004F79C4" w:rsidP="004F79C4">
            <w:pPr>
              <w:pStyle w:val="NormalWeb"/>
              <w:spacing w:before="0" w:beforeAutospacing="0" w:after="0" w:afterAutospacing="0" w:line="296" w:lineRule="atLeast"/>
              <w:jc w:val="right"/>
              <w:textAlignment w:val="bottom"/>
              <w:rPr>
                <w:rFonts w:ascii="Arial" w:hAnsi="Arial" w:cs="Arial"/>
                <w:color w:val="000000" w:themeColor="dark1"/>
                <w:kern w:val="24"/>
                <w:sz w:val="18"/>
                <w:szCs w:val="32"/>
              </w:rPr>
            </w:pPr>
            <w:r w:rsidRPr="004F79C4">
              <w:rPr>
                <w:rFonts w:ascii="Arial" w:hAnsi="Arial" w:cs="Arial"/>
                <w:color w:val="000000" w:themeColor="dark1"/>
                <w:kern w:val="24"/>
                <w:sz w:val="18"/>
                <w:szCs w:val="32"/>
              </w:rPr>
              <w:t xml:space="preserve">       255,255.00 </w:t>
            </w:r>
          </w:p>
        </w:tc>
      </w:tr>
      <w:tr w:rsidR="004F79C4" w:rsidTr="00772053">
        <w:tc>
          <w:tcPr>
            <w:tcW w:w="7470" w:type="dxa"/>
          </w:tcPr>
          <w:p w:rsidR="004F79C4" w:rsidRPr="001B743B" w:rsidRDefault="004F79C4" w:rsidP="00613879">
            <w:pPr>
              <w:pStyle w:val="NormalWeb"/>
              <w:spacing w:before="0" w:beforeAutospacing="0" w:after="0" w:afterAutospacing="0" w:line="296" w:lineRule="atLeast"/>
              <w:textAlignment w:val="bottom"/>
              <w:rPr>
                <w:rFonts w:ascii="Arial" w:hAnsi="Arial" w:cs="Arial"/>
                <w:sz w:val="18"/>
                <w:szCs w:val="36"/>
              </w:rPr>
            </w:pPr>
            <w:r w:rsidRPr="001B743B">
              <w:rPr>
                <w:rFonts w:ascii="Arial" w:hAnsi="Arial" w:cs="Arial"/>
                <w:color w:val="000000" w:themeColor="dark1"/>
                <w:kern w:val="24"/>
                <w:sz w:val="18"/>
                <w:szCs w:val="32"/>
              </w:rPr>
              <w:t>Irregular contracts due to lack of planning</w:t>
            </w:r>
          </w:p>
        </w:tc>
        <w:tc>
          <w:tcPr>
            <w:tcW w:w="900" w:type="dxa"/>
            <w:vAlign w:val="bottom"/>
          </w:tcPr>
          <w:p w:rsidR="004F79C4" w:rsidRPr="004F79C4" w:rsidRDefault="004F79C4" w:rsidP="004F79C4">
            <w:pPr>
              <w:jc w:val="center"/>
              <w:rPr>
                <w:rFonts w:ascii="Arial" w:hAnsi="Arial" w:cs="Arial"/>
                <w:color w:val="000000"/>
                <w:sz w:val="18"/>
              </w:rPr>
            </w:pPr>
            <w:r w:rsidRPr="004F79C4">
              <w:rPr>
                <w:rFonts w:ascii="Arial" w:hAnsi="Arial" w:cs="Arial"/>
                <w:color w:val="000000"/>
                <w:sz w:val="18"/>
              </w:rPr>
              <w:t>16%</w:t>
            </w:r>
          </w:p>
        </w:tc>
        <w:tc>
          <w:tcPr>
            <w:tcW w:w="1800" w:type="dxa"/>
          </w:tcPr>
          <w:p w:rsidR="004F79C4" w:rsidRPr="004F79C4" w:rsidRDefault="004F79C4" w:rsidP="004F79C4">
            <w:pPr>
              <w:pStyle w:val="NormalWeb"/>
              <w:spacing w:before="0" w:beforeAutospacing="0" w:after="0" w:afterAutospacing="0" w:line="296" w:lineRule="atLeast"/>
              <w:jc w:val="right"/>
              <w:textAlignment w:val="bottom"/>
              <w:rPr>
                <w:rFonts w:ascii="Arial" w:hAnsi="Arial" w:cs="Arial"/>
                <w:color w:val="000000" w:themeColor="dark1"/>
                <w:kern w:val="24"/>
                <w:sz w:val="18"/>
                <w:szCs w:val="32"/>
              </w:rPr>
            </w:pPr>
            <w:r w:rsidRPr="004F79C4">
              <w:rPr>
                <w:rFonts w:ascii="Arial" w:hAnsi="Arial" w:cs="Arial"/>
                <w:color w:val="000000" w:themeColor="dark1"/>
                <w:kern w:val="24"/>
                <w:sz w:val="18"/>
                <w:szCs w:val="32"/>
              </w:rPr>
              <w:t xml:space="preserve">       842,965.00 </w:t>
            </w:r>
          </w:p>
        </w:tc>
      </w:tr>
      <w:tr w:rsidR="004F79C4" w:rsidTr="00772053">
        <w:tc>
          <w:tcPr>
            <w:tcW w:w="7470" w:type="dxa"/>
          </w:tcPr>
          <w:p w:rsidR="004F79C4" w:rsidRPr="001B743B" w:rsidRDefault="004F79C4" w:rsidP="00613879">
            <w:pPr>
              <w:pStyle w:val="NormalWeb"/>
              <w:spacing w:before="0" w:beforeAutospacing="0" w:after="0" w:afterAutospacing="0" w:line="296" w:lineRule="atLeast"/>
              <w:textAlignment w:val="bottom"/>
              <w:rPr>
                <w:rFonts w:ascii="Arial" w:hAnsi="Arial" w:cs="Arial"/>
                <w:sz w:val="18"/>
                <w:szCs w:val="36"/>
              </w:rPr>
            </w:pPr>
            <w:r w:rsidRPr="001B743B">
              <w:rPr>
                <w:rFonts w:ascii="Arial" w:hAnsi="Arial" w:cs="Arial"/>
                <w:color w:val="000000" w:themeColor="dark1"/>
                <w:kern w:val="24"/>
                <w:sz w:val="18"/>
                <w:szCs w:val="32"/>
              </w:rPr>
              <w:t>Minimum number of quotes not obtained</w:t>
            </w:r>
          </w:p>
        </w:tc>
        <w:tc>
          <w:tcPr>
            <w:tcW w:w="900" w:type="dxa"/>
            <w:vAlign w:val="bottom"/>
          </w:tcPr>
          <w:p w:rsidR="004F79C4" w:rsidRPr="004F79C4" w:rsidRDefault="004F79C4" w:rsidP="004F79C4">
            <w:pPr>
              <w:jc w:val="center"/>
              <w:rPr>
                <w:rFonts w:ascii="Arial" w:hAnsi="Arial" w:cs="Arial"/>
                <w:color w:val="000000"/>
                <w:sz w:val="18"/>
              </w:rPr>
            </w:pPr>
            <w:r w:rsidRPr="004F79C4">
              <w:rPr>
                <w:rFonts w:ascii="Arial" w:hAnsi="Arial" w:cs="Arial"/>
                <w:color w:val="000000"/>
                <w:sz w:val="18"/>
              </w:rPr>
              <w:t>4%</w:t>
            </w:r>
          </w:p>
        </w:tc>
        <w:tc>
          <w:tcPr>
            <w:tcW w:w="1800" w:type="dxa"/>
          </w:tcPr>
          <w:p w:rsidR="004F79C4" w:rsidRPr="004F79C4" w:rsidRDefault="004F79C4" w:rsidP="004F79C4">
            <w:pPr>
              <w:pStyle w:val="NormalWeb"/>
              <w:spacing w:before="0" w:beforeAutospacing="0" w:after="0" w:afterAutospacing="0" w:line="296" w:lineRule="atLeast"/>
              <w:jc w:val="right"/>
              <w:textAlignment w:val="bottom"/>
              <w:rPr>
                <w:rFonts w:ascii="Arial" w:hAnsi="Arial" w:cs="Arial"/>
                <w:color w:val="000000" w:themeColor="dark1"/>
                <w:kern w:val="24"/>
                <w:sz w:val="18"/>
                <w:szCs w:val="32"/>
              </w:rPr>
            </w:pPr>
            <w:r w:rsidRPr="004F79C4">
              <w:rPr>
                <w:rFonts w:ascii="Arial" w:hAnsi="Arial" w:cs="Arial"/>
                <w:color w:val="000000" w:themeColor="dark1"/>
                <w:kern w:val="24"/>
                <w:sz w:val="18"/>
                <w:szCs w:val="32"/>
              </w:rPr>
              <w:t xml:space="preserve">       201,733.00 </w:t>
            </w:r>
          </w:p>
        </w:tc>
      </w:tr>
      <w:tr w:rsidR="004F79C4" w:rsidTr="00772053">
        <w:tc>
          <w:tcPr>
            <w:tcW w:w="7470" w:type="dxa"/>
          </w:tcPr>
          <w:p w:rsidR="004F79C4" w:rsidRPr="001B743B" w:rsidRDefault="004F79C4" w:rsidP="00613879">
            <w:pPr>
              <w:pStyle w:val="NormalWeb"/>
              <w:spacing w:before="0" w:beforeAutospacing="0" w:after="0" w:afterAutospacing="0"/>
              <w:textAlignment w:val="bottom"/>
              <w:rPr>
                <w:rFonts w:ascii="Arial" w:hAnsi="Arial" w:cs="Arial"/>
                <w:sz w:val="18"/>
                <w:szCs w:val="36"/>
              </w:rPr>
            </w:pPr>
            <w:r w:rsidRPr="001B743B">
              <w:rPr>
                <w:rFonts w:ascii="Arial" w:hAnsi="Arial" w:cs="Arial"/>
                <w:color w:val="000000" w:themeColor="dark1"/>
                <w:kern w:val="24"/>
                <w:sz w:val="18"/>
                <w:szCs w:val="32"/>
              </w:rPr>
              <w:t>Bids not advertised for minimum period as per policy</w:t>
            </w:r>
          </w:p>
        </w:tc>
        <w:tc>
          <w:tcPr>
            <w:tcW w:w="900" w:type="dxa"/>
            <w:vAlign w:val="bottom"/>
          </w:tcPr>
          <w:p w:rsidR="004F79C4" w:rsidRPr="004F79C4" w:rsidRDefault="004F79C4" w:rsidP="004F79C4">
            <w:pPr>
              <w:jc w:val="center"/>
              <w:rPr>
                <w:rFonts w:ascii="Arial" w:hAnsi="Arial" w:cs="Arial"/>
                <w:color w:val="000000"/>
                <w:sz w:val="18"/>
              </w:rPr>
            </w:pPr>
            <w:r w:rsidRPr="004F79C4">
              <w:rPr>
                <w:rFonts w:ascii="Arial" w:hAnsi="Arial" w:cs="Arial"/>
                <w:color w:val="000000"/>
                <w:sz w:val="18"/>
              </w:rPr>
              <w:t>3%</w:t>
            </w:r>
          </w:p>
        </w:tc>
        <w:tc>
          <w:tcPr>
            <w:tcW w:w="1800" w:type="dxa"/>
          </w:tcPr>
          <w:p w:rsidR="004F79C4" w:rsidRPr="004F79C4" w:rsidRDefault="004F79C4" w:rsidP="004F79C4">
            <w:pPr>
              <w:pStyle w:val="NormalWeb"/>
              <w:spacing w:before="0" w:beforeAutospacing="0" w:after="0" w:afterAutospacing="0" w:line="296" w:lineRule="atLeast"/>
              <w:jc w:val="right"/>
              <w:textAlignment w:val="bottom"/>
              <w:rPr>
                <w:rFonts w:ascii="Arial" w:hAnsi="Arial" w:cs="Arial"/>
                <w:color w:val="000000" w:themeColor="dark1"/>
                <w:kern w:val="24"/>
                <w:sz w:val="18"/>
                <w:szCs w:val="32"/>
              </w:rPr>
            </w:pPr>
            <w:r w:rsidRPr="004F79C4">
              <w:rPr>
                <w:rFonts w:ascii="Arial" w:hAnsi="Arial" w:cs="Arial"/>
                <w:color w:val="000000" w:themeColor="dark1"/>
                <w:kern w:val="24"/>
                <w:sz w:val="18"/>
                <w:szCs w:val="32"/>
              </w:rPr>
              <w:t xml:space="preserve">       132,149.00 </w:t>
            </w:r>
          </w:p>
        </w:tc>
      </w:tr>
      <w:tr w:rsidR="004F79C4" w:rsidTr="00772053">
        <w:tc>
          <w:tcPr>
            <w:tcW w:w="7470" w:type="dxa"/>
            <w:vAlign w:val="bottom"/>
          </w:tcPr>
          <w:p w:rsidR="004F79C4" w:rsidRPr="00792566" w:rsidRDefault="004F79C4" w:rsidP="00613879">
            <w:pPr>
              <w:pStyle w:val="NormalWeb"/>
              <w:spacing w:before="0" w:beforeAutospacing="0" w:after="0" w:afterAutospacing="0"/>
              <w:textAlignment w:val="bottom"/>
              <w:rPr>
                <w:rFonts w:ascii="Arial" w:hAnsi="Arial" w:cs="Arial"/>
                <w:sz w:val="18"/>
                <w:szCs w:val="36"/>
              </w:rPr>
            </w:pPr>
            <w:r>
              <w:rPr>
                <w:rFonts w:ascii="Arial" w:hAnsi="Arial" w:cs="Arial"/>
                <w:color w:val="000000" w:themeColor="dark1"/>
                <w:kern w:val="24"/>
                <w:sz w:val="18"/>
                <w:szCs w:val="30"/>
              </w:rPr>
              <w:t>Insufficient d</w:t>
            </w:r>
            <w:r w:rsidRPr="00792566">
              <w:rPr>
                <w:rFonts w:ascii="Arial" w:hAnsi="Arial" w:cs="Arial"/>
                <w:color w:val="000000" w:themeColor="dark1"/>
                <w:kern w:val="24"/>
                <w:sz w:val="18"/>
                <w:szCs w:val="30"/>
              </w:rPr>
              <w:t>ocumentation</w:t>
            </w:r>
          </w:p>
        </w:tc>
        <w:tc>
          <w:tcPr>
            <w:tcW w:w="900" w:type="dxa"/>
            <w:vAlign w:val="bottom"/>
          </w:tcPr>
          <w:p w:rsidR="004F79C4" w:rsidRPr="004F79C4" w:rsidRDefault="004F79C4" w:rsidP="004F79C4">
            <w:pPr>
              <w:jc w:val="center"/>
              <w:rPr>
                <w:rFonts w:ascii="Arial" w:hAnsi="Arial" w:cs="Arial"/>
                <w:color w:val="000000"/>
                <w:sz w:val="18"/>
              </w:rPr>
            </w:pPr>
            <w:r w:rsidRPr="004F79C4">
              <w:rPr>
                <w:rFonts w:ascii="Arial" w:hAnsi="Arial" w:cs="Arial"/>
                <w:color w:val="000000"/>
                <w:sz w:val="18"/>
              </w:rPr>
              <w:t>22%</w:t>
            </w:r>
          </w:p>
        </w:tc>
        <w:tc>
          <w:tcPr>
            <w:tcW w:w="1800" w:type="dxa"/>
          </w:tcPr>
          <w:p w:rsidR="004F79C4" w:rsidRPr="004F79C4" w:rsidRDefault="004F79C4" w:rsidP="004F79C4">
            <w:pPr>
              <w:pStyle w:val="NormalWeb"/>
              <w:spacing w:before="0" w:beforeAutospacing="0" w:after="0" w:afterAutospacing="0" w:line="296" w:lineRule="atLeast"/>
              <w:jc w:val="right"/>
              <w:textAlignment w:val="bottom"/>
              <w:rPr>
                <w:rFonts w:ascii="Arial" w:hAnsi="Arial" w:cs="Arial"/>
                <w:color w:val="000000" w:themeColor="dark1"/>
                <w:kern w:val="24"/>
                <w:sz w:val="18"/>
                <w:szCs w:val="32"/>
              </w:rPr>
            </w:pPr>
            <w:r w:rsidRPr="004F79C4">
              <w:rPr>
                <w:rFonts w:ascii="Arial" w:hAnsi="Arial" w:cs="Arial"/>
                <w:color w:val="000000" w:themeColor="dark1"/>
                <w:kern w:val="24"/>
                <w:sz w:val="18"/>
                <w:szCs w:val="32"/>
              </w:rPr>
              <w:t xml:space="preserve">   1,166,067.00 </w:t>
            </w:r>
          </w:p>
        </w:tc>
      </w:tr>
      <w:tr w:rsidR="004F79C4" w:rsidTr="00772053">
        <w:tc>
          <w:tcPr>
            <w:tcW w:w="7470" w:type="dxa"/>
          </w:tcPr>
          <w:p w:rsidR="004F79C4" w:rsidRPr="00332FE1" w:rsidRDefault="004F79C4" w:rsidP="00613879">
            <w:pPr>
              <w:pStyle w:val="NormalWeb"/>
              <w:spacing w:before="0" w:beforeAutospacing="0" w:after="0" w:afterAutospacing="0"/>
              <w:textAlignment w:val="bottom"/>
              <w:rPr>
                <w:rFonts w:ascii="Arial" w:hAnsi="Arial" w:cs="Arial"/>
                <w:b/>
                <w:sz w:val="18"/>
                <w:szCs w:val="36"/>
              </w:rPr>
            </w:pPr>
            <w:r w:rsidRPr="00332FE1">
              <w:rPr>
                <w:rFonts w:ascii="Arial" w:hAnsi="Arial" w:cs="Arial"/>
                <w:b/>
                <w:sz w:val="18"/>
                <w:szCs w:val="36"/>
              </w:rPr>
              <w:t>Total</w:t>
            </w:r>
          </w:p>
        </w:tc>
        <w:tc>
          <w:tcPr>
            <w:tcW w:w="900" w:type="dxa"/>
          </w:tcPr>
          <w:p w:rsidR="004F79C4" w:rsidRPr="004F79C4" w:rsidRDefault="004F79C4" w:rsidP="004F79C4">
            <w:pPr>
              <w:pStyle w:val="NormalWeb"/>
              <w:spacing w:before="0" w:beforeAutospacing="0" w:after="0" w:afterAutospacing="0" w:line="296" w:lineRule="atLeast"/>
              <w:jc w:val="center"/>
              <w:textAlignment w:val="bottom"/>
              <w:rPr>
                <w:rFonts w:ascii="Arial" w:hAnsi="Arial" w:cs="Arial"/>
                <w:b/>
                <w:color w:val="000000" w:themeColor="dark1"/>
                <w:kern w:val="24"/>
                <w:sz w:val="18"/>
                <w:szCs w:val="32"/>
              </w:rPr>
            </w:pPr>
            <w:r>
              <w:rPr>
                <w:rFonts w:ascii="Arial" w:hAnsi="Arial" w:cs="Arial"/>
                <w:b/>
                <w:color w:val="000000" w:themeColor="dark1"/>
                <w:kern w:val="24"/>
                <w:sz w:val="18"/>
                <w:szCs w:val="32"/>
              </w:rPr>
              <w:t>100%</w:t>
            </w:r>
          </w:p>
        </w:tc>
        <w:tc>
          <w:tcPr>
            <w:tcW w:w="1800" w:type="dxa"/>
          </w:tcPr>
          <w:p w:rsidR="004F79C4" w:rsidRPr="004F79C4" w:rsidRDefault="004F79C4" w:rsidP="004F79C4">
            <w:pPr>
              <w:pStyle w:val="NormalWeb"/>
              <w:spacing w:before="0" w:beforeAutospacing="0" w:after="0" w:afterAutospacing="0" w:line="296" w:lineRule="atLeast"/>
              <w:jc w:val="right"/>
              <w:textAlignment w:val="bottom"/>
              <w:rPr>
                <w:rFonts w:ascii="Arial" w:hAnsi="Arial" w:cs="Arial"/>
                <w:b/>
                <w:color w:val="000000" w:themeColor="dark1"/>
                <w:kern w:val="24"/>
                <w:sz w:val="18"/>
                <w:szCs w:val="32"/>
              </w:rPr>
            </w:pPr>
            <w:r w:rsidRPr="004F79C4">
              <w:rPr>
                <w:rFonts w:ascii="Arial" w:hAnsi="Arial" w:cs="Arial"/>
                <w:b/>
                <w:color w:val="000000" w:themeColor="dark1"/>
                <w:kern w:val="24"/>
                <w:sz w:val="18"/>
                <w:szCs w:val="32"/>
              </w:rPr>
              <w:t>5,202,558</w:t>
            </w:r>
          </w:p>
        </w:tc>
      </w:tr>
    </w:tbl>
    <w:p w:rsidR="001B743B" w:rsidRDefault="001B743B">
      <w:pPr>
        <w:rPr>
          <w:rFonts w:ascii="Arial" w:hAnsi="Arial" w:cs="Arial"/>
        </w:rPr>
      </w:pPr>
    </w:p>
    <w:p w:rsidR="00DF16DA" w:rsidRDefault="00BB182B" w:rsidP="00BB182B">
      <w:pPr>
        <w:jc w:val="both"/>
        <w:rPr>
          <w:rFonts w:ascii="Arial" w:hAnsi="Arial" w:cs="Arial"/>
        </w:rPr>
      </w:pPr>
      <w:r>
        <w:rPr>
          <w:rFonts w:ascii="Arial" w:hAnsi="Arial" w:cs="Arial"/>
        </w:rPr>
        <w:lastRenderedPageBreak/>
        <w:t xml:space="preserve">The total cumulative irregular expenditure, thus far, to be disclosed in the 2016/17 annual </w:t>
      </w:r>
      <w:r w:rsidR="00F41D8E">
        <w:rPr>
          <w:rFonts w:ascii="Arial" w:hAnsi="Arial" w:cs="Arial"/>
        </w:rPr>
        <w:t>financial</w:t>
      </w:r>
      <w:r>
        <w:rPr>
          <w:rFonts w:ascii="Arial" w:hAnsi="Arial" w:cs="Arial"/>
        </w:rPr>
        <w:t xml:space="preserve"> statements will be R5.2 billion. R2.4 billion emanates from the content acquisition, whilst R2.8 billion comes from normal procurement. Bulk of this irregular expenditure was due to the SCM policy in the past not being aligned to the requirements of PPPF Act (original tax clearance not obtained). </w:t>
      </w:r>
      <w:r w:rsidR="00DF16DA">
        <w:rPr>
          <w:rFonts w:ascii="Arial" w:hAnsi="Arial" w:cs="Arial"/>
        </w:rPr>
        <w:t xml:space="preserve">Historical poor records management is also a driver of the possible irregular expenditure. Due to the impracticability of locating these procurement documents (to the value of R1.2 billion), after the SABC has done everything possible, it is prudent to disclose these as irregular expenditure. </w:t>
      </w:r>
    </w:p>
    <w:p w:rsidR="001B743B" w:rsidRDefault="000567FA">
      <w:pPr>
        <w:rPr>
          <w:rFonts w:ascii="Arial" w:hAnsi="Arial" w:cs="Arial"/>
        </w:rPr>
      </w:pPr>
      <w:r>
        <w:rPr>
          <w:rFonts w:ascii="Arial" w:hAnsi="Arial" w:cs="Arial"/>
        </w:rPr>
        <w:t>Below is the analysis of fruitless and wasteful expenditure:</w:t>
      </w:r>
    </w:p>
    <w:tbl>
      <w:tblPr>
        <w:tblStyle w:val="TableGrid"/>
        <w:tblW w:w="0" w:type="auto"/>
        <w:tblLook w:val="04A0"/>
      </w:tblPr>
      <w:tblGrid>
        <w:gridCol w:w="7758"/>
        <w:gridCol w:w="1818"/>
      </w:tblGrid>
      <w:tr w:rsidR="000567FA" w:rsidRPr="000567FA" w:rsidTr="000567FA">
        <w:trPr>
          <w:trHeight w:val="458"/>
        </w:trPr>
        <w:tc>
          <w:tcPr>
            <w:tcW w:w="7758" w:type="dxa"/>
            <w:shd w:val="clear" w:color="auto" w:fill="92CDDC" w:themeFill="accent5" w:themeFillTint="99"/>
            <w:vAlign w:val="center"/>
          </w:tcPr>
          <w:p w:rsidR="000567FA" w:rsidRPr="000567FA" w:rsidRDefault="000567FA" w:rsidP="000567FA">
            <w:pPr>
              <w:jc w:val="center"/>
              <w:rPr>
                <w:rFonts w:ascii="Arial" w:hAnsi="Arial" w:cs="Arial"/>
                <w:b/>
                <w:sz w:val="18"/>
              </w:rPr>
            </w:pPr>
            <w:r w:rsidRPr="000567FA">
              <w:rPr>
                <w:rFonts w:ascii="Arial" w:hAnsi="Arial" w:cs="Arial"/>
                <w:b/>
                <w:sz w:val="18"/>
              </w:rPr>
              <w:t>Incidents</w:t>
            </w:r>
          </w:p>
        </w:tc>
        <w:tc>
          <w:tcPr>
            <w:tcW w:w="1818" w:type="dxa"/>
            <w:shd w:val="clear" w:color="auto" w:fill="92CDDC" w:themeFill="accent5" w:themeFillTint="99"/>
            <w:vAlign w:val="center"/>
          </w:tcPr>
          <w:p w:rsidR="000567FA" w:rsidRPr="000567FA" w:rsidRDefault="000567FA" w:rsidP="000567FA">
            <w:pPr>
              <w:jc w:val="center"/>
              <w:rPr>
                <w:rFonts w:ascii="Arial" w:hAnsi="Arial" w:cs="Arial"/>
                <w:b/>
                <w:sz w:val="18"/>
              </w:rPr>
            </w:pPr>
            <w:r w:rsidRPr="000567FA">
              <w:rPr>
                <w:rFonts w:ascii="Arial" w:hAnsi="Arial" w:cs="Arial"/>
                <w:b/>
                <w:sz w:val="18"/>
              </w:rPr>
              <w:t>Amount</w:t>
            </w:r>
          </w:p>
        </w:tc>
      </w:tr>
      <w:tr w:rsidR="000567FA" w:rsidTr="000567FA">
        <w:tc>
          <w:tcPr>
            <w:tcW w:w="7758" w:type="dxa"/>
          </w:tcPr>
          <w:p w:rsidR="000567FA" w:rsidRDefault="000567FA">
            <w:pPr>
              <w:rPr>
                <w:rFonts w:ascii="Arial" w:hAnsi="Arial" w:cs="Arial"/>
              </w:rPr>
            </w:pPr>
            <w:r w:rsidRPr="00835F2C">
              <w:rPr>
                <w:rFonts w:ascii="Arial" w:eastAsia="Times New Roman" w:hAnsi="Arial" w:cs="Arial"/>
                <w:b/>
                <w:bCs/>
                <w:sz w:val="18"/>
                <w:szCs w:val="18"/>
              </w:rPr>
              <w:t>Opening balance</w:t>
            </w:r>
          </w:p>
        </w:tc>
        <w:tc>
          <w:tcPr>
            <w:tcW w:w="1818" w:type="dxa"/>
          </w:tcPr>
          <w:p w:rsidR="000567FA" w:rsidRDefault="000567FA" w:rsidP="000567FA">
            <w:pPr>
              <w:jc w:val="right"/>
              <w:rPr>
                <w:rFonts w:ascii="Arial" w:hAnsi="Arial" w:cs="Arial"/>
              </w:rPr>
            </w:pPr>
            <w:r w:rsidRPr="00835F2C">
              <w:rPr>
                <w:rFonts w:ascii="Arial" w:eastAsia="Times New Roman" w:hAnsi="Arial" w:cs="Arial"/>
                <w:bCs/>
                <w:sz w:val="18"/>
                <w:szCs w:val="18"/>
              </w:rPr>
              <w:t>92,461</w:t>
            </w:r>
          </w:p>
        </w:tc>
      </w:tr>
      <w:tr w:rsidR="000567FA" w:rsidTr="000567FA">
        <w:tc>
          <w:tcPr>
            <w:tcW w:w="7758" w:type="dxa"/>
          </w:tcPr>
          <w:p w:rsidR="000567FA" w:rsidRDefault="000567FA">
            <w:pPr>
              <w:rPr>
                <w:rFonts w:ascii="Arial" w:hAnsi="Arial" w:cs="Arial"/>
              </w:rPr>
            </w:pPr>
            <w:r w:rsidRPr="00835F2C">
              <w:rPr>
                <w:rFonts w:ascii="Arial" w:eastAsia="Times New Roman" w:hAnsi="Arial" w:cs="Arial"/>
                <w:sz w:val="18"/>
                <w:szCs w:val="18"/>
              </w:rPr>
              <w:t>Less: Reversal of incorrectly disclosed prior year amount</w:t>
            </w:r>
          </w:p>
        </w:tc>
        <w:tc>
          <w:tcPr>
            <w:tcW w:w="1818" w:type="dxa"/>
          </w:tcPr>
          <w:p w:rsidR="000567FA" w:rsidRDefault="000567FA" w:rsidP="000567FA">
            <w:pPr>
              <w:jc w:val="right"/>
              <w:rPr>
                <w:rFonts w:ascii="Arial" w:hAnsi="Arial" w:cs="Arial"/>
              </w:rPr>
            </w:pPr>
            <w:r w:rsidRPr="00835F2C">
              <w:rPr>
                <w:rFonts w:ascii="Arial" w:eastAsia="Times New Roman" w:hAnsi="Arial" w:cs="Arial"/>
                <w:bCs/>
                <w:sz w:val="18"/>
                <w:szCs w:val="18"/>
              </w:rPr>
              <w:t>(21,655)</w:t>
            </w:r>
          </w:p>
        </w:tc>
      </w:tr>
      <w:tr w:rsidR="000567FA" w:rsidTr="000567FA">
        <w:tc>
          <w:tcPr>
            <w:tcW w:w="7758" w:type="dxa"/>
          </w:tcPr>
          <w:p w:rsidR="000567FA" w:rsidRDefault="000567FA">
            <w:pPr>
              <w:rPr>
                <w:rFonts w:ascii="Arial" w:hAnsi="Arial" w:cs="Arial"/>
              </w:rPr>
            </w:pPr>
            <w:r w:rsidRPr="00835F2C">
              <w:rPr>
                <w:rFonts w:ascii="Arial" w:eastAsia="Times New Roman" w:hAnsi="Arial" w:cs="Arial"/>
                <w:b/>
                <w:bCs/>
                <w:sz w:val="18"/>
                <w:szCs w:val="18"/>
              </w:rPr>
              <w:t>Restated opening balance</w:t>
            </w:r>
          </w:p>
        </w:tc>
        <w:tc>
          <w:tcPr>
            <w:tcW w:w="1818" w:type="dxa"/>
          </w:tcPr>
          <w:p w:rsidR="000567FA" w:rsidRDefault="000567FA" w:rsidP="000567FA">
            <w:pPr>
              <w:jc w:val="right"/>
              <w:rPr>
                <w:rFonts w:ascii="Arial" w:hAnsi="Arial" w:cs="Arial"/>
              </w:rPr>
            </w:pPr>
            <w:r w:rsidRPr="00835F2C">
              <w:rPr>
                <w:rFonts w:ascii="Arial" w:eastAsia="Times New Roman" w:hAnsi="Arial" w:cs="Arial"/>
                <w:bCs/>
                <w:sz w:val="18"/>
                <w:szCs w:val="18"/>
              </w:rPr>
              <w:t>70,806</w:t>
            </w:r>
          </w:p>
        </w:tc>
      </w:tr>
      <w:tr w:rsidR="000567FA" w:rsidTr="000567FA">
        <w:tc>
          <w:tcPr>
            <w:tcW w:w="7758" w:type="dxa"/>
          </w:tcPr>
          <w:p w:rsidR="000567FA" w:rsidRDefault="000567FA">
            <w:pPr>
              <w:rPr>
                <w:rFonts w:ascii="Arial" w:hAnsi="Arial" w:cs="Arial"/>
              </w:rPr>
            </w:pPr>
            <w:r w:rsidRPr="00835F2C">
              <w:rPr>
                <w:rFonts w:ascii="Arial" w:eastAsia="Times New Roman" w:hAnsi="Arial" w:cs="Arial"/>
                <w:sz w:val="18"/>
                <w:szCs w:val="18"/>
              </w:rPr>
              <w:t>Impairment of foreign and sports content</w:t>
            </w:r>
          </w:p>
        </w:tc>
        <w:tc>
          <w:tcPr>
            <w:tcW w:w="1818" w:type="dxa"/>
          </w:tcPr>
          <w:p w:rsidR="000567FA" w:rsidRDefault="000567FA" w:rsidP="000567FA">
            <w:pPr>
              <w:jc w:val="right"/>
              <w:rPr>
                <w:rFonts w:ascii="Arial" w:hAnsi="Arial" w:cs="Arial"/>
              </w:rPr>
            </w:pPr>
            <w:r w:rsidRPr="00835F2C">
              <w:rPr>
                <w:rFonts w:ascii="Arial" w:eastAsia="Times New Roman" w:hAnsi="Arial" w:cs="Arial"/>
                <w:bCs/>
                <w:sz w:val="18"/>
                <w:szCs w:val="18"/>
              </w:rPr>
              <w:t>2,706</w:t>
            </w:r>
          </w:p>
        </w:tc>
      </w:tr>
      <w:tr w:rsidR="000567FA" w:rsidTr="000567FA">
        <w:tc>
          <w:tcPr>
            <w:tcW w:w="7758" w:type="dxa"/>
          </w:tcPr>
          <w:p w:rsidR="000567FA" w:rsidRDefault="000567FA">
            <w:pPr>
              <w:rPr>
                <w:rFonts w:ascii="Arial" w:hAnsi="Arial" w:cs="Arial"/>
              </w:rPr>
            </w:pPr>
            <w:r w:rsidRPr="00835F2C">
              <w:rPr>
                <w:rFonts w:ascii="Arial" w:eastAsia="Times New Roman" w:hAnsi="Arial" w:cs="Arial"/>
                <w:sz w:val="18"/>
                <w:szCs w:val="18"/>
              </w:rPr>
              <w:t>Travel cancellation fees and penalties</w:t>
            </w:r>
          </w:p>
        </w:tc>
        <w:tc>
          <w:tcPr>
            <w:tcW w:w="1818" w:type="dxa"/>
          </w:tcPr>
          <w:p w:rsidR="000567FA" w:rsidRDefault="000567FA" w:rsidP="000567FA">
            <w:pPr>
              <w:jc w:val="right"/>
              <w:rPr>
                <w:rFonts w:ascii="Arial" w:hAnsi="Arial" w:cs="Arial"/>
              </w:rPr>
            </w:pPr>
            <w:r w:rsidRPr="00835F2C">
              <w:rPr>
                <w:rFonts w:ascii="Arial" w:eastAsia="Times New Roman" w:hAnsi="Arial" w:cs="Arial"/>
                <w:bCs/>
                <w:sz w:val="18"/>
                <w:szCs w:val="18"/>
              </w:rPr>
              <w:t>472</w:t>
            </w:r>
          </w:p>
        </w:tc>
      </w:tr>
      <w:tr w:rsidR="000567FA" w:rsidTr="000567FA">
        <w:tc>
          <w:tcPr>
            <w:tcW w:w="7758" w:type="dxa"/>
          </w:tcPr>
          <w:p w:rsidR="000567FA" w:rsidRDefault="000567FA">
            <w:pPr>
              <w:rPr>
                <w:rFonts w:ascii="Arial" w:hAnsi="Arial" w:cs="Arial"/>
              </w:rPr>
            </w:pPr>
            <w:r w:rsidRPr="00835F2C">
              <w:rPr>
                <w:rFonts w:ascii="Arial" w:eastAsia="Times New Roman" w:hAnsi="Arial" w:cs="Arial"/>
                <w:sz w:val="18"/>
                <w:szCs w:val="18"/>
              </w:rPr>
              <w:t>Interest, penalties and fines on late payments</w:t>
            </w:r>
          </w:p>
        </w:tc>
        <w:tc>
          <w:tcPr>
            <w:tcW w:w="1818" w:type="dxa"/>
          </w:tcPr>
          <w:p w:rsidR="000567FA" w:rsidRDefault="000567FA" w:rsidP="000567FA">
            <w:pPr>
              <w:jc w:val="right"/>
              <w:rPr>
                <w:rFonts w:ascii="Arial" w:hAnsi="Arial" w:cs="Arial"/>
              </w:rPr>
            </w:pPr>
            <w:r w:rsidRPr="00835F2C">
              <w:rPr>
                <w:rFonts w:ascii="Arial" w:eastAsia="Times New Roman" w:hAnsi="Arial" w:cs="Arial"/>
                <w:bCs/>
                <w:sz w:val="18"/>
                <w:szCs w:val="18"/>
              </w:rPr>
              <w:t>69</w:t>
            </w:r>
          </w:p>
        </w:tc>
      </w:tr>
      <w:tr w:rsidR="000567FA" w:rsidTr="000567FA">
        <w:tc>
          <w:tcPr>
            <w:tcW w:w="7758" w:type="dxa"/>
          </w:tcPr>
          <w:p w:rsidR="000567FA" w:rsidRPr="000567FA" w:rsidRDefault="000567FA">
            <w:pPr>
              <w:rPr>
                <w:rFonts w:ascii="Arial" w:eastAsia="Times New Roman" w:hAnsi="Arial" w:cs="Arial"/>
                <w:b/>
                <w:bCs/>
                <w:sz w:val="18"/>
                <w:szCs w:val="18"/>
              </w:rPr>
            </w:pPr>
            <w:r w:rsidRPr="000567FA">
              <w:rPr>
                <w:rFonts w:ascii="Arial" w:eastAsia="Times New Roman" w:hAnsi="Arial" w:cs="Arial"/>
                <w:b/>
                <w:bCs/>
                <w:sz w:val="18"/>
                <w:szCs w:val="18"/>
              </w:rPr>
              <w:t>Closing balance</w:t>
            </w:r>
          </w:p>
        </w:tc>
        <w:tc>
          <w:tcPr>
            <w:tcW w:w="1818" w:type="dxa"/>
          </w:tcPr>
          <w:p w:rsidR="000567FA" w:rsidRPr="00F71D43" w:rsidRDefault="000567FA" w:rsidP="000567FA">
            <w:pPr>
              <w:jc w:val="right"/>
              <w:rPr>
                <w:rFonts w:ascii="Arial" w:eastAsia="Times New Roman" w:hAnsi="Arial" w:cs="Arial"/>
                <w:b/>
                <w:bCs/>
                <w:sz w:val="18"/>
                <w:szCs w:val="18"/>
              </w:rPr>
            </w:pPr>
            <w:r w:rsidRPr="00F71D43">
              <w:rPr>
                <w:rFonts w:ascii="Arial" w:eastAsia="Times New Roman" w:hAnsi="Arial" w:cs="Arial"/>
                <w:b/>
                <w:bCs/>
                <w:sz w:val="18"/>
                <w:szCs w:val="18"/>
              </w:rPr>
              <w:t>R74 053</w:t>
            </w:r>
          </w:p>
        </w:tc>
      </w:tr>
    </w:tbl>
    <w:p w:rsidR="000567FA" w:rsidRDefault="000567FA">
      <w:pPr>
        <w:rPr>
          <w:rFonts w:ascii="Arial" w:hAnsi="Arial" w:cs="Arial"/>
        </w:rPr>
      </w:pPr>
    </w:p>
    <w:p w:rsidR="00772053" w:rsidRDefault="00772053">
      <w:pPr>
        <w:rPr>
          <w:rFonts w:ascii="Arial" w:hAnsi="Arial" w:cs="Arial"/>
        </w:rPr>
      </w:pPr>
      <w:r>
        <w:rPr>
          <w:rFonts w:ascii="Arial" w:hAnsi="Arial" w:cs="Arial"/>
        </w:rPr>
        <w:t xml:space="preserve">The majority of fruitless and wasteful expenditure </w:t>
      </w:r>
      <w:r w:rsidR="00F71D43">
        <w:rPr>
          <w:rFonts w:ascii="Arial" w:hAnsi="Arial" w:cs="Arial"/>
        </w:rPr>
        <w:t xml:space="preserve">incurred </w:t>
      </w:r>
      <w:r>
        <w:rPr>
          <w:rFonts w:ascii="Arial" w:hAnsi="Arial" w:cs="Arial"/>
        </w:rPr>
        <w:t xml:space="preserve">is as a result of international content which is written off due to </w:t>
      </w:r>
      <w:r w:rsidR="00F71D43">
        <w:rPr>
          <w:rFonts w:ascii="Arial" w:hAnsi="Arial" w:cs="Arial"/>
        </w:rPr>
        <w:t>licens</w:t>
      </w:r>
      <w:r>
        <w:rPr>
          <w:rFonts w:ascii="Arial" w:hAnsi="Arial" w:cs="Arial"/>
        </w:rPr>
        <w:t xml:space="preserve">e contracts expiring without broadcasting.   </w:t>
      </w:r>
    </w:p>
    <w:p w:rsidR="000567FA" w:rsidRDefault="000567FA" w:rsidP="000567FA">
      <w:pPr>
        <w:jc w:val="both"/>
        <w:rPr>
          <w:rFonts w:ascii="Arial" w:hAnsi="Arial" w:cs="Arial"/>
        </w:rPr>
      </w:pPr>
      <w:r>
        <w:rPr>
          <w:rFonts w:ascii="Arial" w:hAnsi="Arial" w:cs="Arial"/>
        </w:rPr>
        <w:t xml:space="preserve">The AGSA is still yet to express an audit opinion on the accuracy and completeness of these numbers </w:t>
      </w:r>
      <w:r w:rsidR="00772053">
        <w:rPr>
          <w:rFonts w:ascii="Arial" w:hAnsi="Arial" w:cs="Arial"/>
        </w:rPr>
        <w:t xml:space="preserve">of IFWE </w:t>
      </w:r>
      <w:r>
        <w:rPr>
          <w:rFonts w:ascii="Arial" w:hAnsi="Arial" w:cs="Arial"/>
        </w:rPr>
        <w:t xml:space="preserve">before initiating adequate consequence management.  </w:t>
      </w:r>
    </w:p>
    <w:p w:rsidR="00772053" w:rsidRDefault="00772053">
      <w:pPr>
        <w:rPr>
          <w:rFonts w:ascii="Arial" w:hAnsi="Arial" w:cs="Arial"/>
        </w:rPr>
      </w:pPr>
    </w:p>
    <w:p w:rsidR="001B743B" w:rsidRPr="00772053" w:rsidRDefault="00772053" w:rsidP="00772053">
      <w:pPr>
        <w:pStyle w:val="ListParagraph"/>
        <w:numPr>
          <w:ilvl w:val="0"/>
          <w:numId w:val="1"/>
        </w:numPr>
        <w:ind w:left="270" w:hanging="270"/>
        <w:rPr>
          <w:rFonts w:ascii="Arial" w:hAnsi="Arial" w:cs="Arial"/>
          <w:b/>
        </w:rPr>
      </w:pPr>
      <w:r w:rsidRPr="00772053">
        <w:rPr>
          <w:rFonts w:ascii="Arial" w:hAnsi="Arial" w:cs="Arial"/>
          <w:b/>
        </w:rPr>
        <w:t>Consequence management</w:t>
      </w:r>
    </w:p>
    <w:p w:rsidR="00772053" w:rsidRDefault="00F71D43">
      <w:pPr>
        <w:rPr>
          <w:rFonts w:ascii="Arial" w:hAnsi="Arial" w:cs="Arial"/>
        </w:rPr>
      </w:pPr>
      <w:r>
        <w:rPr>
          <w:rFonts w:ascii="Arial" w:hAnsi="Arial" w:cs="Arial"/>
        </w:rPr>
        <w:t>The AGSA will then undertake their final audit process from the 1</w:t>
      </w:r>
      <w:r w:rsidRPr="00F71D43">
        <w:rPr>
          <w:rFonts w:ascii="Arial" w:hAnsi="Arial" w:cs="Arial"/>
          <w:vertAlign w:val="superscript"/>
        </w:rPr>
        <w:t>st</w:t>
      </w:r>
      <w:r>
        <w:rPr>
          <w:rFonts w:ascii="Arial" w:hAnsi="Arial" w:cs="Arial"/>
        </w:rPr>
        <w:t xml:space="preserve"> June 2017 and will express an audit opinion on the 31</w:t>
      </w:r>
      <w:r w:rsidRPr="00F71D43">
        <w:rPr>
          <w:rFonts w:ascii="Arial" w:hAnsi="Arial" w:cs="Arial"/>
          <w:vertAlign w:val="superscript"/>
        </w:rPr>
        <w:t>st</w:t>
      </w:r>
      <w:r>
        <w:rPr>
          <w:rFonts w:ascii="Arial" w:hAnsi="Arial" w:cs="Arial"/>
        </w:rPr>
        <w:t xml:space="preserve"> July 2017. Once the IFWE has been confirmed to be accurate and complete, then the process as required by section 51(1</w:t>
      </w:r>
      <w:proofErr w:type="gramStart"/>
      <w:r>
        <w:rPr>
          <w:rFonts w:ascii="Arial" w:hAnsi="Arial" w:cs="Arial"/>
        </w:rPr>
        <w:t>)(</w:t>
      </w:r>
      <w:proofErr w:type="gramEnd"/>
      <w:r>
        <w:rPr>
          <w:rFonts w:ascii="Arial" w:hAnsi="Arial" w:cs="Arial"/>
        </w:rPr>
        <w:t xml:space="preserve">e) of PFMA will implemented as followed: </w:t>
      </w:r>
    </w:p>
    <w:p w:rsidR="00F71D43" w:rsidRDefault="00F71D43" w:rsidP="00F71D43">
      <w:pPr>
        <w:pStyle w:val="ListParagraph"/>
        <w:numPr>
          <w:ilvl w:val="0"/>
          <w:numId w:val="2"/>
        </w:numPr>
        <w:rPr>
          <w:rFonts w:ascii="Arial" w:hAnsi="Arial" w:cs="Arial"/>
        </w:rPr>
      </w:pPr>
      <w:r>
        <w:rPr>
          <w:rFonts w:ascii="Arial" w:hAnsi="Arial" w:cs="Arial"/>
        </w:rPr>
        <w:t>Effective and appropriate disciplinary steps against employees:</w:t>
      </w:r>
    </w:p>
    <w:p w:rsidR="00F71D43" w:rsidRDefault="00F71D43" w:rsidP="00F71D43">
      <w:pPr>
        <w:ind w:left="60"/>
        <w:rPr>
          <w:rFonts w:ascii="Arial" w:hAnsi="Arial" w:cs="Arial"/>
        </w:rPr>
      </w:pPr>
      <w:r>
        <w:rPr>
          <w:rFonts w:ascii="Arial" w:hAnsi="Arial" w:cs="Arial"/>
        </w:rPr>
        <w:t xml:space="preserve">Any fruitless and wasteful expenditure </w:t>
      </w:r>
      <w:r w:rsidR="0089502A">
        <w:rPr>
          <w:rFonts w:ascii="Arial" w:hAnsi="Arial" w:cs="Arial"/>
        </w:rPr>
        <w:t xml:space="preserve">maliciously incurred/ permitted </w:t>
      </w:r>
      <w:r>
        <w:rPr>
          <w:rFonts w:ascii="Arial" w:hAnsi="Arial" w:cs="Arial"/>
        </w:rPr>
        <w:t xml:space="preserve">in vain and could have avoided </w:t>
      </w:r>
      <w:r w:rsidR="0089502A">
        <w:rPr>
          <w:rFonts w:ascii="Arial" w:hAnsi="Arial" w:cs="Arial"/>
        </w:rPr>
        <w:t xml:space="preserve">would then be recovered from affected employees. For example, </w:t>
      </w:r>
      <w:proofErr w:type="gramStart"/>
      <w:r w:rsidR="0089502A">
        <w:rPr>
          <w:rFonts w:ascii="Arial" w:hAnsi="Arial" w:cs="Arial"/>
        </w:rPr>
        <w:t>an</w:t>
      </w:r>
      <w:proofErr w:type="gramEnd"/>
      <w:r w:rsidR="0089502A">
        <w:rPr>
          <w:rFonts w:ascii="Arial" w:hAnsi="Arial" w:cs="Arial"/>
        </w:rPr>
        <w:t xml:space="preserve"> who had a flight booking and did not </w:t>
      </w:r>
      <w:proofErr w:type="spellStart"/>
      <w:r w:rsidR="0089502A">
        <w:rPr>
          <w:rFonts w:ascii="Arial" w:hAnsi="Arial" w:cs="Arial"/>
        </w:rPr>
        <w:t>honour</w:t>
      </w:r>
      <w:proofErr w:type="spellEnd"/>
      <w:r w:rsidR="0089502A">
        <w:rPr>
          <w:rFonts w:ascii="Arial" w:hAnsi="Arial" w:cs="Arial"/>
        </w:rPr>
        <w:t xml:space="preserve"> it without giving any valid reasons. </w:t>
      </w:r>
    </w:p>
    <w:p w:rsidR="00C00DD4" w:rsidRPr="00F71D43" w:rsidRDefault="00C00DD4" w:rsidP="00F71D43">
      <w:pPr>
        <w:ind w:left="60"/>
        <w:rPr>
          <w:rFonts w:ascii="Arial" w:hAnsi="Arial" w:cs="Arial"/>
        </w:rPr>
      </w:pPr>
      <w:r>
        <w:rPr>
          <w:rFonts w:ascii="Arial" w:hAnsi="Arial" w:cs="Arial"/>
        </w:rPr>
        <w:t xml:space="preserve">Where there are indications that some fraudulent activities have occurred, these will be referred to the forensic investigation process. Outcome of that process will then determine appropriate steps to be taken to the affected employee. </w:t>
      </w:r>
    </w:p>
    <w:p w:rsidR="0089502A" w:rsidRPr="0089502A" w:rsidRDefault="00F41D8E" w:rsidP="0089502A">
      <w:pPr>
        <w:pStyle w:val="ListParagraph"/>
        <w:numPr>
          <w:ilvl w:val="0"/>
          <w:numId w:val="2"/>
        </w:numPr>
        <w:rPr>
          <w:rFonts w:ascii="Arial" w:hAnsi="Arial" w:cs="Arial"/>
        </w:rPr>
      </w:pPr>
      <w:r>
        <w:rPr>
          <w:rFonts w:ascii="Arial" w:hAnsi="Arial" w:cs="Arial"/>
        </w:rPr>
        <w:t>Deficiencies</w:t>
      </w:r>
      <w:r w:rsidR="0089502A">
        <w:rPr>
          <w:rFonts w:ascii="Arial" w:hAnsi="Arial" w:cs="Arial"/>
        </w:rPr>
        <w:t xml:space="preserve"> in the SABC policies and processes</w:t>
      </w:r>
    </w:p>
    <w:p w:rsidR="0089502A" w:rsidRDefault="0089502A">
      <w:pPr>
        <w:rPr>
          <w:rFonts w:ascii="Arial" w:hAnsi="Arial" w:cs="Arial"/>
        </w:rPr>
      </w:pPr>
      <w:r>
        <w:rPr>
          <w:rFonts w:ascii="Arial" w:hAnsi="Arial" w:cs="Arial"/>
        </w:rPr>
        <w:lastRenderedPageBreak/>
        <w:t xml:space="preserve">Instances where </w:t>
      </w:r>
      <w:r w:rsidR="00F41D8E">
        <w:rPr>
          <w:rFonts w:ascii="Arial" w:hAnsi="Arial" w:cs="Arial"/>
        </w:rPr>
        <w:t>it’s</w:t>
      </w:r>
      <w:r>
        <w:rPr>
          <w:rFonts w:ascii="Arial" w:hAnsi="Arial" w:cs="Arial"/>
        </w:rPr>
        <w:t xml:space="preserve"> clearly evident that irregular expenditure was incurred due to the shortfalls of the policies and procedures, the Board would have to satisfy itself that these have been </w:t>
      </w:r>
      <w:r w:rsidR="00F41D8E">
        <w:rPr>
          <w:rFonts w:ascii="Arial" w:hAnsi="Arial" w:cs="Arial"/>
        </w:rPr>
        <w:t>rectified</w:t>
      </w:r>
      <w:r>
        <w:rPr>
          <w:rFonts w:ascii="Arial" w:hAnsi="Arial" w:cs="Arial"/>
        </w:rPr>
        <w:t xml:space="preserve"> through updated policies. Then consideration will be given to condone such irregular expenditure. For example, the SCM policy did not specify that original tax clearance had to be obtained from the supplier at the date of award. </w:t>
      </w:r>
    </w:p>
    <w:p w:rsidR="0089502A" w:rsidRDefault="00C00DD4">
      <w:pPr>
        <w:rPr>
          <w:rFonts w:ascii="Arial" w:hAnsi="Arial" w:cs="Arial"/>
        </w:rPr>
      </w:pPr>
      <w:r>
        <w:rPr>
          <w:rFonts w:ascii="Arial" w:hAnsi="Arial" w:cs="Arial"/>
        </w:rPr>
        <w:t xml:space="preserve">The above process will performed from August 2017 onwards until the total R5.2 billion has been condoned/ recovered. </w:t>
      </w:r>
    </w:p>
    <w:p w:rsidR="00772053" w:rsidRDefault="00C00DD4" w:rsidP="00AC4F4A">
      <w:pPr>
        <w:pStyle w:val="ListParagraph"/>
        <w:numPr>
          <w:ilvl w:val="0"/>
          <w:numId w:val="1"/>
        </w:numPr>
        <w:ind w:left="270" w:hanging="270"/>
        <w:rPr>
          <w:rFonts w:ascii="Arial" w:hAnsi="Arial" w:cs="Arial"/>
          <w:b/>
        </w:rPr>
      </w:pPr>
      <w:r w:rsidRPr="00AC4F4A">
        <w:rPr>
          <w:rFonts w:ascii="Arial" w:hAnsi="Arial" w:cs="Arial"/>
          <w:b/>
        </w:rPr>
        <w:t>Sustainable improvements in the control environment</w:t>
      </w:r>
    </w:p>
    <w:p w:rsidR="00AC4F4A" w:rsidRPr="00AC4F4A" w:rsidRDefault="00AC4F4A" w:rsidP="00AC4F4A">
      <w:pPr>
        <w:rPr>
          <w:rFonts w:ascii="Arial" w:hAnsi="Arial" w:cs="Arial"/>
          <w:b/>
        </w:rPr>
      </w:pPr>
      <w:r w:rsidRPr="00AC4F4A">
        <w:rPr>
          <w:rFonts w:ascii="Arial" w:hAnsi="Arial" w:cs="Arial"/>
        </w:rPr>
        <w:t>The following improvements in the internal control environment have been implemented in</w:t>
      </w:r>
      <w:r w:rsidR="00F41D8E">
        <w:rPr>
          <w:rFonts w:ascii="Arial" w:hAnsi="Arial" w:cs="Arial"/>
        </w:rPr>
        <w:t xml:space="preserve"> </w:t>
      </w:r>
      <w:r w:rsidRPr="00AC4F4A">
        <w:rPr>
          <w:rFonts w:ascii="Arial" w:hAnsi="Arial" w:cs="Arial"/>
        </w:rPr>
        <w:t>order to both prevent and detect IFWE going forward:</w:t>
      </w:r>
    </w:p>
    <w:p w:rsidR="00AC4F4A" w:rsidRDefault="00AC4F4A" w:rsidP="00AC4F4A">
      <w:pPr>
        <w:pStyle w:val="ListParagraph"/>
        <w:numPr>
          <w:ilvl w:val="0"/>
          <w:numId w:val="3"/>
        </w:numPr>
        <w:spacing w:after="0" w:line="240" w:lineRule="auto"/>
        <w:jc w:val="both"/>
        <w:rPr>
          <w:rFonts w:ascii="Arial" w:hAnsi="Arial" w:cs="Arial"/>
        </w:rPr>
      </w:pPr>
      <w:r>
        <w:rPr>
          <w:rFonts w:ascii="Arial" w:hAnsi="Arial" w:cs="Arial"/>
        </w:rPr>
        <w:t xml:space="preserve">The procurement system has been </w:t>
      </w:r>
      <w:r w:rsidR="00C00DD4">
        <w:rPr>
          <w:rFonts w:ascii="Arial" w:hAnsi="Arial" w:cs="Arial"/>
        </w:rPr>
        <w:t>re</w:t>
      </w:r>
      <w:r>
        <w:rPr>
          <w:rFonts w:ascii="Arial" w:hAnsi="Arial" w:cs="Arial"/>
        </w:rPr>
        <w:t>-configured in order</w:t>
      </w:r>
      <w:r w:rsidR="00A73A27">
        <w:rPr>
          <w:rFonts w:ascii="Arial" w:hAnsi="Arial" w:cs="Arial"/>
        </w:rPr>
        <w:t xml:space="preserve"> to</w:t>
      </w:r>
      <w:r>
        <w:rPr>
          <w:rFonts w:ascii="Arial" w:hAnsi="Arial" w:cs="Arial"/>
        </w:rPr>
        <w:t>:</w:t>
      </w:r>
    </w:p>
    <w:p w:rsidR="00A73A27" w:rsidRDefault="00A73A27" w:rsidP="00F41D8E">
      <w:pPr>
        <w:pStyle w:val="ListParagraph"/>
        <w:numPr>
          <w:ilvl w:val="0"/>
          <w:numId w:val="2"/>
        </w:numPr>
        <w:spacing w:after="0" w:line="240" w:lineRule="auto"/>
        <w:ind w:left="1080" w:hanging="270"/>
        <w:jc w:val="both"/>
        <w:rPr>
          <w:rFonts w:ascii="Arial" w:hAnsi="Arial" w:cs="Arial"/>
        </w:rPr>
      </w:pPr>
      <w:r>
        <w:rPr>
          <w:rFonts w:ascii="Arial" w:hAnsi="Arial" w:cs="Arial"/>
        </w:rPr>
        <w:t>Force every employee</w:t>
      </w:r>
      <w:r w:rsidR="00C00DD4">
        <w:rPr>
          <w:rFonts w:ascii="Arial" w:hAnsi="Arial" w:cs="Arial"/>
        </w:rPr>
        <w:t xml:space="preserve"> to attach the procurement documents on </w:t>
      </w:r>
      <w:r>
        <w:rPr>
          <w:rFonts w:ascii="Arial" w:hAnsi="Arial" w:cs="Arial"/>
        </w:rPr>
        <w:t>the system</w:t>
      </w:r>
      <w:r w:rsidR="00F41D8E">
        <w:rPr>
          <w:rFonts w:ascii="Arial" w:hAnsi="Arial" w:cs="Arial"/>
        </w:rPr>
        <w:t xml:space="preserve"> </w:t>
      </w:r>
      <w:r>
        <w:rPr>
          <w:rFonts w:ascii="Arial" w:hAnsi="Arial" w:cs="Arial"/>
        </w:rPr>
        <w:t>before proceeding</w:t>
      </w:r>
      <w:r w:rsidR="00C00DD4">
        <w:rPr>
          <w:rFonts w:ascii="Arial" w:hAnsi="Arial" w:cs="Arial"/>
        </w:rPr>
        <w:t>)</w:t>
      </w:r>
    </w:p>
    <w:p w:rsidR="00C00DD4" w:rsidRDefault="00BA1012" w:rsidP="00F41D8E">
      <w:pPr>
        <w:pStyle w:val="ListParagraph"/>
        <w:numPr>
          <w:ilvl w:val="0"/>
          <w:numId w:val="2"/>
        </w:numPr>
        <w:spacing w:after="0" w:line="240" w:lineRule="auto"/>
        <w:ind w:left="1080" w:hanging="270"/>
        <w:jc w:val="both"/>
        <w:rPr>
          <w:rFonts w:ascii="Arial" w:hAnsi="Arial" w:cs="Arial"/>
        </w:rPr>
      </w:pPr>
      <w:r>
        <w:rPr>
          <w:rFonts w:ascii="Arial" w:hAnsi="Arial" w:cs="Arial"/>
        </w:rPr>
        <w:t>link ev</w:t>
      </w:r>
      <w:r w:rsidR="00A73A27">
        <w:rPr>
          <w:rFonts w:ascii="Arial" w:hAnsi="Arial" w:cs="Arial"/>
        </w:rPr>
        <w:t>e</w:t>
      </w:r>
      <w:r>
        <w:rPr>
          <w:rFonts w:ascii="Arial" w:hAnsi="Arial" w:cs="Arial"/>
        </w:rPr>
        <w:t>ry payments</w:t>
      </w:r>
      <w:r w:rsidR="00A73A27">
        <w:rPr>
          <w:rFonts w:ascii="Arial" w:hAnsi="Arial" w:cs="Arial"/>
        </w:rPr>
        <w:t>/ expenditure</w:t>
      </w:r>
      <w:r>
        <w:rPr>
          <w:rFonts w:ascii="Arial" w:hAnsi="Arial" w:cs="Arial"/>
        </w:rPr>
        <w:t xml:space="preserve"> to </w:t>
      </w:r>
      <w:r w:rsidR="00A73A27">
        <w:rPr>
          <w:rFonts w:ascii="Arial" w:hAnsi="Arial" w:cs="Arial"/>
        </w:rPr>
        <w:t xml:space="preserve">unique </w:t>
      </w:r>
      <w:r>
        <w:rPr>
          <w:rFonts w:ascii="Arial" w:hAnsi="Arial" w:cs="Arial"/>
        </w:rPr>
        <w:t>R</w:t>
      </w:r>
      <w:r w:rsidR="00A73A27">
        <w:rPr>
          <w:rFonts w:ascii="Arial" w:hAnsi="Arial" w:cs="Arial"/>
        </w:rPr>
        <w:t xml:space="preserve">equest </w:t>
      </w:r>
      <w:r>
        <w:rPr>
          <w:rFonts w:ascii="Arial" w:hAnsi="Arial" w:cs="Arial"/>
        </w:rPr>
        <w:t>F</w:t>
      </w:r>
      <w:r w:rsidR="00A73A27">
        <w:rPr>
          <w:rFonts w:ascii="Arial" w:hAnsi="Arial" w:cs="Arial"/>
        </w:rPr>
        <w:t xml:space="preserve">or </w:t>
      </w:r>
      <w:r>
        <w:rPr>
          <w:rFonts w:ascii="Arial" w:hAnsi="Arial" w:cs="Arial"/>
        </w:rPr>
        <w:t>Q</w:t>
      </w:r>
      <w:r w:rsidR="00A73A27">
        <w:rPr>
          <w:rFonts w:ascii="Arial" w:hAnsi="Arial" w:cs="Arial"/>
        </w:rPr>
        <w:t>uotation</w:t>
      </w:r>
      <w:r>
        <w:rPr>
          <w:rFonts w:ascii="Arial" w:hAnsi="Arial" w:cs="Arial"/>
        </w:rPr>
        <w:t>/ contract</w:t>
      </w:r>
      <w:r w:rsidR="00A73A27">
        <w:rPr>
          <w:rFonts w:ascii="Arial" w:hAnsi="Arial" w:cs="Arial"/>
        </w:rPr>
        <w:t>/ deviation</w:t>
      </w:r>
    </w:p>
    <w:p w:rsidR="00A73A27" w:rsidRDefault="00A73A27" w:rsidP="00F41D8E">
      <w:pPr>
        <w:pStyle w:val="ListParagraph"/>
        <w:numPr>
          <w:ilvl w:val="0"/>
          <w:numId w:val="2"/>
        </w:numPr>
        <w:spacing w:after="0" w:line="240" w:lineRule="auto"/>
        <w:ind w:left="1080" w:hanging="270"/>
        <w:jc w:val="both"/>
        <w:rPr>
          <w:rFonts w:ascii="Arial" w:hAnsi="Arial" w:cs="Arial"/>
        </w:rPr>
      </w:pPr>
      <w:r>
        <w:rPr>
          <w:rFonts w:ascii="Arial" w:hAnsi="Arial" w:cs="Arial"/>
        </w:rPr>
        <w:t>detect expenditure which has not complied with the SCM processes and include it in the registers</w:t>
      </w:r>
    </w:p>
    <w:p w:rsidR="00A73A27" w:rsidRDefault="00A73A27" w:rsidP="00F41D8E">
      <w:pPr>
        <w:pStyle w:val="ListParagraph"/>
        <w:numPr>
          <w:ilvl w:val="0"/>
          <w:numId w:val="2"/>
        </w:numPr>
        <w:spacing w:after="0" w:line="240" w:lineRule="auto"/>
        <w:ind w:left="1080" w:hanging="270"/>
        <w:jc w:val="both"/>
        <w:rPr>
          <w:rFonts w:ascii="Arial" w:hAnsi="Arial" w:cs="Arial"/>
        </w:rPr>
      </w:pPr>
      <w:r>
        <w:rPr>
          <w:rFonts w:ascii="Arial" w:hAnsi="Arial" w:cs="Arial"/>
        </w:rPr>
        <w:t>Improve contract management</w:t>
      </w:r>
    </w:p>
    <w:p w:rsidR="00C00DD4" w:rsidRDefault="00C00DD4" w:rsidP="00AC4F4A">
      <w:pPr>
        <w:pStyle w:val="ListParagraph"/>
        <w:numPr>
          <w:ilvl w:val="0"/>
          <w:numId w:val="3"/>
        </w:numPr>
        <w:spacing w:after="0" w:line="240" w:lineRule="auto"/>
        <w:jc w:val="both"/>
        <w:rPr>
          <w:rFonts w:ascii="Arial" w:hAnsi="Arial" w:cs="Arial"/>
        </w:rPr>
      </w:pPr>
      <w:r>
        <w:rPr>
          <w:rFonts w:ascii="Arial" w:hAnsi="Arial" w:cs="Arial"/>
        </w:rPr>
        <w:t>SCM policy and procedure manuals</w:t>
      </w:r>
      <w:r w:rsidR="00A73A27">
        <w:rPr>
          <w:rFonts w:ascii="Arial" w:hAnsi="Arial" w:cs="Arial"/>
        </w:rPr>
        <w:t xml:space="preserve"> have been updated</w:t>
      </w:r>
    </w:p>
    <w:p w:rsidR="00C00DD4" w:rsidRDefault="00A73A27" w:rsidP="00AC4F4A">
      <w:pPr>
        <w:pStyle w:val="ListParagraph"/>
        <w:numPr>
          <w:ilvl w:val="0"/>
          <w:numId w:val="3"/>
        </w:numPr>
        <w:spacing w:after="0" w:line="240" w:lineRule="auto"/>
        <w:jc w:val="both"/>
        <w:rPr>
          <w:rFonts w:ascii="Arial" w:hAnsi="Arial" w:cs="Arial"/>
        </w:rPr>
      </w:pPr>
      <w:r>
        <w:rPr>
          <w:rFonts w:ascii="Arial" w:hAnsi="Arial" w:cs="Arial"/>
        </w:rPr>
        <w:t>The i</w:t>
      </w:r>
      <w:r w:rsidR="00C00DD4">
        <w:rPr>
          <w:rFonts w:ascii="Arial" w:hAnsi="Arial" w:cs="Arial"/>
        </w:rPr>
        <w:t xml:space="preserve">ntroduction of </w:t>
      </w:r>
      <w:r>
        <w:rPr>
          <w:rFonts w:ascii="Arial" w:hAnsi="Arial" w:cs="Arial"/>
        </w:rPr>
        <w:t xml:space="preserve">National Treasury </w:t>
      </w:r>
      <w:r w:rsidR="00C00DD4">
        <w:rPr>
          <w:rFonts w:ascii="Arial" w:hAnsi="Arial" w:cs="Arial"/>
        </w:rPr>
        <w:t>C</w:t>
      </w:r>
      <w:r>
        <w:rPr>
          <w:rFonts w:ascii="Arial" w:hAnsi="Arial" w:cs="Arial"/>
        </w:rPr>
        <w:t xml:space="preserve">entral </w:t>
      </w:r>
      <w:r w:rsidR="00C00DD4">
        <w:rPr>
          <w:rFonts w:ascii="Arial" w:hAnsi="Arial" w:cs="Arial"/>
        </w:rPr>
        <w:t>S</w:t>
      </w:r>
      <w:r>
        <w:rPr>
          <w:rFonts w:ascii="Arial" w:hAnsi="Arial" w:cs="Arial"/>
        </w:rPr>
        <w:t xml:space="preserve">upplier </w:t>
      </w:r>
      <w:r w:rsidR="00C00DD4">
        <w:rPr>
          <w:rFonts w:ascii="Arial" w:hAnsi="Arial" w:cs="Arial"/>
        </w:rPr>
        <w:t>D</w:t>
      </w:r>
      <w:r>
        <w:rPr>
          <w:rFonts w:ascii="Arial" w:hAnsi="Arial" w:cs="Arial"/>
        </w:rPr>
        <w:t>atabase has assisted with the tax clearance certificates deficiencies</w:t>
      </w:r>
    </w:p>
    <w:p w:rsidR="00A73A27" w:rsidRDefault="00A73A27" w:rsidP="00AC4F4A">
      <w:pPr>
        <w:pStyle w:val="ListParagraph"/>
        <w:numPr>
          <w:ilvl w:val="0"/>
          <w:numId w:val="3"/>
        </w:numPr>
        <w:spacing w:after="0" w:line="240" w:lineRule="auto"/>
        <w:jc w:val="both"/>
        <w:rPr>
          <w:rFonts w:ascii="Arial" w:hAnsi="Arial" w:cs="Arial"/>
        </w:rPr>
      </w:pPr>
      <w:r w:rsidRPr="00A73A27">
        <w:rPr>
          <w:rFonts w:ascii="Arial" w:hAnsi="Arial" w:cs="Arial"/>
        </w:rPr>
        <w:t>IFWE is tracked and reported on a m</w:t>
      </w:r>
      <w:r w:rsidR="00C00DD4" w:rsidRPr="00A73A27">
        <w:rPr>
          <w:rFonts w:ascii="Arial" w:hAnsi="Arial" w:cs="Arial"/>
        </w:rPr>
        <w:t xml:space="preserve">onthly </w:t>
      </w:r>
      <w:r w:rsidRPr="00A73A27">
        <w:rPr>
          <w:rFonts w:ascii="Arial" w:hAnsi="Arial" w:cs="Arial"/>
        </w:rPr>
        <w:t xml:space="preserve">basis </w:t>
      </w:r>
      <w:r w:rsidR="00C00DD4" w:rsidRPr="00A73A27">
        <w:rPr>
          <w:rFonts w:ascii="Arial" w:hAnsi="Arial" w:cs="Arial"/>
        </w:rPr>
        <w:t>analysis</w:t>
      </w:r>
      <w:r>
        <w:rPr>
          <w:rFonts w:ascii="Arial" w:hAnsi="Arial" w:cs="Arial"/>
        </w:rPr>
        <w:t xml:space="preserve"> to the CFO</w:t>
      </w:r>
    </w:p>
    <w:p w:rsidR="00C00DD4" w:rsidRPr="00A73A27" w:rsidRDefault="00A73A27" w:rsidP="00AC4F4A">
      <w:pPr>
        <w:pStyle w:val="ListParagraph"/>
        <w:numPr>
          <w:ilvl w:val="0"/>
          <w:numId w:val="3"/>
        </w:numPr>
        <w:spacing w:after="0" w:line="240" w:lineRule="auto"/>
        <w:jc w:val="both"/>
        <w:rPr>
          <w:rFonts w:ascii="Arial" w:hAnsi="Arial" w:cs="Arial"/>
        </w:rPr>
      </w:pPr>
      <w:r>
        <w:rPr>
          <w:rFonts w:ascii="Arial" w:hAnsi="Arial" w:cs="Arial"/>
        </w:rPr>
        <w:t>There is ongoing t</w:t>
      </w:r>
      <w:r w:rsidR="00C00DD4" w:rsidRPr="00A73A27">
        <w:rPr>
          <w:rFonts w:ascii="Arial" w:hAnsi="Arial" w:cs="Arial"/>
        </w:rPr>
        <w:t xml:space="preserve">raining of staff by </w:t>
      </w:r>
      <w:r>
        <w:rPr>
          <w:rFonts w:ascii="Arial" w:hAnsi="Arial" w:cs="Arial"/>
        </w:rPr>
        <w:t>governance personnel within the supply chain division</w:t>
      </w:r>
    </w:p>
    <w:p w:rsidR="00C00DD4" w:rsidRDefault="00C00DD4">
      <w:pPr>
        <w:rPr>
          <w:rFonts w:ascii="Arial" w:hAnsi="Arial" w:cs="Arial"/>
        </w:rPr>
      </w:pPr>
    </w:p>
    <w:p w:rsidR="00C00DD4" w:rsidRPr="005E550E" w:rsidRDefault="00C00DD4" w:rsidP="00A73A27">
      <w:pPr>
        <w:pStyle w:val="ListParagraph"/>
        <w:numPr>
          <w:ilvl w:val="0"/>
          <w:numId w:val="1"/>
        </w:numPr>
        <w:ind w:left="270" w:hanging="270"/>
        <w:rPr>
          <w:rFonts w:ascii="Arial" w:hAnsi="Arial" w:cs="Arial"/>
          <w:b/>
        </w:rPr>
      </w:pPr>
      <w:r w:rsidRPr="005E550E">
        <w:rPr>
          <w:rFonts w:ascii="Arial" w:hAnsi="Arial" w:cs="Arial"/>
          <w:b/>
        </w:rPr>
        <w:t>Conclusion</w:t>
      </w:r>
    </w:p>
    <w:p w:rsidR="005E550E" w:rsidRDefault="00A73A27" w:rsidP="00A73A27">
      <w:pPr>
        <w:pStyle w:val="ListParagraph"/>
        <w:ind w:left="270"/>
        <w:rPr>
          <w:rFonts w:ascii="Arial" w:hAnsi="Arial" w:cs="Arial"/>
        </w:rPr>
      </w:pPr>
      <w:r w:rsidRPr="005E550E">
        <w:rPr>
          <w:rFonts w:ascii="Arial" w:hAnsi="Arial" w:cs="Arial"/>
        </w:rPr>
        <w:t>Due to the above stated reasons</w:t>
      </w:r>
      <w:r w:rsidR="005E550E">
        <w:rPr>
          <w:rFonts w:ascii="Arial" w:hAnsi="Arial" w:cs="Arial"/>
        </w:rPr>
        <w:t xml:space="preserve">, the contractual arrangement with </w:t>
      </w:r>
      <w:proofErr w:type="spellStart"/>
      <w:r w:rsidR="005E550E">
        <w:rPr>
          <w:rFonts w:ascii="Arial" w:hAnsi="Arial" w:cs="Arial"/>
        </w:rPr>
        <w:t>SkX</w:t>
      </w:r>
      <w:proofErr w:type="spellEnd"/>
      <w:r w:rsidR="005E550E">
        <w:rPr>
          <w:rFonts w:ascii="Arial" w:hAnsi="Arial" w:cs="Arial"/>
        </w:rPr>
        <w:t xml:space="preserve"> was not to recover IFWE but to detect accurate and complete disclosure note. The deliverables from the firm are the IFWE schedules/ registers and the disclosure note for the annual financial statements for 2016/17 fi</w:t>
      </w:r>
      <w:r w:rsidR="00F41D8E">
        <w:rPr>
          <w:rFonts w:ascii="Arial" w:hAnsi="Arial" w:cs="Arial"/>
        </w:rPr>
        <w:t>na</w:t>
      </w:r>
      <w:r w:rsidR="005E550E">
        <w:rPr>
          <w:rFonts w:ascii="Arial" w:hAnsi="Arial" w:cs="Arial"/>
        </w:rPr>
        <w:t xml:space="preserve">ncial year. </w:t>
      </w:r>
    </w:p>
    <w:p w:rsidR="005E550E" w:rsidRDefault="005E550E" w:rsidP="00A73A27">
      <w:pPr>
        <w:pStyle w:val="ListParagraph"/>
        <w:ind w:left="270"/>
        <w:rPr>
          <w:rFonts w:ascii="Arial" w:hAnsi="Arial" w:cs="Arial"/>
        </w:rPr>
      </w:pPr>
    </w:p>
    <w:p w:rsidR="00A73A27" w:rsidRPr="005E550E" w:rsidRDefault="005E550E" w:rsidP="00A73A27">
      <w:pPr>
        <w:pStyle w:val="ListParagraph"/>
        <w:ind w:left="270"/>
        <w:rPr>
          <w:rFonts w:ascii="Arial" w:hAnsi="Arial" w:cs="Arial"/>
        </w:rPr>
      </w:pPr>
      <w:r>
        <w:rPr>
          <w:rFonts w:ascii="Arial" w:hAnsi="Arial" w:cs="Arial"/>
        </w:rPr>
        <w:t xml:space="preserve">The details of the contract and the expected deliverables have been given above. </w:t>
      </w:r>
      <w:r w:rsidR="00A73A27" w:rsidRPr="005E550E">
        <w:rPr>
          <w:rFonts w:ascii="Arial" w:hAnsi="Arial" w:cs="Arial"/>
        </w:rPr>
        <w:t xml:space="preserve"> </w:t>
      </w:r>
    </w:p>
    <w:sectPr w:rsidR="00A73A27" w:rsidRPr="005E550E" w:rsidSect="00E13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531C"/>
    <w:multiLevelType w:val="hybridMultilevel"/>
    <w:tmpl w:val="EA88E99C"/>
    <w:lvl w:ilvl="0" w:tplc="21E82FFA">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34C59"/>
    <w:multiLevelType w:val="hybridMultilevel"/>
    <w:tmpl w:val="74CAD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720AA"/>
    <w:multiLevelType w:val="hybridMultilevel"/>
    <w:tmpl w:val="8E0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D091D"/>
    <w:multiLevelType w:val="hybridMultilevel"/>
    <w:tmpl w:val="986612C6"/>
    <w:lvl w:ilvl="0" w:tplc="5FD022F0">
      <w:start w:val="10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150DE"/>
    <w:rsid w:val="000567FA"/>
    <w:rsid w:val="000739AF"/>
    <w:rsid w:val="000D0110"/>
    <w:rsid w:val="000E7592"/>
    <w:rsid w:val="001150DE"/>
    <w:rsid w:val="00190073"/>
    <w:rsid w:val="001B743B"/>
    <w:rsid w:val="001D4511"/>
    <w:rsid w:val="00212B43"/>
    <w:rsid w:val="00287BC6"/>
    <w:rsid w:val="002B4B06"/>
    <w:rsid w:val="00332FE1"/>
    <w:rsid w:val="003757C8"/>
    <w:rsid w:val="004F79C4"/>
    <w:rsid w:val="005E550E"/>
    <w:rsid w:val="0063659E"/>
    <w:rsid w:val="007140F1"/>
    <w:rsid w:val="00772053"/>
    <w:rsid w:val="00792566"/>
    <w:rsid w:val="007F3ABC"/>
    <w:rsid w:val="0089502A"/>
    <w:rsid w:val="009668CC"/>
    <w:rsid w:val="00976B8A"/>
    <w:rsid w:val="009A3B3C"/>
    <w:rsid w:val="009B001B"/>
    <w:rsid w:val="00A001A7"/>
    <w:rsid w:val="00A46951"/>
    <w:rsid w:val="00A73A27"/>
    <w:rsid w:val="00A97BCA"/>
    <w:rsid w:val="00AC4F4A"/>
    <w:rsid w:val="00AD3159"/>
    <w:rsid w:val="00BA1012"/>
    <w:rsid w:val="00BB182B"/>
    <w:rsid w:val="00C00DD4"/>
    <w:rsid w:val="00C35015"/>
    <w:rsid w:val="00C718B8"/>
    <w:rsid w:val="00CB6BBE"/>
    <w:rsid w:val="00D11475"/>
    <w:rsid w:val="00DF16DA"/>
    <w:rsid w:val="00E05590"/>
    <w:rsid w:val="00E1339C"/>
    <w:rsid w:val="00E54B8F"/>
    <w:rsid w:val="00EF59F4"/>
    <w:rsid w:val="00F41D8E"/>
    <w:rsid w:val="00F71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511"/>
    <w:rPr>
      <w:color w:val="0000FF" w:themeColor="hyperlink"/>
      <w:u w:val="single"/>
    </w:rPr>
  </w:style>
  <w:style w:type="paragraph" w:styleId="ListParagraph">
    <w:name w:val="List Paragraph"/>
    <w:basedOn w:val="Normal"/>
    <w:uiPriority w:val="34"/>
    <w:qFormat/>
    <w:rsid w:val="00A001A7"/>
    <w:pPr>
      <w:ind w:left="720"/>
      <w:contextualSpacing/>
    </w:pPr>
  </w:style>
  <w:style w:type="table" w:styleId="TableGrid">
    <w:name w:val="Table Grid"/>
    <w:basedOn w:val="TableNormal"/>
    <w:uiPriority w:val="59"/>
    <w:rsid w:val="00212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7BC6"/>
    <w:rPr>
      <w:sz w:val="16"/>
      <w:szCs w:val="16"/>
    </w:rPr>
  </w:style>
  <w:style w:type="paragraph" w:styleId="CommentText">
    <w:name w:val="annotation text"/>
    <w:basedOn w:val="Normal"/>
    <w:link w:val="CommentTextChar"/>
    <w:uiPriority w:val="99"/>
    <w:semiHidden/>
    <w:unhideWhenUsed/>
    <w:rsid w:val="00287BC6"/>
    <w:pPr>
      <w:spacing w:line="240" w:lineRule="auto"/>
    </w:pPr>
    <w:rPr>
      <w:sz w:val="20"/>
      <w:szCs w:val="20"/>
    </w:rPr>
  </w:style>
  <w:style w:type="character" w:customStyle="1" w:styleId="CommentTextChar">
    <w:name w:val="Comment Text Char"/>
    <w:basedOn w:val="DefaultParagraphFont"/>
    <w:link w:val="CommentText"/>
    <w:uiPriority w:val="99"/>
    <w:semiHidden/>
    <w:rsid w:val="00287BC6"/>
    <w:rPr>
      <w:sz w:val="20"/>
      <w:szCs w:val="20"/>
    </w:rPr>
  </w:style>
  <w:style w:type="paragraph" w:styleId="CommentSubject">
    <w:name w:val="annotation subject"/>
    <w:basedOn w:val="CommentText"/>
    <w:next w:val="CommentText"/>
    <w:link w:val="CommentSubjectChar"/>
    <w:uiPriority w:val="99"/>
    <w:semiHidden/>
    <w:unhideWhenUsed/>
    <w:rsid w:val="00287BC6"/>
    <w:rPr>
      <w:b/>
      <w:bCs/>
    </w:rPr>
  </w:style>
  <w:style w:type="character" w:customStyle="1" w:styleId="CommentSubjectChar">
    <w:name w:val="Comment Subject Char"/>
    <w:basedOn w:val="CommentTextChar"/>
    <w:link w:val="CommentSubject"/>
    <w:uiPriority w:val="99"/>
    <w:semiHidden/>
    <w:rsid w:val="00287BC6"/>
    <w:rPr>
      <w:b/>
      <w:bCs/>
      <w:sz w:val="20"/>
      <w:szCs w:val="20"/>
    </w:rPr>
  </w:style>
  <w:style w:type="paragraph" w:styleId="BalloonText">
    <w:name w:val="Balloon Text"/>
    <w:basedOn w:val="Normal"/>
    <w:link w:val="BalloonTextChar"/>
    <w:uiPriority w:val="99"/>
    <w:semiHidden/>
    <w:unhideWhenUsed/>
    <w:rsid w:val="00287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BC6"/>
    <w:rPr>
      <w:rFonts w:ascii="Tahoma" w:hAnsi="Tahoma" w:cs="Tahoma"/>
      <w:sz w:val="16"/>
      <w:szCs w:val="16"/>
    </w:rPr>
  </w:style>
  <w:style w:type="paragraph" w:styleId="NormalWeb">
    <w:name w:val="Normal (Web)"/>
    <w:basedOn w:val="Normal"/>
    <w:uiPriority w:val="99"/>
    <w:unhideWhenUsed/>
    <w:rsid w:val="007925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595040">
      <w:bodyDiv w:val="1"/>
      <w:marLeft w:val="0"/>
      <w:marRight w:val="0"/>
      <w:marTop w:val="0"/>
      <w:marBottom w:val="0"/>
      <w:divBdr>
        <w:top w:val="none" w:sz="0" w:space="0" w:color="auto"/>
        <w:left w:val="none" w:sz="0" w:space="0" w:color="auto"/>
        <w:bottom w:val="none" w:sz="0" w:space="0" w:color="auto"/>
        <w:right w:val="none" w:sz="0" w:space="0" w:color="auto"/>
      </w:divBdr>
    </w:div>
    <w:div w:id="237787058">
      <w:bodyDiv w:val="1"/>
      <w:marLeft w:val="0"/>
      <w:marRight w:val="0"/>
      <w:marTop w:val="0"/>
      <w:marBottom w:val="0"/>
      <w:divBdr>
        <w:top w:val="none" w:sz="0" w:space="0" w:color="auto"/>
        <w:left w:val="none" w:sz="0" w:space="0" w:color="auto"/>
        <w:bottom w:val="none" w:sz="0" w:space="0" w:color="auto"/>
        <w:right w:val="none" w:sz="0" w:space="0" w:color="auto"/>
      </w:divBdr>
    </w:div>
    <w:div w:id="465588959">
      <w:bodyDiv w:val="1"/>
      <w:marLeft w:val="0"/>
      <w:marRight w:val="0"/>
      <w:marTop w:val="0"/>
      <w:marBottom w:val="0"/>
      <w:divBdr>
        <w:top w:val="none" w:sz="0" w:space="0" w:color="auto"/>
        <w:left w:val="none" w:sz="0" w:space="0" w:color="auto"/>
        <w:bottom w:val="none" w:sz="0" w:space="0" w:color="auto"/>
        <w:right w:val="none" w:sz="0" w:space="0" w:color="auto"/>
      </w:divBdr>
    </w:div>
    <w:div w:id="701903391">
      <w:bodyDiv w:val="1"/>
      <w:marLeft w:val="0"/>
      <w:marRight w:val="0"/>
      <w:marTop w:val="0"/>
      <w:marBottom w:val="0"/>
      <w:divBdr>
        <w:top w:val="none" w:sz="0" w:space="0" w:color="auto"/>
        <w:left w:val="none" w:sz="0" w:space="0" w:color="auto"/>
        <w:bottom w:val="none" w:sz="0" w:space="0" w:color="auto"/>
        <w:right w:val="none" w:sz="0" w:space="0" w:color="auto"/>
      </w:divBdr>
    </w:div>
    <w:div w:id="854154014">
      <w:bodyDiv w:val="1"/>
      <w:marLeft w:val="0"/>
      <w:marRight w:val="0"/>
      <w:marTop w:val="0"/>
      <w:marBottom w:val="0"/>
      <w:divBdr>
        <w:top w:val="none" w:sz="0" w:space="0" w:color="auto"/>
        <w:left w:val="none" w:sz="0" w:space="0" w:color="auto"/>
        <w:bottom w:val="none" w:sz="0" w:space="0" w:color="auto"/>
        <w:right w:val="none" w:sz="0" w:space="0" w:color="auto"/>
      </w:divBdr>
    </w:div>
    <w:div w:id="972828413">
      <w:bodyDiv w:val="1"/>
      <w:marLeft w:val="0"/>
      <w:marRight w:val="0"/>
      <w:marTop w:val="0"/>
      <w:marBottom w:val="0"/>
      <w:divBdr>
        <w:top w:val="none" w:sz="0" w:space="0" w:color="auto"/>
        <w:left w:val="none" w:sz="0" w:space="0" w:color="auto"/>
        <w:bottom w:val="none" w:sz="0" w:space="0" w:color="auto"/>
        <w:right w:val="none" w:sz="0" w:space="0" w:color="auto"/>
      </w:divBdr>
    </w:div>
    <w:div w:id="1397968678">
      <w:bodyDiv w:val="1"/>
      <w:marLeft w:val="0"/>
      <w:marRight w:val="0"/>
      <w:marTop w:val="0"/>
      <w:marBottom w:val="0"/>
      <w:divBdr>
        <w:top w:val="none" w:sz="0" w:space="0" w:color="auto"/>
        <w:left w:val="none" w:sz="0" w:space="0" w:color="auto"/>
        <w:bottom w:val="none" w:sz="0" w:space="0" w:color="auto"/>
        <w:right w:val="none" w:sz="0" w:space="0" w:color="auto"/>
      </w:divBdr>
    </w:div>
    <w:div w:id="1565141939">
      <w:bodyDiv w:val="1"/>
      <w:marLeft w:val="0"/>
      <w:marRight w:val="0"/>
      <w:marTop w:val="0"/>
      <w:marBottom w:val="0"/>
      <w:divBdr>
        <w:top w:val="none" w:sz="0" w:space="0" w:color="auto"/>
        <w:left w:val="none" w:sz="0" w:space="0" w:color="auto"/>
        <w:bottom w:val="none" w:sz="0" w:space="0" w:color="auto"/>
        <w:right w:val="none" w:sz="0" w:space="0" w:color="auto"/>
      </w:divBdr>
    </w:div>
    <w:div w:id="18909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0235-E7D6-4E3C-B431-6AAE52F8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 Buthelezi</dc:creator>
  <cp:lastModifiedBy>PUMZA</cp:lastModifiedBy>
  <cp:revision>2</cp:revision>
  <dcterms:created xsi:type="dcterms:W3CDTF">2017-05-19T08:32:00Z</dcterms:created>
  <dcterms:modified xsi:type="dcterms:W3CDTF">2017-05-19T08:32:00Z</dcterms:modified>
</cp:coreProperties>
</file>