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AA" w:rsidRPr="004A70B7" w:rsidRDefault="00407312" w:rsidP="004A70B7">
      <w:pPr>
        <w:spacing w:before="240" w:after="240" w:line="240" w:lineRule="auto"/>
        <w:ind w:left="90" w:hanging="270"/>
        <w:rPr>
          <w:rFonts w:ascii="Times New Roman" w:hAnsi="Times New Roman" w:cs="Times New Roman"/>
          <w:b/>
        </w:rPr>
      </w:pPr>
      <w:bookmarkStart w:id="0" w:name="_GoBack"/>
      <w:bookmarkEnd w:id="0"/>
      <w:r w:rsidRPr="004A70B7">
        <w:rPr>
          <w:rFonts w:ascii="Times New Roman" w:hAnsi="Times New Roman" w:cs="Times New Roman"/>
          <w:b/>
        </w:rPr>
        <w:t xml:space="preserve">1. </w:t>
      </w:r>
      <w:r w:rsidR="00BF3FAA" w:rsidRPr="004A70B7">
        <w:rPr>
          <w:rFonts w:ascii="Times New Roman" w:hAnsi="Times New Roman" w:cs="Times New Roman"/>
          <w:b/>
          <w:sz w:val="28"/>
          <w:szCs w:val="28"/>
        </w:rPr>
        <w:t>Report of the Portfolio Committee on Science and Technology on Budget Vote 30: Science and Technology (201</w:t>
      </w:r>
      <w:r w:rsidR="0085381F" w:rsidRPr="004A70B7">
        <w:rPr>
          <w:rFonts w:ascii="Times New Roman" w:hAnsi="Times New Roman" w:cs="Times New Roman"/>
          <w:b/>
          <w:sz w:val="28"/>
          <w:szCs w:val="28"/>
        </w:rPr>
        <w:t>7</w:t>
      </w:r>
      <w:r w:rsidR="00F55819" w:rsidRPr="004A70B7">
        <w:rPr>
          <w:rFonts w:ascii="Times New Roman" w:hAnsi="Times New Roman" w:cs="Times New Roman"/>
          <w:b/>
          <w:sz w:val="28"/>
          <w:szCs w:val="28"/>
        </w:rPr>
        <w:t>/1</w:t>
      </w:r>
      <w:r w:rsidR="0085381F" w:rsidRPr="004A70B7">
        <w:rPr>
          <w:rFonts w:ascii="Times New Roman" w:hAnsi="Times New Roman" w:cs="Times New Roman"/>
          <w:b/>
          <w:sz w:val="28"/>
          <w:szCs w:val="28"/>
        </w:rPr>
        <w:t>8</w:t>
      </w:r>
      <w:r w:rsidR="00BF3FAA" w:rsidRPr="004A70B7">
        <w:rPr>
          <w:rFonts w:ascii="Times New Roman" w:hAnsi="Times New Roman" w:cs="Times New Roman"/>
          <w:b/>
          <w:sz w:val="28"/>
          <w:szCs w:val="28"/>
        </w:rPr>
        <w:t xml:space="preserve">), dated </w:t>
      </w:r>
      <w:r w:rsidR="00CF2046" w:rsidRPr="004A70B7">
        <w:rPr>
          <w:rFonts w:ascii="Times New Roman" w:hAnsi="Times New Roman" w:cs="Times New Roman"/>
          <w:b/>
          <w:sz w:val="28"/>
          <w:szCs w:val="28"/>
        </w:rPr>
        <w:t>1</w:t>
      </w:r>
      <w:r w:rsidR="004622F3" w:rsidRPr="004A70B7">
        <w:rPr>
          <w:rFonts w:ascii="Times New Roman" w:hAnsi="Times New Roman" w:cs="Times New Roman"/>
          <w:b/>
          <w:sz w:val="28"/>
          <w:szCs w:val="28"/>
        </w:rPr>
        <w:t>6</w:t>
      </w:r>
      <w:r w:rsidR="00CF2046" w:rsidRPr="004A70B7">
        <w:rPr>
          <w:rFonts w:ascii="Times New Roman" w:hAnsi="Times New Roman" w:cs="Times New Roman"/>
          <w:b/>
          <w:sz w:val="28"/>
          <w:szCs w:val="28"/>
        </w:rPr>
        <w:t xml:space="preserve"> </w:t>
      </w:r>
      <w:r w:rsidR="004622F3" w:rsidRPr="004A70B7">
        <w:rPr>
          <w:rFonts w:ascii="Times New Roman" w:hAnsi="Times New Roman" w:cs="Times New Roman"/>
          <w:b/>
          <w:sz w:val="28"/>
          <w:szCs w:val="28"/>
        </w:rPr>
        <w:t>May</w:t>
      </w:r>
      <w:r w:rsidR="00A75448" w:rsidRPr="004A70B7">
        <w:rPr>
          <w:rFonts w:ascii="Times New Roman" w:hAnsi="Times New Roman" w:cs="Times New Roman"/>
          <w:b/>
          <w:sz w:val="28"/>
          <w:szCs w:val="28"/>
        </w:rPr>
        <w:t xml:space="preserve"> </w:t>
      </w:r>
      <w:r w:rsidR="00BF3FAA" w:rsidRPr="004A70B7">
        <w:rPr>
          <w:rFonts w:ascii="Times New Roman" w:hAnsi="Times New Roman" w:cs="Times New Roman"/>
          <w:b/>
          <w:sz w:val="28"/>
          <w:szCs w:val="28"/>
        </w:rPr>
        <w:t>201</w:t>
      </w:r>
      <w:r w:rsidR="004622F3" w:rsidRPr="004A70B7">
        <w:rPr>
          <w:rFonts w:ascii="Times New Roman" w:hAnsi="Times New Roman" w:cs="Times New Roman"/>
          <w:b/>
          <w:sz w:val="28"/>
          <w:szCs w:val="28"/>
        </w:rPr>
        <w:t>7</w:t>
      </w:r>
      <w:r w:rsidR="00BF3FAA" w:rsidRPr="004A70B7">
        <w:rPr>
          <w:rFonts w:ascii="Times New Roman" w:hAnsi="Times New Roman" w:cs="Times New Roman"/>
          <w:b/>
          <w:sz w:val="28"/>
          <w:szCs w:val="28"/>
        </w:rPr>
        <w:t>.</w:t>
      </w:r>
    </w:p>
    <w:p w:rsidR="00BF3FAA" w:rsidRPr="004A70B7" w:rsidRDefault="00BF3FAA" w:rsidP="004A70B7">
      <w:pPr>
        <w:spacing w:before="240" w:after="240" w:line="240" w:lineRule="auto"/>
        <w:rPr>
          <w:rFonts w:ascii="Times New Roman" w:hAnsi="Times New Roman" w:cs="Times New Roman"/>
        </w:rPr>
      </w:pPr>
      <w:r w:rsidRPr="004A70B7">
        <w:rPr>
          <w:rFonts w:ascii="Times New Roman" w:hAnsi="Times New Roman" w:cs="Times New Roman"/>
        </w:rPr>
        <w:t>The Portfolio Committee on Science and Technology, having considered Budget Vote 30: Science and Technology</w:t>
      </w:r>
      <w:r w:rsidR="00944FAD" w:rsidRPr="004A70B7">
        <w:rPr>
          <w:rFonts w:ascii="Times New Roman" w:hAnsi="Times New Roman" w:cs="Times New Roman"/>
        </w:rPr>
        <w:t>,</w:t>
      </w:r>
      <w:r w:rsidRPr="004A70B7">
        <w:rPr>
          <w:rFonts w:ascii="Times New Roman" w:hAnsi="Times New Roman" w:cs="Times New Roman"/>
        </w:rPr>
        <w:t xml:space="preserve"> and the 201</w:t>
      </w:r>
      <w:r w:rsidR="004622F3" w:rsidRPr="004A70B7">
        <w:rPr>
          <w:rFonts w:ascii="Times New Roman" w:hAnsi="Times New Roman" w:cs="Times New Roman"/>
        </w:rPr>
        <w:t>7</w:t>
      </w:r>
      <w:r w:rsidR="00A75448" w:rsidRPr="004A70B7">
        <w:rPr>
          <w:rFonts w:ascii="Times New Roman" w:hAnsi="Times New Roman" w:cs="Times New Roman"/>
        </w:rPr>
        <w:t>/1</w:t>
      </w:r>
      <w:r w:rsidR="004622F3" w:rsidRPr="004A70B7">
        <w:rPr>
          <w:rFonts w:ascii="Times New Roman" w:hAnsi="Times New Roman" w:cs="Times New Roman"/>
        </w:rPr>
        <w:t>8</w:t>
      </w:r>
      <w:r w:rsidRPr="004A70B7">
        <w:rPr>
          <w:rFonts w:ascii="Times New Roman" w:hAnsi="Times New Roman" w:cs="Times New Roman"/>
        </w:rPr>
        <w:t xml:space="preserve"> Annual Performance Plans of the Department of Science and Technology and its </w:t>
      </w:r>
      <w:r w:rsidR="000967D8" w:rsidRPr="004A70B7">
        <w:rPr>
          <w:rFonts w:ascii="Times New Roman" w:hAnsi="Times New Roman" w:cs="Times New Roman"/>
        </w:rPr>
        <w:t>e</w:t>
      </w:r>
      <w:r w:rsidRPr="004A70B7">
        <w:rPr>
          <w:rFonts w:ascii="Times New Roman" w:hAnsi="Times New Roman" w:cs="Times New Roman"/>
        </w:rPr>
        <w:t>ntities, reports as follows:</w:t>
      </w:r>
    </w:p>
    <w:p w:rsidR="00BF3FAA" w:rsidRPr="004A70B7" w:rsidRDefault="00BF3FAA" w:rsidP="004A70B7">
      <w:pPr>
        <w:pStyle w:val="ListParagraph"/>
        <w:numPr>
          <w:ilvl w:val="0"/>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t>Introduction</w:t>
      </w:r>
    </w:p>
    <w:p w:rsidR="00BF3FAA" w:rsidRPr="004A70B7" w:rsidRDefault="00BF3FAA"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Constitution of the Republic of South Africa, 1996 and the Rules of Parliament mandates the Portfolio Committee on Science and Technology (the Committee) to oversee the activities and performance of the Department of Science and Technology (the Department) and the </w:t>
      </w:r>
      <w:r w:rsidR="00620A97" w:rsidRPr="004A70B7">
        <w:rPr>
          <w:rFonts w:ascii="Times New Roman" w:hAnsi="Times New Roman" w:cs="Times New Roman"/>
        </w:rPr>
        <w:t>e</w:t>
      </w:r>
      <w:r w:rsidRPr="004A70B7">
        <w:rPr>
          <w:rFonts w:ascii="Times New Roman" w:hAnsi="Times New Roman" w:cs="Times New Roman"/>
        </w:rPr>
        <w:t xml:space="preserve">ntities that report to it. Hence, the Committee annually reviews whether the Department and </w:t>
      </w:r>
      <w:r w:rsidR="00046E32" w:rsidRPr="004A70B7">
        <w:rPr>
          <w:rFonts w:ascii="Times New Roman" w:hAnsi="Times New Roman" w:cs="Times New Roman"/>
        </w:rPr>
        <w:t>e</w:t>
      </w:r>
      <w:r w:rsidRPr="004A70B7">
        <w:rPr>
          <w:rFonts w:ascii="Times New Roman" w:hAnsi="Times New Roman" w:cs="Times New Roman"/>
        </w:rPr>
        <w:t xml:space="preserve">ntities’ performance plans </w:t>
      </w:r>
      <w:proofErr w:type="gramStart"/>
      <w:r w:rsidRPr="004A70B7">
        <w:rPr>
          <w:rFonts w:ascii="Times New Roman" w:hAnsi="Times New Roman" w:cs="Times New Roman"/>
        </w:rPr>
        <w:t>are aligned</w:t>
      </w:r>
      <w:proofErr w:type="gramEnd"/>
      <w:r w:rsidRPr="004A70B7">
        <w:rPr>
          <w:rFonts w:ascii="Times New Roman" w:hAnsi="Times New Roman" w:cs="Times New Roman"/>
        </w:rPr>
        <w:t xml:space="preserve"> to national strategic objectives and the appropriated budget.</w:t>
      </w:r>
    </w:p>
    <w:p w:rsidR="00BF3FAA" w:rsidRPr="004A70B7" w:rsidRDefault="00BF3FAA" w:rsidP="004A70B7">
      <w:pPr>
        <w:spacing w:before="240" w:after="240" w:line="240" w:lineRule="auto"/>
        <w:rPr>
          <w:rFonts w:ascii="Times New Roman" w:hAnsi="Times New Roman" w:cs="Times New Roman"/>
        </w:rPr>
      </w:pPr>
      <w:r w:rsidRPr="004A70B7">
        <w:rPr>
          <w:rFonts w:ascii="Times New Roman" w:hAnsi="Times New Roman" w:cs="Times New Roman"/>
        </w:rPr>
        <w:t>The entities that report to the Department are the National Advisory Council on Innovation (NACI), the Technology Innovation Agency (TIA), the South African National Space Agency (SANSA), the National Research Foundation (NRF), the Academy of Science of South Africa (</w:t>
      </w:r>
      <w:proofErr w:type="spellStart"/>
      <w:r w:rsidRPr="004A70B7">
        <w:rPr>
          <w:rFonts w:ascii="Times New Roman" w:hAnsi="Times New Roman" w:cs="Times New Roman"/>
        </w:rPr>
        <w:t>ASSAf</w:t>
      </w:r>
      <w:proofErr w:type="spellEnd"/>
      <w:r w:rsidRPr="004A70B7">
        <w:rPr>
          <w:rFonts w:ascii="Times New Roman" w:hAnsi="Times New Roman" w:cs="Times New Roman"/>
        </w:rPr>
        <w:t xml:space="preserve">), the Council for Scientific and Industrial Research (CSIR) and the Human Sciences Research Council (HSRC). The Department and its </w:t>
      </w:r>
      <w:r w:rsidR="00620A97" w:rsidRPr="004A70B7">
        <w:rPr>
          <w:rFonts w:ascii="Times New Roman" w:hAnsi="Times New Roman" w:cs="Times New Roman"/>
        </w:rPr>
        <w:t>e</w:t>
      </w:r>
      <w:r w:rsidRPr="004A70B7">
        <w:rPr>
          <w:rFonts w:ascii="Times New Roman" w:hAnsi="Times New Roman" w:cs="Times New Roman"/>
        </w:rPr>
        <w:t xml:space="preserve">ntities briefed the Committee on </w:t>
      </w:r>
      <w:proofErr w:type="gramStart"/>
      <w:r w:rsidR="00620A97" w:rsidRPr="004A70B7">
        <w:rPr>
          <w:rFonts w:ascii="Times New Roman" w:hAnsi="Times New Roman" w:cs="Times New Roman"/>
        </w:rPr>
        <w:t>3</w:t>
      </w:r>
      <w:proofErr w:type="gramEnd"/>
      <w:r w:rsidR="003139FC" w:rsidRPr="004A70B7">
        <w:rPr>
          <w:rFonts w:ascii="Times New Roman" w:hAnsi="Times New Roman" w:cs="Times New Roman"/>
        </w:rPr>
        <w:t xml:space="preserve">, </w:t>
      </w:r>
      <w:r w:rsidRPr="004A70B7">
        <w:rPr>
          <w:rFonts w:ascii="Times New Roman" w:hAnsi="Times New Roman" w:cs="Times New Roman"/>
        </w:rPr>
        <w:t xml:space="preserve">4 </w:t>
      </w:r>
      <w:r w:rsidR="003139FC" w:rsidRPr="004A70B7">
        <w:rPr>
          <w:rFonts w:ascii="Times New Roman" w:hAnsi="Times New Roman" w:cs="Times New Roman"/>
        </w:rPr>
        <w:t xml:space="preserve">and 10 May </w:t>
      </w:r>
      <w:r w:rsidRPr="004A70B7">
        <w:rPr>
          <w:rFonts w:ascii="Times New Roman" w:hAnsi="Times New Roman" w:cs="Times New Roman"/>
        </w:rPr>
        <w:t>201</w:t>
      </w:r>
      <w:r w:rsidR="004622F3" w:rsidRPr="004A70B7">
        <w:rPr>
          <w:rFonts w:ascii="Times New Roman" w:hAnsi="Times New Roman" w:cs="Times New Roman"/>
        </w:rPr>
        <w:t>7</w:t>
      </w:r>
      <w:r w:rsidRPr="004A70B7">
        <w:rPr>
          <w:rFonts w:ascii="Times New Roman" w:hAnsi="Times New Roman" w:cs="Times New Roman"/>
        </w:rPr>
        <w:t>, where they provided an overview of the strategic context within which they function, discussed priority performance indicators and their concomitant targets and the 201</w:t>
      </w:r>
      <w:r w:rsidR="004622F3" w:rsidRPr="004A70B7">
        <w:rPr>
          <w:rFonts w:ascii="Times New Roman" w:hAnsi="Times New Roman" w:cs="Times New Roman"/>
        </w:rPr>
        <w:t>7</w:t>
      </w:r>
      <w:r w:rsidR="00620A97" w:rsidRPr="004A70B7">
        <w:rPr>
          <w:rFonts w:ascii="Times New Roman" w:hAnsi="Times New Roman" w:cs="Times New Roman"/>
        </w:rPr>
        <w:t>/1</w:t>
      </w:r>
      <w:r w:rsidR="004622F3" w:rsidRPr="004A70B7">
        <w:rPr>
          <w:rFonts w:ascii="Times New Roman" w:hAnsi="Times New Roman" w:cs="Times New Roman"/>
        </w:rPr>
        <w:t>8</w:t>
      </w:r>
      <w:r w:rsidRPr="004A70B7">
        <w:rPr>
          <w:rFonts w:ascii="Times New Roman" w:hAnsi="Times New Roman" w:cs="Times New Roman"/>
        </w:rPr>
        <w:t xml:space="preserve"> budget allocations.</w:t>
      </w:r>
    </w:p>
    <w:p w:rsidR="004C509B" w:rsidRPr="004A70B7" w:rsidRDefault="00BF3FAA" w:rsidP="004A70B7">
      <w:pPr>
        <w:pStyle w:val="ListParagraph"/>
        <w:numPr>
          <w:ilvl w:val="0"/>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t>Strategic Overview of the Department of Science and Technology</w:t>
      </w:r>
    </w:p>
    <w:p w:rsidR="005F24FF" w:rsidRPr="004A70B7" w:rsidRDefault="005F24FF" w:rsidP="004A70B7">
      <w:pPr>
        <w:pStyle w:val="ListParagraph"/>
        <w:numPr>
          <w:ilvl w:val="1"/>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t>Policy mandate</w:t>
      </w:r>
    </w:p>
    <w:p w:rsidR="005F24FF" w:rsidRPr="004A70B7" w:rsidRDefault="005F24FF"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1996 White Paper on Science and Technology, which introduced the concept of the </w:t>
      </w:r>
      <w:r w:rsidR="00C83D0D" w:rsidRPr="004A70B7">
        <w:rPr>
          <w:rFonts w:ascii="Times New Roman" w:hAnsi="Times New Roman" w:cs="Times New Roman"/>
        </w:rPr>
        <w:t>National System of Innovation (</w:t>
      </w:r>
      <w:r w:rsidRPr="004A70B7">
        <w:rPr>
          <w:rFonts w:ascii="Times New Roman" w:hAnsi="Times New Roman" w:cs="Times New Roman"/>
        </w:rPr>
        <w:t>NSI</w:t>
      </w:r>
      <w:r w:rsidR="00C83D0D" w:rsidRPr="004A70B7">
        <w:rPr>
          <w:rFonts w:ascii="Times New Roman" w:hAnsi="Times New Roman" w:cs="Times New Roman"/>
        </w:rPr>
        <w:t>)</w:t>
      </w:r>
      <w:r w:rsidRPr="004A70B7">
        <w:rPr>
          <w:rFonts w:ascii="Times New Roman" w:hAnsi="Times New Roman" w:cs="Times New Roman"/>
        </w:rPr>
        <w:t>, informs the Department’s mandate. A coherent and well-co-ordinated NSI would help South Africa achieve its development priorities</w:t>
      </w:r>
      <w:r w:rsidR="000A6219" w:rsidRPr="004A70B7">
        <w:rPr>
          <w:rFonts w:ascii="Times New Roman" w:hAnsi="Times New Roman" w:cs="Times New Roman"/>
        </w:rPr>
        <w:t>; hence, t</w:t>
      </w:r>
      <w:r w:rsidRPr="004A70B7">
        <w:rPr>
          <w:rFonts w:ascii="Times New Roman" w:hAnsi="Times New Roman" w:cs="Times New Roman"/>
        </w:rPr>
        <w:t>he Department currently supports the NSI by:</w:t>
      </w:r>
    </w:p>
    <w:p w:rsidR="005F24FF" w:rsidRPr="004A70B7" w:rsidRDefault="005F24FF"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Co-ordinating the development of country-level </w:t>
      </w:r>
      <w:r w:rsidR="001E0380" w:rsidRPr="004A70B7">
        <w:rPr>
          <w:rFonts w:ascii="Times New Roman" w:hAnsi="Times New Roman" w:cs="Times New Roman"/>
          <w:sz w:val="24"/>
          <w:szCs w:val="24"/>
        </w:rPr>
        <w:t xml:space="preserve">policies and </w:t>
      </w:r>
      <w:r w:rsidRPr="004A70B7">
        <w:rPr>
          <w:rFonts w:ascii="Times New Roman" w:hAnsi="Times New Roman" w:cs="Times New Roman"/>
          <w:sz w:val="24"/>
          <w:szCs w:val="24"/>
        </w:rPr>
        <w:t xml:space="preserve">strategies, such as the 2002 National Research and Development Strategy (NRDS) and the 2007 Ten-Year Innovation Plan (TYIP), which identify specific priority areas </w:t>
      </w:r>
      <w:r w:rsidR="001E0380" w:rsidRPr="004A70B7">
        <w:rPr>
          <w:rFonts w:ascii="Times New Roman" w:hAnsi="Times New Roman" w:cs="Times New Roman"/>
          <w:sz w:val="24"/>
          <w:szCs w:val="24"/>
        </w:rPr>
        <w:t>for the country where science, technology and innovation (STI)-related support is required</w:t>
      </w:r>
      <w:r w:rsidRPr="004A70B7">
        <w:rPr>
          <w:rFonts w:ascii="Times New Roman" w:hAnsi="Times New Roman" w:cs="Times New Roman"/>
          <w:sz w:val="24"/>
          <w:szCs w:val="24"/>
        </w:rPr>
        <w:t>.</w:t>
      </w:r>
    </w:p>
    <w:p w:rsidR="005F24FF" w:rsidRPr="004A70B7" w:rsidRDefault="001E0380"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Creating systems and structures to coordinate the STI-related work of </w:t>
      </w:r>
      <w:r w:rsidR="000A6219" w:rsidRPr="004A70B7">
        <w:rPr>
          <w:rFonts w:ascii="Times New Roman" w:hAnsi="Times New Roman" w:cs="Times New Roman"/>
          <w:sz w:val="24"/>
          <w:szCs w:val="24"/>
        </w:rPr>
        <w:t>Go</w:t>
      </w:r>
      <w:r w:rsidRPr="004A70B7">
        <w:rPr>
          <w:rFonts w:ascii="Times New Roman" w:hAnsi="Times New Roman" w:cs="Times New Roman"/>
          <w:sz w:val="24"/>
          <w:szCs w:val="24"/>
        </w:rPr>
        <w:t>vernment and agencies.</w:t>
      </w:r>
    </w:p>
    <w:p w:rsidR="005F24FF" w:rsidRPr="004A70B7" w:rsidRDefault="001E0380"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Developing measurement systems and undertaking analyses to create an evidence base for improving the performance of the NSI</w:t>
      </w:r>
      <w:r w:rsidR="005F24FF" w:rsidRPr="004A70B7">
        <w:rPr>
          <w:rFonts w:ascii="Times New Roman" w:hAnsi="Times New Roman" w:cs="Times New Roman"/>
          <w:sz w:val="24"/>
          <w:szCs w:val="24"/>
        </w:rPr>
        <w:t>.</w:t>
      </w:r>
    </w:p>
    <w:p w:rsidR="005F24FF" w:rsidRPr="004A70B7" w:rsidRDefault="005F24FF"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Optimising </w:t>
      </w:r>
      <w:r w:rsidR="001E0380" w:rsidRPr="004A70B7">
        <w:rPr>
          <w:rFonts w:ascii="Times New Roman" w:hAnsi="Times New Roman" w:cs="Times New Roman"/>
          <w:sz w:val="24"/>
          <w:szCs w:val="24"/>
        </w:rPr>
        <w:t xml:space="preserve">the governance of </w:t>
      </w:r>
      <w:r w:rsidR="00EA26A7" w:rsidRPr="004A70B7">
        <w:rPr>
          <w:rFonts w:ascii="Times New Roman" w:hAnsi="Times New Roman" w:cs="Times New Roman"/>
          <w:sz w:val="24"/>
          <w:szCs w:val="24"/>
        </w:rPr>
        <w:t>publicly funded</w:t>
      </w:r>
      <w:r w:rsidRPr="004A70B7">
        <w:rPr>
          <w:rFonts w:ascii="Times New Roman" w:hAnsi="Times New Roman" w:cs="Times New Roman"/>
          <w:sz w:val="24"/>
          <w:szCs w:val="24"/>
        </w:rPr>
        <w:t xml:space="preserve"> STI institutions to support </w:t>
      </w:r>
      <w:r w:rsidR="000A6219" w:rsidRPr="004A70B7">
        <w:rPr>
          <w:rFonts w:ascii="Times New Roman" w:hAnsi="Times New Roman" w:cs="Times New Roman"/>
          <w:sz w:val="24"/>
          <w:szCs w:val="24"/>
        </w:rPr>
        <w:t>G</w:t>
      </w:r>
      <w:r w:rsidRPr="004A70B7">
        <w:rPr>
          <w:rFonts w:ascii="Times New Roman" w:hAnsi="Times New Roman" w:cs="Times New Roman"/>
          <w:sz w:val="24"/>
          <w:szCs w:val="24"/>
        </w:rPr>
        <w:t>overnment’s priority outcomes.</w:t>
      </w:r>
    </w:p>
    <w:p w:rsidR="001E0380" w:rsidRPr="004A70B7" w:rsidRDefault="001E0380"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lastRenderedPageBreak/>
        <w:t>Funding research, development and innovation (RDI) infrastructure.</w:t>
      </w:r>
    </w:p>
    <w:p w:rsidR="005F24FF" w:rsidRPr="004A70B7" w:rsidRDefault="005F24FF"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Funding human capital development at postgraduate level.</w:t>
      </w:r>
    </w:p>
    <w:p w:rsidR="005F24FF" w:rsidRPr="004A70B7" w:rsidRDefault="005F24FF"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Unlocking STI resources </w:t>
      </w:r>
      <w:r w:rsidR="001E0380" w:rsidRPr="004A70B7">
        <w:rPr>
          <w:rFonts w:ascii="Times New Roman" w:hAnsi="Times New Roman" w:cs="Times New Roman"/>
          <w:sz w:val="24"/>
          <w:szCs w:val="24"/>
        </w:rPr>
        <w:t xml:space="preserve">through </w:t>
      </w:r>
      <w:r w:rsidRPr="004A70B7">
        <w:rPr>
          <w:rFonts w:ascii="Times New Roman" w:hAnsi="Times New Roman" w:cs="Times New Roman"/>
          <w:sz w:val="24"/>
          <w:szCs w:val="24"/>
        </w:rPr>
        <w:t>partnerships with international, continental and multilateral agencies.</w:t>
      </w:r>
    </w:p>
    <w:p w:rsidR="001E0380" w:rsidRPr="004A70B7" w:rsidRDefault="001E0380" w:rsidP="004A70B7">
      <w:pPr>
        <w:pStyle w:val="ListParagraph"/>
        <w:numPr>
          <w:ilvl w:val="0"/>
          <w:numId w:val="20"/>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Supporting the technological competitiveness of firms and industry sectors through focussed research and </w:t>
      </w:r>
      <w:proofErr w:type="gramStart"/>
      <w:r w:rsidRPr="004A70B7">
        <w:rPr>
          <w:rFonts w:ascii="Times New Roman" w:hAnsi="Times New Roman" w:cs="Times New Roman"/>
          <w:sz w:val="24"/>
          <w:szCs w:val="24"/>
        </w:rPr>
        <w:t>development</w:t>
      </w:r>
      <w:proofErr w:type="gramEnd"/>
      <w:r w:rsidRPr="004A70B7">
        <w:rPr>
          <w:rFonts w:ascii="Times New Roman" w:hAnsi="Times New Roman" w:cs="Times New Roman"/>
          <w:sz w:val="24"/>
          <w:szCs w:val="24"/>
        </w:rPr>
        <w:t xml:space="preserve"> (R&amp;D) programmes.</w:t>
      </w:r>
    </w:p>
    <w:p w:rsidR="005F24FF" w:rsidRPr="004A70B7" w:rsidRDefault="005F24FF" w:rsidP="004A70B7">
      <w:pPr>
        <w:spacing w:before="240" w:after="240" w:line="240" w:lineRule="auto"/>
        <w:rPr>
          <w:rFonts w:ascii="Times New Roman" w:hAnsi="Times New Roman" w:cs="Times New Roman"/>
        </w:rPr>
      </w:pPr>
    </w:p>
    <w:p w:rsidR="005F24FF" w:rsidRPr="004A70B7" w:rsidRDefault="005F24FF" w:rsidP="004A70B7">
      <w:pPr>
        <w:spacing w:before="240" w:after="240" w:line="240" w:lineRule="auto"/>
        <w:rPr>
          <w:rFonts w:ascii="Times New Roman" w:hAnsi="Times New Roman" w:cs="Times New Roman"/>
        </w:rPr>
      </w:pPr>
      <w:r w:rsidRPr="004A70B7">
        <w:rPr>
          <w:rFonts w:ascii="Times New Roman" w:hAnsi="Times New Roman" w:cs="Times New Roman"/>
        </w:rPr>
        <w:t>Over the next five years, the Department aims to intensify its efforts to exploit and use knowledge for economic and inclusive development, and expand and transform South Africa’s research capability.</w:t>
      </w:r>
    </w:p>
    <w:p w:rsidR="00BF3FAA" w:rsidRPr="004A70B7" w:rsidRDefault="00BF3FAA" w:rsidP="004A70B7">
      <w:pPr>
        <w:pStyle w:val="ListParagraph"/>
        <w:numPr>
          <w:ilvl w:val="1"/>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t>Policy context</w:t>
      </w:r>
    </w:p>
    <w:p w:rsidR="00BF3FAA" w:rsidRPr="004A70B7" w:rsidRDefault="00BF3FAA"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National Development Plan (NDP) characterises STI as crucial for development since countries that have effectively alleviated poverty by growing their economies, have done so by investing in and developing strong STI environments and capabilities. Hence, the NDP states that South Africa’s NSI needs to </w:t>
      </w:r>
      <w:proofErr w:type="gramStart"/>
      <w:r w:rsidRPr="004A70B7">
        <w:rPr>
          <w:rFonts w:ascii="Times New Roman" w:hAnsi="Times New Roman" w:cs="Times New Roman"/>
        </w:rPr>
        <w:t>be expanded</w:t>
      </w:r>
      <w:proofErr w:type="gramEnd"/>
      <w:r w:rsidRPr="004A70B7">
        <w:rPr>
          <w:rFonts w:ascii="Times New Roman" w:hAnsi="Times New Roman" w:cs="Times New Roman"/>
        </w:rPr>
        <w:t xml:space="preserve"> as well as be more effective and, therefore, be aligned with the sectors that will realise the country’s growth objectives. This requires that South Africa invest more in R&amp;D, that the STI institutional arrangement must improve the link between innovation and the productive needs of industry, and that Government should collaborate with the private sector to raise the level of R&amp;D in companies. Furthermore, public investments in research infrastructure should be focussed on and fulfil the needs of a modern economy.</w:t>
      </w:r>
    </w:p>
    <w:p w:rsidR="00BF3FAA" w:rsidRPr="004A70B7" w:rsidRDefault="00BF3FAA"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2014-2019 Medium-Term Strategic Framework (MTSF) represents the first phase of implementation of the NDP and commits Government to 14 key outcomes. The Department contributes to Outcomes </w:t>
      </w:r>
      <w:r w:rsidR="000A6219" w:rsidRPr="004A70B7">
        <w:rPr>
          <w:rFonts w:ascii="Times New Roman" w:hAnsi="Times New Roman" w:cs="Times New Roman"/>
        </w:rPr>
        <w:t>3</w:t>
      </w:r>
      <w:r w:rsidR="00CC6E44" w:rsidRPr="004A70B7">
        <w:rPr>
          <w:rFonts w:ascii="Times New Roman" w:hAnsi="Times New Roman" w:cs="Times New Roman"/>
        </w:rPr>
        <w:t xml:space="preserve">, </w:t>
      </w:r>
      <w:r w:rsidRPr="004A70B7">
        <w:rPr>
          <w:rFonts w:ascii="Times New Roman" w:hAnsi="Times New Roman" w:cs="Times New Roman"/>
        </w:rPr>
        <w:t>4, 5</w:t>
      </w:r>
      <w:r w:rsidR="00CC6E44" w:rsidRPr="004A70B7">
        <w:rPr>
          <w:rFonts w:ascii="Times New Roman" w:hAnsi="Times New Roman" w:cs="Times New Roman"/>
        </w:rPr>
        <w:t>, 6</w:t>
      </w:r>
      <w:r w:rsidRPr="004A70B7">
        <w:rPr>
          <w:rFonts w:ascii="Times New Roman" w:hAnsi="Times New Roman" w:cs="Times New Roman"/>
        </w:rPr>
        <w:t xml:space="preserve"> and 10. </w:t>
      </w:r>
      <w:r w:rsidR="008029D6" w:rsidRPr="004A70B7">
        <w:rPr>
          <w:rFonts w:ascii="Times New Roman" w:hAnsi="Times New Roman" w:cs="Times New Roman"/>
        </w:rPr>
        <w:t>Furthermore, the Department also supports, through a series of initiatives, the Nine-Point Plan, which seeks to increase the rate of South Africa’s economic growth.</w:t>
      </w:r>
      <w:r w:rsidR="004C1E5E" w:rsidRPr="004A70B7">
        <w:rPr>
          <w:rFonts w:ascii="Times New Roman" w:hAnsi="Times New Roman" w:cs="Times New Roman"/>
        </w:rPr>
        <w:t xml:space="preserve"> Specific areas where the Department contributes to the Nine-Point Plan include:</w:t>
      </w:r>
    </w:p>
    <w:p w:rsidR="004C1E5E" w:rsidRPr="004A70B7" w:rsidRDefault="004C1E5E" w:rsidP="004A70B7">
      <w:pPr>
        <w:spacing w:before="240" w:after="240" w:line="240" w:lineRule="auto"/>
        <w:rPr>
          <w:rFonts w:ascii="Times New Roman" w:hAnsi="Times New Roman" w:cs="Times New Roman"/>
        </w:rPr>
      </w:pPr>
    </w:p>
    <w:p w:rsidR="004C1E5E" w:rsidRPr="004A70B7" w:rsidRDefault="004C1E5E" w:rsidP="004A70B7">
      <w:pPr>
        <w:pStyle w:val="ListParagraph"/>
        <w:numPr>
          <w:ilvl w:val="0"/>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Revitalisation of agriculture and agro-processing</w:t>
      </w:r>
      <w:r w:rsidR="002C3EF4" w:rsidRPr="004A70B7">
        <w:rPr>
          <w:rFonts w:ascii="Times New Roman" w:hAnsi="Times New Roman" w:cs="Times New Roman"/>
          <w:sz w:val="24"/>
          <w:szCs w:val="24"/>
        </w:rPr>
        <w:t>.</w:t>
      </w:r>
    </w:p>
    <w:p w:rsidR="004C1E5E" w:rsidRPr="004A70B7" w:rsidRDefault="004C1E5E" w:rsidP="004A70B7">
      <w:pPr>
        <w:pStyle w:val="ListParagraph"/>
        <w:numPr>
          <w:ilvl w:val="0"/>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Increasing the impact of the Industrial Policy Action Plan (IPAP)</w:t>
      </w:r>
      <w:r w:rsidR="002C3EF4" w:rsidRPr="004A70B7">
        <w:rPr>
          <w:rFonts w:ascii="Times New Roman" w:hAnsi="Times New Roman" w:cs="Times New Roman"/>
          <w:sz w:val="24"/>
          <w:szCs w:val="24"/>
        </w:rPr>
        <w:t>.</w:t>
      </w:r>
    </w:p>
    <w:p w:rsidR="004C1E5E" w:rsidRPr="004A70B7" w:rsidRDefault="004C1E5E" w:rsidP="004A70B7">
      <w:pPr>
        <w:pStyle w:val="ListParagraph"/>
        <w:numPr>
          <w:ilvl w:val="0"/>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Beneficiation of mineral wealth</w:t>
      </w:r>
      <w:r w:rsidR="00CF0560" w:rsidRPr="004A70B7">
        <w:rPr>
          <w:rFonts w:ascii="Times New Roman" w:hAnsi="Times New Roman" w:cs="Times New Roman"/>
          <w:sz w:val="24"/>
          <w:szCs w:val="24"/>
        </w:rPr>
        <w:t>.</w:t>
      </w:r>
    </w:p>
    <w:p w:rsidR="004C1E5E" w:rsidRPr="004A70B7" w:rsidRDefault="004C1E5E" w:rsidP="004A70B7">
      <w:pPr>
        <w:pStyle w:val="ListParagraph"/>
        <w:numPr>
          <w:ilvl w:val="0"/>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Unlocking the potential of small </w:t>
      </w:r>
      <w:r w:rsidR="004654C8" w:rsidRPr="004A70B7">
        <w:rPr>
          <w:rFonts w:ascii="Times New Roman" w:hAnsi="Times New Roman" w:cs="Times New Roman"/>
          <w:sz w:val="24"/>
          <w:szCs w:val="24"/>
        </w:rPr>
        <w:t>business</w:t>
      </w:r>
      <w:r w:rsidRPr="004A70B7">
        <w:rPr>
          <w:rFonts w:ascii="Times New Roman" w:hAnsi="Times New Roman" w:cs="Times New Roman"/>
          <w:sz w:val="24"/>
          <w:szCs w:val="24"/>
        </w:rPr>
        <w:t xml:space="preserve"> and rural and township enterprises</w:t>
      </w:r>
      <w:r w:rsidR="00CF0560" w:rsidRPr="004A70B7">
        <w:rPr>
          <w:rFonts w:ascii="Times New Roman" w:hAnsi="Times New Roman" w:cs="Times New Roman"/>
          <w:sz w:val="24"/>
          <w:szCs w:val="24"/>
        </w:rPr>
        <w:t>.</w:t>
      </w:r>
    </w:p>
    <w:p w:rsidR="004C1E5E" w:rsidRPr="004A70B7" w:rsidRDefault="004C1E5E" w:rsidP="004A70B7">
      <w:pPr>
        <w:pStyle w:val="ListParagraph"/>
        <w:numPr>
          <w:ilvl w:val="0"/>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Growing the oceans economy through Operation Phakisa</w:t>
      </w:r>
      <w:r w:rsidR="00CF0560" w:rsidRPr="004A70B7">
        <w:rPr>
          <w:rFonts w:ascii="Times New Roman" w:hAnsi="Times New Roman" w:cs="Times New Roman"/>
          <w:sz w:val="24"/>
          <w:szCs w:val="24"/>
        </w:rPr>
        <w:t>.</w:t>
      </w:r>
    </w:p>
    <w:p w:rsidR="004C1E5E" w:rsidRPr="004A70B7" w:rsidRDefault="004C1E5E" w:rsidP="004A70B7">
      <w:pPr>
        <w:pStyle w:val="ListParagraph"/>
        <w:numPr>
          <w:ilvl w:val="0"/>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lastRenderedPageBreak/>
        <w:t>Resolving the energy challenge by advancing alternative energy sources</w:t>
      </w:r>
      <w:r w:rsidR="00CF0560" w:rsidRPr="004A70B7">
        <w:rPr>
          <w:rFonts w:ascii="Times New Roman" w:hAnsi="Times New Roman" w:cs="Times New Roman"/>
          <w:sz w:val="24"/>
          <w:szCs w:val="24"/>
        </w:rPr>
        <w:t>.</w:t>
      </w:r>
    </w:p>
    <w:p w:rsidR="004C1E5E" w:rsidRPr="004A70B7" w:rsidRDefault="00125C58" w:rsidP="004A70B7">
      <w:pPr>
        <w:pStyle w:val="ListParagraph"/>
        <w:numPr>
          <w:ilvl w:val="0"/>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Scaling-up private sector participation in R&amp;D.</w:t>
      </w:r>
    </w:p>
    <w:p w:rsidR="00BF3FAA" w:rsidRPr="004A70B7" w:rsidRDefault="00BF3FAA" w:rsidP="004A70B7">
      <w:pPr>
        <w:pStyle w:val="ListParagraph"/>
        <w:numPr>
          <w:ilvl w:val="1"/>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t>2015-2020 Strategic outcome-oriented goals</w:t>
      </w:r>
    </w:p>
    <w:p w:rsidR="00BF3FAA" w:rsidRPr="004A70B7" w:rsidRDefault="002C3EF4"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Department’s 2015-2020 Strategic Plan introduced a new vision and mission to articulate what the Government wants to achieve through its investments and efforts in STI. </w:t>
      </w:r>
      <w:r w:rsidR="00BF3FAA" w:rsidRPr="004A70B7">
        <w:rPr>
          <w:rFonts w:ascii="Times New Roman" w:hAnsi="Times New Roman" w:cs="Times New Roman"/>
        </w:rPr>
        <w:t>To position STI within the framework of the NDP, the Department will direct its efforts and resources toward the following five strategic outcome-orientated goals:</w:t>
      </w:r>
    </w:p>
    <w:p w:rsidR="00BF3FAA" w:rsidRPr="004A70B7" w:rsidRDefault="00BF3FAA" w:rsidP="004A70B7">
      <w:pPr>
        <w:spacing w:before="240" w:after="240" w:line="240" w:lineRule="auto"/>
        <w:rPr>
          <w:rFonts w:ascii="Times New Roman" w:hAnsi="Times New Roman" w:cs="Times New Roman"/>
        </w:rPr>
      </w:pPr>
    </w:p>
    <w:p w:rsidR="00BF3FAA" w:rsidRPr="004A70B7" w:rsidRDefault="00BF3FAA" w:rsidP="004A70B7">
      <w:pPr>
        <w:pStyle w:val="ListParagraph"/>
        <w:numPr>
          <w:ilvl w:val="0"/>
          <w:numId w:val="26"/>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Goal 1: Responsive, co-ordinated and efficient NSI – build on previous gains to create a responsive, coordinated and efficient NSI.</w:t>
      </w:r>
    </w:p>
    <w:p w:rsidR="00BF3FAA" w:rsidRPr="004A70B7" w:rsidRDefault="00BF3FAA" w:rsidP="004A70B7">
      <w:pPr>
        <w:pStyle w:val="ListParagraph"/>
        <w:numPr>
          <w:ilvl w:val="0"/>
          <w:numId w:val="26"/>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Goal 2: Increased knowledge generation – maintain and increase the relative contribution of South African researchers to global scientific output.</w:t>
      </w:r>
    </w:p>
    <w:p w:rsidR="00BF3FAA" w:rsidRPr="004A70B7" w:rsidRDefault="00BF3FAA" w:rsidP="004A70B7">
      <w:pPr>
        <w:pStyle w:val="ListParagraph"/>
        <w:numPr>
          <w:ilvl w:val="0"/>
          <w:numId w:val="26"/>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Goal 3: Human capital development – increase the number of high-level graduates and improve their </w:t>
      </w:r>
      <w:proofErr w:type="spellStart"/>
      <w:r w:rsidRPr="004A70B7">
        <w:rPr>
          <w:rFonts w:ascii="Times New Roman" w:hAnsi="Times New Roman" w:cs="Times New Roman"/>
          <w:sz w:val="24"/>
          <w:szCs w:val="24"/>
        </w:rPr>
        <w:t>representivity</w:t>
      </w:r>
      <w:proofErr w:type="spellEnd"/>
      <w:r w:rsidRPr="004A70B7">
        <w:rPr>
          <w:rFonts w:ascii="Times New Roman" w:hAnsi="Times New Roman" w:cs="Times New Roman"/>
          <w:sz w:val="24"/>
          <w:szCs w:val="24"/>
        </w:rPr>
        <w:t>.</w:t>
      </w:r>
    </w:p>
    <w:p w:rsidR="00BF3FAA" w:rsidRPr="004A70B7" w:rsidRDefault="00BF3FAA" w:rsidP="004A70B7">
      <w:pPr>
        <w:pStyle w:val="ListParagraph"/>
        <w:numPr>
          <w:ilvl w:val="0"/>
          <w:numId w:val="26"/>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Goal 4: Using knowledge for economic development – derive a greater share of economic growth from R&amp;D-based opportunities and partnerships.</w:t>
      </w:r>
    </w:p>
    <w:p w:rsidR="00BF3FAA" w:rsidRPr="004A70B7" w:rsidRDefault="00BF3FAA" w:rsidP="004A70B7">
      <w:pPr>
        <w:pStyle w:val="ListParagraph"/>
        <w:numPr>
          <w:ilvl w:val="0"/>
          <w:numId w:val="26"/>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Goal 5: Knowledge utilisation for inclusive development – accelerate inclusive development through scientific knowledge, evidence and appropriate technology.</w:t>
      </w:r>
    </w:p>
    <w:p w:rsidR="004654C8" w:rsidRPr="004A70B7" w:rsidRDefault="004654C8" w:rsidP="004A70B7">
      <w:pPr>
        <w:tabs>
          <w:tab w:val="left" w:pos="2422"/>
        </w:tabs>
        <w:spacing w:before="240" w:after="240" w:line="240" w:lineRule="auto"/>
        <w:rPr>
          <w:rFonts w:ascii="Times New Roman" w:hAnsi="Times New Roman" w:cs="Times New Roman"/>
        </w:rPr>
      </w:pPr>
      <w:r w:rsidRPr="004A70B7">
        <w:rPr>
          <w:rFonts w:ascii="Times New Roman" w:hAnsi="Times New Roman" w:cs="Times New Roman"/>
        </w:rPr>
        <w:t xml:space="preserve">The Department </w:t>
      </w:r>
      <w:r w:rsidR="002F4205" w:rsidRPr="004A70B7">
        <w:rPr>
          <w:rFonts w:ascii="Times New Roman" w:hAnsi="Times New Roman" w:cs="Times New Roman"/>
        </w:rPr>
        <w:t xml:space="preserve">prioritised </w:t>
      </w:r>
      <w:r w:rsidRPr="004A70B7">
        <w:rPr>
          <w:rFonts w:ascii="Times New Roman" w:hAnsi="Times New Roman" w:cs="Times New Roman"/>
        </w:rPr>
        <w:t>the following policy initiatives</w:t>
      </w:r>
      <w:r w:rsidR="002F4205" w:rsidRPr="004A70B7">
        <w:rPr>
          <w:rFonts w:ascii="Times New Roman" w:hAnsi="Times New Roman" w:cs="Times New Roman"/>
        </w:rPr>
        <w:t xml:space="preserve"> for the 2017/18 fiscal year</w:t>
      </w:r>
      <w:r w:rsidRPr="004A70B7">
        <w:rPr>
          <w:rFonts w:ascii="Times New Roman" w:hAnsi="Times New Roman" w:cs="Times New Roman"/>
        </w:rPr>
        <w:t>:</w:t>
      </w:r>
    </w:p>
    <w:p w:rsidR="00116B3A" w:rsidRPr="004A70B7" w:rsidRDefault="00116B3A" w:rsidP="004A70B7">
      <w:pPr>
        <w:numPr>
          <w:ilvl w:val="0"/>
          <w:numId w:val="39"/>
        </w:numPr>
        <w:spacing w:before="240" w:after="240" w:line="240" w:lineRule="auto"/>
        <w:rPr>
          <w:rFonts w:ascii="Times New Roman" w:hAnsi="Times New Roman" w:cs="Times New Roman"/>
          <w:bCs/>
        </w:rPr>
      </w:pPr>
      <w:r w:rsidRPr="004A70B7">
        <w:rPr>
          <w:rFonts w:ascii="Times New Roman" w:hAnsi="Times New Roman" w:cs="Times New Roman"/>
          <w:bCs/>
        </w:rPr>
        <w:t>Establishment of a Sovereign Innovation Fund</w:t>
      </w:r>
    </w:p>
    <w:p w:rsidR="00116B3A" w:rsidRPr="004A70B7" w:rsidRDefault="00116B3A" w:rsidP="004A70B7">
      <w:pPr>
        <w:numPr>
          <w:ilvl w:val="0"/>
          <w:numId w:val="39"/>
        </w:numPr>
        <w:spacing w:before="240" w:after="240" w:line="240" w:lineRule="auto"/>
        <w:rPr>
          <w:rFonts w:ascii="Times New Roman" w:hAnsi="Times New Roman" w:cs="Times New Roman"/>
          <w:bCs/>
        </w:rPr>
      </w:pPr>
      <w:r w:rsidRPr="004A70B7">
        <w:rPr>
          <w:rFonts w:ascii="Times New Roman" w:hAnsi="Times New Roman" w:cs="Times New Roman"/>
          <w:bCs/>
        </w:rPr>
        <w:t>Expansion of the Sector Innovation Funds</w:t>
      </w:r>
    </w:p>
    <w:p w:rsidR="00116B3A" w:rsidRPr="004A70B7" w:rsidRDefault="00116B3A" w:rsidP="004A70B7">
      <w:pPr>
        <w:numPr>
          <w:ilvl w:val="0"/>
          <w:numId w:val="39"/>
        </w:numPr>
        <w:spacing w:before="240" w:after="240" w:line="240" w:lineRule="auto"/>
        <w:rPr>
          <w:rFonts w:ascii="Times New Roman" w:hAnsi="Times New Roman" w:cs="Times New Roman"/>
          <w:bCs/>
        </w:rPr>
      </w:pPr>
      <w:r w:rsidRPr="004A70B7">
        <w:rPr>
          <w:rFonts w:ascii="Times New Roman" w:hAnsi="Times New Roman" w:cs="Times New Roman"/>
          <w:bCs/>
        </w:rPr>
        <w:t>Review of the Intellectual Property Rights from Publicly Financed Research and Development Act</w:t>
      </w:r>
    </w:p>
    <w:p w:rsidR="00116B3A" w:rsidRPr="004A70B7" w:rsidRDefault="00116B3A" w:rsidP="004A70B7">
      <w:pPr>
        <w:numPr>
          <w:ilvl w:val="0"/>
          <w:numId w:val="39"/>
        </w:numPr>
        <w:spacing w:before="240" w:after="240" w:line="240" w:lineRule="auto"/>
        <w:rPr>
          <w:rFonts w:ascii="Times New Roman" w:hAnsi="Times New Roman" w:cs="Times New Roman"/>
          <w:bCs/>
        </w:rPr>
      </w:pPr>
      <w:r w:rsidRPr="004A70B7">
        <w:rPr>
          <w:rFonts w:ascii="Times New Roman" w:hAnsi="Times New Roman" w:cs="Times New Roman"/>
          <w:bCs/>
        </w:rPr>
        <w:t>Expansion of Hydrogen South Africa Programme</w:t>
      </w:r>
    </w:p>
    <w:p w:rsidR="00116B3A" w:rsidRPr="004A70B7" w:rsidRDefault="00116B3A" w:rsidP="004A70B7">
      <w:pPr>
        <w:numPr>
          <w:ilvl w:val="0"/>
          <w:numId w:val="39"/>
        </w:numPr>
        <w:spacing w:before="240" w:after="240" w:line="240" w:lineRule="auto"/>
        <w:rPr>
          <w:rFonts w:ascii="Times New Roman" w:hAnsi="Times New Roman" w:cs="Times New Roman"/>
          <w:bCs/>
        </w:rPr>
      </w:pPr>
      <w:r w:rsidRPr="004A70B7">
        <w:rPr>
          <w:rFonts w:ascii="Times New Roman" w:hAnsi="Times New Roman" w:cs="Times New Roman"/>
          <w:bCs/>
        </w:rPr>
        <w:t xml:space="preserve">Finalisation of the Innovation for Inclusive Development Strategy </w:t>
      </w:r>
    </w:p>
    <w:p w:rsidR="00116B3A" w:rsidRPr="004A70B7" w:rsidRDefault="00116B3A" w:rsidP="004A70B7">
      <w:pPr>
        <w:numPr>
          <w:ilvl w:val="0"/>
          <w:numId w:val="39"/>
        </w:numPr>
        <w:spacing w:before="240" w:after="240" w:line="240" w:lineRule="auto"/>
        <w:rPr>
          <w:rFonts w:ascii="Times New Roman" w:hAnsi="Times New Roman" w:cs="Times New Roman"/>
          <w:bCs/>
        </w:rPr>
      </w:pPr>
      <w:r w:rsidRPr="004A70B7">
        <w:rPr>
          <w:rFonts w:ascii="Times New Roman" w:hAnsi="Times New Roman" w:cs="Times New Roman"/>
          <w:bCs/>
        </w:rPr>
        <w:t>Development of a new White Paper on Science, Technology and Innovation (STI) and the finalisation of the Science, Technology and Innovation Institutional Landscape Review (STIIL)</w:t>
      </w:r>
    </w:p>
    <w:p w:rsidR="00116B3A" w:rsidRPr="004A70B7" w:rsidRDefault="00116B3A" w:rsidP="004A70B7">
      <w:pPr>
        <w:numPr>
          <w:ilvl w:val="0"/>
          <w:numId w:val="39"/>
        </w:numPr>
        <w:spacing w:before="240" w:after="240" w:line="240" w:lineRule="auto"/>
        <w:rPr>
          <w:rFonts w:ascii="Times New Roman" w:hAnsi="Times New Roman" w:cs="Times New Roman"/>
          <w:bCs/>
        </w:rPr>
      </w:pPr>
      <w:r w:rsidRPr="004A70B7">
        <w:rPr>
          <w:rFonts w:ascii="Times New Roman" w:hAnsi="Times New Roman" w:cs="Times New Roman"/>
          <w:bCs/>
        </w:rPr>
        <w:t xml:space="preserve">Completion of 64 </w:t>
      </w:r>
      <w:proofErr w:type="spellStart"/>
      <w:r w:rsidRPr="004A70B7">
        <w:rPr>
          <w:rFonts w:ascii="Times New Roman" w:hAnsi="Times New Roman" w:cs="Times New Roman"/>
          <w:bCs/>
        </w:rPr>
        <w:t>MeerKAT</w:t>
      </w:r>
      <w:proofErr w:type="spellEnd"/>
      <w:r w:rsidRPr="004A70B7">
        <w:rPr>
          <w:rFonts w:ascii="Times New Roman" w:hAnsi="Times New Roman" w:cs="Times New Roman"/>
          <w:bCs/>
        </w:rPr>
        <w:t xml:space="preserve"> antennae commissioned for a single polarisation array.</w:t>
      </w:r>
    </w:p>
    <w:p w:rsidR="004654C8" w:rsidRPr="004A70B7" w:rsidRDefault="004654C8" w:rsidP="004A70B7">
      <w:pPr>
        <w:tabs>
          <w:tab w:val="left" w:pos="2422"/>
        </w:tabs>
        <w:spacing w:before="240" w:after="240" w:line="240" w:lineRule="auto"/>
        <w:rPr>
          <w:rFonts w:ascii="Times New Roman" w:hAnsi="Times New Roman" w:cs="Times New Roman"/>
        </w:rPr>
      </w:pPr>
    </w:p>
    <w:p w:rsidR="00B70329" w:rsidRPr="004A70B7" w:rsidRDefault="00B70329" w:rsidP="004A70B7">
      <w:pPr>
        <w:pStyle w:val="ListParagraph"/>
        <w:numPr>
          <w:ilvl w:val="0"/>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lastRenderedPageBreak/>
        <w:t>Overview of Budget Vote 30: Science and Technology (201</w:t>
      </w:r>
      <w:r w:rsidR="00C86370" w:rsidRPr="004A70B7">
        <w:rPr>
          <w:rFonts w:ascii="Times New Roman" w:hAnsi="Times New Roman" w:cs="Times New Roman"/>
          <w:b/>
          <w:sz w:val="24"/>
          <w:szCs w:val="24"/>
        </w:rPr>
        <w:t>7</w:t>
      </w:r>
      <w:r w:rsidRPr="004A70B7">
        <w:rPr>
          <w:rFonts w:ascii="Times New Roman" w:hAnsi="Times New Roman" w:cs="Times New Roman"/>
          <w:b/>
          <w:sz w:val="24"/>
          <w:szCs w:val="24"/>
        </w:rPr>
        <w:t>/1</w:t>
      </w:r>
      <w:r w:rsidR="00C86370" w:rsidRPr="004A70B7">
        <w:rPr>
          <w:rFonts w:ascii="Times New Roman" w:hAnsi="Times New Roman" w:cs="Times New Roman"/>
          <w:b/>
          <w:sz w:val="24"/>
          <w:szCs w:val="24"/>
        </w:rPr>
        <w:t>8</w:t>
      </w:r>
      <w:r w:rsidRPr="004A70B7">
        <w:rPr>
          <w:rFonts w:ascii="Times New Roman" w:hAnsi="Times New Roman" w:cs="Times New Roman"/>
          <w:b/>
          <w:sz w:val="24"/>
          <w:szCs w:val="24"/>
        </w:rPr>
        <w:t>)</w:t>
      </w:r>
    </w:p>
    <w:p w:rsidR="007462CA" w:rsidRPr="004A70B7" w:rsidRDefault="001D0242"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w:t>
      </w:r>
      <w:r w:rsidR="004B4586" w:rsidRPr="004A70B7">
        <w:rPr>
          <w:rFonts w:ascii="Times New Roman" w:hAnsi="Times New Roman" w:cs="Times New Roman"/>
        </w:rPr>
        <w:t xml:space="preserve">National </w:t>
      </w:r>
      <w:r w:rsidRPr="004A70B7">
        <w:rPr>
          <w:rFonts w:ascii="Times New Roman" w:hAnsi="Times New Roman" w:cs="Times New Roman"/>
        </w:rPr>
        <w:t xml:space="preserve">Budget </w:t>
      </w:r>
      <w:proofErr w:type="gramStart"/>
      <w:r w:rsidRPr="004A70B7">
        <w:rPr>
          <w:rFonts w:ascii="Times New Roman" w:hAnsi="Times New Roman" w:cs="Times New Roman"/>
        </w:rPr>
        <w:t>was tabled</w:t>
      </w:r>
      <w:proofErr w:type="gramEnd"/>
      <w:r w:rsidRPr="004A70B7">
        <w:rPr>
          <w:rFonts w:ascii="Times New Roman" w:hAnsi="Times New Roman" w:cs="Times New Roman"/>
        </w:rPr>
        <w:t xml:space="preserve"> amid great concerns around South Africa’s growth and investment potential and the crucial need to limit national debt. </w:t>
      </w:r>
      <w:r w:rsidR="00100242" w:rsidRPr="004A70B7">
        <w:rPr>
          <w:rFonts w:ascii="Times New Roman" w:hAnsi="Times New Roman" w:cs="Times New Roman"/>
        </w:rPr>
        <w:t>In light of these fiscal concerns and d</w:t>
      </w:r>
      <w:r w:rsidR="00FF1F94" w:rsidRPr="004A70B7">
        <w:rPr>
          <w:rFonts w:ascii="Times New Roman" w:hAnsi="Times New Roman" w:cs="Times New Roman"/>
        </w:rPr>
        <w:t xml:space="preserve">espite </w:t>
      </w:r>
      <w:r w:rsidR="00100242" w:rsidRPr="004A70B7">
        <w:rPr>
          <w:rFonts w:ascii="Times New Roman" w:hAnsi="Times New Roman" w:cs="Times New Roman"/>
        </w:rPr>
        <w:t xml:space="preserve">the Department </w:t>
      </w:r>
      <w:r w:rsidR="00FF1F94" w:rsidRPr="004A70B7">
        <w:rPr>
          <w:rFonts w:ascii="Times New Roman" w:hAnsi="Times New Roman" w:cs="Times New Roman"/>
        </w:rPr>
        <w:t xml:space="preserve">having a huge mandate to fulfil </w:t>
      </w:r>
      <w:r w:rsidR="00100242" w:rsidRPr="004A70B7">
        <w:rPr>
          <w:rFonts w:ascii="Times New Roman" w:hAnsi="Times New Roman" w:cs="Times New Roman"/>
        </w:rPr>
        <w:t>with</w:t>
      </w:r>
      <w:r w:rsidR="00FF1F94" w:rsidRPr="004A70B7">
        <w:rPr>
          <w:rFonts w:ascii="Times New Roman" w:hAnsi="Times New Roman" w:cs="Times New Roman"/>
        </w:rPr>
        <w:t xml:space="preserve"> great expectations for the value that STI will bring to the</w:t>
      </w:r>
      <w:r w:rsidR="00100242" w:rsidRPr="004A70B7">
        <w:rPr>
          <w:rFonts w:ascii="Times New Roman" w:hAnsi="Times New Roman" w:cs="Times New Roman"/>
        </w:rPr>
        <w:t xml:space="preserve"> economy and livelihoods of South Africans; the </w:t>
      </w:r>
      <w:r w:rsidR="00D6605B" w:rsidRPr="004A70B7">
        <w:rPr>
          <w:rFonts w:ascii="Times New Roman" w:hAnsi="Times New Roman" w:cs="Times New Roman"/>
        </w:rPr>
        <w:t xml:space="preserve">Department’s budget has decreased </w:t>
      </w:r>
      <w:r w:rsidR="00100242" w:rsidRPr="004A70B7">
        <w:rPr>
          <w:rFonts w:ascii="Times New Roman" w:hAnsi="Times New Roman" w:cs="Times New Roman"/>
        </w:rPr>
        <w:t>by R3</w:t>
      </w:r>
      <w:r w:rsidR="00857428" w:rsidRPr="004A70B7">
        <w:rPr>
          <w:rFonts w:ascii="Times New Roman" w:hAnsi="Times New Roman" w:cs="Times New Roman"/>
        </w:rPr>
        <w:t>19.7</w:t>
      </w:r>
      <w:r w:rsidR="00100242" w:rsidRPr="004A70B7">
        <w:rPr>
          <w:rFonts w:ascii="Times New Roman" w:hAnsi="Times New Roman" w:cs="Times New Roman"/>
        </w:rPr>
        <w:t xml:space="preserve"> million</w:t>
      </w:r>
      <w:r w:rsidR="00D6605B" w:rsidRPr="004A70B7">
        <w:rPr>
          <w:rFonts w:ascii="Times New Roman" w:hAnsi="Times New Roman" w:cs="Times New Roman"/>
        </w:rPr>
        <w:t xml:space="preserve"> in the 201</w:t>
      </w:r>
      <w:r w:rsidR="00857428" w:rsidRPr="004A70B7">
        <w:rPr>
          <w:rFonts w:ascii="Times New Roman" w:hAnsi="Times New Roman" w:cs="Times New Roman"/>
        </w:rPr>
        <w:t>7</w:t>
      </w:r>
      <w:r w:rsidR="00D6605B" w:rsidRPr="004A70B7">
        <w:rPr>
          <w:rFonts w:ascii="Times New Roman" w:hAnsi="Times New Roman" w:cs="Times New Roman"/>
        </w:rPr>
        <w:t>/1</w:t>
      </w:r>
      <w:r w:rsidR="00857428" w:rsidRPr="004A70B7">
        <w:rPr>
          <w:rFonts w:ascii="Times New Roman" w:hAnsi="Times New Roman" w:cs="Times New Roman"/>
        </w:rPr>
        <w:t>8</w:t>
      </w:r>
      <w:r w:rsidR="00D6605B" w:rsidRPr="004A70B7">
        <w:rPr>
          <w:rFonts w:ascii="Times New Roman" w:hAnsi="Times New Roman" w:cs="Times New Roman"/>
        </w:rPr>
        <w:t xml:space="preserve"> financial year. </w:t>
      </w:r>
      <w:r w:rsidR="00857428" w:rsidRPr="004A70B7">
        <w:rPr>
          <w:rFonts w:ascii="Times New Roman" w:hAnsi="Times New Roman" w:cs="Times New Roman"/>
        </w:rPr>
        <w:t xml:space="preserve"> For the 2017/18 financial year, the total budget allocation is R7.6 </w:t>
      </w:r>
      <w:proofErr w:type="gramStart"/>
      <w:r w:rsidR="00857428" w:rsidRPr="004A70B7">
        <w:rPr>
          <w:rFonts w:ascii="Times New Roman" w:hAnsi="Times New Roman" w:cs="Times New Roman"/>
        </w:rPr>
        <w:t>billion</w:t>
      </w:r>
      <w:proofErr w:type="gramEnd"/>
      <w:r w:rsidR="00857428" w:rsidRPr="004A70B7">
        <w:rPr>
          <w:rFonts w:ascii="Times New Roman" w:hAnsi="Times New Roman" w:cs="Times New Roman"/>
        </w:rPr>
        <w:t xml:space="preserve">. During the 2016/17 financial </w:t>
      </w:r>
      <w:proofErr w:type="gramStart"/>
      <w:r w:rsidR="00857428" w:rsidRPr="004A70B7">
        <w:rPr>
          <w:rFonts w:ascii="Times New Roman" w:hAnsi="Times New Roman" w:cs="Times New Roman"/>
        </w:rPr>
        <w:t>year</w:t>
      </w:r>
      <w:proofErr w:type="gramEnd"/>
      <w:r w:rsidR="00857428" w:rsidRPr="004A70B7">
        <w:rPr>
          <w:rFonts w:ascii="Times New Roman" w:hAnsi="Times New Roman" w:cs="Times New Roman"/>
        </w:rPr>
        <w:t xml:space="preserve"> the adjusted budget was R7.4 billion. While there has been a nominal increase of 1.7 percent, compared to 201/17, when considering the inflation rate, there is in fact a decrease in the budget allocation of 4.3 percent. </w:t>
      </w:r>
      <w:r w:rsidR="001D6F20" w:rsidRPr="004A70B7">
        <w:rPr>
          <w:rFonts w:ascii="Times New Roman" w:hAnsi="Times New Roman" w:cs="Times New Roman"/>
        </w:rPr>
        <w:t xml:space="preserve">Further </w:t>
      </w:r>
      <w:r w:rsidR="003872A4" w:rsidRPr="004A70B7">
        <w:rPr>
          <w:rFonts w:ascii="Times New Roman" w:hAnsi="Times New Roman" w:cs="Times New Roman"/>
        </w:rPr>
        <w:t xml:space="preserve">reductions </w:t>
      </w:r>
      <w:r w:rsidR="0068128B" w:rsidRPr="004A70B7">
        <w:rPr>
          <w:rFonts w:ascii="Times New Roman" w:hAnsi="Times New Roman" w:cs="Times New Roman"/>
        </w:rPr>
        <w:t xml:space="preserve">in particular programmes, salaries and goods and services </w:t>
      </w:r>
      <w:r w:rsidR="003872A4" w:rsidRPr="004A70B7">
        <w:rPr>
          <w:rFonts w:ascii="Times New Roman" w:hAnsi="Times New Roman" w:cs="Times New Roman"/>
        </w:rPr>
        <w:t xml:space="preserve">form part of the effort to lower the </w:t>
      </w:r>
      <w:r w:rsidR="001D6F20" w:rsidRPr="004A70B7">
        <w:rPr>
          <w:rFonts w:ascii="Times New Roman" w:hAnsi="Times New Roman" w:cs="Times New Roman"/>
        </w:rPr>
        <w:t xml:space="preserve">public service wage bill and the </w:t>
      </w:r>
      <w:r w:rsidR="003872A4" w:rsidRPr="004A70B7">
        <w:rPr>
          <w:rFonts w:ascii="Times New Roman" w:hAnsi="Times New Roman" w:cs="Times New Roman"/>
        </w:rPr>
        <w:t>national expenditure ceiling.</w:t>
      </w:r>
    </w:p>
    <w:p w:rsidR="007A06CD" w:rsidRPr="004A70B7" w:rsidRDefault="001A0371" w:rsidP="004A70B7">
      <w:pPr>
        <w:pStyle w:val="ListParagraph"/>
        <w:numPr>
          <w:ilvl w:val="1"/>
          <w:numId w:val="16"/>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b/>
          <w:sz w:val="24"/>
          <w:szCs w:val="24"/>
        </w:rPr>
        <w:t>201</w:t>
      </w:r>
      <w:r w:rsidR="00116B3A" w:rsidRPr="004A70B7">
        <w:rPr>
          <w:rFonts w:ascii="Times New Roman" w:hAnsi="Times New Roman" w:cs="Times New Roman"/>
          <w:b/>
          <w:sz w:val="24"/>
          <w:szCs w:val="24"/>
        </w:rPr>
        <w:t>7</w:t>
      </w:r>
      <w:r w:rsidRPr="004A70B7">
        <w:rPr>
          <w:rFonts w:ascii="Times New Roman" w:hAnsi="Times New Roman" w:cs="Times New Roman"/>
          <w:b/>
          <w:sz w:val="24"/>
          <w:szCs w:val="24"/>
        </w:rPr>
        <w:t>/1</w:t>
      </w:r>
      <w:r w:rsidR="00116B3A" w:rsidRPr="004A70B7">
        <w:rPr>
          <w:rFonts w:ascii="Times New Roman" w:hAnsi="Times New Roman" w:cs="Times New Roman"/>
          <w:b/>
          <w:sz w:val="24"/>
          <w:szCs w:val="24"/>
        </w:rPr>
        <w:t>8</w:t>
      </w:r>
      <w:r w:rsidRPr="004A70B7">
        <w:rPr>
          <w:rFonts w:ascii="Times New Roman" w:hAnsi="Times New Roman" w:cs="Times New Roman"/>
          <w:b/>
          <w:sz w:val="24"/>
          <w:szCs w:val="24"/>
        </w:rPr>
        <w:t xml:space="preserve"> Budget allocation per Programme</w:t>
      </w:r>
    </w:p>
    <w:p w:rsidR="00FF1F94" w:rsidRPr="004A70B7" w:rsidRDefault="00FF1F94" w:rsidP="004A70B7">
      <w:pPr>
        <w:spacing w:before="240" w:after="240" w:line="240" w:lineRule="auto"/>
        <w:rPr>
          <w:rFonts w:ascii="Times New Roman" w:hAnsi="Times New Roman" w:cs="Times New Roman"/>
        </w:rPr>
      </w:pPr>
      <w:r w:rsidRPr="004A70B7">
        <w:rPr>
          <w:rFonts w:ascii="Times New Roman" w:hAnsi="Times New Roman" w:cs="Times New Roman"/>
        </w:rPr>
        <w:t>The Department’s budget funds five major programmes</w:t>
      </w:r>
      <w:r w:rsidR="00046E32" w:rsidRPr="004A70B7">
        <w:rPr>
          <w:rFonts w:ascii="Times New Roman" w:hAnsi="Times New Roman" w:cs="Times New Roman"/>
        </w:rPr>
        <w:t>,</w:t>
      </w:r>
      <w:r w:rsidRPr="004A70B7">
        <w:rPr>
          <w:rFonts w:ascii="Times New Roman" w:hAnsi="Times New Roman" w:cs="Times New Roman"/>
        </w:rPr>
        <w:t xml:space="preserve"> namely:</w:t>
      </w:r>
    </w:p>
    <w:p w:rsidR="00FF1F94" w:rsidRPr="004A70B7" w:rsidRDefault="00FF1F94" w:rsidP="004A70B7">
      <w:pPr>
        <w:pStyle w:val="ListParagraph"/>
        <w:numPr>
          <w:ilvl w:val="1"/>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Programme 1 – Administration</w:t>
      </w:r>
    </w:p>
    <w:p w:rsidR="00FF1F94" w:rsidRPr="004A70B7" w:rsidRDefault="00FF1F94" w:rsidP="004A70B7">
      <w:pPr>
        <w:pStyle w:val="ListParagraph"/>
        <w:numPr>
          <w:ilvl w:val="1"/>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Programme 2 – Technology Innovation</w:t>
      </w:r>
    </w:p>
    <w:p w:rsidR="00FF1F94" w:rsidRPr="004A70B7" w:rsidRDefault="00FF1F94" w:rsidP="004A70B7">
      <w:pPr>
        <w:pStyle w:val="ListParagraph"/>
        <w:numPr>
          <w:ilvl w:val="1"/>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Programme 3 – International Cooperation and Resources</w:t>
      </w:r>
    </w:p>
    <w:p w:rsidR="00FF1F94" w:rsidRPr="004A70B7" w:rsidRDefault="00FF1F94" w:rsidP="004A70B7">
      <w:pPr>
        <w:pStyle w:val="ListParagraph"/>
        <w:numPr>
          <w:ilvl w:val="1"/>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Programme 4 – Research, Development and Support</w:t>
      </w:r>
    </w:p>
    <w:tbl>
      <w:tblPr>
        <w:tblpPr w:leftFromText="180" w:rightFromText="180" w:vertAnchor="text" w:horzAnchor="page" w:tblpX="451" w:tblpY="305"/>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848"/>
        <w:gridCol w:w="1056"/>
        <w:gridCol w:w="1003"/>
        <w:gridCol w:w="1003"/>
        <w:gridCol w:w="1003"/>
      </w:tblGrid>
      <w:tr w:rsidR="004A70B7" w:rsidRPr="004A70B7" w:rsidTr="004A70B7">
        <w:tc>
          <w:tcPr>
            <w:tcW w:w="4590" w:type="dxa"/>
            <w:vMerge w:val="restart"/>
            <w:shd w:val="clear" w:color="auto" w:fill="auto"/>
          </w:tcPr>
          <w:p w:rsidR="004A70B7" w:rsidRPr="004A70B7" w:rsidRDefault="004A70B7" w:rsidP="004A70B7">
            <w:pPr>
              <w:spacing w:before="240" w:after="240" w:line="240" w:lineRule="auto"/>
              <w:ind w:left="342"/>
              <w:rPr>
                <w:rFonts w:ascii="Times New Roman" w:hAnsi="Times New Roman" w:cs="Times New Roman"/>
                <w:b/>
              </w:rPr>
            </w:pPr>
            <w:r w:rsidRPr="004A70B7">
              <w:rPr>
                <w:rFonts w:ascii="Times New Roman" w:hAnsi="Times New Roman" w:cs="Times New Roman"/>
                <w:b/>
              </w:rPr>
              <w:t>Indicator</w:t>
            </w:r>
          </w:p>
        </w:tc>
        <w:tc>
          <w:tcPr>
            <w:tcW w:w="0" w:type="auto"/>
            <w:vMerge w:val="restart"/>
          </w:tcPr>
          <w:p w:rsidR="004A70B7" w:rsidRPr="004A70B7" w:rsidRDefault="004A70B7" w:rsidP="004A70B7">
            <w:pPr>
              <w:tabs>
                <w:tab w:val="left" w:pos="840"/>
              </w:tabs>
              <w:spacing w:before="240" w:after="240" w:line="240" w:lineRule="auto"/>
              <w:jc w:val="center"/>
              <w:rPr>
                <w:rFonts w:ascii="Times New Roman" w:hAnsi="Times New Roman" w:cs="Times New Roman"/>
                <w:b/>
              </w:rPr>
            </w:pPr>
            <w:r w:rsidRPr="004A70B7">
              <w:rPr>
                <w:rFonts w:ascii="Times New Roman" w:hAnsi="Times New Roman" w:cs="Times New Roman"/>
                <w:b/>
              </w:rPr>
              <w:t>Programme</w:t>
            </w:r>
          </w:p>
        </w:tc>
        <w:tc>
          <w:tcPr>
            <w:tcW w:w="0" w:type="auto"/>
            <w:shd w:val="clear" w:color="auto" w:fill="auto"/>
          </w:tcPr>
          <w:p w:rsidR="004A70B7" w:rsidRPr="004A70B7" w:rsidRDefault="004A70B7" w:rsidP="004A70B7">
            <w:pPr>
              <w:tabs>
                <w:tab w:val="left" w:pos="840"/>
              </w:tabs>
              <w:spacing w:before="240" w:after="240" w:line="240" w:lineRule="auto"/>
              <w:jc w:val="center"/>
              <w:rPr>
                <w:rFonts w:ascii="Times New Roman" w:hAnsi="Times New Roman" w:cs="Times New Roman"/>
                <w:b/>
              </w:rPr>
            </w:pPr>
            <w:r w:rsidRPr="004A70B7">
              <w:rPr>
                <w:rFonts w:ascii="Times New Roman" w:hAnsi="Times New Roman" w:cs="Times New Roman"/>
                <w:b/>
              </w:rPr>
              <w:t>Current</w:t>
            </w:r>
          </w:p>
        </w:tc>
        <w:tc>
          <w:tcPr>
            <w:tcW w:w="0" w:type="auto"/>
            <w:gridSpan w:val="3"/>
            <w:shd w:val="clear" w:color="auto" w:fill="auto"/>
          </w:tcPr>
          <w:p w:rsidR="004A70B7" w:rsidRPr="004A70B7" w:rsidRDefault="004A70B7" w:rsidP="004A70B7">
            <w:pPr>
              <w:spacing w:before="240" w:after="240" w:line="240" w:lineRule="auto"/>
              <w:jc w:val="center"/>
              <w:rPr>
                <w:rFonts w:ascii="Times New Roman" w:hAnsi="Times New Roman" w:cs="Times New Roman"/>
                <w:b/>
              </w:rPr>
            </w:pPr>
            <w:r w:rsidRPr="004A70B7">
              <w:rPr>
                <w:rFonts w:ascii="Times New Roman" w:hAnsi="Times New Roman" w:cs="Times New Roman"/>
                <w:b/>
              </w:rPr>
              <w:t>Projections</w:t>
            </w:r>
          </w:p>
        </w:tc>
      </w:tr>
      <w:tr w:rsidR="004A70B7" w:rsidRPr="004A70B7" w:rsidTr="004A70B7">
        <w:tc>
          <w:tcPr>
            <w:tcW w:w="4590" w:type="dxa"/>
            <w:vMerge/>
            <w:shd w:val="clear" w:color="auto" w:fill="auto"/>
          </w:tcPr>
          <w:p w:rsidR="004A70B7" w:rsidRPr="004A70B7" w:rsidRDefault="004A70B7" w:rsidP="004A70B7">
            <w:pPr>
              <w:spacing w:before="240" w:after="240" w:line="240" w:lineRule="auto"/>
              <w:rPr>
                <w:rFonts w:ascii="Times New Roman" w:hAnsi="Times New Roman" w:cs="Times New Roman"/>
                <w:b/>
              </w:rPr>
            </w:pPr>
          </w:p>
        </w:tc>
        <w:tc>
          <w:tcPr>
            <w:tcW w:w="0" w:type="auto"/>
            <w:vMerge/>
          </w:tcPr>
          <w:p w:rsidR="004A70B7" w:rsidRPr="004A70B7" w:rsidRDefault="004A70B7" w:rsidP="004A70B7">
            <w:pPr>
              <w:spacing w:before="240" w:after="240" w:line="240" w:lineRule="auto"/>
              <w:rPr>
                <w:rFonts w:ascii="Times New Roman" w:hAnsi="Times New Roman" w:cs="Times New Roman"/>
                <w:b/>
              </w:rPr>
            </w:pPr>
          </w:p>
        </w:tc>
        <w:tc>
          <w:tcPr>
            <w:tcW w:w="0" w:type="auto"/>
            <w:shd w:val="clear" w:color="auto" w:fill="auto"/>
          </w:tcPr>
          <w:p w:rsidR="004A70B7" w:rsidRPr="004A70B7" w:rsidRDefault="004A70B7" w:rsidP="004A70B7">
            <w:pPr>
              <w:spacing w:before="240" w:after="240" w:line="240" w:lineRule="auto"/>
              <w:rPr>
                <w:rFonts w:ascii="Times New Roman" w:hAnsi="Times New Roman" w:cs="Times New Roman"/>
                <w:b/>
              </w:rPr>
            </w:pPr>
            <w:r w:rsidRPr="004A70B7">
              <w:rPr>
                <w:rFonts w:ascii="Times New Roman" w:hAnsi="Times New Roman" w:cs="Times New Roman"/>
                <w:b/>
              </w:rPr>
              <w:t>2016/17</w:t>
            </w:r>
          </w:p>
        </w:tc>
        <w:tc>
          <w:tcPr>
            <w:tcW w:w="0" w:type="auto"/>
            <w:shd w:val="clear" w:color="auto" w:fill="DDD9C3"/>
          </w:tcPr>
          <w:p w:rsidR="004A70B7" w:rsidRPr="004A70B7" w:rsidRDefault="004A70B7" w:rsidP="004A70B7">
            <w:pPr>
              <w:spacing w:before="240" w:after="240" w:line="240" w:lineRule="auto"/>
              <w:rPr>
                <w:rFonts w:ascii="Times New Roman" w:hAnsi="Times New Roman" w:cs="Times New Roman"/>
                <w:b/>
              </w:rPr>
            </w:pPr>
            <w:r w:rsidRPr="004A70B7">
              <w:rPr>
                <w:rFonts w:ascii="Times New Roman" w:hAnsi="Times New Roman" w:cs="Times New Roman"/>
                <w:b/>
              </w:rPr>
              <w:t>2017/18</w:t>
            </w:r>
          </w:p>
        </w:tc>
        <w:tc>
          <w:tcPr>
            <w:tcW w:w="0" w:type="auto"/>
            <w:shd w:val="clear" w:color="auto" w:fill="auto"/>
          </w:tcPr>
          <w:p w:rsidR="004A70B7" w:rsidRPr="004A70B7" w:rsidRDefault="004A70B7" w:rsidP="004A70B7">
            <w:pPr>
              <w:spacing w:before="240" w:after="240" w:line="240" w:lineRule="auto"/>
              <w:rPr>
                <w:rFonts w:ascii="Times New Roman" w:hAnsi="Times New Roman" w:cs="Times New Roman"/>
                <w:b/>
              </w:rPr>
            </w:pPr>
            <w:r w:rsidRPr="004A70B7">
              <w:rPr>
                <w:rFonts w:ascii="Times New Roman" w:hAnsi="Times New Roman" w:cs="Times New Roman"/>
                <w:b/>
              </w:rPr>
              <w:t>2018/19</w:t>
            </w:r>
          </w:p>
        </w:tc>
        <w:tc>
          <w:tcPr>
            <w:tcW w:w="0" w:type="auto"/>
            <w:shd w:val="clear" w:color="auto" w:fill="auto"/>
          </w:tcPr>
          <w:p w:rsidR="004A70B7" w:rsidRPr="004A70B7" w:rsidRDefault="004A70B7" w:rsidP="004A70B7">
            <w:pPr>
              <w:spacing w:before="240" w:after="240" w:line="240" w:lineRule="auto"/>
              <w:rPr>
                <w:rFonts w:ascii="Times New Roman" w:hAnsi="Times New Roman" w:cs="Times New Roman"/>
                <w:b/>
              </w:rPr>
            </w:pPr>
            <w:r w:rsidRPr="004A70B7">
              <w:rPr>
                <w:rFonts w:ascii="Times New Roman" w:hAnsi="Times New Roman" w:cs="Times New Roman"/>
                <w:b/>
              </w:rPr>
              <w:t>2019/20</w:t>
            </w:r>
          </w:p>
        </w:tc>
      </w:tr>
      <w:tr w:rsidR="004A70B7" w:rsidRPr="004A70B7" w:rsidTr="004A70B7">
        <w:tc>
          <w:tcPr>
            <w:tcW w:w="4590" w:type="dxa"/>
          </w:tcPr>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t>Number of instruments funded in support of knowledge utilisation per year</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Technology Innovation</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25</w:t>
            </w:r>
          </w:p>
        </w:tc>
        <w:tc>
          <w:tcPr>
            <w:tcW w:w="0" w:type="auto"/>
            <w:shd w:val="clear" w:color="auto" w:fill="DDD9C3"/>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19</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21</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19</w:t>
            </w:r>
          </w:p>
        </w:tc>
      </w:tr>
      <w:tr w:rsidR="004A70B7" w:rsidRPr="004A70B7" w:rsidTr="004A70B7">
        <w:tc>
          <w:tcPr>
            <w:tcW w:w="4590" w:type="dxa"/>
          </w:tcPr>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t>Number of commercial outputs in designated areas per year</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Technology Innovation</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8</w:t>
            </w:r>
          </w:p>
        </w:tc>
        <w:tc>
          <w:tcPr>
            <w:tcW w:w="0" w:type="auto"/>
            <w:shd w:val="clear" w:color="auto" w:fill="DDD9C3"/>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4</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3</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3</w:t>
            </w:r>
          </w:p>
        </w:tc>
      </w:tr>
      <w:tr w:rsidR="004A70B7" w:rsidRPr="004A70B7" w:rsidTr="004A70B7">
        <w:tc>
          <w:tcPr>
            <w:tcW w:w="4590" w:type="dxa"/>
          </w:tcPr>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Amount of international funds directly invested in research, science, technology and innovation human capital development programmes, as well as research infrastructure investments in South Africa, accounted for as part of cooperation initiatives implemented by the department, </w:t>
            </w:r>
            <w:r w:rsidRPr="004A70B7">
              <w:rPr>
                <w:rFonts w:ascii="Times New Roman" w:hAnsi="Times New Roman" w:cs="Times New Roman"/>
              </w:rPr>
              <w:lastRenderedPageBreak/>
              <w:t>per year</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lastRenderedPageBreak/>
              <w:t>International Cooperation and Resources</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R400m</w:t>
            </w:r>
          </w:p>
        </w:tc>
        <w:tc>
          <w:tcPr>
            <w:tcW w:w="0" w:type="auto"/>
            <w:shd w:val="clear" w:color="auto" w:fill="DDD9C3"/>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R420m</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R440m</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R480m</w:t>
            </w:r>
          </w:p>
        </w:tc>
      </w:tr>
      <w:tr w:rsidR="004A70B7" w:rsidRPr="004A70B7" w:rsidTr="004A70B7">
        <w:tc>
          <w:tcPr>
            <w:tcW w:w="4590" w:type="dxa"/>
          </w:tcPr>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lastRenderedPageBreak/>
              <w:t>Number of PhD students awarded bursaries, as reflected in National Research Foundation and relevant entities project reports per year</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Research, Development and Support</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3 136</w:t>
            </w:r>
          </w:p>
        </w:tc>
        <w:tc>
          <w:tcPr>
            <w:tcW w:w="0" w:type="auto"/>
            <w:shd w:val="clear" w:color="auto" w:fill="DDD9C3"/>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3100</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3 100</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3 100</w:t>
            </w:r>
          </w:p>
        </w:tc>
      </w:tr>
      <w:tr w:rsidR="004A70B7" w:rsidRPr="004A70B7" w:rsidTr="004A70B7">
        <w:tc>
          <w:tcPr>
            <w:tcW w:w="4590" w:type="dxa"/>
          </w:tcPr>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t>Number of pipeline postgraduate (</w:t>
            </w:r>
            <w:proofErr w:type="spellStart"/>
            <w:r w:rsidRPr="004A70B7">
              <w:rPr>
                <w:rFonts w:ascii="Times New Roman" w:hAnsi="Times New Roman" w:cs="Times New Roman"/>
              </w:rPr>
              <w:t>BTech</w:t>
            </w:r>
            <w:proofErr w:type="spellEnd"/>
            <w:r w:rsidRPr="004A70B7">
              <w:rPr>
                <w:rFonts w:ascii="Times New Roman" w:hAnsi="Times New Roman" w:cs="Times New Roman"/>
              </w:rPr>
              <w:t>, honours and masters) students awarded bursaries through programmes managed by the National Research Foundation and relevant entities per year</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Research, Development and Support</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10 996</w:t>
            </w:r>
          </w:p>
        </w:tc>
        <w:tc>
          <w:tcPr>
            <w:tcW w:w="0" w:type="auto"/>
            <w:shd w:val="clear" w:color="auto" w:fill="DDD9C3"/>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10 800</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10 800</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10 800</w:t>
            </w:r>
          </w:p>
        </w:tc>
      </w:tr>
      <w:tr w:rsidR="004A70B7" w:rsidRPr="004A70B7" w:rsidTr="004A70B7">
        <w:tc>
          <w:tcPr>
            <w:tcW w:w="4590" w:type="dxa"/>
          </w:tcPr>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t>Number of researchers awarded research grants through programme managed by the National Research Foundation as reflected in the foundation’s</w:t>
            </w:r>
          </w:p>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t>project reports per year</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Research, Development and Support</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4 539</w:t>
            </w:r>
          </w:p>
        </w:tc>
        <w:tc>
          <w:tcPr>
            <w:tcW w:w="0" w:type="auto"/>
            <w:shd w:val="clear" w:color="auto" w:fill="DDD9C3"/>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4 500</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4 500</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4 500</w:t>
            </w:r>
          </w:p>
        </w:tc>
      </w:tr>
      <w:tr w:rsidR="004A70B7" w:rsidRPr="004A70B7" w:rsidTr="004A70B7">
        <w:tc>
          <w:tcPr>
            <w:tcW w:w="4590" w:type="dxa"/>
          </w:tcPr>
          <w:p w:rsidR="004A70B7" w:rsidRPr="004A70B7" w:rsidRDefault="004A70B7" w:rsidP="004A70B7">
            <w:pPr>
              <w:spacing w:before="240" w:after="240" w:line="240" w:lineRule="auto"/>
              <w:rPr>
                <w:rFonts w:ascii="Times New Roman" w:hAnsi="Times New Roman" w:cs="Times New Roman"/>
              </w:rPr>
            </w:pPr>
            <w:r w:rsidRPr="004A70B7">
              <w:rPr>
                <w:rFonts w:ascii="Times New Roman" w:hAnsi="Times New Roman" w:cs="Times New Roman"/>
              </w:rPr>
              <w:t>Number of knowledge and innovation products added to the intellectual property portfolio through fully funded or co-funded research initiatives per year</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Socio-Economic Innovation Partnerships</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35</w:t>
            </w:r>
          </w:p>
        </w:tc>
        <w:tc>
          <w:tcPr>
            <w:tcW w:w="0" w:type="auto"/>
            <w:shd w:val="clear" w:color="auto" w:fill="DDD9C3"/>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15</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18</w:t>
            </w:r>
          </w:p>
        </w:tc>
        <w:tc>
          <w:tcPr>
            <w:tcW w:w="0" w:type="auto"/>
          </w:tcPr>
          <w:p w:rsidR="004A70B7" w:rsidRPr="004A70B7" w:rsidRDefault="004A70B7" w:rsidP="004A70B7">
            <w:pPr>
              <w:spacing w:before="240" w:after="240" w:line="240" w:lineRule="auto"/>
              <w:jc w:val="right"/>
              <w:rPr>
                <w:rFonts w:ascii="Times New Roman" w:hAnsi="Times New Roman" w:cs="Times New Roman"/>
              </w:rPr>
            </w:pPr>
            <w:r w:rsidRPr="004A70B7">
              <w:rPr>
                <w:rFonts w:ascii="Times New Roman" w:hAnsi="Times New Roman" w:cs="Times New Roman"/>
              </w:rPr>
              <w:t>20</w:t>
            </w:r>
          </w:p>
        </w:tc>
      </w:tr>
    </w:tbl>
    <w:p w:rsidR="00FF1F94" w:rsidRPr="004A70B7" w:rsidRDefault="00FF1F94" w:rsidP="004A70B7">
      <w:pPr>
        <w:pStyle w:val="ListParagraph"/>
        <w:numPr>
          <w:ilvl w:val="1"/>
          <w:numId w:val="21"/>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Programme 5 – Socio-economic Innovation Partnerships</w:t>
      </w:r>
    </w:p>
    <w:p w:rsidR="007C5957" w:rsidRPr="004A70B7" w:rsidRDefault="007C595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These programmes fulfil the Department’s mandate of realising the full potential of science and technology in social and economic development through the development of human resources, research and innovation.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National Treasury has outlined the following selected indicators against which performance </w:t>
      </w:r>
      <w:proofErr w:type="gramStart"/>
      <w:r w:rsidRPr="004A70B7">
        <w:rPr>
          <w:rFonts w:ascii="Times New Roman" w:hAnsi="Times New Roman" w:cs="Times New Roman"/>
        </w:rPr>
        <w:t>will be measured</w:t>
      </w:r>
      <w:proofErr w:type="gramEnd"/>
      <w:r w:rsidRPr="004A70B7">
        <w:rPr>
          <w:rFonts w:ascii="Times New Roman" w:hAnsi="Times New Roman" w:cs="Times New Roman"/>
        </w:rPr>
        <w:t>:</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Variations in the budget allocation of the medium-term </w:t>
      </w:r>
      <w:proofErr w:type="gramStart"/>
      <w:r w:rsidRPr="004A70B7">
        <w:rPr>
          <w:rFonts w:ascii="Times New Roman" w:hAnsi="Times New Roman" w:cs="Times New Roman"/>
        </w:rPr>
        <w:t>are illustrated</w:t>
      </w:r>
      <w:proofErr w:type="gramEnd"/>
      <w:r w:rsidRPr="004A70B7">
        <w:rPr>
          <w:rFonts w:ascii="Times New Roman" w:hAnsi="Times New Roman" w:cs="Times New Roman"/>
        </w:rPr>
        <w:t xml:space="preserve"> in the graph below:</w:t>
      </w:r>
    </w:p>
    <w:p w:rsidR="00157687" w:rsidRPr="004A70B7" w:rsidRDefault="00157687" w:rsidP="004A70B7">
      <w:pPr>
        <w:spacing w:before="240" w:after="240" w:line="240" w:lineRule="auto"/>
        <w:rPr>
          <w:rFonts w:ascii="Times New Roman" w:hAnsi="Times New Roman" w:cs="Times New Roman"/>
          <w:b/>
        </w:rPr>
      </w:pPr>
      <w:r w:rsidRPr="004A70B7">
        <w:rPr>
          <w:rFonts w:ascii="Times New Roman" w:hAnsi="Times New Roman" w:cs="Times New Roman"/>
          <w:b/>
        </w:rPr>
        <w:t>Figure 1: Comparison of budget allocations over the medium-term</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While there is a nominal increase in the budget allocations over the financial years following 2016/17, due to inflation the budget actually decreases over the medium-term.</w:t>
      </w:r>
    </w:p>
    <w:p w:rsidR="00157687" w:rsidRPr="004A70B7" w:rsidRDefault="00157687" w:rsidP="004A70B7">
      <w:pPr>
        <w:pStyle w:val="Heading2"/>
        <w:spacing w:before="240" w:after="240" w:line="240" w:lineRule="auto"/>
        <w:jc w:val="left"/>
        <w:rPr>
          <w:rFonts w:ascii="Times New Roman" w:hAnsi="Times New Roman" w:cs="Times New Roman"/>
          <w:b/>
          <w:color w:val="auto"/>
          <w:sz w:val="24"/>
          <w:szCs w:val="24"/>
        </w:rPr>
      </w:pPr>
      <w:bookmarkStart w:id="1" w:name="_Toc481752184"/>
      <w:r w:rsidRPr="004A70B7">
        <w:rPr>
          <w:rFonts w:ascii="Times New Roman" w:hAnsi="Times New Roman" w:cs="Times New Roman"/>
          <w:b/>
          <w:color w:val="auto"/>
          <w:sz w:val="24"/>
          <w:szCs w:val="24"/>
        </w:rPr>
        <w:lastRenderedPageBreak/>
        <w:t>Programme analysis</w:t>
      </w:r>
      <w:bookmarkEnd w:id="1"/>
      <w:r w:rsidRPr="004A70B7">
        <w:rPr>
          <w:rFonts w:ascii="Times New Roman" w:hAnsi="Times New Roman" w:cs="Times New Roman"/>
          <w:b/>
          <w:color w:val="auto"/>
          <w:sz w:val="24"/>
          <w:szCs w:val="24"/>
        </w:rPr>
        <w:t xml:space="preserve">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This section will explore budget allocations per programme for the 2017/18 financial year. The table below sets out the budget allocation per programme for the current financial year and compares it to allocations in 2016/17.</w:t>
      </w:r>
    </w:p>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rPr>
        <w:t xml:space="preserve">Table </w:t>
      </w:r>
      <w:r w:rsidR="00EB65A9" w:rsidRPr="004A70B7">
        <w:rPr>
          <w:rFonts w:ascii="Times New Roman" w:hAnsi="Times New Roman" w:cs="Times New Roman"/>
          <w:b/>
        </w:rPr>
        <w:t>1</w:t>
      </w:r>
      <w:r w:rsidRPr="004A70B7">
        <w:rPr>
          <w:rFonts w:ascii="Times New Roman" w:hAnsi="Times New Roman" w:cs="Times New Roman"/>
          <w:b/>
        </w:rPr>
        <w:t xml:space="preserve">: </w:t>
      </w:r>
      <w:r w:rsidRPr="004A70B7">
        <w:rPr>
          <w:rFonts w:ascii="Times New Roman" w:hAnsi="Times New Roman" w:cs="Times New Roman"/>
          <w:b/>
          <w:color w:val="000000"/>
          <w:spacing w:val="6"/>
          <w:lang w:eastAsia="en-GB"/>
        </w:rPr>
        <w:t>Change to allocations per programme for 2017/18</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4"/>
        <w:gridCol w:w="923"/>
        <w:gridCol w:w="923"/>
        <w:gridCol w:w="1034"/>
        <w:gridCol w:w="1036"/>
        <w:gridCol w:w="1034"/>
        <w:gridCol w:w="969"/>
      </w:tblGrid>
      <w:tr w:rsidR="00157687" w:rsidRPr="004A70B7" w:rsidTr="00757711">
        <w:trPr>
          <w:jc w:val="center"/>
        </w:trPr>
        <w:tc>
          <w:tcPr>
            <w:tcW w:w="1960" w:type="pct"/>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Programme</w:t>
            </w:r>
          </w:p>
        </w:tc>
        <w:tc>
          <w:tcPr>
            <w:tcW w:w="948" w:type="pct"/>
            <w:gridSpan w:val="2"/>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 xml:space="preserve">Budget </w:t>
            </w:r>
          </w:p>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c>
          <w:tcPr>
            <w:tcW w:w="531"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Nominal Rand change</w:t>
            </w:r>
          </w:p>
        </w:tc>
        <w:tc>
          <w:tcPr>
            <w:tcW w:w="531"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Real Rand change</w:t>
            </w:r>
          </w:p>
        </w:tc>
        <w:tc>
          <w:tcPr>
            <w:tcW w:w="531"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Nominal per cent change 2017/18</w:t>
            </w:r>
          </w:p>
        </w:tc>
        <w:tc>
          <w:tcPr>
            <w:tcW w:w="498"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Real per cent change 2017/18</w:t>
            </w:r>
          </w:p>
        </w:tc>
      </w:tr>
      <w:tr w:rsidR="00157687" w:rsidRPr="004A70B7" w:rsidTr="00757711">
        <w:trPr>
          <w:jc w:val="center"/>
        </w:trPr>
        <w:tc>
          <w:tcPr>
            <w:tcW w:w="1960" w:type="pct"/>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color w:val="000000"/>
                <w:spacing w:val="6"/>
                <w:lang w:eastAsia="en-GB"/>
              </w:rPr>
              <w:t>R million</w:t>
            </w:r>
          </w:p>
        </w:tc>
        <w:tc>
          <w:tcPr>
            <w:tcW w:w="474"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2016/17</w:t>
            </w:r>
          </w:p>
        </w:tc>
        <w:tc>
          <w:tcPr>
            <w:tcW w:w="474"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2017/18</w:t>
            </w:r>
          </w:p>
        </w:tc>
        <w:tc>
          <w:tcPr>
            <w:tcW w:w="1063" w:type="pct"/>
            <w:gridSpan w:val="2"/>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2016/17 – 2017/18</w:t>
            </w:r>
          </w:p>
        </w:tc>
        <w:tc>
          <w:tcPr>
            <w:tcW w:w="1029" w:type="pct"/>
            <w:gridSpan w:val="2"/>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2016/17 – 2017/18</w:t>
            </w:r>
          </w:p>
        </w:tc>
      </w:tr>
      <w:tr w:rsidR="00157687" w:rsidRPr="004A70B7" w:rsidTr="00757711">
        <w:trPr>
          <w:jc w:val="center"/>
        </w:trPr>
        <w:tc>
          <w:tcPr>
            <w:tcW w:w="196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Administration</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345.1</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383.7</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38.6</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15.9</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11.2%</w:t>
            </w:r>
          </w:p>
        </w:tc>
        <w:tc>
          <w:tcPr>
            <w:tcW w:w="49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4.6%</w:t>
            </w:r>
          </w:p>
        </w:tc>
      </w:tr>
      <w:tr w:rsidR="00157687" w:rsidRPr="004A70B7" w:rsidTr="00757711">
        <w:trPr>
          <w:jc w:val="center"/>
        </w:trPr>
        <w:tc>
          <w:tcPr>
            <w:tcW w:w="196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Technology Innovation</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1005.4</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1073.6</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68.2</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4.6</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6.8%</w:t>
            </w:r>
          </w:p>
        </w:tc>
        <w:tc>
          <w:tcPr>
            <w:tcW w:w="49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0.5%</w:t>
            </w:r>
          </w:p>
        </w:tc>
      </w:tr>
      <w:tr w:rsidR="00157687" w:rsidRPr="004A70B7" w:rsidTr="00757711">
        <w:trPr>
          <w:jc w:val="center"/>
        </w:trPr>
        <w:tc>
          <w:tcPr>
            <w:tcW w:w="1960" w:type="pct"/>
          </w:tcPr>
          <w:p w:rsidR="00157687" w:rsidRPr="004A70B7" w:rsidRDefault="00157687" w:rsidP="004A70B7">
            <w:pPr>
              <w:spacing w:before="240" w:after="240" w:line="240" w:lineRule="auto"/>
              <w:jc w:val="lef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 International Cooperation and Resources</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124.5</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128.7</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4.2</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-3.4</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3.4%</w:t>
            </w:r>
          </w:p>
        </w:tc>
        <w:tc>
          <w:tcPr>
            <w:tcW w:w="49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-2.8%</w:t>
            </w:r>
          </w:p>
        </w:tc>
      </w:tr>
      <w:tr w:rsidR="00157687" w:rsidRPr="004A70B7" w:rsidTr="00757711">
        <w:trPr>
          <w:jc w:val="center"/>
        </w:trPr>
        <w:tc>
          <w:tcPr>
            <w:tcW w:w="196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 Research, Development and Support</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4171.0</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4348.9</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177.9</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-79.8</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4.3%</w:t>
            </w:r>
          </w:p>
        </w:tc>
        <w:tc>
          <w:tcPr>
            <w:tcW w:w="49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-1.9%</w:t>
            </w:r>
          </w:p>
        </w:tc>
      </w:tr>
      <w:tr w:rsidR="00157687" w:rsidRPr="004A70B7" w:rsidTr="00757711">
        <w:trPr>
          <w:jc w:val="center"/>
        </w:trPr>
        <w:tc>
          <w:tcPr>
            <w:tcW w:w="196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 Socio-Economic Innovation Partnerships</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1783.0</w:t>
            </w:r>
          </w:p>
        </w:tc>
        <w:tc>
          <w:tcPr>
            <w:tcW w:w="47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1622.3</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-160.7</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-256.8</w:t>
            </w:r>
          </w:p>
        </w:tc>
        <w:tc>
          <w:tcPr>
            <w:tcW w:w="531"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-9.0%</w:t>
            </w:r>
          </w:p>
        </w:tc>
        <w:tc>
          <w:tcPr>
            <w:tcW w:w="49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-14.4%</w:t>
            </w:r>
          </w:p>
        </w:tc>
      </w:tr>
      <w:tr w:rsidR="00157687" w:rsidRPr="004A70B7" w:rsidTr="00757711">
        <w:trPr>
          <w:jc w:val="center"/>
        </w:trPr>
        <w:tc>
          <w:tcPr>
            <w:tcW w:w="1960" w:type="pct"/>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474"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7429.0</w:t>
            </w:r>
          </w:p>
        </w:tc>
        <w:tc>
          <w:tcPr>
            <w:tcW w:w="474"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7557.2</w:t>
            </w:r>
          </w:p>
        </w:tc>
        <w:tc>
          <w:tcPr>
            <w:tcW w:w="531"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128.2</w:t>
            </w:r>
          </w:p>
        </w:tc>
        <w:tc>
          <w:tcPr>
            <w:tcW w:w="531"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-319.7</w:t>
            </w:r>
          </w:p>
        </w:tc>
        <w:tc>
          <w:tcPr>
            <w:tcW w:w="531"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1.7%</w:t>
            </w:r>
          </w:p>
        </w:tc>
        <w:tc>
          <w:tcPr>
            <w:tcW w:w="498"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-4.3%</w:t>
            </w:r>
          </w:p>
        </w:tc>
      </w:tr>
    </w:tbl>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following graph is a visual representation of the budget allocations (not adjusted against inflation) tabulated </w:t>
      </w:r>
      <w:proofErr w:type="gramStart"/>
      <w:r w:rsidRPr="004A70B7">
        <w:rPr>
          <w:rFonts w:ascii="Times New Roman" w:hAnsi="Times New Roman" w:cs="Times New Roman"/>
        </w:rPr>
        <w:t>above</w:t>
      </w:r>
      <w:proofErr w:type="gramEnd"/>
      <w:r w:rsidRPr="004A70B7">
        <w:rPr>
          <w:rFonts w:ascii="Times New Roman" w:hAnsi="Times New Roman" w:cs="Times New Roman"/>
        </w:rPr>
        <w:t>:</w:t>
      </w:r>
    </w:p>
    <w:p w:rsidR="00157687" w:rsidRPr="004A70B7" w:rsidRDefault="00157687" w:rsidP="004A70B7">
      <w:pPr>
        <w:spacing w:before="240" w:after="240" w:line="240" w:lineRule="auto"/>
        <w:rPr>
          <w:rFonts w:ascii="Times New Roman" w:hAnsi="Times New Roman" w:cs="Times New Roman"/>
        </w:rPr>
      </w:pPr>
    </w:p>
    <w:p w:rsidR="00A73F14" w:rsidRPr="004A70B7" w:rsidRDefault="00A73F14" w:rsidP="004A70B7">
      <w:pPr>
        <w:spacing w:before="240" w:after="240" w:line="240" w:lineRule="auto"/>
        <w:jc w:val="left"/>
        <w:rPr>
          <w:rFonts w:ascii="Times New Roman" w:hAnsi="Times New Roman" w:cs="Times New Roman"/>
          <w:b/>
        </w:rPr>
      </w:pPr>
      <w:r w:rsidRPr="004A70B7">
        <w:rPr>
          <w:rFonts w:ascii="Times New Roman" w:hAnsi="Times New Roman" w:cs="Times New Roman"/>
          <w:b/>
        </w:rPr>
        <w:br w:type="page"/>
      </w:r>
    </w:p>
    <w:p w:rsidR="00157687" w:rsidRPr="004A70B7" w:rsidRDefault="00157687" w:rsidP="004A70B7">
      <w:pPr>
        <w:spacing w:before="240" w:after="240" w:line="240" w:lineRule="auto"/>
        <w:rPr>
          <w:rFonts w:ascii="Times New Roman" w:hAnsi="Times New Roman" w:cs="Times New Roman"/>
          <w:b/>
        </w:rPr>
      </w:pPr>
      <w:r w:rsidRPr="004A70B7">
        <w:rPr>
          <w:rFonts w:ascii="Times New Roman" w:hAnsi="Times New Roman" w:cs="Times New Roman"/>
          <w:b/>
        </w:rPr>
        <w:lastRenderedPageBreak/>
        <w:t>Figure 2: Comparison of budget allocations per programme for 2016/17 and 2017/18 (not inflation-adjusted)</w:t>
      </w: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noProof/>
          <w:lang w:val="en-ZA" w:eastAsia="en-ZA"/>
        </w:rPr>
        <w:drawing>
          <wp:anchor distT="0" distB="0" distL="114300" distR="114300" simplePos="0" relativeHeight="251661312" behindDoc="1" locked="0" layoutInCell="1" allowOverlap="1" wp14:anchorId="3F4E4602" wp14:editId="38E081AF">
            <wp:simplePos x="0" y="0"/>
            <wp:positionH relativeFrom="column">
              <wp:posOffset>0</wp:posOffset>
            </wp:positionH>
            <wp:positionV relativeFrom="paragraph">
              <wp:posOffset>-3249764</wp:posOffset>
            </wp:positionV>
            <wp:extent cx="5731510" cy="3382645"/>
            <wp:effectExtent l="0" t="0" r="2540" b="825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pStyle w:val="Heading3"/>
        <w:spacing w:before="240" w:after="240" w:line="240" w:lineRule="auto"/>
        <w:rPr>
          <w:rFonts w:ascii="Times New Roman" w:hAnsi="Times New Roman" w:cs="Times New Roman"/>
          <w:b/>
          <w:color w:val="auto"/>
        </w:rPr>
      </w:pPr>
      <w:bookmarkStart w:id="2" w:name="_Toc481752185"/>
      <w:r w:rsidRPr="004A70B7">
        <w:rPr>
          <w:rFonts w:ascii="Times New Roman" w:hAnsi="Times New Roman" w:cs="Times New Roman"/>
          <w:b/>
          <w:color w:val="auto"/>
        </w:rPr>
        <w:t>Programme 1: Administration</w:t>
      </w:r>
      <w:bookmarkEnd w:id="2"/>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The programme is responsible for the provision of leadership, management and support services to the Department.</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For the 2017/18 financial year, the budget allocation for this programme is R383.7 </w:t>
      </w:r>
      <w:proofErr w:type="gramStart"/>
      <w:r w:rsidRPr="004A70B7">
        <w:rPr>
          <w:rFonts w:ascii="Times New Roman" w:hAnsi="Times New Roman" w:cs="Times New Roman"/>
        </w:rPr>
        <w:t>million</w:t>
      </w:r>
      <w:proofErr w:type="gramEnd"/>
      <w:r w:rsidRPr="004A70B7">
        <w:rPr>
          <w:rFonts w:ascii="Times New Roman" w:hAnsi="Times New Roman" w:cs="Times New Roman"/>
        </w:rPr>
        <w:t xml:space="preserve">. During the previous financial year, the budget was R345.1 </w:t>
      </w:r>
      <w:proofErr w:type="gramStart"/>
      <w:r w:rsidRPr="004A70B7">
        <w:rPr>
          <w:rFonts w:ascii="Times New Roman" w:hAnsi="Times New Roman" w:cs="Times New Roman"/>
        </w:rPr>
        <w:t>million</w:t>
      </w:r>
      <w:proofErr w:type="gramEnd"/>
      <w:r w:rsidRPr="004A70B7">
        <w:rPr>
          <w:rFonts w:ascii="Times New Roman" w:hAnsi="Times New Roman" w:cs="Times New Roman"/>
        </w:rPr>
        <w:t>.</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Budget allocations for all sub-programmes </w:t>
      </w:r>
      <w:proofErr w:type="gramStart"/>
      <w:r w:rsidRPr="004A70B7">
        <w:rPr>
          <w:rFonts w:ascii="Times New Roman" w:hAnsi="Times New Roman" w:cs="Times New Roman"/>
        </w:rPr>
        <w:t>are tabulated</w:t>
      </w:r>
      <w:proofErr w:type="gramEnd"/>
      <w:r w:rsidRPr="004A70B7">
        <w:rPr>
          <w:rFonts w:ascii="Times New Roman" w:hAnsi="Times New Roman" w:cs="Times New Roman"/>
        </w:rPr>
        <w:t xml:space="preserve"> below:</w:t>
      </w:r>
    </w:p>
    <w:p w:rsidR="00A73F14" w:rsidRPr="004A70B7" w:rsidRDefault="00A73F14" w:rsidP="004A70B7">
      <w:pPr>
        <w:spacing w:before="240" w:after="240" w:line="240" w:lineRule="auto"/>
        <w:jc w:val="left"/>
        <w:rPr>
          <w:rFonts w:ascii="Times New Roman" w:hAnsi="Times New Roman" w:cs="Times New Roman"/>
          <w:b/>
        </w:rPr>
      </w:pPr>
      <w:r w:rsidRPr="004A70B7">
        <w:rPr>
          <w:rFonts w:ascii="Times New Roman" w:hAnsi="Times New Roman" w:cs="Times New Roman"/>
          <w:b/>
        </w:rPr>
        <w:br w:type="page"/>
      </w:r>
    </w:p>
    <w:p w:rsidR="00157687" w:rsidRPr="004A70B7" w:rsidRDefault="00157687" w:rsidP="004A70B7">
      <w:pPr>
        <w:spacing w:before="240" w:after="240" w:line="240" w:lineRule="auto"/>
        <w:rPr>
          <w:rFonts w:ascii="Times New Roman" w:hAnsi="Times New Roman" w:cs="Times New Roman"/>
          <w:b/>
        </w:rPr>
      </w:pPr>
      <w:r w:rsidRPr="004A70B7">
        <w:rPr>
          <w:rFonts w:ascii="Times New Roman" w:hAnsi="Times New Roman" w:cs="Times New Roman"/>
          <w:b/>
        </w:rPr>
        <w:lastRenderedPageBreak/>
        <w:t xml:space="preserve">Table </w:t>
      </w:r>
      <w:r w:rsidR="00BE4AFE" w:rsidRPr="004A70B7">
        <w:rPr>
          <w:rFonts w:ascii="Times New Roman" w:hAnsi="Times New Roman" w:cs="Times New Roman"/>
          <w:b/>
        </w:rPr>
        <w:t>2</w:t>
      </w:r>
      <w:r w:rsidRPr="004A70B7">
        <w:rPr>
          <w:rFonts w:ascii="Times New Roman" w:hAnsi="Times New Roman" w:cs="Times New Roman"/>
          <w:b/>
        </w:rPr>
        <w:t>: Programme 1: Administration</w:t>
      </w:r>
    </w:p>
    <w:tbl>
      <w:tblPr>
        <w:tblW w:w="52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8"/>
        <w:gridCol w:w="2295"/>
        <w:gridCol w:w="2317"/>
      </w:tblGrid>
      <w:tr w:rsidR="00157687" w:rsidRPr="004A70B7" w:rsidTr="00A73F14">
        <w:trPr>
          <w:trHeight w:val="1012"/>
          <w:jc w:val="center"/>
        </w:trPr>
        <w:tc>
          <w:tcPr>
            <w:tcW w:w="2699" w:type="pct"/>
            <w:shd w:val="clear" w:color="auto" w:fill="D9D9D9"/>
          </w:tcPr>
          <w:p w:rsidR="00157687" w:rsidRPr="004A70B7" w:rsidRDefault="00157687" w:rsidP="004A70B7">
            <w:pPr>
              <w:spacing w:before="240" w:after="240" w:line="240" w:lineRule="auto"/>
              <w:rPr>
                <w:rFonts w:ascii="Times New Roman" w:hAnsi="Times New Roman" w:cs="Times New Roman"/>
                <w:b/>
                <w:spacing w:val="6"/>
                <w:lang w:eastAsia="en-GB"/>
              </w:rPr>
            </w:pPr>
            <w:r w:rsidRPr="004A70B7">
              <w:rPr>
                <w:rFonts w:ascii="Times New Roman" w:hAnsi="Times New Roman" w:cs="Times New Roman"/>
                <w:b/>
                <w:spacing w:val="6"/>
                <w:lang w:eastAsia="en-GB"/>
              </w:rPr>
              <w:t>Sub-programme</w:t>
            </w:r>
          </w:p>
        </w:tc>
        <w:tc>
          <w:tcPr>
            <w:tcW w:w="1145" w:type="pct"/>
            <w:shd w:val="clear" w:color="auto" w:fill="D9D9D9"/>
          </w:tcPr>
          <w:p w:rsidR="00157687" w:rsidRPr="004A70B7" w:rsidRDefault="00157687" w:rsidP="004A70B7">
            <w:pPr>
              <w:spacing w:before="240" w:after="240" w:line="240" w:lineRule="auto"/>
              <w:jc w:val="center"/>
              <w:rPr>
                <w:rFonts w:ascii="Times New Roman" w:hAnsi="Times New Roman" w:cs="Times New Roman"/>
                <w:b/>
                <w:spacing w:val="6"/>
                <w:lang w:eastAsia="en-GB"/>
              </w:rPr>
            </w:pPr>
            <w:r w:rsidRPr="004A70B7">
              <w:rPr>
                <w:rFonts w:ascii="Times New Roman" w:hAnsi="Times New Roman" w:cs="Times New Roman"/>
                <w:b/>
                <w:spacing w:val="6"/>
                <w:lang w:eastAsia="en-GB"/>
              </w:rPr>
              <w:t>Budget</w:t>
            </w:r>
          </w:p>
          <w:p w:rsidR="00157687" w:rsidRPr="004A70B7" w:rsidRDefault="00157687" w:rsidP="004A70B7">
            <w:pPr>
              <w:spacing w:before="240" w:after="240" w:line="240" w:lineRule="auto"/>
              <w:jc w:val="center"/>
              <w:rPr>
                <w:rFonts w:ascii="Times New Roman" w:hAnsi="Times New Roman" w:cs="Times New Roman"/>
                <w:b/>
                <w:spacing w:val="6"/>
                <w:lang w:eastAsia="en-GB"/>
              </w:rPr>
            </w:pPr>
            <w:r w:rsidRPr="004A70B7">
              <w:rPr>
                <w:rFonts w:ascii="Times New Roman" w:hAnsi="Times New Roman" w:cs="Times New Roman"/>
                <w:b/>
                <w:spacing w:val="6"/>
                <w:lang w:eastAsia="en-GB"/>
              </w:rPr>
              <w:t>2017/18</w:t>
            </w:r>
          </w:p>
        </w:tc>
        <w:tc>
          <w:tcPr>
            <w:tcW w:w="1156" w:type="pct"/>
            <w:shd w:val="clear" w:color="auto" w:fill="D9D9D9"/>
          </w:tcPr>
          <w:p w:rsidR="00157687" w:rsidRPr="004A70B7" w:rsidRDefault="00157687" w:rsidP="004A70B7">
            <w:pPr>
              <w:spacing w:before="240" w:after="240" w:line="240" w:lineRule="auto"/>
              <w:jc w:val="center"/>
              <w:rPr>
                <w:rFonts w:ascii="Times New Roman" w:hAnsi="Times New Roman" w:cs="Times New Roman"/>
                <w:b/>
                <w:spacing w:val="6"/>
                <w:lang w:eastAsia="en-GB"/>
              </w:rPr>
            </w:pPr>
            <w:r w:rsidRPr="004A70B7">
              <w:rPr>
                <w:rFonts w:ascii="Times New Roman" w:hAnsi="Times New Roman" w:cs="Times New Roman"/>
                <w:b/>
                <w:spacing w:val="6"/>
                <w:lang w:eastAsia="en-GB"/>
              </w:rPr>
              <w:t>Percentage of total programme budget</w:t>
            </w:r>
          </w:p>
        </w:tc>
      </w:tr>
      <w:tr w:rsidR="00157687" w:rsidRPr="004A70B7" w:rsidTr="00A73F14">
        <w:trPr>
          <w:trHeight w:val="633"/>
          <w:jc w:val="center"/>
        </w:trPr>
        <w:tc>
          <w:tcPr>
            <w:tcW w:w="5000" w:type="pct"/>
            <w:gridSpan w:val="3"/>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R million</w:t>
            </w:r>
          </w:p>
        </w:tc>
      </w:tr>
      <w:tr w:rsidR="00157687" w:rsidRPr="004A70B7" w:rsidTr="00A73F14">
        <w:trPr>
          <w:trHeight w:val="633"/>
          <w:jc w:val="center"/>
        </w:trPr>
        <w:tc>
          <w:tcPr>
            <w:tcW w:w="2699"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1: Ministry</w:t>
            </w:r>
          </w:p>
        </w:tc>
        <w:tc>
          <w:tcPr>
            <w:tcW w:w="1145"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4.5</w:t>
            </w:r>
          </w:p>
        </w:tc>
        <w:tc>
          <w:tcPr>
            <w:tcW w:w="115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1.2%</w:t>
            </w:r>
          </w:p>
        </w:tc>
      </w:tr>
      <w:tr w:rsidR="00157687" w:rsidRPr="004A70B7" w:rsidTr="00A73F14">
        <w:trPr>
          <w:trHeight w:val="633"/>
          <w:jc w:val="center"/>
        </w:trPr>
        <w:tc>
          <w:tcPr>
            <w:tcW w:w="2699"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2: Management</w:t>
            </w:r>
          </w:p>
        </w:tc>
        <w:tc>
          <w:tcPr>
            <w:tcW w:w="1145"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108.6</w:t>
            </w:r>
          </w:p>
        </w:tc>
        <w:tc>
          <w:tcPr>
            <w:tcW w:w="115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28.3%</w:t>
            </w:r>
          </w:p>
        </w:tc>
      </w:tr>
      <w:tr w:rsidR="00157687" w:rsidRPr="004A70B7" w:rsidTr="00A73F14">
        <w:trPr>
          <w:trHeight w:val="633"/>
          <w:jc w:val="center"/>
        </w:trPr>
        <w:tc>
          <w:tcPr>
            <w:tcW w:w="2699" w:type="pct"/>
          </w:tcPr>
          <w:p w:rsidR="00157687" w:rsidRPr="004A70B7" w:rsidRDefault="00157687" w:rsidP="004A70B7">
            <w:pPr>
              <w:spacing w:before="240" w:after="240" w:line="240" w:lineRule="auto"/>
              <w:jc w:val="left"/>
              <w:rPr>
                <w:rFonts w:ascii="Times New Roman" w:hAnsi="Times New Roman" w:cs="Times New Roman"/>
                <w:spacing w:val="6"/>
                <w:lang w:eastAsia="en-GB"/>
              </w:rPr>
            </w:pPr>
            <w:r w:rsidRPr="004A70B7">
              <w:rPr>
                <w:rFonts w:ascii="Times New Roman" w:hAnsi="Times New Roman" w:cs="Times New Roman"/>
                <w:spacing w:val="6"/>
                <w:lang w:eastAsia="en-GB"/>
              </w:rPr>
              <w:t>3: Corporate Services</w:t>
            </w:r>
          </w:p>
        </w:tc>
        <w:tc>
          <w:tcPr>
            <w:tcW w:w="1145"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256.3</w:t>
            </w:r>
          </w:p>
        </w:tc>
        <w:tc>
          <w:tcPr>
            <w:tcW w:w="115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66.8%</w:t>
            </w:r>
          </w:p>
        </w:tc>
      </w:tr>
      <w:tr w:rsidR="00157687" w:rsidRPr="004A70B7" w:rsidTr="00A73F14">
        <w:trPr>
          <w:trHeight w:val="633"/>
          <w:jc w:val="center"/>
        </w:trPr>
        <w:tc>
          <w:tcPr>
            <w:tcW w:w="2699"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4: Governance</w:t>
            </w:r>
          </w:p>
        </w:tc>
        <w:tc>
          <w:tcPr>
            <w:tcW w:w="1145"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9.6</w:t>
            </w:r>
          </w:p>
        </w:tc>
        <w:tc>
          <w:tcPr>
            <w:tcW w:w="115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2.5%</w:t>
            </w:r>
          </w:p>
        </w:tc>
      </w:tr>
      <w:tr w:rsidR="00157687" w:rsidRPr="004A70B7" w:rsidTr="00A73F14">
        <w:trPr>
          <w:trHeight w:val="633"/>
          <w:jc w:val="center"/>
        </w:trPr>
        <w:tc>
          <w:tcPr>
            <w:tcW w:w="2699"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5: Office Accommodation</w:t>
            </w:r>
          </w:p>
        </w:tc>
        <w:tc>
          <w:tcPr>
            <w:tcW w:w="1145"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4.8</w:t>
            </w:r>
          </w:p>
        </w:tc>
        <w:tc>
          <w:tcPr>
            <w:tcW w:w="115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1.3%</w:t>
            </w:r>
          </w:p>
        </w:tc>
      </w:tr>
      <w:tr w:rsidR="00157687" w:rsidRPr="004A70B7" w:rsidTr="00A73F14">
        <w:trPr>
          <w:trHeight w:val="633"/>
          <w:jc w:val="center"/>
        </w:trPr>
        <w:tc>
          <w:tcPr>
            <w:tcW w:w="2699" w:type="pct"/>
          </w:tcPr>
          <w:p w:rsidR="00157687" w:rsidRPr="004A70B7" w:rsidRDefault="00157687" w:rsidP="004A70B7">
            <w:pPr>
              <w:spacing w:before="240" w:after="240" w:line="240" w:lineRule="auto"/>
              <w:rPr>
                <w:rFonts w:ascii="Times New Roman" w:hAnsi="Times New Roman" w:cs="Times New Roman"/>
                <w:b/>
                <w:spacing w:val="6"/>
                <w:lang w:eastAsia="en-GB"/>
              </w:rPr>
            </w:pPr>
            <w:r w:rsidRPr="004A70B7">
              <w:rPr>
                <w:rFonts w:ascii="Times New Roman" w:hAnsi="Times New Roman" w:cs="Times New Roman"/>
                <w:b/>
                <w:spacing w:val="6"/>
                <w:lang w:eastAsia="en-GB"/>
              </w:rPr>
              <w:t>TOTAL</w:t>
            </w:r>
          </w:p>
        </w:tc>
        <w:tc>
          <w:tcPr>
            <w:tcW w:w="1145" w:type="pct"/>
          </w:tcPr>
          <w:p w:rsidR="00157687" w:rsidRPr="004A70B7" w:rsidRDefault="00157687" w:rsidP="004A70B7">
            <w:pPr>
              <w:spacing w:before="240" w:after="240" w:line="240" w:lineRule="auto"/>
              <w:jc w:val="right"/>
              <w:rPr>
                <w:rFonts w:ascii="Times New Roman" w:hAnsi="Times New Roman" w:cs="Times New Roman"/>
                <w:b/>
                <w:spacing w:val="6"/>
                <w:lang w:eastAsia="en-GB"/>
              </w:rPr>
            </w:pPr>
            <w:r w:rsidRPr="004A70B7">
              <w:rPr>
                <w:rFonts w:ascii="Times New Roman" w:hAnsi="Times New Roman" w:cs="Times New Roman"/>
                <w:b/>
                <w:spacing w:val="6"/>
                <w:lang w:eastAsia="en-GB"/>
              </w:rPr>
              <w:t>383.7</w:t>
            </w:r>
          </w:p>
        </w:tc>
        <w:tc>
          <w:tcPr>
            <w:tcW w:w="1156" w:type="pct"/>
            <w:vAlign w:val="bottom"/>
          </w:tcPr>
          <w:p w:rsidR="00157687" w:rsidRPr="004A70B7" w:rsidRDefault="00157687" w:rsidP="004A70B7">
            <w:pPr>
              <w:spacing w:before="240" w:after="240" w:line="240" w:lineRule="auto"/>
              <w:jc w:val="right"/>
              <w:rPr>
                <w:rFonts w:ascii="Times New Roman" w:hAnsi="Times New Roman" w:cs="Times New Roman"/>
                <w:b/>
                <w:spacing w:val="6"/>
                <w:lang w:eastAsia="en-GB"/>
              </w:rPr>
            </w:pPr>
            <w:r w:rsidRPr="004A70B7">
              <w:rPr>
                <w:rFonts w:ascii="Times New Roman" w:hAnsi="Times New Roman" w:cs="Times New Roman"/>
                <w:b/>
                <w:spacing w:val="6"/>
                <w:lang w:eastAsia="en-GB"/>
              </w:rPr>
              <w:t>100.0%</w:t>
            </w:r>
          </w:p>
        </w:tc>
      </w:tr>
    </w:tbl>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Table </w:t>
      </w:r>
      <w:r w:rsidR="00BE4AFE" w:rsidRPr="004A70B7">
        <w:rPr>
          <w:rFonts w:ascii="Times New Roman" w:hAnsi="Times New Roman" w:cs="Times New Roman"/>
        </w:rPr>
        <w:t>3</w:t>
      </w:r>
      <w:r w:rsidRPr="004A70B7">
        <w:rPr>
          <w:rFonts w:ascii="Times New Roman" w:hAnsi="Times New Roman" w:cs="Times New Roman"/>
        </w:rPr>
        <w:t xml:space="preserve"> below reflects how budget allocations per sub-programme has changed between financial years 2016/17 and 2017/18.</w:t>
      </w:r>
    </w:p>
    <w:p w:rsidR="00157687" w:rsidRPr="004A70B7" w:rsidRDefault="00157687" w:rsidP="004A70B7">
      <w:pPr>
        <w:spacing w:before="240" w:after="240" w:line="240" w:lineRule="auto"/>
        <w:rPr>
          <w:rFonts w:ascii="Times New Roman" w:hAnsi="Times New Roman" w:cs="Times New Roman"/>
          <w:b/>
          <w:spacing w:val="6"/>
          <w:lang w:eastAsia="en-GB"/>
        </w:rPr>
      </w:pPr>
      <w:r w:rsidRPr="004A70B7">
        <w:rPr>
          <w:rFonts w:ascii="Times New Roman" w:hAnsi="Times New Roman" w:cs="Times New Roman"/>
          <w:b/>
          <w:spacing w:val="6"/>
          <w:lang w:eastAsia="en-GB"/>
        </w:rPr>
        <w:t xml:space="preserve">Table </w:t>
      </w:r>
      <w:r w:rsidR="00BE4AFE" w:rsidRPr="004A70B7">
        <w:rPr>
          <w:rFonts w:ascii="Times New Roman" w:hAnsi="Times New Roman" w:cs="Times New Roman"/>
          <w:b/>
          <w:spacing w:val="6"/>
          <w:lang w:eastAsia="en-GB"/>
        </w:rPr>
        <w:t>3</w:t>
      </w:r>
      <w:r w:rsidRPr="004A70B7">
        <w:rPr>
          <w:rFonts w:ascii="Times New Roman" w:hAnsi="Times New Roman" w:cs="Times New Roman"/>
          <w:b/>
          <w:spacing w:val="6"/>
          <w:lang w:eastAsia="en-GB"/>
        </w:rPr>
        <w:t>: Change to allocations per sub-programme for Programme 1</w:t>
      </w:r>
    </w:p>
    <w:tbl>
      <w:tblPr>
        <w:tblW w:w="51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7"/>
        <w:gridCol w:w="1216"/>
        <w:gridCol w:w="1216"/>
        <w:gridCol w:w="1365"/>
        <w:gridCol w:w="1279"/>
      </w:tblGrid>
      <w:tr w:rsidR="00157687" w:rsidRPr="004A70B7" w:rsidTr="00A73F14">
        <w:trPr>
          <w:trHeight w:val="24"/>
          <w:jc w:val="center"/>
        </w:trPr>
        <w:tc>
          <w:tcPr>
            <w:tcW w:w="2437" w:type="pct"/>
            <w:shd w:val="clear" w:color="auto" w:fill="BFBFBF" w:themeFill="background1" w:themeFillShade="BF"/>
          </w:tcPr>
          <w:p w:rsidR="00157687" w:rsidRPr="004A70B7" w:rsidRDefault="00157687" w:rsidP="004A70B7">
            <w:pPr>
              <w:spacing w:before="240" w:after="240" w:line="240" w:lineRule="auto"/>
              <w:rPr>
                <w:rFonts w:ascii="Times New Roman" w:hAnsi="Times New Roman" w:cs="Times New Roman"/>
                <w:b/>
                <w:spacing w:val="6"/>
                <w:lang w:eastAsia="en-GB"/>
              </w:rPr>
            </w:pPr>
            <w:r w:rsidRPr="004A70B7">
              <w:rPr>
                <w:rFonts w:ascii="Times New Roman" w:hAnsi="Times New Roman" w:cs="Times New Roman"/>
                <w:b/>
                <w:spacing w:val="6"/>
                <w:lang w:eastAsia="en-GB"/>
              </w:rPr>
              <w:t>Sub-programme</w:t>
            </w:r>
          </w:p>
        </w:tc>
        <w:tc>
          <w:tcPr>
            <w:tcW w:w="1228" w:type="pct"/>
            <w:gridSpan w:val="2"/>
            <w:shd w:val="clear" w:color="auto" w:fill="BFBFBF" w:themeFill="background1" w:themeFillShade="BF"/>
          </w:tcPr>
          <w:p w:rsidR="00157687" w:rsidRPr="004A70B7" w:rsidRDefault="00157687" w:rsidP="004A70B7">
            <w:pPr>
              <w:spacing w:before="240" w:after="240" w:line="240" w:lineRule="auto"/>
              <w:jc w:val="center"/>
              <w:rPr>
                <w:rFonts w:ascii="Times New Roman" w:hAnsi="Times New Roman" w:cs="Times New Roman"/>
                <w:b/>
                <w:spacing w:val="6"/>
                <w:lang w:eastAsia="en-GB"/>
              </w:rPr>
            </w:pPr>
            <w:r w:rsidRPr="004A70B7">
              <w:rPr>
                <w:rFonts w:ascii="Times New Roman" w:hAnsi="Times New Roman" w:cs="Times New Roman"/>
                <w:b/>
                <w:spacing w:val="6"/>
                <w:lang w:eastAsia="en-GB"/>
              </w:rPr>
              <w:t xml:space="preserve">Budget </w:t>
            </w:r>
          </w:p>
          <w:p w:rsidR="00157687" w:rsidRPr="004A70B7" w:rsidRDefault="00157687" w:rsidP="004A70B7">
            <w:pPr>
              <w:spacing w:before="240" w:after="240" w:line="240" w:lineRule="auto"/>
              <w:jc w:val="center"/>
              <w:rPr>
                <w:rFonts w:ascii="Times New Roman" w:hAnsi="Times New Roman" w:cs="Times New Roman"/>
                <w:b/>
                <w:spacing w:val="6"/>
                <w:lang w:eastAsia="en-GB"/>
              </w:rPr>
            </w:pPr>
          </w:p>
        </w:tc>
        <w:tc>
          <w:tcPr>
            <w:tcW w:w="689" w:type="pct"/>
            <w:vMerge w:val="restart"/>
            <w:shd w:val="clear" w:color="auto" w:fill="BFBFBF" w:themeFill="background1" w:themeFillShade="BF"/>
          </w:tcPr>
          <w:p w:rsidR="00157687" w:rsidRPr="004A70B7" w:rsidRDefault="00157687" w:rsidP="004A70B7">
            <w:pPr>
              <w:spacing w:before="240" w:after="240" w:line="240" w:lineRule="auto"/>
              <w:jc w:val="center"/>
              <w:rPr>
                <w:rFonts w:ascii="Times New Roman" w:hAnsi="Times New Roman" w:cs="Times New Roman"/>
                <w:b/>
                <w:spacing w:val="6"/>
                <w:lang w:eastAsia="en-GB"/>
              </w:rPr>
            </w:pPr>
            <w:r w:rsidRPr="004A70B7">
              <w:rPr>
                <w:rFonts w:ascii="Times New Roman" w:hAnsi="Times New Roman" w:cs="Times New Roman"/>
                <w:b/>
                <w:spacing w:val="6"/>
                <w:lang w:eastAsia="en-GB"/>
              </w:rPr>
              <w:t>Nominal per cent change in 2017/18</w:t>
            </w:r>
          </w:p>
        </w:tc>
        <w:tc>
          <w:tcPr>
            <w:tcW w:w="646" w:type="pct"/>
            <w:vMerge w:val="restart"/>
            <w:shd w:val="clear" w:color="auto" w:fill="BFBFBF" w:themeFill="background1" w:themeFillShade="BF"/>
          </w:tcPr>
          <w:p w:rsidR="00157687" w:rsidRPr="004A70B7" w:rsidRDefault="00157687" w:rsidP="004A70B7">
            <w:pPr>
              <w:spacing w:before="240" w:after="240" w:line="240" w:lineRule="auto"/>
              <w:jc w:val="center"/>
              <w:rPr>
                <w:rFonts w:ascii="Times New Roman" w:hAnsi="Times New Roman" w:cs="Times New Roman"/>
                <w:b/>
                <w:spacing w:val="6"/>
                <w:lang w:eastAsia="en-GB"/>
              </w:rPr>
            </w:pPr>
            <w:r w:rsidRPr="004A70B7">
              <w:rPr>
                <w:rFonts w:ascii="Times New Roman" w:hAnsi="Times New Roman" w:cs="Times New Roman"/>
                <w:b/>
                <w:spacing w:val="6"/>
                <w:lang w:eastAsia="en-GB"/>
              </w:rPr>
              <w:t>Real per cent change in 2017/18</w:t>
            </w:r>
          </w:p>
        </w:tc>
      </w:tr>
      <w:tr w:rsidR="00157687" w:rsidRPr="004A70B7" w:rsidTr="00A73F14">
        <w:trPr>
          <w:trHeight w:val="18"/>
          <w:jc w:val="center"/>
        </w:trPr>
        <w:tc>
          <w:tcPr>
            <w:tcW w:w="2437" w:type="pct"/>
            <w:shd w:val="clear" w:color="auto" w:fill="auto"/>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R million</w:t>
            </w:r>
          </w:p>
        </w:tc>
        <w:tc>
          <w:tcPr>
            <w:tcW w:w="614" w:type="pct"/>
            <w:shd w:val="clear" w:color="auto" w:fill="BFBFBF" w:themeFill="background1" w:themeFillShade="BF"/>
          </w:tcPr>
          <w:p w:rsidR="00157687" w:rsidRPr="004A70B7" w:rsidRDefault="00157687" w:rsidP="004A70B7">
            <w:pPr>
              <w:spacing w:before="240" w:after="240" w:line="240" w:lineRule="auto"/>
              <w:jc w:val="right"/>
              <w:rPr>
                <w:rFonts w:ascii="Times New Roman" w:hAnsi="Times New Roman" w:cs="Times New Roman"/>
                <w:strike/>
                <w:spacing w:val="6"/>
                <w:lang w:eastAsia="en-GB"/>
              </w:rPr>
            </w:pPr>
            <w:r w:rsidRPr="004A70B7">
              <w:rPr>
                <w:rFonts w:ascii="Times New Roman" w:hAnsi="Times New Roman" w:cs="Times New Roman"/>
                <w:b/>
                <w:spacing w:val="6"/>
                <w:lang w:eastAsia="en-GB"/>
              </w:rPr>
              <w:t>2016/17</w:t>
            </w:r>
          </w:p>
        </w:tc>
        <w:tc>
          <w:tcPr>
            <w:tcW w:w="614" w:type="pct"/>
            <w:shd w:val="clear" w:color="auto" w:fill="BFBFBF" w:themeFill="background1" w:themeFillShade="BF"/>
          </w:tcPr>
          <w:p w:rsidR="00157687" w:rsidRPr="004A70B7" w:rsidRDefault="00157687" w:rsidP="004A70B7">
            <w:pPr>
              <w:spacing w:before="240" w:after="240" w:line="240" w:lineRule="auto"/>
              <w:jc w:val="right"/>
              <w:rPr>
                <w:rFonts w:ascii="Times New Roman" w:hAnsi="Times New Roman" w:cs="Times New Roman"/>
                <w:strike/>
                <w:spacing w:val="6"/>
                <w:lang w:eastAsia="en-GB"/>
              </w:rPr>
            </w:pPr>
            <w:r w:rsidRPr="004A70B7">
              <w:rPr>
                <w:rFonts w:ascii="Times New Roman" w:hAnsi="Times New Roman" w:cs="Times New Roman"/>
                <w:b/>
                <w:spacing w:val="6"/>
                <w:lang w:eastAsia="en-GB"/>
              </w:rPr>
              <w:t>2017/18</w:t>
            </w:r>
          </w:p>
        </w:tc>
        <w:tc>
          <w:tcPr>
            <w:tcW w:w="689" w:type="pct"/>
            <w:vMerge/>
            <w:shd w:val="clear" w:color="auto" w:fill="BFBFBF" w:themeFill="background1" w:themeFillShade="BF"/>
          </w:tcPr>
          <w:p w:rsidR="00157687" w:rsidRPr="004A70B7" w:rsidRDefault="00157687" w:rsidP="004A70B7">
            <w:pPr>
              <w:spacing w:before="240" w:after="240" w:line="240" w:lineRule="auto"/>
              <w:rPr>
                <w:rFonts w:ascii="Times New Roman" w:hAnsi="Times New Roman" w:cs="Times New Roman"/>
                <w:strike/>
                <w:spacing w:val="6"/>
                <w:lang w:eastAsia="en-GB"/>
              </w:rPr>
            </w:pPr>
          </w:p>
        </w:tc>
        <w:tc>
          <w:tcPr>
            <w:tcW w:w="646" w:type="pct"/>
            <w:vMerge/>
            <w:shd w:val="clear" w:color="auto" w:fill="BFBFBF" w:themeFill="background1" w:themeFillShade="BF"/>
          </w:tcPr>
          <w:p w:rsidR="00157687" w:rsidRPr="004A70B7" w:rsidRDefault="00157687" w:rsidP="004A70B7">
            <w:pPr>
              <w:spacing w:before="240" w:after="240" w:line="240" w:lineRule="auto"/>
              <w:rPr>
                <w:rFonts w:ascii="Times New Roman" w:hAnsi="Times New Roman" w:cs="Times New Roman"/>
                <w:strike/>
                <w:spacing w:val="6"/>
                <w:lang w:eastAsia="en-GB"/>
              </w:rPr>
            </w:pPr>
          </w:p>
        </w:tc>
      </w:tr>
      <w:tr w:rsidR="00157687" w:rsidRPr="004A70B7" w:rsidTr="00A73F14">
        <w:trPr>
          <w:trHeight w:val="17"/>
          <w:jc w:val="center"/>
        </w:trPr>
        <w:tc>
          <w:tcPr>
            <w:tcW w:w="2437"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1: Ministry</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4.4</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4.5</w:t>
            </w:r>
          </w:p>
        </w:tc>
        <w:tc>
          <w:tcPr>
            <w:tcW w:w="689"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2.3%</w:t>
            </w:r>
          </w:p>
        </w:tc>
        <w:tc>
          <w:tcPr>
            <w:tcW w:w="64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-3.8%</w:t>
            </w:r>
          </w:p>
        </w:tc>
      </w:tr>
      <w:tr w:rsidR="00157687" w:rsidRPr="004A70B7" w:rsidTr="00A73F14">
        <w:trPr>
          <w:trHeight w:val="17"/>
          <w:jc w:val="center"/>
        </w:trPr>
        <w:tc>
          <w:tcPr>
            <w:tcW w:w="2437"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2: Management</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105.4</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108.6</w:t>
            </w:r>
          </w:p>
        </w:tc>
        <w:tc>
          <w:tcPr>
            <w:tcW w:w="689"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3.0%</w:t>
            </w:r>
          </w:p>
        </w:tc>
        <w:tc>
          <w:tcPr>
            <w:tcW w:w="64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-3.1%</w:t>
            </w:r>
          </w:p>
        </w:tc>
      </w:tr>
      <w:tr w:rsidR="00157687" w:rsidRPr="004A70B7" w:rsidTr="00A73F14">
        <w:trPr>
          <w:trHeight w:val="17"/>
          <w:jc w:val="center"/>
        </w:trPr>
        <w:tc>
          <w:tcPr>
            <w:tcW w:w="2437" w:type="pct"/>
          </w:tcPr>
          <w:p w:rsidR="00157687" w:rsidRPr="004A70B7" w:rsidRDefault="00157687" w:rsidP="004A70B7">
            <w:pPr>
              <w:spacing w:before="240" w:after="240" w:line="240" w:lineRule="auto"/>
              <w:jc w:val="left"/>
              <w:rPr>
                <w:rFonts w:ascii="Times New Roman" w:hAnsi="Times New Roman" w:cs="Times New Roman"/>
                <w:spacing w:val="6"/>
                <w:lang w:eastAsia="en-GB"/>
              </w:rPr>
            </w:pPr>
            <w:r w:rsidRPr="004A70B7">
              <w:rPr>
                <w:rFonts w:ascii="Times New Roman" w:hAnsi="Times New Roman" w:cs="Times New Roman"/>
                <w:spacing w:val="6"/>
                <w:lang w:eastAsia="en-GB"/>
              </w:rPr>
              <w:lastRenderedPageBreak/>
              <w:t>3: Corporate Services</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221.5</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256.3</w:t>
            </w:r>
          </w:p>
        </w:tc>
        <w:tc>
          <w:tcPr>
            <w:tcW w:w="689"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15.7%</w:t>
            </w:r>
          </w:p>
        </w:tc>
        <w:tc>
          <w:tcPr>
            <w:tcW w:w="64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8.9%</w:t>
            </w:r>
          </w:p>
        </w:tc>
      </w:tr>
      <w:tr w:rsidR="00157687" w:rsidRPr="004A70B7" w:rsidTr="00A73F14">
        <w:trPr>
          <w:trHeight w:val="17"/>
          <w:jc w:val="center"/>
        </w:trPr>
        <w:tc>
          <w:tcPr>
            <w:tcW w:w="2437"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4: Governance</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9.3</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9.6</w:t>
            </w:r>
          </w:p>
        </w:tc>
        <w:tc>
          <w:tcPr>
            <w:tcW w:w="689"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3.2%</w:t>
            </w:r>
          </w:p>
        </w:tc>
        <w:tc>
          <w:tcPr>
            <w:tcW w:w="64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-2.9%</w:t>
            </w:r>
          </w:p>
        </w:tc>
      </w:tr>
      <w:tr w:rsidR="00157687" w:rsidRPr="004A70B7" w:rsidTr="00A73F14">
        <w:trPr>
          <w:trHeight w:val="18"/>
          <w:jc w:val="center"/>
        </w:trPr>
        <w:tc>
          <w:tcPr>
            <w:tcW w:w="2437" w:type="pct"/>
          </w:tcPr>
          <w:p w:rsidR="00157687" w:rsidRPr="004A70B7" w:rsidRDefault="00157687" w:rsidP="004A70B7">
            <w:pPr>
              <w:spacing w:before="240" w:after="240" w:line="240" w:lineRule="auto"/>
              <w:rPr>
                <w:rFonts w:ascii="Times New Roman" w:hAnsi="Times New Roman" w:cs="Times New Roman"/>
                <w:spacing w:val="6"/>
                <w:lang w:eastAsia="en-GB"/>
              </w:rPr>
            </w:pPr>
            <w:r w:rsidRPr="004A70B7">
              <w:rPr>
                <w:rFonts w:ascii="Times New Roman" w:hAnsi="Times New Roman" w:cs="Times New Roman"/>
                <w:spacing w:val="6"/>
                <w:lang w:eastAsia="en-GB"/>
              </w:rPr>
              <w:t>5: Office Accommodation</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4.6</w:t>
            </w:r>
          </w:p>
        </w:tc>
        <w:tc>
          <w:tcPr>
            <w:tcW w:w="614"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4.8</w:t>
            </w:r>
          </w:p>
        </w:tc>
        <w:tc>
          <w:tcPr>
            <w:tcW w:w="689"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4.4%</w:t>
            </w:r>
          </w:p>
        </w:tc>
        <w:tc>
          <w:tcPr>
            <w:tcW w:w="646" w:type="pct"/>
          </w:tcPr>
          <w:p w:rsidR="00157687" w:rsidRPr="004A70B7" w:rsidRDefault="00157687" w:rsidP="004A70B7">
            <w:pPr>
              <w:spacing w:before="240" w:after="240" w:line="240" w:lineRule="auto"/>
              <w:jc w:val="right"/>
              <w:rPr>
                <w:rFonts w:ascii="Times New Roman" w:hAnsi="Times New Roman" w:cs="Times New Roman"/>
                <w:spacing w:val="6"/>
                <w:lang w:eastAsia="en-GB"/>
              </w:rPr>
            </w:pPr>
            <w:r w:rsidRPr="004A70B7">
              <w:rPr>
                <w:rFonts w:ascii="Times New Roman" w:hAnsi="Times New Roman" w:cs="Times New Roman"/>
                <w:spacing w:val="6"/>
                <w:lang w:eastAsia="en-GB"/>
              </w:rPr>
              <w:t>-1.8%</w:t>
            </w:r>
          </w:p>
        </w:tc>
      </w:tr>
      <w:tr w:rsidR="00157687" w:rsidRPr="004A70B7" w:rsidTr="00A73F14">
        <w:trPr>
          <w:trHeight w:val="17"/>
          <w:jc w:val="center"/>
        </w:trPr>
        <w:tc>
          <w:tcPr>
            <w:tcW w:w="2437" w:type="pct"/>
          </w:tcPr>
          <w:p w:rsidR="00157687" w:rsidRPr="004A70B7" w:rsidRDefault="00157687" w:rsidP="004A70B7">
            <w:pPr>
              <w:spacing w:before="240" w:after="240" w:line="240" w:lineRule="auto"/>
              <w:rPr>
                <w:rFonts w:ascii="Times New Roman" w:hAnsi="Times New Roman" w:cs="Times New Roman"/>
                <w:b/>
                <w:spacing w:val="6"/>
                <w:lang w:eastAsia="en-GB"/>
              </w:rPr>
            </w:pPr>
            <w:r w:rsidRPr="004A70B7">
              <w:rPr>
                <w:rFonts w:ascii="Times New Roman" w:hAnsi="Times New Roman" w:cs="Times New Roman"/>
                <w:b/>
                <w:spacing w:val="6"/>
                <w:lang w:eastAsia="en-GB"/>
              </w:rPr>
              <w:t>TOTAL</w:t>
            </w:r>
          </w:p>
        </w:tc>
        <w:tc>
          <w:tcPr>
            <w:tcW w:w="614" w:type="pct"/>
          </w:tcPr>
          <w:p w:rsidR="00157687" w:rsidRPr="004A70B7" w:rsidRDefault="00157687" w:rsidP="004A70B7">
            <w:pPr>
              <w:spacing w:before="240" w:after="240" w:line="240" w:lineRule="auto"/>
              <w:jc w:val="right"/>
              <w:rPr>
                <w:rFonts w:ascii="Times New Roman" w:hAnsi="Times New Roman" w:cs="Times New Roman"/>
                <w:b/>
                <w:spacing w:val="6"/>
                <w:lang w:eastAsia="en-GB"/>
              </w:rPr>
            </w:pPr>
            <w:r w:rsidRPr="004A70B7">
              <w:rPr>
                <w:rFonts w:ascii="Times New Roman" w:hAnsi="Times New Roman" w:cs="Times New Roman"/>
                <w:b/>
                <w:spacing w:val="6"/>
                <w:lang w:eastAsia="en-GB"/>
              </w:rPr>
              <w:t>345.1</w:t>
            </w:r>
          </w:p>
        </w:tc>
        <w:tc>
          <w:tcPr>
            <w:tcW w:w="614" w:type="pct"/>
          </w:tcPr>
          <w:p w:rsidR="00157687" w:rsidRPr="004A70B7" w:rsidRDefault="00157687" w:rsidP="004A70B7">
            <w:pPr>
              <w:spacing w:before="240" w:after="240" w:line="240" w:lineRule="auto"/>
              <w:jc w:val="right"/>
              <w:rPr>
                <w:rFonts w:ascii="Times New Roman" w:hAnsi="Times New Roman" w:cs="Times New Roman"/>
                <w:b/>
                <w:spacing w:val="6"/>
                <w:lang w:eastAsia="en-GB"/>
              </w:rPr>
            </w:pPr>
            <w:r w:rsidRPr="004A70B7">
              <w:rPr>
                <w:rFonts w:ascii="Times New Roman" w:hAnsi="Times New Roman" w:cs="Times New Roman"/>
                <w:b/>
                <w:spacing w:val="6"/>
                <w:lang w:eastAsia="en-GB"/>
              </w:rPr>
              <w:t>383.7</w:t>
            </w:r>
          </w:p>
        </w:tc>
        <w:tc>
          <w:tcPr>
            <w:tcW w:w="689" w:type="pct"/>
          </w:tcPr>
          <w:p w:rsidR="00157687" w:rsidRPr="004A70B7" w:rsidRDefault="00157687" w:rsidP="004A70B7">
            <w:pPr>
              <w:spacing w:before="240" w:after="240" w:line="240" w:lineRule="auto"/>
              <w:jc w:val="right"/>
              <w:rPr>
                <w:rFonts w:ascii="Times New Roman" w:hAnsi="Times New Roman" w:cs="Times New Roman"/>
                <w:b/>
                <w:spacing w:val="6"/>
                <w:lang w:eastAsia="en-GB"/>
              </w:rPr>
            </w:pPr>
            <w:r w:rsidRPr="004A70B7">
              <w:rPr>
                <w:rFonts w:ascii="Times New Roman" w:hAnsi="Times New Roman" w:cs="Times New Roman"/>
                <w:b/>
                <w:spacing w:val="6"/>
                <w:lang w:eastAsia="en-GB"/>
              </w:rPr>
              <w:t>11.2%</w:t>
            </w:r>
          </w:p>
        </w:tc>
        <w:tc>
          <w:tcPr>
            <w:tcW w:w="646" w:type="pct"/>
          </w:tcPr>
          <w:p w:rsidR="00157687" w:rsidRPr="004A70B7" w:rsidRDefault="00157687" w:rsidP="004A70B7">
            <w:pPr>
              <w:spacing w:before="240" w:after="240" w:line="240" w:lineRule="auto"/>
              <w:jc w:val="right"/>
              <w:rPr>
                <w:rFonts w:ascii="Times New Roman" w:hAnsi="Times New Roman" w:cs="Times New Roman"/>
                <w:b/>
                <w:spacing w:val="6"/>
                <w:lang w:eastAsia="en-GB"/>
              </w:rPr>
            </w:pPr>
            <w:r w:rsidRPr="004A70B7">
              <w:rPr>
                <w:rFonts w:ascii="Times New Roman" w:hAnsi="Times New Roman" w:cs="Times New Roman"/>
                <w:b/>
                <w:spacing w:val="6"/>
                <w:lang w:eastAsia="en-GB"/>
              </w:rPr>
              <w:t>4.6%</w:t>
            </w:r>
          </w:p>
        </w:tc>
      </w:tr>
    </w:tbl>
    <w:p w:rsidR="00157687" w:rsidRPr="004A70B7" w:rsidRDefault="00157687" w:rsidP="004A70B7">
      <w:pPr>
        <w:pStyle w:val="Heading3"/>
        <w:spacing w:before="240" w:after="240" w:line="240" w:lineRule="auto"/>
        <w:rPr>
          <w:rFonts w:ascii="Times New Roman" w:hAnsi="Times New Roman" w:cs="Times New Roman"/>
          <w:b/>
          <w:color w:val="auto"/>
        </w:rPr>
      </w:pPr>
      <w:bookmarkStart w:id="3" w:name="_Toc481752186"/>
      <w:r w:rsidRPr="004A70B7">
        <w:rPr>
          <w:rFonts w:ascii="Times New Roman" w:hAnsi="Times New Roman" w:cs="Times New Roman"/>
          <w:b/>
          <w:color w:val="auto"/>
        </w:rPr>
        <w:t>Programme 2: Technology Innovation</w:t>
      </w:r>
      <w:bookmarkEnd w:id="3"/>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purpose of this programme is to enable research and development in space science and technology, energy security and the </w:t>
      </w:r>
      <w:proofErr w:type="spellStart"/>
      <w:r w:rsidRPr="004A70B7">
        <w:rPr>
          <w:rFonts w:ascii="Times New Roman" w:hAnsi="Times New Roman" w:cs="Times New Roman"/>
        </w:rPr>
        <w:t>bioeconomy</w:t>
      </w:r>
      <w:proofErr w:type="spellEnd"/>
      <w:r w:rsidRPr="004A70B7">
        <w:rPr>
          <w:rFonts w:ascii="Times New Roman" w:hAnsi="Times New Roman" w:cs="Times New Roman"/>
        </w:rPr>
        <w:t xml:space="preserve">, and in the merging and converging areas of nanotechnology, robotics, photonics and indigenous knowledge systems, to promote the realisation of commercial products, processes and services. The programme further promotes the protection and utilisation of intellectual property, technology transfer and technology commercialisation through the implementation of enabling policies and interventions along the entire innovation value chain.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In the 2017/18 financial year, this programme has seen an increase in budget allocation, from R1005.4 million in 2016/17 to R1073.6 million in 2017/18.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budget allocation for this programme </w:t>
      </w:r>
      <w:proofErr w:type="gramStart"/>
      <w:r w:rsidRPr="004A70B7">
        <w:rPr>
          <w:rFonts w:ascii="Times New Roman" w:hAnsi="Times New Roman" w:cs="Times New Roman"/>
        </w:rPr>
        <w:t>is divided</w:t>
      </w:r>
      <w:proofErr w:type="gramEnd"/>
      <w:r w:rsidRPr="004A70B7">
        <w:rPr>
          <w:rFonts w:ascii="Times New Roman" w:hAnsi="Times New Roman" w:cs="Times New Roman"/>
        </w:rPr>
        <w:t xml:space="preserve"> amongst its sub-programmes as follows:</w:t>
      </w:r>
    </w:p>
    <w:p w:rsidR="00157687" w:rsidRPr="004A70B7" w:rsidRDefault="00157687" w:rsidP="004A70B7">
      <w:pPr>
        <w:spacing w:before="240" w:after="240" w:line="240" w:lineRule="auto"/>
        <w:rPr>
          <w:rFonts w:ascii="Times New Roman" w:hAnsi="Times New Roman" w:cs="Times New Roman"/>
          <w:b/>
        </w:rPr>
      </w:pPr>
      <w:r w:rsidRPr="004A70B7">
        <w:rPr>
          <w:rFonts w:ascii="Times New Roman" w:hAnsi="Times New Roman" w:cs="Times New Roman"/>
          <w:b/>
        </w:rPr>
        <w:t xml:space="preserve">Table </w:t>
      </w:r>
      <w:r w:rsidR="0012197F" w:rsidRPr="004A70B7">
        <w:rPr>
          <w:rFonts w:ascii="Times New Roman" w:hAnsi="Times New Roman" w:cs="Times New Roman"/>
          <w:b/>
        </w:rPr>
        <w:t>4</w:t>
      </w:r>
      <w:r w:rsidRPr="004A70B7">
        <w:rPr>
          <w:rFonts w:ascii="Times New Roman" w:hAnsi="Times New Roman" w:cs="Times New Roman"/>
          <w:b/>
        </w:rPr>
        <w:t>: Programme 2: Technology Innovation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9"/>
        <w:gridCol w:w="2193"/>
        <w:gridCol w:w="2214"/>
      </w:tblGrid>
      <w:tr w:rsidR="00157687" w:rsidRPr="004A70B7" w:rsidTr="00757711">
        <w:trPr>
          <w:jc w:val="center"/>
        </w:trPr>
        <w:tc>
          <w:tcPr>
            <w:tcW w:w="2699" w:type="pct"/>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Sub-programme</w:t>
            </w:r>
          </w:p>
        </w:tc>
        <w:tc>
          <w:tcPr>
            <w:tcW w:w="1145"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Budget</w:t>
            </w:r>
          </w:p>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2017/18</w:t>
            </w:r>
          </w:p>
        </w:tc>
        <w:tc>
          <w:tcPr>
            <w:tcW w:w="1156"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Percentage of total programme budget</w:t>
            </w:r>
          </w:p>
        </w:tc>
      </w:tr>
      <w:tr w:rsidR="00157687" w:rsidRPr="004A70B7" w:rsidTr="00757711">
        <w:trPr>
          <w:jc w:val="center"/>
        </w:trPr>
        <w:tc>
          <w:tcPr>
            <w:tcW w:w="5000" w:type="pct"/>
            <w:gridSpan w:val="3"/>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R million</w:t>
            </w:r>
          </w:p>
        </w:tc>
      </w:tr>
      <w:tr w:rsidR="00157687" w:rsidRPr="004A70B7" w:rsidTr="00757711">
        <w:trPr>
          <w:jc w:val="center"/>
        </w:trPr>
        <w:tc>
          <w:tcPr>
            <w:tcW w:w="269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Space Science</w:t>
            </w:r>
          </w:p>
        </w:tc>
        <w:tc>
          <w:tcPr>
            <w:tcW w:w="1145" w:type="pct"/>
          </w:tcPr>
          <w:p w:rsidR="00157687" w:rsidRPr="004A70B7" w:rsidRDefault="00157687" w:rsidP="004A70B7">
            <w:pPr>
              <w:tabs>
                <w:tab w:val="center" w:pos="924"/>
                <w:tab w:val="right" w:pos="1849"/>
              </w:tabs>
              <w:spacing w:before="240" w:after="240" w:line="240" w:lineRule="auto"/>
              <w:jc w:val="lef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ab/>
            </w:r>
            <w:r w:rsidRPr="004A70B7">
              <w:rPr>
                <w:rFonts w:ascii="Times New Roman" w:hAnsi="Times New Roman" w:cs="Times New Roman"/>
                <w:color w:val="000000"/>
                <w:spacing w:val="6"/>
                <w:lang w:eastAsia="en-GB"/>
              </w:rPr>
              <w:tab/>
              <w:t>173.4</w:t>
            </w:r>
          </w:p>
        </w:tc>
        <w:tc>
          <w:tcPr>
            <w:tcW w:w="115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16.2%</w:t>
            </w:r>
          </w:p>
        </w:tc>
      </w:tr>
      <w:tr w:rsidR="00157687" w:rsidRPr="004A70B7" w:rsidTr="00757711">
        <w:trPr>
          <w:jc w:val="center"/>
        </w:trPr>
        <w:tc>
          <w:tcPr>
            <w:tcW w:w="269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Hydrogen and Energy</w:t>
            </w:r>
          </w:p>
        </w:tc>
        <w:tc>
          <w:tcPr>
            <w:tcW w:w="1145"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156.8</w:t>
            </w:r>
          </w:p>
        </w:tc>
        <w:tc>
          <w:tcPr>
            <w:tcW w:w="115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14.6%</w:t>
            </w:r>
          </w:p>
        </w:tc>
      </w:tr>
      <w:tr w:rsidR="00157687" w:rsidRPr="004A70B7" w:rsidTr="00757711">
        <w:trPr>
          <w:jc w:val="center"/>
        </w:trPr>
        <w:tc>
          <w:tcPr>
            <w:tcW w:w="2699" w:type="pct"/>
          </w:tcPr>
          <w:p w:rsidR="00157687" w:rsidRPr="004A70B7" w:rsidRDefault="00157687" w:rsidP="004A70B7">
            <w:pPr>
              <w:spacing w:before="240" w:after="240" w:line="240" w:lineRule="auto"/>
              <w:jc w:val="lef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 xml:space="preserve">3: </w:t>
            </w:r>
            <w:proofErr w:type="spellStart"/>
            <w:r w:rsidRPr="004A70B7">
              <w:rPr>
                <w:rFonts w:ascii="Times New Roman" w:hAnsi="Times New Roman" w:cs="Times New Roman"/>
                <w:color w:val="000000"/>
                <w:spacing w:val="6"/>
                <w:lang w:eastAsia="en-GB"/>
              </w:rPr>
              <w:t>Bioeconomy</w:t>
            </w:r>
            <w:proofErr w:type="spellEnd"/>
          </w:p>
        </w:tc>
        <w:tc>
          <w:tcPr>
            <w:tcW w:w="1145"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156.1</w:t>
            </w:r>
          </w:p>
        </w:tc>
        <w:tc>
          <w:tcPr>
            <w:tcW w:w="115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14.5%</w:t>
            </w:r>
          </w:p>
        </w:tc>
      </w:tr>
      <w:tr w:rsidR="00157687" w:rsidRPr="004A70B7" w:rsidTr="00757711">
        <w:trPr>
          <w:jc w:val="center"/>
        </w:trPr>
        <w:tc>
          <w:tcPr>
            <w:tcW w:w="269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lastRenderedPageBreak/>
              <w:t>4: Innovation Priorities and Instruments</w:t>
            </w:r>
          </w:p>
        </w:tc>
        <w:tc>
          <w:tcPr>
            <w:tcW w:w="1145"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540.5</w:t>
            </w:r>
          </w:p>
        </w:tc>
        <w:tc>
          <w:tcPr>
            <w:tcW w:w="115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50.3%</w:t>
            </w:r>
          </w:p>
        </w:tc>
      </w:tr>
      <w:tr w:rsidR="00157687" w:rsidRPr="004A70B7" w:rsidTr="00757711">
        <w:trPr>
          <w:jc w:val="center"/>
        </w:trPr>
        <w:tc>
          <w:tcPr>
            <w:tcW w:w="269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 National Intellectual Property Management Office</w:t>
            </w:r>
          </w:p>
        </w:tc>
        <w:tc>
          <w:tcPr>
            <w:tcW w:w="1145"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46.8</w:t>
            </w:r>
          </w:p>
        </w:tc>
        <w:tc>
          <w:tcPr>
            <w:tcW w:w="115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4.4%</w:t>
            </w:r>
          </w:p>
        </w:tc>
      </w:tr>
      <w:tr w:rsidR="00157687" w:rsidRPr="004A70B7" w:rsidTr="00757711">
        <w:trPr>
          <w:jc w:val="center"/>
        </w:trPr>
        <w:tc>
          <w:tcPr>
            <w:tcW w:w="2699" w:type="pct"/>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1145"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1073.6</w:t>
            </w:r>
          </w:p>
        </w:tc>
        <w:tc>
          <w:tcPr>
            <w:tcW w:w="1156"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100.0%</w:t>
            </w:r>
          </w:p>
        </w:tc>
      </w:tr>
    </w:tbl>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Table </w:t>
      </w:r>
      <w:r w:rsidR="0012197F" w:rsidRPr="004A70B7">
        <w:rPr>
          <w:rFonts w:ascii="Times New Roman" w:hAnsi="Times New Roman" w:cs="Times New Roman"/>
        </w:rPr>
        <w:t>5</w:t>
      </w:r>
      <w:r w:rsidRPr="004A70B7">
        <w:rPr>
          <w:rFonts w:ascii="Times New Roman" w:hAnsi="Times New Roman" w:cs="Times New Roman"/>
        </w:rPr>
        <w:t xml:space="preserve"> reflects how budget allocations per sub-programme has changed between financial years 2016/17 and 2017/18.</w:t>
      </w:r>
    </w:p>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 xml:space="preserve">Table </w:t>
      </w:r>
      <w:r w:rsidR="0012197F" w:rsidRPr="004A70B7">
        <w:rPr>
          <w:rFonts w:ascii="Times New Roman" w:hAnsi="Times New Roman" w:cs="Times New Roman"/>
          <w:b/>
          <w:color w:val="000000"/>
          <w:spacing w:val="6"/>
          <w:lang w:eastAsia="en-GB"/>
        </w:rPr>
        <w:t>5</w:t>
      </w:r>
      <w:r w:rsidRPr="004A70B7">
        <w:rPr>
          <w:rFonts w:ascii="Times New Roman" w:hAnsi="Times New Roman" w:cs="Times New Roman"/>
          <w:b/>
          <w:color w:val="000000"/>
          <w:spacing w:val="6"/>
          <w:lang w:eastAsia="en-GB"/>
        </w:rPr>
        <w:t>: Change to allocations per sub-programme for Programme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5"/>
        <w:gridCol w:w="1176"/>
        <w:gridCol w:w="1176"/>
        <w:gridCol w:w="1320"/>
        <w:gridCol w:w="1239"/>
      </w:tblGrid>
      <w:tr w:rsidR="00157687" w:rsidRPr="004A70B7" w:rsidTr="00757711">
        <w:trPr>
          <w:trHeight w:val="779"/>
          <w:jc w:val="center"/>
        </w:trPr>
        <w:tc>
          <w:tcPr>
            <w:tcW w:w="2436" w:type="pct"/>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Sub-programme</w:t>
            </w:r>
          </w:p>
        </w:tc>
        <w:tc>
          <w:tcPr>
            <w:tcW w:w="1228" w:type="pct"/>
            <w:gridSpan w:val="2"/>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 xml:space="preserve">Budget </w:t>
            </w:r>
          </w:p>
        </w:tc>
        <w:tc>
          <w:tcPr>
            <w:tcW w:w="689"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Nominal per cent change in 2017/18</w:t>
            </w:r>
          </w:p>
        </w:tc>
        <w:tc>
          <w:tcPr>
            <w:tcW w:w="647"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Real per cent change in 2017/18</w:t>
            </w:r>
          </w:p>
        </w:tc>
      </w:tr>
      <w:tr w:rsidR="00157687" w:rsidRPr="004A70B7" w:rsidTr="00757711">
        <w:trPr>
          <w:jc w:val="center"/>
        </w:trPr>
        <w:tc>
          <w:tcPr>
            <w:tcW w:w="2436" w:type="pct"/>
            <w:shd w:val="clear" w:color="auto" w:fill="auto"/>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color w:val="000000"/>
                <w:spacing w:val="6"/>
                <w:lang w:eastAsia="en-GB"/>
              </w:rPr>
              <w:t>R million</w:t>
            </w:r>
          </w:p>
        </w:tc>
        <w:tc>
          <w:tcPr>
            <w:tcW w:w="614"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2016/17</w:t>
            </w:r>
          </w:p>
        </w:tc>
        <w:tc>
          <w:tcPr>
            <w:tcW w:w="614"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2017/18</w:t>
            </w:r>
          </w:p>
        </w:tc>
        <w:tc>
          <w:tcPr>
            <w:tcW w:w="689"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c>
          <w:tcPr>
            <w:tcW w:w="647"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Space Science</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166.9</w:t>
            </w:r>
          </w:p>
        </w:tc>
        <w:tc>
          <w:tcPr>
            <w:tcW w:w="614" w:type="pct"/>
          </w:tcPr>
          <w:p w:rsidR="00157687" w:rsidRPr="004A70B7" w:rsidRDefault="00157687" w:rsidP="004A70B7">
            <w:pPr>
              <w:tabs>
                <w:tab w:val="center" w:pos="924"/>
                <w:tab w:val="right" w:pos="1849"/>
              </w:tabs>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ab/>
              <w:t>173.4</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3.9%</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-2.3%</w:t>
            </w: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Hydrogen and Energy</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152.2</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156.8</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3.0%</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-3.1%</w:t>
            </w:r>
          </w:p>
        </w:tc>
      </w:tr>
      <w:tr w:rsidR="00157687" w:rsidRPr="004A70B7" w:rsidTr="00757711">
        <w:trPr>
          <w:jc w:val="center"/>
        </w:trPr>
        <w:tc>
          <w:tcPr>
            <w:tcW w:w="2436" w:type="pct"/>
          </w:tcPr>
          <w:p w:rsidR="00157687" w:rsidRPr="004A70B7" w:rsidRDefault="00157687" w:rsidP="004A70B7">
            <w:pPr>
              <w:spacing w:before="240" w:after="240" w:line="240" w:lineRule="auto"/>
              <w:jc w:val="lef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 xml:space="preserve">3: </w:t>
            </w:r>
            <w:proofErr w:type="spellStart"/>
            <w:r w:rsidRPr="004A70B7">
              <w:rPr>
                <w:rFonts w:ascii="Times New Roman" w:hAnsi="Times New Roman" w:cs="Times New Roman"/>
                <w:color w:val="000000"/>
                <w:spacing w:val="6"/>
                <w:lang w:eastAsia="en-GB"/>
              </w:rPr>
              <w:t>Bioeconomy</w:t>
            </w:r>
            <w:proofErr w:type="spellEnd"/>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138.1</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156.1</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13.0%</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6.3%</w:t>
            </w: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 Innovation Priorities and Instruments</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521.4</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540.5</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3.7%</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w:t>
            </w: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 National Intellectual Property Management Office</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26.8</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46.8</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74.6%</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64.3%</w:t>
            </w: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614"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1005.4</w:t>
            </w:r>
          </w:p>
        </w:tc>
        <w:tc>
          <w:tcPr>
            <w:tcW w:w="614"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1073.6</w:t>
            </w:r>
          </w:p>
        </w:tc>
        <w:tc>
          <w:tcPr>
            <w:tcW w:w="689"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6.8%</w:t>
            </w:r>
          </w:p>
        </w:tc>
        <w:tc>
          <w:tcPr>
            <w:tcW w:w="647"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0.5%</w:t>
            </w:r>
          </w:p>
        </w:tc>
      </w:tr>
    </w:tbl>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National Intellectual Property Management Office (NIPMO) is the implementing office for the IPR Act. In </w:t>
      </w:r>
      <w:proofErr w:type="gramStart"/>
      <w:r w:rsidRPr="004A70B7">
        <w:rPr>
          <w:rFonts w:ascii="Times New Roman" w:hAnsi="Times New Roman" w:cs="Times New Roman"/>
        </w:rPr>
        <w:t>2016/17</w:t>
      </w:r>
      <w:proofErr w:type="gramEnd"/>
      <w:r w:rsidRPr="004A70B7">
        <w:rPr>
          <w:rFonts w:ascii="Times New Roman" w:hAnsi="Times New Roman" w:cs="Times New Roman"/>
        </w:rPr>
        <w:t xml:space="preserve"> a review of NIPMO and the impact of the IPR Act was undertaken.</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lastRenderedPageBreak/>
        <w:t xml:space="preserve">The outcome of this review will inform amendments to the IPR Act that </w:t>
      </w:r>
      <w:proofErr w:type="gramStart"/>
      <w:r w:rsidRPr="004A70B7">
        <w:rPr>
          <w:rFonts w:ascii="Times New Roman" w:hAnsi="Times New Roman" w:cs="Times New Roman"/>
        </w:rPr>
        <w:t>will be initiated</w:t>
      </w:r>
      <w:proofErr w:type="gramEnd"/>
      <w:r w:rsidRPr="004A70B7">
        <w:rPr>
          <w:rFonts w:ascii="Times New Roman" w:hAnsi="Times New Roman" w:cs="Times New Roman"/>
        </w:rPr>
        <w:t xml:space="preserve"> in 2017/18. The NIPMO sub-programme has received quite a substantial budgetary increase compared to the previous financial </w:t>
      </w:r>
      <w:proofErr w:type="gramStart"/>
      <w:r w:rsidRPr="004A70B7">
        <w:rPr>
          <w:rFonts w:ascii="Times New Roman" w:hAnsi="Times New Roman" w:cs="Times New Roman"/>
        </w:rPr>
        <w:t>year which</w:t>
      </w:r>
      <w:proofErr w:type="gramEnd"/>
      <w:r w:rsidRPr="004A70B7">
        <w:rPr>
          <w:rFonts w:ascii="Times New Roman" w:hAnsi="Times New Roman" w:cs="Times New Roman"/>
        </w:rPr>
        <w:t xml:space="preserve"> may be linked to these activities.</w:t>
      </w:r>
    </w:p>
    <w:p w:rsidR="00157687" w:rsidRPr="004A70B7" w:rsidRDefault="00157687" w:rsidP="004A70B7">
      <w:pPr>
        <w:pStyle w:val="Heading3"/>
        <w:spacing w:before="240" w:after="240" w:line="240" w:lineRule="auto"/>
        <w:rPr>
          <w:rFonts w:ascii="Times New Roman" w:hAnsi="Times New Roman" w:cs="Times New Roman"/>
          <w:b/>
          <w:color w:val="auto"/>
        </w:rPr>
      </w:pPr>
      <w:bookmarkStart w:id="4" w:name="_Toc481752187"/>
      <w:r w:rsidRPr="004A70B7">
        <w:rPr>
          <w:rFonts w:ascii="Times New Roman" w:hAnsi="Times New Roman" w:cs="Times New Roman"/>
          <w:b/>
          <w:color w:val="auto"/>
        </w:rPr>
        <w:t>Programme 3: International Cooperation and Resources</w:t>
      </w:r>
      <w:bookmarkEnd w:id="4"/>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purpose of Programme 3 is to strategically develop, promote and manage international partnerships that strengthen the national system of innovation. The programme further enables an exchange of knowledge, capacity and resources between South Africa and its international partners, with a focus on supporting science, technology and innovation capacity building in Africa. The programme also supports foreign policy through science diplomacy.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In the 2017/18 financial year, this programme has seen an increase in budget allocation, from R124.5 million in 2016/17 to R128.7 million in 2017/18.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budget allocation for this programme </w:t>
      </w:r>
      <w:proofErr w:type="gramStart"/>
      <w:r w:rsidRPr="004A70B7">
        <w:rPr>
          <w:rFonts w:ascii="Times New Roman" w:hAnsi="Times New Roman" w:cs="Times New Roman"/>
        </w:rPr>
        <w:t>is divided</w:t>
      </w:r>
      <w:proofErr w:type="gramEnd"/>
      <w:r w:rsidRPr="004A70B7">
        <w:rPr>
          <w:rFonts w:ascii="Times New Roman" w:hAnsi="Times New Roman" w:cs="Times New Roman"/>
        </w:rPr>
        <w:t xml:space="preserve"> amongst its sub-programmes as follows:</w:t>
      </w:r>
    </w:p>
    <w:p w:rsidR="00157687" w:rsidRPr="004A70B7" w:rsidRDefault="00157687" w:rsidP="004A70B7">
      <w:pPr>
        <w:spacing w:before="240" w:after="240" w:line="240" w:lineRule="auto"/>
        <w:rPr>
          <w:rFonts w:ascii="Times New Roman" w:hAnsi="Times New Roman" w:cs="Times New Roman"/>
          <w:b/>
        </w:rPr>
      </w:pPr>
      <w:r w:rsidRPr="004A70B7">
        <w:rPr>
          <w:rFonts w:ascii="Times New Roman" w:hAnsi="Times New Roman" w:cs="Times New Roman"/>
          <w:b/>
        </w:rPr>
        <w:t xml:space="preserve">Table </w:t>
      </w:r>
      <w:r w:rsidR="002F0CF5" w:rsidRPr="004A70B7">
        <w:rPr>
          <w:rFonts w:ascii="Times New Roman" w:hAnsi="Times New Roman" w:cs="Times New Roman"/>
          <w:b/>
        </w:rPr>
        <w:t>6</w:t>
      </w:r>
      <w:r w:rsidRPr="004A70B7">
        <w:rPr>
          <w:rFonts w:ascii="Times New Roman" w:hAnsi="Times New Roman" w:cs="Times New Roman"/>
          <w:b/>
        </w:rPr>
        <w:t>: Programme 3: International Cooperation and Resources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3"/>
        <w:gridCol w:w="1711"/>
        <w:gridCol w:w="1842"/>
      </w:tblGrid>
      <w:tr w:rsidR="00157687" w:rsidRPr="004A70B7" w:rsidTr="002F0CF5">
        <w:trPr>
          <w:jc w:val="center"/>
        </w:trPr>
        <w:tc>
          <w:tcPr>
            <w:tcW w:w="6527" w:type="dxa"/>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Sub-programme</w:t>
            </w:r>
          </w:p>
        </w:tc>
        <w:tc>
          <w:tcPr>
            <w:tcW w:w="1757" w:type="dxa"/>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Budget 2017/2018</w:t>
            </w:r>
          </w:p>
        </w:tc>
        <w:tc>
          <w:tcPr>
            <w:tcW w:w="1882" w:type="dxa"/>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Percentage of total programme budget</w:t>
            </w:r>
          </w:p>
        </w:tc>
      </w:tr>
      <w:tr w:rsidR="00157687" w:rsidRPr="004A70B7" w:rsidTr="002F0CF5">
        <w:trPr>
          <w:jc w:val="center"/>
        </w:trPr>
        <w:tc>
          <w:tcPr>
            <w:tcW w:w="10166" w:type="dxa"/>
            <w:gridSpan w:val="3"/>
          </w:tcPr>
          <w:p w:rsidR="00157687" w:rsidRPr="004A70B7" w:rsidRDefault="00157687" w:rsidP="004A70B7">
            <w:pPr>
              <w:spacing w:before="240" w:after="240" w:line="240" w:lineRule="auto"/>
              <w:rPr>
                <w:rFonts w:ascii="Times New Roman" w:hAnsi="Times New Roman" w:cs="Times New Roman"/>
                <w:strike/>
                <w:color w:val="000000"/>
                <w:spacing w:val="6"/>
                <w:lang w:eastAsia="en-GB"/>
              </w:rPr>
            </w:pPr>
            <w:r w:rsidRPr="004A70B7">
              <w:rPr>
                <w:rFonts w:ascii="Times New Roman" w:hAnsi="Times New Roman" w:cs="Times New Roman"/>
                <w:color w:val="000000"/>
                <w:spacing w:val="6"/>
                <w:lang w:eastAsia="en-GB"/>
              </w:rPr>
              <w:t>R million</w:t>
            </w:r>
          </w:p>
        </w:tc>
      </w:tr>
      <w:tr w:rsidR="00157687" w:rsidRPr="004A70B7" w:rsidTr="002F0CF5">
        <w:trPr>
          <w:jc w:val="center"/>
        </w:trPr>
        <w:tc>
          <w:tcPr>
            <w:tcW w:w="6527"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Multilateral Cooperation and Africa</w:t>
            </w:r>
          </w:p>
        </w:tc>
        <w:tc>
          <w:tcPr>
            <w:tcW w:w="1757"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29.6</w:t>
            </w:r>
          </w:p>
        </w:tc>
        <w:tc>
          <w:tcPr>
            <w:tcW w:w="1882"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23.0%</w:t>
            </w:r>
          </w:p>
        </w:tc>
      </w:tr>
      <w:tr w:rsidR="00157687" w:rsidRPr="004A70B7" w:rsidTr="002F0CF5">
        <w:trPr>
          <w:jc w:val="center"/>
        </w:trPr>
        <w:tc>
          <w:tcPr>
            <w:tcW w:w="6527"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International Resources</w:t>
            </w:r>
          </w:p>
        </w:tc>
        <w:tc>
          <w:tcPr>
            <w:tcW w:w="1757"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59.5</w:t>
            </w:r>
          </w:p>
        </w:tc>
        <w:tc>
          <w:tcPr>
            <w:tcW w:w="1882"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46.2%</w:t>
            </w:r>
          </w:p>
        </w:tc>
      </w:tr>
      <w:tr w:rsidR="00157687" w:rsidRPr="004A70B7" w:rsidTr="002F0CF5">
        <w:trPr>
          <w:jc w:val="center"/>
        </w:trPr>
        <w:tc>
          <w:tcPr>
            <w:tcW w:w="6527"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 Overseas Bilateral Cooperation</w:t>
            </w:r>
          </w:p>
        </w:tc>
        <w:tc>
          <w:tcPr>
            <w:tcW w:w="1757"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39.6</w:t>
            </w:r>
          </w:p>
        </w:tc>
        <w:tc>
          <w:tcPr>
            <w:tcW w:w="1882"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30.8%</w:t>
            </w:r>
          </w:p>
        </w:tc>
      </w:tr>
      <w:tr w:rsidR="00157687" w:rsidRPr="004A70B7" w:rsidTr="002F0CF5">
        <w:trPr>
          <w:jc w:val="center"/>
        </w:trPr>
        <w:tc>
          <w:tcPr>
            <w:tcW w:w="6527" w:type="dxa"/>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1757" w:type="dxa"/>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128.7</w:t>
            </w:r>
          </w:p>
        </w:tc>
        <w:tc>
          <w:tcPr>
            <w:tcW w:w="1882" w:type="dxa"/>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100.0%</w:t>
            </w:r>
          </w:p>
        </w:tc>
      </w:tr>
    </w:tbl>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Table </w:t>
      </w:r>
      <w:r w:rsidR="00F20A17" w:rsidRPr="004A70B7">
        <w:rPr>
          <w:rFonts w:ascii="Times New Roman" w:hAnsi="Times New Roman" w:cs="Times New Roman"/>
        </w:rPr>
        <w:t>7</w:t>
      </w:r>
      <w:r w:rsidRPr="004A70B7">
        <w:rPr>
          <w:rFonts w:ascii="Times New Roman" w:hAnsi="Times New Roman" w:cs="Times New Roman"/>
        </w:rPr>
        <w:t xml:space="preserve"> below reflects how budget allocations per sub-programme has changed between financial years 2016/17 and 2017/18.</w:t>
      </w:r>
    </w:p>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 xml:space="preserve">Table </w:t>
      </w:r>
      <w:r w:rsidR="00F20A17" w:rsidRPr="004A70B7">
        <w:rPr>
          <w:rFonts w:ascii="Times New Roman" w:hAnsi="Times New Roman" w:cs="Times New Roman"/>
          <w:b/>
          <w:color w:val="000000"/>
          <w:spacing w:val="6"/>
          <w:lang w:eastAsia="en-GB"/>
        </w:rPr>
        <w:t>7</w:t>
      </w:r>
      <w:r w:rsidRPr="004A70B7">
        <w:rPr>
          <w:rFonts w:ascii="Times New Roman" w:hAnsi="Times New Roman" w:cs="Times New Roman"/>
          <w:b/>
          <w:color w:val="000000"/>
          <w:spacing w:val="6"/>
          <w:lang w:eastAsia="en-GB"/>
        </w:rPr>
        <w:t>: Change to allocations per sub-programme for Programme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1176"/>
        <w:gridCol w:w="1176"/>
        <w:gridCol w:w="1320"/>
        <w:gridCol w:w="1239"/>
      </w:tblGrid>
      <w:tr w:rsidR="00157687" w:rsidRPr="004A70B7" w:rsidTr="00757711">
        <w:trPr>
          <w:trHeight w:val="779"/>
          <w:jc w:val="center"/>
        </w:trPr>
        <w:tc>
          <w:tcPr>
            <w:tcW w:w="2436" w:type="pct"/>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lastRenderedPageBreak/>
              <w:t>Sub-programme</w:t>
            </w:r>
          </w:p>
        </w:tc>
        <w:tc>
          <w:tcPr>
            <w:tcW w:w="1228" w:type="pct"/>
            <w:gridSpan w:val="2"/>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 xml:space="preserve">Budget </w:t>
            </w:r>
          </w:p>
        </w:tc>
        <w:tc>
          <w:tcPr>
            <w:tcW w:w="689"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Nominal per cent change in 2017/18</w:t>
            </w:r>
          </w:p>
        </w:tc>
        <w:tc>
          <w:tcPr>
            <w:tcW w:w="647"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Real per cent change in 2017/18</w:t>
            </w:r>
          </w:p>
        </w:tc>
      </w:tr>
      <w:tr w:rsidR="00157687" w:rsidRPr="004A70B7" w:rsidTr="00757711">
        <w:trPr>
          <w:jc w:val="center"/>
        </w:trPr>
        <w:tc>
          <w:tcPr>
            <w:tcW w:w="2436" w:type="pct"/>
            <w:shd w:val="clear" w:color="auto" w:fill="auto"/>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color w:val="000000"/>
                <w:spacing w:val="6"/>
                <w:lang w:eastAsia="en-GB"/>
              </w:rPr>
              <w:t>R million</w:t>
            </w:r>
          </w:p>
        </w:tc>
        <w:tc>
          <w:tcPr>
            <w:tcW w:w="614"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2016/17</w:t>
            </w:r>
          </w:p>
        </w:tc>
        <w:tc>
          <w:tcPr>
            <w:tcW w:w="614"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2017/18</w:t>
            </w:r>
          </w:p>
        </w:tc>
        <w:tc>
          <w:tcPr>
            <w:tcW w:w="689"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c>
          <w:tcPr>
            <w:tcW w:w="647"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Multilateral Cooperation and Africa</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28.7</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29.6</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3.1%</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-3.0%</w:t>
            </w: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International Resources</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57.5</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59.5</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3.5%</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-2.7%</w:t>
            </w: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 Overseas Bilateral Cooperation</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38.3</w:t>
            </w:r>
          </w:p>
        </w:tc>
        <w:tc>
          <w:tcPr>
            <w:tcW w:w="614"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39.6</w:t>
            </w:r>
          </w:p>
        </w:tc>
        <w:tc>
          <w:tcPr>
            <w:tcW w:w="689"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3.4%</w:t>
            </w:r>
          </w:p>
        </w:tc>
        <w:tc>
          <w:tcPr>
            <w:tcW w:w="64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-2.7%</w:t>
            </w:r>
          </w:p>
        </w:tc>
      </w:tr>
      <w:tr w:rsidR="00157687" w:rsidRPr="004A70B7" w:rsidTr="00757711">
        <w:trPr>
          <w:jc w:val="center"/>
        </w:trPr>
        <w:tc>
          <w:tcPr>
            <w:tcW w:w="2436" w:type="pct"/>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614"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124.5</w:t>
            </w:r>
          </w:p>
        </w:tc>
        <w:tc>
          <w:tcPr>
            <w:tcW w:w="614"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128.7</w:t>
            </w:r>
          </w:p>
        </w:tc>
        <w:tc>
          <w:tcPr>
            <w:tcW w:w="689"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3.4%</w:t>
            </w:r>
          </w:p>
        </w:tc>
        <w:tc>
          <w:tcPr>
            <w:tcW w:w="647"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-2.8%</w:t>
            </w:r>
          </w:p>
        </w:tc>
      </w:tr>
    </w:tbl>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There have been no significant changes in budgetary allocations for each of the sub-programmes.</w:t>
      </w:r>
    </w:p>
    <w:p w:rsidR="00157687" w:rsidRPr="004A70B7" w:rsidRDefault="00157687" w:rsidP="004A70B7">
      <w:pPr>
        <w:pStyle w:val="Heading3"/>
        <w:spacing w:before="240" w:after="240" w:line="240" w:lineRule="auto"/>
        <w:rPr>
          <w:rFonts w:ascii="Times New Roman" w:hAnsi="Times New Roman" w:cs="Times New Roman"/>
          <w:b/>
          <w:color w:val="auto"/>
        </w:rPr>
      </w:pPr>
      <w:bookmarkStart w:id="5" w:name="_Toc481752188"/>
      <w:r w:rsidRPr="004A70B7">
        <w:rPr>
          <w:rFonts w:ascii="Times New Roman" w:hAnsi="Times New Roman" w:cs="Times New Roman"/>
          <w:b/>
          <w:color w:val="auto"/>
        </w:rPr>
        <w:t>Programme 4: Research, Development and Support</w:t>
      </w:r>
      <w:bookmarkEnd w:id="5"/>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The purpose of this programme is to provide an enabling environment for research and knowledge production that promotes the strategic development of basic sciences and priority science areas, through the promotion of science, human capital development, and the provision of research infrastructure and relevant research support, in pursuit of South Africa’s transition to a knowledge economy.</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Programme 4 receives the bulk of the total budget, R4.3 </w:t>
      </w:r>
      <w:proofErr w:type="gramStart"/>
      <w:r w:rsidRPr="004A70B7">
        <w:rPr>
          <w:rFonts w:ascii="Times New Roman" w:hAnsi="Times New Roman" w:cs="Times New Roman"/>
        </w:rPr>
        <w:t>billion</w:t>
      </w:r>
      <w:proofErr w:type="gramEnd"/>
      <w:r w:rsidRPr="004A70B7">
        <w:rPr>
          <w:rFonts w:ascii="Times New Roman" w:hAnsi="Times New Roman" w:cs="Times New Roman"/>
        </w:rPr>
        <w:t xml:space="preserve"> or 57.6 per cent.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Table </w:t>
      </w:r>
      <w:r w:rsidR="004E1F45" w:rsidRPr="004A70B7">
        <w:rPr>
          <w:rFonts w:ascii="Times New Roman" w:hAnsi="Times New Roman" w:cs="Times New Roman"/>
        </w:rPr>
        <w:t xml:space="preserve">8 </w:t>
      </w:r>
      <w:r w:rsidRPr="004A70B7">
        <w:rPr>
          <w:rFonts w:ascii="Times New Roman" w:hAnsi="Times New Roman" w:cs="Times New Roman"/>
        </w:rPr>
        <w:t>provides an overview of the budget allocation per sub-programme.</w:t>
      </w:r>
    </w:p>
    <w:p w:rsidR="004A70B7" w:rsidRDefault="004A70B7">
      <w:pPr>
        <w:spacing w:line="240" w:lineRule="auto"/>
        <w:jc w:val="left"/>
        <w:rPr>
          <w:rFonts w:ascii="Times New Roman" w:hAnsi="Times New Roman" w:cs="Times New Roman"/>
          <w:b/>
          <w:color w:val="000000"/>
          <w:spacing w:val="6"/>
          <w:lang w:eastAsia="en-GB"/>
        </w:rPr>
      </w:pPr>
      <w:r>
        <w:rPr>
          <w:rFonts w:ascii="Times New Roman" w:hAnsi="Times New Roman" w:cs="Times New Roman"/>
          <w:b/>
          <w:color w:val="000000"/>
          <w:spacing w:val="6"/>
          <w:lang w:eastAsia="en-GB"/>
        </w:rPr>
        <w:br w:type="page"/>
      </w:r>
    </w:p>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lastRenderedPageBreak/>
        <w:t xml:space="preserve">Table </w:t>
      </w:r>
      <w:r w:rsidR="004E1F45" w:rsidRPr="004A70B7">
        <w:rPr>
          <w:rFonts w:ascii="Times New Roman" w:hAnsi="Times New Roman" w:cs="Times New Roman"/>
          <w:b/>
          <w:color w:val="000000"/>
          <w:spacing w:val="6"/>
          <w:lang w:eastAsia="en-GB"/>
        </w:rPr>
        <w:t>8</w:t>
      </w:r>
      <w:r w:rsidRPr="004A70B7">
        <w:rPr>
          <w:rFonts w:ascii="Times New Roman" w:hAnsi="Times New Roman" w:cs="Times New Roman"/>
          <w:b/>
          <w:color w:val="000000"/>
          <w:spacing w:val="6"/>
          <w:lang w:eastAsia="en-GB"/>
        </w:rPr>
        <w:t>: Programme 4: Research, Development and Support</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2"/>
        <w:gridCol w:w="1770"/>
        <w:gridCol w:w="2293"/>
      </w:tblGrid>
      <w:tr w:rsidR="00157687" w:rsidRPr="004A70B7" w:rsidTr="004A70B7">
        <w:tc>
          <w:tcPr>
            <w:tcW w:w="5562" w:type="dxa"/>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Sub-programme</w:t>
            </w:r>
          </w:p>
        </w:tc>
        <w:tc>
          <w:tcPr>
            <w:tcW w:w="1770" w:type="dxa"/>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Budget 2017/18</w:t>
            </w:r>
          </w:p>
        </w:tc>
        <w:tc>
          <w:tcPr>
            <w:tcW w:w="2293" w:type="dxa"/>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Percentage of total programme budget</w:t>
            </w:r>
          </w:p>
        </w:tc>
      </w:tr>
      <w:tr w:rsidR="00157687" w:rsidRPr="004A70B7" w:rsidTr="004A70B7">
        <w:tc>
          <w:tcPr>
            <w:tcW w:w="5562"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R million</w:t>
            </w:r>
          </w:p>
        </w:tc>
        <w:tc>
          <w:tcPr>
            <w:tcW w:w="1770" w:type="dxa"/>
          </w:tcPr>
          <w:p w:rsidR="00157687" w:rsidRPr="004A70B7" w:rsidRDefault="00157687" w:rsidP="004A70B7">
            <w:pPr>
              <w:spacing w:before="240" w:after="240" w:line="240" w:lineRule="auto"/>
              <w:jc w:val="right"/>
              <w:rPr>
                <w:rFonts w:ascii="Times New Roman" w:hAnsi="Times New Roman" w:cs="Times New Roman"/>
                <w:strike/>
                <w:color w:val="000000"/>
                <w:spacing w:val="6"/>
                <w:lang w:eastAsia="en-GB"/>
              </w:rPr>
            </w:pPr>
          </w:p>
        </w:tc>
        <w:tc>
          <w:tcPr>
            <w:tcW w:w="2293" w:type="dxa"/>
          </w:tcPr>
          <w:p w:rsidR="00157687" w:rsidRPr="004A70B7" w:rsidRDefault="00157687" w:rsidP="004A70B7">
            <w:pPr>
              <w:spacing w:before="240" w:after="240" w:line="240" w:lineRule="auto"/>
              <w:rPr>
                <w:rFonts w:ascii="Times New Roman" w:hAnsi="Times New Roman" w:cs="Times New Roman"/>
                <w:strike/>
                <w:color w:val="000000"/>
                <w:spacing w:val="6"/>
                <w:lang w:eastAsia="en-GB"/>
              </w:rPr>
            </w:pPr>
          </w:p>
        </w:tc>
      </w:tr>
      <w:tr w:rsidR="00157687" w:rsidRPr="004A70B7" w:rsidTr="004A70B7">
        <w:tc>
          <w:tcPr>
            <w:tcW w:w="5562"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Human Capital and Science Promotions</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2424.8</w:t>
            </w:r>
          </w:p>
        </w:tc>
        <w:tc>
          <w:tcPr>
            <w:tcW w:w="2293"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55.8%</w:t>
            </w:r>
          </w:p>
        </w:tc>
      </w:tr>
      <w:tr w:rsidR="00157687" w:rsidRPr="004A70B7" w:rsidTr="004A70B7">
        <w:tc>
          <w:tcPr>
            <w:tcW w:w="5562"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Science Missions</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213.0</w:t>
            </w:r>
          </w:p>
        </w:tc>
        <w:tc>
          <w:tcPr>
            <w:tcW w:w="2293"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4.9%</w:t>
            </w:r>
          </w:p>
        </w:tc>
      </w:tr>
      <w:tr w:rsidR="00157687" w:rsidRPr="004A70B7" w:rsidTr="004A70B7">
        <w:tc>
          <w:tcPr>
            <w:tcW w:w="5562"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 Basic Science and Infrastructure</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976.6</w:t>
            </w:r>
          </w:p>
        </w:tc>
        <w:tc>
          <w:tcPr>
            <w:tcW w:w="2293"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22.5%</w:t>
            </w:r>
          </w:p>
        </w:tc>
      </w:tr>
      <w:tr w:rsidR="00157687" w:rsidRPr="004A70B7" w:rsidTr="004A70B7">
        <w:tc>
          <w:tcPr>
            <w:tcW w:w="5562"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 Astronomy</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734.5</w:t>
            </w:r>
          </w:p>
        </w:tc>
        <w:tc>
          <w:tcPr>
            <w:tcW w:w="2293"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16.9%</w:t>
            </w:r>
          </w:p>
        </w:tc>
      </w:tr>
      <w:tr w:rsidR="00157687" w:rsidRPr="004A70B7" w:rsidTr="004A70B7">
        <w:tc>
          <w:tcPr>
            <w:tcW w:w="5562" w:type="dxa"/>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1770" w:type="dxa"/>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4348.9</w:t>
            </w:r>
          </w:p>
        </w:tc>
        <w:tc>
          <w:tcPr>
            <w:tcW w:w="2293" w:type="dxa"/>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100.0%</w:t>
            </w:r>
          </w:p>
        </w:tc>
      </w:tr>
    </w:tbl>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Table </w:t>
      </w:r>
      <w:r w:rsidR="006E4904" w:rsidRPr="004A70B7">
        <w:rPr>
          <w:rFonts w:ascii="Times New Roman" w:hAnsi="Times New Roman" w:cs="Times New Roman"/>
        </w:rPr>
        <w:t>9</w:t>
      </w:r>
      <w:r w:rsidRPr="004A70B7">
        <w:rPr>
          <w:rFonts w:ascii="Times New Roman" w:hAnsi="Times New Roman" w:cs="Times New Roman"/>
        </w:rPr>
        <w:t xml:space="preserve"> reflects how budget allocations per sub-programme has changed between financial years 2016/17 and 2017/18.</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b/>
          <w:color w:val="000000"/>
          <w:spacing w:val="6"/>
          <w:lang w:eastAsia="en-GB"/>
        </w:rPr>
        <w:t xml:space="preserve">Table </w:t>
      </w:r>
      <w:r w:rsidR="006E4904" w:rsidRPr="004A70B7">
        <w:rPr>
          <w:rFonts w:ascii="Times New Roman" w:hAnsi="Times New Roman" w:cs="Times New Roman"/>
          <w:b/>
          <w:color w:val="000000"/>
          <w:spacing w:val="6"/>
          <w:lang w:eastAsia="en-GB"/>
        </w:rPr>
        <w:t>9</w:t>
      </w:r>
      <w:r w:rsidRPr="004A70B7">
        <w:rPr>
          <w:rFonts w:ascii="Times New Roman" w:hAnsi="Times New Roman" w:cs="Times New Roman"/>
          <w:b/>
          <w:color w:val="000000"/>
          <w:spacing w:val="6"/>
          <w:lang w:eastAsia="en-GB"/>
        </w:rPr>
        <w:t>: Change to allocations per sub-programme for Programme 4</w:t>
      </w:r>
    </w:p>
    <w:tbl>
      <w:tblPr>
        <w:tblW w:w="54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1175"/>
        <w:gridCol w:w="1177"/>
        <w:gridCol w:w="1642"/>
        <w:gridCol w:w="1706"/>
      </w:tblGrid>
      <w:tr w:rsidR="00157687" w:rsidRPr="004A70B7" w:rsidTr="004A70B7">
        <w:trPr>
          <w:trHeight w:val="779"/>
          <w:jc w:val="center"/>
        </w:trPr>
        <w:tc>
          <w:tcPr>
            <w:tcW w:w="2250" w:type="pct"/>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Sub-programme</w:t>
            </w:r>
          </w:p>
        </w:tc>
        <w:tc>
          <w:tcPr>
            <w:tcW w:w="1135" w:type="pct"/>
            <w:gridSpan w:val="2"/>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 xml:space="preserve">Budget </w:t>
            </w:r>
          </w:p>
        </w:tc>
        <w:tc>
          <w:tcPr>
            <w:tcW w:w="792"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Nominal per cent change in 2017/18</w:t>
            </w:r>
          </w:p>
        </w:tc>
        <w:tc>
          <w:tcPr>
            <w:tcW w:w="823"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Real per cent change in 2017/18</w:t>
            </w:r>
          </w:p>
        </w:tc>
      </w:tr>
      <w:tr w:rsidR="00157687" w:rsidRPr="004A70B7" w:rsidTr="004A70B7">
        <w:trPr>
          <w:trHeight w:val="665"/>
          <w:jc w:val="center"/>
        </w:trPr>
        <w:tc>
          <w:tcPr>
            <w:tcW w:w="2250" w:type="pct"/>
            <w:shd w:val="clear" w:color="auto" w:fill="auto"/>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color w:val="000000"/>
                <w:spacing w:val="6"/>
                <w:lang w:eastAsia="en-GB"/>
              </w:rPr>
              <w:t>R million</w:t>
            </w:r>
          </w:p>
        </w:tc>
        <w:tc>
          <w:tcPr>
            <w:tcW w:w="567"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2016/17</w:t>
            </w:r>
          </w:p>
        </w:tc>
        <w:tc>
          <w:tcPr>
            <w:tcW w:w="568"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2017/18</w:t>
            </w:r>
          </w:p>
        </w:tc>
        <w:tc>
          <w:tcPr>
            <w:tcW w:w="792"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c>
          <w:tcPr>
            <w:tcW w:w="823"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r>
      <w:tr w:rsidR="00157687" w:rsidRPr="004A70B7" w:rsidTr="004A70B7">
        <w:tblPrEx>
          <w:jc w:val="left"/>
        </w:tblPrEx>
        <w:tc>
          <w:tcPr>
            <w:tcW w:w="225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Human Capital and Science Promotions</w:t>
            </w:r>
          </w:p>
        </w:tc>
        <w:tc>
          <w:tcPr>
            <w:tcW w:w="56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2357.4</w:t>
            </w:r>
          </w:p>
        </w:tc>
        <w:tc>
          <w:tcPr>
            <w:tcW w:w="56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2424.8</w:t>
            </w:r>
          </w:p>
        </w:tc>
        <w:tc>
          <w:tcPr>
            <w:tcW w:w="79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2.9%</w:t>
            </w:r>
          </w:p>
        </w:tc>
        <w:tc>
          <w:tcPr>
            <w:tcW w:w="823"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-3.2%</w:t>
            </w:r>
          </w:p>
        </w:tc>
      </w:tr>
      <w:tr w:rsidR="00157687" w:rsidRPr="004A70B7" w:rsidTr="004A70B7">
        <w:tblPrEx>
          <w:jc w:val="left"/>
        </w:tblPrEx>
        <w:tc>
          <w:tcPr>
            <w:tcW w:w="225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Science Missions</w:t>
            </w:r>
          </w:p>
        </w:tc>
        <w:tc>
          <w:tcPr>
            <w:tcW w:w="56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215.5</w:t>
            </w:r>
          </w:p>
        </w:tc>
        <w:tc>
          <w:tcPr>
            <w:tcW w:w="56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213.0</w:t>
            </w:r>
          </w:p>
        </w:tc>
        <w:tc>
          <w:tcPr>
            <w:tcW w:w="79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-1.2%</w:t>
            </w:r>
          </w:p>
        </w:tc>
        <w:tc>
          <w:tcPr>
            <w:tcW w:w="823"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-7.0%</w:t>
            </w:r>
          </w:p>
        </w:tc>
      </w:tr>
      <w:tr w:rsidR="00157687" w:rsidRPr="004A70B7" w:rsidTr="004A70B7">
        <w:tblPrEx>
          <w:jc w:val="left"/>
        </w:tblPrEx>
        <w:tc>
          <w:tcPr>
            <w:tcW w:w="225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 Basic Science and Infrastructure</w:t>
            </w:r>
          </w:p>
        </w:tc>
        <w:tc>
          <w:tcPr>
            <w:tcW w:w="56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906.5</w:t>
            </w:r>
          </w:p>
        </w:tc>
        <w:tc>
          <w:tcPr>
            <w:tcW w:w="56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976.6</w:t>
            </w:r>
          </w:p>
        </w:tc>
        <w:tc>
          <w:tcPr>
            <w:tcW w:w="79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7.7%</w:t>
            </w:r>
          </w:p>
        </w:tc>
        <w:tc>
          <w:tcPr>
            <w:tcW w:w="823"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1.4%</w:t>
            </w:r>
          </w:p>
        </w:tc>
      </w:tr>
      <w:tr w:rsidR="00157687" w:rsidRPr="004A70B7" w:rsidTr="004A70B7">
        <w:tblPrEx>
          <w:jc w:val="left"/>
        </w:tblPrEx>
        <w:tc>
          <w:tcPr>
            <w:tcW w:w="2250"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 Astronomy</w:t>
            </w:r>
          </w:p>
        </w:tc>
        <w:tc>
          <w:tcPr>
            <w:tcW w:w="567"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691.5</w:t>
            </w:r>
          </w:p>
        </w:tc>
        <w:tc>
          <w:tcPr>
            <w:tcW w:w="568"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734.5</w:t>
            </w:r>
          </w:p>
        </w:tc>
        <w:tc>
          <w:tcPr>
            <w:tcW w:w="79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6.2%</w:t>
            </w:r>
          </w:p>
        </w:tc>
        <w:tc>
          <w:tcPr>
            <w:tcW w:w="823"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-0.1%</w:t>
            </w:r>
          </w:p>
        </w:tc>
      </w:tr>
      <w:tr w:rsidR="00157687" w:rsidRPr="004A70B7" w:rsidTr="004A70B7">
        <w:tblPrEx>
          <w:jc w:val="left"/>
        </w:tblPrEx>
        <w:tc>
          <w:tcPr>
            <w:tcW w:w="2250" w:type="pct"/>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lastRenderedPageBreak/>
              <w:t>TOTAL</w:t>
            </w:r>
          </w:p>
        </w:tc>
        <w:tc>
          <w:tcPr>
            <w:tcW w:w="567"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4171.0</w:t>
            </w:r>
          </w:p>
        </w:tc>
        <w:tc>
          <w:tcPr>
            <w:tcW w:w="568"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4348.9</w:t>
            </w:r>
          </w:p>
        </w:tc>
        <w:tc>
          <w:tcPr>
            <w:tcW w:w="792"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4.3%</w:t>
            </w:r>
          </w:p>
        </w:tc>
        <w:tc>
          <w:tcPr>
            <w:tcW w:w="823"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-1.9%</w:t>
            </w:r>
          </w:p>
        </w:tc>
      </w:tr>
    </w:tbl>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pStyle w:val="Heading3"/>
        <w:spacing w:before="240" w:after="240" w:line="240" w:lineRule="auto"/>
        <w:rPr>
          <w:rFonts w:ascii="Times New Roman" w:hAnsi="Times New Roman" w:cs="Times New Roman"/>
          <w:b/>
          <w:color w:val="auto"/>
        </w:rPr>
      </w:pPr>
      <w:bookmarkStart w:id="6" w:name="_Toc481752189"/>
      <w:r w:rsidRPr="004A70B7">
        <w:rPr>
          <w:rFonts w:ascii="Times New Roman" w:hAnsi="Times New Roman" w:cs="Times New Roman"/>
          <w:b/>
          <w:color w:val="auto"/>
        </w:rPr>
        <w:t>Programme 5: Socio-Economic Innovation Partnerships</w:t>
      </w:r>
      <w:bookmarkEnd w:id="6"/>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The purpose of Programme 5 is to enhance the growth and development priority areas of government through targeted science and technology-based innovations, and the development of strategic partnerships with other government departments, industry, research institutions and communities.</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Programme 5 receives the second biggest allocation of the total budget of the Department at R1.6 </w:t>
      </w:r>
      <w:proofErr w:type="gramStart"/>
      <w:r w:rsidRPr="004A70B7">
        <w:rPr>
          <w:rFonts w:ascii="Times New Roman" w:hAnsi="Times New Roman" w:cs="Times New Roman"/>
        </w:rPr>
        <w:t>billion</w:t>
      </w:r>
      <w:proofErr w:type="gramEnd"/>
      <w:r w:rsidRPr="004A70B7">
        <w:rPr>
          <w:rFonts w:ascii="Times New Roman" w:hAnsi="Times New Roman" w:cs="Times New Roman"/>
        </w:rPr>
        <w:t xml:space="preserve">, which is a decrease in allocation compared to the 2016/17 allocation of R1.8 billion </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Table 1</w:t>
      </w:r>
      <w:r w:rsidR="006E4904" w:rsidRPr="004A70B7">
        <w:rPr>
          <w:rFonts w:ascii="Times New Roman" w:hAnsi="Times New Roman" w:cs="Times New Roman"/>
        </w:rPr>
        <w:t>0</w:t>
      </w:r>
      <w:r w:rsidRPr="004A70B7">
        <w:rPr>
          <w:rFonts w:ascii="Times New Roman" w:hAnsi="Times New Roman" w:cs="Times New Roman"/>
        </w:rPr>
        <w:t xml:space="preserve"> provides an overview of the budget allocation per sub-programme.</w:t>
      </w:r>
    </w:p>
    <w:p w:rsidR="00A73F14" w:rsidRPr="004A70B7" w:rsidRDefault="00A73F14" w:rsidP="004A70B7">
      <w:pPr>
        <w:spacing w:before="240" w:after="240" w:line="240" w:lineRule="auto"/>
        <w:jc w:val="left"/>
        <w:rPr>
          <w:rFonts w:ascii="Times New Roman" w:hAnsi="Times New Roman" w:cs="Times New Roman"/>
          <w:b/>
          <w:color w:val="000000"/>
          <w:spacing w:val="6"/>
          <w:lang w:eastAsia="en-GB"/>
        </w:rPr>
      </w:pPr>
    </w:p>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Table 1</w:t>
      </w:r>
      <w:r w:rsidR="006E4904" w:rsidRPr="004A70B7">
        <w:rPr>
          <w:rFonts w:ascii="Times New Roman" w:hAnsi="Times New Roman" w:cs="Times New Roman"/>
          <w:b/>
          <w:color w:val="000000"/>
          <w:spacing w:val="6"/>
          <w:lang w:eastAsia="en-GB"/>
        </w:rPr>
        <w:t>0</w:t>
      </w:r>
      <w:r w:rsidRPr="004A70B7">
        <w:rPr>
          <w:rFonts w:ascii="Times New Roman" w:hAnsi="Times New Roman" w:cs="Times New Roman"/>
          <w:b/>
          <w:color w:val="000000"/>
          <w:spacing w:val="6"/>
          <w:lang w:eastAsia="en-GB"/>
        </w:rPr>
        <w:t>: Programme 5: Socio-Economic Innovation and Partnerships</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5"/>
        <w:gridCol w:w="1770"/>
        <w:gridCol w:w="1910"/>
      </w:tblGrid>
      <w:tr w:rsidR="00157687" w:rsidRPr="004A70B7" w:rsidTr="00A73F14">
        <w:tc>
          <w:tcPr>
            <w:tcW w:w="5755" w:type="dxa"/>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Sub-programme</w:t>
            </w:r>
          </w:p>
        </w:tc>
        <w:tc>
          <w:tcPr>
            <w:tcW w:w="1770" w:type="dxa"/>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Budget 2017/18</w:t>
            </w:r>
          </w:p>
        </w:tc>
        <w:tc>
          <w:tcPr>
            <w:tcW w:w="1910" w:type="dxa"/>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Percentage of total programme budget</w:t>
            </w:r>
          </w:p>
        </w:tc>
      </w:tr>
      <w:tr w:rsidR="00157687" w:rsidRPr="004A70B7" w:rsidTr="00A73F14">
        <w:tc>
          <w:tcPr>
            <w:tcW w:w="5755"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R million</w:t>
            </w:r>
          </w:p>
        </w:tc>
        <w:tc>
          <w:tcPr>
            <w:tcW w:w="1770" w:type="dxa"/>
          </w:tcPr>
          <w:p w:rsidR="00157687" w:rsidRPr="004A70B7" w:rsidRDefault="00157687" w:rsidP="004A70B7">
            <w:pPr>
              <w:spacing w:before="240" w:after="240" w:line="240" w:lineRule="auto"/>
              <w:jc w:val="right"/>
              <w:rPr>
                <w:rFonts w:ascii="Times New Roman" w:hAnsi="Times New Roman" w:cs="Times New Roman"/>
                <w:strike/>
                <w:color w:val="000000"/>
                <w:spacing w:val="6"/>
                <w:lang w:eastAsia="en-GB"/>
              </w:rPr>
            </w:pPr>
          </w:p>
        </w:tc>
        <w:tc>
          <w:tcPr>
            <w:tcW w:w="1910" w:type="dxa"/>
          </w:tcPr>
          <w:p w:rsidR="00157687" w:rsidRPr="004A70B7" w:rsidRDefault="00157687" w:rsidP="004A70B7">
            <w:pPr>
              <w:spacing w:before="240" w:after="240" w:line="240" w:lineRule="auto"/>
              <w:rPr>
                <w:rFonts w:ascii="Times New Roman" w:hAnsi="Times New Roman" w:cs="Times New Roman"/>
                <w:strike/>
                <w:color w:val="000000"/>
                <w:spacing w:val="6"/>
                <w:lang w:eastAsia="en-GB"/>
              </w:rPr>
            </w:pPr>
          </w:p>
        </w:tc>
      </w:tr>
      <w:tr w:rsidR="00157687" w:rsidRPr="004A70B7" w:rsidTr="00A73F14">
        <w:tc>
          <w:tcPr>
            <w:tcW w:w="5755"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Sector Innovation and Green Economy</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982.7</w:t>
            </w:r>
          </w:p>
        </w:tc>
        <w:tc>
          <w:tcPr>
            <w:tcW w:w="191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60.6%</w:t>
            </w:r>
          </w:p>
        </w:tc>
      </w:tr>
      <w:tr w:rsidR="00157687" w:rsidRPr="004A70B7" w:rsidTr="00A73F14">
        <w:tc>
          <w:tcPr>
            <w:tcW w:w="5755"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Innovation for Inclusive Development</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256.6</w:t>
            </w:r>
          </w:p>
        </w:tc>
        <w:tc>
          <w:tcPr>
            <w:tcW w:w="191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22.0%</w:t>
            </w:r>
          </w:p>
        </w:tc>
      </w:tr>
      <w:tr w:rsidR="00157687" w:rsidRPr="004A70B7" w:rsidTr="00A73F14">
        <w:tc>
          <w:tcPr>
            <w:tcW w:w="5755"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 Science and Technology Investment</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25.3</w:t>
            </w:r>
          </w:p>
        </w:tc>
        <w:tc>
          <w:tcPr>
            <w:tcW w:w="191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1.6%</w:t>
            </w:r>
          </w:p>
        </w:tc>
      </w:tr>
      <w:tr w:rsidR="00157687" w:rsidRPr="004A70B7" w:rsidTr="00A73F14">
        <w:tc>
          <w:tcPr>
            <w:tcW w:w="5755" w:type="dxa"/>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 Technology Localisation, Beneficiation and Advanced Manufacturing</w:t>
            </w:r>
          </w:p>
        </w:tc>
        <w:tc>
          <w:tcPr>
            <w:tcW w:w="177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257.8</w:t>
            </w:r>
          </w:p>
        </w:tc>
        <w:tc>
          <w:tcPr>
            <w:tcW w:w="1910" w:type="dxa"/>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15.9%</w:t>
            </w:r>
          </w:p>
        </w:tc>
      </w:tr>
      <w:tr w:rsidR="00157687" w:rsidRPr="004A70B7" w:rsidTr="00A73F14">
        <w:tc>
          <w:tcPr>
            <w:tcW w:w="5755" w:type="dxa"/>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1770" w:type="dxa"/>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1622.3</w:t>
            </w:r>
          </w:p>
        </w:tc>
        <w:tc>
          <w:tcPr>
            <w:tcW w:w="1910" w:type="dxa"/>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100%</w:t>
            </w:r>
          </w:p>
        </w:tc>
      </w:tr>
    </w:tbl>
    <w:p w:rsidR="00157687" w:rsidRPr="004A70B7" w:rsidRDefault="00157687" w:rsidP="004A70B7">
      <w:pPr>
        <w:spacing w:before="240" w:after="240" w:line="240" w:lineRule="auto"/>
        <w:rPr>
          <w:rFonts w:ascii="Times New Roman" w:hAnsi="Times New Roman" w:cs="Times New Roman"/>
        </w:rPr>
      </w:pP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lastRenderedPageBreak/>
        <w:t>Table 1</w:t>
      </w:r>
      <w:r w:rsidR="006E4904" w:rsidRPr="004A70B7">
        <w:rPr>
          <w:rFonts w:ascii="Times New Roman" w:hAnsi="Times New Roman" w:cs="Times New Roman"/>
        </w:rPr>
        <w:t>1</w:t>
      </w:r>
      <w:r w:rsidRPr="004A70B7">
        <w:rPr>
          <w:rFonts w:ascii="Times New Roman" w:hAnsi="Times New Roman" w:cs="Times New Roman"/>
        </w:rPr>
        <w:t xml:space="preserve"> provides an overview of the budget allocation per sub-programme.</w:t>
      </w:r>
    </w:p>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b/>
          <w:color w:val="000000"/>
          <w:spacing w:val="6"/>
          <w:lang w:eastAsia="en-GB"/>
        </w:rPr>
        <w:t>Table 1</w:t>
      </w:r>
      <w:r w:rsidR="006E4904" w:rsidRPr="004A70B7">
        <w:rPr>
          <w:rFonts w:ascii="Times New Roman" w:hAnsi="Times New Roman" w:cs="Times New Roman"/>
          <w:b/>
          <w:color w:val="000000"/>
          <w:spacing w:val="6"/>
          <w:lang w:eastAsia="en-GB"/>
        </w:rPr>
        <w:t>1</w:t>
      </w:r>
      <w:r w:rsidRPr="004A70B7">
        <w:rPr>
          <w:rFonts w:ascii="Times New Roman" w:hAnsi="Times New Roman" w:cs="Times New Roman"/>
          <w:b/>
          <w:color w:val="000000"/>
          <w:spacing w:val="6"/>
          <w:lang w:eastAsia="en-GB"/>
        </w:rPr>
        <w:t>: Change to allocations per sub-programme for Programme 5</w:t>
      </w:r>
    </w:p>
    <w:tbl>
      <w:tblPr>
        <w:tblW w:w="5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6"/>
        <w:gridCol w:w="1083"/>
        <w:gridCol w:w="1178"/>
        <w:gridCol w:w="1703"/>
        <w:gridCol w:w="1751"/>
      </w:tblGrid>
      <w:tr w:rsidR="00157687" w:rsidRPr="004A70B7" w:rsidTr="00A73F14">
        <w:trPr>
          <w:trHeight w:val="779"/>
          <w:jc w:val="center"/>
        </w:trPr>
        <w:tc>
          <w:tcPr>
            <w:tcW w:w="2349" w:type="pct"/>
            <w:shd w:val="clear" w:color="auto" w:fill="D9D9D9"/>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Sub-programme</w:t>
            </w:r>
          </w:p>
        </w:tc>
        <w:tc>
          <w:tcPr>
            <w:tcW w:w="1048" w:type="pct"/>
            <w:gridSpan w:val="2"/>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 xml:space="preserve">Budget </w:t>
            </w:r>
          </w:p>
        </w:tc>
        <w:tc>
          <w:tcPr>
            <w:tcW w:w="790"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Nominal per cent change in 2017/18</w:t>
            </w:r>
          </w:p>
        </w:tc>
        <w:tc>
          <w:tcPr>
            <w:tcW w:w="812" w:type="pct"/>
            <w:vMerge w:val="restar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Real per cent change in 2017/18</w:t>
            </w:r>
          </w:p>
        </w:tc>
      </w:tr>
      <w:tr w:rsidR="00A73F14" w:rsidRPr="004A70B7" w:rsidTr="00A73F14">
        <w:trPr>
          <w:jc w:val="center"/>
        </w:trPr>
        <w:tc>
          <w:tcPr>
            <w:tcW w:w="2349" w:type="pct"/>
            <w:shd w:val="clear" w:color="auto" w:fill="auto"/>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color w:val="000000"/>
                <w:spacing w:val="6"/>
                <w:lang w:eastAsia="en-GB"/>
              </w:rPr>
              <w:t>R million</w:t>
            </w:r>
          </w:p>
        </w:tc>
        <w:tc>
          <w:tcPr>
            <w:tcW w:w="502"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2016/17</w:t>
            </w:r>
          </w:p>
        </w:tc>
        <w:tc>
          <w:tcPr>
            <w:tcW w:w="546" w:type="pct"/>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2017/18</w:t>
            </w:r>
          </w:p>
        </w:tc>
        <w:tc>
          <w:tcPr>
            <w:tcW w:w="790"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c>
          <w:tcPr>
            <w:tcW w:w="812" w:type="pct"/>
            <w:vMerge/>
            <w:shd w:val="clear" w:color="auto" w:fill="D9D9D9"/>
          </w:tcPr>
          <w:p w:rsidR="00157687" w:rsidRPr="004A70B7" w:rsidRDefault="00157687" w:rsidP="004A70B7">
            <w:pPr>
              <w:spacing w:before="240" w:after="240" w:line="240" w:lineRule="auto"/>
              <w:jc w:val="center"/>
              <w:rPr>
                <w:rFonts w:ascii="Times New Roman" w:hAnsi="Times New Roman" w:cs="Times New Roman"/>
                <w:b/>
                <w:color w:val="000000"/>
                <w:spacing w:val="6"/>
                <w:lang w:eastAsia="en-GB"/>
              </w:rPr>
            </w:pPr>
          </w:p>
        </w:tc>
      </w:tr>
      <w:tr w:rsidR="00157687" w:rsidRPr="004A70B7" w:rsidTr="00A73F14">
        <w:tblPrEx>
          <w:jc w:val="left"/>
        </w:tblPrEx>
        <w:tc>
          <w:tcPr>
            <w:tcW w:w="234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 Sector Innovation and Green Economy</w:t>
            </w:r>
          </w:p>
        </w:tc>
        <w:tc>
          <w:tcPr>
            <w:tcW w:w="50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932.2</w:t>
            </w:r>
          </w:p>
        </w:tc>
        <w:tc>
          <w:tcPr>
            <w:tcW w:w="54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982.7</w:t>
            </w:r>
          </w:p>
        </w:tc>
        <w:tc>
          <w:tcPr>
            <w:tcW w:w="790"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5.4%</w:t>
            </w:r>
          </w:p>
        </w:tc>
        <w:tc>
          <w:tcPr>
            <w:tcW w:w="81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-0.9%</w:t>
            </w:r>
          </w:p>
        </w:tc>
      </w:tr>
      <w:tr w:rsidR="00157687" w:rsidRPr="004A70B7" w:rsidTr="00A73F14">
        <w:tblPrEx>
          <w:jc w:val="left"/>
        </w:tblPrEx>
        <w:tc>
          <w:tcPr>
            <w:tcW w:w="234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 Innovation for Inclusive Development</w:t>
            </w:r>
          </w:p>
        </w:tc>
        <w:tc>
          <w:tcPr>
            <w:tcW w:w="50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349.5</w:t>
            </w:r>
          </w:p>
        </w:tc>
        <w:tc>
          <w:tcPr>
            <w:tcW w:w="54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256.6</w:t>
            </w:r>
          </w:p>
        </w:tc>
        <w:tc>
          <w:tcPr>
            <w:tcW w:w="790"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2.0%</w:t>
            </w:r>
          </w:p>
        </w:tc>
        <w:tc>
          <w:tcPr>
            <w:tcW w:w="81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-4.0%</w:t>
            </w:r>
          </w:p>
        </w:tc>
      </w:tr>
      <w:tr w:rsidR="00157687" w:rsidRPr="004A70B7" w:rsidTr="00A73F14">
        <w:tblPrEx>
          <w:jc w:val="left"/>
        </w:tblPrEx>
        <w:tc>
          <w:tcPr>
            <w:tcW w:w="234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3: Science and Technology Investment</w:t>
            </w:r>
          </w:p>
        </w:tc>
        <w:tc>
          <w:tcPr>
            <w:tcW w:w="50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28.5</w:t>
            </w:r>
          </w:p>
        </w:tc>
        <w:tc>
          <w:tcPr>
            <w:tcW w:w="54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25.3</w:t>
            </w:r>
          </w:p>
        </w:tc>
        <w:tc>
          <w:tcPr>
            <w:tcW w:w="790"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-11.2%</w:t>
            </w:r>
          </w:p>
        </w:tc>
        <w:tc>
          <w:tcPr>
            <w:tcW w:w="81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-16.5%</w:t>
            </w:r>
          </w:p>
        </w:tc>
      </w:tr>
      <w:tr w:rsidR="00157687" w:rsidRPr="004A70B7" w:rsidTr="00A73F14">
        <w:tblPrEx>
          <w:jc w:val="left"/>
        </w:tblPrEx>
        <w:tc>
          <w:tcPr>
            <w:tcW w:w="2349" w:type="pct"/>
          </w:tcPr>
          <w:p w:rsidR="00157687" w:rsidRPr="004A70B7" w:rsidRDefault="00157687" w:rsidP="004A70B7">
            <w:pPr>
              <w:spacing w:before="240" w:after="240" w:line="240" w:lineRule="auto"/>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 Technology Localisation, Beneficiation and Advanced Manufacturing</w:t>
            </w:r>
          </w:p>
        </w:tc>
        <w:tc>
          <w:tcPr>
            <w:tcW w:w="50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472.3</w:t>
            </w:r>
          </w:p>
        </w:tc>
        <w:tc>
          <w:tcPr>
            <w:tcW w:w="546"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257.8</w:t>
            </w:r>
          </w:p>
        </w:tc>
        <w:tc>
          <w:tcPr>
            <w:tcW w:w="790"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-45.4%</w:t>
            </w:r>
          </w:p>
        </w:tc>
        <w:tc>
          <w:tcPr>
            <w:tcW w:w="812" w:type="pct"/>
          </w:tcPr>
          <w:p w:rsidR="00157687" w:rsidRPr="004A70B7" w:rsidRDefault="00157687" w:rsidP="004A70B7">
            <w:pPr>
              <w:spacing w:before="240" w:after="240" w:line="240" w:lineRule="auto"/>
              <w:jc w:val="right"/>
              <w:rPr>
                <w:rFonts w:ascii="Times New Roman" w:hAnsi="Times New Roman" w:cs="Times New Roman"/>
                <w:color w:val="000000"/>
                <w:spacing w:val="6"/>
                <w:lang w:eastAsia="en-GB"/>
              </w:rPr>
            </w:pPr>
            <w:r w:rsidRPr="004A70B7">
              <w:rPr>
                <w:rFonts w:ascii="Times New Roman" w:hAnsi="Times New Roman" w:cs="Times New Roman"/>
                <w:color w:val="000000"/>
                <w:spacing w:val="6"/>
                <w:lang w:eastAsia="en-GB"/>
              </w:rPr>
              <w:t>-48.7%</w:t>
            </w:r>
          </w:p>
        </w:tc>
      </w:tr>
      <w:tr w:rsidR="00157687" w:rsidRPr="004A70B7" w:rsidTr="00A73F14">
        <w:tblPrEx>
          <w:jc w:val="left"/>
        </w:tblPrEx>
        <w:tc>
          <w:tcPr>
            <w:tcW w:w="2349" w:type="pct"/>
          </w:tcPr>
          <w:p w:rsidR="00157687" w:rsidRPr="004A70B7" w:rsidRDefault="00157687" w:rsidP="004A70B7">
            <w:pPr>
              <w:spacing w:before="240" w:after="240" w:line="240" w:lineRule="auto"/>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TOTAL</w:t>
            </w:r>
          </w:p>
        </w:tc>
        <w:tc>
          <w:tcPr>
            <w:tcW w:w="502"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1783.0</w:t>
            </w:r>
          </w:p>
        </w:tc>
        <w:tc>
          <w:tcPr>
            <w:tcW w:w="546"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1622.3</w:t>
            </w:r>
          </w:p>
        </w:tc>
        <w:tc>
          <w:tcPr>
            <w:tcW w:w="790"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-9.0%</w:t>
            </w:r>
          </w:p>
        </w:tc>
        <w:tc>
          <w:tcPr>
            <w:tcW w:w="812" w:type="pct"/>
          </w:tcPr>
          <w:p w:rsidR="00157687" w:rsidRPr="004A70B7" w:rsidRDefault="00157687" w:rsidP="004A70B7">
            <w:pPr>
              <w:spacing w:before="240" w:after="240" w:line="240" w:lineRule="auto"/>
              <w:jc w:val="right"/>
              <w:rPr>
                <w:rFonts w:ascii="Times New Roman" w:hAnsi="Times New Roman" w:cs="Times New Roman"/>
                <w:b/>
                <w:color w:val="000000"/>
                <w:spacing w:val="6"/>
                <w:lang w:eastAsia="en-GB"/>
              </w:rPr>
            </w:pPr>
            <w:r w:rsidRPr="004A70B7">
              <w:rPr>
                <w:rFonts w:ascii="Times New Roman" w:hAnsi="Times New Roman" w:cs="Times New Roman"/>
                <w:b/>
                <w:color w:val="000000"/>
                <w:spacing w:val="6"/>
                <w:lang w:eastAsia="en-GB"/>
              </w:rPr>
              <w:t>-14.4%</w:t>
            </w:r>
          </w:p>
        </w:tc>
      </w:tr>
    </w:tbl>
    <w:p w:rsidR="00157687" w:rsidRPr="004A70B7" w:rsidRDefault="00157687"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biggest budget cut </w:t>
      </w:r>
      <w:proofErr w:type="gramStart"/>
      <w:r w:rsidRPr="004A70B7">
        <w:rPr>
          <w:rFonts w:ascii="Times New Roman" w:hAnsi="Times New Roman" w:cs="Times New Roman"/>
        </w:rPr>
        <w:t>is seen</w:t>
      </w:r>
      <w:proofErr w:type="gramEnd"/>
      <w:r w:rsidRPr="004A70B7">
        <w:rPr>
          <w:rFonts w:ascii="Times New Roman" w:hAnsi="Times New Roman" w:cs="Times New Roman"/>
        </w:rPr>
        <w:t xml:space="preserve"> in sub-programme 4: Technology Localisation, Beneficiation and Advanced Manufacturing. The budget has decreased from R472.3 million in 2016/17 to R257.8 million in 2017/18. The budget decrease </w:t>
      </w:r>
      <w:r w:rsidR="007C5957" w:rsidRPr="004A70B7">
        <w:rPr>
          <w:rFonts w:ascii="Times New Roman" w:hAnsi="Times New Roman" w:cs="Times New Roman"/>
        </w:rPr>
        <w:t xml:space="preserve">could </w:t>
      </w:r>
      <w:proofErr w:type="gramStart"/>
      <w:r w:rsidRPr="004A70B7">
        <w:rPr>
          <w:rFonts w:ascii="Times New Roman" w:hAnsi="Times New Roman" w:cs="Times New Roman"/>
        </w:rPr>
        <w:t>impact on</w:t>
      </w:r>
      <w:proofErr w:type="gramEnd"/>
      <w:r w:rsidRPr="004A70B7">
        <w:rPr>
          <w:rFonts w:ascii="Times New Roman" w:hAnsi="Times New Roman" w:cs="Times New Roman"/>
        </w:rPr>
        <w:t xml:space="preserve"> the Department’s ability to, for example, “provide technology support to a range of small and large firms, and are also aimed at increasing the turnover of small and medium enterprises (SM</w:t>
      </w:r>
      <w:r w:rsidR="007C5957" w:rsidRPr="004A70B7">
        <w:rPr>
          <w:rFonts w:ascii="Times New Roman" w:hAnsi="Times New Roman" w:cs="Times New Roman"/>
        </w:rPr>
        <w:t>M</w:t>
      </w:r>
      <w:r w:rsidRPr="004A70B7">
        <w:rPr>
          <w:rFonts w:ascii="Times New Roman" w:hAnsi="Times New Roman" w:cs="Times New Roman"/>
        </w:rPr>
        <w:t>Es), and enabling them to secure better contracts with large private-sector companies”</w:t>
      </w:r>
    </w:p>
    <w:p w:rsidR="00AB4D9F" w:rsidRPr="004A70B7" w:rsidRDefault="00AB4D9F" w:rsidP="004A70B7">
      <w:pPr>
        <w:pStyle w:val="ListParagraph"/>
        <w:numPr>
          <w:ilvl w:val="0"/>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t>Committee Observations</w:t>
      </w:r>
    </w:p>
    <w:p w:rsidR="00AB4D9F" w:rsidRPr="004A70B7" w:rsidRDefault="00AB4D9F"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Committee commended the Department and the </w:t>
      </w:r>
      <w:r w:rsidR="009920B7" w:rsidRPr="004A70B7">
        <w:rPr>
          <w:rFonts w:ascii="Times New Roman" w:hAnsi="Times New Roman" w:cs="Times New Roman"/>
        </w:rPr>
        <w:t>e</w:t>
      </w:r>
      <w:r w:rsidRPr="004A70B7">
        <w:rPr>
          <w:rFonts w:ascii="Times New Roman" w:hAnsi="Times New Roman" w:cs="Times New Roman"/>
        </w:rPr>
        <w:t>ntities for the work they do and for formulating coherent strategies and performance plans. In concluding its deliberations on Budget Vote 30: Science and Technology, the Committee noted the following:</w:t>
      </w:r>
    </w:p>
    <w:p w:rsidR="00E938C7" w:rsidRPr="004A70B7" w:rsidRDefault="005C7DE8"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Science, technology and innovation play a</w:t>
      </w:r>
      <w:r w:rsidR="00853EC0" w:rsidRPr="004A70B7">
        <w:rPr>
          <w:rFonts w:ascii="Times New Roman" w:hAnsi="Times New Roman" w:cs="Times New Roman"/>
          <w:sz w:val="24"/>
          <w:szCs w:val="24"/>
        </w:rPr>
        <w:t>n</w:t>
      </w:r>
      <w:r w:rsidRPr="004A70B7">
        <w:rPr>
          <w:rFonts w:ascii="Times New Roman" w:hAnsi="Times New Roman" w:cs="Times New Roman"/>
          <w:sz w:val="24"/>
          <w:szCs w:val="24"/>
        </w:rPr>
        <w:t xml:space="preserve"> </w:t>
      </w:r>
      <w:r w:rsidR="00853EC0" w:rsidRPr="004A70B7">
        <w:rPr>
          <w:rFonts w:ascii="Times New Roman" w:hAnsi="Times New Roman" w:cs="Times New Roman"/>
          <w:sz w:val="24"/>
          <w:szCs w:val="24"/>
        </w:rPr>
        <w:t xml:space="preserve">important </w:t>
      </w:r>
      <w:r w:rsidRPr="004A70B7">
        <w:rPr>
          <w:rFonts w:ascii="Times New Roman" w:hAnsi="Times New Roman" w:cs="Times New Roman"/>
          <w:sz w:val="24"/>
          <w:szCs w:val="24"/>
        </w:rPr>
        <w:t>role in improving economic performance and social well-being</w:t>
      </w:r>
      <w:r w:rsidR="004622F3" w:rsidRPr="004A70B7">
        <w:rPr>
          <w:rFonts w:ascii="Times New Roman" w:hAnsi="Times New Roman" w:cs="Times New Roman"/>
          <w:sz w:val="24"/>
          <w:szCs w:val="24"/>
        </w:rPr>
        <w:t xml:space="preserve"> of a</w:t>
      </w:r>
      <w:r w:rsidR="00341381" w:rsidRPr="004A70B7">
        <w:rPr>
          <w:rFonts w:ascii="Times New Roman" w:hAnsi="Times New Roman" w:cs="Times New Roman"/>
          <w:sz w:val="24"/>
          <w:szCs w:val="24"/>
        </w:rPr>
        <w:t>l</w:t>
      </w:r>
      <w:r w:rsidR="004622F3" w:rsidRPr="004A70B7">
        <w:rPr>
          <w:rFonts w:ascii="Times New Roman" w:hAnsi="Times New Roman" w:cs="Times New Roman"/>
          <w:sz w:val="24"/>
          <w:szCs w:val="24"/>
        </w:rPr>
        <w:t xml:space="preserve">l </w:t>
      </w:r>
      <w:r w:rsidR="00341381" w:rsidRPr="004A70B7">
        <w:rPr>
          <w:rFonts w:ascii="Times New Roman" w:hAnsi="Times New Roman" w:cs="Times New Roman"/>
          <w:sz w:val="24"/>
          <w:szCs w:val="24"/>
        </w:rPr>
        <w:t>S</w:t>
      </w:r>
      <w:r w:rsidR="004622F3" w:rsidRPr="004A70B7">
        <w:rPr>
          <w:rFonts w:ascii="Times New Roman" w:hAnsi="Times New Roman" w:cs="Times New Roman"/>
          <w:sz w:val="24"/>
          <w:szCs w:val="24"/>
        </w:rPr>
        <w:t>outh Africans.</w:t>
      </w:r>
      <w:r w:rsidRPr="004A70B7">
        <w:rPr>
          <w:rFonts w:ascii="Times New Roman" w:hAnsi="Times New Roman" w:cs="Times New Roman"/>
          <w:sz w:val="24"/>
          <w:szCs w:val="24"/>
        </w:rPr>
        <w:t xml:space="preserve"> </w:t>
      </w:r>
      <w:r w:rsidR="00187B6D" w:rsidRPr="004A70B7">
        <w:rPr>
          <w:rFonts w:ascii="Times New Roman" w:hAnsi="Times New Roman" w:cs="Times New Roman"/>
          <w:sz w:val="24"/>
          <w:szCs w:val="24"/>
        </w:rPr>
        <w:t xml:space="preserve">To </w:t>
      </w:r>
      <w:r w:rsidR="00C06191" w:rsidRPr="004A70B7">
        <w:rPr>
          <w:rFonts w:ascii="Times New Roman" w:hAnsi="Times New Roman" w:cs="Times New Roman"/>
          <w:sz w:val="24"/>
          <w:szCs w:val="24"/>
        </w:rPr>
        <w:t xml:space="preserve">give </w:t>
      </w:r>
      <w:r w:rsidR="00187B6D" w:rsidRPr="004A70B7">
        <w:rPr>
          <w:rFonts w:ascii="Times New Roman" w:hAnsi="Times New Roman" w:cs="Times New Roman"/>
          <w:sz w:val="24"/>
          <w:szCs w:val="24"/>
        </w:rPr>
        <w:t xml:space="preserve">effect </w:t>
      </w:r>
      <w:r w:rsidR="00C06191" w:rsidRPr="004A70B7">
        <w:rPr>
          <w:rFonts w:ascii="Times New Roman" w:hAnsi="Times New Roman" w:cs="Times New Roman"/>
          <w:sz w:val="24"/>
          <w:szCs w:val="24"/>
        </w:rPr>
        <w:t xml:space="preserve">to </w:t>
      </w:r>
      <w:r w:rsidR="00187B6D" w:rsidRPr="004A70B7">
        <w:rPr>
          <w:rFonts w:ascii="Times New Roman" w:hAnsi="Times New Roman" w:cs="Times New Roman"/>
          <w:sz w:val="24"/>
          <w:szCs w:val="24"/>
        </w:rPr>
        <w:t xml:space="preserve">this, </w:t>
      </w:r>
      <w:r w:rsidRPr="004A70B7">
        <w:rPr>
          <w:rFonts w:ascii="Times New Roman" w:hAnsi="Times New Roman" w:cs="Times New Roman"/>
          <w:sz w:val="24"/>
          <w:szCs w:val="24"/>
        </w:rPr>
        <w:t>the Department align</w:t>
      </w:r>
      <w:r w:rsidR="00187B6D" w:rsidRPr="004A70B7">
        <w:rPr>
          <w:rFonts w:ascii="Times New Roman" w:hAnsi="Times New Roman" w:cs="Times New Roman"/>
          <w:sz w:val="24"/>
          <w:szCs w:val="24"/>
        </w:rPr>
        <w:t>s</w:t>
      </w:r>
      <w:r w:rsidRPr="004A70B7">
        <w:rPr>
          <w:rFonts w:ascii="Times New Roman" w:hAnsi="Times New Roman" w:cs="Times New Roman"/>
          <w:sz w:val="24"/>
          <w:szCs w:val="24"/>
        </w:rPr>
        <w:t xml:space="preserve"> its activities </w:t>
      </w:r>
      <w:r w:rsidR="00341381" w:rsidRPr="004A70B7">
        <w:rPr>
          <w:rFonts w:ascii="Times New Roman" w:hAnsi="Times New Roman" w:cs="Times New Roman"/>
          <w:sz w:val="24"/>
          <w:szCs w:val="24"/>
        </w:rPr>
        <w:t xml:space="preserve">with key policy instruments such as the 1996 White Paper on </w:t>
      </w:r>
      <w:r w:rsidR="00CC69BA" w:rsidRPr="004A70B7">
        <w:rPr>
          <w:rFonts w:ascii="Times New Roman" w:hAnsi="Times New Roman" w:cs="Times New Roman"/>
          <w:sz w:val="24"/>
          <w:szCs w:val="24"/>
        </w:rPr>
        <w:t>S</w:t>
      </w:r>
      <w:r w:rsidR="00341381" w:rsidRPr="004A70B7">
        <w:rPr>
          <w:rFonts w:ascii="Times New Roman" w:hAnsi="Times New Roman" w:cs="Times New Roman"/>
          <w:sz w:val="24"/>
          <w:szCs w:val="24"/>
        </w:rPr>
        <w:t xml:space="preserve">cience and Technology, the National </w:t>
      </w:r>
      <w:r w:rsidR="00CC69BA" w:rsidRPr="004A70B7">
        <w:rPr>
          <w:rFonts w:ascii="Times New Roman" w:hAnsi="Times New Roman" w:cs="Times New Roman"/>
          <w:sz w:val="24"/>
          <w:szCs w:val="24"/>
        </w:rPr>
        <w:t>D</w:t>
      </w:r>
      <w:r w:rsidR="00341381" w:rsidRPr="004A70B7">
        <w:rPr>
          <w:rFonts w:ascii="Times New Roman" w:hAnsi="Times New Roman" w:cs="Times New Roman"/>
          <w:sz w:val="24"/>
          <w:szCs w:val="24"/>
        </w:rPr>
        <w:t xml:space="preserve">evelopment </w:t>
      </w:r>
      <w:r w:rsidR="00CC69BA" w:rsidRPr="004A70B7">
        <w:rPr>
          <w:rFonts w:ascii="Times New Roman" w:hAnsi="Times New Roman" w:cs="Times New Roman"/>
          <w:sz w:val="24"/>
          <w:szCs w:val="24"/>
        </w:rPr>
        <w:t xml:space="preserve">Plan and </w:t>
      </w:r>
      <w:r w:rsidRPr="004A70B7">
        <w:rPr>
          <w:rFonts w:ascii="Times New Roman" w:hAnsi="Times New Roman" w:cs="Times New Roman"/>
          <w:sz w:val="24"/>
          <w:szCs w:val="24"/>
        </w:rPr>
        <w:t xml:space="preserve">the Nine-Point Plan that seeks to </w:t>
      </w:r>
      <w:r w:rsidR="004622F3" w:rsidRPr="004A70B7">
        <w:rPr>
          <w:rFonts w:ascii="Times New Roman" w:hAnsi="Times New Roman" w:cs="Times New Roman"/>
          <w:sz w:val="24"/>
          <w:szCs w:val="24"/>
        </w:rPr>
        <w:t xml:space="preserve">contribute to creating conditions for radical socio-economic transformation. </w:t>
      </w:r>
      <w:r w:rsidRPr="004A70B7">
        <w:rPr>
          <w:rFonts w:ascii="Times New Roman" w:hAnsi="Times New Roman" w:cs="Times New Roman"/>
          <w:sz w:val="24"/>
          <w:szCs w:val="24"/>
        </w:rPr>
        <w:t xml:space="preserve"> </w:t>
      </w:r>
    </w:p>
    <w:p w:rsidR="00AB4D9F" w:rsidRPr="004A70B7" w:rsidRDefault="00057508" w:rsidP="004A70B7">
      <w:pPr>
        <w:pStyle w:val="ListParagraph"/>
        <w:numPr>
          <w:ilvl w:val="1"/>
          <w:numId w:val="33"/>
        </w:numPr>
        <w:spacing w:before="240" w:after="240" w:line="240" w:lineRule="auto"/>
        <w:ind w:left="567" w:hanging="567"/>
        <w:rPr>
          <w:rFonts w:ascii="Times New Roman" w:hAnsi="Times New Roman" w:cs="Times New Roman"/>
          <w:sz w:val="24"/>
          <w:szCs w:val="24"/>
        </w:rPr>
      </w:pPr>
      <w:proofErr w:type="gramStart"/>
      <w:r w:rsidRPr="004A70B7">
        <w:rPr>
          <w:rFonts w:ascii="Times New Roman" w:hAnsi="Times New Roman" w:cs="Times New Roman"/>
          <w:sz w:val="24"/>
          <w:szCs w:val="24"/>
        </w:rPr>
        <w:t>the</w:t>
      </w:r>
      <w:proofErr w:type="gramEnd"/>
      <w:r w:rsidRPr="004A70B7">
        <w:rPr>
          <w:rFonts w:ascii="Times New Roman" w:hAnsi="Times New Roman" w:cs="Times New Roman"/>
          <w:sz w:val="24"/>
          <w:szCs w:val="24"/>
        </w:rPr>
        <w:t xml:space="preserve"> Nine-Point Plan </w:t>
      </w:r>
      <w:r w:rsidR="003B4245" w:rsidRPr="004A70B7">
        <w:rPr>
          <w:rFonts w:ascii="Times New Roman" w:hAnsi="Times New Roman" w:cs="Times New Roman"/>
          <w:sz w:val="24"/>
          <w:szCs w:val="24"/>
        </w:rPr>
        <w:t>recognises</w:t>
      </w:r>
      <w:r w:rsidRPr="004A70B7">
        <w:rPr>
          <w:rFonts w:ascii="Times New Roman" w:hAnsi="Times New Roman" w:cs="Times New Roman"/>
          <w:sz w:val="24"/>
          <w:szCs w:val="24"/>
        </w:rPr>
        <w:t xml:space="preserve"> STI as key to socio-economic growth</w:t>
      </w:r>
      <w:r w:rsidR="00290722" w:rsidRPr="004A70B7">
        <w:rPr>
          <w:rFonts w:ascii="Times New Roman" w:hAnsi="Times New Roman" w:cs="Times New Roman"/>
          <w:sz w:val="24"/>
          <w:szCs w:val="24"/>
        </w:rPr>
        <w:t xml:space="preserve"> and i</w:t>
      </w:r>
      <w:r w:rsidR="00DE4F40" w:rsidRPr="004A70B7">
        <w:rPr>
          <w:rFonts w:ascii="Times New Roman" w:hAnsi="Times New Roman" w:cs="Times New Roman"/>
          <w:sz w:val="24"/>
          <w:szCs w:val="24"/>
        </w:rPr>
        <w:t xml:space="preserve">t is </w:t>
      </w:r>
      <w:r w:rsidRPr="004A70B7">
        <w:rPr>
          <w:rFonts w:ascii="Times New Roman" w:hAnsi="Times New Roman" w:cs="Times New Roman"/>
          <w:sz w:val="24"/>
          <w:szCs w:val="24"/>
        </w:rPr>
        <w:t xml:space="preserve">therefore </w:t>
      </w:r>
      <w:r w:rsidR="00853EC0" w:rsidRPr="004A70B7">
        <w:rPr>
          <w:rFonts w:ascii="Times New Roman" w:hAnsi="Times New Roman" w:cs="Times New Roman"/>
          <w:sz w:val="24"/>
          <w:szCs w:val="24"/>
        </w:rPr>
        <w:t>crucial</w:t>
      </w:r>
      <w:r w:rsidR="00DE4F40" w:rsidRPr="004A70B7">
        <w:rPr>
          <w:rFonts w:ascii="Times New Roman" w:hAnsi="Times New Roman" w:cs="Times New Roman"/>
          <w:sz w:val="24"/>
          <w:szCs w:val="24"/>
        </w:rPr>
        <w:t xml:space="preserve"> that STI be placed at the centre of the work of Government. </w:t>
      </w:r>
      <w:r w:rsidRPr="004A70B7">
        <w:rPr>
          <w:rFonts w:ascii="Times New Roman" w:hAnsi="Times New Roman" w:cs="Times New Roman"/>
          <w:sz w:val="24"/>
          <w:szCs w:val="24"/>
        </w:rPr>
        <w:t>T</w:t>
      </w:r>
      <w:r w:rsidR="00AB4D9F" w:rsidRPr="004A70B7">
        <w:rPr>
          <w:rFonts w:ascii="Times New Roman" w:hAnsi="Times New Roman" w:cs="Times New Roman"/>
          <w:sz w:val="24"/>
          <w:szCs w:val="24"/>
        </w:rPr>
        <w:t xml:space="preserve">he </w:t>
      </w:r>
      <w:r w:rsidRPr="004A70B7">
        <w:rPr>
          <w:rFonts w:ascii="Times New Roman" w:hAnsi="Times New Roman" w:cs="Times New Roman"/>
          <w:sz w:val="24"/>
          <w:szCs w:val="24"/>
        </w:rPr>
        <w:lastRenderedPageBreak/>
        <w:t xml:space="preserve">effectiveness of the </w:t>
      </w:r>
      <w:r w:rsidR="00E938C7" w:rsidRPr="004A70B7">
        <w:rPr>
          <w:rFonts w:ascii="Times New Roman" w:hAnsi="Times New Roman" w:cs="Times New Roman"/>
          <w:sz w:val="24"/>
          <w:szCs w:val="24"/>
        </w:rPr>
        <w:t xml:space="preserve">NSI </w:t>
      </w:r>
      <w:r w:rsidRPr="004A70B7">
        <w:rPr>
          <w:rFonts w:ascii="Times New Roman" w:hAnsi="Times New Roman" w:cs="Times New Roman"/>
          <w:sz w:val="24"/>
          <w:szCs w:val="24"/>
        </w:rPr>
        <w:t xml:space="preserve">can only be realised if </w:t>
      </w:r>
      <w:r w:rsidR="00AB4D9F" w:rsidRPr="004A70B7">
        <w:rPr>
          <w:rFonts w:ascii="Times New Roman" w:hAnsi="Times New Roman" w:cs="Times New Roman"/>
          <w:sz w:val="24"/>
          <w:szCs w:val="24"/>
        </w:rPr>
        <w:t>optimally resourced and co-ordinated.</w:t>
      </w:r>
      <w:r w:rsidR="00E938C7" w:rsidRPr="004A70B7">
        <w:rPr>
          <w:rFonts w:ascii="Times New Roman" w:hAnsi="Times New Roman" w:cs="Times New Roman"/>
          <w:sz w:val="24"/>
          <w:szCs w:val="24"/>
        </w:rPr>
        <w:t xml:space="preserve"> </w:t>
      </w:r>
      <w:r w:rsidR="005C7DE8" w:rsidRPr="004A70B7">
        <w:rPr>
          <w:rFonts w:ascii="Times New Roman" w:hAnsi="Times New Roman" w:cs="Times New Roman"/>
          <w:sz w:val="24"/>
          <w:szCs w:val="24"/>
        </w:rPr>
        <w:t>Therefore</w:t>
      </w:r>
      <w:r w:rsidR="00E938C7" w:rsidRPr="004A70B7">
        <w:rPr>
          <w:rFonts w:ascii="Times New Roman" w:hAnsi="Times New Roman" w:cs="Times New Roman"/>
          <w:sz w:val="24"/>
          <w:szCs w:val="24"/>
        </w:rPr>
        <w:t xml:space="preserve">, the Committee welcomes the Department’s efforts to embark on a process to ensure the development of a coordination instrument </w:t>
      </w:r>
      <w:r w:rsidR="00DE4F40" w:rsidRPr="004A70B7">
        <w:rPr>
          <w:rFonts w:ascii="Times New Roman" w:hAnsi="Times New Roman" w:cs="Times New Roman"/>
          <w:sz w:val="24"/>
          <w:szCs w:val="24"/>
        </w:rPr>
        <w:t>to manage effectively and efficiently the</w:t>
      </w:r>
      <w:r w:rsidR="00E938C7" w:rsidRPr="004A70B7">
        <w:rPr>
          <w:rFonts w:ascii="Times New Roman" w:hAnsi="Times New Roman" w:cs="Times New Roman"/>
          <w:sz w:val="24"/>
          <w:szCs w:val="24"/>
        </w:rPr>
        <w:t xml:space="preserve"> RDI public budget.</w:t>
      </w:r>
    </w:p>
    <w:p w:rsidR="00AB4D9F" w:rsidRPr="004A70B7" w:rsidRDefault="00AB4D9F"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Department and the </w:t>
      </w:r>
      <w:r w:rsidR="00BB2B21" w:rsidRPr="004A70B7">
        <w:rPr>
          <w:rFonts w:ascii="Times New Roman" w:hAnsi="Times New Roman" w:cs="Times New Roman"/>
          <w:sz w:val="24"/>
          <w:szCs w:val="24"/>
        </w:rPr>
        <w:t>e</w:t>
      </w:r>
      <w:r w:rsidRPr="004A70B7">
        <w:rPr>
          <w:rFonts w:ascii="Times New Roman" w:hAnsi="Times New Roman" w:cs="Times New Roman"/>
          <w:sz w:val="24"/>
          <w:szCs w:val="24"/>
        </w:rPr>
        <w:t>ntities have a mandate to deliver on Government’s national priorities</w:t>
      </w:r>
      <w:r w:rsidR="00562509" w:rsidRPr="004A70B7">
        <w:rPr>
          <w:rFonts w:ascii="Times New Roman" w:hAnsi="Times New Roman" w:cs="Times New Roman"/>
          <w:sz w:val="24"/>
          <w:szCs w:val="24"/>
        </w:rPr>
        <w:t>, which include areas such as poverty alleviation and unemployment.</w:t>
      </w:r>
      <w:r w:rsidRPr="004A70B7">
        <w:rPr>
          <w:rFonts w:ascii="Times New Roman" w:hAnsi="Times New Roman" w:cs="Times New Roman"/>
          <w:sz w:val="24"/>
          <w:szCs w:val="24"/>
        </w:rPr>
        <w:t xml:space="preserve"> Hence, the Committee expressed its concern regarding the </w:t>
      </w:r>
      <w:r w:rsidR="003B4245" w:rsidRPr="004A70B7">
        <w:rPr>
          <w:rFonts w:ascii="Times New Roman" w:hAnsi="Times New Roman" w:cs="Times New Roman"/>
          <w:sz w:val="24"/>
          <w:szCs w:val="24"/>
        </w:rPr>
        <w:t>impact of reduced funding and the</w:t>
      </w:r>
      <w:r w:rsidR="00BB2B21" w:rsidRPr="004A70B7">
        <w:rPr>
          <w:rFonts w:ascii="Times New Roman" w:hAnsi="Times New Roman" w:cs="Times New Roman"/>
          <w:sz w:val="24"/>
          <w:szCs w:val="24"/>
        </w:rPr>
        <w:t xml:space="preserve"> below inflation increases </w:t>
      </w:r>
      <w:r w:rsidR="00232ABF" w:rsidRPr="004A70B7">
        <w:rPr>
          <w:rFonts w:ascii="Times New Roman" w:hAnsi="Times New Roman" w:cs="Times New Roman"/>
          <w:sz w:val="24"/>
          <w:szCs w:val="24"/>
        </w:rPr>
        <w:t xml:space="preserve">of baseline funding </w:t>
      </w:r>
      <w:r w:rsidR="00BB2B21" w:rsidRPr="004A70B7">
        <w:rPr>
          <w:rFonts w:ascii="Times New Roman" w:hAnsi="Times New Roman" w:cs="Times New Roman"/>
          <w:sz w:val="24"/>
          <w:szCs w:val="24"/>
        </w:rPr>
        <w:t>to entities</w:t>
      </w:r>
      <w:r w:rsidR="00232ABF" w:rsidRPr="004A70B7">
        <w:rPr>
          <w:rFonts w:ascii="Times New Roman" w:hAnsi="Times New Roman" w:cs="Times New Roman"/>
          <w:sz w:val="24"/>
          <w:szCs w:val="24"/>
        </w:rPr>
        <w:t xml:space="preserve">. </w:t>
      </w:r>
      <w:r w:rsidR="003B4245" w:rsidRPr="004A70B7">
        <w:rPr>
          <w:rFonts w:ascii="Times New Roman" w:hAnsi="Times New Roman" w:cs="Times New Roman"/>
          <w:sz w:val="24"/>
          <w:szCs w:val="24"/>
        </w:rPr>
        <w:t xml:space="preserve"> </w:t>
      </w:r>
    </w:p>
    <w:p w:rsidR="009F000B" w:rsidRPr="004A70B7" w:rsidRDefault="00562509"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Inadequate funding to the Department and its entities effectively </w:t>
      </w:r>
      <w:r w:rsidR="009F000B" w:rsidRPr="004A70B7">
        <w:rPr>
          <w:rFonts w:ascii="Times New Roman" w:hAnsi="Times New Roman" w:cs="Times New Roman"/>
          <w:sz w:val="24"/>
          <w:szCs w:val="24"/>
        </w:rPr>
        <w:t>means</w:t>
      </w:r>
      <w:r w:rsidRPr="004A70B7">
        <w:rPr>
          <w:rFonts w:ascii="Times New Roman" w:hAnsi="Times New Roman" w:cs="Times New Roman"/>
          <w:sz w:val="24"/>
          <w:szCs w:val="24"/>
        </w:rPr>
        <w:t xml:space="preserve"> reduction in targets and outputs</w:t>
      </w:r>
      <w:r w:rsidR="00281F98" w:rsidRPr="004A70B7">
        <w:rPr>
          <w:rFonts w:ascii="Times New Roman" w:hAnsi="Times New Roman" w:cs="Times New Roman"/>
          <w:sz w:val="24"/>
          <w:szCs w:val="24"/>
        </w:rPr>
        <w:t xml:space="preserve"> and ability to </w:t>
      </w:r>
      <w:r w:rsidR="009F000B" w:rsidRPr="004A70B7">
        <w:rPr>
          <w:rFonts w:ascii="Times New Roman" w:hAnsi="Times New Roman" w:cs="Times New Roman"/>
          <w:sz w:val="24"/>
          <w:szCs w:val="24"/>
        </w:rPr>
        <w:t xml:space="preserve">grow and </w:t>
      </w:r>
      <w:r w:rsidR="00281F98" w:rsidRPr="004A70B7">
        <w:rPr>
          <w:rFonts w:ascii="Times New Roman" w:hAnsi="Times New Roman" w:cs="Times New Roman"/>
          <w:sz w:val="24"/>
          <w:szCs w:val="24"/>
        </w:rPr>
        <w:t>fulfil its mandates</w:t>
      </w:r>
      <w:r w:rsidR="009F000B" w:rsidRPr="004A70B7">
        <w:rPr>
          <w:rFonts w:ascii="Times New Roman" w:hAnsi="Times New Roman" w:cs="Times New Roman"/>
          <w:sz w:val="24"/>
          <w:szCs w:val="24"/>
        </w:rPr>
        <w:t>.</w:t>
      </w:r>
      <w:r w:rsidR="00A150CC" w:rsidRPr="004A70B7">
        <w:rPr>
          <w:rFonts w:ascii="Times New Roman" w:hAnsi="Times New Roman" w:cs="Times New Roman"/>
          <w:sz w:val="24"/>
          <w:szCs w:val="24"/>
        </w:rPr>
        <w:t xml:space="preserve"> </w:t>
      </w:r>
      <w:r w:rsidR="000B759C" w:rsidRPr="004A70B7">
        <w:rPr>
          <w:rFonts w:ascii="Times New Roman" w:hAnsi="Times New Roman" w:cs="Times New Roman"/>
          <w:sz w:val="24"/>
          <w:szCs w:val="24"/>
        </w:rPr>
        <w:t xml:space="preserve">It compromises maintaining existing and acquiring new infrastructure and skills.  </w:t>
      </w:r>
    </w:p>
    <w:p w:rsidR="00562509" w:rsidRPr="004A70B7" w:rsidRDefault="00434939"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Inadequate funding inevitably </w:t>
      </w:r>
      <w:r w:rsidR="00757711" w:rsidRPr="004A70B7">
        <w:rPr>
          <w:rFonts w:ascii="Times New Roman" w:hAnsi="Times New Roman" w:cs="Times New Roman"/>
          <w:sz w:val="24"/>
          <w:szCs w:val="24"/>
        </w:rPr>
        <w:t>affects</w:t>
      </w:r>
      <w:r w:rsidRPr="004A70B7">
        <w:rPr>
          <w:rFonts w:ascii="Times New Roman" w:hAnsi="Times New Roman" w:cs="Times New Roman"/>
          <w:sz w:val="24"/>
          <w:szCs w:val="24"/>
        </w:rPr>
        <w:t xml:space="preserve"> </w:t>
      </w:r>
      <w:r w:rsidR="00A150CC" w:rsidRPr="004A70B7">
        <w:rPr>
          <w:rFonts w:ascii="Times New Roman" w:hAnsi="Times New Roman" w:cs="Times New Roman"/>
          <w:sz w:val="24"/>
          <w:szCs w:val="24"/>
        </w:rPr>
        <w:t xml:space="preserve">retaining and attracting skilled persons in the STI institutions.  The 42 vacancies reported in the Department </w:t>
      </w:r>
      <w:r w:rsidR="00552953" w:rsidRPr="004A70B7">
        <w:rPr>
          <w:rFonts w:ascii="Times New Roman" w:hAnsi="Times New Roman" w:cs="Times New Roman"/>
          <w:sz w:val="24"/>
          <w:szCs w:val="24"/>
        </w:rPr>
        <w:t>are</w:t>
      </w:r>
      <w:r w:rsidR="00A150CC" w:rsidRPr="004A70B7">
        <w:rPr>
          <w:rFonts w:ascii="Times New Roman" w:hAnsi="Times New Roman" w:cs="Times New Roman"/>
          <w:sz w:val="24"/>
          <w:szCs w:val="24"/>
        </w:rPr>
        <w:t xml:space="preserve"> of concern as 17 of those vacant posts </w:t>
      </w:r>
      <w:proofErr w:type="gramStart"/>
      <w:r w:rsidR="00A150CC" w:rsidRPr="004A70B7">
        <w:rPr>
          <w:rFonts w:ascii="Times New Roman" w:hAnsi="Times New Roman" w:cs="Times New Roman"/>
          <w:sz w:val="24"/>
          <w:szCs w:val="24"/>
        </w:rPr>
        <w:t>are considered</w:t>
      </w:r>
      <w:proofErr w:type="gramEnd"/>
      <w:r w:rsidR="00A150CC" w:rsidRPr="004A70B7">
        <w:rPr>
          <w:rFonts w:ascii="Times New Roman" w:hAnsi="Times New Roman" w:cs="Times New Roman"/>
          <w:sz w:val="24"/>
          <w:szCs w:val="24"/>
        </w:rPr>
        <w:t xml:space="preserve"> critical posts. The direct impact of this would be oversight over its entities and </w:t>
      </w:r>
      <w:r w:rsidR="00964E0E" w:rsidRPr="004A70B7">
        <w:rPr>
          <w:rFonts w:ascii="Times New Roman" w:hAnsi="Times New Roman" w:cs="Times New Roman"/>
          <w:sz w:val="24"/>
          <w:szCs w:val="24"/>
        </w:rPr>
        <w:t xml:space="preserve">the monitoring of </w:t>
      </w:r>
      <w:r w:rsidR="00552953" w:rsidRPr="004A70B7">
        <w:rPr>
          <w:rFonts w:ascii="Times New Roman" w:hAnsi="Times New Roman" w:cs="Times New Roman"/>
          <w:sz w:val="24"/>
          <w:szCs w:val="24"/>
        </w:rPr>
        <w:t xml:space="preserve">departmental programmes and initiatives. </w:t>
      </w:r>
      <w:r w:rsidR="00A150CC" w:rsidRPr="004A70B7">
        <w:rPr>
          <w:rFonts w:ascii="Times New Roman" w:hAnsi="Times New Roman" w:cs="Times New Roman"/>
          <w:sz w:val="24"/>
          <w:szCs w:val="24"/>
        </w:rPr>
        <w:t xml:space="preserve">  </w:t>
      </w:r>
    </w:p>
    <w:p w:rsidR="00A80EE4" w:rsidRPr="004A70B7" w:rsidRDefault="00A80EE4"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entities are constrained by a lack of adequate investment. </w:t>
      </w:r>
      <w:r w:rsidR="000B0959" w:rsidRPr="004A70B7">
        <w:rPr>
          <w:rFonts w:ascii="Times New Roman" w:hAnsi="Times New Roman" w:cs="Times New Roman"/>
          <w:sz w:val="24"/>
          <w:szCs w:val="24"/>
        </w:rPr>
        <w:t xml:space="preserve">Its dependency, in some instances, reliant on 70 percent of its income dependent on </w:t>
      </w:r>
      <w:r w:rsidRPr="004A70B7">
        <w:rPr>
          <w:rFonts w:ascii="Times New Roman" w:hAnsi="Times New Roman" w:cs="Times New Roman"/>
          <w:sz w:val="24"/>
          <w:szCs w:val="24"/>
        </w:rPr>
        <w:t xml:space="preserve">contract funding, </w:t>
      </w:r>
      <w:r w:rsidR="004A5FCD" w:rsidRPr="004A70B7">
        <w:rPr>
          <w:rFonts w:ascii="Times New Roman" w:hAnsi="Times New Roman" w:cs="Times New Roman"/>
          <w:sz w:val="24"/>
          <w:szCs w:val="24"/>
        </w:rPr>
        <w:t xml:space="preserve">is not sustainable and a </w:t>
      </w:r>
      <w:r w:rsidR="00552953" w:rsidRPr="004A70B7">
        <w:rPr>
          <w:rFonts w:ascii="Times New Roman" w:hAnsi="Times New Roman" w:cs="Times New Roman"/>
          <w:sz w:val="24"/>
          <w:szCs w:val="24"/>
        </w:rPr>
        <w:t xml:space="preserve">further </w:t>
      </w:r>
      <w:r w:rsidR="004A5FCD" w:rsidRPr="004A70B7">
        <w:rPr>
          <w:rFonts w:ascii="Times New Roman" w:hAnsi="Times New Roman" w:cs="Times New Roman"/>
          <w:sz w:val="24"/>
          <w:szCs w:val="24"/>
        </w:rPr>
        <w:t>cause for concern. T</w:t>
      </w:r>
      <w:r w:rsidR="004114B4" w:rsidRPr="004A70B7">
        <w:rPr>
          <w:rFonts w:ascii="Times New Roman" w:hAnsi="Times New Roman" w:cs="Times New Roman"/>
          <w:sz w:val="24"/>
          <w:szCs w:val="24"/>
        </w:rPr>
        <w:t xml:space="preserve">he primary function of researchers </w:t>
      </w:r>
      <w:r w:rsidR="00552953" w:rsidRPr="004A70B7">
        <w:rPr>
          <w:rFonts w:ascii="Times New Roman" w:hAnsi="Times New Roman" w:cs="Times New Roman"/>
          <w:sz w:val="24"/>
          <w:szCs w:val="24"/>
        </w:rPr>
        <w:t xml:space="preserve">become </w:t>
      </w:r>
      <w:r w:rsidR="005F1E9B" w:rsidRPr="004A70B7">
        <w:rPr>
          <w:rFonts w:ascii="Times New Roman" w:hAnsi="Times New Roman" w:cs="Times New Roman"/>
          <w:sz w:val="24"/>
          <w:szCs w:val="24"/>
        </w:rPr>
        <w:t>compromised,</w:t>
      </w:r>
      <w:r w:rsidR="004114B4" w:rsidRPr="004A70B7">
        <w:rPr>
          <w:rFonts w:ascii="Times New Roman" w:hAnsi="Times New Roman" w:cs="Times New Roman"/>
          <w:sz w:val="24"/>
          <w:szCs w:val="24"/>
        </w:rPr>
        <w:t xml:space="preserve"> as they are now required to undertake administrative tasks such as sourcing contracts and preparing tender documents for research funding. </w:t>
      </w:r>
    </w:p>
    <w:p w:rsidR="00AB4D9F" w:rsidRPr="004A70B7" w:rsidRDefault="00AB4D9F"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w:t>
      </w:r>
      <w:r w:rsidR="00757711" w:rsidRPr="004A70B7">
        <w:rPr>
          <w:rFonts w:ascii="Times New Roman" w:hAnsi="Times New Roman" w:cs="Times New Roman"/>
          <w:sz w:val="24"/>
          <w:szCs w:val="24"/>
        </w:rPr>
        <w:t xml:space="preserve">current low </w:t>
      </w:r>
      <w:r w:rsidRPr="004A70B7">
        <w:rPr>
          <w:rFonts w:ascii="Times New Roman" w:hAnsi="Times New Roman" w:cs="Times New Roman"/>
          <w:sz w:val="24"/>
          <w:szCs w:val="24"/>
        </w:rPr>
        <w:t xml:space="preserve">economic </w:t>
      </w:r>
      <w:r w:rsidR="00757711" w:rsidRPr="004A70B7">
        <w:rPr>
          <w:rFonts w:ascii="Times New Roman" w:hAnsi="Times New Roman" w:cs="Times New Roman"/>
          <w:sz w:val="24"/>
          <w:szCs w:val="24"/>
        </w:rPr>
        <w:t xml:space="preserve">growth trajectory and declining business investment in </w:t>
      </w:r>
      <w:r w:rsidRPr="004A70B7">
        <w:rPr>
          <w:rFonts w:ascii="Times New Roman" w:hAnsi="Times New Roman" w:cs="Times New Roman"/>
          <w:sz w:val="24"/>
          <w:szCs w:val="24"/>
        </w:rPr>
        <w:t>R&amp;D investment</w:t>
      </w:r>
      <w:r w:rsidR="00757711" w:rsidRPr="004A70B7">
        <w:rPr>
          <w:rFonts w:ascii="Times New Roman" w:hAnsi="Times New Roman" w:cs="Times New Roman"/>
          <w:sz w:val="24"/>
          <w:szCs w:val="24"/>
        </w:rPr>
        <w:t xml:space="preserve">, makes the 2019 target of having 1.5 percent R&amp;D expenditure as a proportion of GDP not achievable. </w:t>
      </w:r>
      <w:r w:rsidR="007C6A2A" w:rsidRPr="004A70B7">
        <w:rPr>
          <w:rFonts w:ascii="Times New Roman" w:hAnsi="Times New Roman" w:cs="Times New Roman"/>
          <w:sz w:val="24"/>
          <w:szCs w:val="24"/>
        </w:rPr>
        <w:t xml:space="preserve">The Gross Expenditure on R&amp;D is 0.76%. To reach the target of 1.5%, current total expenditure on R&amp;D has to </w:t>
      </w:r>
      <w:proofErr w:type="gramStart"/>
      <w:r w:rsidR="007C6A2A" w:rsidRPr="004A70B7">
        <w:rPr>
          <w:rFonts w:ascii="Times New Roman" w:hAnsi="Times New Roman" w:cs="Times New Roman"/>
          <w:sz w:val="24"/>
          <w:szCs w:val="24"/>
        </w:rPr>
        <w:t>be doubled</w:t>
      </w:r>
      <w:proofErr w:type="gramEnd"/>
      <w:r w:rsidR="007C6A2A" w:rsidRPr="004A70B7">
        <w:rPr>
          <w:rFonts w:ascii="Times New Roman" w:hAnsi="Times New Roman" w:cs="Times New Roman"/>
          <w:sz w:val="24"/>
          <w:szCs w:val="24"/>
        </w:rPr>
        <w:t xml:space="preserve">. </w:t>
      </w:r>
      <w:r w:rsidRPr="004A70B7">
        <w:rPr>
          <w:rFonts w:ascii="Times New Roman" w:hAnsi="Times New Roman" w:cs="Times New Roman"/>
          <w:sz w:val="24"/>
          <w:szCs w:val="24"/>
        </w:rPr>
        <w:t xml:space="preserve">Since economic growth </w:t>
      </w:r>
      <w:proofErr w:type="gramStart"/>
      <w:r w:rsidRPr="004A70B7">
        <w:rPr>
          <w:rFonts w:ascii="Times New Roman" w:hAnsi="Times New Roman" w:cs="Times New Roman"/>
          <w:sz w:val="24"/>
          <w:szCs w:val="24"/>
        </w:rPr>
        <w:t>will be driven</w:t>
      </w:r>
      <w:proofErr w:type="gramEnd"/>
      <w:r w:rsidRPr="004A70B7">
        <w:rPr>
          <w:rFonts w:ascii="Times New Roman" w:hAnsi="Times New Roman" w:cs="Times New Roman"/>
          <w:sz w:val="24"/>
          <w:szCs w:val="24"/>
        </w:rPr>
        <w:t xml:space="preserve"> by STI, the Committee would like to see </w:t>
      </w:r>
      <w:r w:rsidR="00932FCC" w:rsidRPr="004A70B7">
        <w:rPr>
          <w:rFonts w:ascii="Times New Roman" w:hAnsi="Times New Roman" w:cs="Times New Roman"/>
          <w:sz w:val="24"/>
          <w:szCs w:val="24"/>
        </w:rPr>
        <w:t xml:space="preserve">much more robust efforts to </w:t>
      </w:r>
      <w:r w:rsidRPr="004A70B7">
        <w:rPr>
          <w:rFonts w:ascii="Times New Roman" w:hAnsi="Times New Roman" w:cs="Times New Roman"/>
          <w:sz w:val="24"/>
          <w:szCs w:val="24"/>
        </w:rPr>
        <w:t>increase the gross expenditure on R&amp;D</w:t>
      </w:r>
      <w:r w:rsidR="00932FCC" w:rsidRPr="004A70B7">
        <w:rPr>
          <w:rFonts w:ascii="Times New Roman" w:hAnsi="Times New Roman" w:cs="Times New Roman"/>
          <w:sz w:val="24"/>
          <w:szCs w:val="24"/>
        </w:rPr>
        <w:t xml:space="preserve">. </w:t>
      </w:r>
    </w:p>
    <w:p w:rsidR="00D37853" w:rsidRPr="004A70B7" w:rsidRDefault="00D37853"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Central to increasing R&amp;D investment, is the role of industry. It is important that industry co-fund, invest and participate in RDI in the strategic sectors of the economy. The Committee urges the Department to </w:t>
      </w:r>
      <w:r w:rsidR="000B759C" w:rsidRPr="004A70B7">
        <w:rPr>
          <w:rFonts w:ascii="Times New Roman" w:hAnsi="Times New Roman" w:cs="Times New Roman"/>
          <w:sz w:val="24"/>
          <w:szCs w:val="24"/>
        </w:rPr>
        <w:t xml:space="preserve">improve on effectiveness and instruments to stimulate R&amp;D. The Department should </w:t>
      </w:r>
      <w:r w:rsidRPr="004A70B7">
        <w:rPr>
          <w:rFonts w:ascii="Times New Roman" w:hAnsi="Times New Roman" w:cs="Times New Roman"/>
          <w:sz w:val="24"/>
          <w:szCs w:val="24"/>
        </w:rPr>
        <w:t xml:space="preserve">intensify its efforts to increase broader awareness of the </w:t>
      </w:r>
      <w:r w:rsidR="000562E2" w:rsidRPr="004A70B7">
        <w:rPr>
          <w:rFonts w:ascii="Times New Roman" w:hAnsi="Times New Roman" w:cs="Times New Roman"/>
          <w:sz w:val="24"/>
          <w:szCs w:val="24"/>
        </w:rPr>
        <w:t xml:space="preserve">R&amp;D tax </w:t>
      </w:r>
      <w:r w:rsidRPr="004A70B7">
        <w:rPr>
          <w:rFonts w:ascii="Times New Roman" w:hAnsi="Times New Roman" w:cs="Times New Roman"/>
          <w:sz w:val="24"/>
          <w:szCs w:val="24"/>
        </w:rPr>
        <w:t>incentive and ensure that more companies, especially small and medium enterprises, participate.</w:t>
      </w:r>
    </w:p>
    <w:p w:rsidR="00990DDA" w:rsidRPr="004A70B7" w:rsidRDefault="00990DDA"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The Committee is hopeful that by increased investment in strategic areas of STI</w:t>
      </w:r>
      <w:r w:rsidR="009A30AA" w:rsidRPr="004A70B7">
        <w:rPr>
          <w:rFonts w:ascii="Times New Roman" w:hAnsi="Times New Roman" w:cs="Times New Roman"/>
          <w:sz w:val="24"/>
          <w:szCs w:val="24"/>
        </w:rPr>
        <w:t xml:space="preserve">, economic benefits are possible. The strengthening of the innovation capacity by forging necessary linkages with all the instruments in the NSI is important. The links between science and industry and its benefits cannot be overemphasized. </w:t>
      </w:r>
    </w:p>
    <w:p w:rsidR="00A23CD1" w:rsidRPr="004A70B7" w:rsidRDefault="00617428"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current forex volatility </w:t>
      </w:r>
      <w:r w:rsidR="00471FEA" w:rsidRPr="004A70B7">
        <w:rPr>
          <w:rFonts w:ascii="Times New Roman" w:hAnsi="Times New Roman" w:cs="Times New Roman"/>
          <w:sz w:val="24"/>
          <w:szCs w:val="24"/>
        </w:rPr>
        <w:t xml:space="preserve">could </w:t>
      </w:r>
      <w:r w:rsidRPr="004A70B7">
        <w:rPr>
          <w:rFonts w:ascii="Times New Roman" w:hAnsi="Times New Roman" w:cs="Times New Roman"/>
          <w:sz w:val="24"/>
          <w:szCs w:val="24"/>
        </w:rPr>
        <w:t xml:space="preserve">negatively affect the activities of the Department and </w:t>
      </w:r>
      <w:r w:rsidR="00C9778C" w:rsidRPr="004A70B7">
        <w:rPr>
          <w:rFonts w:ascii="Times New Roman" w:hAnsi="Times New Roman" w:cs="Times New Roman"/>
          <w:sz w:val="24"/>
          <w:szCs w:val="24"/>
        </w:rPr>
        <w:t>entities since science inflation are</w:t>
      </w:r>
      <w:r w:rsidRPr="004A70B7">
        <w:rPr>
          <w:rFonts w:ascii="Times New Roman" w:hAnsi="Times New Roman" w:cs="Times New Roman"/>
          <w:sz w:val="24"/>
          <w:szCs w:val="24"/>
        </w:rPr>
        <w:t xml:space="preserve"> higher than standard inflation.</w:t>
      </w:r>
      <w:r w:rsidR="00B87FDF" w:rsidRPr="004A70B7">
        <w:rPr>
          <w:rFonts w:ascii="Times New Roman" w:hAnsi="Times New Roman" w:cs="Times New Roman"/>
          <w:sz w:val="24"/>
          <w:szCs w:val="24"/>
        </w:rPr>
        <w:t xml:space="preserve"> </w:t>
      </w:r>
      <w:r w:rsidR="00471FEA" w:rsidRPr="004A70B7">
        <w:rPr>
          <w:rFonts w:ascii="Times New Roman" w:hAnsi="Times New Roman" w:cs="Times New Roman"/>
          <w:sz w:val="24"/>
          <w:szCs w:val="24"/>
        </w:rPr>
        <w:t xml:space="preserve">A </w:t>
      </w:r>
      <w:r w:rsidR="00B87FDF" w:rsidRPr="004A70B7">
        <w:rPr>
          <w:rFonts w:ascii="Times New Roman" w:hAnsi="Times New Roman" w:cs="Times New Roman"/>
          <w:sz w:val="24"/>
          <w:szCs w:val="24"/>
        </w:rPr>
        <w:t xml:space="preserve">fluctuating </w:t>
      </w:r>
      <w:r w:rsidR="00B87FDF" w:rsidRPr="004A70B7">
        <w:rPr>
          <w:rFonts w:ascii="Times New Roman" w:hAnsi="Times New Roman" w:cs="Times New Roman"/>
          <w:sz w:val="24"/>
          <w:szCs w:val="24"/>
        </w:rPr>
        <w:lastRenderedPageBreak/>
        <w:t xml:space="preserve">exchange rate, </w:t>
      </w:r>
      <w:r w:rsidR="00471FEA" w:rsidRPr="004A70B7">
        <w:rPr>
          <w:rFonts w:ascii="Times New Roman" w:hAnsi="Times New Roman" w:cs="Times New Roman"/>
          <w:sz w:val="24"/>
          <w:szCs w:val="24"/>
        </w:rPr>
        <w:t>could negatively affect the</w:t>
      </w:r>
      <w:r w:rsidR="00B87FDF" w:rsidRPr="004A70B7">
        <w:rPr>
          <w:rFonts w:ascii="Times New Roman" w:hAnsi="Times New Roman" w:cs="Times New Roman"/>
          <w:sz w:val="24"/>
          <w:szCs w:val="24"/>
        </w:rPr>
        <w:t xml:space="preserve"> funds spent on activities such as, subscribing to international journals, importing and maintaining specialised equipment, acquiring satellite imagery, and importing scarce skills. The Committee is concerned that this reduces further the budget available for RDI.</w:t>
      </w:r>
    </w:p>
    <w:p w:rsidR="00F04BDC" w:rsidRPr="004A70B7" w:rsidRDefault="00F04BDC"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w:t>
      </w:r>
      <w:r w:rsidR="00EC279A" w:rsidRPr="004A70B7">
        <w:rPr>
          <w:rFonts w:ascii="Times New Roman" w:hAnsi="Times New Roman" w:cs="Times New Roman"/>
          <w:sz w:val="24"/>
          <w:szCs w:val="24"/>
        </w:rPr>
        <w:t xml:space="preserve">Committee noted the adjustment of the APP target relating to the </w:t>
      </w:r>
      <w:proofErr w:type="spellStart"/>
      <w:r w:rsidRPr="004A70B7">
        <w:rPr>
          <w:rFonts w:ascii="Times New Roman" w:hAnsi="Times New Roman" w:cs="Times New Roman"/>
          <w:sz w:val="24"/>
          <w:szCs w:val="24"/>
        </w:rPr>
        <w:t>MeerKAT</w:t>
      </w:r>
      <w:proofErr w:type="spellEnd"/>
      <w:r w:rsidRPr="004A70B7">
        <w:rPr>
          <w:rFonts w:ascii="Times New Roman" w:hAnsi="Times New Roman" w:cs="Times New Roman"/>
          <w:sz w:val="24"/>
          <w:szCs w:val="24"/>
        </w:rPr>
        <w:t xml:space="preserve"> telescope dish</w:t>
      </w:r>
      <w:r w:rsidR="00EC279A" w:rsidRPr="004A70B7">
        <w:rPr>
          <w:rFonts w:ascii="Times New Roman" w:hAnsi="Times New Roman" w:cs="Times New Roman"/>
          <w:sz w:val="24"/>
          <w:szCs w:val="24"/>
        </w:rPr>
        <w:t xml:space="preserve"> installation</w:t>
      </w:r>
      <w:r w:rsidR="00EE3F7C" w:rsidRPr="004A70B7">
        <w:rPr>
          <w:rFonts w:ascii="Times New Roman" w:hAnsi="Times New Roman" w:cs="Times New Roman"/>
          <w:sz w:val="24"/>
          <w:szCs w:val="24"/>
        </w:rPr>
        <w:t xml:space="preserve"> and </w:t>
      </w:r>
      <w:proofErr w:type="gramStart"/>
      <w:r w:rsidR="00EE3F7C" w:rsidRPr="004A70B7">
        <w:rPr>
          <w:rFonts w:ascii="Times New Roman" w:hAnsi="Times New Roman" w:cs="Times New Roman"/>
          <w:sz w:val="24"/>
          <w:szCs w:val="24"/>
        </w:rPr>
        <w:t>express</w:t>
      </w:r>
      <w:r w:rsidR="00C37FDD" w:rsidRPr="004A70B7">
        <w:rPr>
          <w:rFonts w:ascii="Times New Roman" w:hAnsi="Times New Roman" w:cs="Times New Roman"/>
          <w:sz w:val="24"/>
          <w:szCs w:val="24"/>
        </w:rPr>
        <w:t>ed</w:t>
      </w:r>
      <w:proofErr w:type="gramEnd"/>
      <w:r w:rsidR="00EE3F7C" w:rsidRPr="004A70B7">
        <w:rPr>
          <w:rFonts w:ascii="Times New Roman" w:hAnsi="Times New Roman" w:cs="Times New Roman"/>
          <w:sz w:val="24"/>
          <w:szCs w:val="24"/>
        </w:rPr>
        <w:t xml:space="preserve"> its understanding that d</w:t>
      </w:r>
      <w:r w:rsidR="00721948" w:rsidRPr="004A70B7">
        <w:rPr>
          <w:rFonts w:ascii="Times New Roman" w:hAnsi="Times New Roman" w:cs="Times New Roman"/>
          <w:sz w:val="24"/>
          <w:szCs w:val="24"/>
        </w:rPr>
        <w:t xml:space="preserve">ue to the nature of the research process (uncertain outcomes), formulating adequate performance targets has been a challenge for the Department. This uncertainty leads to questions relating to their performance statistics. </w:t>
      </w:r>
    </w:p>
    <w:p w:rsidR="005C38C4" w:rsidRPr="004A70B7" w:rsidRDefault="005C38C4"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Committee however urged the Department to explore </w:t>
      </w:r>
      <w:r w:rsidR="00035E6B" w:rsidRPr="004A70B7">
        <w:rPr>
          <w:rFonts w:ascii="Times New Roman" w:hAnsi="Times New Roman" w:cs="Times New Roman"/>
          <w:sz w:val="24"/>
          <w:szCs w:val="24"/>
        </w:rPr>
        <w:t>mechanisms that</w:t>
      </w:r>
      <w:r w:rsidRPr="004A70B7">
        <w:rPr>
          <w:rFonts w:ascii="Times New Roman" w:hAnsi="Times New Roman" w:cs="Times New Roman"/>
          <w:sz w:val="24"/>
          <w:szCs w:val="24"/>
        </w:rPr>
        <w:t xml:space="preserve"> could measure the impact of its work especially in the </w:t>
      </w:r>
      <w:r w:rsidR="00035E6B" w:rsidRPr="004A70B7">
        <w:rPr>
          <w:rFonts w:ascii="Times New Roman" w:hAnsi="Times New Roman" w:cs="Times New Roman"/>
          <w:sz w:val="24"/>
          <w:szCs w:val="24"/>
        </w:rPr>
        <w:t>areas, which</w:t>
      </w:r>
      <w:r w:rsidRPr="004A70B7">
        <w:rPr>
          <w:rFonts w:ascii="Times New Roman" w:hAnsi="Times New Roman" w:cs="Times New Roman"/>
          <w:sz w:val="24"/>
          <w:szCs w:val="24"/>
        </w:rPr>
        <w:t xml:space="preserve"> affect basic service delivery</w:t>
      </w:r>
      <w:r w:rsidR="007C316E" w:rsidRPr="004A70B7">
        <w:rPr>
          <w:rFonts w:ascii="Times New Roman" w:hAnsi="Times New Roman" w:cs="Times New Roman"/>
          <w:sz w:val="24"/>
          <w:szCs w:val="24"/>
        </w:rPr>
        <w:t>.</w:t>
      </w:r>
      <w:r w:rsidRPr="004A70B7">
        <w:rPr>
          <w:rFonts w:ascii="Times New Roman" w:hAnsi="Times New Roman" w:cs="Times New Roman"/>
          <w:sz w:val="24"/>
          <w:szCs w:val="24"/>
        </w:rPr>
        <w:t xml:space="preserve"> </w:t>
      </w:r>
    </w:p>
    <w:p w:rsidR="003319B1" w:rsidRPr="004A70B7" w:rsidRDefault="003319B1"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Department should revisit the mandate, role and functions of all its entities to ensure that </w:t>
      </w:r>
      <w:r w:rsidR="00040DC5" w:rsidRPr="004A70B7">
        <w:rPr>
          <w:rFonts w:ascii="Times New Roman" w:hAnsi="Times New Roman" w:cs="Times New Roman"/>
          <w:sz w:val="24"/>
          <w:szCs w:val="24"/>
        </w:rPr>
        <w:t xml:space="preserve">at those levels, </w:t>
      </w:r>
      <w:r w:rsidRPr="004A70B7">
        <w:rPr>
          <w:rFonts w:ascii="Times New Roman" w:hAnsi="Times New Roman" w:cs="Times New Roman"/>
          <w:sz w:val="24"/>
          <w:szCs w:val="24"/>
        </w:rPr>
        <w:t xml:space="preserve">areas of overlap </w:t>
      </w:r>
      <w:proofErr w:type="gramStart"/>
      <w:r w:rsidRPr="004A70B7">
        <w:rPr>
          <w:rFonts w:ascii="Times New Roman" w:hAnsi="Times New Roman" w:cs="Times New Roman"/>
          <w:sz w:val="24"/>
          <w:szCs w:val="24"/>
        </w:rPr>
        <w:t>are addressed</w:t>
      </w:r>
      <w:proofErr w:type="gramEnd"/>
      <w:r w:rsidRPr="004A70B7">
        <w:rPr>
          <w:rFonts w:ascii="Times New Roman" w:hAnsi="Times New Roman" w:cs="Times New Roman"/>
          <w:sz w:val="24"/>
          <w:szCs w:val="24"/>
        </w:rPr>
        <w:t>. It is important that entities cooperate and work together in finding solutions to some of the national challenges in areas of energy, water, waste</w:t>
      </w:r>
      <w:r w:rsidR="00C51E86" w:rsidRPr="004A70B7">
        <w:rPr>
          <w:rFonts w:ascii="Times New Roman" w:hAnsi="Times New Roman" w:cs="Times New Roman"/>
          <w:sz w:val="24"/>
          <w:szCs w:val="24"/>
        </w:rPr>
        <w:t>,</w:t>
      </w:r>
      <w:r w:rsidRPr="004A70B7">
        <w:rPr>
          <w:rFonts w:ascii="Times New Roman" w:hAnsi="Times New Roman" w:cs="Times New Roman"/>
          <w:sz w:val="24"/>
          <w:szCs w:val="24"/>
        </w:rPr>
        <w:t xml:space="preserve"> </w:t>
      </w:r>
      <w:r w:rsidR="00C51E86" w:rsidRPr="004A70B7">
        <w:rPr>
          <w:rFonts w:ascii="Times New Roman" w:hAnsi="Times New Roman" w:cs="Times New Roman"/>
          <w:sz w:val="24"/>
          <w:szCs w:val="24"/>
        </w:rPr>
        <w:t>e</w:t>
      </w:r>
      <w:r w:rsidRPr="004A70B7">
        <w:rPr>
          <w:rFonts w:ascii="Times New Roman" w:hAnsi="Times New Roman" w:cs="Times New Roman"/>
          <w:sz w:val="24"/>
          <w:szCs w:val="24"/>
        </w:rPr>
        <w:t xml:space="preserve">tc.   </w:t>
      </w:r>
    </w:p>
    <w:p w:rsidR="00AB4D9F" w:rsidRPr="004A70B7" w:rsidRDefault="00CC3CB7"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I</w:t>
      </w:r>
      <w:r w:rsidR="00AB4D9F" w:rsidRPr="004A70B7">
        <w:rPr>
          <w:rFonts w:ascii="Times New Roman" w:hAnsi="Times New Roman" w:cs="Times New Roman"/>
          <w:sz w:val="24"/>
          <w:szCs w:val="24"/>
        </w:rPr>
        <w:t xml:space="preserve">ntergovernmental collaborative partnerships are instrumental in ensuring that the work done by the Department and the </w:t>
      </w:r>
      <w:r w:rsidRPr="004A70B7">
        <w:rPr>
          <w:rFonts w:ascii="Times New Roman" w:hAnsi="Times New Roman" w:cs="Times New Roman"/>
          <w:sz w:val="24"/>
          <w:szCs w:val="24"/>
        </w:rPr>
        <w:t>e</w:t>
      </w:r>
      <w:r w:rsidR="00AB4D9F" w:rsidRPr="004A70B7">
        <w:rPr>
          <w:rFonts w:ascii="Times New Roman" w:hAnsi="Times New Roman" w:cs="Times New Roman"/>
          <w:sz w:val="24"/>
          <w:szCs w:val="24"/>
        </w:rPr>
        <w:t xml:space="preserve">ntities </w:t>
      </w:r>
      <w:proofErr w:type="gramStart"/>
      <w:r w:rsidR="00AB4D9F" w:rsidRPr="004A70B7">
        <w:rPr>
          <w:rFonts w:ascii="Times New Roman" w:hAnsi="Times New Roman" w:cs="Times New Roman"/>
          <w:sz w:val="24"/>
          <w:szCs w:val="24"/>
        </w:rPr>
        <w:t>is used and implemented</w:t>
      </w:r>
      <w:proofErr w:type="gramEnd"/>
      <w:r w:rsidRPr="004A70B7">
        <w:rPr>
          <w:rFonts w:ascii="Times New Roman" w:hAnsi="Times New Roman" w:cs="Times New Roman"/>
          <w:sz w:val="24"/>
          <w:szCs w:val="24"/>
        </w:rPr>
        <w:t>.</w:t>
      </w:r>
      <w:r w:rsidR="00AB4D9F" w:rsidRPr="004A70B7">
        <w:rPr>
          <w:rFonts w:ascii="Times New Roman" w:hAnsi="Times New Roman" w:cs="Times New Roman"/>
          <w:sz w:val="24"/>
          <w:szCs w:val="24"/>
        </w:rPr>
        <w:t xml:space="preserve"> </w:t>
      </w:r>
      <w:r w:rsidRPr="004A70B7">
        <w:rPr>
          <w:rFonts w:ascii="Times New Roman" w:hAnsi="Times New Roman" w:cs="Times New Roman"/>
          <w:sz w:val="24"/>
          <w:szCs w:val="24"/>
        </w:rPr>
        <w:t>T</w:t>
      </w:r>
      <w:r w:rsidR="00AB4D9F" w:rsidRPr="004A70B7">
        <w:rPr>
          <w:rFonts w:ascii="Times New Roman" w:hAnsi="Times New Roman" w:cs="Times New Roman"/>
          <w:sz w:val="24"/>
          <w:szCs w:val="24"/>
        </w:rPr>
        <w:t xml:space="preserve">hese relationships are crucial to </w:t>
      </w:r>
      <w:r w:rsidRPr="004A70B7">
        <w:rPr>
          <w:rFonts w:ascii="Times New Roman" w:hAnsi="Times New Roman" w:cs="Times New Roman"/>
          <w:sz w:val="24"/>
          <w:szCs w:val="24"/>
        </w:rPr>
        <w:t>ensuring that crosscutting activities are better coordinated, not duplicated</w:t>
      </w:r>
      <w:r w:rsidR="00A80EE4" w:rsidRPr="004A70B7">
        <w:rPr>
          <w:rFonts w:ascii="Times New Roman" w:hAnsi="Times New Roman" w:cs="Times New Roman"/>
          <w:sz w:val="24"/>
          <w:szCs w:val="24"/>
        </w:rPr>
        <w:t xml:space="preserve"> and resources are not wasted</w:t>
      </w:r>
      <w:r w:rsidRPr="004A70B7">
        <w:rPr>
          <w:rFonts w:ascii="Times New Roman" w:hAnsi="Times New Roman" w:cs="Times New Roman"/>
          <w:sz w:val="24"/>
          <w:szCs w:val="24"/>
        </w:rPr>
        <w:t>.</w:t>
      </w:r>
    </w:p>
    <w:p w:rsidR="003552DA" w:rsidRPr="004A70B7" w:rsidRDefault="003552DA"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Committee restates its proposal for a policy, which could give way to a centralised research and development budget as well as monitoring and control mechanism for R&amp;D activities across all government departments. This would ensure efficient allocation and spending on science, technology and innovation across all government departments. </w:t>
      </w:r>
    </w:p>
    <w:p w:rsidR="00AB4D9F" w:rsidRPr="004A70B7" w:rsidRDefault="00AB4D9F" w:rsidP="004A70B7">
      <w:pPr>
        <w:pStyle w:val="ListParagraph"/>
        <w:numPr>
          <w:ilvl w:val="1"/>
          <w:numId w:val="33"/>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Enhanced coordination is necessary at Executive as well as Parliamentary level among the various portfolio and select committees in instances where science and technology issues are transversal.</w:t>
      </w:r>
    </w:p>
    <w:p w:rsidR="00AB4D9F" w:rsidRPr="004A70B7" w:rsidRDefault="00AB4D9F" w:rsidP="004A70B7">
      <w:pPr>
        <w:pStyle w:val="ListParagraph"/>
        <w:numPr>
          <w:ilvl w:val="0"/>
          <w:numId w:val="16"/>
        </w:numPr>
        <w:spacing w:before="240" w:after="240" w:line="240" w:lineRule="auto"/>
        <w:ind w:left="567" w:hanging="567"/>
        <w:rPr>
          <w:rFonts w:ascii="Times New Roman" w:hAnsi="Times New Roman" w:cs="Times New Roman"/>
          <w:b/>
          <w:sz w:val="24"/>
          <w:szCs w:val="24"/>
        </w:rPr>
      </w:pPr>
      <w:r w:rsidRPr="004A70B7">
        <w:rPr>
          <w:rFonts w:ascii="Times New Roman" w:hAnsi="Times New Roman" w:cs="Times New Roman"/>
          <w:b/>
          <w:sz w:val="24"/>
          <w:szCs w:val="24"/>
        </w:rPr>
        <w:t>Committee Recommendations</w:t>
      </w:r>
    </w:p>
    <w:p w:rsidR="00AB4D9F" w:rsidRPr="004A70B7" w:rsidRDefault="00AB4D9F" w:rsidP="004A70B7">
      <w:pPr>
        <w:spacing w:before="240" w:after="240" w:line="240" w:lineRule="auto"/>
        <w:rPr>
          <w:rFonts w:ascii="Times New Roman" w:hAnsi="Times New Roman" w:cs="Times New Roman"/>
        </w:rPr>
      </w:pPr>
      <w:r w:rsidRPr="004A70B7">
        <w:rPr>
          <w:rFonts w:ascii="Times New Roman" w:hAnsi="Times New Roman" w:cs="Times New Roman"/>
        </w:rPr>
        <w:t>The Portfolio Committee on Science and Technology, having considered the proposed Budget Vote 30: Science and Technology, recommends that:</w:t>
      </w:r>
    </w:p>
    <w:p w:rsidR="00AB4D9F" w:rsidRPr="004A70B7" w:rsidRDefault="00AB4D9F" w:rsidP="004A70B7">
      <w:pPr>
        <w:pStyle w:val="ListParagraph"/>
        <w:numPr>
          <w:ilvl w:val="1"/>
          <w:numId w:val="34"/>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All mechanisms to increase the budget allocation to the Department of Science and Technology </w:t>
      </w:r>
      <w:proofErr w:type="gramStart"/>
      <w:r w:rsidRPr="004A70B7">
        <w:rPr>
          <w:rFonts w:ascii="Times New Roman" w:hAnsi="Times New Roman" w:cs="Times New Roman"/>
          <w:sz w:val="24"/>
          <w:szCs w:val="24"/>
        </w:rPr>
        <w:t>be</w:t>
      </w:r>
      <w:proofErr w:type="gramEnd"/>
      <w:r w:rsidRPr="004A70B7">
        <w:rPr>
          <w:rFonts w:ascii="Times New Roman" w:hAnsi="Times New Roman" w:cs="Times New Roman"/>
          <w:sz w:val="24"/>
          <w:szCs w:val="24"/>
        </w:rPr>
        <w:t xml:space="preserve"> pursued by the Ministers of Science and Technology and Finance.</w:t>
      </w:r>
    </w:p>
    <w:p w:rsidR="00E54AAA" w:rsidRPr="004A70B7" w:rsidRDefault="00C67664" w:rsidP="004A70B7">
      <w:pPr>
        <w:pStyle w:val="ListParagraph"/>
        <w:numPr>
          <w:ilvl w:val="1"/>
          <w:numId w:val="34"/>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The Department reports to </w:t>
      </w:r>
      <w:r w:rsidR="00040DC5" w:rsidRPr="004A70B7">
        <w:rPr>
          <w:rFonts w:ascii="Times New Roman" w:hAnsi="Times New Roman" w:cs="Times New Roman"/>
          <w:sz w:val="24"/>
          <w:szCs w:val="24"/>
        </w:rPr>
        <w:t>the Committee on possible mea</w:t>
      </w:r>
      <w:r w:rsidRPr="004A70B7">
        <w:rPr>
          <w:rFonts w:ascii="Times New Roman" w:hAnsi="Times New Roman" w:cs="Times New Roman"/>
          <w:sz w:val="24"/>
          <w:szCs w:val="24"/>
        </w:rPr>
        <w:t>sures to resolve the issues around the R&amp;D Tax Incentive Initiative by end-October 201</w:t>
      </w:r>
      <w:r w:rsidR="00040DC5" w:rsidRPr="004A70B7">
        <w:rPr>
          <w:rFonts w:ascii="Times New Roman" w:hAnsi="Times New Roman" w:cs="Times New Roman"/>
          <w:sz w:val="24"/>
          <w:szCs w:val="24"/>
        </w:rPr>
        <w:t>7</w:t>
      </w:r>
      <w:r w:rsidRPr="004A70B7">
        <w:rPr>
          <w:rFonts w:ascii="Times New Roman" w:hAnsi="Times New Roman" w:cs="Times New Roman"/>
          <w:sz w:val="24"/>
          <w:szCs w:val="24"/>
        </w:rPr>
        <w:t>.</w:t>
      </w:r>
    </w:p>
    <w:p w:rsidR="00C67664" w:rsidRPr="004A70B7" w:rsidRDefault="00C67664" w:rsidP="004A70B7">
      <w:pPr>
        <w:pStyle w:val="ListParagraph"/>
        <w:numPr>
          <w:ilvl w:val="1"/>
          <w:numId w:val="34"/>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lastRenderedPageBreak/>
        <w:t xml:space="preserve">The Department table, as soon as possible, the </w:t>
      </w:r>
      <w:r w:rsidR="00F23E4B" w:rsidRPr="004A70B7">
        <w:rPr>
          <w:rFonts w:ascii="Times New Roman" w:hAnsi="Times New Roman" w:cs="Times New Roman"/>
          <w:sz w:val="24"/>
          <w:szCs w:val="24"/>
        </w:rPr>
        <w:t>201</w:t>
      </w:r>
      <w:r w:rsidR="00040DC5" w:rsidRPr="004A70B7">
        <w:rPr>
          <w:rFonts w:ascii="Times New Roman" w:hAnsi="Times New Roman" w:cs="Times New Roman"/>
          <w:sz w:val="24"/>
          <w:szCs w:val="24"/>
        </w:rPr>
        <w:t>5</w:t>
      </w:r>
      <w:r w:rsidR="00F23E4B" w:rsidRPr="004A70B7">
        <w:rPr>
          <w:rFonts w:ascii="Times New Roman" w:hAnsi="Times New Roman" w:cs="Times New Roman"/>
          <w:sz w:val="24"/>
          <w:szCs w:val="24"/>
        </w:rPr>
        <w:t>/1</w:t>
      </w:r>
      <w:r w:rsidR="00040DC5" w:rsidRPr="004A70B7">
        <w:rPr>
          <w:rFonts w:ascii="Times New Roman" w:hAnsi="Times New Roman" w:cs="Times New Roman"/>
          <w:sz w:val="24"/>
          <w:szCs w:val="24"/>
        </w:rPr>
        <w:t>6</w:t>
      </w:r>
      <w:r w:rsidR="00F23E4B" w:rsidRPr="004A70B7">
        <w:rPr>
          <w:rFonts w:ascii="Times New Roman" w:hAnsi="Times New Roman" w:cs="Times New Roman"/>
          <w:sz w:val="24"/>
          <w:szCs w:val="24"/>
        </w:rPr>
        <w:t xml:space="preserve"> and 201</w:t>
      </w:r>
      <w:r w:rsidR="00040DC5" w:rsidRPr="004A70B7">
        <w:rPr>
          <w:rFonts w:ascii="Times New Roman" w:hAnsi="Times New Roman" w:cs="Times New Roman"/>
          <w:sz w:val="24"/>
          <w:szCs w:val="24"/>
        </w:rPr>
        <w:t>6</w:t>
      </w:r>
      <w:r w:rsidR="00F23E4B" w:rsidRPr="004A70B7">
        <w:rPr>
          <w:rFonts w:ascii="Times New Roman" w:hAnsi="Times New Roman" w:cs="Times New Roman"/>
          <w:sz w:val="24"/>
          <w:szCs w:val="24"/>
        </w:rPr>
        <w:t>/1</w:t>
      </w:r>
      <w:r w:rsidR="00040DC5" w:rsidRPr="004A70B7">
        <w:rPr>
          <w:rFonts w:ascii="Times New Roman" w:hAnsi="Times New Roman" w:cs="Times New Roman"/>
          <w:sz w:val="24"/>
          <w:szCs w:val="24"/>
        </w:rPr>
        <w:t>7,</w:t>
      </w:r>
      <w:r w:rsidR="00F23E4B" w:rsidRPr="004A70B7">
        <w:rPr>
          <w:rFonts w:ascii="Times New Roman" w:hAnsi="Times New Roman" w:cs="Times New Roman"/>
          <w:sz w:val="24"/>
          <w:szCs w:val="24"/>
        </w:rPr>
        <w:t xml:space="preserve"> </w:t>
      </w:r>
      <w:r w:rsidRPr="004A70B7">
        <w:rPr>
          <w:rFonts w:ascii="Times New Roman" w:hAnsi="Times New Roman" w:cs="Times New Roman"/>
          <w:sz w:val="24"/>
          <w:szCs w:val="24"/>
        </w:rPr>
        <w:t xml:space="preserve">R&amp;D Tax Incentive </w:t>
      </w:r>
      <w:r w:rsidR="00F23E4B" w:rsidRPr="004A70B7">
        <w:rPr>
          <w:rFonts w:ascii="Times New Roman" w:hAnsi="Times New Roman" w:cs="Times New Roman"/>
          <w:sz w:val="24"/>
          <w:szCs w:val="24"/>
        </w:rPr>
        <w:t>Programme performance reports.</w:t>
      </w:r>
      <w:r w:rsidR="00BC0FCA" w:rsidRPr="004A70B7">
        <w:rPr>
          <w:rFonts w:ascii="Times New Roman" w:hAnsi="Times New Roman" w:cs="Times New Roman"/>
          <w:sz w:val="24"/>
          <w:szCs w:val="24"/>
        </w:rPr>
        <w:t xml:space="preserve"> The Committee will schedule a briefing in the</w:t>
      </w:r>
      <w:r w:rsidR="00040DC5" w:rsidRPr="004A70B7">
        <w:rPr>
          <w:rFonts w:ascii="Times New Roman" w:hAnsi="Times New Roman" w:cs="Times New Roman"/>
          <w:sz w:val="24"/>
          <w:szCs w:val="24"/>
        </w:rPr>
        <w:t xml:space="preserve"> following </w:t>
      </w:r>
      <w:r w:rsidR="00BC0FCA" w:rsidRPr="004A70B7">
        <w:rPr>
          <w:rFonts w:ascii="Times New Roman" w:hAnsi="Times New Roman" w:cs="Times New Roman"/>
          <w:sz w:val="24"/>
          <w:szCs w:val="24"/>
        </w:rPr>
        <w:t xml:space="preserve">term </w:t>
      </w:r>
      <w:r w:rsidR="00040DC5" w:rsidRPr="004A70B7">
        <w:rPr>
          <w:rFonts w:ascii="Times New Roman" w:hAnsi="Times New Roman" w:cs="Times New Roman"/>
          <w:sz w:val="24"/>
          <w:szCs w:val="24"/>
        </w:rPr>
        <w:t xml:space="preserve">for this purpose. </w:t>
      </w:r>
    </w:p>
    <w:p w:rsidR="00AB4D9F" w:rsidRPr="004A70B7" w:rsidRDefault="004114B4" w:rsidP="004A70B7">
      <w:pPr>
        <w:pStyle w:val="ListParagraph"/>
        <w:numPr>
          <w:ilvl w:val="1"/>
          <w:numId w:val="34"/>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 xml:space="preserve">Government investigates formulating a policy that </w:t>
      </w:r>
      <w:r w:rsidR="005D6E1F" w:rsidRPr="004A70B7">
        <w:rPr>
          <w:rFonts w:ascii="Times New Roman" w:hAnsi="Times New Roman" w:cs="Times New Roman"/>
          <w:sz w:val="24"/>
          <w:szCs w:val="24"/>
        </w:rPr>
        <w:t xml:space="preserve">favours </w:t>
      </w:r>
      <w:r w:rsidRPr="004A70B7">
        <w:rPr>
          <w:rFonts w:ascii="Times New Roman" w:hAnsi="Times New Roman" w:cs="Times New Roman"/>
          <w:sz w:val="24"/>
          <w:szCs w:val="24"/>
        </w:rPr>
        <w:t>State-owned entities</w:t>
      </w:r>
      <w:r w:rsidR="005D6E1F" w:rsidRPr="004A70B7">
        <w:rPr>
          <w:rFonts w:ascii="Times New Roman" w:hAnsi="Times New Roman" w:cs="Times New Roman"/>
          <w:sz w:val="24"/>
          <w:szCs w:val="24"/>
        </w:rPr>
        <w:t xml:space="preserve"> and institutions of higher learning</w:t>
      </w:r>
      <w:r w:rsidRPr="004A70B7">
        <w:rPr>
          <w:rFonts w:ascii="Times New Roman" w:hAnsi="Times New Roman" w:cs="Times New Roman"/>
          <w:sz w:val="24"/>
          <w:szCs w:val="24"/>
        </w:rPr>
        <w:t xml:space="preserve">, with the required expertise, </w:t>
      </w:r>
      <w:r w:rsidR="005D6E1F" w:rsidRPr="004A70B7">
        <w:rPr>
          <w:rFonts w:ascii="Times New Roman" w:hAnsi="Times New Roman" w:cs="Times New Roman"/>
          <w:sz w:val="24"/>
          <w:szCs w:val="24"/>
        </w:rPr>
        <w:t xml:space="preserve">when </w:t>
      </w:r>
      <w:r w:rsidRPr="004A70B7">
        <w:rPr>
          <w:rFonts w:ascii="Times New Roman" w:hAnsi="Times New Roman" w:cs="Times New Roman"/>
          <w:sz w:val="24"/>
          <w:szCs w:val="24"/>
        </w:rPr>
        <w:t>tendering for government research contracts that fall within their mandate.</w:t>
      </w:r>
      <w:r w:rsidR="00503CB5" w:rsidRPr="004A70B7">
        <w:rPr>
          <w:rFonts w:ascii="Times New Roman" w:hAnsi="Times New Roman" w:cs="Times New Roman"/>
          <w:sz w:val="24"/>
          <w:szCs w:val="24"/>
        </w:rPr>
        <w:t xml:space="preserve"> The Committee will schedule the necessary briefing</w:t>
      </w:r>
      <w:r w:rsidR="00B434F1" w:rsidRPr="004A70B7">
        <w:rPr>
          <w:rFonts w:ascii="Times New Roman" w:hAnsi="Times New Roman" w:cs="Times New Roman"/>
          <w:sz w:val="24"/>
          <w:szCs w:val="24"/>
        </w:rPr>
        <w:t>s</w:t>
      </w:r>
      <w:r w:rsidR="00503CB5" w:rsidRPr="004A70B7">
        <w:rPr>
          <w:rFonts w:ascii="Times New Roman" w:hAnsi="Times New Roman" w:cs="Times New Roman"/>
          <w:sz w:val="24"/>
          <w:szCs w:val="24"/>
        </w:rPr>
        <w:t xml:space="preserve"> to facilitate discussion on this matter.</w:t>
      </w:r>
    </w:p>
    <w:p w:rsidR="00AB4D9F" w:rsidRPr="004A70B7" w:rsidRDefault="00AB4D9F" w:rsidP="004A70B7">
      <w:pPr>
        <w:pStyle w:val="ListParagraph"/>
        <w:numPr>
          <w:ilvl w:val="1"/>
          <w:numId w:val="34"/>
        </w:numPr>
        <w:spacing w:before="240" w:after="240" w:line="240" w:lineRule="auto"/>
        <w:ind w:left="567" w:hanging="567"/>
        <w:rPr>
          <w:rFonts w:ascii="Times New Roman" w:hAnsi="Times New Roman" w:cs="Times New Roman"/>
          <w:sz w:val="24"/>
          <w:szCs w:val="24"/>
        </w:rPr>
      </w:pPr>
      <w:r w:rsidRPr="004A70B7">
        <w:rPr>
          <w:rFonts w:ascii="Times New Roman" w:hAnsi="Times New Roman" w:cs="Times New Roman"/>
          <w:sz w:val="24"/>
          <w:szCs w:val="24"/>
        </w:rPr>
        <w:t>The House adopts Budget Vote 30: Science and Technology.</w:t>
      </w:r>
    </w:p>
    <w:p w:rsidR="00AB4D9F" w:rsidRPr="004A70B7" w:rsidRDefault="00EB0BE7" w:rsidP="004A70B7">
      <w:pPr>
        <w:spacing w:before="240" w:after="240" w:line="240" w:lineRule="auto"/>
        <w:rPr>
          <w:rFonts w:ascii="Times New Roman" w:hAnsi="Times New Roman" w:cs="Times New Roman"/>
        </w:rPr>
      </w:pPr>
      <w:r w:rsidRPr="004A70B7">
        <w:rPr>
          <w:rFonts w:ascii="Times New Roman" w:hAnsi="Times New Roman" w:cs="Times New Roman"/>
        </w:rPr>
        <w:t>The Democratic Alliance has reserved their right to an opinion on the Vote.</w:t>
      </w:r>
    </w:p>
    <w:p w:rsidR="00EB0BE7" w:rsidRPr="004A70B7" w:rsidRDefault="001B429E" w:rsidP="004A70B7">
      <w:pPr>
        <w:spacing w:before="240" w:after="240" w:line="240" w:lineRule="auto"/>
        <w:rPr>
          <w:rFonts w:ascii="Times New Roman" w:hAnsi="Times New Roman" w:cs="Times New Roman"/>
        </w:rPr>
      </w:pPr>
      <w:r w:rsidRPr="004A70B7">
        <w:rPr>
          <w:rFonts w:ascii="Times New Roman" w:hAnsi="Times New Roman" w:cs="Times New Roman"/>
        </w:rPr>
        <w:t xml:space="preserve">The Economic Freedom Fighters indicated that they would not support the Vote. </w:t>
      </w:r>
    </w:p>
    <w:p w:rsidR="00B66FA7" w:rsidRPr="004A70B7" w:rsidRDefault="00B66FA7" w:rsidP="004A70B7">
      <w:pPr>
        <w:spacing w:before="240" w:after="240" w:line="240" w:lineRule="auto"/>
        <w:rPr>
          <w:rFonts w:ascii="Times New Roman" w:hAnsi="Times New Roman" w:cs="Times New Roman"/>
          <w:b/>
        </w:rPr>
      </w:pPr>
    </w:p>
    <w:p w:rsidR="00AB4D9F" w:rsidRPr="004A70B7" w:rsidRDefault="00AB4D9F" w:rsidP="004A70B7">
      <w:pPr>
        <w:spacing w:before="240" w:after="240" w:line="240" w:lineRule="auto"/>
        <w:rPr>
          <w:rFonts w:ascii="Times New Roman" w:hAnsi="Times New Roman" w:cs="Times New Roman"/>
          <w:b/>
        </w:rPr>
      </w:pPr>
      <w:r w:rsidRPr="004A70B7">
        <w:rPr>
          <w:rFonts w:ascii="Times New Roman" w:hAnsi="Times New Roman" w:cs="Times New Roman"/>
          <w:b/>
        </w:rPr>
        <w:t>Report to be considered</w:t>
      </w:r>
    </w:p>
    <w:sectPr w:rsidR="00AB4D9F" w:rsidRPr="004A70B7" w:rsidSect="004A70B7">
      <w:footerReference w:type="defaul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03" w:rsidRDefault="00BF1E03" w:rsidP="00391309">
      <w:r>
        <w:separator/>
      </w:r>
    </w:p>
  </w:endnote>
  <w:endnote w:type="continuationSeparator" w:id="0">
    <w:p w:rsidR="00BF1E03" w:rsidRDefault="00BF1E03" w:rsidP="003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B7" w:rsidRPr="000D13BF" w:rsidRDefault="004A70B7" w:rsidP="004A70B7">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Pr="000D13BF">
      <w:rPr>
        <w:sz w:val="18"/>
        <w:szCs w:val="18"/>
      </w:rPr>
      <w:fldChar w:fldCharType="begin"/>
    </w:r>
    <w:r w:rsidRPr="000D13BF">
      <w:rPr>
        <w:sz w:val="18"/>
        <w:szCs w:val="18"/>
      </w:rPr>
      <w:instrText xml:space="preserve"> PAGE   \* MERGEFORMAT </w:instrText>
    </w:r>
    <w:r w:rsidRPr="000D13BF">
      <w:rPr>
        <w:sz w:val="18"/>
        <w:szCs w:val="18"/>
      </w:rPr>
      <w:fldChar w:fldCharType="separate"/>
    </w:r>
    <w:r w:rsidR="005607C3">
      <w:rPr>
        <w:noProof/>
        <w:sz w:val="18"/>
        <w:szCs w:val="18"/>
      </w:rPr>
      <w:t>18</w:t>
    </w:r>
    <w:r w:rsidRPr="000D13BF">
      <w:rPr>
        <w:sz w:val="18"/>
        <w:szCs w:val="18"/>
      </w:rPr>
      <w:fldChar w:fldCharType="end"/>
    </w:r>
  </w:p>
  <w:p w:rsidR="00757711" w:rsidRDefault="00757711" w:rsidP="004A70B7">
    <w:pPr>
      <w:pStyle w:val="Footer"/>
      <w:tabs>
        <w:tab w:val="left" w:pos="779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11" w:rsidRPr="000D13BF" w:rsidRDefault="00757711"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Pr="000D13BF">
      <w:rPr>
        <w:sz w:val="18"/>
        <w:szCs w:val="18"/>
      </w:rPr>
      <w:fldChar w:fldCharType="begin"/>
    </w:r>
    <w:r w:rsidRPr="000D13BF">
      <w:rPr>
        <w:sz w:val="18"/>
        <w:szCs w:val="18"/>
      </w:rPr>
      <w:instrText xml:space="preserve"> PAGE   \* MERGEFORMAT </w:instrText>
    </w:r>
    <w:r w:rsidRPr="000D13BF">
      <w:rPr>
        <w:sz w:val="18"/>
        <w:szCs w:val="18"/>
      </w:rPr>
      <w:fldChar w:fldCharType="separate"/>
    </w:r>
    <w:r w:rsidR="005607C3">
      <w:rPr>
        <w:noProof/>
        <w:sz w:val="18"/>
        <w:szCs w:val="18"/>
      </w:rPr>
      <w:t>1</w:t>
    </w:r>
    <w:r w:rsidRPr="000D13B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03" w:rsidRDefault="00BF1E03" w:rsidP="00391309">
      <w:r>
        <w:separator/>
      </w:r>
    </w:p>
  </w:footnote>
  <w:footnote w:type="continuationSeparator" w:id="0">
    <w:p w:rsidR="00BF1E03" w:rsidRDefault="00BF1E03" w:rsidP="0039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3AC"/>
    <w:multiLevelType w:val="hybridMultilevel"/>
    <w:tmpl w:val="3574EE26"/>
    <w:lvl w:ilvl="0" w:tplc="8D2E89F6">
      <w:numFmt w:val="bullet"/>
      <w:lvlText w:val="•"/>
      <w:lvlJc w:val="left"/>
      <w:pPr>
        <w:ind w:left="930" w:hanging="57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380124"/>
    <w:multiLevelType w:val="hybridMultilevel"/>
    <w:tmpl w:val="AD34213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A87BB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E060E8"/>
    <w:multiLevelType w:val="hybridMultilevel"/>
    <w:tmpl w:val="C91EF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2E4FBA"/>
    <w:multiLevelType w:val="hybridMultilevel"/>
    <w:tmpl w:val="C5F6E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930467"/>
    <w:multiLevelType w:val="hybridMultilevel"/>
    <w:tmpl w:val="3878CFDE"/>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6">
    <w:nsid w:val="0DB769E2"/>
    <w:multiLevelType w:val="hybridMultilevel"/>
    <w:tmpl w:val="BA0AB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8D7453"/>
    <w:multiLevelType w:val="hybridMultilevel"/>
    <w:tmpl w:val="E94ED728"/>
    <w:lvl w:ilvl="0" w:tplc="1C090001">
      <w:start w:val="1"/>
      <w:numFmt w:val="bullet"/>
      <w:lvlText w:val=""/>
      <w:lvlJc w:val="left"/>
      <w:pPr>
        <w:ind w:left="930" w:hanging="57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0717B77"/>
    <w:multiLevelType w:val="hybridMultilevel"/>
    <w:tmpl w:val="99F4CB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29509F4"/>
    <w:multiLevelType w:val="hybridMultilevel"/>
    <w:tmpl w:val="6AFE2B1A"/>
    <w:lvl w:ilvl="0" w:tplc="EC48198E">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B41278"/>
    <w:multiLevelType w:val="hybridMultilevel"/>
    <w:tmpl w:val="67886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8466A38"/>
    <w:multiLevelType w:val="hybridMultilevel"/>
    <w:tmpl w:val="62BE78C6"/>
    <w:lvl w:ilvl="0" w:tplc="BD20E878">
      <w:start w:val="1"/>
      <w:numFmt w:val="bullet"/>
      <w:lvlText w:val=""/>
      <w:lvlJc w:val="left"/>
      <w:pPr>
        <w:ind w:left="720" w:hanging="360"/>
      </w:pPr>
      <w:rPr>
        <w:rFonts w:ascii="Symbol" w:hAnsi="Symbo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581AAF"/>
    <w:multiLevelType w:val="hybridMultilevel"/>
    <w:tmpl w:val="D376CB8A"/>
    <w:lvl w:ilvl="0" w:tplc="7CF0A97C">
      <w:start w:val="1"/>
      <w:numFmt w:val="bullet"/>
      <w:lvlText w:val=""/>
      <w:lvlJc w:val="left"/>
      <w:pPr>
        <w:ind w:left="720" w:hanging="360"/>
      </w:pPr>
      <w:rPr>
        <w:rFonts w:ascii="Symbol" w:hAnsi="Symbol" w:hint="default"/>
        <w:b/>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C662E47"/>
    <w:multiLevelType w:val="hybridMultilevel"/>
    <w:tmpl w:val="3E1C34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1BC56CF"/>
    <w:multiLevelType w:val="hybridMultilevel"/>
    <w:tmpl w:val="F52E7FD6"/>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15">
    <w:nsid w:val="22E55BF2"/>
    <w:multiLevelType w:val="hybridMultilevel"/>
    <w:tmpl w:val="1E4A5894"/>
    <w:lvl w:ilvl="0" w:tplc="40D69C3A">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8591C10"/>
    <w:multiLevelType w:val="hybridMultilevel"/>
    <w:tmpl w:val="A02C6074"/>
    <w:lvl w:ilvl="0" w:tplc="8A7C607A">
      <w:start w:val="2"/>
      <w:numFmt w:val="bullet"/>
      <w:lvlText w:val="•"/>
      <w:lvlJc w:val="left"/>
      <w:pPr>
        <w:ind w:left="930" w:hanging="57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B579EB"/>
    <w:multiLevelType w:val="hybridMultilevel"/>
    <w:tmpl w:val="62ACF27A"/>
    <w:lvl w:ilvl="0" w:tplc="1C090001">
      <w:start w:val="1"/>
      <w:numFmt w:val="bullet"/>
      <w:lvlText w:val=""/>
      <w:lvlJc w:val="left"/>
      <w:pPr>
        <w:ind w:left="720" w:hanging="360"/>
      </w:pPr>
      <w:rPr>
        <w:rFonts w:ascii="Symbol" w:hAnsi="Symbol" w:hint="default"/>
      </w:rPr>
    </w:lvl>
    <w:lvl w:ilvl="1" w:tplc="D67CD452">
      <w:start w:val="1"/>
      <w:numFmt w:val="bullet"/>
      <w:lvlText w:val=""/>
      <w:lvlJc w:val="left"/>
      <w:pPr>
        <w:ind w:left="1440" w:hanging="360"/>
      </w:pPr>
      <w:rPr>
        <w:rFonts w:ascii="Symbol" w:hAnsi="Symbol" w:hint="default"/>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E530C"/>
    <w:multiLevelType w:val="multilevel"/>
    <w:tmpl w:val="9C7A99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D5350"/>
    <w:multiLevelType w:val="hybridMultilevel"/>
    <w:tmpl w:val="DAB61B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EC0F1D"/>
    <w:multiLevelType w:val="hybridMultilevel"/>
    <w:tmpl w:val="20F24D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455D2C"/>
    <w:multiLevelType w:val="hybridMultilevel"/>
    <w:tmpl w:val="681A0E1E"/>
    <w:lvl w:ilvl="0" w:tplc="40D69C3A">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DB57683"/>
    <w:multiLevelType w:val="hybridMultilevel"/>
    <w:tmpl w:val="B27CC238"/>
    <w:lvl w:ilvl="0" w:tplc="9724D474">
      <w:start w:val="1"/>
      <w:numFmt w:val="bullet"/>
      <w:lvlText w:val="•"/>
      <w:lvlJc w:val="left"/>
      <w:pPr>
        <w:tabs>
          <w:tab w:val="num" w:pos="720"/>
        </w:tabs>
        <w:ind w:left="720" w:hanging="360"/>
      </w:pPr>
      <w:rPr>
        <w:rFonts w:ascii="Arial" w:hAnsi="Arial" w:hint="default"/>
      </w:rPr>
    </w:lvl>
    <w:lvl w:ilvl="1" w:tplc="0AD28CFA" w:tentative="1">
      <w:start w:val="1"/>
      <w:numFmt w:val="bullet"/>
      <w:lvlText w:val="•"/>
      <w:lvlJc w:val="left"/>
      <w:pPr>
        <w:tabs>
          <w:tab w:val="num" w:pos="1440"/>
        </w:tabs>
        <w:ind w:left="1440" w:hanging="360"/>
      </w:pPr>
      <w:rPr>
        <w:rFonts w:ascii="Arial" w:hAnsi="Arial" w:hint="default"/>
      </w:rPr>
    </w:lvl>
    <w:lvl w:ilvl="2" w:tplc="F356B6AA" w:tentative="1">
      <w:start w:val="1"/>
      <w:numFmt w:val="bullet"/>
      <w:lvlText w:val="•"/>
      <w:lvlJc w:val="left"/>
      <w:pPr>
        <w:tabs>
          <w:tab w:val="num" w:pos="2160"/>
        </w:tabs>
        <w:ind w:left="2160" w:hanging="360"/>
      </w:pPr>
      <w:rPr>
        <w:rFonts w:ascii="Arial" w:hAnsi="Arial" w:hint="default"/>
      </w:rPr>
    </w:lvl>
    <w:lvl w:ilvl="3" w:tplc="41FCF4E4" w:tentative="1">
      <w:start w:val="1"/>
      <w:numFmt w:val="bullet"/>
      <w:lvlText w:val="•"/>
      <w:lvlJc w:val="left"/>
      <w:pPr>
        <w:tabs>
          <w:tab w:val="num" w:pos="2880"/>
        </w:tabs>
        <w:ind w:left="2880" w:hanging="360"/>
      </w:pPr>
      <w:rPr>
        <w:rFonts w:ascii="Arial" w:hAnsi="Arial" w:hint="default"/>
      </w:rPr>
    </w:lvl>
    <w:lvl w:ilvl="4" w:tplc="7BB6823C" w:tentative="1">
      <w:start w:val="1"/>
      <w:numFmt w:val="bullet"/>
      <w:lvlText w:val="•"/>
      <w:lvlJc w:val="left"/>
      <w:pPr>
        <w:tabs>
          <w:tab w:val="num" w:pos="3600"/>
        </w:tabs>
        <w:ind w:left="3600" w:hanging="360"/>
      </w:pPr>
      <w:rPr>
        <w:rFonts w:ascii="Arial" w:hAnsi="Arial" w:hint="default"/>
      </w:rPr>
    </w:lvl>
    <w:lvl w:ilvl="5" w:tplc="9DAE9784" w:tentative="1">
      <w:start w:val="1"/>
      <w:numFmt w:val="bullet"/>
      <w:lvlText w:val="•"/>
      <w:lvlJc w:val="left"/>
      <w:pPr>
        <w:tabs>
          <w:tab w:val="num" w:pos="4320"/>
        </w:tabs>
        <w:ind w:left="4320" w:hanging="360"/>
      </w:pPr>
      <w:rPr>
        <w:rFonts w:ascii="Arial" w:hAnsi="Arial" w:hint="default"/>
      </w:rPr>
    </w:lvl>
    <w:lvl w:ilvl="6" w:tplc="254AD390" w:tentative="1">
      <w:start w:val="1"/>
      <w:numFmt w:val="bullet"/>
      <w:lvlText w:val="•"/>
      <w:lvlJc w:val="left"/>
      <w:pPr>
        <w:tabs>
          <w:tab w:val="num" w:pos="5040"/>
        </w:tabs>
        <w:ind w:left="5040" w:hanging="360"/>
      </w:pPr>
      <w:rPr>
        <w:rFonts w:ascii="Arial" w:hAnsi="Arial" w:hint="default"/>
      </w:rPr>
    </w:lvl>
    <w:lvl w:ilvl="7" w:tplc="F6E677E4" w:tentative="1">
      <w:start w:val="1"/>
      <w:numFmt w:val="bullet"/>
      <w:lvlText w:val="•"/>
      <w:lvlJc w:val="left"/>
      <w:pPr>
        <w:tabs>
          <w:tab w:val="num" w:pos="5760"/>
        </w:tabs>
        <w:ind w:left="5760" w:hanging="360"/>
      </w:pPr>
      <w:rPr>
        <w:rFonts w:ascii="Arial" w:hAnsi="Arial" w:hint="default"/>
      </w:rPr>
    </w:lvl>
    <w:lvl w:ilvl="8" w:tplc="0AF01664" w:tentative="1">
      <w:start w:val="1"/>
      <w:numFmt w:val="bullet"/>
      <w:lvlText w:val="•"/>
      <w:lvlJc w:val="left"/>
      <w:pPr>
        <w:tabs>
          <w:tab w:val="num" w:pos="6480"/>
        </w:tabs>
        <w:ind w:left="6480" w:hanging="360"/>
      </w:pPr>
      <w:rPr>
        <w:rFonts w:ascii="Arial" w:hAnsi="Arial" w:hint="default"/>
      </w:rPr>
    </w:lvl>
  </w:abstractNum>
  <w:abstractNum w:abstractNumId="23">
    <w:nsid w:val="3E1B646A"/>
    <w:multiLevelType w:val="hybridMultilevel"/>
    <w:tmpl w:val="25DE2A5C"/>
    <w:lvl w:ilvl="0" w:tplc="EC48198E">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7F73D9"/>
    <w:multiLevelType w:val="hybridMultilevel"/>
    <w:tmpl w:val="4DD43F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F36829"/>
    <w:multiLevelType w:val="hybridMultilevel"/>
    <w:tmpl w:val="91DE69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AA26AB"/>
    <w:multiLevelType w:val="hybridMultilevel"/>
    <w:tmpl w:val="59FE02DA"/>
    <w:lvl w:ilvl="0" w:tplc="1C090001">
      <w:start w:val="1"/>
      <w:numFmt w:val="bullet"/>
      <w:lvlText w:val=""/>
      <w:lvlJc w:val="left"/>
      <w:pPr>
        <w:ind w:left="930" w:hanging="57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E327FE"/>
    <w:multiLevelType w:val="hybridMultilevel"/>
    <w:tmpl w:val="F184D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F9671F"/>
    <w:multiLevelType w:val="hybridMultilevel"/>
    <w:tmpl w:val="D6EE0B26"/>
    <w:lvl w:ilvl="0" w:tplc="1C090001">
      <w:start w:val="1"/>
      <w:numFmt w:val="bullet"/>
      <w:lvlText w:val=""/>
      <w:lvlJc w:val="left"/>
      <w:pPr>
        <w:ind w:left="720" w:hanging="360"/>
      </w:pPr>
      <w:rPr>
        <w:rFonts w:ascii="Symbol" w:hAnsi="Symbol" w:hint="default"/>
      </w:rPr>
    </w:lvl>
    <w:lvl w:ilvl="1" w:tplc="32F40742">
      <w:start w:val="4"/>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4115EE0"/>
    <w:multiLevelType w:val="hybridMultilevel"/>
    <w:tmpl w:val="F4562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BE1C95"/>
    <w:multiLevelType w:val="hybridMultilevel"/>
    <w:tmpl w:val="28F0F98A"/>
    <w:lvl w:ilvl="0" w:tplc="40D69C3A">
      <w:start w:val="1"/>
      <w:numFmt w:val="bullet"/>
      <w:lvlText w:val=""/>
      <w:lvlJc w:val="left"/>
      <w:pPr>
        <w:ind w:left="720" w:hanging="360"/>
      </w:pPr>
      <w:rPr>
        <w:rFonts w:ascii="Symbol" w:hAnsi="Symbol" w:hint="default"/>
        <w:sz w:val="24"/>
        <w:szCs w:val="24"/>
      </w:rPr>
    </w:lvl>
    <w:lvl w:ilvl="1" w:tplc="1C090001">
      <w:start w:val="1"/>
      <w:numFmt w:val="bullet"/>
      <w:lvlText w:val=""/>
      <w:lvlJc w:val="left"/>
      <w:pPr>
        <w:ind w:left="1650" w:hanging="57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7C02001"/>
    <w:multiLevelType w:val="hybridMultilevel"/>
    <w:tmpl w:val="DD941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A86072"/>
    <w:multiLevelType w:val="multilevel"/>
    <w:tmpl w:val="948C43F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7EF06CD"/>
    <w:multiLevelType w:val="hybridMultilevel"/>
    <w:tmpl w:val="9760B922"/>
    <w:lvl w:ilvl="0" w:tplc="BD20E878">
      <w:start w:val="1"/>
      <w:numFmt w:val="bullet"/>
      <w:lvlText w:val=""/>
      <w:lvlJc w:val="left"/>
      <w:pPr>
        <w:ind w:left="720" w:hanging="360"/>
      </w:pPr>
      <w:rPr>
        <w:rFonts w:ascii="Symbol" w:hAnsi="Symbol" w:hint="default"/>
        <w:b w:val="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B43677"/>
    <w:multiLevelType w:val="hybridMultilevel"/>
    <w:tmpl w:val="6B840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C87F42"/>
    <w:multiLevelType w:val="hybridMultilevel"/>
    <w:tmpl w:val="92A6869A"/>
    <w:lvl w:ilvl="0" w:tplc="7CF0A97C">
      <w:start w:val="1"/>
      <w:numFmt w:val="bullet"/>
      <w:lvlText w:val=""/>
      <w:lvlJc w:val="left"/>
      <w:pPr>
        <w:ind w:left="720" w:hanging="360"/>
      </w:pPr>
      <w:rPr>
        <w:rFonts w:ascii="Symbol" w:hAnsi="Symbol" w:hint="default"/>
        <w:b/>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C2574A0"/>
    <w:multiLevelType w:val="hybridMultilevel"/>
    <w:tmpl w:val="D76AA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4"/>
  </w:num>
  <w:num w:numId="4">
    <w:abstractNumId w:val="5"/>
  </w:num>
  <w:num w:numId="5">
    <w:abstractNumId w:val="28"/>
  </w:num>
  <w:num w:numId="6">
    <w:abstractNumId w:val="34"/>
  </w:num>
  <w:num w:numId="7">
    <w:abstractNumId w:val="14"/>
  </w:num>
  <w:num w:numId="8">
    <w:abstractNumId w:val="3"/>
  </w:num>
  <w:num w:numId="9">
    <w:abstractNumId w:val="19"/>
  </w:num>
  <w:num w:numId="10">
    <w:abstractNumId w:val="29"/>
  </w:num>
  <w:num w:numId="11">
    <w:abstractNumId w:val="0"/>
  </w:num>
  <w:num w:numId="12">
    <w:abstractNumId w:val="26"/>
  </w:num>
  <w:num w:numId="13">
    <w:abstractNumId w:val="6"/>
  </w:num>
  <w:num w:numId="14">
    <w:abstractNumId w:val="37"/>
  </w:num>
  <w:num w:numId="15">
    <w:abstractNumId w:val="20"/>
  </w:num>
  <w:num w:numId="16">
    <w:abstractNumId w:val="32"/>
  </w:num>
  <w:num w:numId="17">
    <w:abstractNumId w:val="2"/>
  </w:num>
  <w:num w:numId="18">
    <w:abstractNumId w:val="27"/>
  </w:num>
  <w:num w:numId="19">
    <w:abstractNumId w:val="16"/>
  </w:num>
  <w:num w:numId="20">
    <w:abstractNumId w:val="7"/>
  </w:num>
  <w:num w:numId="21">
    <w:abstractNumId w:val="30"/>
  </w:num>
  <w:num w:numId="22">
    <w:abstractNumId w:val="21"/>
  </w:num>
  <w:num w:numId="23">
    <w:abstractNumId w:val="15"/>
  </w:num>
  <w:num w:numId="24">
    <w:abstractNumId w:val="36"/>
  </w:num>
  <w:num w:numId="25">
    <w:abstractNumId w:val="12"/>
  </w:num>
  <w:num w:numId="26">
    <w:abstractNumId w:val="33"/>
  </w:num>
  <w:num w:numId="27">
    <w:abstractNumId w:val="11"/>
  </w:num>
  <w:num w:numId="28">
    <w:abstractNumId w:val="13"/>
  </w:num>
  <w:num w:numId="29">
    <w:abstractNumId w:val="10"/>
  </w:num>
  <w:num w:numId="30">
    <w:abstractNumId w:val="24"/>
  </w:num>
  <w:num w:numId="31">
    <w:abstractNumId w:val="25"/>
  </w:num>
  <w:num w:numId="32">
    <w:abstractNumId w:val="8"/>
  </w:num>
  <w:num w:numId="33">
    <w:abstractNumId w:val="17"/>
  </w:num>
  <w:num w:numId="34">
    <w:abstractNumId w:val="1"/>
  </w:num>
  <w:num w:numId="35">
    <w:abstractNumId w:val="9"/>
  </w:num>
  <w:num w:numId="36">
    <w:abstractNumId w:val="23"/>
  </w:num>
  <w:num w:numId="37">
    <w:abstractNumId w:val="17"/>
  </w:num>
  <w:num w:numId="38">
    <w:abstractNumId w:val="35"/>
  </w:num>
  <w:num w:numId="3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70"/>
    <w:rsid w:val="00000A7D"/>
    <w:rsid w:val="000022C1"/>
    <w:rsid w:val="0000362C"/>
    <w:rsid w:val="00003DCD"/>
    <w:rsid w:val="00003E1A"/>
    <w:rsid w:val="000051D9"/>
    <w:rsid w:val="00005241"/>
    <w:rsid w:val="00005BD6"/>
    <w:rsid w:val="00006701"/>
    <w:rsid w:val="000068EC"/>
    <w:rsid w:val="00006F00"/>
    <w:rsid w:val="0000735E"/>
    <w:rsid w:val="00007E55"/>
    <w:rsid w:val="000109E8"/>
    <w:rsid w:val="0001103C"/>
    <w:rsid w:val="0001117A"/>
    <w:rsid w:val="0001329F"/>
    <w:rsid w:val="00013372"/>
    <w:rsid w:val="00013562"/>
    <w:rsid w:val="000136C9"/>
    <w:rsid w:val="00013AF2"/>
    <w:rsid w:val="00013B85"/>
    <w:rsid w:val="00014754"/>
    <w:rsid w:val="000152A1"/>
    <w:rsid w:val="00015AC0"/>
    <w:rsid w:val="00015F79"/>
    <w:rsid w:val="00016077"/>
    <w:rsid w:val="0001798A"/>
    <w:rsid w:val="0002008A"/>
    <w:rsid w:val="00020095"/>
    <w:rsid w:val="00020157"/>
    <w:rsid w:val="00020CA8"/>
    <w:rsid w:val="00022B17"/>
    <w:rsid w:val="00022DB1"/>
    <w:rsid w:val="00023709"/>
    <w:rsid w:val="00023D98"/>
    <w:rsid w:val="00024B84"/>
    <w:rsid w:val="000262AC"/>
    <w:rsid w:val="0002675F"/>
    <w:rsid w:val="00026E89"/>
    <w:rsid w:val="00027AA9"/>
    <w:rsid w:val="00027C16"/>
    <w:rsid w:val="00030360"/>
    <w:rsid w:val="00030379"/>
    <w:rsid w:val="00030D0F"/>
    <w:rsid w:val="00031993"/>
    <w:rsid w:val="00031BE5"/>
    <w:rsid w:val="00032991"/>
    <w:rsid w:val="00033049"/>
    <w:rsid w:val="00033CF3"/>
    <w:rsid w:val="0003411D"/>
    <w:rsid w:val="00034784"/>
    <w:rsid w:val="00034ECA"/>
    <w:rsid w:val="00035308"/>
    <w:rsid w:val="0003568B"/>
    <w:rsid w:val="000358A4"/>
    <w:rsid w:val="00035E6B"/>
    <w:rsid w:val="000368B0"/>
    <w:rsid w:val="00037C12"/>
    <w:rsid w:val="00040DC5"/>
    <w:rsid w:val="00042616"/>
    <w:rsid w:val="000431B4"/>
    <w:rsid w:val="00044B0F"/>
    <w:rsid w:val="0004529F"/>
    <w:rsid w:val="000455EE"/>
    <w:rsid w:val="000455F9"/>
    <w:rsid w:val="00045B3E"/>
    <w:rsid w:val="00046E32"/>
    <w:rsid w:val="00046E84"/>
    <w:rsid w:val="00047580"/>
    <w:rsid w:val="00050087"/>
    <w:rsid w:val="00051332"/>
    <w:rsid w:val="00052386"/>
    <w:rsid w:val="000526D1"/>
    <w:rsid w:val="00052905"/>
    <w:rsid w:val="00053F73"/>
    <w:rsid w:val="0005483B"/>
    <w:rsid w:val="000562E2"/>
    <w:rsid w:val="000564C3"/>
    <w:rsid w:val="000566F8"/>
    <w:rsid w:val="00056C03"/>
    <w:rsid w:val="00056CBB"/>
    <w:rsid w:val="00057508"/>
    <w:rsid w:val="0006036A"/>
    <w:rsid w:val="000617F9"/>
    <w:rsid w:val="00061AB1"/>
    <w:rsid w:val="00061B7D"/>
    <w:rsid w:val="00061F39"/>
    <w:rsid w:val="00062A99"/>
    <w:rsid w:val="00062EA9"/>
    <w:rsid w:val="00062F75"/>
    <w:rsid w:val="00064CCE"/>
    <w:rsid w:val="00064D01"/>
    <w:rsid w:val="00066132"/>
    <w:rsid w:val="0006727E"/>
    <w:rsid w:val="00071CE0"/>
    <w:rsid w:val="00074A04"/>
    <w:rsid w:val="00075477"/>
    <w:rsid w:val="000758A0"/>
    <w:rsid w:val="00075FC6"/>
    <w:rsid w:val="0007679B"/>
    <w:rsid w:val="000768F8"/>
    <w:rsid w:val="00080209"/>
    <w:rsid w:val="0008025A"/>
    <w:rsid w:val="00081A93"/>
    <w:rsid w:val="00081B63"/>
    <w:rsid w:val="000825B8"/>
    <w:rsid w:val="00083090"/>
    <w:rsid w:val="00084074"/>
    <w:rsid w:val="0008417B"/>
    <w:rsid w:val="00084F71"/>
    <w:rsid w:val="0008547B"/>
    <w:rsid w:val="00085A22"/>
    <w:rsid w:val="00085E90"/>
    <w:rsid w:val="00086213"/>
    <w:rsid w:val="00086B10"/>
    <w:rsid w:val="00086EF3"/>
    <w:rsid w:val="0009169E"/>
    <w:rsid w:val="00091BDE"/>
    <w:rsid w:val="00091D04"/>
    <w:rsid w:val="00093203"/>
    <w:rsid w:val="000937C5"/>
    <w:rsid w:val="00095EC5"/>
    <w:rsid w:val="0009614E"/>
    <w:rsid w:val="00096348"/>
    <w:rsid w:val="000967D8"/>
    <w:rsid w:val="00097E59"/>
    <w:rsid w:val="000A0498"/>
    <w:rsid w:val="000A04C2"/>
    <w:rsid w:val="000A0AFF"/>
    <w:rsid w:val="000A1C19"/>
    <w:rsid w:val="000A22CA"/>
    <w:rsid w:val="000A2D03"/>
    <w:rsid w:val="000A3EEE"/>
    <w:rsid w:val="000A438C"/>
    <w:rsid w:val="000A4C26"/>
    <w:rsid w:val="000A6219"/>
    <w:rsid w:val="000A6D32"/>
    <w:rsid w:val="000A777E"/>
    <w:rsid w:val="000B04AE"/>
    <w:rsid w:val="000B0650"/>
    <w:rsid w:val="000B0959"/>
    <w:rsid w:val="000B0A08"/>
    <w:rsid w:val="000B0EA1"/>
    <w:rsid w:val="000B10A9"/>
    <w:rsid w:val="000B25C9"/>
    <w:rsid w:val="000B28AC"/>
    <w:rsid w:val="000B3FDD"/>
    <w:rsid w:val="000B4034"/>
    <w:rsid w:val="000B45E8"/>
    <w:rsid w:val="000B46E4"/>
    <w:rsid w:val="000B6DD7"/>
    <w:rsid w:val="000B759C"/>
    <w:rsid w:val="000C00FE"/>
    <w:rsid w:val="000C2156"/>
    <w:rsid w:val="000C2437"/>
    <w:rsid w:val="000C24F2"/>
    <w:rsid w:val="000C3E0A"/>
    <w:rsid w:val="000C4752"/>
    <w:rsid w:val="000C5441"/>
    <w:rsid w:val="000C54D3"/>
    <w:rsid w:val="000C65E9"/>
    <w:rsid w:val="000C6E02"/>
    <w:rsid w:val="000C6FE7"/>
    <w:rsid w:val="000C799A"/>
    <w:rsid w:val="000D0BAD"/>
    <w:rsid w:val="000D0FE6"/>
    <w:rsid w:val="000D10A2"/>
    <w:rsid w:val="000D13BF"/>
    <w:rsid w:val="000D1401"/>
    <w:rsid w:val="000D19BE"/>
    <w:rsid w:val="000D2029"/>
    <w:rsid w:val="000D2966"/>
    <w:rsid w:val="000D2E3B"/>
    <w:rsid w:val="000D4596"/>
    <w:rsid w:val="000D5CD3"/>
    <w:rsid w:val="000D66F3"/>
    <w:rsid w:val="000D69C2"/>
    <w:rsid w:val="000D75B5"/>
    <w:rsid w:val="000E0421"/>
    <w:rsid w:val="000E2AA6"/>
    <w:rsid w:val="000E3A0F"/>
    <w:rsid w:val="000E4D0A"/>
    <w:rsid w:val="000E52D7"/>
    <w:rsid w:val="000E6950"/>
    <w:rsid w:val="000F0448"/>
    <w:rsid w:val="000F05EA"/>
    <w:rsid w:val="000F2141"/>
    <w:rsid w:val="000F22A4"/>
    <w:rsid w:val="000F2BCF"/>
    <w:rsid w:val="000F374B"/>
    <w:rsid w:val="000F3FAA"/>
    <w:rsid w:val="000F4FDD"/>
    <w:rsid w:val="000F5057"/>
    <w:rsid w:val="000F63CE"/>
    <w:rsid w:val="000F75BC"/>
    <w:rsid w:val="00100242"/>
    <w:rsid w:val="001002F7"/>
    <w:rsid w:val="001003B2"/>
    <w:rsid w:val="001004CE"/>
    <w:rsid w:val="00100551"/>
    <w:rsid w:val="0010065A"/>
    <w:rsid w:val="00100A9E"/>
    <w:rsid w:val="00102113"/>
    <w:rsid w:val="001030A4"/>
    <w:rsid w:val="00103789"/>
    <w:rsid w:val="0010638D"/>
    <w:rsid w:val="001067A9"/>
    <w:rsid w:val="00106F14"/>
    <w:rsid w:val="00107E5B"/>
    <w:rsid w:val="0011037E"/>
    <w:rsid w:val="00110A86"/>
    <w:rsid w:val="001119B6"/>
    <w:rsid w:val="00112065"/>
    <w:rsid w:val="00112E93"/>
    <w:rsid w:val="00114E48"/>
    <w:rsid w:val="0011509A"/>
    <w:rsid w:val="00115A8A"/>
    <w:rsid w:val="00116300"/>
    <w:rsid w:val="0011635A"/>
    <w:rsid w:val="00116B3A"/>
    <w:rsid w:val="00116D20"/>
    <w:rsid w:val="001212CC"/>
    <w:rsid w:val="0012197F"/>
    <w:rsid w:val="00123E9E"/>
    <w:rsid w:val="0012570D"/>
    <w:rsid w:val="00125C58"/>
    <w:rsid w:val="001277E4"/>
    <w:rsid w:val="00130FA9"/>
    <w:rsid w:val="001314C9"/>
    <w:rsid w:val="001320EB"/>
    <w:rsid w:val="001334F5"/>
    <w:rsid w:val="001353F0"/>
    <w:rsid w:val="00135B60"/>
    <w:rsid w:val="00135BDF"/>
    <w:rsid w:val="001361B6"/>
    <w:rsid w:val="00136A4B"/>
    <w:rsid w:val="00136D10"/>
    <w:rsid w:val="00140095"/>
    <w:rsid w:val="001409B8"/>
    <w:rsid w:val="00144516"/>
    <w:rsid w:val="00145070"/>
    <w:rsid w:val="001455DE"/>
    <w:rsid w:val="00145E0F"/>
    <w:rsid w:val="00146D36"/>
    <w:rsid w:val="00146DF9"/>
    <w:rsid w:val="0015107F"/>
    <w:rsid w:val="00151525"/>
    <w:rsid w:val="00151FDA"/>
    <w:rsid w:val="0015297E"/>
    <w:rsid w:val="00153DAB"/>
    <w:rsid w:val="00154AF9"/>
    <w:rsid w:val="00154B47"/>
    <w:rsid w:val="001563E3"/>
    <w:rsid w:val="00156E69"/>
    <w:rsid w:val="00157438"/>
    <w:rsid w:val="00157687"/>
    <w:rsid w:val="00157895"/>
    <w:rsid w:val="001618CA"/>
    <w:rsid w:val="0016390D"/>
    <w:rsid w:val="001641FA"/>
    <w:rsid w:val="00164957"/>
    <w:rsid w:val="00165021"/>
    <w:rsid w:val="0016518C"/>
    <w:rsid w:val="0016632A"/>
    <w:rsid w:val="0016692B"/>
    <w:rsid w:val="00170529"/>
    <w:rsid w:val="00171093"/>
    <w:rsid w:val="00171429"/>
    <w:rsid w:val="00172424"/>
    <w:rsid w:val="001727FE"/>
    <w:rsid w:val="001739A1"/>
    <w:rsid w:val="001750C7"/>
    <w:rsid w:val="001759DB"/>
    <w:rsid w:val="00175B12"/>
    <w:rsid w:val="00175E80"/>
    <w:rsid w:val="00176C1C"/>
    <w:rsid w:val="00177166"/>
    <w:rsid w:val="001803F7"/>
    <w:rsid w:val="00182568"/>
    <w:rsid w:val="001829B8"/>
    <w:rsid w:val="001846C1"/>
    <w:rsid w:val="00185457"/>
    <w:rsid w:val="001862F6"/>
    <w:rsid w:val="0018691A"/>
    <w:rsid w:val="001869A2"/>
    <w:rsid w:val="00186A76"/>
    <w:rsid w:val="00186DAB"/>
    <w:rsid w:val="00186E50"/>
    <w:rsid w:val="0018799F"/>
    <w:rsid w:val="00187A3F"/>
    <w:rsid w:val="00187B6D"/>
    <w:rsid w:val="0019170C"/>
    <w:rsid w:val="00191BF2"/>
    <w:rsid w:val="00192C04"/>
    <w:rsid w:val="0019378A"/>
    <w:rsid w:val="001949EF"/>
    <w:rsid w:val="001954CE"/>
    <w:rsid w:val="0019558F"/>
    <w:rsid w:val="0019575A"/>
    <w:rsid w:val="00196257"/>
    <w:rsid w:val="001972DA"/>
    <w:rsid w:val="001A0371"/>
    <w:rsid w:val="001A2700"/>
    <w:rsid w:val="001A32D3"/>
    <w:rsid w:val="001A3E8D"/>
    <w:rsid w:val="001A3F3F"/>
    <w:rsid w:val="001A621B"/>
    <w:rsid w:val="001A6BA1"/>
    <w:rsid w:val="001B07B7"/>
    <w:rsid w:val="001B0F36"/>
    <w:rsid w:val="001B2138"/>
    <w:rsid w:val="001B222C"/>
    <w:rsid w:val="001B2D50"/>
    <w:rsid w:val="001B3979"/>
    <w:rsid w:val="001B429E"/>
    <w:rsid w:val="001B4E7D"/>
    <w:rsid w:val="001B51EC"/>
    <w:rsid w:val="001B5C90"/>
    <w:rsid w:val="001B612E"/>
    <w:rsid w:val="001B6D09"/>
    <w:rsid w:val="001C04D8"/>
    <w:rsid w:val="001C0970"/>
    <w:rsid w:val="001C1913"/>
    <w:rsid w:val="001C1CD1"/>
    <w:rsid w:val="001C2625"/>
    <w:rsid w:val="001C2630"/>
    <w:rsid w:val="001C283E"/>
    <w:rsid w:val="001C28AC"/>
    <w:rsid w:val="001C2B7C"/>
    <w:rsid w:val="001C2F44"/>
    <w:rsid w:val="001C4DF3"/>
    <w:rsid w:val="001C5275"/>
    <w:rsid w:val="001C5522"/>
    <w:rsid w:val="001C5B8B"/>
    <w:rsid w:val="001C7350"/>
    <w:rsid w:val="001C7E41"/>
    <w:rsid w:val="001D0242"/>
    <w:rsid w:val="001D07CD"/>
    <w:rsid w:val="001D2870"/>
    <w:rsid w:val="001D301F"/>
    <w:rsid w:val="001D32D3"/>
    <w:rsid w:val="001D33BD"/>
    <w:rsid w:val="001D47D6"/>
    <w:rsid w:val="001D514A"/>
    <w:rsid w:val="001D56D7"/>
    <w:rsid w:val="001D6019"/>
    <w:rsid w:val="001D6CC3"/>
    <w:rsid w:val="001D6E1B"/>
    <w:rsid w:val="001D6F20"/>
    <w:rsid w:val="001D703A"/>
    <w:rsid w:val="001D7CB8"/>
    <w:rsid w:val="001E00F8"/>
    <w:rsid w:val="001E0380"/>
    <w:rsid w:val="001E0D24"/>
    <w:rsid w:val="001E141B"/>
    <w:rsid w:val="001E167E"/>
    <w:rsid w:val="001E21C4"/>
    <w:rsid w:val="001E3376"/>
    <w:rsid w:val="001E374A"/>
    <w:rsid w:val="001E3907"/>
    <w:rsid w:val="001E3CF1"/>
    <w:rsid w:val="001E401B"/>
    <w:rsid w:val="001E4681"/>
    <w:rsid w:val="001E4D04"/>
    <w:rsid w:val="001E4E7A"/>
    <w:rsid w:val="001E4F3C"/>
    <w:rsid w:val="001E5B89"/>
    <w:rsid w:val="001E6176"/>
    <w:rsid w:val="001E6959"/>
    <w:rsid w:val="001E6984"/>
    <w:rsid w:val="001E6C0B"/>
    <w:rsid w:val="001E6E32"/>
    <w:rsid w:val="001E6FC2"/>
    <w:rsid w:val="001F0B1A"/>
    <w:rsid w:val="001F1FB2"/>
    <w:rsid w:val="001F333C"/>
    <w:rsid w:val="001F34C6"/>
    <w:rsid w:val="001F35F9"/>
    <w:rsid w:val="001F5E90"/>
    <w:rsid w:val="001F6097"/>
    <w:rsid w:val="001F60BE"/>
    <w:rsid w:val="001F6D27"/>
    <w:rsid w:val="001F700B"/>
    <w:rsid w:val="001F7F2E"/>
    <w:rsid w:val="00200868"/>
    <w:rsid w:val="002011B3"/>
    <w:rsid w:val="00201EA1"/>
    <w:rsid w:val="00202EBA"/>
    <w:rsid w:val="00203900"/>
    <w:rsid w:val="00203EF9"/>
    <w:rsid w:val="00204786"/>
    <w:rsid w:val="002050F4"/>
    <w:rsid w:val="002064B4"/>
    <w:rsid w:val="00207CAF"/>
    <w:rsid w:val="00211198"/>
    <w:rsid w:val="00211B8F"/>
    <w:rsid w:val="0021335A"/>
    <w:rsid w:val="00213F8B"/>
    <w:rsid w:val="00213FD0"/>
    <w:rsid w:val="00214CEC"/>
    <w:rsid w:val="00214CF0"/>
    <w:rsid w:val="00215CC9"/>
    <w:rsid w:val="00216481"/>
    <w:rsid w:val="00217E59"/>
    <w:rsid w:val="00220A5B"/>
    <w:rsid w:val="00220F51"/>
    <w:rsid w:val="002219E9"/>
    <w:rsid w:val="00221B35"/>
    <w:rsid w:val="002224A7"/>
    <w:rsid w:val="00223FA1"/>
    <w:rsid w:val="00224A49"/>
    <w:rsid w:val="0022541D"/>
    <w:rsid w:val="00225807"/>
    <w:rsid w:val="002261A4"/>
    <w:rsid w:val="002263C0"/>
    <w:rsid w:val="002277B3"/>
    <w:rsid w:val="002306F2"/>
    <w:rsid w:val="00230DE0"/>
    <w:rsid w:val="0023153E"/>
    <w:rsid w:val="002318BC"/>
    <w:rsid w:val="00231DBE"/>
    <w:rsid w:val="00232ABF"/>
    <w:rsid w:val="00233402"/>
    <w:rsid w:val="002334A6"/>
    <w:rsid w:val="00234992"/>
    <w:rsid w:val="00235A16"/>
    <w:rsid w:val="00235BBB"/>
    <w:rsid w:val="00235EA0"/>
    <w:rsid w:val="0023602B"/>
    <w:rsid w:val="0023624A"/>
    <w:rsid w:val="00236324"/>
    <w:rsid w:val="00236E0C"/>
    <w:rsid w:val="00237769"/>
    <w:rsid w:val="0023780F"/>
    <w:rsid w:val="002402FC"/>
    <w:rsid w:val="00241E64"/>
    <w:rsid w:val="002429CB"/>
    <w:rsid w:val="002437F7"/>
    <w:rsid w:val="002440F6"/>
    <w:rsid w:val="00245CF0"/>
    <w:rsid w:val="002463A6"/>
    <w:rsid w:val="00251E71"/>
    <w:rsid w:val="002533D1"/>
    <w:rsid w:val="0025373A"/>
    <w:rsid w:val="002565B4"/>
    <w:rsid w:val="00256A8E"/>
    <w:rsid w:val="00260587"/>
    <w:rsid w:val="00260A36"/>
    <w:rsid w:val="00261E46"/>
    <w:rsid w:val="0026381C"/>
    <w:rsid w:val="002648D9"/>
    <w:rsid w:val="00265037"/>
    <w:rsid w:val="0026522B"/>
    <w:rsid w:val="0026596A"/>
    <w:rsid w:val="002659FD"/>
    <w:rsid w:val="002664E8"/>
    <w:rsid w:val="002667B5"/>
    <w:rsid w:val="00266B9F"/>
    <w:rsid w:val="0026779B"/>
    <w:rsid w:val="00271E7E"/>
    <w:rsid w:val="00272B3C"/>
    <w:rsid w:val="00272E9C"/>
    <w:rsid w:val="00272F5F"/>
    <w:rsid w:val="002733A8"/>
    <w:rsid w:val="002736AE"/>
    <w:rsid w:val="002736BD"/>
    <w:rsid w:val="00275005"/>
    <w:rsid w:val="00276234"/>
    <w:rsid w:val="0027668B"/>
    <w:rsid w:val="00276EAB"/>
    <w:rsid w:val="00277209"/>
    <w:rsid w:val="002811CF"/>
    <w:rsid w:val="00281ABE"/>
    <w:rsid w:val="00281F6B"/>
    <w:rsid w:val="00281F98"/>
    <w:rsid w:val="002825D5"/>
    <w:rsid w:val="002836F3"/>
    <w:rsid w:val="00283C18"/>
    <w:rsid w:val="00283F2C"/>
    <w:rsid w:val="00284629"/>
    <w:rsid w:val="00285642"/>
    <w:rsid w:val="002857FC"/>
    <w:rsid w:val="00286D32"/>
    <w:rsid w:val="0029012A"/>
    <w:rsid w:val="00290722"/>
    <w:rsid w:val="002908A2"/>
    <w:rsid w:val="00290BA5"/>
    <w:rsid w:val="00290FEF"/>
    <w:rsid w:val="002919AD"/>
    <w:rsid w:val="002954C4"/>
    <w:rsid w:val="00296211"/>
    <w:rsid w:val="00297747"/>
    <w:rsid w:val="00297DA5"/>
    <w:rsid w:val="002A16BB"/>
    <w:rsid w:val="002A1BA5"/>
    <w:rsid w:val="002A1F1B"/>
    <w:rsid w:val="002A3BCB"/>
    <w:rsid w:val="002A3D8A"/>
    <w:rsid w:val="002A3F6A"/>
    <w:rsid w:val="002A4880"/>
    <w:rsid w:val="002A5107"/>
    <w:rsid w:val="002A5475"/>
    <w:rsid w:val="002A680B"/>
    <w:rsid w:val="002A72CE"/>
    <w:rsid w:val="002A7AC6"/>
    <w:rsid w:val="002A7CCE"/>
    <w:rsid w:val="002B0B1A"/>
    <w:rsid w:val="002B18C6"/>
    <w:rsid w:val="002B1C29"/>
    <w:rsid w:val="002B1FE9"/>
    <w:rsid w:val="002B2416"/>
    <w:rsid w:val="002B25FA"/>
    <w:rsid w:val="002B355D"/>
    <w:rsid w:val="002B44A8"/>
    <w:rsid w:val="002B6F0B"/>
    <w:rsid w:val="002B7222"/>
    <w:rsid w:val="002C0012"/>
    <w:rsid w:val="002C0DEC"/>
    <w:rsid w:val="002C10A4"/>
    <w:rsid w:val="002C2F53"/>
    <w:rsid w:val="002C3486"/>
    <w:rsid w:val="002C3EF4"/>
    <w:rsid w:val="002C425E"/>
    <w:rsid w:val="002C52D3"/>
    <w:rsid w:val="002C5B44"/>
    <w:rsid w:val="002D082A"/>
    <w:rsid w:val="002D0988"/>
    <w:rsid w:val="002D0BF9"/>
    <w:rsid w:val="002D0DFC"/>
    <w:rsid w:val="002D36A0"/>
    <w:rsid w:val="002D4AB2"/>
    <w:rsid w:val="002D4B1B"/>
    <w:rsid w:val="002D54DA"/>
    <w:rsid w:val="002D5D0F"/>
    <w:rsid w:val="002D6826"/>
    <w:rsid w:val="002D6DA9"/>
    <w:rsid w:val="002E09EE"/>
    <w:rsid w:val="002E1881"/>
    <w:rsid w:val="002E26C3"/>
    <w:rsid w:val="002E2CFC"/>
    <w:rsid w:val="002E3657"/>
    <w:rsid w:val="002E365B"/>
    <w:rsid w:val="002E5406"/>
    <w:rsid w:val="002F035F"/>
    <w:rsid w:val="002F0CF5"/>
    <w:rsid w:val="002F17B8"/>
    <w:rsid w:val="002F2FA6"/>
    <w:rsid w:val="002F3E5F"/>
    <w:rsid w:val="002F415A"/>
    <w:rsid w:val="002F4205"/>
    <w:rsid w:val="002F489D"/>
    <w:rsid w:val="002F48AA"/>
    <w:rsid w:val="002F5A04"/>
    <w:rsid w:val="002F6294"/>
    <w:rsid w:val="002F64AF"/>
    <w:rsid w:val="002F666C"/>
    <w:rsid w:val="002F6BA0"/>
    <w:rsid w:val="002F7518"/>
    <w:rsid w:val="002F7772"/>
    <w:rsid w:val="002F7F8B"/>
    <w:rsid w:val="00300407"/>
    <w:rsid w:val="0030115C"/>
    <w:rsid w:val="003011E1"/>
    <w:rsid w:val="0030171A"/>
    <w:rsid w:val="003024B1"/>
    <w:rsid w:val="00302846"/>
    <w:rsid w:val="00302BF1"/>
    <w:rsid w:val="0030300C"/>
    <w:rsid w:val="00304949"/>
    <w:rsid w:val="00306DF5"/>
    <w:rsid w:val="0030706B"/>
    <w:rsid w:val="00307B13"/>
    <w:rsid w:val="003100DD"/>
    <w:rsid w:val="00310B31"/>
    <w:rsid w:val="00311A42"/>
    <w:rsid w:val="00312378"/>
    <w:rsid w:val="0031273E"/>
    <w:rsid w:val="00312E3A"/>
    <w:rsid w:val="00313447"/>
    <w:rsid w:val="003139FC"/>
    <w:rsid w:val="003154EF"/>
    <w:rsid w:val="00315729"/>
    <w:rsid w:val="00315C00"/>
    <w:rsid w:val="00315C36"/>
    <w:rsid w:val="00316AEE"/>
    <w:rsid w:val="00316C67"/>
    <w:rsid w:val="00317404"/>
    <w:rsid w:val="00317B37"/>
    <w:rsid w:val="00317E62"/>
    <w:rsid w:val="00321243"/>
    <w:rsid w:val="00321C92"/>
    <w:rsid w:val="003225FA"/>
    <w:rsid w:val="00322DF6"/>
    <w:rsid w:val="003244D7"/>
    <w:rsid w:val="003251AC"/>
    <w:rsid w:val="00325704"/>
    <w:rsid w:val="003261E1"/>
    <w:rsid w:val="00326D73"/>
    <w:rsid w:val="003311EC"/>
    <w:rsid w:val="00331978"/>
    <w:rsid w:val="003319B1"/>
    <w:rsid w:val="00331EF3"/>
    <w:rsid w:val="00333546"/>
    <w:rsid w:val="00333754"/>
    <w:rsid w:val="00333808"/>
    <w:rsid w:val="00333E2E"/>
    <w:rsid w:val="0033469B"/>
    <w:rsid w:val="00335949"/>
    <w:rsid w:val="00336116"/>
    <w:rsid w:val="00336670"/>
    <w:rsid w:val="003369E2"/>
    <w:rsid w:val="00337D54"/>
    <w:rsid w:val="00341381"/>
    <w:rsid w:val="00341D49"/>
    <w:rsid w:val="003424B8"/>
    <w:rsid w:val="00343290"/>
    <w:rsid w:val="00343697"/>
    <w:rsid w:val="00344083"/>
    <w:rsid w:val="003444C9"/>
    <w:rsid w:val="00344514"/>
    <w:rsid w:val="0034490F"/>
    <w:rsid w:val="00347882"/>
    <w:rsid w:val="00347EE5"/>
    <w:rsid w:val="00350022"/>
    <w:rsid w:val="003505CE"/>
    <w:rsid w:val="003511F5"/>
    <w:rsid w:val="003513D6"/>
    <w:rsid w:val="003517FD"/>
    <w:rsid w:val="00353A1F"/>
    <w:rsid w:val="00354C91"/>
    <w:rsid w:val="00354E30"/>
    <w:rsid w:val="003552DA"/>
    <w:rsid w:val="003554C3"/>
    <w:rsid w:val="00355774"/>
    <w:rsid w:val="00356CE3"/>
    <w:rsid w:val="00357D2B"/>
    <w:rsid w:val="003601CC"/>
    <w:rsid w:val="0036026A"/>
    <w:rsid w:val="00360937"/>
    <w:rsid w:val="0036219A"/>
    <w:rsid w:val="003625A9"/>
    <w:rsid w:val="00364B5B"/>
    <w:rsid w:val="00364FF6"/>
    <w:rsid w:val="003650E7"/>
    <w:rsid w:val="003657A7"/>
    <w:rsid w:val="003658B9"/>
    <w:rsid w:val="0036678D"/>
    <w:rsid w:val="00366D84"/>
    <w:rsid w:val="003677E5"/>
    <w:rsid w:val="003679C0"/>
    <w:rsid w:val="00370968"/>
    <w:rsid w:val="0037098B"/>
    <w:rsid w:val="00371CA8"/>
    <w:rsid w:val="003727C4"/>
    <w:rsid w:val="00372EBA"/>
    <w:rsid w:val="003730FB"/>
    <w:rsid w:val="0037426D"/>
    <w:rsid w:val="00374DDA"/>
    <w:rsid w:val="0037584B"/>
    <w:rsid w:val="0037634E"/>
    <w:rsid w:val="00380AA0"/>
    <w:rsid w:val="003811AB"/>
    <w:rsid w:val="0038122B"/>
    <w:rsid w:val="00381BC7"/>
    <w:rsid w:val="003822D1"/>
    <w:rsid w:val="003823D1"/>
    <w:rsid w:val="00382E4E"/>
    <w:rsid w:val="003841EE"/>
    <w:rsid w:val="003858EE"/>
    <w:rsid w:val="00386D06"/>
    <w:rsid w:val="003872A4"/>
    <w:rsid w:val="003872C6"/>
    <w:rsid w:val="0038775B"/>
    <w:rsid w:val="00390099"/>
    <w:rsid w:val="003901A7"/>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DBA"/>
    <w:rsid w:val="0039734D"/>
    <w:rsid w:val="003976C3"/>
    <w:rsid w:val="003A050F"/>
    <w:rsid w:val="003A0ADB"/>
    <w:rsid w:val="003A29AC"/>
    <w:rsid w:val="003A3469"/>
    <w:rsid w:val="003A371E"/>
    <w:rsid w:val="003A4267"/>
    <w:rsid w:val="003A488C"/>
    <w:rsid w:val="003A6471"/>
    <w:rsid w:val="003A6A30"/>
    <w:rsid w:val="003A7636"/>
    <w:rsid w:val="003B00DE"/>
    <w:rsid w:val="003B00E4"/>
    <w:rsid w:val="003B0BBF"/>
    <w:rsid w:val="003B1D72"/>
    <w:rsid w:val="003B1F44"/>
    <w:rsid w:val="003B36E6"/>
    <w:rsid w:val="003B3EC7"/>
    <w:rsid w:val="003B4245"/>
    <w:rsid w:val="003B4E5D"/>
    <w:rsid w:val="003B4EFC"/>
    <w:rsid w:val="003B52D2"/>
    <w:rsid w:val="003B56B4"/>
    <w:rsid w:val="003B5D14"/>
    <w:rsid w:val="003C0507"/>
    <w:rsid w:val="003C0819"/>
    <w:rsid w:val="003C1666"/>
    <w:rsid w:val="003C1802"/>
    <w:rsid w:val="003C268F"/>
    <w:rsid w:val="003C2DDD"/>
    <w:rsid w:val="003C3EC4"/>
    <w:rsid w:val="003C409F"/>
    <w:rsid w:val="003C4433"/>
    <w:rsid w:val="003C46E8"/>
    <w:rsid w:val="003C493B"/>
    <w:rsid w:val="003C660A"/>
    <w:rsid w:val="003C6979"/>
    <w:rsid w:val="003C6B09"/>
    <w:rsid w:val="003D0761"/>
    <w:rsid w:val="003D1799"/>
    <w:rsid w:val="003D1ADB"/>
    <w:rsid w:val="003D2247"/>
    <w:rsid w:val="003D3067"/>
    <w:rsid w:val="003D363E"/>
    <w:rsid w:val="003D3A7D"/>
    <w:rsid w:val="003D3B1C"/>
    <w:rsid w:val="003D3BD9"/>
    <w:rsid w:val="003D4E2E"/>
    <w:rsid w:val="003D4E53"/>
    <w:rsid w:val="003D5F2F"/>
    <w:rsid w:val="003E05EB"/>
    <w:rsid w:val="003E0E20"/>
    <w:rsid w:val="003E1182"/>
    <w:rsid w:val="003E1BF3"/>
    <w:rsid w:val="003E1EE2"/>
    <w:rsid w:val="003E2076"/>
    <w:rsid w:val="003E2501"/>
    <w:rsid w:val="003E46D9"/>
    <w:rsid w:val="003E4A51"/>
    <w:rsid w:val="003E5380"/>
    <w:rsid w:val="003E637B"/>
    <w:rsid w:val="003F15C2"/>
    <w:rsid w:val="003F1A6D"/>
    <w:rsid w:val="003F206D"/>
    <w:rsid w:val="003F234A"/>
    <w:rsid w:val="003F42EE"/>
    <w:rsid w:val="003F4DCE"/>
    <w:rsid w:val="003F5F17"/>
    <w:rsid w:val="003F67FD"/>
    <w:rsid w:val="003F6C80"/>
    <w:rsid w:val="003F75F2"/>
    <w:rsid w:val="003F79CA"/>
    <w:rsid w:val="003F7D4D"/>
    <w:rsid w:val="0040048C"/>
    <w:rsid w:val="0040077D"/>
    <w:rsid w:val="00401527"/>
    <w:rsid w:val="0040176A"/>
    <w:rsid w:val="00401B0C"/>
    <w:rsid w:val="00401C3E"/>
    <w:rsid w:val="0040222B"/>
    <w:rsid w:val="00403209"/>
    <w:rsid w:val="004032DF"/>
    <w:rsid w:val="004035F0"/>
    <w:rsid w:val="00405C5F"/>
    <w:rsid w:val="00406909"/>
    <w:rsid w:val="00406CB8"/>
    <w:rsid w:val="00406CC5"/>
    <w:rsid w:val="00407050"/>
    <w:rsid w:val="00407312"/>
    <w:rsid w:val="004100F2"/>
    <w:rsid w:val="004114B4"/>
    <w:rsid w:val="004116FF"/>
    <w:rsid w:val="004122C1"/>
    <w:rsid w:val="00413245"/>
    <w:rsid w:val="0041583D"/>
    <w:rsid w:val="00415A1F"/>
    <w:rsid w:val="00415E9B"/>
    <w:rsid w:val="00416B57"/>
    <w:rsid w:val="00417300"/>
    <w:rsid w:val="00417669"/>
    <w:rsid w:val="00417E36"/>
    <w:rsid w:val="0042018F"/>
    <w:rsid w:val="0042040C"/>
    <w:rsid w:val="004223F2"/>
    <w:rsid w:val="0042274A"/>
    <w:rsid w:val="00423B9D"/>
    <w:rsid w:val="00424444"/>
    <w:rsid w:val="0042591C"/>
    <w:rsid w:val="004273FE"/>
    <w:rsid w:val="00427DAC"/>
    <w:rsid w:val="00430412"/>
    <w:rsid w:val="004316A6"/>
    <w:rsid w:val="004316D3"/>
    <w:rsid w:val="0043240D"/>
    <w:rsid w:val="004324DF"/>
    <w:rsid w:val="00432C72"/>
    <w:rsid w:val="00433607"/>
    <w:rsid w:val="00433B67"/>
    <w:rsid w:val="00434939"/>
    <w:rsid w:val="00434E21"/>
    <w:rsid w:val="0043549B"/>
    <w:rsid w:val="00435D4A"/>
    <w:rsid w:val="004375FB"/>
    <w:rsid w:val="00437781"/>
    <w:rsid w:val="004404E6"/>
    <w:rsid w:val="004410D6"/>
    <w:rsid w:val="00441B3A"/>
    <w:rsid w:val="00441CBF"/>
    <w:rsid w:val="00441E5B"/>
    <w:rsid w:val="004428FB"/>
    <w:rsid w:val="00444DFF"/>
    <w:rsid w:val="00445005"/>
    <w:rsid w:val="004472D5"/>
    <w:rsid w:val="00447D94"/>
    <w:rsid w:val="00447EAD"/>
    <w:rsid w:val="00447F02"/>
    <w:rsid w:val="0045037E"/>
    <w:rsid w:val="0045150F"/>
    <w:rsid w:val="00451717"/>
    <w:rsid w:val="00451D3D"/>
    <w:rsid w:val="00451D46"/>
    <w:rsid w:val="00452D42"/>
    <w:rsid w:val="0045301A"/>
    <w:rsid w:val="0045344A"/>
    <w:rsid w:val="0045433E"/>
    <w:rsid w:val="004554A6"/>
    <w:rsid w:val="00456808"/>
    <w:rsid w:val="004574A2"/>
    <w:rsid w:val="00457548"/>
    <w:rsid w:val="00460440"/>
    <w:rsid w:val="00461602"/>
    <w:rsid w:val="00462226"/>
    <w:rsid w:val="004622F3"/>
    <w:rsid w:val="00463203"/>
    <w:rsid w:val="0046371C"/>
    <w:rsid w:val="00463A40"/>
    <w:rsid w:val="004644A0"/>
    <w:rsid w:val="004646CC"/>
    <w:rsid w:val="004650AC"/>
    <w:rsid w:val="004654C8"/>
    <w:rsid w:val="00465CAA"/>
    <w:rsid w:val="004664C3"/>
    <w:rsid w:val="00466746"/>
    <w:rsid w:val="00467462"/>
    <w:rsid w:val="00467475"/>
    <w:rsid w:val="004711E9"/>
    <w:rsid w:val="0047174B"/>
    <w:rsid w:val="00471D24"/>
    <w:rsid w:val="00471FEA"/>
    <w:rsid w:val="00472430"/>
    <w:rsid w:val="00472635"/>
    <w:rsid w:val="00472A8B"/>
    <w:rsid w:val="00473313"/>
    <w:rsid w:val="004747FF"/>
    <w:rsid w:val="0047532C"/>
    <w:rsid w:val="00475B53"/>
    <w:rsid w:val="004765C2"/>
    <w:rsid w:val="0047709B"/>
    <w:rsid w:val="00477C18"/>
    <w:rsid w:val="00477CB2"/>
    <w:rsid w:val="00480653"/>
    <w:rsid w:val="00482D43"/>
    <w:rsid w:val="0048344E"/>
    <w:rsid w:val="004837ED"/>
    <w:rsid w:val="00483882"/>
    <w:rsid w:val="00483FF5"/>
    <w:rsid w:val="0048416E"/>
    <w:rsid w:val="00484501"/>
    <w:rsid w:val="00484825"/>
    <w:rsid w:val="00484C0A"/>
    <w:rsid w:val="00484E83"/>
    <w:rsid w:val="0048555F"/>
    <w:rsid w:val="004905A4"/>
    <w:rsid w:val="004907D8"/>
    <w:rsid w:val="00490B22"/>
    <w:rsid w:val="00491098"/>
    <w:rsid w:val="0049154C"/>
    <w:rsid w:val="00492941"/>
    <w:rsid w:val="00492A79"/>
    <w:rsid w:val="00493190"/>
    <w:rsid w:val="0049331B"/>
    <w:rsid w:val="00494119"/>
    <w:rsid w:val="00495489"/>
    <w:rsid w:val="00496ECD"/>
    <w:rsid w:val="00496F32"/>
    <w:rsid w:val="004A1057"/>
    <w:rsid w:val="004A1629"/>
    <w:rsid w:val="004A2E19"/>
    <w:rsid w:val="004A3944"/>
    <w:rsid w:val="004A3FF4"/>
    <w:rsid w:val="004A506A"/>
    <w:rsid w:val="004A50BC"/>
    <w:rsid w:val="004A5FCD"/>
    <w:rsid w:val="004A70B7"/>
    <w:rsid w:val="004A77A4"/>
    <w:rsid w:val="004A78BB"/>
    <w:rsid w:val="004B19AA"/>
    <w:rsid w:val="004B1D8F"/>
    <w:rsid w:val="004B3394"/>
    <w:rsid w:val="004B40C1"/>
    <w:rsid w:val="004B4506"/>
    <w:rsid w:val="004B4586"/>
    <w:rsid w:val="004B5F30"/>
    <w:rsid w:val="004B666B"/>
    <w:rsid w:val="004B6D99"/>
    <w:rsid w:val="004B7873"/>
    <w:rsid w:val="004C1E5E"/>
    <w:rsid w:val="004C2DE9"/>
    <w:rsid w:val="004C351D"/>
    <w:rsid w:val="004C3DE6"/>
    <w:rsid w:val="004C4728"/>
    <w:rsid w:val="004C509B"/>
    <w:rsid w:val="004C588F"/>
    <w:rsid w:val="004C7CCE"/>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938"/>
    <w:rsid w:val="004E03F4"/>
    <w:rsid w:val="004E07AD"/>
    <w:rsid w:val="004E1F45"/>
    <w:rsid w:val="004E2116"/>
    <w:rsid w:val="004E4B09"/>
    <w:rsid w:val="004E4FEC"/>
    <w:rsid w:val="004E56A7"/>
    <w:rsid w:val="004E5CBE"/>
    <w:rsid w:val="004E6B69"/>
    <w:rsid w:val="004E6D15"/>
    <w:rsid w:val="004E6D88"/>
    <w:rsid w:val="004E717B"/>
    <w:rsid w:val="004E7608"/>
    <w:rsid w:val="004E783A"/>
    <w:rsid w:val="004E7D0B"/>
    <w:rsid w:val="004F1950"/>
    <w:rsid w:val="004F2807"/>
    <w:rsid w:val="004F2BBA"/>
    <w:rsid w:val="004F4ED2"/>
    <w:rsid w:val="004F5647"/>
    <w:rsid w:val="004F5B46"/>
    <w:rsid w:val="004F6358"/>
    <w:rsid w:val="004F65CF"/>
    <w:rsid w:val="004F7AF1"/>
    <w:rsid w:val="005018D3"/>
    <w:rsid w:val="00501C8E"/>
    <w:rsid w:val="00501E1C"/>
    <w:rsid w:val="00503CB5"/>
    <w:rsid w:val="00504D39"/>
    <w:rsid w:val="005061B5"/>
    <w:rsid w:val="00507D77"/>
    <w:rsid w:val="00510534"/>
    <w:rsid w:val="00510D0F"/>
    <w:rsid w:val="0051120D"/>
    <w:rsid w:val="005116E1"/>
    <w:rsid w:val="00511F18"/>
    <w:rsid w:val="00512E7A"/>
    <w:rsid w:val="005131B9"/>
    <w:rsid w:val="0051348D"/>
    <w:rsid w:val="00514D72"/>
    <w:rsid w:val="00514EAE"/>
    <w:rsid w:val="005151AA"/>
    <w:rsid w:val="005170BF"/>
    <w:rsid w:val="00517161"/>
    <w:rsid w:val="00520E13"/>
    <w:rsid w:val="00521393"/>
    <w:rsid w:val="005268E9"/>
    <w:rsid w:val="005277E5"/>
    <w:rsid w:val="00527C9B"/>
    <w:rsid w:val="00527FD9"/>
    <w:rsid w:val="00531D81"/>
    <w:rsid w:val="00532048"/>
    <w:rsid w:val="00532089"/>
    <w:rsid w:val="00532574"/>
    <w:rsid w:val="00534183"/>
    <w:rsid w:val="005349BA"/>
    <w:rsid w:val="00536193"/>
    <w:rsid w:val="0053712B"/>
    <w:rsid w:val="00537258"/>
    <w:rsid w:val="00537C13"/>
    <w:rsid w:val="00540D51"/>
    <w:rsid w:val="0054147F"/>
    <w:rsid w:val="00541AD3"/>
    <w:rsid w:val="00541C96"/>
    <w:rsid w:val="00543411"/>
    <w:rsid w:val="0054524D"/>
    <w:rsid w:val="005452F6"/>
    <w:rsid w:val="00545305"/>
    <w:rsid w:val="005456A5"/>
    <w:rsid w:val="00547971"/>
    <w:rsid w:val="00547C8B"/>
    <w:rsid w:val="005506A0"/>
    <w:rsid w:val="0055083F"/>
    <w:rsid w:val="00550E3A"/>
    <w:rsid w:val="00551080"/>
    <w:rsid w:val="005515AE"/>
    <w:rsid w:val="00552913"/>
    <w:rsid w:val="00552953"/>
    <w:rsid w:val="00552E58"/>
    <w:rsid w:val="005535CF"/>
    <w:rsid w:val="005537D9"/>
    <w:rsid w:val="00553C88"/>
    <w:rsid w:val="00554DC0"/>
    <w:rsid w:val="0055516C"/>
    <w:rsid w:val="00555BBD"/>
    <w:rsid w:val="00557A80"/>
    <w:rsid w:val="005607C3"/>
    <w:rsid w:val="00560DC1"/>
    <w:rsid w:val="00561958"/>
    <w:rsid w:val="00561986"/>
    <w:rsid w:val="00562509"/>
    <w:rsid w:val="0056394E"/>
    <w:rsid w:val="00564395"/>
    <w:rsid w:val="00564B80"/>
    <w:rsid w:val="00564D32"/>
    <w:rsid w:val="0056527A"/>
    <w:rsid w:val="00567134"/>
    <w:rsid w:val="0056742E"/>
    <w:rsid w:val="005677F4"/>
    <w:rsid w:val="005714E1"/>
    <w:rsid w:val="00571621"/>
    <w:rsid w:val="005720A2"/>
    <w:rsid w:val="005734FD"/>
    <w:rsid w:val="00573906"/>
    <w:rsid w:val="0057391B"/>
    <w:rsid w:val="00574105"/>
    <w:rsid w:val="0057461A"/>
    <w:rsid w:val="005748AF"/>
    <w:rsid w:val="00574B5E"/>
    <w:rsid w:val="005750A7"/>
    <w:rsid w:val="005753FF"/>
    <w:rsid w:val="00575484"/>
    <w:rsid w:val="00575AC0"/>
    <w:rsid w:val="005761CB"/>
    <w:rsid w:val="00576B20"/>
    <w:rsid w:val="00580B19"/>
    <w:rsid w:val="005816C5"/>
    <w:rsid w:val="00581F70"/>
    <w:rsid w:val="0058215D"/>
    <w:rsid w:val="005830CF"/>
    <w:rsid w:val="00583DC9"/>
    <w:rsid w:val="00584E6E"/>
    <w:rsid w:val="005852FD"/>
    <w:rsid w:val="00590233"/>
    <w:rsid w:val="00590287"/>
    <w:rsid w:val="005906C2"/>
    <w:rsid w:val="00591FF2"/>
    <w:rsid w:val="00593787"/>
    <w:rsid w:val="005948D6"/>
    <w:rsid w:val="005959AA"/>
    <w:rsid w:val="0059658C"/>
    <w:rsid w:val="00597479"/>
    <w:rsid w:val="00597CFD"/>
    <w:rsid w:val="005A119A"/>
    <w:rsid w:val="005A1356"/>
    <w:rsid w:val="005A229A"/>
    <w:rsid w:val="005A2E8C"/>
    <w:rsid w:val="005A389E"/>
    <w:rsid w:val="005A430A"/>
    <w:rsid w:val="005A4820"/>
    <w:rsid w:val="005A4FC1"/>
    <w:rsid w:val="005A66C9"/>
    <w:rsid w:val="005A6C76"/>
    <w:rsid w:val="005A7445"/>
    <w:rsid w:val="005A7529"/>
    <w:rsid w:val="005B0799"/>
    <w:rsid w:val="005B0FE5"/>
    <w:rsid w:val="005B156D"/>
    <w:rsid w:val="005B1958"/>
    <w:rsid w:val="005B1F7B"/>
    <w:rsid w:val="005B521D"/>
    <w:rsid w:val="005B54C7"/>
    <w:rsid w:val="005B55FB"/>
    <w:rsid w:val="005B5EB6"/>
    <w:rsid w:val="005B7298"/>
    <w:rsid w:val="005B75D8"/>
    <w:rsid w:val="005C19BE"/>
    <w:rsid w:val="005C1CAB"/>
    <w:rsid w:val="005C38C4"/>
    <w:rsid w:val="005C41D3"/>
    <w:rsid w:val="005C4AB5"/>
    <w:rsid w:val="005C4DAF"/>
    <w:rsid w:val="005C5249"/>
    <w:rsid w:val="005C543C"/>
    <w:rsid w:val="005C55B9"/>
    <w:rsid w:val="005C6497"/>
    <w:rsid w:val="005C6B8A"/>
    <w:rsid w:val="005C7286"/>
    <w:rsid w:val="005C7434"/>
    <w:rsid w:val="005C784C"/>
    <w:rsid w:val="005C7DE8"/>
    <w:rsid w:val="005D0F35"/>
    <w:rsid w:val="005D15F9"/>
    <w:rsid w:val="005D24A1"/>
    <w:rsid w:val="005D3FDA"/>
    <w:rsid w:val="005D4000"/>
    <w:rsid w:val="005D4403"/>
    <w:rsid w:val="005D4543"/>
    <w:rsid w:val="005D4E30"/>
    <w:rsid w:val="005D5DE4"/>
    <w:rsid w:val="005D6A6D"/>
    <w:rsid w:val="005D6E1F"/>
    <w:rsid w:val="005D7826"/>
    <w:rsid w:val="005D7CB8"/>
    <w:rsid w:val="005E0F38"/>
    <w:rsid w:val="005E1752"/>
    <w:rsid w:val="005E18AA"/>
    <w:rsid w:val="005E438D"/>
    <w:rsid w:val="005E44E8"/>
    <w:rsid w:val="005E6A63"/>
    <w:rsid w:val="005E716C"/>
    <w:rsid w:val="005E7D6B"/>
    <w:rsid w:val="005F1E53"/>
    <w:rsid w:val="005F1E9B"/>
    <w:rsid w:val="005F24FF"/>
    <w:rsid w:val="005F594A"/>
    <w:rsid w:val="005F79EE"/>
    <w:rsid w:val="005F7DD9"/>
    <w:rsid w:val="00600C2A"/>
    <w:rsid w:val="006023BE"/>
    <w:rsid w:val="0060291D"/>
    <w:rsid w:val="00602EA1"/>
    <w:rsid w:val="00603464"/>
    <w:rsid w:val="006038F3"/>
    <w:rsid w:val="00605B15"/>
    <w:rsid w:val="0060614E"/>
    <w:rsid w:val="00607506"/>
    <w:rsid w:val="006079A8"/>
    <w:rsid w:val="00607FD6"/>
    <w:rsid w:val="0061030C"/>
    <w:rsid w:val="006105F5"/>
    <w:rsid w:val="006106A0"/>
    <w:rsid w:val="00610789"/>
    <w:rsid w:val="006113C0"/>
    <w:rsid w:val="006114DB"/>
    <w:rsid w:val="00612638"/>
    <w:rsid w:val="0061291F"/>
    <w:rsid w:val="00614937"/>
    <w:rsid w:val="00614F1E"/>
    <w:rsid w:val="006158A4"/>
    <w:rsid w:val="0061679E"/>
    <w:rsid w:val="00616C62"/>
    <w:rsid w:val="00617428"/>
    <w:rsid w:val="00620A97"/>
    <w:rsid w:val="006217FC"/>
    <w:rsid w:val="0062242A"/>
    <w:rsid w:val="00622981"/>
    <w:rsid w:val="00622BEC"/>
    <w:rsid w:val="00623163"/>
    <w:rsid w:val="00623D01"/>
    <w:rsid w:val="00623E73"/>
    <w:rsid w:val="0062462A"/>
    <w:rsid w:val="006253A0"/>
    <w:rsid w:val="00625D81"/>
    <w:rsid w:val="00627705"/>
    <w:rsid w:val="00627B83"/>
    <w:rsid w:val="00627F84"/>
    <w:rsid w:val="00630344"/>
    <w:rsid w:val="00630574"/>
    <w:rsid w:val="00630C91"/>
    <w:rsid w:val="0063155B"/>
    <w:rsid w:val="00631FAF"/>
    <w:rsid w:val="00634567"/>
    <w:rsid w:val="006345AB"/>
    <w:rsid w:val="006345B1"/>
    <w:rsid w:val="006346C9"/>
    <w:rsid w:val="00634D07"/>
    <w:rsid w:val="0063536A"/>
    <w:rsid w:val="0063727C"/>
    <w:rsid w:val="0063750C"/>
    <w:rsid w:val="00637EEE"/>
    <w:rsid w:val="00640206"/>
    <w:rsid w:val="00640788"/>
    <w:rsid w:val="006411F6"/>
    <w:rsid w:val="00641364"/>
    <w:rsid w:val="0064178B"/>
    <w:rsid w:val="00644ED0"/>
    <w:rsid w:val="00646002"/>
    <w:rsid w:val="00646C0F"/>
    <w:rsid w:val="00646EDF"/>
    <w:rsid w:val="0064751F"/>
    <w:rsid w:val="00647B74"/>
    <w:rsid w:val="00650BCD"/>
    <w:rsid w:val="006510B7"/>
    <w:rsid w:val="006511C3"/>
    <w:rsid w:val="006519DE"/>
    <w:rsid w:val="00651AAA"/>
    <w:rsid w:val="00652331"/>
    <w:rsid w:val="00655FB6"/>
    <w:rsid w:val="006560C4"/>
    <w:rsid w:val="00656252"/>
    <w:rsid w:val="00656297"/>
    <w:rsid w:val="006563B0"/>
    <w:rsid w:val="00656469"/>
    <w:rsid w:val="00660185"/>
    <w:rsid w:val="00662A52"/>
    <w:rsid w:val="00662FBE"/>
    <w:rsid w:val="00664366"/>
    <w:rsid w:val="00664B32"/>
    <w:rsid w:val="00664F28"/>
    <w:rsid w:val="00665D0B"/>
    <w:rsid w:val="00667647"/>
    <w:rsid w:val="00667FBA"/>
    <w:rsid w:val="006708BA"/>
    <w:rsid w:val="0067131B"/>
    <w:rsid w:val="0067203A"/>
    <w:rsid w:val="006724D9"/>
    <w:rsid w:val="00672668"/>
    <w:rsid w:val="00672BD0"/>
    <w:rsid w:val="00674196"/>
    <w:rsid w:val="006743B8"/>
    <w:rsid w:val="0067458F"/>
    <w:rsid w:val="00675174"/>
    <w:rsid w:val="006769D5"/>
    <w:rsid w:val="00677581"/>
    <w:rsid w:val="00680199"/>
    <w:rsid w:val="006806E4"/>
    <w:rsid w:val="00681066"/>
    <w:rsid w:val="0068128B"/>
    <w:rsid w:val="00681330"/>
    <w:rsid w:val="006820F4"/>
    <w:rsid w:val="00682371"/>
    <w:rsid w:val="00683D01"/>
    <w:rsid w:val="006842EF"/>
    <w:rsid w:val="006865FF"/>
    <w:rsid w:val="006866BE"/>
    <w:rsid w:val="00687882"/>
    <w:rsid w:val="006878D4"/>
    <w:rsid w:val="006878D9"/>
    <w:rsid w:val="00687EA8"/>
    <w:rsid w:val="00690A4A"/>
    <w:rsid w:val="006918E0"/>
    <w:rsid w:val="00691BCD"/>
    <w:rsid w:val="00691D8E"/>
    <w:rsid w:val="006922FE"/>
    <w:rsid w:val="0069380A"/>
    <w:rsid w:val="006941CE"/>
    <w:rsid w:val="006943B2"/>
    <w:rsid w:val="006959EC"/>
    <w:rsid w:val="00696160"/>
    <w:rsid w:val="006A0C35"/>
    <w:rsid w:val="006A15CA"/>
    <w:rsid w:val="006A1B9C"/>
    <w:rsid w:val="006A273C"/>
    <w:rsid w:val="006A2DE5"/>
    <w:rsid w:val="006A365B"/>
    <w:rsid w:val="006A38F9"/>
    <w:rsid w:val="006A3D93"/>
    <w:rsid w:val="006A4602"/>
    <w:rsid w:val="006A4A39"/>
    <w:rsid w:val="006A5CA9"/>
    <w:rsid w:val="006A65B8"/>
    <w:rsid w:val="006A7C17"/>
    <w:rsid w:val="006B0E9B"/>
    <w:rsid w:val="006B10E0"/>
    <w:rsid w:val="006B154B"/>
    <w:rsid w:val="006B1A1D"/>
    <w:rsid w:val="006B1E8E"/>
    <w:rsid w:val="006B254D"/>
    <w:rsid w:val="006B25A1"/>
    <w:rsid w:val="006B2F18"/>
    <w:rsid w:val="006B307D"/>
    <w:rsid w:val="006B5947"/>
    <w:rsid w:val="006B6318"/>
    <w:rsid w:val="006B636B"/>
    <w:rsid w:val="006B7197"/>
    <w:rsid w:val="006C014A"/>
    <w:rsid w:val="006C129E"/>
    <w:rsid w:val="006C1B8A"/>
    <w:rsid w:val="006C263E"/>
    <w:rsid w:val="006C2D5A"/>
    <w:rsid w:val="006C42D4"/>
    <w:rsid w:val="006C51A0"/>
    <w:rsid w:val="006C532C"/>
    <w:rsid w:val="006C5E87"/>
    <w:rsid w:val="006D0384"/>
    <w:rsid w:val="006D1497"/>
    <w:rsid w:val="006D16DE"/>
    <w:rsid w:val="006D1B8E"/>
    <w:rsid w:val="006D251F"/>
    <w:rsid w:val="006D2643"/>
    <w:rsid w:val="006D28F6"/>
    <w:rsid w:val="006D2A06"/>
    <w:rsid w:val="006D3BB7"/>
    <w:rsid w:val="006D3DEC"/>
    <w:rsid w:val="006D4975"/>
    <w:rsid w:val="006D5070"/>
    <w:rsid w:val="006D53ED"/>
    <w:rsid w:val="006D670A"/>
    <w:rsid w:val="006D7ADC"/>
    <w:rsid w:val="006D7BBD"/>
    <w:rsid w:val="006E07C8"/>
    <w:rsid w:val="006E1759"/>
    <w:rsid w:val="006E1BB0"/>
    <w:rsid w:val="006E1D0D"/>
    <w:rsid w:val="006E2563"/>
    <w:rsid w:val="006E26A8"/>
    <w:rsid w:val="006E27CE"/>
    <w:rsid w:val="006E2C95"/>
    <w:rsid w:val="006E4904"/>
    <w:rsid w:val="006E564C"/>
    <w:rsid w:val="006E5793"/>
    <w:rsid w:val="006E57BD"/>
    <w:rsid w:val="006E580C"/>
    <w:rsid w:val="006E5AAE"/>
    <w:rsid w:val="006E5CAC"/>
    <w:rsid w:val="006E6004"/>
    <w:rsid w:val="006E666F"/>
    <w:rsid w:val="006E66F0"/>
    <w:rsid w:val="006E6979"/>
    <w:rsid w:val="006E6D0E"/>
    <w:rsid w:val="006E7079"/>
    <w:rsid w:val="006E75F9"/>
    <w:rsid w:val="006F01B8"/>
    <w:rsid w:val="006F0257"/>
    <w:rsid w:val="006F07DE"/>
    <w:rsid w:val="006F0BEA"/>
    <w:rsid w:val="006F1050"/>
    <w:rsid w:val="006F17EC"/>
    <w:rsid w:val="006F1DA5"/>
    <w:rsid w:val="006F1E6A"/>
    <w:rsid w:val="006F2505"/>
    <w:rsid w:val="006F2BF9"/>
    <w:rsid w:val="006F4423"/>
    <w:rsid w:val="006F4CAA"/>
    <w:rsid w:val="006F56B2"/>
    <w:rsid w:val="006F67F1"/>
    <w:rsid w:val="006F7905"/>
    <w:rsid w:val="006F7C06"/>
    <w:rsid w:val="006F7E50"/>
    <w:rsid w:val="00700C9F"/>
    <w:rsid w:val="00701668"/>
    <w:rsid w:val="00701E62"/>
    <w:rsid w:val="0070355A"/>
    <w:rsid w:val="00703BE2"/>
    <w:rsid w:val="00703C4E"/>
    <w:rsid w:val="00704176"/>
    <w:rsid w:val="00704D4A"/>
    <w:rsid w:val="007050CD"/>
    <w:rsid w:val="0070514A"/>
    <w:rsid w:val="00705B73"/>
    <w:rsid w:val="00706363"/>
    <w:rsid w:val="00706737"/>
    <w:rsid w:val="0071123B"/>
    <w:rsid w:val="007131CC"/>
    <w:rsid w:val="007133A6"/>
    <w:rsid w:val="007134AB"/>
    <w:rsid w:val="00713E01"/>
    <w:rsid w:val="00714017"/>
    <w:rsid w:val="00714DDB"/>
    <w:rsid w:val="007153B5"/>
    <w:rsid w:val="007156F8"/>
    <w:rsid w:val="007164F2"/>
    <w:rsid w:val="00717FCB"/>
    <w:rsid w:val="00721684"/>
    <w:rsid w:val="007217C6"/>
    <w:rsid w:val="007217CA"/>
    <w:rsid w:val="00721948"/>
    <w:rsid w:val="00724860"/>
    <w:rsid w:val="00724ADE"/>
    <w:rsid w:val="00726D4A"/>
    <w:rsid w:val="007277B7"/>
    <w:rsid w:val="00730C1F"/>
    <w:rsid w:val="00731759"/>
    <w:rsid w:val="00731A02"/>
    <w:rsid w:val="0073211B"/>
    <w:rsid w:val="00732B65"/>
    <w:rsid w:val="00732EFA"/>
    <w:rsid w:val="0073320A"/>
    <w:rsid w:val="0073321D"/>
    <w:rsid w:val="007343C4"/>
    <w:rsid w:val="00734B56"/>
    <w:rsid w:val="00735C07"/>
    <w:rsid w:val="00736741"/>
    <w:rsid w:val="00737AB3"/>
    <w:rsid w:val="00737F2D"/>
    <w:rsid w:val="0074133F"/>
    <w:rsid w:val="00741751"/>
    <w:rsid w:val="00742178"/>
    <w:rsid w:val="00742316"/>
    <w:rsid w:val="007443C5"/>
    <w:rsid w:val="007445D1"/>
    <w:rsid w:val="00745308"/>
    <w:rsid w:val="00745F5E"/>
    <w:rsid w:val="007462CA"/>
    <w:rsid w:val="00746EBF"/>
    <w:rsid w:val="007470F4"/>
    <w:rsid w:val="00747682"/>
    <w:rsid w:val="00747A86"/>
    <w:rsid w:val="00750C6D"/>
    <w:rsid w:val="00751118"/>
    <w:rsid w:val="00751337"/>
    <w:rsid w:val="007518E4"/>
    <w:rsid w:val="00752812"/>
    <w:rsid w:val="00752CCC"/>
    <w:rsid w:val="00753256"/>
    <w:rsid w:val="007541E9"/>
    <w:rsid w:val="00756015"/>
    <w:rsid w:val="00756212"/>
    <w:rsid w:val="007565A6"/>
    <w:rsid w:val="00757711"/>
    <w:rsid w:val="0075780A"/>
    <w:rsid w:val="00757898"/>
    <w:rsid w:val="00760E4E"/>
    <w:rsid w:val="007614CA"/>
    <w:rsid w:val="00761E92"/>
    <w:rsid w:val="00762719"/>
    <w:rsid w:val="00763A6A"/>
    <w:rsid w:val="007648F5"/>
    <w:rsid w:val="00764EB3"/>
    <w:rsid w:val="00765B9D"/>
    <w:rsid w:val="00765F8E"/>
    <w:rsid w:val="00766858"/>
    <w:rsid w:val="00766FDF"/>
    <w:rsid w:val="007670DA"/>
    <w:rsid w:val="007677A2"/>
    <w:rsid w:val="00767986"/>
    <w:rsid w:val="00767C64"/>
    <w:rsid w:val="0077022A"/>
    <w:rsid w:val="00770853"/>
    <w:rsid w:val="00771DDA"/>
    <w:rsid w:val="0077226D"/>
    <w:rsid w:val="007727F5"/>
    <w:rsid w:val="00772F6A"/>
    <w:rsid w:val="007730E6"/>
    <w:rsid w:val="007736E4"/>
    <w:rsid w:val="00773932"/>
    <w:rsid w:val="00774667"/>
    <w:rsid w:val="00774711"/>
    <w:rsid w:val="00774AC7"/>
    <w:rsid w:val="0077537B"/>
    <w:rsid w:val="00775519"/>
    <w:rsid w:val="007755CC"/>
    <w:rsid w:val="0077655E"/>
    <w:rsid w:val="007765FE"/>
    <w:rsid w:val="007769E7"/>
    <w:rsid w:val="007773FC"/>
    <w:rsid w:val="00777656"/>
    <w:rsid w:val="0078079D"/>
    <w:rsid w:val="00780990"/>
    <w:rsid w:val="00781969"/>
    <w:rsid w:val="00782985"/>
    <w:rsid w:val="007831B5"/>
    <w:rsid w:val="0078370E"/>
    <w:rsid w:val="00783D4C"/>
    <w:rsid w:val="0078473A"/>
    <w:rsid w:val="007848B6"/>
    <w:rsid w:val="00784B29"/>
    <w:rsid w:val="00784D78"/>
    <w:rsid w:val="00784E71"/>
    <w:rsid w:val="00785285"/>
    <w:rsid w:val="00786433"/>
    <w:rsid w:val="007871E4"/>
    <w:rsid w:val="0079048B"/>
    <w:rsid w:val="007909AD"/>
    <w:rsid w:val="00790E27"/>
    <w:rsid w:val="00791957"/>
    <w:rsid w:val="00792CE5"/>
    <w:rsid w:val="0079354A"/>
    <w:rsid w:val="00793BEA"/>
    <w:rsid w:val="00794238"/>
    <w:rsid w:val="00794D8E"/>
    <w:rsid w:val="00795972"/>
    <w:rsid w:val="00795AC5"/>
    <w:rsid w:val="00796375"/>
    <w:rsid w:val="007977B4"/>
    <w:rsid w:val="007A06CD"/>
    <w:rsid w:val="007A072D"/>
    <w:rsid w:val="007A0773"/>
    <w:rsid w:val="007A1C10"/>
    <w:rsid w:val="007A1CF8"/>
    <w:rsid w:val="007A2D09"/>
    <w:rsid w:val="007A3AD3"/>
    <w:rsid w:val="007A48B7"/>
    <w:rsid w:val="007A5568"/>
    <w:rsid w:val="007A6BD4"/>
    <w:rsid w:val="007A76CC"/>
    <w:rsid w:val="007A7B8F"/>
    <w:rsid w:val="007B036A"/>
    <w:rsid w:val="007B211E"/>
    <w:rsid w:val="007B2B1C"/>
    <w:rsid w:val="007B54E9"/>
    <w:rsid w:val="007B6DDC"/>
    <w:rsid w:val="007B7A22"/>
    <w:rsid w:val="007B7FB9"/>
    <w:rsid w:val="007C129E"/>
    <w:rsid w:val="007C1570"/>
    <w:rsid w:val="007C1FF6"/>
    <w:rsid w:val="007C316E"/>
    <w:rsid w:val="007C4BAC"/>
    <w:rsid w:val="007C4ED3"/>
    <w:rsid w:val="007C50B8"/>
    <w:rsid w:val="007C5957"/>
    <w:rsid w:val="007C5A78"/>
    <w:rsid w:val="007C6A2A"/>
    <w:rsid w:val="007D07F2"/>
    <w:rsid w:val="007D1CFC"/>
    <w:rsid w:val="007D206E"/>
    <w:rsid w:val="007D22EF"/>
    <w:rsid w:val="007D3A4D"/>
    <w:rsid w:val="007D3B63"/>
    <w:rsid w:val="007D4308"/>
    <w:rsid w:val="007D45D9"/>
    <w:rsid w:val="007D4E9E"/>
    <w:rsid w:val="007D4FE2"/>
    <w:rsid w:val="007D526D"/>
    <w:rsid w:val="007D59DC"/>
    <w:rsid w:val="007D5E7C"/>
    <w:rsid w:val="007D634F"/>
    <w:rsid w:val="007E058B"/>
    <w:rsid w:val="007E0B2E"/>
    <w:rsid w:val="007E0CD2"/>
    <w:rsid w:val="007E1DA2"/>
    <w:rsid w:val="007E285F"/>
    <w:rsid w:val="007E4212"/>
    <w:rsid w:val="007E42EE"/>
    <w:rsid w:val="007E4918"/>
    <w:rsid w:val="007E5933"/>
    <w:rsid w:val="007E5BED"/>
    <w:rsid w:val="007E5C9E"/>
    <w:rsid w:val="007E7058"/>
    <w:rsid w:val="007E7F31"/>
    <w:rsid w:val="007F1D56"/>
    <w:rsid w:val="007F1E72"/>
    <w:rsid w:val="007F26EB"/>
    <w:rsid w:val="007F394E"/>
    <w:rsid w:val="007F3BE8"/>
    <w:rsid w:val="007F3D96"/>
    <w:rsid w:val="007F4067"/>
    <w:rsid w:val="007F4D6F"/>
    <w:rsid w:val="007F4DE2"/>
    <w:rsid w:val="007F4E2D"/>
    <w:rsid w:val="007F537E"/>
    <w:rsid w:val="007F5967"/>
    <w:rsid w:val="007F61D3"/>
    <w:rsid w:val="007F620D"/>
    <w:rsid w:val="007F6BAE"/>
    <w:rsid w:val="007F721B"/>
    <w:rsid w:val="0080088B"/>
    <w:rsid w:val="00801731"/>
    <w:rsid w:val="008028D9"/>
    <w:rsid w:val="008029D6"/>
    <w:rsid w:val="00802AFA"/>
    <w:rsid w:val="00802C00"/>
    <w:rsid w:val="008041D0"/>
    <w:rsid w:val="00807495"/>
    <w:rsid w:val="00807CC8"/>
    <w:rsid w:val="00807D9F"/>
    <w:rsid w:val="00810937"/>
    <w:rsid w:val="00810981"/>
    <w:rsid w:val="00810FD9"/>
    <w:rsid w:val="00811569"/>
    <w:rsid w:val="00811D80"/>
    <w:rsid w:val="00811F26"/>
    <w:rsid w:val="008125A5"/>
    <w:rsid w:val="008125D8"/>
    <w:rsid w:val="008130AB"/>
    <w:rsid w:val="0081375F"/>
    <w:rsid w:val="00814052"/>
    <w:rsid w:val="008146DD"/>
    <w:rsid w:val="00814D81"/>
    <w:rsid w:val="00816FDE"/>
    <w:rsid w:val="008174F9"/>
    <w:rsid w:val="008178A9"/>
    <w:rsid w:val="00817E75"/>
    <w:rsid w:val="00820CBF"/>
    <w:rsid w:val="008222C9"/>
    <w:rsid w:val="00822692"/>
    <w:rsid w:val="00822F01"/>
    <w:rsid w:val="0082408B"/>
    <w:rsid w:val="0082443C"/>
    <w:rsid w:val="00824450"/>
    <w:rsid w:val="00824A13"/>
    <w:rsid w:val="00826924"/>
    <w:rsid w:val="008273F1"/>
    <w:rsid w:val="00827869"/>
    <w:rsid w:val="00830B4F"/>
    <w:rsid w:val="008312EA"/>
    <w:rsid w:val="00833085"/>
    <w:rsid w:val="008339A6"/>
    <w:rsid w:val="00834DAF"/>
    <w:rsid w:val="00835630"/>
    <w:rsid w:val="00835A51"/>
    <w:rsid w:val="008361AA"/>
    <w:rsid w:val="0083647A"/>
    <w:rsid w:val="00842189"/>
    <w:rsid w:val="00843172"/>
    <w:rsid w:val="0084324C"/>
    <w:rsid w:val="00843A68"/>
    <w:rsid w:val="00845101"/>
    <w:rsid w:val="00845FA0"/>
    <w:rsid w:val="008465E0"/>
    <w:rsid w:val="00846C0B"/>
    <w:rsid w:val="008472DE"/>
    <w:rsid w:val="00847BE3"/>
    <w:rsid w:val="0085100A"/>
    <w:rsid w:val="00851359"/>
    <w:rsid w:val="0085189C"/>
    <w:rsid w:val="00851D5B"/>
    <w:rsid w:val="00852006"/>
    <w:rsid w:val="00852770"/>
    <w:rsid w:val="00853683"/>
    <w:rsid w:val="0085381F"/>
    <w:rsid w:val="00853DEA"/>
    <w:rsid w:val="00853EC0"/>
    <w:rsid w:val="00854AA1"/>
    <w:rsid w:val="0085543B"/>
    <w:rsid w:val="00855B2D"/>
    <w:rsid w:val="00857139"/>
    <w:rsid w:val="0085727F"/>
    <w:rsid w:val="00857428"/>
    <w:rsid w:val="00857949"/>
    <w:rsid w:val="00857DFF"/>
    <w:rsid w:val="008613E6"/>
    <w:rsid w:val="00861B44"/>
    <w:rsid w:val="00861F68"/>
    <w:rsid w:val="0086230D"/>
    <w:rsid w:val="00863B43"/>
    <w:rsid w:val="00864E75"/>
    <w:rsid w:val="0086695B"/>
    <w:rsid w:val="00866E48"/>
    <w:rsid w:val="00867C72"/>
    <w:rsid w:val="00867E53"/>
    <w:rsid w:val="00867ED2"/>
    <w:rsid w:val="00870D30"/>
    <w:rsid w:val="00871547"/>
    <w:rsid w:val="00872633"/>
    <w:rsid w:val="00872D43"/>
    <w:rsid w:val="00873633"/>
    <w:rsid w:val="00875000"/>
    <w:rsid w:val="008750B4"/>
    <w:rsid w:val="008758F1"/>
    <w:rsid w:val="00875D13"/>
    <w:rsid w:val="008760E7"/>
    <w:rsid w:val="00880176"/>
    <w:rsid w:val="00880603"/>
    <w:rsid w:val="0088128B"/>
    <w:rsid w:val="008813E2"/>
    <w:rsid w:val="00881B88"/>
    <w:rsid w:val="00882CE5"/>
    <w:rsid w:val="00883015"/>
    <w:rsid w:val="0088548E"/>
    <w:rsid w:val="00886340"/>
    <w:rsid w:val="008867E0"/>
    <w:rsid w:val="00886B00"/>
    <w:rsid w:val="0088748F"/>
    <w:rsid w:val="008902FC"/>
    <w:rsid w:val="0089268A"/>
    <w:rsid w:val="00892EF7"/>
    <w:rsid w:val="00892FD2"/>
    <w:rsid w:val="00894917"/>
    <w:rsid w:val="00894CAD"/>
    <w:rsid w:val="00894D58"/>
    <w:rsid w:val="0089538C"/>
    <w:rsid w:val="00895453"/>
    <w:rsid w:val="00895FD2"/>
    <w:rsid w:val="008960CF"/>
    <w:rsid w:val="0089639B"/>
    <w:rsid w:val="00897B3B"/>
    <w:rsid w:val="008A157C"/>
    <w:rsid w:val="008A1667"/>
    <w:rsid w:val="008A19FA"/>
    <w:rsid w:val="008A1CDF"/>
    <w:rsid w:val="008A214E"/>
    <w:rsid w:val="008A2BA7"/>
    <w:rsid w:val="008A3260"/>
    <w:rsid w:val="008A3566"/>
    <w:rsid w:val="008A371F"/>
    <w:rsid w:val="008A3C2B"/>
    <w:rsid w:val="008A3FB2"/>
    <w:rsid w:val="008A73A7"/>
    <w:rsid w:val="008A7AE1"/>
    <w:rsid w:val="008A7B50"/>
    <w:rsid w:val="008B0C28"/>
    <w:rsid w:val="008B1478"/>
    <w:rsid w:val="008B49B6"/>
    <w:rsid w:val="008B5803"/>
    <w:rsid w:val="008B6253"/>
    <w:rsid w:val="008B6DEE"/>
    <w:rsid w:val="008B7008"/>
    <w:rsid w:val="008B752E"/>
    <w:rsid w:val="008B785E"/>
    <w:rsid w:val="008C0460"/>
    <w:rsid w:val="008C08A1"/>
    <w:rsid w:val="008C1DCC"/>
    <w:rsid w:val="008C21DA"/>
    <w:rsid w:val="008C3323"/>
    <w:rsid w:val="008C3350"/>
    <w:rsid w:val="008C365E"/>
    <w:rsid w:val="008C4ACD"/>
    <w:rsid w:val="008C57F2"/>
    <w:rsid w:val="008C582D"/>
    <w:rsid w:val="008C7B77"/>
    <w:rsid w:val="008D30F3"/>
    <w:rsid w:val="008D34D3"/>
    <w:rsid w:val="008D5D66"/>
    <w:rsid w:val="008D60C0"/>
    <w:rsid w:val="008D6F97"/>
    <w:rsid w:val="008D746E"/>
    <w:rsid w:val="008E0637"/>
    <w:rsid w:val="008E0F55"/>
    <w:rsid w:val="008E1001"/>
    <w:rsid w:val="008E2720"/>
    <w:rsid w:val="008E303F"/>
    <w:rsid w:val="008E32C0"/>
    <w:rsid w:val="008E463A"/>
    <w:rsid w:val="008E547D"/>
    <w:rsid w:val="008E5785"/>
    <w:rsid w:val="008E6622"/>
    <w:rsid w:val="008E7723"/>
    <w:rsid w:val="008E7808"/>
    <w:rsid w:val="008F01A4"/>
    <w:rsid w:val="008F07D1"/>
    <w:rsid w:val="008F1EBE"/>
    <w:rsid w:val="008F259D"/>
    <w:rsid w:val="008F2E20"/>
    <w:rsid w:val="008F2F04"/>
    <w:rsid w:val="008F3A9B"/>
    <w:rsid w:val="008F3FCB"/>
    <w:rsid w:val="008F560C"/>
    <w:rsid w:val="008F5797"/>
    <w:rsid w:val="008F5F52"/>
    <w:rsid w:val="008F6BDB"/>
    <w:rsid w:val="008F6E32"/>
    <w:rsid w:val="008F734D"/>
    <w:rsid w:val="008F73D7"/>
    <w:rsid w:val="008F7C7E"/>
    <w:rsid w:val="008F7CD2"/>
    <w:rsid w:val="009002FA"/>
    <w:rsid w:val="00900E60"/>
    <w:rsid w:val="009012C6"/>
    <w:rsid w:val="009013D4"/>
    <w:rsid w:val="0090164A"/>
    <w:rsid w:val="00901C97"/>
    <w:rsid w:val="00901CF9"/>
    <w:rsid w:val="00903DBB"/>
    <w:rsid w:val="009041CD"/>
    <w:rsid w:val="00904761"/>
    <w:rsid w:val="00904C01"/>
    <w:rsid w:val="00904FDF"/>
    <w:rsid w:val="00905372"/>
    <w:rsid w:val="00907B05"/>
    <w:rsid w:val="0091022D"/>
    <w:rsid w:val="00910730"/>
    <w:rsid w:val="00912C47"/>
    <w:rsid w:val="00912CB9"/>
    <w:rsid w:val="00912D8F"/>
    <w:rsid w:val="009132CD"/>
    <w:rsid w:val="009134E7"/>
    <w:rsid w:val="00913D52"/>
    <w:rsid w:val="009144FA"/>
    <w:rsid w:val="009157BD"/>
    <w:rsid w:val="009207D7"/>
    <w:rsid w:val="00920B9C"/>
    <w:rsid w:val="00920C45"/>
    <w:rsid w:val="009221B3"/>
    <w:rsid w:val="009231C3"/>
    <w:rsid w:val="009231D4"/>
    <w:rsid w:val="0092555D"/>
    <w:rsid w:val="0092562D"/>
    <w:rsid w:val="00926A6E"/>
    <w:rsid w:val="00930EFF"/>
    <w:rsid w:val="00931286"/>
    <w:rsid w:val="00931EE8"/>
    <w:rsid w:val="009325F8"/>
    <w:rsid w:val="00932DF6"/>
    <w:rsid w:val="00932FCC"/>
    <w:rsid w:val="0093326E"/>
    <w:rsid w:val="009345F1"/>
    <w:rsid w:val="00934953"/>
    <w:rsid w:val="00934C40"/>
    <w:rsid w:val="00935FA1"/>
    <w:rsid w:val="00936B64"/>
    <w:rsid w:val="009376B1"/>
    <w:rsid w:val="00940538"/>
    <w:rsid w:val="00940823"/>
    <w:rsid w:val="0094141D"/>
    <w:rsid w:val="00941E0D"/>
    <w:rsid w:val="00942090"/>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64A1"/>
    <w:rsid w:val="00957AEC"/>
    <w:rsid w:val="009608AF"/>
    <w:rsid w:val="00960C0B"/>
    <w:rsid w:val="0096200F"/>
    <w:rsid w:val="009628C6"/>
    <w:rsid w:val="00963F94"/>
    <w:rsid w:val="00964804"/>
    <w:rsid w:val="00964E0E"/>
    <w:rsid w:val="00965C87"/>
    <w:rsid w:val="009667FC"/>
    <w:rsid w:val="00966A7B"/>
    <w:rsid w:val="00966C22"/>
    <w:rsid w:val="00966FA8"/>
    <w:rsid w:val="009678B3"/>
    <w:rsid w:val="00967FA7"/>
    <w:rsid w:val="009704B9"/>
    <w:rsid w:val="00971AF1"/>
    <w:rsid w:val="009725D0"/>
    <w:rsid w:val="00972E39"/>
    <w:rsid w:val="00973924"/>
    <w:rsid w:val="00973B96"/>
    <w:rsid w:val="00973CA7"/>
    <w:rsid w:val="009749FA"/>
    <w:rsid w:val="0097522D"/>
    <w:rsid w:val="0097694A"/>
    <w:rsid w:val="009769C8"/>
    <w:rsid w:val="00977C47"/>
    <w:rsid w:val="00980D36"/>
    <w:rsid w:val="009817FE"/>
    <w:rsid w:val="0098302A"/>
    <w:rsid w:val="00983A38"/>
    <w:rsid w:val="00983A58"/>
    <w:rsid w:val="00984B11"/>
    <w:rsid w:val="00984E31"/>
    <w:rsid w:val="00985394"/>
    <w:rsid w:val="00986148"/>
    <w:rsid w:val="00986413"/>
    <w:rsid w:val="00986918"/>
    <w:rsid w:val="00987479"/>
    <w:rsid w:val="00987B5A"/>
    <w:rsid w:val="00990B91"/>
    <w:rsid w:val="00990DDA"/>
    <w:rsid w:val="009911F8"/>
    <w:rsid w:val="009919D8"/>
    <w:rsid w:val="00991AB9"/>
    <w:rsid w:val="00991B3E"/>
    <w:rsid w:val="009920B7"/>
    <w:rsid w:val="00992A0A"/>
    <w:rsid w:val="00992C2D"/>
    <w:rsid w:val="0099349E"/>
    <w:rsid w:val="00994A94"/>
    <w:rsid w:val="009959E8"/>
    <w:rsid w:val="0099654F"/>
    <w:rsid w:val="00996581"/>
    <w:rsid w:val="00996915"/>
    <w:rsid w:val="00996E65"/>
    <w:rsid w:val="009A05E0"/>
    <w:rsid w:val="009A0902"/>
    <w:rsid w:val="009A098A"/>
    <w:rsid w:val="009A15EA"/>
    <w:rsid w:val="009A1E47"/>
    <w:rsid w:val="009A2270"/>
    <w:rsid w:val="009A2F8F"/>
    <w:rsid w:val="009A30AA"/>
    <w:rsid w:val="009A3F9C"/>
    <w:rsid w:val="009A42A4"/>
    <w:rsid w:val="009A436B"/>
    <w:rsid w:val="009A4914"/>
    <w:rsid w:val="009A5964"/>
    <w:rsid w:val="009A5FA7"/>
    <w:rsid w:val="009A62B4"/>
    <w:rsid w:val="009A671D"/>
    <w:rsid w:val="009A6F3A"/>
    <w:rsid w:val="009B09C0"/>
    <w:rsid w:val="009B1ACD"/>
    <w:rsid w:val="009B20A2"/>
    <w:rsid w:val="009B3B30"/>
    <w:rsid w:val="009B40FA"/>
    <w:rsid w:val="009B478F"/>
    <w:rsid w:val="009B47EF"/>
    <w:rsid w:val="009B741F"/>
    <w:rsid w:val="009B77D0"/>
    <w:rsid w:val="009C065E"/>
    <w:rsid w:val="009C1AF6"/>
    <w:rsid w:val="009C2F74"/>
    <w:rsid w:val="009C5155"/>
    <w:rsid w:val="009C65B4"/>
    <w:rsid w:val="009C6693"/>
    <w:rsid w:val="009C6F83"/>
    <w:rsid w:val="009C73BE"/>
    <w:rsid w:val="009C7B66"/>
    <w:rsid w:val="009D0AED"/>
    <w:rsid w:val="009D1858"/>
    <w:rsid w:val="009D1A3A"/>
    <w:rsid w:val="009D1CF3"/>
    <w:rsid w:val="009D2502"/>
    <w:rsid w:val="009D392D"/>
    <w:rsid w:val="009D4167"/>
    <w:rsid w:val="009D4491"/>
    <w:rsid w:val="009D4D0C"/>
    <w:rsid w:val="009D4FE1"/>
    <w:rsid w:val="009E14D4"/>
    <w:rsid w:val="009E1727"/>
    <w:rsid w:val="009E294C"/>
    <w:rsid w:val="009E45F0"/>
    <w:rsid w:val="009E5DA6"/>
    <w:rsid w:val="009E60D6"/>
    <w:rsid w:val="009E6F5F"/>
    <w:rsid w:val="009E6FA7"/>
    <w:rsid w:val="009F000B"/>
    <w:rsid w:val="009F1924"/>
    <w:rsid w:val="009F1A89"/>
    <w:rsid w:val="009F1FD2"/>
    <w:rsid w:val="009F24BB"/>
    <w:rsid w:val="009F268E"/>
    <w:rsid w:val="009F2A0D"/>
    <w:rsid w:val="009F3BD7"/>
    <w:rsid w:val="009F3F20"/>
    <w:rsid w:val="009F451A"/>
    <w:rsid w:val="009F48A6"/>
    <w:rsid w:val="009F5246"/>
    <w:rsid w:val="009F5FD8"/>
    <w:rsid w:val="009F65B2"/>
    <w:rsid w:val="009F680B"/>
    <w:rsid w:val="009F7534"/>
    <w:rsid w:val="009F7567"/>
    <w:rsid w:val="00A007D8"/>
    <w:rsid w:val="00A03ADA"/>
    <w:rsid w:val="00A044C6"/>
    <w:rsid w:val="00A0549D"/>
    <w:rsid w:val="00A06866"/>
    <w:rsid w:val="00A06C67"/>
    <w:rsid w:val="00A07099"/>
    <w:rsid w:val="00A07825"/>
    <w:rsid w:val="00A104E9"/>
    <w:rsid w:val="00A1376C"/>
    <w:rsid w:val="00A1495C"/>
    <w:rsid w:val="00A150CC"/>
    <w:rsid w:val="00A16F17"/>
    <w:rsid w:val="00A2059C"/>
    <w:rsid w:val="00A20D9E"/>
    <w:rsid w:val="00A21D3A"/>
    <w:rsid w:val="00A2270C"/>
    <w:rsid w:val="00A22DB5"/>
    <w:rsid w:val="00A22F4F"/>
    <w:rsid w:val="00A23394"/>
    <w:rsid w:val="00A23A7B"/>
    <w:rsid w:val="00A23CD1"/>
    <w:rsid w:val="00A24A1E"/>
    <w:rsid w:val="00A24F8C"/>
    <w:rsid w:val="00A26573"/>
    <w:rsid w:val="00A26A83"/>
    <w:rsid w:val="00A277EC"/>
    <w:rsid w:val="00A3015A"/>
    <w:rsid w:val="00A30612"/>
    <w:rsid w:val="00A30EC7"/>
    <w:rsid w:val="00A31899"/>
    <w:rsid w:val="00A319C1"/>
    <w:rsid w:val="00A32A29"/>
    <w:rsid w:val="00A32BF8"/>
    <w:rsid w:val="00A33664"/>
    <w:rsid w:val="00A3370C"/>
    <w:rsid w:val="00A34CC0"/>
    <w:rsid w:val="00A350E8"/>
    <w:rsid w:val="00A358F5"/>
    <w:rsid w:val="00A35FA0"/>
    <w:rsid w:val="00A36232"/>
    <w:rsid w:val="00A3636C"/>
    <w:rsid w:val="00A3666C"/>
    <w:rsid w:val="00A36B6F"/>
    <w:rsid w:val="00A36EAF"/>
    <w:rsid w:val="00A3774B"/>
    <w:rsid w:val="00A40339"/>
    <w:rsid w:val="00A413A6"/>
    <w:rsid w:val="00A418E2"/>
    <w:rsid w:val="00A42E5B"/>
    <w:rsid w:val="00A42E88"/>
    <w:rsid w:val="00A4370A"/>
    <w:rsid w:val="00A43A64"/>
    <w:rsid w:val="00A43F9E"/>
    <w:rsid w:val="00A448E0"/>
    <w:rsid w:val="00A4498A"/>
    <w:rsid w:val="00A44DC8"/>
    <w:rsid w:val="00A44E91"/>
    <w:rsid w:val="00A4509A"/>
    <w:rsid w:val="00A45D22"/>
    <w:rsid w:val="00A45F6E"/>
    <w:rsid w:val="00A46860"/>
    <w:rsid w:val="00A46F6C"/>
    <w:rsid w:val="00A476BE"/>
    <w:rsid w:val="00A50D81"/>
    <w:rsid w:val="00A51046"/>
    <w:rsid w:val="00A51453"/>
    <w:rsid w:val="00A516EB"/>
    <w:rsid w:val="00A51F11"/>
    <w:rsid w:val="00A52BB1"/>
    <w:rsid w:val="00A53C2C"/>
    <w:rsid w:val="00A5517C"/>
    <w:rsid w:val="00A551C2"/>
    <w:rsid w:val="00A55D89"/>
    <w:rsid w:val="00A55F16"/>
    <w:rsid w:val="00A56591"/>
    <w:rsid w:val="00A56A03"/>
    <w:rsid w:val="00A57119"/>
    <w:rsid w:val="00A57E0C"/>
    <w:rsid w:val="00A6003E"/>
    <w:rsid w:val="00A61634"/>
    <w:rsid w:val="00A62613"/>
    <w:rsid w:val="00A62E10"/>
    <w:rsid w:val="00A6341A"/>
    <w:rsid w:val="00A6423B"/>
    <w:rsid w:val="00A65400"/>
    <w:rsid w:val="00A66954"/>
    <w:rsid w:val="00A67487"/>
    <w:rsid w:val="00A67745"/>
    <w:rsid w:val="00A67FE7"/>
    <w:rsid w:val="00A72A2D"/>
    <w:rsid w:val="00A73F14"/>
    <w:rsid w:val="00A74C16"/>
    <w:rsid w:val="00A75129"/>
    <w:rsid w:val="00A752B8"/>
    <w:rsid w:val="00A75448"/>
    <w:rsid w:val="00A75C78"/>
    <w:rsid w:val="00A76EAF"/>
    <w:rsid w:val="00A771C2"/>
    <w:rsid w:val="00A77E50"/>
    <w:rsid w:val="00A805D2"/>
    <w:rsid w:val="00A80CD6"/>
    <w:rsid w:val="00A80EE4"/>
    <w:rsid w:val="00A819C6"/>
    <w:rsid w:val="00A83B67"/>
    <w:rsid w:val="00A83EF0"/>
    <w:rsid w:val="00A84434"/>
    <w:rsid w:val="00A845AC"/>
    <w:rsid w:val="00A85172"/>
    <w:rsid w:val="00A853F0"/>
    <w:rsid w:val="00A85979"/>
    <w:rsid w:val="00A86B93"/>
    <w:rsid w:val="00A877DF"/>
    <w:rsid w:val="00A9056E"/>
    <w:rsid w:val="00A90F29"/>
    <w:rsid w:val="00A916FF"/>
    <w:rsid w:val="00A9245D"/>
    <w:rsid w:val="00A92628"/>
    <w:rsid w:val="00A92F11"/>
    <w:rsid w:val="00A93537"/>
    <w:rsid w:val="00A95A0B"/>
    <w:rsid w:val="00A96F7A"/>
    <w:rsid w:val="00A9717E"/>
    <w:rsid w:val="00AA05A3"/>
    <w:rsid w:val="00AA0704"/>
    <w:rsid w:val="00AA0DD7"/>
    <w:rsid w:val="00AA0DF9"/>
    <w:rsid w:val="00AA0E55"/>
    <w:rsid w:val="00AA134E"/>
    <w:rsid w:val="00AA15B0"/>
    <w:rsid w:val="00AA183D"/>
    <w:rsid w:val="00AA1B96"/>
    <w:rsid w:val="00AA2250"/>
    <w:rsid w:val="00AA3CEC"/>
    <w:rsid w:val="00AA48AE"/>
    <w:rsid w:val="00AA4A84"/>
    <w:rsid w:val="00AA5E15"/>
    <w:rsid w:val="00AA6087"/>
    <w:rsid w:val="00AA6781"/>
    <w:rsid w:val="00AA7A94"/>
    <w:rsid w:val="00AA7DE2"/>
    <w:rsid w:val="00AB0106"/>
    <w:rsid w:val="00AB019F"/>
    <w:rsid w:val="00AB24D7"/>
    <w:rsid w:val="00AB33EA"/>
    <w:rsid w:val="00AB33ED"/>
    <w:rsid w:val="00AB4D9F"/>
    <w:rsid w:val="00AB4F37"/>
    <w:rsid w:val="00AB59B8"/>
    <w:rsid w:val="00AB6068"/>
    <w:rsid w:val="00AB6D69"/>
    <w:rsid w:val="00AB74D6"/>
    <w:rsid w:val="00AC011F"/>
    <w:rsid w:val="00AC070A"/>
    <w:rsid w:val="00AC0D3B"/>
    <w:rsid w:val="00AC1A25"/>
    <w:rsid w:val="00AC465D"/>
    <w:rsid w:val="00AC4C21"/>
    <w:rsid w:val="00AC662C"/>
    <w:rsid w:val="00AC695B"/>
    <w:rsid w:val="00AC7280"/>
    <w:rsid w:val="00AD0536"/>
    <w:rsid w:val="00AD054A"/>
    <w:rsid w:val="00AD062A"/>
    <w:rsid w:val="00AD0E92"/>
    <w:rsid w:val="00AD1A79"/>
    <w:rsid w:val="00AD2C45"/>
    <w:rsid w:val="00AD5939"/>
    <w:rsid w:val="00AD782B"/>
    <w:rsid w:val="00AD7DCE"/>
    <w:rsid w:val="00AE08ED"/>
    <w:rsid w:val="00AE0966"/>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B1D"/>
    <w:rsid w:val="00AF16F0"/>
    <w:rsid w:val="00AF195A"/>
    <w:rsid w:val="00AF3817"/>
    <w:rsid w:val="00AF3CC4"/>
    <w:rsid w:val="00AF4670"/>
    <w:rsid w:val="00AF4AEA"/>
    <w:rsid w:val="00AF6AC5"/>
    <w:rsid w:val="00AF6E04"/>
    <w:rsid w:val="00AF71A5"/>
    <w:rsid w:val="00AF7520"/>
    <w:rsid w:val="00B002BD"/>
    <w:rsid w:val="00B002D6"/>
    <w:rsid w:val="00B04AA5"/>
    <w:rsid w:val="00B04F5D"/>
    <w:rsid w:val="00B050A3"/>
    <w:rsid w:val="00B066A4"/>
    <w:rsid w:val="00B067F5"/>
    <w:rsid w:val="00B0691F"/>
    <w:rsid w:val="00B06BAF"/>
    <w:rsid w:val="00B075FD"/>
    <w:rsid w:val="00B0795E"/>
    <w:rsid w:val="00B07C4F"/>
    <w:rsid w:val="00B07D48"/>
    <w:rsid w:val="00B1039D"/>
    <w:rsid w:val="00B1046A"/>
    <w:rsid w:val="00B11B2D"/>
    <w:rsid w:val="00B12790"/>
    <w:rsid w:val="00B12F6D"/>
    <w:rsid w:val="00B13D35"/>
    <w:rsid w:val="00B13DF7"/>
    <w:rsid w:val="00B14ABC"/>
    <w:rsid w:val="00B14FA9"/>
    <w:rsid w:val="00B162C4"/>
    <w:rsid w:val="00B162D6"/>
    <w:rsid w:val="00B1649B"/>
    <w:rsid w:val="00B16856"/>
    <w:rsid w:val="00B16E62"/>
    <w:rsid w:val="00B16EE0"/>
    <w:rsid w:val="00B178B6"/>
    <w:rsid w:val="00B21673"/>
    <w:rsid w:val="00B21FC8"/>
    <w:rsid w:val="00B22496"/>
    <w:rsid w:val="00B23724"/>
    <w:rsid w:val="00B23C59"/>
    <w:rsid w:val="00B25187"/>
    <w:rsid w:val="00B25E7B"/>
    <w:rsid w:val="00B26163"/>
    <w:rsid w:val="00B26D7C"/>
    <w:rsid w:val="00B272BA"/>
    <w:rsid w:val="00B27777"/>
    <w:rsid w:val="00B3013B"/>
    <w:rsid w:val="00B30B97"/>
    <w:rsid w:val="00B313F4"/>
    <w:rsid w:val="00B32A8F"/>
    <w:rsid w:val="00B32C9C"/>
    <w:rsid w:val="00B335C3"/>
    <w:rsid w:val="00B339AD"/>
    <w:rsid w:val="00B33B77"/>
    <w:rsid w:val="00B34117"/>
    <w:rsid w:val="00B3477E"/>
    <w:rsid w:val="00B34AC5"/>
    <w:rsid w:val="00B34FC5"/>
    <w:rsid w:val="00B35BB6"/>
    <w:rsid w:val="00B36718"/>
    <w:rsid w:val="00B37712"/>
    <w:rsid w:val="00B37B61"/>
    <w:rsid w:val="00B37F3B"/>
    <w:rsid w:val="00B4003A"/>
    <w:rsid w:val="00B40660"/>
    <w:rsid w:val="00B409C7"/>
    <w:rsid w:val="00B4113E"/>
    <w:rsid w:val="00B411C9"/>
    <w:rsid w:val="00B41D72"/>
    <w:rsid w:val="00B42256"/>
    <w:rsid w:val="00B433E0"/>
    <w:rsid w:val="00B434F1"/>
    <w:rsid w:val="00B43FC4"/>
    <w:rsid w:val="00B44EBB"/>
    <w:rsid w:val="00B454D4"/>
    <w:rsid w:val="00B458DB"/>
    <w:rsid w:val="00B46AFA"/>
    <w:rsid w:val="00B46B00"/>
    <w:rsid w:val="00B46D70"/>
    <w:rsid w:val="00B50CFD"/>
    <w:rsid w:val="00B51023"/>
    <w:rsid w:val="00B51407"/>
    <w:rsid w:val="00B51FA6"/>
    <w:rsid w:val="00B52019"/>
    <w:rsid w:val="00B520B6"/>
    <w:rsid w:val="00B527FB"/>
    <w:rsid w:val="00B55C1E"/>
    <w:rsid w:val="00B55D26"/>
    <w:rsid w:val="00B56CE8"/>
    <w:rsid w:val="00B600D3"/>
    <w:rsid w:val="00B6039C"/>
    <w:rsid w:val="00B60EFE"/>
    <w:rsid w:val="00B60FCC"/>
    <w:rsid w:val="00B63837"/>
    <w:rsid w:val="00B65679"/>
    <w:rsid w:val="00B65834"/>
    <w:rsid w:val="00B65FCD"/>
    <w:rsid w:val="00B66B2D"/>
    <w:rsid w:val="00B66B4D"/>
    <w:rsid w:val="00B66FA7"/>
    <w:rsid w:val="00B6700B"/>
    <w:rsid w:val="00B67231"/>
    <w:rsid w:val="00B70329"/>
    <w:rsid w:val="00B70813"/>
    <w:rsid w:val="00B715C8"/>
    <w:rsid w:val="00B71BE3"/>
    <w:rsid w:val="00B722C7"/>
    <w:rsid w:val="00B72409"/>
    <w:rsid w:val="00B73078"/>
    <w:rsid w:val="00B73BE6"/>
    <w:rsid w:val="00B73F7D"/>
    <w:rsid w:val="00B80D20"/>
    <w:rsid w:val="00B82ACE"/>
    <w:rsid w:val="00B82B93"/>
    <w:rsid w:val="00B84094"/>
    <w:rsid w:val="00B84D7D"/>
    <w:rsid w:val="00B864A2"/>
    <w:rsid w:val="00B87FDF"/>
    <w:rsid w:val="00B90A1D"/>
    <w:rsid w:val="00B90ADB"/>
    <w:rsid w:val="00B91F04"/>
    <w:rsid w:val="00B926FD"/>
    <w:rsid w:val="00B94A07"/>
    <w:rsid w:val="00B95E6E"/>
    <w:rsid w:val="00B967ED"/>
    <w:rsid w:val="00B97C29"/>
    <w:rsid w:val="00BA1A43"/>
    <w:rsid w:val="00BA252F"/>
    <w:rsid w:val="00BA27B2"/>
    <w:rsid w:val="00BA2D96"/>
    <w:rsid w:val="00BA3347"/>
    <w:rsid w:val="00BA3AF8"/>
    <w:rsid w:val="00BA5CAB"/>
    <w:rsid w:val="00BA7517"/>
    <w:rsid w:val="00BA770C"/>
    <w:rsid w:val="00BB04C4"/>
    <w:rsid w:val="00BB1EE9"/>
    <w:rsid w:val="00BB25B9"/>
    <w:rsid w:val="00BB26E3"/>
    <w:rsid w:val="00BB2B21"/>
    <w:rsid w:val="00BB493B"/>
    <w:rsid w:val="00BB66CF"/>
    <w:rsid w:val="00BB6833"/>
    <w:rsid w:val="00BB6E2C"/>
    <w:rsid w:val="00BB6E31"/>
    <w:rsid w:val="00BB787C"/>
    <w:rsid w:val="00BC0288"/>
    <w:rsid w:val="00BC035D"/>
    <w:rsid w:val="00BC08A9"/>
    <w:rsid w:val="00BC098E"/>
    <w:rsid w:val="00BC0FCA"/>
    <w:rsid w:val="00BC15B0"/>
    <w:rsid w:val="00BC1AD7"/>
    <w:rsid w:val="00BC1E6B"/>
    <w:rsid w:val="00BC3944"/>
    <w:rsid w:val="00BC3A5E"/>
    <w:rsid w:val="00BC5E4D"/>
    <w:rsid w:val="00BC6CF5"/>
    <w:rsid w:val="00BD195A"/>
    <w:rsid w:val="00BD2266"/>
    <w:rsid w:val="00BD35C2"/>
    <w:rsid w:val="00BD3BC7"/>
    <w:rsid w:val="00BD4129"/>
    <w:rsid w:val="00BD5002"/>
    <w:rsid w:val="00BD52D7"/>
    <w:rsid w:val="00BD5303"/>
    <w:rsid w:val="00BD5B96"/>
    <w:rsid w:val="00BD5EDE"/>
    <w:rsid w:val="00BD5FE2"/>
    <w:rsid w:val="00BD6384"/>
    <w:rsid w:val="00BD63C1"/>
    <w:rsid w:val="00BD63DC"/>
    <w:rsid w:val="00BD6C5D"/>
    <w:rsid w:val="00BD6DEC"/>
    <w:rsid w:val="00BD7031"/>
    <w:rsid w:val="00BD784D"/>
    <w:rsid w:val="00BE06C2"/>
    <w:rsid w:val="00BE07C4"/>
    <w:rsid w:val="00BE224F"/>
    <w:rsid w:val="00BE3312"/>
    <w:rsid w:val="00BE33BD"/>
    <w:rsid w:val="00BE33F6"/>
    <w:rsid w:val="00BE3428"/>
    <w:rsid w:val="00BE3895"/>
    <w:rsid w:val="00BE4AFE"/>
    <w:rsid w:val="00BE4BB8"/>
    <w:rsid w:val="00BE518A"/>
    <w:rsid w:val="00BE623E"/>
    <w:rsid w:val="00BE70B0"/>
    <w:rsid w:val="00BE78AA"/>
    <w:rsid w:val="00BE7974"/>
    <w:rsid w:val="00BF0081"/>
    <w:rsid w:val="00BF10C0"/>
    <w:rsid w:val="00BF18DF"/>
    <w:rsid w:val="00BF1A36"/>
    <w:rsid w:val="00BF1E03"/>
    <w:rsid w:val="00BF25A5"/>
    <w:rsid w:val="00BF2798"/>
    <w:rsid w:val="00BF34C1"/>
    <w:rsid w:val="00BF3B99"/>
    <w:rsid w:val="00BF3FAA"/>
    <w:rsid w:val="00BF4018"/>
    <w:rsid w:val="00BF49FF"/>
    <w:rsid w:val="00BF4E4F"/>
    <w:rsid w:val="00BF4F4D"/>
    <w:rsid w:val="00BF5E75"/>
    <w:rsid w:val="00BF6219"/>
    <w:rsid w:val="00BF63EB"/>
    <w:rsid w:val="00C00263"/>
    <w:rsid w:val="00C01E1E"/>
    <w:rsid w:val="00C0260C"/>
    <w:rsid w:val="00C035E8"/>
    <w:rsid w:val="00C04296"/>
    <w:rsid w:val="00C04464"/>
    <w:rsid w:val="00C04F83"/>
    <w:rsid w:val="00C05B9A"/>
    <w:rsid w:val="00C06191"/>
    <w:rsid w:val="00C06222"/>
    <w:rsid w:val="00C07657"/>
    <w:rsid w:val="00C07EFC"/>
    <w:rsid w:val="00C07FAE"/>
    <w:rsid w:val="00C10BA7"/>
    <w:rsid w:val="00C11239"/>
    <w:rsid w:val="00C121F1"/>
    <w:rsid w:val="00C12BE4"/>
    <w:rsid w:val="00C14AD2"/>
    <w:rsid w:val="00C17737"/>
    <w:rsid w:val="00C2022A"/>
    <w:rsid w:val="00C20807"/>
    <w:rsid w:val="00C215BB"/>
    <w:rsid w:val="00C22281"/>
    <w:rsid w:val="00C23AA9"/>
    <w:rsid w:val="00C24E4B"/>
    <w:rsid w:val="00C27B40"/>
    <w:rsid w:val="00C27BEF"/>
    <w:rsid w:val="00C27E50"/>
    <w:rsid w:val="00C30810"/>
    <w:rsid w:val="00C312A3"/>
    <w:rsid w:val="00C31B94"/>
    <w:rsid w:val="00C336B4"/>
    <w:rsid w:val="00C339D6"/>
    <w:rsid w:val="00C33C45"/>
    <w:rsid w:val="00C345FA"/>
    <w:rsid w:val="00C35B94"/>
    <w:rsid w:val="00C36209"/>
    <w:rsid w:val="00C364B8"/>
    <w:rsid w:val="00C36AE3"/>
    <w:rsid w:val="00C36F6A"/>
    <w:rsid w:val="00C378BE"/>
    <w:rsid w:val="00C37FDD"/>
    <w:rsid w:val="00C40DEE"/>
    <w:rsid w:val="00C4196B"/>
    <w:rsid w:val="00C41C5D"/>
    <w:rsid w:val="00C422D9"/>
    <w:rsid w:val="00C42608"/>
    <w:rsid w:val="00C43AA9"/>
    <w:rsid w:val="00C4445B"/>
    <w:rsid w:val="00C46325"/>
    <w:rsid w:val="00C47A0B"/>
    <w:rsid w:val="00C47B3B"/>
    <w:rsid w:val="00C50C7C"/>
    <w:rsid w:val="00C5118B"/>
    <w:rsid w:val="00C5131E"/>
    <w:rsid w:val="00C51E86"/>
    <w:rsid w:val="00C5204E"/>
    <w:rsid w:val="00C52DAB"/>
    <w:rsid w:val="00C53ED6"/>
    <w:rsid w:val="00C546E4"/>
    <w:rsid w:val="00C54B0C"/>
    <w:rsid w:val="00C550AA"/>
    <w:rsid w:val="00C5526E"/>
    <w:rsid w:val="00C55D7C"/>
    <w:rsid w:val="00C566DB"/>
    <w:rsid w:val="00C5696A"/>
    <w:rsid w:val="00C574AF"/>
    <w:rsid w:val="00C57564"/>
    <w:rsid w:val="00C5757A"/>
    <w:rsid w:val="00C57E0B"/>
    <w:rsid w:val="00C60CEA"/>
    <w:rsid w:val="00C61106"/>
    <w:rsid w:val="00C615E8"/>
    <w:rsid w:val="00C63306"/>
    <w:rsid w:val="00C63564"/>
    <w:rsid w:val="00C65627"/>
    <w:rsid w:val="00C656CF"/>
    <w:rsid w:val="00C661C8"/>
    <w:rsid w:val="00C67664"/>
    <w:rsid w:val="00C7197A"/>
    <w:rsid w:val="00C71C08"/>
    <w:rsid w:val="00C71CB4"/>
    <w:rsid w:val="00C7207F"/>
    <w:rsid w:val="00C72293"/>
    <w:rsid w:val="00C73C3A"/>
    <w:rsid w:val="00C73FE4"/>
    <w:rsid w:val="00C741C4"/>
    <w:rsid w:val="00C7468B"/>
    <w:rsid w:val="00C75950"/>
    <w:rsid w:val="00C7680C"/>
    <w:rsid w:val="00C76FF1"/>
    <w:rsid w:val="00C80CBA"/>
    <w:rsid w:val="00C8150E"/>
    <w:rsid w:val="00C82F8C"/>
    <w:rsid w:val="00C83D0D"/>
    <w:rsid w:val="00C8515A"/>
    <w:rsid w:val="00C85710"/>
    <w:rsid w:val="00C86370"/>
    <w:rsid w:val="00C86814"/>
    <w:rsid w:val="00C870BA"/>
    <w:rsid w:val="00C87494"/>
    <w:rsid w:val="00C90A1C"/>
    <w:rsid w:val="00C90C6D"/>
    <w:rsid w:val="00C90D90"/>
    <w:rsid w:val="00C934E0"/>
    <w:rsid w:val="00C93CF7"/>
    <w:rsid w:val="00C9484B"/>
    <w:rsid w:val="00C94935"/>
    <w:rsid w:val="00C94B63"/>
    <w:rsid w:val="00C953CF"/>
    <w:rsid w:val="00C95A9A"/>
    <w:rsid w:val="00C95AA2"/>
    <w:rsid w:val="00C95FC3"/>
    <w:rsid w:val="00C9778C"/>
    <w:rsid w:val="00C978F2"/>
    <w:rsid w:val="00CA0093"/>
    <w:rsid w:val="00CA048A"/>
    <w:rsid w:val="00CA0DFA"/>
    <w:rsid w:val="00CA1219"/>
    <w:rsid w:val="00CA1ECD"/>
    <w:rsid w:val="00CA2322"/>
    <w:rsid w:val="00CA3E6C"/>
    <w:rsid w:val="00CA5018"/>
    <w:rsid w:val="00CA52E2"/>
    <w:rsid w:val="00CA71F4"/>
    <w:rsid w:val="00CA77F3"/>
    <w:rsid w:val="00CB051C"/>
    <w:rsid w:val="00CB1232"/>
    <w:rsid w:val="00CB1808"/>
    <w:rsid w:val="00CB4561"/>
    <w:rsid w:val="00CB6240"/>
    <w:rsid w:val="00CB6434"/>
    <w:rsid w:val="00CB6E47"/>
    <w:rsid w:val="00CC12A7"/>
    <w:rsid w:val="00CC1D53"/>
    <w:rsid w:val="00CC1FE6"/>
    <w:rsid w:val="00CC24E6"/>
    <w:rsid w:val="00CC3CB7"/>
    <w:rsid w:val="00CC65BD"/>
    <w:rsid w:val="00CC69BA"/>
    <w:rsid w:val="00CC6A86"/>
    <w:rsid w:val="00CC6E44"/>
    <w:rsid w:val="00CD0669"/>
    <w:rsid w:val="00CD1D42"/>
    <w:rsid w:val="00CD2117"/>
    <w:rsid w:val="00CD620D"/>
    <w:rsid w:val="00CD6DC6"/>
    <w:rsid w:val="00CD7081"/>
    <w:rsid w:val="00CD7A15"/>
    <w:rsid w:val="00CD7F1E"/>
    <w:rsid w:val="00CE09C2"/>
    <w:rsid w:val="00CE0FFC"/>
    <w:rsid w:val="00CE1FCE"/>
    <w:rsid w:val="00CE28A5"/>
    <w:rsid w:val="00CE2A9E"/>
    <w:rsid w:val="00CE508B"/>
    <w:rsid w:val="00CE7D25"/>
    <w:rsid w:val="00CF0560"/>
    <w:rsid w:val="00CF1379"/>
    <w:rsid w:val="00CF2046"/>
    <w:rsid w:val="00CF4245"/>
    <w:rsid w:val="00CF4E53"/>
    <w:rsid w:val="00CF5415"/>
    <w:rsid w:val="00CF56D8"/>
    <w:rsid w:val="00CF592B"/>
    <w:rsid w:val="00CF6C75"/>
    <w:rsid w:val="00D004A5"/>
    <w:rsid w:val="00D00787"/>
    <w:rsid w:val="00D00E00"/>
    <w:rsid w:val="00D010EF"/>
    <w:rsid w:val="00D012C4"/>
    <w:rsid w:val="00D012E4"/>
    <w:rsid w:val="00D02655"/>
    <w:rsid w:val="00D02A51"/>
    <w:rsid w:val="00D03CC6"/>
    <w:rsid w:val="00D03FB9"/>
    <w:rsid w:val="00D04323"/>
    <w:rsid w:val="00D04407"/>
    <w:rsid w:val="00D047AF"/>
    <w:rsid w:val="00D10343"/>
    <w:rsid w:val="00D12352"/>
    <w:rsid w:val="00D12ADA"/>
    <w:rsid w:val="00D13137"/>
    <w:rsid w:val="00D1462B"/>
    <w:rsid w:val="00D151E3"/>
    <w:rsid w:val="00D15AC6"/>
    <w:rsid w:val="00D163FA"/>
    <w:rsid w:val="00D165A6"/>
    <w:rsid w:val="00D169E7"/>
    <w:rsid w:val="00D22908"/>
    <w:rsid w:val="00D25EAB"/>
    <w:rsid w:val="00D266D7"/>
    <w:rsid w:val="00D27790"/>
    <w:rsid w:val="00D3036B"/>
    <w:rsid w:val="00D30722"/>
    <w:rsid w:val="00D3153A"/>
    <w:rsid w:val="00D322C5"/>
    <w:rsid w:val="00D32C0A"/>
    <w:rsid w:val="00D33032"/>
    <w:rsid w:val="00D33214"/>
    <w:rsid w:val="00D346D2"/>
    <w:rsid w:val="00D34FB0"/>
    <w:rsid w:val="00D35396"/>
    <w:rsid w:val="00D37411"/>
    <w:rsid w:val="00D37853"/>
    <w:rsid w:val="00D40FFD"/>
    <w:rsid w:val="00D41A4D"/>
    <w:rsid w:val="00D437BD"/>
    <w:rsid w:val="00D43CC9"/>
    <w:rsid w:val="00D43D7A"/>
    <w:rsid w:val="00D44776"/>
    <w:rsid w:val="00D46135"/>
    <w:rsid w:val="00D464C7"/>
    <w:rsid w:val="00D47165"/>
    <w:rsid w:val="00D4762E"/>
    <w:rsid w:val="00D50EA9"/>
    <w:rsid w:val="00D51395"/>
    <w:rsid w:val="00D51606"/>
    <w:rsid w:val="00D530A3"/>
    <w:rsid w:val="00D5370A"/>
    <w:rsid w:val="00D54211"/>
    <w:rsid w:val="00D54ADC"/>
    <w:rsid w:val="00D57AE1"/>
    <w:rsid w:val="00D600FC"/>
    <w:rsid w:val="00D60793"/>
    <w:rsid w:val="00D60943"/>
    <w:rsid w:val="00D60D76"/>
    <w:rsid w:val="00D610D7"/>
    <w:rsid w:val="00D631ED"/>
    <w:rsid w:val="00D632F7"/>
    <w:rsid w:val="00D63CA7"/>
    <w:rsid w:val="00D63CDA"/>
    <w:rsid w:val="00D63D00"/>
    <w:rsid w:val="00D6420E"/>
    <w:rsid w:val="00D64268"/>
    <w:rsid w:val="00D657FA"/>
    <w:rsid w:val="00D6605B"/>
    <w:rsid w:val="00D66F0C"/>
    <w:rsid w:val="00D67686"/>
    <w:rsid w:val="00D67900"/>
    <w:rsid w:val="00D67E53"/>
    <w:rsid w:val="00D7008B"/>
    <w:rsid w:val="00D71AFB"/>
    <w:rsid w:val="00D71BDB"/>
    <w:rsid w:val="00D722D1"/>
    <w:rsid w:val="00D723F5"/>
    <w:rsid w:val="00D7485D"/>
    <w:rsid w:val="00D75756"/>
    <w:rsid w:val="00D7739E"/>
    <w:rsid w:val="00D773F8"/>
    <w:rsid w:val="00D81349"/>
    <w:rsid w:val="00D820B5"/>
    <w:rsid w:val="00D82842"/>
    <w:rsid w:val="00D860CE"/>
    <w:rsid w:val="00D86818"/>
    <w:rsid w:val="00D90512"/>
    <w:rsid w:val="00D916BD"/>
    <w:rsid w:val="00D92620"/>
    <w:rsid w:val="00D92C94"/>
    <w:rsid w:val="00D93A43"/>
    <w:rsid w:val="00D94946"/>
    <w:rsid w:val="00D94DD6"/>
    <w:rsid w:val="00D95120"/>
    <w:rsid w:val="00D95723"/>
    <w:rsid w:val="00D9599B"/>
    <w:rsid w:val="00D95DC2"/>
    <w:rsid w:val="00D95E1F"/>
    <w:rsid w:val="00D96351"/>
    <w:rsid w:val="00D96BD5"/>
    <w:rsid w:val="00DA0381"/>
    <w:rsid w:val="00DA1371"/>
    <w:rsid w:val="00DA20FA"/>
    <w:rsid w:val="00DA3E7A"/>
    <w:rsid w:val="00DA4769"/>
    <w:rsid w:val="00DA4F99"/>
    <w:rsid w:val="00DA5C5D"/>
    <w:rsid w:val="00DA60E1"/>
    <w:rsid w:val="00DA654E"/>
    <w:rsid w:val="00DA6CD3"/>
    <w:rsid w:val="00DB0292"/>
    <w:rsid w:val="00DB02F6"/>
    <w:rsid w:val="00DB07DB"/>
    <w:rsid w:val="00DB07FD"/>
    <w:rsid w:val="00DB0BFB"/>
    <w:rsid w:val="00DB1C39"/>
    <w:rsid w:val="00DB2776"/>
    <w:rsid w:val="00DB2E1B"/>
    <w:rsid w:val="00DB5FE6"/>
    <w:rsid w:val="00DB7DAB"/>
    <w:rsid w:val="00DC047B"/>
    <w:rsid w:val="00DC0ED8"/>
    <w:rsid w:val="00DC1C18"/>
    <w:rsid w:val="00DC2115"/>
    <w:rsid w:val="00DC2847"/>
    <w:rsid w:val="00DC582E"/>
    <w:rsid w:val="00DC5E70"/>
    <w:rsid w:val="00DC5FB5"/>
    <w:rsid w:val="00DC6011"/>
    <w:rsid w:val="00DC6366"/>
    <w:rsid w:val="00DC652D"/>
    <w:rsid w:val="00DC6B37"/>
    <w:rsid w:val="00DC704F"/>
    <w:rsid w:val="00DC7253"/>
    <w:rsid w:val="00DC7450"/>
    <w:rsid w:val="00DD0072"/>
    <w:rsid w:val="00DD0319"/>
    <w:rsid w:val="00DD0B72"/>
    <w:rsid w:val="00DD0EFA"/>
    <w:rsid w:val="00DD101B"/>
    <w:rsid w:val="00DD3709"/>
    <w:rsid w:val="00DD3EBF"/>
    <w:rsid w:val="00DD3F23"/>
    <w:rsid w:val="00DD6596"/>
    <w:rsid w:val="00DD69A5"/>
    <w:rsid w:val="00DD7F8F"/>
    <w:rsid w:val="00DE01B4"/>
    <w:rsid w:val="00DE07D5"/>
    <w:rsid w:val="00DE087A"/>
    <w:rsid w:val="00DE08BD"/>
    <w:rsid w:val="00DE20C9"/>
    <w:rsid w:val="00DE2126"/>
    <w:rsid w:val="00DE2FA0"/>
    <w:rsid w:val="00DE3D05"/>
    <w:rsid w:val="00DE3F2A"/>
    <w:rsid w:val="00DE4F40"/>
    <w:rsid w:val="00DE521F"/>
    <w:rsid w:val="00DE5378"/>
    <w:rsid w:val="00DE6BFA"/>
    <w:rsid w:val="00DE7134"/>
    <w:rsid w:val="00DE74EB"/>
    <w:rsid w:val="00DF08DB"/>
    <w:rsid w:val="00DF101C"/>
    <w:rsid w:val="00DF2515"/>
    <w:rsid w:val="00DF3257"/>
    <w:rsid w:val="00DF35D3"/>
    <w:rsid w:val="00DF4EED"/>
    <w:rsid w:val="00DF60EE"/>
    <w:rsid w:val="00DF629F"/>
    <w:rsid w:val="00DF6941"/>
    <w:rsid w:val="00DF7444"/>
    <w:rsid w:val="00DF74D9"/>
    <w:rsid w:val="00DF7943"/>
    <w:rsid w:val="00E0368E"/>
    <w:rsid w:val="00E041CB"/>
    <w:rsid w:val="00E057CE"/>
    <w:rsid w:val="00E05EEA"/>
    <w:rsid w:val="00E07286"/>
    <w:rsid w:val="00E07586"/>
    <w:rsid w:val="00E076A6"/>
    <w:rsid w:val="00E116C0"/>
    <w:rsid w:val="00E1171A"/>
    <w:rsid w:val="00E12215"/>
    <w:rsid w:val="00E124C4"/>
    <w:rsid w:val="00E12BD6"/>
    <w:rsid w:val="00E13692"/>
    <w:rsid w:val="00E13B91"/>
    <w:rsid w:val="00E14141"/>
    <w:rsid w:val="00E1448A"/>
    <w:rsid w:val="00E14F91"/>
    <w:rsid w:val="00E15591"/>
    <w:rsid w:val="00E15741"/>
    <w:rsid w:val="00E158D4"/>
    <w:rsid w:val="00E15CA5"/>
    <w:rsid w:val="00E15D53"/>
    <w:rsid w:val="00E16F09"/>
    <w:rsid w:val="00E17038"/>
    <w:rsid w:val="00E17DE7"/>
    <w:rsid w:val="00E204ED"/>
    <w:rsid w:val="00E21030"/>
    <w:rsid w:val="00E21FE7"/>
    <w:rsid w:val="00E2247C"/>
    <w:rsid w:val="00E23249"/>
    <w:rsid w:val="00E235B6"/>
    <w:rsid w:val="00E2542C"/>
    <w:rsid w:val="00E256F8"/>
    <w:rsid w:val="00E25700"/>
    <w:rsid w:val="00E26198"/>
    <w:rsid w:val="00E269C1"/>
    <w:rsid w:val="00E26AB9"/>
    <w:rsid w:val="00E26EC4"/>
    <w:rsid w:val="00E27CB5"/>
    <w:rsid w:val="00E30D4B"/>
    <w:rsid w:val="00E312A7"/>
    <w:rsid w:val="00E32CFF"/>
    <w:rsid w:val="00E3348E"/>
    <w:rsid w:val="00E3517C"/>
    <w:rsid w:val="00E35AD1"/>
    <w:rsid w:val="00E3636B"/>
    <w:rsid w:val="00E4288F"/>
    <w:rsid w:val="00E4294A"/>
    <w:rsid w:val="00E4314D"/>
    <w:rsid w:val="00E43B70"/>
    <w:rsid w:val="00E44910"/>
    <w:rsid w:val="00E4554C"/>
    <w:rsid w:val="00E4565B"/>
    <w:rsid w:val="00E4569A"/>
    <w:rsid w:val="00E4764B"/>
    <w:rsid w:val="00E47FE1"/>
    <w:rsid w:val="00E50061"/>
    <w:rsid w:val="00E507A4"/>
    <w:rsid w:val="00E50EC2"/>
    <w:rsid w:val="00E51FA9"/>
    <w:rsid w:val="00E528C5"/>
    <w:rsid w:val="00E5347A"/>
    <w:rsid w:val="00E54AAA"/>
    <w:rsid w:val="00E55AFE"/>
    <w:rsid w:val="00E56D10"/>
    <w:rsid w:val="00E57628"/>
    <w:rsid w:val="00E577DF"/>
    <w:rsid w:val="00E60A55"/>
    <w:rsid w:val="00E62414"/>
    <w:rsid w:val="00E62FC1"/>
    <w:rsid w:val="00E63AC0"/>
    <w:rsid w:val="00E63CC2"/>
    <w:rsid w:val="00E64A8F"/>
    <w:rsid w:val="00E652E8"/>
    <w:rsid w:val="00E65CDA"/>
    <w:rsid w:val="00E65DA4"/>
    <w:rsid w:val="00E67357"/>
    <w:rsid w:val="00E705A2"/>
    <w:rsid w:val="00E711E3"/>
    <w:rsid w:val="00E71320"/>
    <w:rsid w:val="00E71E67"/>
    <w:rsid w:val="00E720FB"/>
    <w:rsid w:val="00E72E9A"/>
    <w:rsid w:val="00E7466D"/>
    <w:rsid w:val="00E74E4A"/>
    <w:rsid w:val="00E757D4"/>
    <w:rsid w:val="00E75979"/>
    <w:rsid w:val="00E76053"/>
    <w:rsid w:val="00E761BB"/>
    <w:rsid w:val="00E767A2"/>
    <w:rsid w:val="00E81621"/>
    <w:rsid w:val="00E82724"/>
    <w:rsid w:val="00E83B39"/>
    <w:rsid w:val="00E8568A"/>
    <w:rsid w:val="00E85DEC"/>
    <w:rsid w:val="00E87D0D"/>
    <w:rsid w:val="00E90BDA"/>
    <w:rsid w:val="00E90C6B"/>
    <w:rsid w:val="00E918DB"/>
    <w:rsid w:val="00E919A5"/>
    <w:rsid w:val="00E921C7"/>
    <w:rsid w:val="00E93654"/>
    <w:rsid w:val="00E938C7"/>
    <w:rsid w:val="00E93902"/>
    <w:rsid w:val="00E96D5D"/>
    <w:rsid w:val="00E977C3"/>
    <w:rsid w:val="00E97CCC"/>
    <w:rsid w:val="00EA0550"/>
    <w:rsid w:val="00EA0934"/>
    <w:rsid w:val="00EA0D02"/>
    <w:rsid w:val="00EA26A7"/>
    <w:rsid w:val="00EA27D3"/>
    <w:rsid w:val="00EA3BDE"/>
    <w:rsid w:val="00EA61B1"/>
    <w:rsid w:val="00EA66F3"/>
    <w:rsid w:val="00EA6E67"/>
    <w:rsid w:val="00EA6E88"/>
    <w:rsid w:val="00EA6EFB"/>
    <w:rsid w:val="00EA7C0B"/>
    <w:rsid w:val="00EB02E4"/>
    <w:rsid w:val="00EB0BE7"/>
    <w:rsid w:val="00EB0CB6"/>
    <w:rsid w:val="00EB2618"/>
    <w:rsid w:val="00EB2AED"/>
    <w:rsid w:val="00EB37EF"/>
    <w:rsid w:val="00EB50FF"/>
    <w:rsid w:val="00EB59A6"/>
    <w:rsid w:val="00EB65A9"/>
    <w:rsid w:val="00EC1DCF"/>
    <w:rsid w:val="00EC279A"/>
    <w:rsid w:val="00EC36AB"/>
    <w:rsid w:val="00EC4806"/>
    <w:rsid w:val="00EC49B2"/>
    <w:rsid w:val="00EC5513"/>
    <w:rsid w:val="00EC554B"/>
    <w:rsid w:val="00EC5630"/>
    <w:rsid w:val="00EC5901"/>
    <w:rsid w:val="00EC6CCA"/>
    <w:rsid w:val="00EC7271"/>
    <w:rsid w:val="00ED1044"/>
    <w:rsid w:val="00ED1B56"/>
    <w:rsid w:val="00ED1DBE"/>
    <w:rsid w:val="00ED205E"/>
    <w:rsid w:val="00ED2FB6"/>
    <w:rsid w:val="00ED3286"/>
    <w:rsid w:val="00ED3A17"/>
    <w:rsid w:val="00ED573E"/>
    <w:rsid w:val="00ED5E7B"/>
    <w:rsid w:val="00ED5F93"/>
    <w:rsid w:val="00ED7675"/>
    <w:rsid w:val="00ED7B2F"/>
    <w:rsid w:val="00ED7E80"/>
    <w:rsid w:val="00EE04FF"/>
    <w:rsid w:val="00EE0CD6"/>
    <w:rsid w:val="00EE3402"/>
    <w:rsid w:val="00EE39A0"/>
    <w:rsid w:val="00EE3F7C"/>
    <w:rsid w:val="00EE43C8"/>
    <w:rsid w:val="00EE5F16"/>
    <w:rsid w:val="00EE5F91"/>
    <w:rsid w:val="00EE6AFB"/>
    <w:rsid w:val="00EE6D3A"/>
    <w:rsid w:val="00EE7731"/>
    <w:rsid w:val="00EE789A"/>
    <w:rsid w:val="00EF003F"/>
    <w:rsid w:val="00EF0309"/>
    <w:rsid w:val="00EF034C"/>
    <w:rsid w:val="00EF035C"/>
    <w:rsid w:val="00EF0705"/>
    <w:rsid w:val="00EF4483"/>
    <w:rsid w:val="00EF5AEE"/>
    <w:rsid w:val="00EF6120"/>
    <w:rsid w:val="00EF7921"/>
    <w:rsid w:val="00EF7CA8"/>
    <w:rsid w:val="00F004FC"/>
    <w:rsid w:val="00F0165E"/>
    <w:rsid w:val="00F01C62"/>
    <w:rsid w:val="00F02946"/>
    <w:rsid w:val="00F02F36"/>
    <w:rsid w:val="00F02FA5"/>
    <w:rsid w:val="00F030BF"/>
    <w:rsid w:val="00F032C9"/>
    <w:rsid w:val="00F03AA1"/>
    <w:rsid w:val="00F04BDC"/>
    <w:rsid w:val="00F05482"/>
    <w:rsid w:val="00F05E53"/>
    <w:rsid w:val="00F06406"/>
    <w:rsid w:val="00F06687"/>
    <w:rsid w:val="00F0671D"/>
    <w:rsid w:val="00F06B35"/>
    <w:rsid w:val="00F074CC"/>
    <w:rsid w:val="00F074F7"/>
    <w:rsid w:val="00F103FC"/>
    <w:rsid w:val="00F1113E"/>
    <w:rsid w:val="00F113FF"/>
    <w:rsid w:val="00F11B56"/>
    <w:rsid w:val="00F124A2"/>
    <w:rsid w:val="00F12903"/>
    <w:rsid w:val="00F14E7E"/>
    <w:rsid w:val="00F15824"/>
    <w:rsid w:val="00F15F3C"/>
    <w:rsid w:val="00F1670C"/>
    <w:rsid w:val="00F17737"/>
    <w:rsid w:val="00F207B4"/>
    <w:rsid w:val="00F20841"/>
    <w:rsid w:val="00F20A17"/>
    <w:rsid w:val="00F22BAE"/>
    <w:rsid w:val="00F23E4B"/>
    <w:rsid w:val="00F23EC7"/>
    <w:rsid w:val="00F24518"/>
    <w:rsid w:val="00F2583B"/>
    <w:rsid w:val="00F25A33"/>
    <w:rsid w:val="00F25B57"/>
    <w:rsid w:val="00F27537"/>
    <w:rsid w:val="00F27669"/>
    <w:rsid w:val="00F30914"/>
    <w:rsid w:val="00F32CFC"/>
    <w:rsid w:val="00F33A52"/>
    <w:rsid w:val="00F34D00"/>
    <w:rsid w:val="00F3527B"/>
    <w:rsid w:val="00F35380"/>
    <w:rsid w:val="00F35413"/>
    <w:rsid w:val="00F36135"/>
    <w:rsid w:val="00F36743"/>
    <w:rsid w:val="00F369DA"/>
    <w:rsid w:val="00F36AA6"/>
    <w:rsid w:val="00F36FC8"/>
    <w:rsid w:val="00F40355"/>
    <w:rsid w:val="00F4038D"/>
    <w:rsid w:val="00F4123D"/>
    <w:rsid w:val="00F41C4F"/>
    <w:rsid w:val="00F422B6"/>
    <w:rsid w:val="00F42B70"/>
    <w:rsid w:val="00F445FF"/>
    <w:rsid w:val="00F44A8E"/>
    <w:rsid w:val="00F44C2E"/>
    <w:rsid w:val="00F454F9"/>
    <w:rsid w:val="00F45EF4"/>
    <w:rsid w:val="00F464D0"/>
    <w:rsid w:val="00F4742C"/>
    <w:rsid w:val="00F4799E"/>
    <w:rsid w:val="00F500A1"/>
    <w:rsid w:val="00F50A75"/>
    <w:rsid w:val="00F51C0B"/>
    <w:rsid w:val="00F5263F"/>
    <w:rsid w:val="00F52857"/>
    <w:rsid w:val="00F54A3E"/>
    <w:rsid w:val="00F54CF5"/>
    <w:rsid w:val="00F55819"/>
    <w:rsid w:val="00F55A9B"/>
    <w:rsid w:val="00F5624D"/>
    <w:rsid w:val="00F5628A"/>
    <w:rsid w:val="00F56CAA"/>
    <w:rsid w:val="00F57F82"/>
    <w:rsid w:val="00F6042C"/>
    <w:rsid w:val="00F60C0A"/>
    <w:rsid w:val="00F60EAD"/>
    <w:rsid w:val="00F60FE1"/>
    <w:rsid w:val="00F61242"/>
    <w:rsid w:val="00F619DC"/>
    <w:rsid w:val="00F62726"/>
    <w:rsid w:val="00F64BD3"/>
    <w:rsid w:val="00F64D0C"/>
    <w:rsid w:val="00F6516B"/>
    <w:rsid w:val="00F65654"/>
    <w:rsid w:val="00F65A57"/>
    <w:rsid w:val="00F65B51"/>
    <w:rsid w:val="00F66ACE"/>
    <w:rsid w:val="00F66F33"/>
    <w:rsid w:val="00F676B9"/>
    <w:rsid w:val="00F706AF"/>
    <w:rsid w:val="00F70987"/>
    <w:rsid w:val="00F7106C"/>
    <w:rsid w:val="00F721BD"/>
    <w:rsid w:val="00F722F8"/>
    <w:rsid w:val="00F7265F"/>
    <w:rsid w:val="00F730DC"/>
    <w:rsid w:val="00F73BDD"/>
    <w:rsid w:val="00F76814"/>
    <w:rsid w:val="00F7789C"/>
    <w:rsid w:val="00F802F1"/>
    <w:rsid w:val="00F80669"/>
    <w:rsid w:val="00F80DE3"/>
    <w:rsid w:val="00F8176F"/>
    <w:rsid w:val="00F824BF"/>
    <w:rsid w:val="00F82534"/>
    <w:rsid w:val="00F82992"/>
    <w:rsid w:val="00F8299B"/>
    <w:rsid w:val="00F838DE"/>
    <w:rsid w:val="00F84F6A"/>
    <w:rsid w:val="00F8539A"/>
    <w:rsid w:val="00F853B1"/>
    <w:rsid w:val="00F85789"/>
    <w:rsid w:val="00F85812"/>
    <w:rsid w:val="00F8628A"/>
    <w:rsid w:val="00F876EE"/>
    <w:rsid w:val="00F8783E"/>
    <w:rsid w:val="00F87D08"/>
    <w:rsid w:val="00F9077B"/>
    <w:rsid w:val="00F9147B"/>
    <w:rsid w:val="00F9171D"/>
    <w:rsid w:val="00F91DD5"/>
    <w:rsid w:val="00F923F0"/>
    <w:rsid w:val="00F933A8"/>
    <w:rsid w:val="00F938E5"/>
    <w:rsid w:val="00F9507D"/>
    <w:rsid w:val="00F95E5A"/>
    <w:rsid w:val="00F962BE"/>
    <w:rsid w:val="00F96F76"/>
    <w:rsid w:val="00FA2B31"/>
    <w:rsid w:val="00FA35D3"/>
    <w:rsid w:val="00FA442B"/>
    <w:rsid w:val="00FA4669"/>
    <w:rsid w:val="00FA46FE"/>
    <w:rsid w:val="00FA55B4"/>
    <w:rsid w:val="00FA5ECD"/>
    <w:rsid w:val="00FA729D"/>
    <w:rsid w:val="00FA7AD6"/>
    <w:rsid w:val="00FA7C73"/>
    <w:rsid w:val="00FB00B8"/>
    <w:rsid w:val="00FB077A"/>
    <w:rsid w:val="00FB0D4D"/>
    <w:rsid w:val="00FB0E0C"/>
    <w:rsid w:val="00FB139B"/>
    <w:rsid w:val="00FB30B4"/>
    <w:rsid w:val="00FB53E2"/>
    <w:rsid w:val="00FB55F3"/>
    <w:rsid w:val="00FB5D67"/>
    <w:rsid w:val="00FB70DC"/>
    <w:rsid w:val="00FB7B1D"/>
    <w:rsid w:val="00FB7C45"/>
    <w:rsid w:val="00FB7E90"/>
    <w:rsid w:val="00FC0A35"/>
    <w:rsid w:val="00FC0AE4"/>
    <w:rsid w:val="00FC0E87"/>
    <w:rsid w:val="00FC170F"/>
    <w:rsid w:val="00FC1ACA"/>
    <w:rsid w:val="00FC3243"/>
    <w:rsid w:val="00FC37DF"/>
    <w:rsid w:val="00FC59E7"/>
    <w:rsid w:val="00FC6111"/>
    <w:rsid w:val="00FC66DA"/>
    <w:rsid w:val="00FC7F45"/>
    <w:rsid w:val="00FD021D"/>
    <w:rsid w:val="00FD104E"/>
    <w:rsid w:val="00FD142F"/>
    <w:rsid w:val="00FD159F"/>
    <w:rsid w:val="00FD213D"/>
    <w:rsid w:val="00FD3D3E"/>
    <w:rsid w:val="00FD5320"/>
    <w:rsid w:val="00FD5A70"/>
    <w:rsid w:val="00FD5DD2"/>
    <w:rsid w:val="00FD62FA"/>
    <w:rsid w:val="00FD638E"/>
    <w:rsid w:val="00FD64A5"/>
    <w:rsid w:val="00FD76CD"/>
    <w:rsid w:val="00FD797E"/>
    <w:rsid w:val="00FD7B20"/>
    <w:rsid w:val="00FD7DEA"/>
    <w:rsid w:val="00FD7E4F"/>
    <w:rsid w:val="00FE0997"/>
    <w:rsid w:val="00FE1218"/>
    <w:rsid w:val="00FE2397"/>
    <w:rsid w:val="00FE250A"/>
    <w:rsid w:val="00FE3AAF"/>
    <w:rsid w:val="00FE439D"/>
    <w:rsid w:val="00FE43DA"/>
    <w:rsid w:val="00FE4FBB"/>
    <w:rsid w:val="00FE6226"/>
    <w:rsid w:val="00FE64A9"/>
    <w:rsid w:val="00FE6F6B"/>
    <w:rsid w:val="00FE7866"/>
    <w:rsid w:val="00FE7B57"/>
    <w:rsid w:val="00FF0B89"/>
    <w:rsid w:val="00FF122C"/>
    <w:rsid w:val="00FF1F94"/>
    <w:rsid w:val="00FF2247"/>
    <w:rsid w:val="00FF27F6"/>
    <w:rsid w:val="00FF2ABF"/>
    <w:rsid w:val="00FF2FD0"/>
    <w:rsid w:val="00FF35A5"/>
    <w:rsid w:val="00FF38CE"/>
    <w:rsid w:val="00FF6BD5"/>
    <w:rsid w:val="00FF740C"/>
    <w:rsid w:val="00FF7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576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5768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link w:val="FootnoteTextChar"/>
    <w:uiPriority w:val="99"/>
    <w:rsid w:val="00581F70"/>
    <w:rPr>
      <w:sz w:val="20"/>
      <w:szCs w:val="20"/>
    </w:rPr>
  </w:style>
  <w:style w:type="character" w:styleId="FootnoteReference">
    <w:name w:val="footnote reference"/>
    <w:uiPriority w:val="99"/>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character" w:customStyle="1" w:styleId="Heading2Char">
    <w:name w:val="Heading 2 Char"/>
    <w:basedOn w:val="DefaultParagraphFont"/>
    <w:link w:val="Heading2"/>
    <w:semiHidden/>
    <w:rsid w:val="00157687"/>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semiHidden/>
    <w:rsid w:val="00157687"/>
    <w:rPr>
      <w:rFonts w:asciiTheme="majorHAnsi" w:eastAsiaTheme="majorEastAsia" w:hAnsiTheme="majorHAnsi" w:cstheme="majorBidi"/>
      <w:color w:val="243F60" w:themeColor="accent1" w:themeShade="7F"/>
      <w:sz w:val="24"/>
      <w:szCs w:val="24"/>
      <w:lang w:val="en-GB" w:eastAsia="en-US"/>
    </w:rPr>
  </w:style>
  <w:style w:type="character" w:customStyle="1" w:styleId="FootnoteTextChar">
    <w:name w:val="Footnote Text Char"/>
    <w:aliases w:val="Footnote Text Char1 Char,Footnote Text Char Char Char"/>
    <w:basedOn w:val="DefaultParagraphFont"/>
    <w:link w:val="FootnoteText"/>
    <w:uiPriority w:val="99"/>
    <w:rsid w:val="00157687"/>
    <w:rPr>
      <w:rFonts w:ascii="Calibri" w:hAnsi="Calibri" w:cs="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576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5768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link w:val="FootnoteTextChar"/>
    <w:uiPriority w:val="99"/>
    <w:rsid w:val="00581F70"/>
    <w:rPr>
      <w:sz w:val="20"/>
      <w:szCs w:val="20"/>
    </w:rPr>
  </w:style>
  <w:style w:type="character" w:styleId="FootnoteReference">
    <w:name w:val="footnote reference"/>
    <w:uiPriority w:val="99"/>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character" w:customStyle="1" w:styleId="Heading2Char">
    <w:name w:val="Heading 2 Char"/>
    <w:basedOn w:val="DefaultParagraphFont"/>
    <w:link w:val="Heading2"/>
    <w:semiHidden/>
    <w:rsid w:val="00157687"/>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semiHidden/>
    <w:rsid w:val="00157687"/>
    <w:rPr>
      <w:rFonts w:asciiTheme="majorHAnsi" w:eastAsiaTheme="majorEastAsia" w:hAnsiTheme="majorHAnsi" w:cstheme="majorBidi"/>
      <w:color w:val="243F60" w:themeColor="accent1" w:themeShade="7F"/>
      <w:sz w:val="24"/>
      <w:szCs w:val="24"/>
      <w:lang w:val="en-GB" w:eastAsia="en-US"/>
    </w:rPr>
  </w:style>
  <w:style w:type="character" w:customStyle="1" w:styleId="FootnoteTextChar">
    <w:name w:val="Footnote Text Char"/>
    <w:aliases w:val="Footnote Text Char1 Char,Footnote Text Char Char Char"/>
    <w:basedOn w:val="DefaultParagraphFont"/>
    <w:link w:val="FootnoteText"/>
    <w:uiPriority w:val="99"/>
    <w:rsid w:val="00157687"/>
    <w:rPr>
      <w:rFonts w:ascii="Calibri" w:hAnsi="Calibri"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clayton\Desktop\Work%20in%20Progress\Budget%202017%20DST\1.Budget%20%20Table%20for%20Publication%20DST%20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chemeClr val="accent1"/>
            </a:solidFill>
            <a:ln w="12700">
              <a:solidFill>
                <a:srgbClr val="000000"/>
              </a:solidFill>
              <a:prstDash val="solid"/>
            </a:ln>
          </c:spPr>
          <c:invertIfNegative val="0"/>
          <c:val>
            <c:numRef>
              <c:f>'Data input'!$B$3:$B$7</c:f>
              <c:numCache>
                <c:formatCode>###\ ###\ ##0.0</c:formatCode>
                <c:ptCount val="5"/>
                <c:pt idx="0">
                  <c:v>345.1</c:v>
                </c:pt>
                <c:pt idx="1">
                  <c:v>1005.4</c:v>
                </c:pt>
                <c:pt idx="2">
                  <c:v>124.5</c:v>
                </c:pt>
                <c:pt idx="3">
                  <c:v>4171</c:v>
                </c:pt>
                <c:pt idx="4">
                  <c:v>1783</c:v>
                </c:pt>
              </c:numCache>
            </c:numRef>
          </c:val>
          <c:extLst xmlns:c16r2="http://schemas.microsoft.com/office/drawing/2015/06/chart">
            <c:ext xmlns:c16="http://schemas.microsoft.com/office/drawing/2014/chart" uri="{C3380CC4-5D6E-409C-BE32-E72D297353CC}">
              <c16:uniqueId val="{00000000-6509-46BD-9BA6-2B0D1E6A29C2}"/>
            </c:ext>
          </c:extLst>
        </c:ser>
        <c:ser>
          <c:idx val="1"/>
          <c:order val="1"/>
          <c:tx>
            <c:strRef>
              <c:f>'Data input'!$C$2</c:f>
              <c:strCache>
                <c:ptCount val="1"/>
                <c:pt idx="0">
                  <c:v>2017/18</c:v>
                </c:pt>
              </c:strCache>
            </c:strRef>
          </c:tx>
          <c:spPr>
            <a:solidFill>
              <a:schemeClr val="tx2"/>
            </a:solidFill>
            <a:ln w="12700">
              <a:solidFill>
                <a:srgbClr val="000000"/>
              </a:solidFill>
              <a:prstDash val="solid"/>
            </a:ln>
          </c:spPr>
          <c:invertIfNegative val="0"/>
          <c:val>
            <c:numRef>
              <c:f>'Data input'!$C$3:$C$7</c:f>
              <c:numCache>
                <c:formatCode>###\ ###\ ##0.0</c:formatCode>
                <c:ptCount val="5"/>
                <c:pt idx="0">
                  <c:v>383.7</c:v>
                </c:pt>
                <c:pt idx="1">
                  <c:v>1073.5999999999999</c:v>
                </c:pt>
                <c:pt idx="2">
                  <c:v>128.69999999999999</c:v>
                </c:pt>
                <c:pt idx="3">
                  <c:v>4348.8999999999996</c:v>
                </c:pt>
                <c:pt idx="4">
                  <c:v>1622.3</c:v>
                </c:pt>
              </c:numCache>
            </c:numRef>
          </c:val>
          <c:extLst xmlns:c16r2="http://schemas.microsoft.com/office/drawing/2015/06/chart">
            <c:ext xmlns:c16="http://schemas.microsoft.com/office/drawing/2014/chart" uri="{C3380CC4-5D6E-409C-BE32-E72D297353CC}">
              <c16:uniqueId val="{00000001-6509-46BD-9BA6-2B0D1E6A29C2}"/>
            </c:ext>
          </c:extLst>
        </c:ser>
        <c:dLbls>
          <c:showLegendKey val="0"/>
          <c:showVal val="0"/>
          <c:showCatName val="0"/>
          <c:showSerName val="0"/>
          <c:showPercent val="0"/>
          <c:showBubbleSize val="0"/>
        </c:dLbls>
        <c:gapWidth val="150"/>
        <c:axId val="99250176"/>
        <c:axId val="99252096"/>
      </c:barChart>
      <c:catAx>
        <c:axId val="992501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9252096"/>
        <c:crosses val="autoZero"/>
        <c:auto val="1"/>
        <c:lblAlgn val="ctr"/>
        <c:lblOffset val="100"/>
        <c:tickLblSkip val="1"/>
        <c:tickMarkSkip val="1"/>
        <c:noMultiLvlLbl val="0"/>
      </c:catAx>
      <c:valAx>
        <c:axId val="9925209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5.9420641331865429E-3"/>
              <c:y val="0.71768542072845365"/>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9250176"/>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009E-A02A-4ADC-A0F4-C38D5E62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3997</Words>
  <Characters>22789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Asanda</cp:lastModifiedBy>
  <cp:revision>2</cp:revision>
  <cp:lastPrinted>2017-05-16T06:03:00Z</cp:lastPrinted>
  <dcterms:created xsi:type="dcterms:W3CDTF">2017-05-17T10:12:00Z</dcterms:created>
  <dcterms:modified xsi:type="dcterms:W3CDTF">2017-05-17T10:12:00Z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