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9E" w:rsidRPr="00714FB7" w:rsidRDefault="00F2559E" w:rsidP="00AA637A">
      <w:pPr>
        <w:jc w:val="both"/>
        <w:rPr>
          <w:rFonts w:ascii="Times New Roman" w:hAnsi="Times New Roman"/>
          <w:b/>
          <w:color w:val="auto"/>
          <w:sz w:val="24"/>
          <w:szCs w:val="24"/>
          <w:lang w:val="en-US"/>
        </w:rPr>
      </w:pPr>
      <w:bookmarkStart w:id="0" w:name="_GoBack"/>
      <w:bookmarkEnd w:id="0"/>
    </w:p>
    <w:p w:rsidR="00635C48" w:rsidRPr="00714FB7" w:rsidRDefault="00635C48" w:rsidP="00AA637A">
      <w:pPr>
        <w:jc w:val="both"/>
        <w:rPr>
          <w:rFonts w:ascii="Times New Roman" w:hAnsi="Times New Roman"/>
          <w:b/>
          <w:color w:val="auto"/>
          <w:sz w:val="24"/>
          <w:szCs w:val="24"/>
          <w:lang w:val="en-US"/>
        </w:rPr>
      </w:pPr>
    </w:p>
    <w:p w:rsidR="00635C48" w:rsidRPr="00714FB7" w:rsidRDefault="00635C48" w:rsidP="00AA637A">
      <w:pPr>
        <w:jc w:val="both"/>
        <w:rPr>
          <w:rFonts w:ascii="Times New Roman" w:hAnsi="Times New Roman"/>
          <w:b/>
          <w:color w:val="auto"/>
          <w:sz w:val="24"/>
          <w:szCs w:val="24"/>
          <w:lang w:val="en-US"/>
        </w:rPr>
      </w:pPr>
    </w:p>
    <w:p w:rsidR="00635C48" w:rsidRPr="00714FB7" w:rsidRDefault="00635C48" w:rsidP="00AA637A">
      <w:pPr>
        <w:jc w:val="both"/>
        <w:rPr>
          <w:rFonts w:ascii="Times New Roman" w:hAnsi="Times New Roman"/>
          <w:b/>
          <w:color w:val="auto"/>
          <w:sz w:val="24"/>
          <w:szCs w:val="24"/>
          <w:lang w:val="en-US"/>
        </w:rPr>
      </w:pPr>
    </w:p>
    <w:p w:rsidR="00635C48" w:rsidRPr="00714FB7" w:rsidRDefault="00635C48" w:rsidP="00AA637A">
      <w:pPr>
        <w:jc w:val="both"/>
        <w:rPr>
          <w:rFonts w:ascii="Times New Roman" w:hAnsi="Times New Roman"/>
          <w:b/>
          <w:color w:val="auto"/>
          <w:sz w:val="24"/>
          <w:szCs w:val="24"/>
          <w:lang w:val="en-US"/>
        </w:rPr>
      </w:pPr>
    </w:p>
    <w:p w:rsidR="005B4469" w:rsidRPr="00714FB7" w:rsidRDefault="005B4469" w:rsidP="00AA637A">
      <w:pPr>
        <w:jc w:val="both"/>
        <w:rPr>
          <w:rFonts w:ascii="Times New Roman" w:hAnsi="Times New Roman"/>
          <w:b/>
          <w:color w:val="auto"/>
          <w:sz w:val="24"/>
          <w:szCs w:val="24"/>
          <w:lang w:val="en-US"/>
        </w:rPr>
      </w:pPr>
    </w:p>
    <w:p w:rsidR="00123BA0" w:rsidRPr="00714FB7" w:rsidRDefault="009D2A00" w:rsidP="00DA36FC">
      <w:pPr>
        <w:spacing w:line="360" w:lineRule="auto"/>
        <w:jc w:val="both"/>
        <w:rPr>
          <w:rFonts w:ascii="Times New Roman" w:hAnsi="Times New Roman"/>
          <w:b/>
          <w:color w:val="auto"/>
          <w:sz w:val="28"/>
          <w:szCs w:val="28"/>
          <w:lang w:val="en-US"/>
        </w:rPr>
      </w:pPr>
      <w:r>
        <w:rPr>
          <w:rFonts w:ascii="Times New Roman" w:hAnsi="Times New Roman"/>
          <w:b/>
          <w:color w:val="auto"/>
          <w:sz w:val="28"/>
          <w:szCs w:val="28"/>
          <w:lang w:val="en-US"/>
        </w:rPr>
        <w:t xml:space="preserve">2. </w:t>
      </w:r>
      <w:r w:rsidR="00714FB7" w:rsidRPr="00714FB7">
        <w:rPr>
          <w:rFonts w:ascii="Times New Roman" w:hAnsi="Times New Roman"/>
          <w:b/>
          <w:color w:val="auto"/>
          <w:sz w:val="28"/>
          <w:szCs w:val="28"/>
          <w:lang w:val="en-US"/>
        </w:rPr>
        <w:t>Report of the Portfolio Committee on Health on the Annual Performance Plan of the Department of Health, its entities (</w:t>
      </w:r>
      <w:r w:rsidR="00F17F8F" w:rsidRPr="00714FB7">
        <w:rPr>
          <w:rFonts w:ascii="Times New Roman" w:hAnsi="Times New Roman"/>
          <w:b/>
          <w:color w:val="auto"/>
          <w:sz w:val="28"/>
          <w:szCs w:val="28"/>
          <w:lang w:val="en-US"/>
        </w:rPr>
        <w:t>2017</w:t>
      </w:r>
      <w:r w:rsidR="00575DF6" w:rsidRPr="00714FB7">
        <w:rPr>
          <w:rFonts w:ascii="Times New Roman" w:hAnsi="Times New Roman"/>
          <w:b/>
          <w:color w:val="auto"/>
          <w:sz w:val="28"/>
          <w:szCs w:val="28"/>
          <w:lang w:val="en-US"/>
        </w:rPr>
        <w:t xml:space="preserve">/18 </w:t>
      </w:r>
      <w:r w:rsidR="00F17F8F" w:rsidRPr="00714FB7">
        <w:rPr>
          <w:rFonts w:ascii="Times New Roman" w:hAnsi="Times New Roman"/>
          <w:b/>
          <w:color w:val="auto"/>
          <w:sz w:val="28"/>
          <w:szCs w:val="28"/>
          <w:lang w:val="en-US"/>
        </w:rPr>
        <w:t>-</w:t>
      </w:r>
      <w:r w:rsidR="00575DF6" w:rsidRPr="00714FB7">
        <w:rPr>
          <w:rFonts w:ascii="Times New Roman" w:hAnsi="Times New Roman"/>
          <w:b/>
          <w:color w:val="auto"/>
          <w:sz w:val="28"/>
          <w:szCs w:val="28"/>
          <w:lang w:val="en-US"/>
        </w:rPr>
        <w:t xml:space="preserve"> </w:t>
      </w:r>
      <w:r w:rsidR="004676B5" w:rsidRPr="00714FB7">
        <w:rPr>
          <w:rFonts w:ascii="Times New Roman" w:hAnsi="Times New Roman"/>
          <w:b/>
          <w:color w:val="auto"/>
          <w:sz w:val="28"/>
          <w:szCs w:val="28"/>
          <w:lang w:val="en-US"/>
        </w:rPr>
        <w:t>2019</w:t>
      </w:r>
      <w:r w:rsidR="00F17F8F" w:rsidRPr="00714FB7">
        <w:rPr>
          <w:rFonts w:ascii="Times New Roman" w:hAnsi="Times New Roman"/>
          <w:b/>
          <w:color w:val="auto"/>
          <w:sz w:val="28"/>
          <w:szCs w:val="28"/>
          <w:lang w:val="en-US"/>
        </w:rPr>
        <w:t>/</w:t>
      </w:r>
      <w:r w:rsidR="004676B5" w:rsidRPr="00714FB7">
        <w:rPr>
          <w:rFonts w:ascii="Times New Roman" w:hAnsi="Times New Roman"/>
          <w:b/>
          <w:color w:val="auto"/>
          <w:sz w:val="28"/>
          <w:szCs w:val="28"/>
          <w:lang w:val="en-US"/>
        </w:rPr>
        <w:t>2020</w:t>
      </w:r>
      <w:r w:rsidR="00714FB7" w:rsidRPr="00714FB7">
        <w:rPr>
          <w:rFonts w:ascii="Times New Roman" w:hAnsi="Times New Roman"/>
          <w:b/>
          <w:color w:val="auto"/>
          <w:sz w:val="28"/>
          <w:szCs w:val="28"/>
          <w:lang w:val="en-US"/>
        </w:rPr>
        <w:t>) and Vote</w:t>
      </w:r>
      <w:r w:rsidR="007D5072" w:rsidRPr="00714FB7">
        <w:rPr>
          <w:rFonts w:ascii="Times New Roman" w:hAnsi="Times New Roman"/>
          <w:b/>
          <w:color w:val="auto"/>
          <w:sz w:val="28"/>
          <w:szCs w:val="28"/>
          <w:lang w:val="en-US"/>
        </w:rPr>
        <w:t xml:space="preserve"> 16</w:t>
      </w:r>
      <w:r w:rsidR="00714FB7" w:rsidRPr="00714FB7">
        <w:rPr>
          <w:rFonts w:ascii="Times New Roman" w:hAnsi="Times New Roman"/>
          <w:b/>
          <w:color w:val="auto"/>
          <w:sz w:val="28"/>
          <w:szCs w:val="28"/>
          <w:lang w:val="en-US"/>
        </w:rPr>
        <w:t>, dated</w:t>
      </w:r>
      <w:r w:rsidR="00B30378" w:rsidRPr="00714FB7">
        <w:rPr>
          <w:rFonts w:ascii="Times New Roman" w:hAnsi="Times New Roman"/>
          <w:b/>
          <w:color w:val="auto"/>
          <w:sz w:val="28"/>
          <w:szCs w:val="28"/>
          <w:lang w:val="en-US"/>
        </w:rPr>
        <w:t xml:space="preserve"> </w:t>
      </w:r>
      <w:r w:rsidR="00714FB7" w:rsidRPr="00714FB7">
        <w:rPr>
          <w:rFonts w:ascii="Times New Roman" w:hAnsi="Times New Roman"/>
          <w:b/>
          <w:color w:val="auto"/>
          <w:sz w:val="28"/>
          <w:szCs w:val="28"/>
          <w:lang w:val="en-US"/>
        </w:rPr>
        <w:t xml:space="preserve">11 May 2017. </w:t>
      </w:r>
    </w:p>
    <w:p w:rsidR="007D5F79" w:rsidRPr="00714FB7" w:rsidRDefault="007D5F79" w:rsidP="00DA36FC">
      <w:pPr>
        <w:spacing w:line="360" w:lineRule="auto"/>
        <w:jc w:val="both"/>
        <w:rPr>
          <w:rFonts w:ascii="Times New Roman" w:hAnsi="Times New Roman"/>
          <w:b/>
          <w:color w:val="auto"/>
          <w:sz w:val="24"/>
          <w:szCs w:val="24"/>
          <w:lang w:val="en-US"/>
        </w:rPr>
      </w:pPr>
    </w:p>
    <w:p w:rsidR="00773871" w:rsidRPr="00714FB7" w:rsidRDefault="00FF5990" w:rsidP="00DA36FC">
      <w:pPr>
        <w:autoSpaceDE w:val="0"/>
        <w:autoSpaceDN w:val="0"/>
        <w:adjustRightInd w:val="0"/>
        <w:spacing w:line="360" w:lineRule="auto"/>
        <w:jc w:val="both"/>
        <w:rPr>
          <w:rFonts w:ascii="Times New Roman" w:hAnsi="Times New Roman"/>
          <w:color w:val="auto"/>
          <w:sz w:val="24"/>
          <w:szCs w:val="24"/>
        </w:rPr>
      </w:pPr>
      <w:r w:rsidRPr="00714FB7">
        <w:rPr>
          <w:rFonts w:ascii="Times New Roman" w:hAnsi="Times New Roman"/>
          <w:color w:val="auto"/>
          <w:sz w:val="24"/>
          <w:szCs w:val="24"/>
        </w:rPr>
        <w:t>The Portfolio Committ</w:t>
      </w:r>
      <w:r w:rsidR="00613BB6" w:rsidRPr="00714FB7">
        <w:rPr>
          <w:rFonts w:ascii="Times New Roman" w:hAnsi="Times New Roman"/>
          <w:color w:val="auto"/>
          <w:sz w:val="24"/>
          <w:szCs w:val="24"/>
        </w:rPr>
        <w:t>ee on Health</w:t>
      </w:r>
      <w:r w:rsidR="00944228" w:rsidRPr="00714FB7">
        <w:rPr>
          <w:rFonts w:ascii="Times New Roman" w:hAnsi="Times New Roman"/>
          <w:color w:val="auto"/>
          <w:sz w:val="24"/>
          <w:szCs w:val="24"/>
        </w:rPr>
        <w:t xml:space="preserve"> (the Committee)</w:t>
      </w:r>
      <w:r w:rsidR="00613BB6" w:rsidRPr="00714FB7">
        <w:rPr>
          <w:rFonts w:ascii="Times New Roman" w:hAnsi="Times New Roman"/>
          <w:color w:val="auto"/>
          <w:sz w:val="24"/>
          <w:szCs w:val="24"/>
        </w:rPr>
        <w:t xml:space="preserve">, having considered </w:t>
      </w:r>
      <w:r w:rsidR="007D5F79" w:rsidRPr="00714FB7">
        <w:rPr>
          <w:rFonts w:ascii="Times New Roman" w:hAnsi="Times New Roman"/>
          <w:color w:val="auto"/>
          <w:sz w:val="24"/>
          <w:szCs w:val="24"/>
        </w:rPr>
        <w:t xml:space="preserve">Budget Vote 16: Health, together with </w:t>
      </w:r>
      <w:r w:rsidR="00613BB6" w:rsidRPr="00714FB7">
        <w:rPr>
          <w:rFonts w:ascii="Times New Roman" w:hAnsi="Times New Roman"/>
          <w:color w:val="auto"/>
          <w:sz w:val="24"/>
          <w:szCs w:val="24"/>
        </w:rPr>
        <w:t xml:space="preserve">the </w:t>
      </w:r>
      <w:r w:rsidRPr="00714FB7">
        <w:rPr>
          <w:rFonts w:ascii="Times New Roman" w:hAnsi="Times New Roman"/>
          <w:color w:val="auto"/>
          <w:sz w:val="24"/>
          <w:szCs w:val="24"/>
        </w:rPr>
        <w:t>Annual Performance Plan</w:t>
      </w:r>
      <w:r w:rsidR="00D86349" w:rsidRPr="00714FB7">
        <w:rPr>
          <w:rFonts w:ascii="Times New Roman" w:hAnsi="Times New Roman"/>
          <w:color w:val="auto"/>
          <w:sz w:val="24"/>
          <w:szCs w:val="24"/>
        </w:rPr>
        <w:t xml:space="preserve"> (APP)</w:t>
      </w:r>
      <w:r w:rsidRPr="00714FB7">
        <w:rPr>
          <w:rFonts w:ascii="Times New Roman" w:hAnsi="Times New Roman"/>
          <w:color w:val="auto"/>
          <w:sz w:val="24"/>
          <w:szCs w:val="24"/>
        </w:rPr>
        <w:t xml:space="preserve"> of the Department of Health</w:t>
      </w:r>
      <w:r w:rsidR="00B15F43" w:rsidRPr="00714FB7">
        <w:rPr>
          <w:rFonts w:ascii="Times New Roman" w:hAnsi="Times New Roman"/>
          <w:color w:val="auto"/>
          <w:sz w:val="24"/>
          <w:szCs w:val="24"/>
        </w:rPr>
        <w:t xml:space="preserve"> </w:t>
      </w:r>
      <w:r w:rsidR="00E342FE" w:rsidRPr="00714FB7">
        <w:rPr>
          <w:rFonts w:ascii="Times New Roman" w:hAnsi="Times New Roman"/>
          <w:color w:val="auto"/>
          <w:sz w:val="24"/>
          <w:szCs w:val="24"/>
        </w:rPr>
        <w:t xml:space="preserve">(the Department) </w:t>
      </w:r>
      <w:r w:rsidR="00B15F43" w:rsidRPr="00714FB7">
        <w:rPr>
          <w:rFonts w:ascii="Times New Roman" w:hAnsi="Times New Roman"/>
          <w:color w:val="auto"/>
          <w:sz w:val="24"/>
          <w:szCs w:val="24"/>
        </w:rPr>
        <w:t xml:space="preserve">and its </w:t>
      </w:r>
      <w:r w:rsidR="007D5F79" w:rsidRPr="00714FB7">
        <w:rPr>
          <w:rFonts w:ascii="Times New Roman" w:hAnsi="Times New Roman"/>
          <w:color w:val="auto"/>
          <w:sz w:val="24"/>
          <w:szCs w:val="24"/>
        </w:rPr>
        <w:t xml:space="preserve">five </w:t>
      </w:r>
      <w:r w:rsidR="00B15F43" w:rsidRPr="00714FB7">
        <w:rPr>
          <w:rFonts w:ascii="Times New Roman" w:hAnsi="Times New Roman"/>
          <w:color w:val="auto"/>
          <w:sz w:val="24"/>
          <w:szCs w:val="24"/>
        </w:rPr>
        <w:t>entities (</w:t>
      </w:r>
      <w:r w:rsidR="00302A94" w:rsidRPr="00714FB7">
        <w:rPr>
          <w:rFonts w:ascii="Times New Roman" w:hAnsi="Times New Roman"/>
          <w:color w:val="auto"/>
          <w:sz w:val="24"/>
          <w:szCs w:val="24"/>
        </w:rPr>
        <w:t xml:space="preserve">South African </w:t>
      </w:r>
      <w:r w:rsidR="00613BB6" w:rsidRPr="00714FB7">
        <w:rPr>
          <w:rFonts w:ascii="Times New Roman" w:hAnsi="Times New Roman"/>
          <w:color w:val="auto"/>
          <w:sz w:val="24"/>
          <w:szCs w:val="24"/>
        </w:rPr>
        <w:t>Medical Research Council,</w:t>
      </w:r>
      <w:r w:rsidR="00573EA3" w:rsidRPr="00714FB7">
        <w:rPr>
          <w:rFonts w:ascii="Times New Roman" w:hAnsi="Times New Roman"/>
          <w:color w:val="auto"/>
          <w:sz w:val="24"/>
          <w:szCs w:val="24"/>
        </w:rPr>
        <w:t xml:space="preserve"> National Health Laboratory Services, Office of Health Standards Compliance, Council for Medical Schemes and Compensation Commissioner for Occupational Diseases</w:t>
      </w:r>
      <w:r w:rsidR="007D5F79" w:rsidRPr="00714FB7">
        <w:rPr>
          <w:rFonts w:ascii="Times New Roman" w:hAnsi="Times New Roman"/>
          <w:color w:val="auto"/>
          <w:sz w:val="24"/>
          <w:szCs w:val="24"/>
        </w:rPr>
        <w:t>)</w:t>
      </w:r>
      <w:r w:rsidR="004E6745" w:rsidRPr="00714FB7">
        <w:rPr>
          <w:rFonts w:ascii="Times New Roman" w:hAnsi="Times New Roman"/>
          <w:color w:val="auto"/>
          <w:sz w:val="24"/>
          <w:szCs w:val="24"/>
        </w:rPr>
        <w:t>,</w:t>
      </w:r>
      <w:r w:rsidRPr="00714FB7">
        <w:rPr>
          <w:rFonts w:ascii="Times New Roman" w:hAnsi="Times New Roman"/>
          <w:color w:val="auto"/>
          <w:sz w:val="24"/>
          <w:szCs w:val="24"/>
        </w:rPr>
        <w:t xml:space="preserve"> reports as follows:</w:t>
      </w:r>
    </w:p>
    <w:p w:rsidR="00190806" w:rsidRPr="00714FB7" w:rsidRDefault="00190806" w:rsidP="00190806">
      <w:pPr>
        <w:autoSpaceDE w:val="0"/>
        <w:autoSpaceDN w:val="0"/>
        <w:adjustRightInd w:val="0"/>
        <w:spacing w:line="360" w:lineRule="auto"/>
        <w:jc w:val="both"/>
        <w:rPr>
          <w:rFonts w:ascii="Times New Roman" w:hAnsi="Times New Roman"/>
          <w:color w:val="auto"/>
          <w:sz w:val="24"/>
          <w:szCs w:val="24"/>
        </w:rPr>
      </w:pPr>
    </w:p>
    <w:p w:rsidR="00422827" w:rsidRPr="00714FB7" w:rsidRDefault="00635C48" w:rsidP="00BA17D2">
      <w:pPr>
        <w:numPr>
          <w:ilvl w:val="0"/>
          <w:numId w:val="1"/>
        </w:numPr>
        <w:autoSpaceDE w:val="0"/>
        <w:autoSpaceDN w:val="0"/>
        <w:adjustRightInd w:val="0"/>
        <w:spacing w:line="360" w:lineRule="auto"/>
        <w:jc w:val="both"/>
        <w:rPr>
          <w:rFonts w:ascii="Times New Roman" w:hAnsi="Times New Roman"/>
          <w:color w:val="auto"/>
          <w:sz w:val="24"/>
          <w:szCs w:val="24"/>
        </w:rPr>
      </w:pPr>
      <w:r w:rsidRPr="00714FB7">
        <w:rPr>
          <w:rFonts w:ascii="Times New Roman" w:hAnsi="Times New Roman"/>
          <w:b/>
          <w:color w:val="auto"/>
          <w:sz w:val="24"/>
          <w:szCs w:val="24"/>
          <w:lang w:val="en-US"/>
        </w:rPr>
        <w:t xml:space="preserve">INTRODUCTION </w:t>
      </w:r>
    </w:p>
    <w:p w:rsidR="00B74F4B" w:rsidRPr="00714FB7" w:rsidRDefault="00B74F4B" w:rsidP="00DA36FC">
      <w:pPr>
        <w:pStyle w:val="ListParagraph"/>
        <w:autoSpaceDE w:val="0"/>
        <w:autoSpaceDN w:val="0"/>
        <w:adjustRightInd w:val="0"/>
        <w:spacing w:line="360" w:lineRule="auto"/>
        <w:ind w:left="0"/>
        <w:jc w:val="both"/>
        <w:rPr>
          <w:rFonts w:ascii="Times New Roman" w:hAnsi="Times New Roman"/>
          <w:b/>
          <w:color w:val="auto"/>
          <w:sz w:val="24"/>
          <w:szCs w:val="24"/>
          <w:lang w:val="en-US"/>
        </w:rPr>
      </w:pPr>
    </w:p>
    <w:p w:rsidR="00176FE0" w:rsidRPr="00714FB7" w:rsidRDefault="00CA18EB" w:rsidP="00DA36FC">
      <w:pPr>
        <w:pStyle w:val="ListParagraph"/>
        <w:autoSpaceDE w:val="0"/>
        <w:autoSpaceDN w:val="0"/>
        <w:adjustRightInd w:val="0"/>
        <w:spacing w:line="360" w:lineRule="auto"/>
        <w:ind w:left="0"/>
        <w:jc w:val="both"/>
        <w:rPr>
          <w:rFonts w:ascii="Times New Roman" w:hAnsi="Times New Roman"/>
          <w:color w:val="auto"/>
          <w:spacing w:val="0"/>
          <w:sz w:val="24"/>
          <w:szCs w:val="24"/>
          <w:lang w:val="en-ZA" w:eastAsia="en-ZA"/>
        </w:rPr>
      </w:pPr>
      <w:r w:rsidRPr="00714FB7">
        <w:rPr>
          <w:rFonts w:ascii="Times New Roman" w:hAnsi="Times New Roman"/>
          <w:color w:val="auto"/>
          <w:spacing w:val="0"/>
          <w:sz w:val="24"/>
          <w:szCs w:val="24"/>
          <w:lang w:val="en-ZA" w:eastAsia="en-ZA"/>
        </w:rPr>
        <w:t xml:space="preserve">The Constitution of South Africa (Act No. 108 of 1996) recognizes that </w:t>
      </w:r>
      <w:r w:rsidR="00A30E03" w:rsidRPr="00714FB7">
        <w:rPr>
          <w:rFonts w:ascii="Times New Roman" w:hAnsi="Times New Roman"/>
          <w:color w:val="auto"/>
          <w:spacing w:val="0"/>
          <w:sz w:val="24"/>
          <w:szCs w:val="24"/>
          <w:lang w:val="en-ZA" w:eastAsia="en-ZA"/>
        </w:rPr>
        <w:t>Parliament</w:t>
      </w:r>
      <w:r w:rsidRPr="00714FB7">
        <w:rPr>
          <w:rFonts w:ascii="Times New Roman" w:hAnsi="Times New Roman"/>
          <w:color w:val="auto"/>
          <w:spacing w:val="0"/>
          <w:sz w:val="24"/>
          <w:szCs w:val="24"/>
          <w:lang w:val="en-ZA" w:eastAsia="en-ZA"/>
        </w:rPr>
        <w:t xml:space="preserve"> has an important role to play in overseeing the performance of government departments and public entities. </w:t>
      </w:r>
    </w:p>
    <w:p w:rsidR="00944228" w:rsidRPr="00714FB7" w:rsidRDefault="00944228" w:rsidP="00DA36FC">
      <w:pPr>
        <w:pStyle w:val="ListParagraph"/>
        <w:autoSpaceDE w:val="0"/>
        <w:autoSpaceDN w:val="0"/>
        <w:adjustRightInd w:val="0"/>
        <w:spacing w:line="360" w:lineRule="auto"/>
        <w:ind w:left="0"/>
        <w:jc w:val="both"/>
        <w:rPr>
          <w:rFonts w:ascii="Times New Roman" w:hAnsi="Times New Roman"/>
          <w:color w:val="auto"/>
          <w:spacing w:val="0"/>
          <w:sz w:val="24"/>
          <w:szCs w:val="24"/>
          <w:lang w:val="en-ZA" w:eastAsia="en-ZA"/>
        </w:rPr>
      </w:pPr>
    </w:p>
    <w:p w:rsidR="00CA18EB" w:rsidRPr="00714FB7" w:rsidRDefault="00944228" w:rsidP="00DA36FC">
      <w:pPr>
        <w:spacing w:line="360" w:lineRule="auto"/>
        <w:jc w:val="both"/>
        <w:rPr>
          <w:rFonts w:ascii="Times New Roman" w:hAnsi="Times New Roman"/>
          <w:color w:val="auto"/>
          <w:spacing w:val="0"/>
          <w:sz w:val="24"/>
          <w:szCs w:val="24"/>
          <w:lang w:val="en-ZA" w:eastAsia="en-ZA"/>
        </w:rPr>
      </w:pPr>
      <w:r w:rsidRPr="00714FB7">
        <w:rPr>
          <w:rFonts w:ascii="Times New Roman" w:hAnsi="Times New Roman"/>
          <w:color w:val="auto"/>
          <w:spacing w:val="0"/>
          <w:sz w:val="24"/>
          <w:szCs w:val="24"/>
          <w:lang w:val="en-ZA" w:eastAsia="en-ZA"/>
        </w:rPr>
        <w:t>This report gives a brief summary of the presentation made by the Department to the Committee</w:t>
      </w:r>
      <w:r w:rsidR="00BA6445" w:rsidRPr="00714FB7">
        <w:rPr>
          <w:rFonts w:ascii="Times New Roman" w:hAnsi="Times New Roman"/>
          <w:color w:val="auto"/>
          <w:spacing w:val="0"/>
          <w:sz w:val="24"/>
          <w:szCs w:val="24"/>
          <w:lang w:val="en-ZA" w:eastAsia="en-ZA"/>
        </w:rPr>
        <w:t xml:space="preserve"> focusing on </w:t>
      </w:r>
      <w:r w:rsidR="00E342FE" w:rsidRPr="00714FB7">
        <w:rPr>
          <w:rFonts w:ascii="Times New Roman" w:hAnsi="Times New Roman"/>
          <w:color w:val="auto"/>
          <w:spacing w:val="0"/>
          <w:sz w:val="24"/>
          <w:szCs w:val="24"/>
          <w:lang w:val="en-ZA" w:eastAsia="en-ZA"/>
        </w:rPr>
        <w:t xml:space="preserve">its </w:t>
      </w:r>
      <w:r w:rsidR="00BA6445" w:rsidRPr="00714FB7">
        <w:rPr>
          <w:rFonts w:ascii="Times New Roman" w:hAnsi="Times New Roman"/>
          <w:color w:val="auto"/>
          <w:spacing w:val="0"/>
          <w:sz w:val="24"/>
          <w:szCs w:val="24"/>
          <w:lang w:val="en-ZA" w:eastAsia="en-ZA"/>
        </w:rPr>
        <w:t>201</w:t>
      </w:r>
      <w:r w:rsidR="00573EA3" w:rsidRPr="00714FB7">
        <w:rPr>
          <w:rFonts w:ascii="Times New Roman" w:hAnsi="Times New Roman"/>
          <w:color w:val="auto"/>
          <w:spacing w:val="0"/>
          <w:sz w:val="24"/>
          <w:szCs w:val="24"/>
          <w:lang w:val="en-ZA" w:eastAsia="en-ZA"/>
        </w:rPr>
        <w:t>7</w:t>
      </w:r>
      <w:r w:rsidR="00BA6445" w:rsidRPr="00714FB7">
        <w:rPr>
          <w:rFonts w:ascii="Times New Roman" w:hAnsi="Times New Roman"/>
          <w:color w:val="auto"/>
          <w:spacing w:val="0"/>
          <w:sz w:val="24"/>
          <w:szCs w:val="24"/>
          <w:lang w:val="en-ZA" w:eastAsia="en-ZA"/>
        </w:rPr>
        <w:t>/1</w:t>
      </w:r>
      <w:r w:rsidR="00573EA3" w:rsidRPr="00714FB7">
        <w:rPr>
          <w:rFonts w:ascii="Times New Roman" w:hAnsi="Times New Roman"/>
          <w:color w:val="auto"/>
          <w:spacing w:val="0"/>
          <w:sz w:val="24"/>
          <w:szCs w:val="24"/>
          <w:lang w:val="en-ZA" w:eastAsia="en-ZA"/>
        </w:rPr>
        <w:t xml:space="preserve">8 </w:t>
      </w:r>
      <w:r w:rsidR="00BA6445" w:rsidRPr="00714FB7">
        <w:rPr>
          <w:rFonts w:ascii="Times New Roman" w:hAnsi="Times New Roman"/>
          <w:color w:val="auto"/>
          <w:spacing w:val="0"/>
          <w:sz w:val="24"/>
          <w:szCs w:val="24"/>
          <w:lang w:val="en-ZA" w:eastAsia="en-ZA"/>
        </w:rPr>
        <w:t>Annual Performance Plan</w:t>
      </w:r>
      <w:r w:rsidR="00651B61" w:rsidRPr="00714FB7">
        <w:rPr>
          <w:rFonts w:ascii="Times New Roman" w:hAnsi="Times New Roman"/>
          <w:color w:val="auto"/>
          <w:spacing w:val="0"/>
          <w:sz w:val="24"/>
          <w:szCs w:val="24"/>
          <w:lang w:val="en-ZA" w:eastAsia="en-ZA"/>
        </w:rPr>
        <w:t xml:space="preserve"> (APP)</w:t>
      </w:r>
      <w:r w:rsidR="00BA6445" w:rsidRPr="00714FB7">
        <w:rPr>
          <w:rFonts w:ascii="Times New Roman" w:hAnsi="Times New Roman"/>
          <w:color w:val="auto"/>
          <w:spacing w:val="0"/>
          <w:sz w:val="24"/>
          <w:szCs w:val="24"/>
          <w:lang w:val="en-ZA" w:eastAsia="en-ZA"/>
        </w:rPr>
        <w:t xml:space="preserve"> and</w:t>
      </w:r>
      <w:r w:rsidR="00B91A91" w:rsidRPr="00714FB7">
        <w:rPr>
          <w:rFonts w:ascii="Times New Roman" w:hAnsi="Times New Roman"/>
          <w:color w:val="auto"/>
          <w:spacing w:val="0"/>
          <w:sz w:val="24"/>
          <w:szCs w:val="24"/>
          <w:lang w:val="en-ZA" w:eastAsia="en-ZA"/>
        </w:rPr>
        <w:t xml:space="preserve"> 2019</w:t>
      </w:r>
      <w:r w:rsidR="00847794" w:rsidRPr="00714FB7">
        <w:rPr>
          <w:rFonts w:ascii="Times New Roman" w:hAnsi="Times New Roman"/>
          <w:color w:val="auto"/>
          <w:spacing w:val="0"/>
          <w:sz w:val="24"/>
          <w:szCs w:val="24"/>
          <w:lang w:val="en-ZA" w:eastAsia="en-ZA"/>
        </w:rPr>
        <w:t>/20</w:t>
      </w:r>
      <w:r w:rsidR="00BA6445" w:rsidRPr="00714FB7">
        <w:rPr>
          <w:rFonts w:ascii="Times New Roman" w:hAnsi="Times New Roman"/>
          <w:color w:val="auto"/>
          <w:spacing w:val="0"/>
          <w:sz w:val="24"/>
          <w:szCs w:val="24"/>
          <w:lang w:val="en-ZA" w:eastAsia="en-ZA"/>
        </w:rPr>
        <w:t xml:space="preserve"> </w:t>
      </w:r>
      <w:r w:rsidR="00EB2AFA" w:rsidRPr="00714FB7">
        <w:rPr>
          <w:rFonts w:ascii="Times New Roman" w:hAnsi="Times New Roman"/>
          <w:color w:val="auto"/>
          <w:spacing w:val="0"/>
          <w:sz w:val="24"/>
          <w:szCs w:val="24"/>
          <w:lang w:val="en-ZA" w:eastAsia="en-ZA"/>
        </w:rPr>
        <w:t>Medium-Term Expenditure Framework (</w:t>
      </w:r>
      <w:r w:rsidR="00BA6445" w:rsidRPr="00714FB7">
        <w:rPr>
          <w:rFonts w:ascii="Times New Roman" w:hAnsi="Times New Roman"/>
          <w:color w:val="auto"/>
          <w:spacing w:val="0"/>
          <w:sz w:val="24"/>
          <w:szCs w:val="24"/>
          <w:lang w:val="en-ZA" w:eastAsia="en-ZA"/>
        </w:rPr>
        <w:t>MTE</w:t>
      </w:r>
      <w:r w:rsidR="007F2328" w:rsidRPr="00714FB7">
        <w:rPr>
          <w:rFonts w:ascii="Times New Roman" w:hAnsi="Times New Roman"/>
          <w:color w:val="auto"/>
          <w:spacing w:val="0"/>
          <w:sz w:val="24"/>
          <w:szCs w:val="24"/>
          <w:lang w:val="en-ZA" w:eastAsia="en-ZA"/>
        </w:rPr>
        <w:t>F</w:t>
      </w:r>
      <w:r w:rsidR="00EB2AFA" w:rsidRPr="00714FB7">
        <w:rPr>
          <w:rFonts w:ascii="Times New Roman" w:hAnsi="Times New Roman"/>
          <w:color w:val="auto"/>
          <w:spacing w:val="0"/>
          <w:sz w:val="24"/>
          <w:szCs w:val="24"/>
          <w:lang w:val="en-ZA" w:eastAsia="en-ZA"/>
        </w:rPr>
        <w:t>)</w:t>
      </w:r>
      <w:r w:rsidR="00BA6445" w:rsidRPr="00714FB7">
        <w:rPr>
          <w:rFonts w:ascii="Times New Roman" w:hAnsi="Times New Roman"/>
          <w:color w:val="auto"/>
          <w:spacing w:val="0"/>
          <w:sz w:val="24"/>
          <w:szCs w:val="24"/>
          <w:lang w:val="en-ZA" w:eastAsia="en-ZA"/>
        </w:rPr>
        <w:t xml:space="preserve"> allocations and an overview of the </w:t>
      </w:r>
      <w:r w:rsidR="007F2328" w:rsidRPr="00714FB7">
        <w:rPr>
          <w:rFonts w:ascii="Times New Roman" w:hAnsi="Times New Roman"/>
          <w:color w:val="auto"/>
          <w:spacing w:val="0"/>
          <w:sz w:val="24"/>
          <w:szCs w:val="24"/>
          <w:lang w:val="en-ZA" w:eastAsia="en-ZA"/>
        </w:rPr>
        <w:t>allocations</w:t>
      </w:r>
      <w:r w:rsidR="00BA6445" w:rsidRPr="00714FB7">
        <w:rPr>
          <w:rFonts w:ascii="Times New Roman" w:hAnsi="Times New Roman"/>
          <w:color w:val="auto"/>
          <w:spacing w:val="0"/>
          <w:sz w:val="24"/>
          <w:szCs w:val="24"/>
          <w:lang w:val="en-ZA" w:eastAsia="en-ZA"/>
        </w:rPr>
        <w:t xml:space="preserve"> per programme. </w:t>
      </w:r>
      <w:r w:rsidR="00C3399F" w:rsidRPr="00714FB7">
        <w:rPr>
          <w:rFonts w:ascii="Times New Roman" w:hAnsi="Times New Roman"/>
          <w:color w:val="auto"/>
          <w:spacing w:val="0"/>
          <w:sz w:val="24"/>
          <w:szCs w:val="24"/>
          <w:lang w:val="en-ZA" w:eastAsia="en-ZA"/>
        </w:rPr>
        <w:t>The</w:t>
      </w:r>
      <w:r w:rsidR="000C551E" w:rsidRPr="00714FB7">
        <w:rPr>
          <w:rFonts w:ascii="Times New Roman" w:hAnsi="Times New Roman"/>
          <w:color w:val="auto"/>
          <w:spacing w:val="0"/>
          <w:sz w:val="24"/>
          <w:szCs w:val="24"/>
          <w:lang w:val="en-ZA" w:eastAsia="en-ZA"/>
        </w:rPr>
        <w:t xml:space="preserve"> Committe</w:t>
      </w:r>
      <w:r w:rsidR="00BA10A2" w:rsidRPr="00714FB7">
        <w:rPr>
          <w:rFonts w:ascii="Times New Roman" w:hAnsi="Times New Roman"/>
          <w:color w:val="auto"/>
          <w:spacing w:val="0"/>
          <w:sz w:val="24"/>
          <w:szCs w:val="24"/>
          <w:lang w:val="en-ZA" w:eastAsia="en-ZA"/>
        </w:rPr>
        <w:t xml:space="preserve">e </w:t>
      </w:r>
      <w:r w:rsidR="00C3399F" w:rsidRPr="00714FB7">
        <w:rPr>
          <w:rFonts w:ascii="Times New Roman" w:hAnsi="Times New Roman"/>
          <w:color w:val="auto"/>
          <w:spacing w:val="0"/>
          <w:sz w:val="24"/>
          <w:szCs w:val="24"/>
          <w:lang w:val="en-ZA" w:eastAsia="en-ZA"/>
        </w:rPr>
        <w:t xml:space="preserve">also </w:t>
      </w:r>
      <w:r w:rsidR="00E342FE" w:rsidRPr="00714FB7">
        <w:rPr>
          <w:rFonts w:ascii="Times New Roman" w:hAnsi="Times New Roman"/>
          <w:color w:val="auto"/>
          <w:spacing w:val="0"/>
          <w:sz w:val="24"/>
          <w:szCs w:val="24"/>
          <w:lang w:val="en-ZA" w:eastAsia="en-ZA"/>
        </w:rPr>
        <w:t xml:space="preserve">received presentations on </w:t>
      </w:r>
      <w:r w:rsidR="00DD6060" w:rsidRPr="00714FB7">
        <w:rPr>
          <w:rFonts w:ascii="Times New Roman" w:hAnsi="Times New Roman"/>
          <w:color w:val="auto"/>
          <w:spacing w:val="0"/>
          <w:sz w:val="24"/>
          <w:szCs w:val="24"/>
          <w:lang w:val="en-ZA" w:eastAsia="en-ZA"/>
        </w:rPr>
        <w:t xml:space="preserve">revised strategic plans </w:t>
      </w:r>
      <w:r w:rsidR="00963AE7" w:rsidRPr="00714FB7">
        <w:rPr>
          <w:rFonts w:ascii="Times New Roman" w:hAnsi="Times New Roman"/>
          <w:color w:val="auto"/>
          <w:spacing w:val="0"/>
          <w:sz w:val="24"/>
          <w:szCs w:val="24"/>
          <w:lang w:val="en-ZA" w:eastAsia="en-ZA"/>
        </w:rPr>
        <w:t>and APPs</w:t>
      </w:r>
      <w:r w:rsidR="00B91A91" w:rsidRPr="00714FB7">
        <w:rPr>
          <w:rFonts w:ascii="Times New Roman" w:hAnsi="Times New Roman"/>
          <w:color w:val="auto"/>
          <w:spacing w:val="0"/>
          <w:sz w:val="24"/>
          <w:szCs w:val="24"/>
          <w:lang w:val="en-ZA" w:eastAsia="en-ZA"/>
        </w:rPr>
        <w:t xml:space="preserve"> of entities</w:t>
      </w:r>
      <w:r w:rsidR="00D86349" w:rsidRPr="00714FB7">
        <w:rPr>
          <w:rFonts w:ascii="Times New Roman" w:hAnsi="Times New Roman"/>
          <w:color w:val="auto"/>
          <w:spacing w:val="0"/>
          <w:sz w:val="24"/>
          <w:szCs w:val="24"/>
          <w:lang w:val="en-ZA" w:eastAsia="en-ZA"/>
        </w:rPr>
        <w:t xml:space="preserve"> </w:t>
      </w:r>
      <w:r w:rsidR="00E342FE" w:rsidRPr="00714FB7">
        <w:rPr>
          <w:rFonts w:ascii="Times New Roman" w:hAnsi="Times New Roman"/>
          <w:color w:val="auto"/>
          <w:spacing w:val="0"/>
          <w:sz w:val="24"/>
          <w:szCs w:val="24"/>
          <w:lang w:val="en-ZA" w:eastAsia="en-ZA"/>
        </w:rPr>
        <w:t xml:space="preserve">including their respective </w:t>
      </w:r>
      <w:r w:rsidR="00C3399F" w:rsidRPr="00714FB7">
        <w:rPr>
          <w:rFonts w:ascii="Times New Roman" w:hAnsi="Times New Roman"/>
          <w:color w:val="auto"/>
          <w:spacing w:val="0"/>
          <w:sz w:val="24"/>
          <w:szCs w:val="24"/>
          <w:lang w:val="en-ZA" w:eastAsia="en-ZA"/>
        </w:rPr>
        <w:t xml:space="preserve">budget </w:t>
      </w:r>
      <w:r w:rsidR="00B91A91" w:rsidRPr="00714FB7">
        <w:rPr>
          <w:rFonts w:ascii="Times New Roman" w:hAnsi="Times New Roman"/>
          <w:color w:val="auto"/>
          <w:spacing w:val="0"/>
          <w:sz w:val="24"/>
          <w:szCs w:val="24"/>
          <w:lang w:val="en-ZA" w:eastAsia="en-ZA"/>
        </w:rPr>
        <w:t xml:space="preserve">needs and </w:t>
      </w:r>
      <w:r w:rsidR="00C3399F" w:rsidRPr="00714FB7">
        <w:rPr>
          <w:rFonts w:ascii="Times New Roman" w:hAnsi="Times New Roman"/>
          <w:color w:val="auto"/>
          <w:spacing w:val="0"/>
          <w:sz w:val="24"/>
          <w:szCs w:val="24"/>
          <w:lang w:val="en-ZA" w:eastAsia="en-ZA"/>
        </w:rPr>
        <w:t>allocation</w:t>
      </w:r>
      <w:r w:rsidR="00E342FE" w:rsidRPr="00714FB7">
        <w:rPr>
          <w:rFonts w:ascii="Times New Roman" w:hAnsi="Times New Roman"/>
          <w:color w:val="auto"/>
          <w:spacing w:val="0"/>
          <w:sz w:val="24"/>
          <w:szCs w:val="24"/>
          <w:lang w:val="en-ZA" w:eastAsia="en-ZA"/>
        </w:rPr>
        <w:t>s</w:t>
      </w:r>
      <w:r w:rsidR="00C3399F" w:rsidRPr="00714FB7">
        <w:rPr>
          <w:rFonts w:ascii="Times New Roman" w:hAnsi="Times New Roman"/>
          <w:color w:val="auto"/>
          <w:spacing w:val="0"/>
          <w:sz w:val="24"/>
          <w:szCs w:val="24"/>
          <w:lang w:val="en-ZA" w:eastAsia="en-ZA"/>
        </w:rPr>
        <w:t>. In addition</w:t>
      </w:r>
      <w:r w:rsidR="002465EB" w:rsidRPr="00714FB7">
        <w:rPr>
          <w:rFonts w:ascii="Times New Roman" w:hAnsi="Times New Roman"/>
          <w:color w:val="auto"/>
          <w:spacing w:val="0"/>
          <w:sz w:val="24"/>
          <w:szCs w:val="24"/>
          <w:lang w:val="en-ZA" w:eastAsia="en-ZA"/>
        </w:rPr>
        <w:t>,</w:t>
      </w:r>
      <w:r w:rsidR="00C3399F" w:rsidRPr="00714FB7">
        <w:rPr>
          <w:rFonts w:ascii="Times New Roman" w:hAnsi="Times New Roman"/>
          <w:color w:val="auto"/>
          <w:spacing w:val="0"/>
          <w:sz w:val="24"/>
          <w:szCs w:val="24"/>
          <w:lang w:val="en-ZA" w:eastAsia="en-ZA"/>
        </w:rPr>
        <w:t xml:space="preserve"> the Committee</w:t>
      </w:r>
      <w:r w:rsidR="00D86349" w:rsidRPr="00714FB7">
        <w:rPr>
          <w:rFonts w:ascii="Times New Roman" w:hAnsi="Times New Roman"/>
          <w:color w:val="auto"/>
          <w:spacing w:val="0"/>
          <w:sz w:val="24"/>
          <w:szCs w:val="24"/>
          <w:lang w:val="en-ZA" w:eastAsia="en-ZA"/>
        </w:rPr>
        <w:t xml:space="preserve"> received presentation</w:t>
      </w:r>
      <w:r w:rsidR="00847794" w:rsidRPr="00714FB7">
        <w:rPr>
          <w:rFonts w:ascii="Times New Roman" w:hAnsi="Times New Roman"/>
          <w:color w:val="auto"/>
          <w:spacing w:val="0"/>
          <w:sz w:val="24"/>
          <w:szCs w:val="24"/>
          <w:lang w:val="en-ZA" w:eastAsia="en-ZA"/>
        </w:rPr>
        <w:t>s</w:t>
      </w:r>
      <w:r w:rsidR="00D86349" w:rsidRPr="00714FB7">
        <w:rPr>
          <w:rFonts w:ascii="Times New Roman" w:hAnsi="Times New Roman"/>
          <w:color w:val="auto"/>
          <w:spacing w:val="0"/>
          <w:sz w:val="24"/>
          <w:szCs w:val="24"/>
          <w:lang w:val="en-ZA" w:eastAsia="en-ZA"/>
        </w:rPr>
        <w:t xml:space="preserve"> </w:t>
      </w:r>
      <w:r w:rsidR="007F1B7C" w:rsidRPr="00714FB7">
        <w:rPr>
          <w:rFonts w:ascii="Times New Roman" w:hAnsi="Times New Roman"/>
          <w:color w:val="auto"/>
          <w:spacing w:val="0"/>
          <w:sz w:val="24"/>
          <w:szCs w:val="24"/>
          <w:lang w:val="en-ZA" w:eastAsia="en-ZA"/>
        </w:rPr>
        <w:t xml:space="preserve">from </w:t>
      </w:r>
      <w:r w:rsidR="005A1449" w:rsidRPr="00714FB7">
        <w:rPr>
          <w:rFonts w:ascii="Times New Roman" w:hAnsi="Times New Roman"/>
          <w:color w:val="auto"/>
          <w:spacing w:val="0"/>
          <w:sz w:val="24"/>
          <w:szCs w:val="24"/>
          <w:lang w:val="en-ZA" w:eastAsia="en-ZA"/>
        </w:rPr>
        <w:t>the</w:t>
      </w:r>
      <w:r w:rsidR="00BA10A2" w:rsidRPr="00714FB7">
        <w:rPr>
          <w:rFonts w:ascii="Times New Roman" w:hAnsi="Times New Roman"/>
          <w:color w:val="auto"/>
          <w:spacing w:val="0"/>
          <w:sz w:val="24"/>
          <w:szCs w:val="24"/>
          <w:lang w:val="en-ZA" w:eastAsia="en-ZA"/>
        </w:rPr>
        <w:t xml:space="preserve"> </w:t>
      </w:r>
      <w:r w:rsidR="00963AE7" w:rsidRPr="00714FB7">
        <w:rPr>
          <w:rFonts w:ascii="Times New Roman" w:hAnsi="Times New Roman"/>
          <w:color w:val="auto"/>
          <w:spacing w:val="0"/>
          <w:sz w:val="24"/>
          <w:szCs w:val="24"/>
          <w:lang w:val="en-ZA" w:eastAsia="en-ZA"/>
        </w:rPr>
        <w:t xml:space="preserve">Auditor General South Africa (AGSA), </w:t>
      </w:r>
      <w:r w:rsidR="00BA10A2" w:rsidRPr="00714FB7">
        <w:rPr>
          <w:rFonts w:ascii="Times New Roman" w:hAnsi="Times New Roman"/>
          <w:color w:val="auto"/>
          <w:spacing w:val="0"/>
          <w:sz w:val="24"/>
          <w:szCs w:val="24"/>
          <w:lang w:val="en-ZA" w:eastAsia="en-ZA"/>
        </w:rPr>
        <w:t>Financial and Fiscal Commission</w:t>
      </w:r>
      <w:r w:rsidR="00963AE7" w:rsidRPr="00714FB7">
        <w:rPr>
          <w:rFonts w:ascii="Times New Roman" w:hAnsi="Times New Roman"/>
          <w:color w:val="auto"/>
          <w:spacing w:val="0"/>
          <w:sz w:val="24"/>
          <w:szCs w:val="24"/>
          <w:lang w:val="en-ZA" w:eastAsia="en-ZA"/>
        </w:rPr>
        <w:t xml:space="preserve"> (FFC) and Stat</w:t>
      </w:r>
      <w:r w:rsidR="00847794" w:rsidRPr="00714FB7">
        <w:rPr>
          <w:rFonts w:ascii="Times New Roman" w:hAnsi="Times New Roman"/>
          <w:color w:val="auto"/>
          <w:spacing w:val="0"/>
          <w:sz w:val="24"/>
          <w:szCs w:val="24"/>
          <w:lang w:val="en-ZA" w:eastAsia="en-ZA"/>
        </w:rPr>
        <w:t>i</w:t>
      </w:r>
      <w:r w:rsidR="00963AE7" w:rsidRPr="00714FB7">
        <w:rPr>
          <w:rFonts w:ascii="Times New Roman" w:hAnsi="Times New Roman"/>
          <w:color w:val="auto"/>
          <w:spacing w:val="0"/>
          <w:sz w:val="24"/>
          <w:szCs w:val="24"/>
          <w:lang w:val="en-ZA" w:eastAsia="en-ZA"/>
        </w:rPr>
        <w:t>s</w:t>
      </w:r>
      <w:r w:rsidR="00847794" w:rsidRPr="00714FB7">
        <w:rPr>
          <w:rFonts w:ascii="Times New Roman" w:hAnsi="Times New Roman"/>
          <w:color w:val="auto"/>
          <w:spacing w:val="0"/>
          <w:sz w:val="24"/>
          <w:szCs w:val="24"/>
          <w:lang w:val="en-ZA" w:eastAsia="en-ZA"/>
        </w:rPr>
        <w:t>tics</w:t>
      </w:r>
      <w:r w:rsidR="00963AE7" w:rsidRPr="00714FB7">
        <w:rPr>
          <w:rFonts w:ascii="Times New Roman" w:hAnsi="Times New Roman"/>
          <w:color w:val="auto"/>
          <w:spacing w:val="0"/>
          <w:sz w:val="24"/>
          <w:szCs w:val="24"/>
          <w:lang w:val="en-ZA" w:eastAsia="en-ZA"/>
        </w:rPr>
        <w:t xml:space="preserve"> </w:t>
      </w:r>
      <w:r w:rsidR="00847794" w:rsidRPr="00714FB7">
        <w:rPr>
          <w:rFonts w:ascii="Times New Roman" w:hAnsi="Times New Roman"/>
          <w:color w:val="auto"/>
          <w:spacing w:val="0"/>
          <w:sz w:val="24"/>
          <w:szCs w:val="24"/>
          <w:lang w:val="en-ZA" w:eastAsia="en-ZA"/>
        </w:rPr>
        <w:t xml:space="preserve">South </w:t>
      </w:r>
      <w:r w:rsidR="00963AE7" w:rsidRPr="00714FB7">
        <w:rPr>
          <w:rFonts w:ascii="Times New Roman" w:hAnsi="Times New Roman"/>
          <w:color w:val="auto"/>
          <w:spacing w:val="0"/>
          <w:sz w:val="24"/>
          <w:szCs w:val="24"/>
          <w:lang w:val="en-ZA" w:eastAsia="en-ZA"/>
        </w:rPr>
        <w:t>A</w:t>
      </w:r>
      <w:r w:rsidR="00847794" w:rsidRPr="00714FB7">
        <w:rPr>
          <w:rFonts w:ascii="Times New Roman" w:hAnsi="Times New Roman"/>
          <w:color w:val="auto"/>
          <w:spacing w:val="0"/>
          <w:sz w:val="24"/>
          <w:szCs w:val="24"/>
          <w:lang w:val="en-ZA" w:eastAsia="en-ZA"/>
        </w:rPr>
        <w:t>frica (Stats</w:t>
      </w:r>
      <w:r w:rsidR="00651B61" w:rsidRPr="00714FB7">
        <w:rPr>
          <w:rFonts w:ascii="Times New Roman" w:hAnsi="Times New Roman"/>
          <w:color w:val="auto"/>
          <w:spacing w:val="0"/>
          <w:sz w:val="24"/>
          <w:szCs w:val="24"/>
          <w:lang w:val="en-ZA" w:eastAsia="en-ZA"/>
        </w:rPr>
        <w:t xml:space="preserve"> </w:t>
      </w:r>
      <w:r w:rsidR="00847794" w:rsidRPr="00714FB7">
        <w:rPr>
          <w:rFonts w:ascii="Times New Roman" w:hAnsi="Times New Roman"/>
          <w:color w:val="auto"/>
          <w:spacing w:val="0"/>
          <w:sz w:val="24"/>
          <w:szCs w:val="24"/>
          <w:lang w:val="en-ZA" w:eastAsia="en-ZA"/>
        </w:rPr>
        <w:t>SA)</w:t>
      </w:r>
      <w:r w:rsidR="00963AE7" w:rsidRPr="00714FB7">
        <w:rPr>
          <w:rFonts w:ascii="Times New Roman" w:hAnsi="Times New Roman"/>
          <w:color w:val="auto"/>
          <w:spacing w:val="0"/>
          <w:sz w:val="24"/>
          <w:szCs w:val="24"/>
          <w:lang w:val="en-ZA" w:eastAsia="en-ZA"/>
        </w:rPr>
        <w:t xml:space="preserve"> on their analysis </w:t>
      </w:r>
      <w:r w:rsidR="007F1B7C" w:rsidRPr="00714FB7">
        <w:rPr>
          <w:rFonts w:ascii="Times New Roman" w:hAnsi="Times New Roman"/>
          <w:color w:val="auto"/>
          <w:spacing w:val="0"/>
          <w:sz w:val="24"/>
          <w:szCs w:val="24"/>
          <w:lang w:val="en-ZA" w:eastAsia="en-ZA"/>
        </w:rPr>
        <w:t>of</w:t>
      </w:r>
      <w:r w:rsidR="005A1449" w:rsidRPr="00714FB7">
        <w:rPr>
          <w:rFonts w:ascii="Times New Roman" w:hAnsi="Times New Roman"/>
          <w:color w:val="auto"/>
          <w:spacing w:val="0"/>
          <w:sz w:val="24"/>
          <w:szCs w:val="24"/>
          <w:lang w:val="en-ZA" w:eastAsia="en-ZA"/>
        </w:rPr>
        <w:t xml:space="preserve"> the </w:t>
      </w:r>
      <w:r w:rsidR="00651B61" w:rsidRPr="00714FB7">
        <w:rPr>
          <w:rFonts w:ascii="Times New Roman" w:hAnsi="Times New Roman"/>
          <w:color w:val="auto"/>
          <w:spacing w:val="0"/>
          <w:sz w:val="24"/>
          <w:szCs w:val="24"/>
          <w:lang w:val="en-ZA" w:eastAsia="en-ZA"/>
        </w:rPr>
        <w:t>strategic plan and APP</w:t>
      </w:r>
      <w:r w:rsidR="004676B5" w:rsidRPr="00714FB7">
        <w:rPr>
          <w:rFonts w:ascii="Times New Roman" w:hAnsi="Times New Roman"/>
          <w:color w:val="auto"/>
          <w:spacing w:val="0"/>
          <w:sz w:val="24"/>
          <w:szCs w:val="24"/>
          <w:lang w:val="en-ZA" w:eastAsia="en-ZA"/>
        </w:rPr>
        <w:t xml:space="preserve"> </w:t>
      </w:r>
      <w:r w:rsidR="00841757" w:rsidRPr="00714FB7">
        <w:rPr>
          <w:rFonts w:ascii="Times New Roman" w:hAnsi="Times New Roman"/>
          <w:color w:val="auto"/>
          <w:spacing w:val="0"/>
          <w:sz w:val="24"/>
          <w:szCs w:val="24"/>
          <w:lang w:val="en-ZA" w:eastAsia="en-ZA"/>
        </w:rPr>
        <w:t>of the Department</w:t>
      </w:r>
      <w:r w:rsidR="00C3399F" w:rsidRPr="00714FB7">
        <w:rPr>
          <w:rFonts w:ascii="Times New Roman" w:hAnsi="Times New Roman"/>
          <w:color w:val="auto"/>
          <w:spacing w:val="0"/>
          <w:sz w:val="24"/>
          <w:szCs w:val="24"/>
          <w:lang w:val="en-ZA" w:eastAsia="en-ZA"/>
        </w:rPr>
        <w:t xml:space="preserve">. The report </w:t>
      </w:r>
      <w:r w:rsidR="00841757" w:rsidRPr="00714FB7">
        <w:rPr>
          <w:rFonts w:ascii="Times New Roman" w:hAnsi="Times New Roman"/>
          <w:color w:val="auto"/>
          <w:spacing w:val="0"/>
          <w:sz w:val="24"/>
          <w:szCs w:val="24"/>
          <w:lang w:val="en-ZA" w:eastAsia="en-ZA"/>
        </w:rPr>
        <w:t>finally</w:t>
      </w:r>
      <w:r w:rsidR="00C3399F" w:rsidRPr="00714FB7">
        <w:rPr>
          <w:rFonts w:ascii="Times New Roman" w:hAnsi="Times New Roman"/>
          <w:color w:val="auto"/>
          <w:spacing w:val="0"/>
          <w:sz w:val="24"/>
          <w:szCs w:val="24"/>
          <w:lang w:val="en-ZA" w:eastAsia="en-ZA"/>
        </w:rPr>
        <w:t xml:space="preserve"> details the deliberations</w:t>
      </w:r>
      <w:r w:rsidR="00963AE7" w:rsidRPr="00714FB7">
        <w:rPr>
          <w:rFonts w:ascii="Times New Roman" w:hAnsi="Times New Roman"/>
          <w:color w:val="auto"/>
          <w:spacing w:val="0"/>
          <w:sz w:val="24"/>
          <w:szCs w:val="24"/>
          <w:lang w:val="en-ZA" w:eastAsia="en-ZA"/>
        </w:rPr>
        <w:t>, findings</w:t>
      </w:r>
      <w:r w:rsidR="00C3399F" w:rsidRPr="00714FB7">
        <w:rPr>
          <w:rFonts w:ascii="Times New Roman" w:hAnsi="Times New Roman"/>
          <w:color w:val="auto"/>
          <w:spacing w:val="0"/>
          <w:sz w:val="24"/>
          <w:szCs w:val="24"/>
          <w:lang w:val="en-ZA" w:eastAsia="en-ZA"/>
        </w:rPr>
        <w:t xml:space="preserve"> and recommendations made by the Committee relating to V</w:t>
      </w:r>
      <w:r w:rsidR="00BA6445" w:rsidRPr="00714FB7">
        <w:rPr>
          <w:rFonts w:ascii="Times New Roman" w:hAnsi="Times New Roman"/>
          <w:color w:val="auto"/>
          <w:spacing w:val="0"/>
          <w:sz w:val="24"/>
          <w:szCs w:val="24"/>
          <w:lang w:val="en-ZA" w:eastAsia="en-ZA"/>
        </w:rPr>
        <w:t>ote</w:t>
      </w:r>
      <w:r w:rsidR="00C3399F" w:rsidRPr="00714FB7">
        <w:rPr>
          <w:rFonts w:ascii="Times New Roman" w:hAnsi="Times New Roman"/>
          <w:color w:val="auto"/>
          <w:spacing w:val="0"/>
          <w:sz w:val="24"/>
          <w:szCs w:val="24"/>
          <w:lang w:val="en-ZA" w:eastAsia="en-ZA"/>
        </w:rPr>
        <w:t xml:space="preserve"> 16</w:t>
      </w:r>
      <w:r w:rsidR="00BA10A2" w:rsidRPr="00714FB7">
        <w:rPr>
          <w:rFonts w:ascii="Times New Roman" w:hAnsi="Times New Roman"/>
          <w:color w:val="auto"/>
          <w:spacing w:val="0"/>
          <w:sz w:val="24"/>
          <w:szCs w:val="24"/>
          <w:lang w:val="en-ZA" w:eastAsia="en-ZA"/>
        </w:rPr>
        <w:t xml:space="preserve">.  </w:t>
      </w:r>
    </w:p>
    <w:p w:rsidR="00A30E03" w:rsidRPr="00714FB7" w:rsidRDefault="00A30E03" w:rsidP="00DA36FC">
      <w:pPr>
        <w:spacing w:line="360" w:lineRule="auto"/>
        <w:jc w:val="both"/>
        <w:rPr>
          <w:rFonts w:ascii="Times New Roman" w:hAnsi="Times New Roman"/>
          <w:b/>
          <w:color w:val="auto"/>
          <w:spacing w:val="0"/>
          <w:sz w:val="24"/>
          <w:szCs w:val="24"/>
          <w:lang w:val="en-ZA" w:eastAsia="en-ZA"/>
        </w:rPr>
      </w:pPr>
    </w:p>
    <w:p w:rsidR="00C90EB4" w:rsidRPr="00714FB7" w:rsidRDefault="00C90EB4" w:rsidP="00DA36FC">
      <w:pPr>
        <w:spacing w:line="360" w:lineRule="auto"/>
        <w:jc w:val="both"/>
        <w:rPr>
          <w:rFonts w:ascii="Times New Roman" w:hAnsi="Times New Roman"/>
          <w:b/>
          <w:color w:val="auto"/>
          <w:spacing w:val="0"/>
          <w:sz w:val="24"/>
          <w:szCs w:val="24"/>
          <w:lang w:val="en-ZA" w:eastAsia="en-ZA"/>
        </w:rPr>
      </w:pPr>
    </w:p>
    <w:p w:rsidR="00CE70BA" w:rsidRPr="00714FB7" w:rsidRDefault="00CE70BA" w:rsidP="00DA36FC">
      <w:pPr>
        <w:spacing w:line="360" w:lineRule="auto"/>
        <w:jc w:val="both"/>
        <w:rPr>
          <w:rFonts w:ascii="Times New Roman" w:hAnsi="Times New Roman"/>
          <w:b/>
          <w:color w:val="auto"/>
          <w:spacing w:val="0"/>
          <w:sz w:val="24"/>
          <w:szCs w:val="24"/>
          <w:lang w:val="en-ZA" w:eastAsia="en-ZA"/>
        </w:rPr>
      </w:pPr>
    </w:p>
    <w:p w:rsidR="00CA18EB" w:rsidRPr="00714FB7" w:rsidRDefault="00635C48" w:rsidP="00BA17D2">
      <w:pPr>
        <w:numPr>
          <w:ilvl w:val="0"/>
          <w:numId w:val="1"/>
        </w:numPr>
        <w:spacing w:line="360" w:lineRule="auto"/>
        <w:jc w:val="both"/>
        <w:rPr>
          <w:rFonts w:ascii="Times New Roman" w:hAnsi="Times New Roman"/>
          <w:b/>
          <w:color w:val="auto"/>
          <w:spacing w:val="0"/>
          <w:sz w:val="24"/>
          <w:szCs w:val="24"/>
          <w:lang w:val="en-ZA" w:eastAsia="en-ZA"/>
        </w:rPr>
      </w:pPr>
      <w:r w:rsidRPr="00714FB7">
        <w:rPr>
          <w:rFonts w:ascii="Times New Roman" w:hAnsi="Times New Roman"/>
          <w:b/>
          <w:color w:val="auto"/>
          <w:spacing w:val="0"/>
          <w:sz w:val="24"/>
          <w:szCs w:val="24"/>
          <w:lang w:val="en-ZA" w:eastAsia="en-ZA"/>
        </w:rPr>
        <w:lastRenderedPageBreak/>
        <w:t>CONSIDERATION OF THE ANNUAL PERFORMANCE PLAN AND BUDGET ALLOCATIONS</w:t>
      </w:r>
      <w:r w:rsidR="004676B5" w:rsidRPr="00714FB7">
        <w:rPr>
          <w:rFonts w:ascii="Times New Roman" w:hAnsi="Times New Roman"/>
          <w:b/>
          <w:color w:val="auto"/>
          <w:spacing w:val="0"/>
          <w:sz w:val="24"/>
          <w:szCs w:val="24"/>
          <w:lang w:val="en-ZA" w:eastAsia="en-ZA"/>
        </w:rPr>
        <w:t xml:space="preserve"> OF THE DEPARTMENT</w:t>
      </w:r>
    </w:p>
    <w:p w:rsidR="00CA18EB" w:rsidRPr="00714FB7" w:rsidRDefault="00CA18EB" w:rsidP="00DA36FC">
      <w:pPr>
        <w:spacing w:line="360" w:lineRule="auto"/>
        <w:jc w:val="both"/>
        <w:rPr>
          <w:rFonts w:ascii="Times New Roman" w:hAnsi="Times New Roman"/>
          <w:b/>
          <w:color w:val="auto"/>
          <w:spacing w:val="0"/>
          <w:sz w:val="24"/>
          <w:szCs w:val="24"/>
          <w:lang w:val="en-ZA" w:eastAsia="en-ZA"/>
        </w:rPr>
      </w:pPr>
    </w:p>
    <w:p w:rsidR="00773871" w:rsidRPr="00714FB7" w:rsidRDefault="00BA10A2" w:rsidP="00DA36FC">
      <w:p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On </w:t>
      </w:r>
      <w:r w:rsidR="00963AE7" w:rsidRPr="00714FB7">
        <w:rPr>
          <w:rFonts w:ascii="Times New Roman" w:hAnsi="Times New Roman"/>
          <w:color w:val="auto"/>
          <w:sz w:val="24"/>
          <w:szCs w:val="24"/>
          <w:lang w:val="en-US"/>
        </w:rPr>
        <w:t xml:space="preserve">4 May 2017, </w:t>
      </w:r>
      <w:r w:rsidRPr="00714FB7">
        <w:rPr>
          <w:rFonts w:ascii="Times New Roman" w:hAnsi="Times New Roman"/>
          <w:color w:val="auto"/>
          <w:sz w:val="24"/>
          <w:szCs w:val="24"/>
          <w:lang w:val="en-US"/>
        </w:rPr>
        <w:t xml:space="preserve">the </w:t>
      </w:r>
      <w:r w:rsidR="00963AE7" w:rsidRPr="00714FB7">
        <w:rPr>
          <w:rFonts w:ascii="Times New Roman" w:hAnsi="Times New Roman"/>
          <w:color w:val="auto"/>
          <w:sz w:val="24"/>
          <w:szCs w:val="24"/>
          <w:lang w:val="en-US"/>
        </w:rPr>
        <w:t>Portfolio Committee engaged the</w:t>
      </w:r>
      <w:r w:rsidR="0021322A" w:rsidRPr="00714FB7">
        <w:rPr>
          <w:rFonts w:ascii="Times New Roman" w:hAnsi="Times New Roman"/>
          <w:color w:val="auto"/>
          <w:sz w:val="24"/>
          <w:szCs w:val="24"/>
          <w:lang w:val="en-US"/>
        </w:rPr>
        <w:t xml:space="preserve"> </w:t>
      </w:r>
      <w:r w:rsidR="000C551E" w:rsidRPr="00714FB7">
        <w:rPr>
          <w:rFonts w:ascii="Times New Roman" w:hAnsi="Times New Roman"/>
          <w:color w:val="auto"/>
          <w:sz w:val="24"/>
          <w:szCs w:val="24"/>
          <w:lang w:val="en-US"/>
        </w:rPr>
        <w:t>Director General and relevant Executive Managers of the Department</w:t>
      </w:r>
      <w:r w:rsidRPr="00714FB7">
        <w:rPr>
          <w:rFonts w:ascii="Times New Roman" w:hAnsi="Times New Roman"/>
          <w:color w:val="auto"/>
          <w:sz w:val="24"/>
          <w:szCs w:val="24"/>
          <w:lang w:val="en-US"/>
        </w:rPr>
        <w:t xml:space="preserve"> </w:t>
      </w:r>
      <w:r w:rsidR="000C551E" w:rsidRPr="00714FB7">
        <w:rPr>
          <w:rFonts w:ascii="Times New Roman" w:hAnsi="Times New Roman"/>
          <w:color w:val="auto"/>
          <w:sz w:val="24"/>
          <w:szCs w:val="24"/>
          <w:lang w:val="en-US"/>
        </w:rPr>
        <w:t xml:space="preserve">on the </w:t>
      </w:r>
      <w:r w:rsidR="00F360B0" w:rsidRPr="00714FB7">
        <w:rPr>
          <w:rFonts w:ascii="Times New Roman" w:hAnsi="Times New Roman"/>
          <w:color w:val="auto"/>
          <w:sz w:val="24"/>
          <w:szCs w:val="24"/>
          <w:lang w:val="en-US"/>
        </w:rPr>
        <w:t>A</w:t>
      </w:r>
      <w:r w:rsidR="000C551E" w:rsidRPr="00714FB7">
        <w:rPr>
          <w:rFonts w:ascii="Times New Roman" w:hAnsi="Times New Roman"/>
          <w:color w:val="auto"/>
          <w:sz w:val="24"/>
          <w:szCs w:val="24"/>
          <w:lang w:val="en-US"/>
        </w:rPr>
        <w:t xml:space="preserve">nnual </w:t>
      </w:r>
      <w:r w:rsidR="00F360B0" w:rsidRPr="00714FB7">
        <w:rPr>
          <w:rFonts w:ascii="Times New Roman" w:hAnsi="Times New Roman"/>
          <w:color w:val="auto"/>
          <w:sz w:val="24"/>
          <w:szCs w:val="24"/>
          <w:lang w:val="en-US"/>
        </w:rPr>
        <w:t>P</w:t>
      </w:r>
      <w:r w:rsidR="000C551E" w:rsidRPr="00714FB7">
        <w:rPr>
          <w:rFonts w:ascii="Times New Roman" w:hAnsi="Times New Roman"/>
          <w:color w:val="auto"/>
          <w:sz w:val="24"/>
          <w:szCs w:val="24"/>
          <w:lang w:val="en-US"/>
        </w:rPr>
        <w:t xml:space="preserve">erformance </w:t>
      </w:r>
      <w:r w:rsidR="00F360B0" w:rsidRPr="00714FB7">
        <w:rPr>
          <w:rFonts w:ascii="Times New Roman" w:hAnsi="Times New Roman"/>
          <w:color w:val="auto"/>
          <w:sz w:val="24"/>
          <w:szCs w:val="24"/>
          <w:lang w:val="en-US"/>
        </w:rPr>
        <w:t>P</w:t>
      </w:r>
      <w:r w:rsidR="000C551E" w:rsidRPr="00714FB7">
        <w:rPr>
          <w:rFonts w:ascii="Times New Roman" w:hAnsi="Times New Roman"/>
          <w:color w:val="auto"/>
          <w:sz w:val="24"/>
          <w:szCs w:val="24"/>
          <w:lang w:val="en-US"/>
        </w:rPr>
        <w:t>lan and budget allocation of the Department</w:t>
      </w:r>
      <w:r w:rsidR="00FF2A6E" w:rsidRPr="00714FB7">
        <w:rPr>
          <w:rFonts w:ascii="Times New Roman" w:hAnsi="Times New Roman"/>
          <w:color w:val="auto"/>
          <w:sz w:val="24"/>
          <w:szCs w:val="24"/>
          <w:lang w:val="en-US"/>
        </w:rPr>
        <w:t xml:space="preserve"> for 2017/18</w:t>
      </w:r>
      <w:r w:rsidR="000C551E" w:rsidRPr="00714FB7">
        <w:rPr>
          <w:rFonts w:ascii="Times New Roman" w:hAnsi="Times New Roman"/>
          <w:color w:val="auto"/>
          <w:sz w:val="24"/>
          <w:szCs w:val="24"/>
          <w:lang w:val="en-US"/>
        </w:rPr>
        <w:t xml:space="preserve">.   </w:t>
      </w:r>
      <w:r w:rsidR="006F5D72" w:rsidRPr="00714FB7">
        <w:rPr>
          <w:rFonts w:ascii="Times New Roman" w:hAnsi="Times New Roman"/>
          <w:color w:val="auto"/>
          <w:sz w:val="24"/>
          <w:szCs w:val="24"/>
          <w:lang w:val="en-US"/>
        </w:rPr>
        <w:t xml:space="preserve"> </w:t>
      </w:r>
    </w:p>
    <w:p w:rsidR="00380662" w:rsidRPr="00714FB7" w:rsidRDefault="00380662" w:rsidP="00DA36FC">
      <w:pPr>
        <w:spacing w:line="360" w:lineRule="auto"/>
        <w:jc w:val="both"/>
        <w:rPr>
          <w:rFonts w:ascii="Times New Roman" w:hAnsi="Times New Roman"/>
          <w:color w:val="auto"/>
          <w:sz w:val="24"/>
          <w:szCs w:val="24"/>
          <w:lang w:val="en-US"/>
        </w:rPr>
      </w:pPr>
    </w:p>
    <w:p w:rsidR="00773871" w:rsidRPr="00714FB7" w:rsidRDefault="00635C48" w:rsidP="00BA17D2">
      <w:pPr>
        <w:numPr>
          <w:ilvl w:val="0"/>
          <w:numId w:val="1"/>
        </w:numPr>
        <w:spacing w:line="360" w:lineRule="auto"/>
        <w:jc w:val="both"/>
        <w:rPr>
          <w:rFonts w:ascii="Times New Roman" w:hAnsi="Times New Roman"/>
          <w:b/>
          <w:color w:val="auto"/>
          <w:sz w:val="24"/>
          <w:szCs w:val="24"/>
          <w:lang w:val="en-US"/>
        </w:rPr>
      </w:pPr>
      <w:r w:rsidRPr="00714FB7">
        <w:rPr>
          <w:rFonts w:ascii="Times New Roman" w:hAnsi="Times New Roman"/>
          <w:b/>
          <w:color w:val="auto"/>
          <w:sz w:val="24"/>
          <w:szCs w:val="24"/>
          <w:lang w:val="en-US"/>
        </w:rPr>
        <w:t xml:space="preserve">OVERVIEW OF THE DEPARTMENT OF HEALTH </w:t>
      </w:r>
    </w:p>
    <w:p w:rsidR="00424476" w:rsidRPr="00714FB7" w:rsidRDefault="00424476" w:rsidP="00DA36FC">
      <w:pPr>
        <w:spacing w:line="360" w:lineRule="auto"/>
        <w:ind w:left="720"/>
        <w:jc w:val="both"/>
        <w:rPr>
          <w:rFonts w:ascii="Times New Roman" w:hAnsi="Times New Roman"/>
          <w:b/>
          <w:color w:val="auto"/>
          <w:sz w:val="24"/>
          <w:szCs w:val="24"/>
          <w:lang w:val="en-US"/>
        </w:rPr>
      </w:pPr>
    </w:p>
    <w:p w:rsidR="00F333AB" w:rsidRPr="00714FB7" w:rsidRDefault="00F333AB" w:rsidP="00DA36FC">
      <w:pPr>
        <w:pStyle w:val="ListParagraph"/>
        <w:autoSpaceDE w:val="0"/>
        <w:autoSpaceDN w:val="0"/>
        <w:adjustRightInd w:val="0"/>
        <w:spacing w:line="360" w:lineRule="auto"/>
        <w:ind w:left="0"/>
        <w:jc w:val="both"/>
        <w:rPr>
          <w:rFonts w:ascii="Times New Roman" w:hAnsi="Times New Roman"/>
          <w:color w:val="auto"/>
          <w:spacing w:val="0"/>
          <w:sz w:val="24"/>
          <w:szCs w:val="24"/>
          <w:lang w:val="en-ZA" w:eastAsia="en-ZA"/>
        </w:rPr>
      </w:pPr>
      <w:r w:rsidRPr="00714FB7">
        <w:rPr>
          <w:rFonts w:ascii="Times New Roman" w:hAnsi="Times New Roman"/>
          <w:color w:val="auto"/>
          <w:spacing w:val="0"/>
          <w:sz w:val="24"/>
          <w:szCs w:val="24"/>
          <w:lang w:val="en-ZA" w:eastAsia="en-ZA"/>
        </w:rPr>
        <w:t xml:space="preserve">The Department aims to provide leadership and coordination of health services to promote the health of all people of South Africa through an accessible, caring and high quality health system based on primary health care approach.  The </w:t>
      </w:r>
      <w:r w:rsidR="00E737C6" w:rsidRPr="00714FB7">
        <w:rPr>
          <w:rFonts w:ascii="Times New Roman" w:hAnsi="Times New Roman"/>
          <w:color w:val="auto"/>
          <w:spacing w:val="0"/>
          <w:sz w:val="24"/>
          <w:szCs w:val="24"/>
          <w:lang w:val="en-ZA" w:eastAsia="en-ZA"/>
        </w:rPr>
        <w:t>D</w:t>
      </w:r>
      <w:r w:rsidRPr="00714FB7">
        <w:rPr>
          <w:rFonts w:ascii="Times New Roman" w:hAnsi="Times New Roman"/>
          <w:color w:val="auto"/>
          <w:spacing w:val="0"/>
          <w:sz w:val="24"/>
          <w:szCs w:val="24"/>
          <w:lang w:val="en-ZA" w:eastAsia="en-ZA"/>
        </w:rPr>
        <w:t xml:space="preserve">epartment derives its </w:t>
      </w:r>
      <w:r w:rsidR="0084718D" w:rsidRPr="00714FB7">
        <w:rPr>
          <w:rFonts w:ascii="Times New Roman" w:hAnsi="Times New Roman"/>
          <w:color w:val="auto"/>
          <w:spacing w:val="0"/>
          <w:sz w:val="24"/>
          <w:szCs w:val="24"/>
          <w:lang w:val="en-ZA" w:eastAsia="en-ZA"/>
        </w:rPr>
        <w:t>annual performance plan for 201</w:t>
      </w:r>
      <w:r w:rsidR="00963AE7" w:rsidRPr="00714FB7">
        <w:rPr>
          <w:rFonts w:ascii="Times New Roman" w:hAnsi="Times New Roman"/>
          <w:color w:val="auto"/>
          <w:spacing w:val="0"/>
          <w:sz w:val="24"/>
          <w:szCs w:val="24"/>
          <w:lang w:val="en-ZA" w:eastAsia="en-ZA"/>
        </w:rPr>
        <w:t>7</w:t>
      </w:r>
      <w:r w:rsidR="0084718D" w:rsidRPr="00714FB7">
        <w:rPr>
          <w:rFonts w:ascii="Times New Roman" w:hAnsi="Times New Roman"/>
          <w:color w:val="auto"/>
          <w:spacing w:val="0"/>
          <w:sz w:val="24"/>
          <w:szCs w:val="24"/>
          <w:lang w:val="en-ZA" w:eastAsia="en-ZA"/>
        </w:rPr>
        <w:t>/1</w:t>
      </w:r>
      <w:r w:rsidR="00963AE7" w:rsidRPr="00714FB7">
        <w:rPr>
          <w:rFonts w:ascii="Times New Roman" w:hAnsi="Times New Roman"/>
          <w:color w:val="auto"/>
          <w:spacing w:val="0"/>
          <w:sz w:val="24"/>
          <w:szCs w:val="24"/>
          <w:lang w:val="en-ZA" w:eastAsia="en-ZA"/>
        </w:rPr>
        <w:t>8</w:t>
      </w:r>
      <w:r w:rsidR="0084718D" w:rsidRPr="00714FB7">
        <w:rPr>
          <w:rFonts w:ascii="Times New Roman" w:hAnsi="Times New Roman"/>
          <w:color w:val="auto"/>
          <w:spacing w:val="0"/>
          <w:sz w:val="24"/>
          <w:szCs w:val="24"/>
          <w:lang w:val="en-ZA" w:eastAsia="en-ZA"/>
        </w:rPr>
        <w:t xml:space="preserve"> financial year</w:t>
      </w:r>
      <w:r w:rsidRPr="00714FB7">
        <w:rPr>
          <w:rFonts w:ascii="Times New Roman" w:hAnsi="Times New Roman"/>
          <w:color w:val="auto"/>
          <w:spacing w:val="0"/>
          <w:sz w:val="24"/>
          <w:szCs w:val="24"/>
          <w:lang w:val="en-ZA" w:eastAsia="en-ZA"/>
        </w:rPr>
        <w:t xml:space="preserve"> from the</w:t>
      </w:r>
      <w:r w:rsidR="001E5733" w:rsidRPr="00714FB7">
        <w:rPr>
          <w:rFonts w:ascii="Times New Roman" w:hAnsi="Times New Roman"/>
          <w:color w:val="auto"/>
          <w:spacing w:val="0"/>
          <w:sz w:val="24"/>
          <w:szCs w:val="24"/>
          <w:lang w:val="en-ZA" w:eastAsia="en-ZA"/>
        </w:rPr>
        <w:t xml:space="preserve"> State of the Nation Address (SONA),</w:t>
      </w:r>
      <w:r w:rsidRPr="00714FB7">
        <w:rPr>
          <w:rFonts w:ascii="Times New Roman" w:hAnsi="Times New Roman"/>
          <w:color w:val="auto"/>
          <w:spacing w:val="0"/>
          <w:sz w:val="24"/>
          <w:szCs w:val="24"/>
          <w:lang w:val="en-ZA" w:eastAsia="en-ZA"/>
        </w:rPr>
        <w:t xml:space="preserve"> National Development Plan (NDP)</w:t>
      </w:r>
      <w:r w:rsidR="006A2D38" w:rsidRPr="00714FB7">
        <w:rPr>
          <w:rFonts w:ascii="Times New Roman" w:hAnsi="Times New Roman"/>
          <w:color w:val="auto"/>
          <w:sz w:val="24"/>
          <w:szCs w:val="24"/>
        </w:rPr>
        <w:t xml:space="preserve"> </w:t>
      </w:r>
      <w:r w:rsidR="006D68AD" w:rsidRPr="00714FB7">
        <w:rPr>
          <w:rFonts w:ascii="Times New Roman" w:hAnsi="Times New Roman"/>
          <w:color w:val="auto"/>
          <w:sz w:val="24"/>
          <w:szCs w:val="24"/>
        </w:rPr>
        <w:t>Vision</w:t>
      </w:r>
      <w:r w:rsidR="004C587B" w:rsidRPr="00714FB7">
        <w:rPr>
          <w:rFonts w:ascii="Times New Roman" w:hAnsi="Times New Roman"/>
          <w:color w:val="auto"/>
          <w:sz w:val="24"/>
          <w:szCs w:val="24"/>
        </w:rPr>
        <w:t>-</w:t>
      </w:r>
      <w:r w:rsidR="006A2D38" w:rsidRPr="00714FB7">
        <w:rPr>
          <w:rFonts w:ascii="Times New Roman" w:hAnsi="Times New Roman"/>
          <w:color w:val="auto"/>
          <w:sz w:val="24"/>
          <w:szCs w:val="24"/>
        </w:rPr>
        <w:t>2030</w:t>
      </w:r>
      <w:r w:rsidRPr="00714FB7">
        <w:rPr>
          <w:rFonts w:ascii="Times New Roman" w:hAnsi="Times New Roman"/>
          <w:color w:val="auto"/>
          <w:spacing w:val="0"/>
          <w:sz w:val="24"/>
          <w:szCs w:val="24"/>
          <w:lang w:val="en-ZA" w:eastAsia="en-ZA"/>
        </w:rPr>
        <w:t xml:space="preserve">, </w:t>
      </w:r>
      <w:r w:rsidR="00C36539" w:rsidRPr="00714FB7">
        <w:rPr>
          <w:rFonts w:ascii="Times New Roman" w:hAnsi="Times New Roman"/>
          <w:color w:val="auto"/>
          <w:spacing w:val="0"/>
          <w:sz w:val="24"/>
          <w:szCs w:val="24"/>
          <w:lang w:val="en-ZA" w:eastAsia="en-ZA"/>
        </w:rPr>
        <w:t xml:space="preserve">2017 </w:t>
      </w:r>
      <w:r w:rsidRPr="00714FB7">
        <w:rPr>
          <w:rFonts w:ascii="Times New Roman" w:hAnsi="Times New Roman"/>
          <w:color w:val="auto"/>
          <w:spacing w:val="0"/>
          <w:sz w:val="24"/>
          <w:szCs w:val="24"/>
          <w:lang w:val="en-ZA" w:eastAsia="en-ZA"/>
        </w:rPr>
        <w:t xml:space="preserve">State of </w:t>
      </w:r>
      <w:r w:rsidR="00DC1920" w:rsidRPr="00714FB7">
        <w:rPr>
          <w:rFonts w:ascii="Times New Roman" w:hAnsi="Times New Roman"/>
          <w:color w:val="auto"/>
          <w:spacing w:val="0"/>
          <w:sz w:val="24"/>
          <w:szCs w:val="24"/>
          <w:lang w:val="en-ZA" w:eastAsia="en-ZA"/>
        </w:rPr>
        <w:t xml:space="preserve">the </w:t>
      </w:r>
      <w:r w:rsidRPr="00714FB7">
        <w:rPr>
          <w:rFonts w:ascii="Times New Roman" w:hAnsi="Times New Roman"/>
          <w:color w:val="auto"/>
          <w:spacing w:val="0"/>
          <w:sz w:val="24"/>
          <w:szCs w:val="24"/>
          <w:lang w:val="en-ZA" w:eastAsia="en-ZA"/>
        </w:rPr>
        <w:t xml:space="preserve">Nation Address </w:t>
      </w:r>
      <w:r w:rsidR="0084718D" w:rsidRPr="00714FB7">
        <w:rPr>
          <w:rFonts w:ascii="Times New Roman" w:hAnsi="Times New Roman"/>
          <w:color w:val="auto"/>
          <w:spacing w:val="0"/>
          <w:sz w:val="24"/>
          <w:szCs w:val="24"/>
          <w:lang w:val="en-ZA" w:eastAsia="en-ZA"/>
        </w:rPr>
        <w:t>(SONA),</w:t>
      </w:r>
      <w:r w:rsidRPr="00714FB7">
        <w:rPr>
          <w:rFonts w:ascii="Times New Roman" w:hAnsi="Times New Roman"/>
          <w:color w:val="auto"/>
          <w:spacing w:val="0"/>
          <w:sz w:val="24"/>
          <w:szCs w:val="24"/>
          <w:lang w:val="en-ZA" w:eastAsia="en-ZA"/>
        </w:rPr>
        <w:t xml:space="preserve"> </w:t>
      </w:r>
      <w:r w:rsidR="004C587B" w:rsidRPr="00714FB7">
        <w:rPr>
          <w:rFonts w:ascii="Times New Roman" w:hAnsi="Times New Roman"/>
          <w:color w:val="auto"/>
          <w:spacing w:val="0"/>
          <w:sz w:val="24"/>
          <w:szCs w:val="24"/>
          <w:lang w:val="en-ZA" w:eastAsia="en-ZA"/>
        </w:rPr>
        <w:t xml:space="preserve">the </w:t>
      </w:r>
      <w:r w:rsidR="00911A7D" w:rsidRPr="00714FB7">
        <w:rPr>
          <w:rFonts w:ascii="Times New Roman" w:hAnsi="Times New Roman"/>
          <w:color w:val="auto"/>
          <w:spacing w:val="0"/>
          <w:sz w:val="24"/>
          <w:szCs w:val="24"/>
          <w:lang w:val="en-ZA" w:eastAsia="en-ZA"/>
        </w:rPr>
        <w:t>M</w:t>
      </w:r>
      <w:r w:rsidR="004C587B" w:rsidRPr="00714FB7">
        <w:rPr>
          <w:rFonts w:ascii="Times New Roman" w:hAnsi="Times New Roman"/>
          <w:color w:val="auto"/>
          <w:spacing w:val="0"/>
          <w:sz w:val="24"/>
          <w:szCs w:val="24"/>
          <w:lang w:val="en-ZA" w:eastAsia="en-ZA"/>
        </w:rPr>
        <w:t>edium-</w:t>
      </w:r>
      <w:r w:rsidR="00911A7D" w:rsidRPr="00714FB7">
        <w:rPr>
          <w:rFonts w:ascii="Times New Roman" w:hAnsi="Times New Roman"/>
          <w:color w:val="auto"/>
          <w:spacing w:val="0"/>
          <w:sz w:val="24"/>
          <w:szCs w:val="24"/>
          <w:lang w:val="en-ZA" w:eastAsia="en-ZA"/>
        </w:rPr>
        <w:t>T</w:t>
      </w:r>
      <w:r w:rsidR="004C587B" w:rsidRPr="00714FB7">
        <w:rPr>
          <w:rFonts w:ascii="Times New Roman" w:hAnsi="Times New Roman"/>
          <w:color w:val="auto"/>
          <w:spacing w:val="0"/>
          <w:sz w:val="24"/>
          <w:szCs w:val="24"/>
          <w:lang w:val="en-ZA" w:eastAsia="en-ZA"/>
        </w:rPr>
        <w:t xml:space="preserve">erm </w:t>
      </w:r>
      <w:r w:rsidR="005C140C" w:rsidRPr="00714FB7">
        <w:rPr>
          <w:rFonts w:ascii="Times New Roman" w:hAnsi="Times New Roman"/>
          <w:color w:val="auto"/>
          <w:spacing w:val="0"/>
          <w:sz w:val="24"/>
          <w:szCs w:val="24"/>
          <w:lang w:val="en-ZA" w:eastAsia="en-ZA"/>
        </w:rPr>
        <w:t>Strategic</w:t>
      </w:r>
      <w:r w:rsidR="004C587B" w:rsidRPr="00714FB7">
        <w:rPr>
          <w:rFonts w:ascii="Times New Roman" w:hAnsi="Times New Roman"/>
          <w:color w:val="auto"/>
          <w:spacing w:val="0"/>
          <w:sz w:val="24"/>
          <w:szCs w:val="24"/>
          <w:lang w:val="en-ZA" w:eastAsia="en-ZA"/>
        </w:rPr>
        <w:t xml:space="preserve"> </w:t>
      </w:r>
      <w:r w:rsidR="00911A7D" w:rsidRPr="00714FB7">
        <w:rPr>
          <w:rFonts w:ascii="Times New Roman" w:hAnsi="Times New Roman"/>
          <w:color w:val="auto"/>
          <w:spacing w:val="0"/>
          <w:sz w:val="24"/>
          <w:szCs w:val="24"/>
          <w:lang w:val="en-ZA" w:eastAsia="en-ZA"/>
        </w:rPr>
        <w:t>F</w:t>
      </w:r>
      <w:r w:rsidR="004C587B" w:rsidRPr="00714FB7">
        <w:rPr>
          <w:rFonts w:ascii="Times New Roman" w:hAnsi="Times New Roman"/>
          <w:color w:val="auto"/>
          <w:spacing w:val="0"/>
          <w:sz w:val="24"/>
          <w:szCs w:val="24"/>
          <w:lang w:val="en-ZA" w:eastAsia="en-ZA"/>
        </w:rPr>
        <w:t>ramework</w:t>
      </w:r>
      <w:r w:rsidR="007A1EFE" w:rsidRPr="00714FB7">
        <w:rPr>
          <w:rFonts w:ascii="Times New Roman" w:hAnsi="Times New Roman"/>
          <w:color w:val="auto"/>
          <w:spacing w:val="0"/>
          <w:sz w:val="24"/>
          <w:szCs w:val="24"/>
          <w:lang w:val="en-ZA" w:eastAsia="en-ZA"/>
        </w:rPr>
        <w:t xml:space="preserve"> (2014-2019)</w:t>
      </w:r>
      <w:r w:rsidR="004C587B" w:rsidRPr="00714FB7">
        <w:rPr>
          <w:rFonts w:ascii="Times New Roman" w:hAnsi="Times New Roman"/>
          <w:color w:val="auto"/>
          <w:spacing w:val="0"/>
          <w:sz w:val="24"/>
          <w:szCs w:val="24"/>
          <w:lang w:val="en-ZA" w:eastAsia="en-ZA"/>
        </w:rPr>
        <w:t>,</w:t>
      </w:r>
      <w:r w:rsidR="00911A7D" w:rsidRPr="00714FB7">
        <w:rPr>
          <w:rFonts w:ascii="Times New Roman" w:hAnsi="Times New Roman"/>
          <w:color w:val="auto"/>
          <w:spacing w:val="0"/>
          <w:sz w:val="24"/>
          <w:szCs w:val="24"/>
          <w:lang w:val="en-ZA" w:eastAsia="en-ZA"/>
        </w:rPr>
        <w:t xml:space="preserve"> </w:t>
      </w:r>
      <w:r w:rsidRPr="00714FB7">
        <w:rPr>
          <w:rFonts w:ascii="Times New Roman" w:hAnsi="Times New Roman"/>
          <w:color w:val="auto"/>
          <w:spacing w:val="0"/>
          <w:sz w:val="24"/>
          <w:szCs w:val="24"/>
          <w:lang w:val="en-ZA" w:eastAsia="en-ZA"/>
        </w:rPr>
        <w:t>the Minister of Finance budget speech</w:t>
      </w:r>
      <w:r w:rsidR="00C5513F" w:rsidRPr="00714FB7">
        <w:rPr>
          <w:rFonts w:ascii="Times New Roman" w:hAnsi="Times New Roman"/>
          <w:color w:val="auto"/>
          <w:spacing w:val="0"/>
          <w:sz w:val="24"/>
          <w:szCs w:val="24"/>
          <w:lang w:val="en-ZA" w:eastAsia="en-ZA"/>
        </w:rPr>
        <w:t xml:space="preserve"> (2017)</w:t>
      </w:r>
      <w:r w:rsidR="00245D22" w:rsidRPr="00714FB7">
        <w:rPr>
          <w:rFonts w:ascii="Times New Roman" w:hAnsi="Times New Roman"/>
          <w:color w:val="auto"/>
          <w:spacing w:val="0"/>
          <w:sz w:val="24"/>
          <w:szCs w:val="24"/>
          <w:lang w:val="en-ZA" w:eastAsia="en-ZA"/>
        </w:rPr>
        <w:t xml:space="preserve"> and</w:t>
      </w:r>
      <w:r w:rsidR="001E5733" w:rsidRPr="00714FB7">
        <w:rPr>
          <w:rFonts w:ascii="Times New Roman" w:hAnsi="Times New Roman"/>
          <w:color w:val="auto"/>
          <w:spacing w:val="0"/>
          <w:sz w:val="24"/>
          <w:szCs w:val="24"/>
          <w:lang w:val="en-ZA" w:eastAsia="en-ZA"/>
        </w:rPr>
        <w:t xml:space="preserve"> the Department’s </w:t>
      </w:r>
      <w:r w:rsidR="00C5513F" w:rsidRPr="00714FB7">
        <w:rPr>
          <w:rFonts w:ascii="Times New Roman" w:hAnsi="Times New Roman"/>
          <w:color w:val="auto"/>
          <w:spacing w:val="0"/>
          <w:sz w:val="24"/>
          <w:szCs w:val="24"/>
          <w:lang w:val="en-ZA" w:eastAsia="en-ZA"/>
        </w:rPr>
        <w:t xml:space="preserve">planned </w:t>
      </w:r>
      <w:r w:rsidR="001E5733" w:rsidRPr="00714FB7">
        <w:rPr>
          <w:rFonts w:ascii="Times New Roman" w:hAnsi="Times New Roman"/>
          <w:color w:val="auto"/>
          <w:spacing w:val="0"/>
          <w:sz w:val="24"/>
          <w:szCs w:val="24"/>
          <w:lang w:val="en-ZA" w:eastAsia="en-ZA"/>
        </w:rPr>
        <w:t>policy initiatives</w:t>
      </w:r>
      <w:r w:rsidR="00245D22" w:rsidRPr="00714FB7">
        <w:rPr>
          <w:rFonts w:ascii="Times New Roman" w:hAnsi="Times New Roman"/>
          <w:color w:val="auto"/>
          <w:spacing w:val="0"/>
          <w:sz w:val="24"/>
          <w:szCs w:val="24"/>
          <w:lang w:val="en-ZA" w:eastAsia="en-ZA"/>
        </w:rPr>
        <w:t xml:space="preserve"> </w:t>
      </w:r>
      <w:r w:rsidR="00C5513F" w:rsidRPr="00714FB7">
        <w:rPr>
          <w:rFonts w:ascii="Times New Roman" w:hAnsi="Times New Roman"/>
          <w:color w:val="auto"/>
          <w:spacing w:val="0"/>
          <w:sz w:val="24"/>
          <w:szCs w:val="24"/>
          <w:lang w:val="en-ZA" w:eastAsia="en-ZA"/>
        </w:rPr>
        <w:t xml:space="preserve">and </w:t>
      </w:r>
      <w:r w:rsidR="00245D22" w:rsidRPr="00714FB7">
        <w:rPr>
          <w:rFonts w:ascii="Times New Roman" w:hAnsi="Times New Roman"/>
          <w:color w:val="auto"/>
          <w:spacing w:val="0"/>
          <w:sz w:val="24"/>
          <w:szCs w:val="24"/>
          <w:lang w:val="en-ZA" w:eastAsia="en-ZA"/>
        </w:rPr>
        <w:t>other relevant policies</w:t>
      </w:r>
      <w:r w:rsidRPr="00714FB7">
        <w:rPr>
          <w:rFonts w:ascii="Times New Roman" w:hAnsi="Times New Roman"/>
          <w:color w:val="auto"/>
          <w:spacing w:val="0"/>
          <w:sz w:val="24"/>
          <w:szCs w:val="24"/>
          <w:lang w:val="en-ZA" w:eastAsia="en-ZA"/>
        </w:rPr>
        <w:t>.</w:t>
      </w:r>
      <w:r w:rsidR="006D68AD" w:rsidRPr="00714FB7">
        <w:rPr>
          <w:rFonts w:ascii="Times New Roman" w:hAnsi="Times New Roman"/>
          <w:color w:val="auto"/>
          <w:spacing w:val="0"/>
          <w:sz w:val="24"/>
          <w:szCs w:val="24"/>
          <w:lang w:val="en-ZA" w:eastAsia="en-ZA"/>
        </w:rPr>
        <w:t xml:space="preserve"> </w:t>
      </w:r>
    </w:p>
    <w:p w:rsidR="00DD0ADC" w:rsidRPr="00714FB7" w:rsidRDefault="00DD0ADC" w:rsidP="00DA36FC">
      <w:pPr>
        <w:spacing w:line="360" w:lineRule="auto"/>
        <w:jc w:val="both"/>
        <w:rPr>
          <w:rFonts w:ascii="Times New Roman" w:hAnsi="Times New Roman"/>
          <w:color w:val="auto"/>
          <w:spacing w:val="0"/>
          <w:sz w:val="24"/>
          <w:szCs w:val="24"/>
          <w:lang w:eastAsia="en-ZA"/>
        </w:rPr>
      </w:pPr>
    </w:p>
    <w:p w:rsidR="00B067C3" w:rsidRPr="00714FB7" w:rsidRDefault="00C36539" w:rsidP="00030895">
      <w:pPr>
        <w:rPr>
          <w:rFonts w:ascii="Times New Roman" w:hAnsi="Times New Roman"/>
          <w:b/>
          <w:color w:val="auto"/>
          <w:sz w:val="24"/>
          <w:szCs w:val="24"/>
        </w:rPr>
      </w:pPr>
      <w:r w:rsidRPr="00714FB7">
        <w:rPr>
          <w:rFonts w:ascii="Times New Roman" w:hAnsi="Times New Roman"/>
          <w:b/>
          <w:color w:val="auto"/>
          <w:sz w:val="24"/>
          <w:szCs w:val="24"/>
        </w:rPr>
        <w:t xml:space="preserve">3.1. </w:t>
      </w:r>
      <w:r w:rsidR="00B067C3" w:rsidRPr="00714FB7">
        <w:rPr>
          <w:rFonts w:ascii="Times New Roman" w:hAnsi="Times New Roman"/>
          <w:b/>
          <w:color w:val="auto"/>
          <w:sz w:val="24"/>
          <w:szCs w:val="24"/>
        </w:rPr>
        <w:tab/>
      </w:r>
      <w:r w:rsidRPr="00714FB7">
        <w:rPr>
          <w:rFonts w:ascii="Times New Roman" w:hAnsi="Times New Roman"/>
          <w:b/>
          <w:color w:val="auto"/>
          <w:sz w:val="24"/>
          <w:szCs w:val="24"/>
        </w:rPr>
        <w:t xml:space="preserve">2017/18 </w:t>
      </w:r>
      <w:r w:rsidR="00B067C3" w:rsidRPr="00714FB7">
        <w:rPr>
          <w:rFonts w:ascii="Times New Roman" w:hAnsi="Times New Roman"/>
          <w:b/>
          <w:color w:val="auto"/>
          <w:sz w:val="24"/>
          <w:szCs w:val="24"/>
        </w:rPr>
        <w:t>Planned Policy Initiative</w:t>
      </w:r>
    </w:p>
    <w:p w:rsidR="006938EA" w:rsidRPr="00714FB7" w:rsidRDefault="006938EA" w:rsidP="00B067C3">
      <w:pPr>
        <w:spacing w:line="360" w:lineRule="auto"/>
        <w:rPr>
          <w:rFonts w:ascii="Times New Roman" w:hAnsi="Times New Roman"/>
          <w:color w:val="auto"/>
          <w:sz w:val="24"/>
          <w:szCs w:val="24"/>
        </w:rPr>
      </w:pPr>
    </w:p>
    <w:p w:rsidR="00C36539" w:rsidRPr="00714FB7" w:rsidRDefault="00C36539" w:rsidP="00030895">
      <w:pPr>
        <w:spacing w:line="360" w:lineRule="auto"/>
        <w:rPr>
          <w:rFonts w:ascii="Times New Roman" w:hAnsi="Times New Roman"/>
          <w:bCs/>
          <w:color w:val="auto"/>
          <w:sz w:val="24"/>
          <w:szCs w:val="24"/>
        </w:rPr>
      </w:pPr>
      <w:r w:rsidRPr="00714FB7">
        <w:rPr>
          <w:rFonts w:ascii="Times New Roman" w:hAnsi="Times New Roman"/>
          <w:bCs/>
          <w:color w:val="auto"/>
          <w:sz w:val="24"/>
          <w:szCs w:val="24"/>
        </w:rPr>
        <w:t>The key policy priorities of the Department include the following:</w:t>
      </w:r>
    </w:p>
    <w:p w:rsidR="00C36539" w:rsidRPr="00714FB7" w:rsidRDefault="00C36539" w:rsidP="00030895">
      <w:pPr>
        <w:spacing w:line="360" w:lineRule="auto"/>
        <w:rPr>
          <w:rFonts w:ascii="Times New Roman" w:hAnsi="Times New Roman"/>
          <w:bCs/>
          <w:color w:val="auto"/>
          <w:sz w:val="24"/>
          <w:szCs w:val="24"/>
        </w:rPr>
      </w:pPr>
    </w:p>
    <w:p w:rsidR="00C36539" w:rsidRPr="00714FB7" w:rsidRDefault="00C36539" w:rsidP="00030895">
      <w:pPr>
        <w:numPr>
          <w:ilvl w:val="0"/>
          <w:numId w:val="17"/>
        </w:numPr>
        <w:spacing w:line="360" w:lineRule="auto"/>
        <w:jc w:val="both"/>
        <w:rPr>
          <w:rFonts w:ascii="Times New Roman" w:hAnsi="Times New Roman"/>
          <w:bCs/>
          <w:color w:val="auto"/>
          <w:sz w:val="24"/>
          <w:szCs w:val="24"/>
        </w:rPr>
      </w:pPr>
      <w:r w:rsidRPr="00714FB7">
        <w:rPr>
          <w:rFonts w:ascii="Times New Roman" w:hAnsi="Times New Roman"/>
          <w:b/>
          <w:bCs/>
          <w:color w:val="auto"/>
          <w:sz w:val="24"/>
          <w:szCs w:val="24"/>
        </w:rPr>
        <w:t>Facilitate implementation of the National Health Insurance (NHI).</w:t>
      </w:r>
      <w:r w:rsidRPr="00714FB7">
        <w:rPr>
          <w:rFonts w:ascii="Times New Roman" w:hAnsi="Times New Roman"/>
          <w:bCs/>
          <w:color w:val="auto"/>
          <w:sz w:val="24"/>
          <w:szCs w:val="24"/>
        </w:rPr>
        <w:t xml:space="preserve"> The introduction of universal health coverage, also known as National Health Insurance (NHI), is a key priority for the Department. The first phase of a 5-year preparatory work plan to improve health systems performance and improve service delivery has been implemented. During the MTEF commencing 2017/18 financial year, efforts will focus on establishing the NHI Fund</w:t>
      </w:r>
      <w:r w:rsidR="0017147D" w:rsidRPr="00714FB7">
        <w:rPr>
          <w:rFonts w:ascii="Times New Roman" w:hAnsi="Times New Roman"/>
          <w:bCs/>
          <w:color w:val="auto"/>
          <w:sz w:val="24"/>
          <w:szCs w:val="24"/>
        </w:rPr>
        <w:t xml:space="preserve"> which</w:t>
      </w:r>
      <w:r w:rsidR="005576B5" w:rsidRPr="00714FB7">
        <w:rPr>
          <w:rFonts w:ascii="Times New Roman" w:hAnsi="Times New Roman"/>
          <w:bCs/>
          <w:color w:val="auto"/>
          <w:sz w:val="24"/>
          <w:szCs w:val="24"/>
        </w:rPr>
        <w:t xml:space="preserve"> </w:t>
      </w:r>
      <w:r w:rsidRPr="00714FB7">
        <w:rPr>
          <w:rFonts w:ascii="Times New Roman" w:hAnsi="Times New Roman"/>
          <w:bCs/>
          <w:color w:val="auto"/>
          <w:sz w:val="24"/>
          <w:szCs w:val="24"/>
        </w:rPr>
        <w:t xml:space="preserve">will entail the development of systems for effective functioning and administration. These include the development of provider payment system, health provider registration and health patient registration system as well as a fraud and risk mitigation system.  The NHI Fund will initiate the process of accrediting Ideal Clinics, private PHC providers and public hospitals once certified by respective statutory bodies. </w:t>
      </w:r>
    </w:p>
    <w:p w:rsidR="00C36539" w:rsidRPr="00714FB7" w:rsidRDefault="00C36539" w:rsidP="00030895">
      <w:pPr>
        <w:numPr>
          <w:ilvl w:val="0"/>
          <w:numId w:val="17"/>
        </w:numPr>
        <w:spacing w:line="360" w:lineRule="auto"/>
        <w:jc w:val="both"/>
        <w:rPr>
          <w:rFonts w:ascii="Times New Roman" w:hAnsi="Times New Roman"/>
          <w:bCs/>
          <w:color w:val="auto"/>
          <w:sz w:val="24"/>
          <w:szCs w:val="24"/>
        </w:rPr>
      </w:pPr>
      <w:r w:rsidRPr="00714FB7">
        <w:rPr>
          <w:rFonts w:ascii="Times New Roman" w:hAnsi="Times New Roman"/>
          <w:b/>
          <w:bCs/>
          <w:color w:val="auto"/>
          <w:sz w:val="24"/>
          <w:szCs w:val="24"/>
        </w:rPr>
        <w:lastRenderedPageBreak/>
        <w:t>Establishment of the South African Health Products Regulatory Authority (SAHPRA).</w:t>
      </w:r>
      <w:r w:rsidRPr="00714FB7">
        <w:rPr>
          <w:rFonts w:ascii="Times New Roman" w:hAnsi="Times New Roman"/>
          <w:bCs/>
          <w:color w:val="auto"/>
          <w:sz w:val="24"/>
          <w:szCs w:val="24"/>
        </w:rPr>
        <w:t xml:space="preserve"> SAHPRA will be established as a Section 3A Public Entity during the MTEF</w:t>
      </w:r>
      <w:r w:rsidR="00B067C3" w:rsidRPr="00714FB7">
        <w:rPr>
          <w:rFonts w:ascii="Times New Roman" w:hAnsi="Times New Roman"/>
          <w:bCs/>
          <w:color w:val="auto"/>
          <w:sz w:val="24"/>
          <w:szCs w:val="24"/>
        </w:rPr>
        <w:t xml:space="preserve"> period</w:t>
      </w:r>
      <w:r w:rsidRPr="00714FB7">
        <w:rPr>
          <w:rFonts w:ascii="Times New Roman" w:hAnsi="Times New Roman"/>
          <w:bCs/>
          <w:color w:val="auto"/>
          <w:sz w:val="24"/>
          <w:szCs w:val="24"/>
        </w:rPr>
        <w:t xml:space="preserve">. SAHPRA will be responsible for the regulation of medicines, medical devices and radiation control. The key focus areas of the authority over the medium term will be evaluating and registering pharmaceuticals and medical devices, managing and coordinating the registration process, ensuring access to safe medicines and enforcing regulatory compliance. </w:t>
      </w:r>
    </w:p>
    <w:p w:rsidR="00C36539" w:rsidRPr="00714FB7" w:rsidRDefault="00EF18BD" w:rsidP="00030895">
      <w:pPr>
        <w:numPr>
          <w:ilvl w:val="0"/>
          <w:numId w:val="17"/>
        </w:numPr>
        <w:spacing w:line="360" w:lineRule="auto"/>
        <w:jc w:val="both"/>
        <w:rPr>
          <w:rFonts w:ascii="Times New Roman" w:hAnsi="Times New Roman"/>
          <w:bCs/>
          <w:color w:val="auto"/>
          <w:sz w:val="24"/>
          <w:szCs w:val="24"/>
        </w:rPr>
      </w:pPr>
      <w:r w:rsidRPr="00714FB7">
        <w:rPr>
          <w:rFonts w:ascii="Times New Roman" w:hAnsi="Times New Roman"/>
          <w:b/>
          <w:bCs/>
          <w:color w:val="auto"/>
          <w:sz w:val="24"/>
          <w:szCs w:val="24"/>
        </w:rPr>
        <w:t xml:space="preserve">Amendment of the </w:t>
      </w:r>
      <w:r w:rsidR="00C36539" w:rsidRPr="00714FB7">
        <w:rPr>
          <w:rFonts w:ascii="Times New Roman" w:hAnsi="Times New Roman"/>
          <w:b/>
          <w:bCs/>
          <w:color w:val="auto"/>
          <w:sz w:val="24"/>
          <w:szCs w:val="24"/>
        </w:rPr>
        <w:t xml:space="preserve">Traditional Health Practitioners </w:t>
      </w:r>
      <w:r w:rsidRPr="00714FB7">
        <w:rPr>
          <w:rFonts w:ascii="Times New Roman" w:hAnsi="Times New Roman"/>
          <w:b/>
          <w:bCs/>
          <w:color w:val="auto"/>
          <w:sz w:val="24"/>
          <w:szCs w:val="24"/>
        </w:rPr>
        <w:t>Act</w:t>
      </w:r>
      <w:r w:rsidR="00C36539" w:rsidRPr="00714FB7">
        <w:rPr>
          <w:rFonts w:ascii="Times New Roman" w:hAnsi="Times New Roman"/>
          <w:bCs/>
          <w:color w:val="auto"/>
          <w:sz w:val="24"/>
          <w:szCs w:val="24"/>
        </w:rPr>
        <w:t>. The long awaited Bill will see the establishment of the Traditional Health Practitioners Council.</w:t>
      </w:r>
    </w:p>
    <w:p w:rsidR="00C36539" w:rsidRPr="00714FB7" w:rsidRDefault="00C36539" w:rsidP="00030895">
      <w:pPr>
        <w:numPr>
          <w:ilvl w:val="0"/>
          <w:numId w:val="17"/>
        </w:numPr>
        <w:spacing w:line="360" w:lineRule="auto"/>
        <w:jc w:val="both"/>
        <w:rPr>
          <w:rFonts w:ascii="Times New Roman" w:hAnsi="Times New Roman"/>
          <w:bCs/>
          <w:color w:val="auto"/>
          <w:sz w:val="24"/>
          <w:szCs w:val="24"/>
        </w:rPr>
      </w:pPr>
      <w:r w:rsidRPr="00714FB7">
        <w:rPr>
          <w:rFonts w:ascii="Times New Roman" w:hAnsi="Times New Roman"/>
          <w:b/>
          <w:bCs/>
          <w:color w:val="auto"/>
          <w:sz w:val="24"/>
          <w:szCs w:val="24"/>
        </w:rPr>
        <w:t>Implementation of Operation Phakisa and Ideal Clinic Initiative.</w:t>
      </w:r>
      <w:r w:rsidRPr="00714FB7">
        <w:rPr>
          <w:rFonts w:ascii="Times New Roman" w:hAnsi="Times New Roman"/>
          <w:bCs/>
          <w:color w:val="auto"/>
          <w:sz w:val="24"/>
          <w:szCs w:val="24"/>
        </w:rPr>
        <w:t xml:space="preserve"> Operation Phakisa will see the establishment of Ideal Clinics in a co-ordinated, efficient and effective manner. Ideal Clinics will have all the infrastructure, human resources and systems in place to be effective primary health care (PHC) facilities. An improved and effective PHC system is seen as key to improving the health outcomes of the country in the most cost-effective manner.  </w:t>
      </w:r>
    </w:p>
    <w:p w:rsidR="00D0390F" w:rsidRPr="00714FB7" w:rsidRDefault="00D0390F" w:rsidP="003E437B">
      <w:pPr>
        <w:spacing w:line="360" w:lineRule="auto"/>
        <w:ind w:left="567" w:hanging="425"/>
        <w:jc w:val="both"/>
        <w:rPr>
          <w:rFonts w:ascii="Times New Roman" w:hAnsi="Times New Roman"/>
          <w:color w:val="auto"/>
          <w:spacing w:val="0"/>
          <w:sz w:val="24"/>
          <w:szCs w:val="24"/>
          <w:lang w:eastAsia="en-ZA"/>
        </w:rPr>
      </w:pPr>
    </w:p>
    <w:p w:rsidR="00BB2B9A" w:rsidRPr="00714FB7" w:rsidRDefault="00C36539" w:rsidP="00030895">
      <w:pPr>
        <w:tabs>
          <w:tab w:val="left" w:pos="630"/>
          <w:tab w:val="left" w:pos="720"/>
        </w:tabs>
        <w:spacing w:line="360" w:lineRule="auto"/>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 xml:space="preserve">3.2. </w:t>
      </w:r>
      <w:r w:rsidR="00B067C3" w:rsidRPr="00714FB7">
        <w:rPr>
          <w:rFonts w:ascii="Times New Roman" w:hAnsi="Times New Roman"/>
          <w:b/>
          <w:color w:val="auto"/>
          <w:spacing w:val="0"/>
          <w:sz w:val="24"/>
          <w:szCs w:val="24"/>
          <w:lang w:eastAsia="en-ZA"/>
        </w:rPr>
        <w:tab/>
      </w:r>
      <w:r w:rsidR="00D67094" w:rsidRPr="00714FB7">
        <w:rPr>
          <w:rFonts w:ascii="Times New Roman" w:hAnsi="Times New Roman"/>
          <w:b/>
          <w:color w:val="auto"/>
          <w:spacing w:val="0"/>
          <w:sz w:val="24"/>
          <w:szCs w:val="24"/>
          <w:lang w:eastAsia="en-ZA"/>
        </w:rPr>
        <w:t>A</w:t>
      </w:r>
      <w:r w:rsidR="009902C7" w:rsidRPr="00714FB7">
        <w:rPr>
          <w:rFonts w:ascii="Times New Roman" w:hAnsi="Times New Roman"/>
          <w:b/>
          <w:color w:val="auto"/>
          <w:spacing w:val="0"/>
          <w:sz w:val="24"/>
          <w:szCs w:val="24"/>
          <w:lang w:eastAsia="en-ZA"/>
        </w:rPr>
        <w:t xml:space="preserve">nnual </w:t>
      </w:r>
      <w:r w:rsidR="00D67094" w:rsidRPr="00714FB7">
        <w:rPr>
          <w:rFonts w:ascii="Times New Roman" w:hAnsi="Times New Roman"/>
          <w:b/>
          <w:color w:val="auto"/>
          <w:spacing w:val="0"/>
          <w:sz w:val="24"/>
          <w:szCs w:val="24"/>
          <w:lang w:eastAsia="en-ZA"/>
        </w:rPr>
        <w:t>P</w:t>
      </w:r>
      <w:r w:rsidR="009902C7" w:rsidRPr="00714FB7">
        <w:rPr>
          <w:rFonts w:ascii="Times New Roman" w:hAnsi="Times New Roman"/>
          <w:b/>
          <w:color w:val="auto"/>
          <w:spacing w:val="0"/>
          <w:sz w:val="24"/>
          <w:szCs w:val="24"/>
          <w:lang w:eastAsia="en-ZA"/>
        </w:rPr>
        <w:t>erfo</w:t>
      </w:r>
      <w:r w:rsidR="0017147D" w:rsidRPr="00714FB7">
        <w:rPr>
          <w:rFonts w:ascii="Times New Roman" w:hAnsi="Times New Roman"/>
          <w:b/>
          <w:color w:val="auto"/>
          <w:spacing w:val="0"/>
          <w:sz w:val="24"/>
          <w:szCs w:val="24"/>
          <w:lang w:eastAsia="en-ZA"/>
        </w:rPr>
        <w:t>r</w:t>
      </w:r>
      <w:r w:rsidR="009902C7" w:rsidRPr="00714FB7">
        <w:rPr>
          <w:rFonts w:ascii="Times New Roman" w:hAnsi="Times New Roman"/>
          <w:b/>
          <w:color w:val="auto"/>
          <w:spacing w:val="0"/>
          <w:sz w:val="24"/>
          <w:szCs w:val="24"/>
          <w:lang w:eastAsia="en-ZA"/>
        </w:rPr>
        <w:t xml:space="preserve">mance </w:t>
      </w:r>
      <w:r w:rsidR="00D67094" w:rsidRPr="00714FB7">
        <w:rPr>
          <w:rFonts w:ascii="Times New Roman" w:hAnsi="Times New Roman"/>
          <w:b/>
          <w:color w:val="auto"/>
          <w:spacing w:val="0"/>
          <w:sz w:val="24"/>
          <w:szCs w:val="24"/>
          <w:lang w:eastAsia="en-ZA"/>
        </w:rPr>
        <w:t>P</w:t>
      </w:r>
      <w:r w:rsidR="009902C7" w:rsidRPr="00714FB7">
        <w:rPr>
          <w:rFonts w:ascii="Times New Roman" w:hAnsi="Times New Roman"/>
          <w:b/>
          <w:color w:val="auto"/>
          <w:spacing w:val="0"/>
          <w:sz w:val="24"/>
          <w:szCs w:val="24"/>
          <w:lang w:eastAsia="en-ZA"/>
        </w:rPr>
        <w:t>lan</w:t>
      </w:r>
      <w:r w:rsidR="00D67094" w:rsidRPr="00714FB7">
        <w:rPr>
          <w:rFonts w:ascii="Times New Roman" w:hAnsi="Times New Roman"/>
          <w:b/>
          <w:color w:val="auto"/>
          <w:spacing w:val="0"/>
          <w:sz w:val="24"/>
          <w:szCs w:val="24"/>
          <w:lang w:eastAsia="en-ZA"/>
        </w:rPr>
        <w:t xml:space="preserve"> Key Indicators</w:t>
      </w:r>
    </w:p>
    <w:p w:rsidR="008C0B92" w:rsidRPr="00714FB7" w:rsidRDefault="008C0B92" w:rsidP="00DA36FC">
      <w:pPr>
        <w:spacing w:line="360" w:lineRule="auto"/>
        <w:jc w:val="both"/>
        <w:rPr>
          <w:rFonts w:ascii="Times New Roman" w:hAnsi="Times New Roman"/>
          <w:color w:val="auto"/>
          <w:spacing w:val="0"/>
          <w:sz w:val="24"/>
          <w:szCs w:val="24"/>
          <w:lang w:eastAsia="en-ZA"/>
        </w:rPr>
      </w:pPr>
    </w:p>
    <w:p w:rsidR="00C36539" w:rsidRPr="00714FB7" w:rsidRDefault="00C36539" w:rsidP="00C36539">
      <w:pPr>
        <w:rPr>
          <w:rFonts w:ascii="Times New Roman" w:hAnsi="Times New Roman"/>
          <w:bCs/>
          <w:color w:val="auto"/>
          <w:sz w:val="24"/>
          <w:szCs w:val="24"/>
        </w:rPr>
      </w:pPr>
      <w:r w:rsidRPr="00714FB7">
        <w:rPr>
          <w:rFonts w:ascii="Times New Roman" w:hAnsi="Times New Roman"/>
          <w:bCs/>
          <w:color w:val="auto"/>
          <w:sz w:val="24"/>
          <w:szCs w:val="24"/>
        </w:rPr>
        <w:t xml:space="preserve">Some of the key indicators in the Annual Performance Plan include: </w:t>
      </w:r>
    </w:p>
    <w:p w:rsidR="00C36539" w:rsidRPr="00714FB7" w:rsidRDefault="00C36539" w:rsidP="00C36539">
      <w:pPr>
        <w:rPr>
          <w:rFonts w:ascii="Times New Roman" w:hAnsi="Times New Roman"/>
          <w:bCs/>
          <w:color w:val="auto"/>
          <w:sz w:val="24"/>
          <w:szCs w:val="24"/>
        </w:rPr>
      </w:pPr>
    </w:p>
    <w:p w:rsidR="00C36539" w:rsidRPr="00714FB7" w:rsidRDefault="00C36539" w:rsidP="00030895">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t>The Department aims for an unqualified audit opinion with no significant matters of emphasis for 201</w:t>
      </w:r>
      <w:r w:rsidR="0018119A" w:rsidRPr="00714FB7">
        <w:rPr>
          <w:rFonts w:ascii="Times New Roman" w:hAnsi="Times New Roman"/>
          <w:bCs/>
          <w:color w:val="auto"/>
          <w:sz w:val="24"/>
          <w:szCs w:val="24"/>
        </w:rPr>
        <w:t xml:space="preserve">7/18 </w:t>
      </w:r>
      <w:r w:rsidRPr="00714FB7">
        <w:rPr>
          <w:rFonts w:ascii="Times New Roman" w:hAnsi="Times New Roman"/>
          <w:bCs/>
          <w:color w:val="auto"/>
          <w:sz w:val="24"/>
          <w:szCs w:val="24"/>
        </w:rPr>
        <w:t xml:space="preserve">and improvements in audits for at least five provincial departments. </w:t>
      </w:r>
    </w:p>
    <w:p w:rsidR="00C36539" w:rsidRPr="00714FB7" w:rsidRDefault="00C36539" w:rsidP="00030895">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t xml:space="preserve">In order to improve access to chronic medication, a centralised chronic medicine dispensing and distribution (CCMDD) system has been established. The Department aims to have 1.5 million patients enrolled for receiving medicines through the CCMDD system. </w:t>
      </w:r>
    </w:p>
    <w:p w:rsidR="00C36539" w:rsidRPr="00714FB7" w:rsidRDefault="00C36539" w:rsidP="00030895">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t xml:space="preserve">An Amendment Bill to the Traditional Health Practitioners Act will be drafted. </w:t>
      </w:r>
    </w:p>
    <w:p w:rsidR="00C36539" w:rsidRPr="00714FB7" w:rsidRDefault="00C36539" w:rsidP="00030895">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t xml:space="preserve">In order to move from paper-based to electronic systems in the public health system, the web-based health Patient Registration System will be implemented at 2450 PHC facilities. </w:t>
      </w:r>
    </w:p>
    <w:p w:rsidR="00C36539" w:rsidRPr="00714FB7" w:rsidRDefault="00C36539" w:rsidP="00030895">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t xml:space="preserve">The Department plans to finalise the new Maternal, Newborn, Child, Adolescent, Women’s Health (MNCAWH) and Nutrition Strategy 2017/18 – 2021/22, for </w:t>
      </w:r>
      <w:r w:rsidRPr="00714FB7">
        <w:rPr>
          <w:rFonts w:ascii="Times New Roman" w:hAnsi="Times New Roman"/>
          <w:bCs/>
          <w:color w:val="auto"/>
          <w:sz w:val="24"/>
          <w:szCs w:val="24"/>
        </w:rPr>
        <w:lastRenderedPageBreak/>
        <w:t xml:space="preserve">approval by the National Health Committee (NHC), and distribute it to the provinces. </w:t>
      </w:r>
    </w:p>
    <w:p w:rsidR="00C36539" w:rsidRPr="00714FB7" w:rsidRDefault="00C36539" w:rsidP="00030895">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t>Four new indicators are introduced to reduce the under</w:t>
      </w:r>
      <w:r w:rsidR="0018119A" w:rsidRPr="00714FB7">
        <w:rPr>
          <w:rFonts w:ascii="Times New Roman" w:hAnsi="Times New Roman"/>
          <w:bCs/>
          <w:color w:val="auto"/>
          <w:sz w:val="24"/>
          <w:szCs w:val="24"/>
        </w:rPr>
        <w:t>-</w:t>
      </w:r>
      <w:r w:rsidRPr="00714FB7">
        <w:rPr>
          <w:rFonts w:ascii="Times New Roman" w:hAnsi="Times New Roman"/>
          <w:bCs/>
          <w:color w:val="auto"/>
          <w:sz w:val="24"/>
          <w:szCs w:val="24"/>
        </w:rPr>
        <w:t xml:space="preserve">5 mortality rate. Amongst others, the Department aims to revise the Road to Health Booklet, as well as review the surveillance system for Polio, Measles and Neonatal Tetanus.  </w:t>
      </w:r>
    </w:p>
    <w:p w:rsidR="00C36539" w:rsidRPr="00714FB7" w:rsidRDefault="00C36539" w:rsidP="00030895">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t xml:space="preserve">An Adolescent and Youth Health Policy (AYHP) will be produced and guidelines issued in order to improve access to adolescent and youth health services. </w:t>
      </w:r>
    </w:p>
    <w:p w:rsidR="00C36539" w:rsidRPr="00714FB7" w:rsidRDefault="00C36539" w:rsidP="00030895">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t xml:space="preserve">There are a number of new indicators aimed at strengthening patient retention in treatment and care of tuberculosis (TB). These include, amongst others, clinical audits of multi-drug resistant (MDR) TB treatment facilities, and tracking the implementation of the TB Quality Improvement Programme. </w:t>
      </w:r>
    </w:p>
    <w:p w:rsidR="00C36539" w:rsidRPr="00714FB7" w:rsidRDefault="00C36539" w:rsidP="00030895">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t>The HIV Strategic Plan (HSP) will be finalised and presented to the Technical N</w:t>
      </w:r>
      <w:r w:rsidR="0053200C" w:rsidRPr="00714FB7">
        <w:rPr>
          <w:rFonts w:ascii="Times New Roman" w:hAnsi="Times New Roman"/>
          <w:bCs/>
          <w:color w:val="auto"/>
          <w:sz w:val="24"/>
          <w:szCs w:val="24"/>
        </w:rPr>
        <w:t xml:space="preserve">ational </w:t>
      </w:r>
      <w:r w:rsidRPr="00714FB7">
        <w:rPr>
          <w:rFonts w:ascii="Times New Roman" w:hAnsi="Times New Roman"/>
          <w:bCs/>
          <w:color w:val="auto"/>
          <w:sz w:val="24"/>
          <w:szCs w:val="24"/>
        </w:rPr>
        <w:t>H</w:t>
      </w:r>
      <w:r w:rsidR="0053200C" w:rsidRPr="00714FB7">
        <w:rPr>
          <w:rFonts w:ascii="Times New Roman" w:hAnsi="Times New Roman"/>
          <w:bCs/>
          <w:color w:val="auto"/>
          <w:sz w:val="24"/>
          <w:szCs w:val="24"/>
        </w:rPr>
        <w:t xml:space="preserve">ealth </w:t>
      </w:r>
      <w:r w:rsidRPr="00714FB7">
        <w:rPr>
          <w:rFonts w:ascii="Times New Roman" w:hAnsi="Times New Roman"/>
          <w:bCs/>
          <w:color w:val="auto"/>
          <w:sz w:val="24"/>
          <w:szCs w:val="24"/>
        </w:rPr>
        <w:t>C</w:t>
      </w:r>
      <w:r w:rsidR="0053200C" w:rsidRPr="00714FB7">
        <w:rPr>
          <w:rFonts w:ascii="Times New Roman" w:hAnsi="Times New Roman"/>
          <w:bCs/>
          <w:color w:val="auto"/>
          <w:sz w:val="24"/>
          <w:szCs w:val="24"/>
        </w:rPr>
        <w:t>ouncil</w:t>
      </w:r>
      <w:r w:rsidRPr="00714FB7">
        <w:rPr>
          <w:rFonts w:ascii="Times New Roman" w:hAnsi="Times New Roman"/>
          <w:bCs/>
          <w:color w:val="auto"/>
          <w:sz w:val="24"/>
          <w:szCs w:val="24"/>
        </w:rPr>
        <w:t xml:space="preserve"> (Tech NHC) for approval. </w:t>
      </w:r>
    </w:p>
    <w:p w:rsidR="00C36539" w:rsidRPr="00714FB7" w:rsidRDefault="00C36539" w:rsidP="00030895">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t>National guidelines for District Health Management Structures will be drafted and submitted for input and approval from the Tech NHC.</w:t>
      </w:r>
    </w:p>
    <w:p w:rsidR="00C36539" w:rsidRPr="00714FB7" w:rsidRDefault="00C36539" w:rsidP="00030895">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t>Two thousand PHC facility committees (500 per quarter) will be assessed to determine their functionality.</w:t>
      </w:r>
    </w:p>
    <w:p w:rsidR="00C36539" w:rsidRPr="00714FB7" w:rsidRDefault="00C36539" w:rsidP="00030895">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t xml:space="preserve">The Department aims for 1 000 PHC facilities to qualify as Ideal Clinics. In addition, an Ideal District Hospital Framework will be drafted and presented to the Tech NHC. </w:t>
      </w:r>
    </w:p>
    <w:p w:rsidR="00C36539" w:rsidRPr="00714FB7" w:rsidRDefault="00C36539" w:rsidP="00030895">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t xml:space="preserve">Three media campaigns to raise awareness on the risk factors that contribute to non-communicable diseases (NCDs) will be launched. </w:t>
      </w:r>
    </w:p>
    <w:p w:rsidR="00C36539" w:rsidRPr="00714FB7" w:rsidRDefault="00C36539" w:rsidP="00030895">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t>Regulations relating to labelling and packaging of tobacco products and smoking indoor and outdoor public places will be developed.</w:t>
      </w:r>
    </w:p>
    <w:p w:rsidR="00C36539" w:rsidRPr="00714FB7" w:rsidRDefault="00C36539" w:rsidP="00030895">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t xml:space="preserve">Six hundred and thirty thousand high risk individuals will be covered by the seasonal influenza vaccination.  </w:t>
      </w:r>
    </w:p>
    <w:p w:rsidR="00C36539" w:rsidRPr="00714FB7" w:rsidRDefault="00C36539" w:rsidP="00030895">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t xml:space="preserve">The National Human Resources for Health (HRH) Strategy will be reviewed in this financial year. </w:t>
      </w:r>
    </w:p>
    <w:p w:rsidR="00C36539" w:rsidRPr="00714FB7" w:rsidRDefault="00C36539" w:rsidP="00030895">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t>A ministerial task team and the Expanded Academic Integration Programme will be established for students returning from Cuba for their final year of training in South Africa.</w:t>
      </w:r>
    </w:p>
    <w:p w:rsidR="00C36539" w:rsidRPr="00714FB7" w:rsidRDefault="00C36539" w:rsidP="00030895">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lastRenderedPageBreak/>
        <w:t xml:space="preserve">A new indicator is that norms and standards for decentralised clinical training platforms will be drafted. </w:t>
      </w:r>
    </w:p>
    <w:p w:rsidR="00C36539" w:rsidRPr="00714FB7" w:rsidRDefault="00C36539" w:rsidP="00030895">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t xml:space="preserve">Eight hospitals, and 42 clinics and community health centres (CHCs) will be constructed or revitalised. </w:t>
      </w:r>
    </w:p>
    <w:p w:rsidR="00C36539" w:rsidRPr="00714FB7" w:rsidRDefault="00C36539" w:rsidP="00030895">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t xml:space="preserve">The Department aims to completely eliminate the backlog of blood alcohol tests in all four laboratories. </w:t>
      </w:r>
    </w:p>
    <w:p w:rsidR="00C36539" w:rsidRPr="00714FB7" w:rsidRDefault="00C36539" w:rsidP="00030895">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t xml:space="preserve">Roadside testing to monitor driving under the influence will be implemented as per the memorandum of understanding (MOU) signed with the Department of Transport. </w:t>
      </w:r>
    </w:p>
    <w:p w:rsidR="00C36539" w:rsidRPr="00714FB7" w:rsidRDefault="00C36539" w:rsidP="00030895">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t xml:space="preserve">In order to ensure equitable access to specialised health care by increasing the training platform for medical specialists, 17 tertiary hospitals will have approved National Tertiary Service Grant (NTSG) business plans and have approved service specifications.  </w:t>
      </w:r>
    </w:p>
    <w:p w:rsidR="00C36539" w:rsidRPr="00714FB7" w:rsidRDefault="00C36539" w:rsidP="00030895">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t>The Department aims to finalise and implement an MOU between itself and the South African Health Products Regulatory Authority (SAHPRA) regarding administrative support during the transition period.</w:t>
      </w:r>
    </w:p>
    <w:p w:rsidR="00C36539" w:rsidRPr="00714FB7" w:rsidRDefault="00C36539" w:rsidP="0053200C">
      <w:pPr>
        <w:pStyle w:val="ListParagraph"/>
        <w:numPr>
          <w:ilvl w:val="0"/>
          <w:numId w:val="77"/>
        </w:numPr>
        <w:spacing w:line="360" w:lineRule="auto"/>
        <w:jc w:val="both"/>
        <w:rPr>
          <w:rFonts w:ascii="Times New Roman" w:hAnsi="Times New Roman"/>
          <w:bCs/>
          <w:color w:val="auto"/>
          <w:sz w:val="24"/>
          <w:szCs w:val="24"/>
        </w:rPr>
      </w:pPr>
      <w:r w:rsidRPr="00714FB7">
        <w:rPr>
          <w:rFonts w:ascii="Times New Roman" w:hAnsi="Times New Roman"/>
          <w:bCs/>
          <w:color w:val="auto"/>
          <w:sz w:val="24"/>
          <w:szCs w:val="24"/>
        </w:rPr>
        <w:t xml:space="preserve">The Department aims to table the National Health Laboratory Service (NHLS) Amendment Bill </w:t>
      </w:r>
      <w:r w:rsidR="00EF18BD" w:rsidRPr="00714FB7">
        <w:rPr>
          <w:rFonts w:ascii="Times New Roman" w:hAnsi="Times New Roman"/>
          <w:bCs/>
          <w:color w:val="auto"/>
          <w:sz w:val="24"/>
          <w:szCs w:val="24"/>
        </w:rPr>
        <w:t>and</w:t>
      </w:r>
      <w:r w:rsidR="00D67094" w:rsidRPr="00714FB7">
        <w:rPr>
          <w:rFonts w:ascii="Times New Roman" w:hAnsi="Times New Roman"/>
          <w:bCs/>
          <w:color w:val="auto"/>
          <w:sz w:val="24"/>
          <w:szCs w:val="24"/>
        </w:rPr>
        <w:t xml:space="preserve"> </w:t>
      </w:r>
      <w:r w:rsidRPr="00714FB7">
        <w:rPr>
          <w:rFonts w:ascii="Times New Roman" w:hAnsi="Times New Roman"/>
          <w:bCs/>
          <w:color w:val="auto"/>
          <w:sz w:val="24"/>
          <w:szCs w:val="24"/>
        </w:rPr>
        <w:t xml:space="preserve">National Public Health Institutes of South Africa (NAPHISA) Bill in Parliament. </w:t>
      </w:r>
    </w:p>
    <w:p w:rsidR="00C36539" w:rsidRPr="00714FB7" w:rsidRDefault="00C36539" w:rsidP="00D0390F">
      <w:pPr>
        <w:spacing w:line="360" w:lineRule="auto"/>
        <w:rPr>
          <w:rFonts w:ascii="Times New Roman" w:hAnsi="Times New Roman"/>
          <w:color w:val="auto"/>
          <w:sz w:val="24"/>
          <w:szCs w:val="24"/>
        </w:rPr>
      </w:pPr>
    </w:p>
    <w:p w:rsidR="00BE17FE" w:rsidRPr="00714FB7" w:rsidRDefault="00572C30" w:rsidP="00030895">
      <w:pPr>
        <w:pStyle w:val="ListParagraph"/>
        <w:numPr>
          <w:ilvl w:val="1"/>
          <w:numId w:val="78"/>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b/>
          <w:color w:val="auto"/>
          <w:sz w:val="24"/>
          <w:szCs w:val="24"/>
          <w:lang w:eastAsia="ko-KR"/>
        </w:rPr>
        <w:t>Annual Performance Plan 2017/18</w:t>
      </w:r>
    </w:p>
    <w:p w:rsidR="00F6399D" w:rsidRPr="00714FB7" w:rsidRDefault="00F6399D" w:rsidP="00DA36FC">
      <w:pPr>
        <w:spacing w:line="360" w:lineRule="auto"/>
        <w:jc w:val="both"/>
        <w:rPr>
          <w:rFonts w:ascii="Times New Roman" w:eastAsia="Batang" w:hAnsi="Times New Roman"/>
          <w:b/>
          <w:color w:val="auto"/>
          <w:sz w:val="24"/>
          <w:szCs w:val="24"/>
          <w:lang w:eastAsia="ko-KR"/>
        </w:rPr>
      </w:pPr>
    </w:p>
    <w:p w:rsidR="000D2CFD" w:rsidRPr="00714FB7" w:rsidRDefault="00F6399D" w:rsidP="00DA36FC">
      <w:p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 xml:space="preserve">The Department gave a detailed overview of the strategic objectives and indicators for each of the Department’s programmes, including </w:t>
      </w:r>
      <w:r w:rsidR="00285F1C" w:rsidRPr="00714FB7">
        <w:rPr>
          <w:rFonts w:ascii="Times New Roman" w:eastAsia="Batang" w:hAnsi="Times New Roman"/>
          <w:color w:val="auto"/>
          <w:sz w:val="24"/>
          <w:szCs w:val="24"/>
          <w:lang w:eastAsia="ko-KR"/>
        </w:rPr>
        <w:t xml:space="preserve">medium-term, annual and quarterly </w:t>
      </w:r>
      <w:r w:rsidRPr="00714FB7">
        <w:rPr>
          <w:rFonts w:ascii="Times New Roman" w:eastAsia="Batang" w:hAnsi="Times New Roman"/>
          <w:color w:val="auto"/>
          <w:sz w:val="24"/>
          <w:szCs w:val="24"/>
          <w:lang w:eastAsia="ko-KR"/>
        </w:rPr>
        <w:t xml:space="preserve">targets. These included the following: </w:t>
      </w:r>
    </w:p>
    <w:p w:rsidR="00BE17FE" w:rsidRPr="00714FB7" w:rsidRDefault="00BE17FE" w:rsidP="00DA36FC">
      <w:pPr>
        <w:spacing w:line="360" w:lineRule="auto"/>
        <w:jc w:val="both"/>
        <w:rPr>
          <w:rFonts w:ascii="Times New Roman" w:eastAsia="Batang" w:hAnsi="Times New Roman"/>
          <w:color w:val="auto"/>
          <w:sz w:val="24"/>
          <w:szCs w:val="24"/>
          <w:lang w:eastAsia="ko-KR"/>
        </w:rPr>
      </w:pPr>
    </w:p>
    <w:p w:rsidR="00DD3DA6" w:rsidRPr="00714FB7" w:rsidRDefault="00DD3DA6" w:rsidP="00030895">
      <w:pPr>
        <w:pStyle w:val="ListParagraph"/>
        <w:numPr>
          <w:ilvl w:val="2"/>
          <w:numId w:val="78"/>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b/>
          <w:color w:val="auto"/>
          <w:sz w:val="24"/>
          <w:szCs w:val="24"/>
          <w:lang w:eastAsia="ko-KR"/>
        </w:rPr>
        <w:t xml:space="preserve">Programme 1: Administration </w:t>
      </w:r>
    </w:p>
    <w:p w:rsidR="0036144D" w:rsidRPr="00714FB7" w:rsidRDefault="0036144D" w:rsidP="00DA36FC">
      <w:pPr>
        <w:spacing w:line="360" w:lineRule="auto"/>
        <w:jc w:val="both"/>
        <w:rPr>
          <w:rFonts w:ascii="Times New Roman" w:eastAsia="Batang" w:hAnsi="Times New Roman"/>
          <w:b/>
          <w:color w:val="auto"/>
          <w:sz w:val="24"/>
          <w:szCs w:val="24"/>
          <w:lang w:eastAsia="ko-KR"/>
        </w:rPr>
      </w:pPr>
    </w:p>
    <w:p w:rsidR="005F7ECF" w:rsidRPr="00714FB7" w:rsidRDefault="00ED5BFE" w:rsidP="00DA36FC">
      <w:p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 xml:space="preserve">The purpose of the administration programme is </w:t>
      </w:r>
      <w:r w:rsidR="00274A09" w:rsidRPr="00714FB7">
        <w:rPr>
          <w:rFonts w:ascii="Times New Roman" w:eastAsia="Batang" w:hAnsi="Times New Roman"/>
          <w:color w:val="auto"/>
          <w:sz w:val="24"/>
          <w:szCs w:val="24"/>
          <w:lang w:eastAsia="ko-KR"/>
        </w:rPr>
        <w:t>to provide support services to the National Department of Health. These include: Human resources development and management, labour relations services, information communication technology services, property management services, security services, legal services</w:t>
      </w:r>
      <w:r w:rsidR="007B1A32" w:rsidRPr="00714FB7">
        <w:rPr>
          <w:rFonts w:ascii="Times New Roman" w:eastAsia="Batang" w:hAnsi="Times New Roman"/>
          <w:color w:val="auto"/>
          <w:sz w:val="24"/>
          <w:szCs w:val="24"/>
          <w:lang w:eastAsia="ko-KR"/>
        </w:rPr>
        <w:t>,</w:t>
      </w:r>
      <w:r w:rsidR="00274A09" w:rsidRPr="00714FB7">
        <w:rPr>
          <w:rFonts w:ascii="Times New Roman" w:eastAsia="Batang" w:hAnsi="Times New Roman"/>
          <w:color w:val="auto"/>
          <w:sz w:val="24"/>
          <w:szCs w:val="24"/>
          <w:lang w:eastAsia="ko-KR"/>
        </w:rPr>
        <w:t xml:space="preserve"> supply chain </w:t>
      </w:r>
      <w:r w:rsidR="00274A09" w:rsidRPr="00714FB7">
        <w:rPr>
          <w:rFonts w:ascii="Times New Roman" w:eastAsia="Batang" w:hAnsi="Times New Roman"/>
          <w:color w:val="auto"/>
          <w:sz w:val="24"/>
          <w:szCs w:val="24"/>
          <w:lang w:eastAsia="ko-KR"/>
        </w:rPr>
        <w:lastRenderedPageBreak/>
        <w:t>management and financial management services.</w:t>
      </w:r>
      <w:r w:rsidR="005A1869" w:rsidRPr="00714FB7">
        <w:rPr>
          <w:rFonts w:ascii="Times New Roman" w:eastAsia="Batang" w:hAnsi="Times New Roman"/>
          <w:color w:val="auto"/>
          <w:sz w:val="24"/>
          <w:szCs w:val="24"/>
          <w:lang w:eastAsia="ko-KR"/>
        </w:rPr>
        <w:t xml:space="preserve"> </w:t>
      </w:r>
      <w:r w:rsidR="00635C48" w:rsidRPr="00714FB7">
        <w:rPr>
          <w:rFonts w:ascii="Times New Roman" w:eastAsia="Batang" w:hAnsi="Times New Roman"/>
          <w:color w:val="auto"/>
          <w:sz w:val="24"/>
          <w:szCs w:val="24"/>
          <w:lang w:eastAsia="ko-KR"/>
        </w:rPr>
        <w:t>The D</w:t>
      </w:r>
      <w:r w:rsidR="00452E9E" w:rsidRPr="00714FB7">
        <w:rPr>
          <w:rFonts w:ascii="Times New Roman" w:eastAsia="Batang" w:hAnsi="Times New Roman"/>
          <w:color w:val="auto"/>
          <w:sz w:val="24"/>
          <w:szCs w:val="24"/>
          <w:lang w:eastAsia="ko-KR"/>
        </w:rPr>
        <w:t xml:space="preserve">epartment will </w:t>
      </w:r>
      <w:r w:rsidR="006D4774" w:rsidRPr="00714FB7">
        <w:rPr>
          <w:rFonts w:ascii="Times New Roman" w:eastAsia="Batang" w:hAnsi="Times New Roman"/>
          <w:color w:val="auto"/>
          <w:sz w:val="24"/>
          <w:szCs w:val="24"/>
          <w:lang w:eastAsia="ko-KR"/>
        </w:rPr>
        <w:t xml:space="preserve">embark on </w:t>
      </w:r>
      <w:r w:rsidR="00452E9E" w:rsidRPr="00714FB7">
        <w:rPr>
          <w:rFonts w:ascii="Times New Roman" w:eastAsia="Batang" w:hAnsi="Times New Roman"/>
          <w:color w:val="auto"/>
          <w:sz w:val="24"/>
          <w:szCs w:val="24"/>
          <w:lang w:eastAsia="ko-KR"/>
        </w:rPr>
        <w:t xml:space="preserve">the following activities </w:t>
      </w:r>
      <w:r w:rsidR="005F7ECF" w:rsidRPr="00714FB7">
        <w:rPr>
          <w:rFonts w:ascii="Times New Roman" w:eastAsia="Batang" w:hAnsi="Times New Roman"/>
          <w:color w:val="auto"/>
          <w:sz w:val="24"/>
          <w:szCs w:val="24"/>
          <w:lang w:eastAsia="ko-KR"/>
        </w:rPr>
        <w:t>in the current financial year</w:t>
      </w:r>
      <w:r w:rsidR="0009447E" w:rsidRPr="00714FB7">
        <w:rPr>
          <w:rFonts w:ascii="Times New Roman" w:eastAsia="Batang" w:hAnsi="Times New Roman"/>
          <w:color w:val="auto"/>
          <w:sz w:val="24"/>
          <w:szCs w:val="24"/>
          <w:lang w:eastAsia="ko-KR"/>
        </w:rPr>
        <w:t xml:space="preserve"> (2017</w:t>
      </w:r>
      <w:r w:rsidR="00D32662" w:rsidRPr="00714FB7">
        <w:rPr>
          <w:rFonts w:ascii="Times New Roman" w:eastAsia="Batang" w:hAnsi="Times New Roman"/>
          <w:color w:val="auto"/>
          <w:sz w:val="24"/>
          <w:szCs w:val="24"/>
          <w:lang w:eastAsia="ko-KR"/>
        </w:rPr>
        <w:t>/1</w:t>
      </w:r>
      <w:r w:rsidR="0009447E" w:rsidRPr="00714FB7">
        <w:rPr>
          <w:rFonts w:ascii="Times New Roman" w:eastAsia="Batang" w:hAnsi="Times New Roman"/>
          <w:color w:val="auto"/>
          <w:sz w:val="24"/>
          <w:szCs w:val="24"/>
          <w:lang w:eastAsia="ko-KR"/>
        </w:rPr>
        <w:t>8</w:t>
      </w:r>
      <w:r w:rsidR="00D32662" w:rsidRPr="00714FB7">
        <w:rPr>
          <w:rFonts w:ascii="Times New Roman" w:eastAsia="Batang" w:hAnsi="Times New Roman"/>
          <w:color w:val="auto"/>
          <w:sz w:val="24"/>
          <w:szCs w:val="24"/>
          <w:lang w:eastAsia="ko-KR"/>
        </w:rPr>
        <w:t>)</w:t>
      </w:r>
      <w:r w:rsidR="005F7ECF" w:rsidRPr="00714FB7">
        <w:rPr>
          <w:rFonts w:ascii="Times New Roman" w:eastAsia="Batang" w:hAnsi="Times New Roman"/>
          <w:color w:val="auto"/>
          <w:sz w:val="24"/>
          <w:szCs w:val="24"/>
          <w:lang w:eastAsia="ko-KR"/>
        </w:rPr>
        <w:t>:</w:t>
      </w:r>
    </w:p>
    <w:p w:rsidR="005F7ECF" w:rsidRPr="00714FB7" w:rsidRDefault="005F7ECF" w:rsidP="00DA36FC">
      <w:pPr>
        <w:spacing w:line="360" w:lineRule="auto"/>
        <w:jc w:val="both"/>
        <w:rPr>
          <w:rFonts w:ascii="Times New Roman" w:eastAsia="Batang" w:hAnsi="Times New Roman"/>
          <w:color w:val="auto"/>
          <w:sz w:val="24"/>
          <w:szCs w:val="24"/>
          <w:lang w:eastAsia="ko-KR"/>
        </w:rPr>
      </w:pPr>
    </w:p>
    <w:p w:rsidR="00FE7FFA" w:rsidRPr="00714FB7" w:rsidRDefault="00DC6FD0" w:rsidP="00E501F1">
      <w:pPr>
        <w:numPr>
          <w:ilvl w:val="0"/>
          <w:numId w:val="25"/>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T</w:t>
      </w:r>
      <w:r w:rsidR="00635C48" w:rsidRPr="00714FB7">
        <w:rPr>
          <w:rFonts w:ascii="Times New Roman" w:eastAsia="Batang" w:hAnsi="Times New Roman"/>
          <w:color w:val="auto"/>
          <w:sz w:val="24"/>
          <w:szCs w:val="24"/>
          <w:lang w:eastAsia="ko-KR"/>
        </w:rPr>
        <w:t>he D</w:t>
      </w:r>
      <w:r w:rsidR="00FE7FFA" w:rsidRPr="00714FB7">
        <w:rPr>
          <w:rFonts w:ascii="Times New Roman" w:eastAsia="Batang" w:hAnsi="Times New Roman"/>
          <w:color w:val="auto"/>
          <w:sz w:val="24"/>
          <w:szCs w:val="24"/>
          <w:lang w:eastAsia="ko-KR"/>
        </w:rPr>
        <w:t xml:space="preserve">epartment </w:t>
      </w:r>
      <w:r w:rsidR="00FE261F" w:rsidRPr="00714FB7">
        <w:rPr>
          <w:rFonts w:ascii="Times New Roman" w:eastAsia="Batang" w:hAnsi="Times New Roman"/>
          <w:color w:val="auto"/>
          <w:sz w:val="24"/>
          <w:szCs w:val="24"/>
          <w:lang w:eastAsia="ko-KR"/>
        </w:rPr>
        <w:t>aims</w:t>
      </w:r>
      <w:r w:rsidR="00FE7FFA" w:rsidRPr="00714FB7">
        <w:rPr>
          <w:rFonts w:ascii="Times New Roman" w:eastAsia="Batang" w:hAnsi="Times New Roman"/>
          <w:color w:val="auto"/>
          <w:sz w:val="24"/>
          <w:szCs w:val="24"/>
          <w:lang w:eastAsia="ko-KR"/>
        </w:rPr>
        <w:t xml:space="preserve"> to </w:t>
      </w:r>
      <w:r w:rsidR="0009447E" w:rsidRPr="00714FB7">
        <w:rPr>
          <w:rFonts w:ascii="Times New Roman" w:eastAsia="Batang" w:hAnsi="Times New Roman"/>
          <w:color w:val="auto"/>
          <w:sz w:val="24"/>
          <w:szCs w:val="24"/>
          <w:lang w:eastAsia="ko-KR"/>
        </w:rPr>
        <w:t xml:space="preserve">have an </w:t>
      </w:r>
      <w:r w:rsidR="006D4774" w:rsidRPr="00714FB7">
        <w:rPr>
          <w:rFonts w:ascii="Times New Roman" w:eastAsia="Batang" w:hAnsi="Times New Roman"/>
          <w:color w:val="auto"/>
          <w:sz w:val="24"/>
          <w:szCs w:val="24"/>
          <w:lang w:eastAsia="ko-KR"/>
        </w:rPr>
        <w:t>unqualified audit opinion</w:t>
      </w:r>
      <w:r w:rsidR="0009447E" w:rsidRPr="00714FB7">
        <w:rPr>
          <w:rFonts w:ascii="Times New Roman" w:eastAsia="Batang" w:hAnsi="Times New Roman"/>
          <w:color w:val="auto"/>
          <w:sz w:val="24"/>
          <w:szCs w:val="24"/>
          <w:lang w:eastAsia="ko-KR"/>
        </w:rPr>
        <w:t xml:space="preserve"> with no significant matters</w:t>
      </w:r>
      <w:r w:rsidR="004F7B6D" w:rsidRPr="00714FB7">
        <w:rPr>
          <w:rFonts w:ascii="Times New Roman" w:eastAsia="Batang" w:hAnsi="Times New Roman"/>
          <w:color w:val="auto"/>
          <w:sz w:val="24"/>
          <w:szCs w:val="24"/>
          <w:lang w:eastAsia="ko-KR"/>
        </w:rPr>
        <w:t xml:space="preserve"> from the Auditor General</w:t>
      </w:r>
      <w:r w:rsidR="005D365D" w:rsidRPr="00714FB7">
        <w:rPr>
          <w:rFonts w:ascii="Times New Roman" w:eastAsia="Batang" w:hAnsi="Times New Roman"/>
          <w:color w:val="auto"/>
          <w:sz w:val="24"/>
          <w:szCs w:val="24"/>
          <w:lang w:eastAsia="ko-KR"/>
        </w:rPr>
        <w:t xml:space="preserve"> in</w:t>
      </w:r>
      <w:r w:rsidRPr="00714FB7">
        <w:rPr>
          <w:rFonts w:ascii="Times New Roman" w:eastAsia="Batang" w:hAnsi="Times New Roman"/>
          <w:color w:val="auto"/>
          <w:sz w:val="24"/>
          <w:szCs w:val="24"/>
          <w:lang w:eastAsia="ko-KR"/>
        </w:rPr>
        <w:t xml:space="preserve"> this financial year</w:t>
      </w:r>
      <w:r w:rsidR="00C16350" w:rsidRPr="00714FB7">
        <w:rPr>
          <w:rFonts w:ascii="Times New Roman" w:eastAsia="Batang" w:hAnsi="Times New Roman"/>
          <w:color w:val="auto"/>
          <w:sz w:val="24"/>
          <w:szCs w:val="24"/>
          <w:lang w:eastAsia="ko-KR"/>
        </w:rPr>
        <w:t>.</w:t>
      </w:r>
    </w:p>
    <w:p w:rsidR="00FE7FFA" w:rsidRPr="00714FB7" w:rsidRDefault="00635C48" w:rsidP="00E501F1">
      <w:pPr>
        <w:numPr>
          <w:ilvl w:val="0"/>
          <w:numId w:val="25"/>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The D</w:t>
      </w:r>
      <w:r w:rsidR="00FE7FFA" w:rsidRPr="00714FB7">
        <w:rPr>
          <w:rFonts w:ascii="Times New Roman" w:eastAsia="Batang" w:hAnsi="Times New Roman"/>
          <w:color w:val="auto"/>
          <w:sz w:val="24"/>
          <w:szCs w:val="24"/>
          <w:lang w:eastAsia="ko-KR"/>
        </w:rPr>
        <w:t xml:space="preserve">epartment also plans to assist the five provincial </w:t>
      </w:r>
      <w:r w:rsidR="00C16350" w:rsidRPr="00714FB7">
        <w:rPr>
          <w:rFonts w:ascii="Times New Roman" w:eastAsia="Batang" w:hAnsi="Times New Roman"/>
          <w:color w:val="auto"/>
          <w:sz w:val="24"/>
          <w:szCs w:val="24"/>
          <w:lang w:eastAsia="ko-KR"/>
        </w:rPr>
        <w:t xml:space="preserve">health </w:t>
      </w:r>
      <w:r w:rsidR="0009447E" w:rsidRPr="00714FB7">
        <w:rPr>
          <w:rFonts w:ascii="Times New Roman" w:eastAsia="Batang" w:hAnsi="Times New Roman"/>
          <w:color w:val="auto"/>
          <w:sz w:val="24"/>
          <w:szCs w:val="24"/>
          <w:lang w:eastAsia="ko-KR"/>
        </w:rPr>
        <w:t>departments (</w:t>
      </w:r>
      <w:r w:rsidR="009B79FB" w:rsidRPr="00714FB7">
        <w:rPr>
          <w:rFonts w:ascii="Times New Roman" w:eastAsia="Batang" w:hAnsi="Times New Roman"/>
          <w:color w:val="auto"/>
          <w:sz w:val="24"/>
          <w:szCs w:val="24"/>
          <w:lang w:eastAsia="ko-KR"/>
        </w:rPr>
        <w:t>Free State, Mpumalanga</w:t>
      </w:r>
      <w:r w:rsidR="007B1A32" w:rsidRPr="00714FB7">
        <w:rPr>
          <w:rFonts w:ascii="Times New Roman" w:eastAsia="Batang" w:hAnsi="Times New Roman"/>
          <w:color w:val="auto"/>
          <w:sz w:val="24"/>
          <w:szCs w:val="24"/>
          <w:lang w:eastAsia="ko-KR"/>
        </w:rPr>
        <w:t>,</w:t>
      </w:r>
      <w:r w:rsidR="009B79FB" w:rsidRPr="00714FB7">
        <w:rPr>
          <w:rFonts w:ascii="Times New Roman" w:eastAsia="Batang" w:hAnsi="Times New Roman"/>
          <w:color w:val="auto"/>
          <w:sz w:val="24"/>
          <w:szCs w:val="24"/>
          <w:lang w:eastAsia="ko-KR"/>
        </w:rPr>
        <w:t xml:space="preserve"> Gauteng</w:t>
      </w:r>
      <w:r w:rsidR="0009447E" w:rsidRPr="00714FB7">
        <w:rPr>
          <w:rFonts w:ascii="Times New Roman" w:eastAsia="Batang" w:hAnsi="Times New Roman"/>
          <w:color w:val="auto"/>
          <w:sz w:val="24"/>
          <w:szCs w:val="24"/>
          <w:lang w:eastAsia="ko-KR"/>
        </w:rPr>
        <w:t>, North West</w:t>
      </w:r>
      <w:r w:rsidR="009B79FB" w:rsidRPr="00714FB7">
        <w:rPr>
          <w:rFonts w:ascii="Times New Roman" w:eastAsia="Batang" w:hAnsi="Times New Roman"/>
          <w:color w:val="auto"/>
          <w:sz w:val="24"/>
          <w:szCs w:val="24"/>
          <w:lang w:eastAsia="ko-KR"/>
        </w:rPr>
        <w:t xml:space="preserve"> and Northern Cape) to </w:t>
      </w:r>
      <w:r w:rsidR="00B9279C" w:rsidRPr="00714FB7">
        <w:rPr>
          <w:rFonts w:ascii="Times New Roman" w:eastAsia="Batang" w:hAnsi="Times New Roman"/>
          <w:color w:val="auto"/>
          <w:sz w:val="24"/>
          <w:szCs w:val="24"/>
          <w:lang w:eastAsia="ko-KR"/>
        </w:rPr>
        <w:t xml:space="preserve">achieve </w:t>
      </w:r>
      <w:r w:rsidR="009B79FB" w:rsidRPr="00714FB7">
        <w:rPr>
          <w:rFonts w:ascii="Times New Roman" w:eastAsia="Batang" w:hAnsi="Times New Roman"/>
          <w:color w:val="auto"/>
          <w:sz w:val="24"/>
          <w:szCs w:val="24"/>
          <w:lang w:eastAsia="ko-KR"/>
        </w:rPr>
        <w:t xml:space="preserve">unqualified </w:t>
      </w:r>
      <w:r w:rsidR="001D7FA9" w:rsidRPr="00714FB7">
        <w:rPr>
          <w:rFonts w:ascii="Times New Roman" w:eastAsia="Batang" w:hAnsi="Times New Roman"/>
          <w:color w:val="auto"/>
          <w:sz w:val="24"/>
          <w:szCs w:val="24"/>
          <w:lang w:eastAsia="ko-KR"/>
        </w:rPr>
        <w:t xml:space="preserve">audit </w:t>
      </w:r>
      <w:r w:rsidR="009B79FB" w:rsidRPr="00714FB7">
        <w:rPr>
          <w:rFonts w:ascii="Times New Roman" w:eastAsia="Batang" w:hAnsi="Times New Roman"/>
          <w:color w:val="auto"/>
          <w:sz w:val="24"/>
          <w:szCs w:val="24"/>
          <w:lang w:eastAsia="ko-KR"/>
        </w:rPr>
        <w:t>opinions</w:t>
      </w:r>
      <w:r w:rsidR="00C16350" w:rsidRPr="00714FB7">
        <w:rPr>
          <w:rFonts w:ascii="Times New Roman" w:eastAsia="Batang" w:hAnsi="Times New Roman"/>
          <w:color w:val="auto"/>
          <w:sz w:val="24"/>
          <w:szCs w:val="24"/>
          <w:lang w:eastAsia="ko-KR"/>
        </w:rPr>
        <w:t>.</w:t>
      </w:r>
    </w:p>
    <w:p w:rsidR="009B79FB" w:rsidRPr="00714FB7" w:rsidRDefault="0009447E" w:rsidP="00E501F1">
      <w:pPr>
        <w:numPr>
          <w:ilvl w:val="0"/>
          <w:numId w:val="25"/>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The department will ensure efficient and responsive human resources services to the National Department of Health.</w:t>
      </w:r>
    </w:p>
    <w:p w:rsidR="009B79FB" w:rsidRPr="00714FB7" w:rsidRDefault="00C16350" w:rsidP="00E501F1">
      <w:pPr>
        <w:numPr>
          <w:ilvl w:val="0"/>
          <w:numId w:val="25"/>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T</w:t>
      </w:r>
      <w:r w:rsidR="0009447E" w:rsidRPr="00714FB7">
        <w:rPr>
          <w:rFonts w:ascii="Times New Roman" w:eastAsia="Batang" w:hAnsi="Times New Roman"/>
          <w:color w:val="auto"/>
          <w:sz w:val="24"/>
          <w:szCs w:val="24"/>
          <w:lang w:eastAsia="ko-KR"/>
        </w:rPr>
        <w:t>he Department will ensure that self-assessment as per ISO 22300 is conducted and short term corrective action plan implemented.</w:t>
      </w:r>
    </w:p>
    <w:p w:rsidR="0009447E" w:rsidRPr="00714FB7" w:rsidRDefault="004046B3" w:rsidP="00E501F1">
      <w:pPr>
        <w:numPr>
          <w:ilvl w:val="0"/>
          <w:numId w:val="25"/>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In the current financial year, the department will ensure that 56 communication interventions are implemented.</w:t>
      </w:r>
    </w:p>
    <w:p w:rsidR="004046B3" w:rsidRPr="00714FB7" w:rsidRDefault="004046B3" w:rsidP="00E501F1">
      <w:pPr>
        <w:numPr>
          <w:ilvl w:val="0"/>
          <w:numId w:val="25"/>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The National Department of Health will reduce its vacancy rate to 10% in the current financial year.</w:t>
      </w:r>
    </w:p>
    <w:p w:rsidR="006D4774" w:rsidRPr="00714FB7" w:rsidRDefault="004046B3" w:rsidP="00E501F1">
      <w:pPr>
        <w:numPr>
          <w:ilvl w:val="0"/>
          <w:numId w:val="25"/>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The Department will ensure that 100% of senior managers have entered into performance agreements with their supervisors.</w:t>
      </w:r>
    </w:p>
    <w:p w:rsidR="004046B3" w:rsidRPr="00714FB7" w:rsidRDefault="004046B3" w:rsidP="004046B3">
      <w:pPr>
        <w:spacing w:line="360" w:lineRule="auto"/>
        <w:jc w:val="both"/>
        <w:rPr>
          <w:rFonts w:ascii="Times New Roman" w:eastAsia="Batang" w:hAnsi="Times New Roman"/>
          <w:color w:val="auto"/>
          <w:sz w:val="24"/>
          <w:szCs w:val="24"/>
          <w:lang w:eastAsia="ko-KR"/>
        </w:rPr>
      </w:pPr>
    </w:p>
    <w:p w:rsidR="00F51604" w:rsidRPr="00714FB7" w:rsidRDefault="00D13288" w:rsidP="00030895">
      <w:pPr>
        <w:pStyle w:val="ListParagraph"/>
        <w:numPr>
          <w:ilvl w:val="2"/>
          <w:numId w:val="78"/>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b/>
          <w:color w:val="auto"/>
          <w:sz w:val="24"/>
          <w:szCs w:val="24"/>
          <w:lang w:eastAsia="ko-KR"/>
        </w:rPr>
        <w:t xml:space="preserve">Programme 2: National Health Insurance, Health Planning and Systems Enablement </w:t>
      </w:r>
    </w:p>
    <w:p w:rsidR="00D13288" w:rsidRPr="00714FB7" w:rsidRDefault="00D13288" w:rsidP="00DA36FC">
      <w:pPr>
        <w:spacing w:line="360" w:lineRule="auto"/>
        <w:jc w:val="both"/>
        <w:rPr>
          <w:rFonts w:ascii="Times New Roman" w:eastAsia="Batang" w:hAnsi="Times New Roman"/>
          <w:b/>
          <w:color w:val="auto"/>
          <w:sz w:val="24"/>
          <w:szCs w:val="24"/>
          <w:lang w:eastAsia="ko-KR"/>
        </w:rPr>
      </w:pPr>
    </w:p>
    <w:p w:rsidR="006D4774" w:rsidRPr="00714FB7" w:rsidRDefault="004046B3" w:rsidP="00DA36FC">
      <w:pPr>
        <w:spacing w:line="360" w:lineRule="auto"/>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 xml:space="preserve">The purpose of the </w:t>
      </w:r>
      <w:r w:rsidR="00435879" w:rsidRPr="00714FB7">
        <w:rPr>
          <w:rFonts w:ascii="Times New Roman" w:eastAsia="Calibri" w:hAnsi="Times New Roman"/>
          <w:color w:val="auto"/>
          <w:spacing w:val="0"/>
          <w:sz w:val="24"/>
          <w:szCs w:val="24"/>
          <w:lang w:val="en-ZA" w:eastAsia="en-US"/>
        </w:rPr>
        <w:t>National Health Insurance (NHI), Health Planning and Systems Enablement Programme</w:t>
      </w:r>
      <w:r w:rsidRPr="00714FB7">
        <w:rPr>
          <w:rFonts w:ascii="Times New Roman" w:eastAsia="Calibri" w:hAnsi="Times New Roman"/>
          <w:color w:val="auto"/>
          <w:spacing w:val="0"/>
          <w:sz w:val="24"/>
          <w:szCs w:val="24"/>
          <w:lang w:val="en-ZA" w:eastAsia="en-US"/>
        </w:rPr>
        <w:t xml:space="preserve"> is</w:t>
      </w:r>
      <w:r w:rsidR="00435879" w:rsidRPr="00714FB7">
        <w:rPr>
          <w:rFonts w:ascii="Times New Roman" w:eastAsia="Calibri" w:hAnsi="Times New Roman"/>
          <w:color w:val="auto"/>
          <w:spacing w:val="0"/>
          <w:sz w:val="24"/>
          <w:szCs w:val="24"/>
          <w:lang w:val="en-ZA" w:eastAsia="en-US"/>
        </w:rPr>
        <w:t xml:space="preserve"> to improve access to quality health services through </w:t>
      </w:r>
      <w:r w:rsidRPr="00714FB7">
        <w:rPr>
          <w:rFonts w:ascii="Times New Roman" w:eastAsia="Calibri" w:hAnsi="Times New Roman"/>
          <w:color w:val="auto"/>
          <w:spacing w:val="0"/>
          <w:sz w:val="24"/>
          <w:szCs w:val="24"/>
          <w:lang w:val="en-ZA" w:eastAsia="en-US"/>
        </w:rPr>
        <w:t xml:space="preserve">the development and implementation of policies to achieve universal health coverage, health financing reform, integrated health systems planning, monitoring and evaluation and research. </w:t>
      </w:r>
      <w:r w:rsidR="005E0A53" w:rsidRPr="00714FB7">
        <w:rPr>
          <w:rFonts w:ascii="Times New Roman" w:eastAsia="Batang" w:hAnsi="Times New Roman"/>
          <w:color w:val="auto"/>
          <w:sz w:val="24"/>
          <w:szCs w:val="24"/>
          <w:lang w:eastAsia="ko-KR"/>
        </w:rPr>
        <w:t>Under Programme 2</w:t>
      </w:r>
      <w:r w:rsidR="003A1C84" w:rsidRPr="00714FB7">
        <w:rPr>
          <w:rFonts w:ascii="Times New Roman" w:eastAsia="Batang" w:hAnsi="Times New Roman"/>
          <w:color w:val="auto"/>
          <w:sz w:val="24"/>
          <w:szCs w:val="24"/>
          <w:lang w:eastAsia="ko-KR"/>
        </w:rPr>
        <w:t>,</w:t>
      </w:r>
      <w:r w:rsidR="005E0A53" w:rsidRPr="00714FB7">
        <w:rPr>
          <w:rFonts w:ascii="Times New Roman" w:eastAsia="Batang" w:hAnsi="Times New Roman"/>
          <w:color w:val="auto"/>
          <w:sz w:val="24"/>
          <w:szCs w:val="24"/>
          <w:lang w:eastAsia="ko-KR"/>
        </w:rPr>
        <w:t xml:space="preserve"> the</w:t>
      </w:r>
      <w:r w:rsidR="006D4774" w:rsidRPr="00714FB7">
        <w:rPr>
          <w:rFonts w:ascii="Times New Roman" w:eastAsia="Batang" w:hAnsi="Times New Roman"/>
          <w:color w:val="auto"/>
          <w:sz w:val="24"/>
          <w:szCs w:val="24"/>
          <w:lang w:eastAsia="ko-KR"/>
        </w:rPr>
        <w:t xml:space="preserve"> Department plans to achieve the following</w:t>
      </w:r>
      <w:r w:rsidR="00CE70BA" w:rsidRPr="00714FB7">
        <w:rPr>
          <w:rFonts w:ascii="Times New Roman" w:eastAsia="Batang" w:hAnsi="Times New Roman"/>
          <w:color w:val="auto"/>
          <w:sz w:val="24"/>
          <w:szCs w:val="24"/>
          <w:lang w:eastAsia="ko-KR"/>
        </w:rPr>
        <w:t xml:space="preserve"> </w:t>
      </w:r>
      <w:r w:rsidRPr="00714FB7">
        <w:rPr>
          <w:rFonts w:ascii="Times New Roman" w:eastAsia="Batang" w:hAnsi="Times New Roman"/>
          <w:color w:val="auto"/>
          <w:sz w:val="24"/>
          <w:szCs w:val="24"/>
          <w:lang w:eastAsia="ko-KR"/>
        </w:rPr>
        <w:t>in the current financial</w:t>
      </w:r>
      <w:r w:rsidR="00840ABB" w:rsidRPr="00714FB7">
        <w:rPr>
          <w:rFonts w:ascii="Times New Roman" w:eastAsia="Batang" w:hAnsi="Times New Roman"/>
          <w:color w:val="auto"/>
          <w:sz w:val="24"/>
          <w:szCs w:val="24"/>
          <w:lang w:eastAsia="ko-KR"/>
        </w:rPr>
        <w:t xml:space="preserve"> year and </w:t>
      </w:r>
      <w:r w:rsidR="00CE70BA" w:rsidRPr="00714FB7">
        <w:rPr>
          <w:rFonts w:ascii="Times New Roman" w:eastAsia="Batang" w:hAnsi="Times New Roman"/>
          <w:color w:val="auto"/>
          <w:sz w:val="24"/>
          <w:szCs w:val="24"/>
          <w:lang w:eastAsia="ko-KR"/>
        </w:rPr>
        <w:t>over the medium-term</w:t>
      </w:r>
      <w:r w:rsidR="006D4774" w:rsidRPr="00714FB7">
        <w:rPr>
          <w:rFonts w:ascii="Times New Roman" w:eastAsia="Batang" w:hAnsi="Times New Roman"/>
          <w:color w:val="auto"/>
          <w:sz w:val="24"/>
          <w:szCs w:val="24"/>
          <w:lang w:eastAsia="ko-KR"/>
        </w:rPr>
        <w:t xml:space="preserve">: </w:t>
      </w:r>
    </w:p>
    <w:p w:rsidR="006D4774" w:rsidRPr="00714FB7" w:rsidRDefault="006D4774" w:rsidP="00DA36FC">
      <w:pPr>
        <w:spacing w:line="360" w:lineRule="auto"/>
        <w:jc w:val="both"/>
        <w:rPr>
          <w:rFonts w:ascii="Times New Roman" w:eastAsia="Batang" w:hAnsi="Times New Roman"/>
          <w:color w:val="auto"/>
          <w:sz w:val="24"/>
          <w:szCs w:val="24"/>
          <w:lang w:eastAsia="ko-KR"/>
        </w:rPr>
      </w:pPr>
    </w:p>
    <w:p w:rsidR="004046B3" w:rsidRPr="00714FB7" w:rsidRDefault="005E0A53" w:rsidP="00BA17D2">
      <w:pPr>
        <w:numPr>
          <w:ilvl w:val="0"/>
          <w:numId w:val="7"/>
        </w:numPr>
        <w:spacing w:line="360" w:lineRule="auto"/>
        <w:ind w:left="714" w:hanging="357"/>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T</w:t>
      </w:r>
      <w:r w:rsidR="00635C48" w:rsidRPr="00714FB7">
        <w:rPr>
          <w:rFonts w:ascii="Times New Roman" w:eastAsia="Batang" w:hAnsi="Times New Roman"/>
          <w:color w:val="auto"/>
          <w:sz w:val="24"/>
          <w:szCs w:val="24"/>
          <w:lang w:eastAsia="ko-KR"/>
        </w:rPr>
        <w:t xml:space="preserve">he </w:t>
      </w:r>
      <w:r w:rsidR="004046B3" w:rsidRPr="00714FB7">
        <w:rPr>
          <w:rFonts w:ascii="Times New Roman" w:eastAsia="Batang" w:hAnsi="Times New Roman"/>
          <w:color w:val="auto"/>
          <w:sz w:val="24"/>
          <w:szCs w:val="24"/>
          <w:lang w:eastAsia="ko-KR"/>
        </w:rPr>
        <w:t>final White Paper on NHI will be finalised and gazetted as a policy document.</w:t>
      </w:r>
    </w:p>
    <w:p w:rsidR="004046B3" w:rsidRPr="00714FB7" w:rsidRDefault="004046B3" w:rsidP="00BA17D2">
      <w:pPr>
        <w:numPr>
          <w:ilvl w:val="0"/>
          <w:numId w:val="7"/>
        </w:numPr>
        <w:spacing w:line="360" w:lineRule="auto"/>
        <w:ind w:left="714" w:hanging="357"/>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A draft NHI Bill will be gazetted for public comments.</w:t>
      </w:r>
    </w:p>
    <w:p w:rsidR="004046B3" w:rsidRPr="00714FB7" w:rsidRDefault="004046B3" w:rsidP="00BA17D2">
      <w:pPr>
        <w:numPr>
          <w:ilvl w:val="0"/>
          <w:numId w:val="7"/>
        </w:numPr>
        <w:spacing w:line="360" w:lineRule="auto"/>
        <w:ind w:left="714" w:hanging="357"/>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Funding modality for the budget allocation to the primary health care (PHC) facilities will be developed.</w:t>
      </w:r>
    </w:p>
    <w:p w:rsidR="004046B3" w:rsidRPr="00714FB7" w:rsidRDefault="004046B3" w:rsidP="00BA17D2">
      <w:pPr>
        <w:numPr>
          <w:ilvl w:val="0"/>
          <w:numId w:val="7"/>
        </w:numPr>
        <w:spacing w:line="360" w:lineRule="auto"/>
        <w:ind w:left="714" w:hanging="357"/>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A national stock management surveillance centre to improve medicine availability will be established.</w:t>
      </w:r>
    </w:p>
    <w:p w:rsidR="004046B3" w:rsidRPr="00714FB7" w:rsidRDefault="00ED7849" w:rsidP="00BA17D2">
      <w:pPr>
        <w:numPr>
          <w:ilvl w:val="0"/>
          <w:numId w:val="7"/>
        </w:numPr>
        <w:spacing w:line="360" w:lineRule="auto"/>
        <w:ind w:left="714" w:hanging="357"/>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Two Provincial Medicine Procurement Units (PMPU) will be established in Mpumalanga and Northern Cape.</w:t>
      </w:r>
    </w:p>
    <w:p w:rsidR="006205E0" w:rsidRPr="00714FB7" w:rsidRDefault="006205E0" w:rsidP="00BA17D2">
      <w:pPr>
        <w:numPr>
          <w:ilvl w:val="0"/>
          <w:numId w:val="7"/>
        </w:numPr>
        <w:spacing w:line="360" w:lineRule="auto"/>
        <w:ind w:left="714" w:hanging="357"/>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1, 500,000 patients will be enrolled for receiving medicines through CCMDD system.</w:t>
      </w:r>
    </w:p>
    <w:p w:rsidR="006205E0" w:rsidRPr="00714FB7" w:rsidRDefault="006205E0" w:rsidP="00BA17D2">
      <w:pPr>
        <w:numPr>
          <w:ilvl w:val="0"/>
          <w:numId w:val="7"/>
        </w:numPr>
        <w:spacing w:line="360" w:lineRule="auto"/>
        <w:ind w:left="714" w:hanging="357"/>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A surveillance system for monitoring antimicrobial resistance will be developed.</w:t>
      </w:r>
    </w:p>
    <w:p w:rsidR="006205E0" w:rsidRPr="00714FB7" w:rsidRDefault="006205E0" w:rsidP="00BA17D2">
      <w:pPr>
        <w:numPr>
          <w:ilvl w:val="0"/>
          <w:numId w:val="7"/>
        </w:numPr>
        <w:spacing w:line="360" w:lineRule="auto"/>
        <w:ind w:left="714" w:hanging="357"/>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An Amendment Bill of the Traditional Health Practitioners (THP) Act will be drafted in the current financial year.</w:t>
      </w:r>
    </w:p>
    <w:p w:rsidR="006205E0" w:rsidRPr="00714FB7" w:rsidRDefault="006205E0" w:rsidP="00BA17D2">
      <w:pPr>
        <w:numPr>
          <w:ilvl w:val="0"/>
          <w:numId w:val="7"/>
        </w:numPr>
        <w:spacing w:line="360" w:lineRule="auto"/>
        <w:ind w:left="714" w:hanging="357"/>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Discussion paper on revenue retention models will be presented at the Health sector’s 10x10 with Treasury.</w:t>
      </w:r>
    </w:p>
    <w:p w:rsidR="006205E0" w:rsidRPr="00714FB7" w:rsidRDefault="006205E0" w:rsidP="00BA17D2">
      <w:pPr>
        <w:numPr>
          <w:ilvl w:val="0"/>
          <w:numId w:val="7"/>
        </w:numPr>
        <w:spacing w:line="360" w:lineRule="auto"/>
        <w:ind w:left="714" w:hanging="357"/>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An Integrated system architecture for a National Integrated Patient Based Information System will be developed in the current financial year.</w:t>
      </w:r>
    </w:p>
    <w:p w:rsidR="006205E0" w:rsidRPr="00714FB7" w:rsidRDefault="006205E0" w:rsidP="00BA17D2">
      <w:pPr>
        <w:numPr>
          <w:ilvl w:val="0"/>
          <w:numId w:val="7"/>
        </w:numPr>
        <w:spacing w:line="360" w:lineRule="auto"/>
        <w:ind w:left="714" w:hanging="357"/>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Two thousand four hundred and fifty PHC facilities will be implementing the web based health patient registration system in 2017/18.</w:t>
      </w:r>
    </w:p>
    <w:p w:rsidR="006205E0" w:rsidRPr="00714FB7" w:rsidRDefault="006205E0" w:rsidP="00BA17D2">
      <w:pPr>
        <w:numPr>
          <w:ilvl w:val="0"/>
          <w:numId w:val="7"/>
        </w:numPr>
        <w:spacing w:line="360" w:lineRule="auto"/>
        <w:ind w:left="714" w:hanging="357"/>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The South Africa Demographic and Health Survey (SADHS) key indicator report will be published.</w:t>
      </w:r>
    </w:p>
    <w:p w:rsidR="006205E0" w:rsidRPr="00714FB7" w:rsidRDefault="006205E0" w:rsidP="00BA17D2">
      <w:pPr>
        <w:numPr>
          <w:ilvl w:val="0"/>
          <w:numId w:val="7"/>
        </w:numPr>
        <w:spacing w:line="360" w:lineRule="auto"/>
        <w:ind w:left="714" w:hanging="357"/>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NHI phase 1 evaluation will be conducted.</w:t>
      </w:r>
    </w:p>
    <w:p w:rsidR="006205E0" w:rsidRPr="00714FB7" w:rsidRDefault="0037275E" w:rsidP="00BA17D2">
      <w:pPr>
        <w:numPr>
          <w:ilvl w:val="0"/>
          <w:numId w:val="7"/>
        </w:numPr>
        <w:spacing w:line="360" w:lineRule="auto"/>
        <w:ind w:left="714" w:hanging="357"/>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Three international treaties and conventions will be implemented.</w:t>
      </w:r>
    </w:p>
    <w:p w:rsidR="0037275E" w:rsidRPr="00714FB7" w:rsidRDefault="0037275E" w:rsidP="00BA17D2">
      <w:pPr>
        <w:numPr>
          <w:ilvl w:val="0"/>
          <w:numId w:val="7"/>
        </w:numPr>
        <w:spacing w:line="360" w:lineRule="auto"/>
        <w:ind w:left="714" w:hanging="357"/>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Three multilateral frameworks and strategies will be implemented</w:t>
      </w:r>
      <w:r w:rsidR="003A1C84" w:rsidRPr="00714FB7">
        <w:rPr>
          <w:rFonts w:ascii="Times New Roman" w:eastAsia="Batang" w:hAnsi="Times New Roman"/>
          <w:color w:val="auto"/>
          <w:sz w:val="24"/>
          <w:szCs w:val="24"/>
          <w:lang w:eastAsia="ko-KR"/>
        </w:rPr>
        <w:t>.</w:t>
      </w:r>
    </w:p>
    <w:p w:rsidR="0037275E" w:rsidRPr="00714FB7" w:rsidRDefault="0037275E" w:rsidP="00BA17D2">
      <w:pPr>
        <w:numPr>
          <w:ilvl w:val="0"/>
          <w:numId w:val="7"/>
        </w:numPr>
        <w:spacing w:line="360" w:lineRule="auto"/>
        <w:ind w:left="714" w:hanging="357"/>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Six strategic bilateral frameworks and projects will be implemented.</w:t>
      </w:r>
    </w:p>
    <w:p w:rsidR="0037275E" w:rsidRPr="00714FB7" w:rsidRDefault="0037275E" w:rsidP="00BA17D2">
      <w:pPr>
        <w:numPr>
          <w:ilvl w:val="0"/>
          <w:numId w:val="7"/>
        </w:numPr>
        <w:spacing w:line="360" w:lineRule="auto"/>
        <w:ind w:left="714" w:hanging="357"/>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The Single Exit Price Adjustments will be gazetted and published.</w:t>
      </w:r>
    </w:p>
    <w:p w:rsidR="0037275E" w:rsidRPr="00714FB7" w:rsidRDefault="0037275E" w:rsidP="00BA17D2">
      <w:pPr>
        <w:numPr>
          <w:ilvl w:val="0"/>
          <w:numId w:val="7"/>
        </w:numPr>
        <w:spacing w:line="360" w:lineRule="auto"/>
        <w:ind w:left="714" w:hanging="357"/>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Four quarterly performance reports of all contracted pharmaceutical suppliers will be produced.</w:t>
      </w:r>
    </w:p>
    <w:p w:rsidR="0037275E" w:rsidRPr="00714FB7" w:rsidRDefault="0037275E" w:rsidP="00BA17D2">
      <w:pPr>
        <w:numPr>
          <w:ilvl w:val="0"/>
          <w:numId w:val="7"/>
        </w:numPr>
        <w:spacing w:line="360" w:lineRule="auto"/>
        <w:ind w:left="714" w:hanging="357"/>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Nine Provincial APPs will be reviewed and aligned to the National Health System Priorities.</w:t>
      </w:r>
    </w:p>
    <w:p w:rsidR="0037275E" w:rsidRPr="00714FB7" w:rsidRDefault="0037275E" w:rsidP="00BA17D2">
      <w:pPr>
        <w:numPr>
          <w:ilvl w:val="0"/>
          <w:numId w:val="7"/>
        </w:numPr>
        <w:spacing w:line="360" w:lineRule="auto"/>
        <w:ind w:left="714" w:hanging="357"/>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Nine Provincial Health Departments will be trained on Patient Experience of care (PEC) guidelines.</w:t>
      </w:r>
    </w:p>
    <w:p w:rsidR="0037275E" w:rsidRPr="00714FB7" w:rsidRDefault="0037275E" w:rsidP="00BA17D2">
      <w:pPr>
        <w:numPr>
          <w:ilvl w:val="0"/>
          <w:numId w:val="7"/>
        </w:numPr>
        <w:spacing w:line="360" w:lineRule="auto"/>
        <w:ind w:left="714" w:hanging="357"/>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Nine Provincial Health Departments will be trained on guideline to manage complaints, compliments and suggestions.</w:t>
      </w:r>
    </w:p>
    <w:p w:rsidR="00041991" w:rsidRPr="00714FB7" w:rsidRDefault="0037275E" w:rsidP="00BA17D2">
      <w:pPr>
        <w:numPr>
          <w:ilvl w:val="0"/>
          <w:numId w:val="7"/>
        </w:numPr>
        <w:spacing w:line="360" w:lineRule="auto"/>
        <w:ind w:left="714" w:hanging="357"/>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Nine Provincial Health Departments will be trained on Guideline to manage patient safety incident</w:t>
      </w:r>
      <w:r w:rsidR="00A60FA6" w:rsidRPr="00714FB7">
        <w:rPr>
          <w:rFonts w:ascii="Times New Roman" w:eastAsia="Batang" w:hAnsi="Times New Roman"/>
          <w:color w:val="auto"/>
          <w:sz w:val="24"/>
          <w:szCs w:val="24"/>
          <w:lang w:eastAsia="ko-KR"/>
        </w:rPr>
        <w:t>s.</w:t>
      </w:r>
    </w:p>
    <w:p w:rsidR="00A60FA6" w:rsidRPr="00714FB7" w:rsidRDefault="00A60FA6" w:rsidP="00A60FA6">
      <w:pPr>
        <w:spacing w:line="360" w:lineRule="auto"/>
        <w:jc w:val="both"/>
        <w:rPr>
          <w:rFonts w:ascii="Times New Roman" w:eastAsia="Batang" w:hAnsi="Times New Roman"/>
          <w:color w:val="auto"/>
          <w:sz w:val="24"/>
          <w:szCs w:val="24"/>
          <w:lang w:eastAsia="ko-KR"/>
        </w:rPr>
      </w:pPr>
    </w:p>
    <w:p w:rsidR="00B21E76" w:rsidRPr="00714FB7" w:rsidRDefault="00B21E76" w:rsidP="00A60FA6">
      <w:pPr>
        <w:spacing w:line="360" w:lineRule="auto"/>
        <w:jc w:val="both"/>
        <w:rPr>
          <w:rFonts w:ascii="Times New Roman" w:eastAsia="Batang" w:hAnsi="Times New Roman"/>
          <w:color w:val="auto"/>
          <w:sz w:val="24"/>
          <w:szCs w:val="24"/>
          <w:lang w:eastAsia="ko-KR"/>
        </w:rPr>
      </w:pPr>
    </w:p>
    <w:p w:rsidR="007E0C75" w:rsidRPr="00714FB7" w:rsidRDefault="007E0C75" w:rsidP="00A60FA6">
      <w:pPr>
        <w:spacing w:line="360" w:lineRule="auto"/>
        <w:jc w:val="both"/>
        <w:rPr>
          <w:rFonts w:ascii="Times New Roman" w:eastAsia="Batang" w:hAnsi="Times New Roman"/>
          <w:color w:val="auto"/>
          <w:sz w:val="24"/>
          <w:szCs w:val="24"/>
          <w:lang w:eastAsia="ko-KR"/>
        </w:rPr>
      </w:pPr>
    </w:p>
    <w:p w:rsidR="007E0C75" w:rsidRPr="00714FB7" w:rsidRDefault="007E0C75" w:rsidP="00A60FA6">
      <w:pPr>
        <w:spacing w:line="360" w:lineRule="auto"/>
        <w:jc w:val="both"/>
        <w:rPr>
          <w:rFonts w:ascii="Times New Roman" w:eastAsia="Batang" w:hAnsi="Times New Roman"/>
          <w:color w:val="auto"/>
          <w:sz w:val="24"/>
          <w:szCs w:val="24"/>
          <w:lang w:eastAsia="ko-KR"/>
        </w:rPr>
      </w:pPr>
    </w:p>
    <w:p w:rsidR="00B21E76" w:rsidRPr="00714FB7" w:rsidRDefault="00B21E76" w:rsidP="00A60FA6">
      <w:pPr>
        <w:spacing w:line="360" w:lineRule="auto"/>
        <w:jc w:val="both"/>
        <w:rPr>
          <w:rFonts w:ascii="Times New Roman" w:eastAsia="Batang" w:hAnsi="Times New Roman"/>
          <w:color w:val="auto"/>
          <w:sz w:val="24"/>
          <w:szCs w:val="24"/>
          <w:lang w:eastAsia="ko-KR"/>
        </w:rPr>
      </w:pPr>
    </w:p>
    <w:p w:rsidR="00D551AB" w:rsidRPr="00714FB7" w:rsidRDefault="00D551AB" w:rsidP="00030895">
      <w:pPr>
        <w:pStyle w:val="ListParagraph"/>
        <w:numPr>
          <w:ilvl w:val="2"/>
          <w:numId w:val="78"/>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b/>
          <w:color w:val="auto"/>
          <w:sz w:val="24"/>
          <w:szCs w:val="24"/>
          <w:lang w:eastAsia="ko-KR"/>
        </w:rPr>
        <w:t>Programme 3: HIV/AIDS, TB and Maternal and Child Health</w:t>
      </w:r>
    </w:p>
    <w:p w:rsidR="00D551AB" w:rsidRPr="00714FB7" w:rsidRDefault="00D551AB" w:rsidP="00030895">
      <w:pPr>
        <w:pStyle w:val="ListParagraph"/>
        <w:spacing w:line="360" w:lineRule="auto"/>
        <w:jc w:val="both"/>
        <w:rPr>
          <w:rFonts w:ascii="Times New Roman" w:eastAsia="Batang" w:hAnsi="Times New Roman"/>
          <w:b/>
          <w:color w:val="auto"/>
          <w:sz w:val="24"/>
          <w:szCs w:val="24"/>
          <w:lang w:eastAsia="ko-KR"/>
        </w:rPr>
      </w:pPr>
    </w:p>
    <w:p w:rsidR="00B37A96" w:rsidRPr="00714FB7" w:rsidRDefault="00A60FA6" w:rsidP="0078582B">
      <w:p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 xml:space="preserve">The purpose of HIV/AIS, TB and Maternal and Child Health programme is to develop and monitor implementation of national policies, guidelines, norms and standards, and targets for the national responses needed to decrease the burden of disease associated with burden of HIV and TB epidemics; to minimise maternal and child mortality and morbidity; and to optimise good health for children, adolescents and women; and monitor and evaluate the outcomes and impact of these. </w:t>
      </w:r>
      <w:r w:rsidR="00B37A96" w:rsidRPr="00714FB7">
        <w:rPr>
          <w:rFonts w:ascii="Times New Roman" w:hAnsi="Times New Roman"/>
          <w:color w:val="auto"/>
          <w:sz w:val="24"/>
          <w:szCs w:val="24"/>
        </w:rPr>
        <w:t>Targets under Programme 3 for the current financial year (201</w:t>
      </w:r>
      <w:r w:rsidRPr="00714FB7">
        <w:rPr>
          <w:rFonts w:ascii="Times New Roman" w:hAnsi="Times New Roman"/>
          <w:color w:val="auto"/>
          <w:sz w:val="24"/>
          <w:szCs w:val="24"/>
        </w:rPr>
        <w:t>7</w:t>
      </w:r>
      <w:r w:rsidR="00B37A96" w:rsidRPr="00714FB7">
        <w:rPr>
          <w:rFonts w:ascii="Times New Roman" w:hAnsi="Times New Roman"/>
          <w:color w:val="auto"/>
          <w:sz w:val="24"/>
          <w:szCs w:val="24"/>
        </w:rPr>
        <w:t>/1</w:t>
      </w:r>
      <w:r w:rsidRPr="00714FB7">
        <w:rPr>
          <w:rFonts w:ascii="Times New Roman" w:hAnsi="Times New Roman"/>
          <w:color w:val="auto"/>
          <w:sz w:val="24"/>
          <w:szCs w:val="24"/>
        </w:rPr>
        <w:t>8</w:t>
      </w:r>
      <w:r w:rsidR="00B37A96" w:rsidRPr="00714FB7">
        <w:rPr>
          <w:rFonts w:ascii="Times New Roman" w:hAnsi="Times New Roman"/>
          <w:color w:val="auto"/>
          <w:sz w:val="24"/>
          <w:szCs w:val="24"/>
        </w:rPr>
        <w:t xml:space="preserve">) are as follows: </w:t>
      </w:r>
    </w:p>
    <w:p w:rsidR="00866F3A" w:rsidRPr="00714FB7" w:rsidRDefault="00866F3A" w:rsidP="0078582B">
      <w:pPr>
        <w:spacing w:line="360" w:lineRule="auto"/>
        <w:jc w:val="both"/>
        <w:rPr>
          <w:rFonts w:ascii="Times New Roman" w:hAnsi="Times New Roman"/>
          <w:color w:val="auto"/>
          <w:sz w:val="24"/>
          <w:szCs w:val="24"/>
        </w:rPr>
      </w:pPr>
    </w:p>
    <w:p w:rsidR="00A60FA6" w:rsidRPr="00714FB7" w:rsidRDefault="00B37A96" w:rsidP="00E501F1">
      <w:pPr>
        <w:pStyle w:val="ListParagraph"/>
        <w:numPr>
          <w:ilvl w:val="0"/>
          <w:numId w:val="26"/>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The Department aims to reduce maternal</w:t>
      </w:r>
      <w:r w:rsidR="00A60FA6" w:rsidRPr="00714FB7">
        <w:rPr>
          <w:rFonts w:ascii="Times New Roman" w:hAnsi="Times New Roman"/>
          <w:color w:val="auto"/>
          <w:sz w:val="24"/>
          <w:szCs w:val="24"/>
        </w:rPr>
        <w:t xml:space="preserve"> and neonatal morbidity and mortality.  Four national quarterly reports will be produced with recommendations.</w:t>
      </w:r>
    </w:p>
    <w:p w:rsidR="00A60FA6" w:rsidRPr="00714FB7" w:rsidRDefault="00A60FA6" w:rsidP="00E501F1">
      <w:pPr>
        <w:pStyle w:val="ListParagraph"/>
        <w:numPr>
          <w:ilvl w:val="0"/>
          <w:numId w:val="26"/>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Remedial plans will be developed and monitored of all districts that have Mother to Child Transmission rates of more than 1</w:t>
      </w:r>
      <w:r w:rsidR="00E22C3F" w:rsidRPr="00714FB7">
        <w:rPr>
          <w:rFonts w:ascii="Times New Roman" w:hAnsi="Times New Roman"/>
          <w:color w:val="auto"/>
          <w:sz w:val="24"/>
          <w:szCs w:val="24"/>
        </w:rPr>
        <w:t>.</w:t>
      </w:r>
      <w:r w:rsidRPr="00714FB7">
        <w:rPr>
          <w:rFonts w:ascii="Times New Roman" w:hAnsi="Times New Roman"/>
          <w:color w:val="auto"/>
          <w:sz w:val="24"/>
          <w:szCs w:val="24"/>
        </w:rPr>
        <w:t>5%</w:t>
      </w:r>
      <w:r w:rsidR="00E22C3F" w:rsidRPr="00714FB7">
        <w:rPr>
          <w:rFonts w:ascii="Times New Roman" w:hAnsi="Times New Roman"/>
          <w:color w:val="auto"/>
          <w:sz w:val="24"/>
          <w:szCs w:val="24"/>
        </w:rPr>
        <w:t>.</w:t>
      </w:r>
    </w:p>
    <w:p w:rsidR="00A60FA6" w:rsidRPr="00714FB7" w:rsidRDefault="00A60FA6" w:rsidP="00E501F1">
      <w:pPr>
        <w:pStyle w:val="ListParagraph"/>
        <w:numPr>
          <w:ilvl w:val="0"/>
          <w:numId w:val="26"/>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Guidelines for the Cervical Cancer policy will be produced and nine provincial Departments of Health will be supported to develop implementation plans.</w:t>
      </w:r>
    </w:p>
    <w:p w:rsidR="00A60FA6" w:rsidRPr="00714FB7" w:rsidRDefault="00A60FA6" w:rsidP="00E501F1">
      <w:pPr>
        <w:pStyle w:val="ListParagraph"/>
        <w:numPr>
          <w:ilvl w:val="0"/>
          <w:numId w:val="26"/>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Guidelines for breast cancer policy will be produced and nine provincial departments of health supported to develop implementation plans.</w:t>
      </w:r>
    </w:p>
    <w:p w:rsidR="00A60FA6" w:rsidRPr="00714FB7" w:rsidRDefault="00080C1D" w:rsidP="00E501F1">
      <w:pPr>
        <w:pStyle w:val="ListParagraph"/>
        <w:numPr>
          <w:ilvl w:val="0"/>
          <w:numId w:val="26"/>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In reducing under</w:t>
      </w:r>
      <w:r w:rsidR="003A1C84" w:rsidRPr="00714FB7">
        <w:rPr>
          <w:rFonts w:ascii="Times New Roman" w:hAnsi="Times New Roman"/>
          <w:color w:val="auto"/>
          <w:sz w:val="24"/>
          <w:szCs w:val="24"/>
        </w:rPr>
        <w:t>-</w:t>
      </w:r>
      <w:r w:rsidRPr="00714FB7">
        <w:rPr>
          <w:rFonts w:ascii="Times New Roman" w:hAnsi="Times New Roman"/>
          <w:color w:val="auto"/>
          <w:sz w:val="24"/>
          <w:szCs w:val="24"/>
        </w:rPr>
        <w:t>5 mortality rate, the Department in the current financial year will produce four national quarterly dashboard reports with recommendations.</w:t>
      </w:r>
    </w:p>
    <w:p w:rsidR="00080C1D" w:rsidRPr="00714FB7" w:rsidRDefault="00080C1D" w:rsidP="00E501F1">
      <w:pPr>
        <w:pStyle w:val="ListParagraph"/>
        <w:numPr>
          <w:ilvl w:val="0"/>
          <w:numId w:val="26"/>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Situational analysis will be conducted on the implementation of the current surveillance system in the nine Provinces and Provincial reports will be produced.  Revised surveillance system will be drafted and presented to Tech</w:t>
      </w:r>
      <w:r w:rsidR="0053200C" w:rsidRPr="00714FB7">
        <w:rPr>
          <w:rFonts w:ascii="Times New Roman" w:hAnsi="Times New Roman"/>
          <w:color w:val="auto"/>
          <w:sz w:val="24"/>
          <w:szCs w:val="24"/>
        </w:rPr>
        <w:t xml:space="preserve"> </w:t>
      </w:r>
      <w:r w:rsidRPr="00714FB7">
        <w:rPr>
          <w:rFonts w:ascii="Times New Roman" w:hAnsi="Times New Roman"/>
          <w:color w:val="auto"/>
          <w:sz w:val="24"/>
          <w:szCs w:val="24"/>
        </w:rPr>
        <w:t>NHC for approval.</w:t>
      </w:r>
    </w:p>
    <w:p w:rsidR="00080C1D" w:rsidRPr="00714FB7" w:rsidRDefault="00080C1D" w:rsidP="00E501F1">
      <w:pPr>
        <w:pStyle w:val="ListParagraph"/>
        <w:numPr>
          <w:ilvl w:val="0"/>
          <w:numId w:val="26"/>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Guidelines for Adolescent and youth Health Policy (AYHP) will be produced in nine Provincial Departments of Health supported to develop implementation plans.</w:t>
      </w:r>
    </w:p>
    <w:p w:rsidR="00080C1D" w:rsidRPr="00714FB7" w:rsidRDefault="00080C1D" w:rsidP="00E501F1">
      <w:pPr>
        <w:pStyle w:val="ListParagraph"/>
        <w:numPr>
          <w:ilvl w:val="0"/>
          <w:numId w:val="26"/>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The Department will implement a combination of prevention and treatment interventions to reduce</w:t>
      </w:r>
      <w:r w:rsidR="007E0C75" w:rsidRPr="00714FB7">
        <w:rPr>
          <w:rFonts w:ascii="Times New Roman" w:hAnsi="Times New Roman"/>
          <w:color w:val="auto"/>
          <w:sz w:val="24"/>
          <w:szCs w:val="24"/>
        </w:rPr>
        <w:t xml:space="preserve"> the</w:t>
      </w:r>
      <w:r w:rsidRPr="00714FB7">
        <w:rPr>
          <w:rFonts w:ascii="Times New Roman" w:hAnsi="Times New Roman"/>
          <w:color w:val="auto"/>
          <w:sz w:val="24"/>
          <w:szCs w:val="24"/>
        </w:rPr>
        <w:t xml:space="preserve"> burden of HIV, STI and TB infections.</w:t>
      </w:r>
    </w:p>
    <w:p w:rsidR="00080C1D" w:rsidRPr="00714FB7" w:rsidRDefault="00080C1D" w:rsidP="00E501F1">
      <w:pPr>
        <w:pStyle w:val="ListParagraph"/>
        <w:numPr>
          <w:ilvl w:val="0"/>
          <w:numId w:val="26"/>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Three quarterly HIV and AIDS conditional grant reports will be produced and annual HIV Conditional grant report for 2016/17 financial year will also be produced.</w:t>
      </w:r>
    </w:p>
    <w:p w:rsidR="00080C1D" w:rsidRPr="00714FB7" w:rsidRDefault="00662CA5" w:rsidP="00E501F1">
      <w:pPr>
        <w:pStyle w:val="ListParagraph"/>
        <w:numPr>
          <w:ilvl w:val="0"/>
          <w:numId w:val="26"/>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 xml:space="preserve">HIV strategic plan outlining key actions and strategies for public </w:t>
      </w:r>
      <w:r w:rsidR="007E0C75" w:rsidRPr="00714FB7">
        <w:rPr>
          <w:rFonts w:ascii="Times New Roman" w:hAnsi="Times New Roman"/>
          <w:color w:val="auto"/>
          <w:sz w:val="24"/>
          <w:szCs w:val="24"/>
        </w:rPr>
        <w:t>health</w:t>
      </w:r>
      <w:r w:rsidRPr="00714FB7">
        <w:rPr>
          <w:rFonts w:ascii="Times New Roman" w:hAnsi="Times New Roman"/>
          <w:color w:val="auto"/>
          <w:sz w:val="24"/>
          <w:szCs w:val="24"/>
        </w:rPr>
        <w:t xml:space="preserve"> system will be developed and presented to Tech NHC for approval.</w:t>
      </w:r>
    </w:p>
    <w:p w:rsidR="003A1C84" w:rsidRPr="00714FB7" w:rsidRDefault="00662CA5" w:rsidP="003A1C84">
      <w:pPr>
        <w:pStyle w:val="ListParagraph"/>
        <w:numPr>
          <w:ilvl w:val="0"/>
          <w:numId w:val="26"/>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The Department will strengthen patient retention</w:t>
      </w:r>
      <w:r w:rsidR="003A1C84" w:rsidRPr="00714FB7">
        <w:rPr>
          <w:rFonts w:ascii="Times New Roman" w:hAnsi="Times New Roman"/>
          <w:color w:val="auto"/>
          <w:sz w:val="24"/>
          <w:szCs w:val="24"/>
        </w:rPr>
        <w:t xml:space="preserve"> in treatment and care for TB.</w:t>
      </w:r>
    </w:p>
    <w:p w:rsidR="00662CA5" w:rsidRPr="00714FB7" w:rsidRDefault="00662CA5" w:rsidP="003A1C84">
      <w:pPr>
        <w:pStyle w:val="ListParagraph"/>
        <w:numPr>
          <w:ilvl w:val="0"/>
          <w:numId w:val="26"/>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Eighteen MDR-TB treatment initiation facilities</w:t>
      </w:r>
      <w:r w:rsidR="003A1C84" w:rsidRPr="00714FB7">
        <w:rPr>
          <w:rFonts w:ascii="Times New Roman" w:hAnsi="Times New Roman"/>
          <w:color w:val="auto"/>
          <w:sz w:val="24"/>
          <w:szCs w:val="24"/>
        </w:rPr>
        <w:t xml:space="preserve"> </w:t>
      </w:r>
      <w:r w:rsidR="00D45F84" w:rsidRPr="00714FB7">
        <w:rPr>
          <w:rFonts w:ascii="Times New Roman" w:hAnsi="Times New Roman"/>
          <w:color w:val="auto"/>
          <w:sz w:val="24"/>
          <w:szCs w:val="24"/>
        </w:rPr>
        <w:t>will be audited to ensure compliance</w:t>
      </w:r>
      <w:r w:rsidR="00582259" w:rsidRPr="00714FB7">
        <w:rPr>
          <w:rFonts w:ascii="Times New Roman" w:hAnsi="Times New Roman"/>
          <w:color w:val="auto"/>
          <w:sz w:val="24"/>
          <w:szCs w:val="24"/>
        </w:rPr>
        <w:t xml:space="preserve"> to clinical guidelines</w:t>
      </w:r>
      <w:r w:rsidRPr="00714FB7">
        <w:rPr>
          <w:rFonts w:ascii="Times New Roman" w:hAnsi="Times New Roman"/>
          <w:color w:val="auto"/>
          <w:sz w:val="24"/>
          <w:szCs w:val="24"/>
        </w:rPr>
        <w:t>.</w:t>
      </w:r>
    </w:p>
    <w:p w:rsidR="00662CA5" w:rsidRPr="00714FB7" w:rsidRDefault="00662CA5" w:rsidP="00E501F1">
      <w:pPr>
        <w:pStyle w:val="ListParagraph"/>
        <w:numPr>
          <w:ilvl w:val="0"/>
          <w:numId w:val="26"/>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Four National Quarterly monitoring dashboard reports</w:t>
      </w:r>
      <w:r w:rsidR="003A1C84" w:rsidRPr="00714FB7">
        <w:rPr>
          <w:rFonts w:ascii="Times New Roman" w:hAnsi="Times New Roman"/>
          <w:color w:val="auto"/>
          <w:sz w:val="24"/>
          <w:szCs w:val="24"/>
        </w:rPr>
        <w:t xml:space="preserve"> for monitoring implementation of TB </w:t>
      </w:r>
      <w:r w:rsidR="00D45F84" w:rsidRPr="00714FB7">
        <w:rPr>
          <w:rFonts w:ascii="Times New Roman" w:hAnsi="Times New Roman"/>
          <w:color w:val="auto"/>
          <w:sz w:val="24"/>
          <w:szCs w:val="24"/>
        </w:rPr>
        <w:t>programmes</w:t>
      </w:r>
      <w:r w:rsidRPr="00714FB7">
        <w:rPr>
          <w:rFonts w:ascii="Times New Roman" w:hAnsi="Times New Roman"/>
          <w:color w:val="auto"/>
          <w:sz w:val="24"/>
          <w:szCs w:val="24"/>
        </w:rPr>
        <w:t xml:space="preserve"> will be produced with recommendations.</w:t>
      </w:r>
    </w:p>
    <w:p w:rsidR="00B37A96" w:rsidRPr="00714FB7" w:rsidRDefault="00662CA5" w:rsidP="00E501F1">
      <w:pPr>
        <w:pStyle w:val="ListParagraph"/>
        <w:numPr>
          <w:ilvl w:val="0"/>
          <w:numId w:val="26"/>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Twenty-four facilities will be reviewed during the provincial supervisory and support visits</w:t>
      </w:r>
      <w:r w:rsidR="00D45F84" w:rsidRPr="00714FB7">
        <w:rPr>
          <w:rFonts w:ascii="Times New Roman" w:hAnsi="Times New Roman"/>
          <w:color w:val="auto"/>
          <w:sz w:val="24"/>
          <w:szCs w:val="24"/>
        </w:rPr>
        <w:t xml:space="preserve"> to track implementation of the TB Quality Improvement Programme.</w:t>
      </w:r>
    </w:p>
    <w:p w:rsidR="00662CA5" w:rsidRPr="00714FB7" w:rsidRDefault="00662CA5" w:rsidP="00662CA5">
      <w:pPr>
        <w:spacing w:line="360" w:lineRule="auto"/>
        <w:jc w:val="both"/>
        <w:rPr>
          <w:rFonts w:ascii="Times New Roman" w:hAnsi="Times New Roman"/>
          <w:color w:val="auto"/>
          <w:sz w:val="24"/>
          <w:szCs w:val="24"/>
        </w:rPr>
      </w:pPr>
    </w:p>
    <w:p w:rsidR="00042343" w:rsidRPr="00714FB7" w:rsidRDefault="00042343" w:rsidP="00030895">
      <w:pPr>
        <w:pStyle w:val="ListParagraph"/>
        <w:numPr>
          <w:ilvl w:val="2"/>
          <w:numId w:val="78"/>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b/>
          <w:color w:val="auto"/>
          <w:sz w:val="24"/>
          <w:szCs w:val="24"/>
          <w:lang w:eastAsia="ko-KR"/>
        </w:rPr>
        <w:t xml:space="preserve">Programme 4: </w:t>
      </w:r>
      <w:r w:rsidR="00D90DB3" w:rsidRPr="00714FB7">
        <w:rPr>
          <w:rFonts w:ascii="Times New Roman" w:eastAsia="Batang" w:hAnsi="Times New Roman"/>
          <w:b/>
          <w:color w:val="auto"/>
          <w:sz w:val="24"/>
          <w:szCs w:val="24"/>
          <w:lang w:eastAsia="ko-KR"/>
        </w:rPr>
        <w:t>Primary Health Care Services (PHC)</w:t>
      </w:r>
    </w:p>
    <w:p w:rsidR="00D90DB3" w:rsidRPr="00714FB7" w:rsidRDefault="00D90DB3" w:rsidP="00DA36FC">
      <w:pPr>
        <w:spacing w:line="360" w:lineRule="auto"/>
        <w:ind w:left="360"/>
        <w:jc w:val="both"/>
        <w:rPr>
          <w:rFonts w:ascii="Times New Roman" w:eastAsia="Batang" w:hAnsi="Times New Roman"/>
          <w:b/>
          <w:color w:val="auto"/>
          <w:sz w:val="24"/>
          <w:szCs w:val="24"/>
          <w:lang w:eastAsia="ko-KR"/>
        </w:rPr>
      </w:pPr>
    </w:p>
    <w:p w:rsidR="00041CAB" w:rsidRPr="00714FB7" w:rsidRDefault="00672E4A" w:rsidP="005A1869">
      <w:p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 xml:space="preserve">The purpose of Primary Health Care Service Programme is to develop and oversee the implementation of legislation, policies, systems and norms and standards for a uniform well-functioning district health system, environmental health services, communicable disease control, non-communicable disease control as well as health promotion and nutrition programmes. </w:t>
      </w:r>
      <w:r w:rsidR="00041CAB" w:rsidRPr="00714FB7">
        <w:rPr>
          <w:rFonts w:ascii="Times New Roman" w:eastAsia="Batang" w:hAnsi="Times New Roman"/>
          <w:color w:val="auto"/>
          <w:sz w:val="24"/>
          <w:szCs w:val="24"/>
          <w:lang w:eastAsia="ko-KR"/>
        </w:rPr>
        <w:t>T</w:t>
      </w:r>
      <w:r w:rsidR="00624899" w:rsidRPr="00714FB7">
        <w:rPr>
          <w:rFonts w:ascii="Times New Roman" w:eastAsia="Batang" w:hAnsi="Times New Roman"/>
          <w:color w:val="auto"/>
          <w:sz w:val="24"/>
          <w:szCs w:val="24"/>
          <w:lang w:eastAsia="ko-KR"/>
        </w:rPr>
        <w:t>he t</w:t>
      </w:r>
      <w:r w:rsidR="00041CAB" w:rsidRPr="00714FB7">
        <w:rPr>
          <w:rFonts w:ascii="Times New Roman" w:hAnsi="Times New Roman"/>
          <w:color w:val="auto"/>
          <w:sz w:val="24"/>
          <w:szCs w:val="24"/>
        </w:rPr>
        <w:t xml:space="preserve">argets </w:t>
      </w:r>
      <w:r w:rsidR="00624899" w:rsidRPr="00714FB7">
        <w:rPr>
          <w:rFonts w:ascii="Times New Roman" w:hAnsi="Times New Roman"/>
          <w:color w:val="auto"/>
          <w:sz w:val="24"/>
          <w:szCs w:val="24"/>
        </w:rPr>
        <w:t xml:space="preserve">for </w:t>
      </w:r>
      <w:r w:rsidR="00041CAB" w:rsidRPr="00714FB7">
        <w:rPr>
          <w:rFonts w:ascii="Times New Roman" w:hAnsi="Times New Roman"/>
          <w:color w:val="auto"/>
          <w:sz w:val="24"/>
          <w:szCs w:val="24"/>
        </w:rPr>
        <w:t xml:space="preserve">Programme 4 for </w:t>
      </w:r>
      <w:r w:rsidR="00624899" w:rsidRPr="00714FB7">
        <w:rPr>
          <w:rFonts w:ascii="Times New Roman" w:hAnsi="Times New Roman"/>
          <w:color w:val="auto"/>
          <w:sz w:val="24"/>
          <w:szCs w:val="24"/>
        </w:rPr>
        <w:t>201</w:t>
      </w:r>
      <w:r w:rsidR="00662CA5" w:rsidRPr="00714FB7">
        <w:rPr>
          <w:rFonts w:ascii="Times New Roman" w:hAnsi="Times New Roman"/>
          <w:color w:val="auto"/>
          <w:sz w:val="24"/>
          <w:szCs w:val="24"/>
        </w:rPr>
        <w:t>7</w:t>
      </w:r>
      <w:r w:rsidR="00624899" w:rsidRPr="00714FB7">
        <w:rPr>
          <w:rFonts w:ascii="Times New Roman" w:hAnsi="Times New Roman"/>
          <w:color w:val="auto"/>
          <w:sz w:val="24"/>
          <w:szCs w:val="24"/>
        </w:rPr>
        <w:t>/1</w:t>
      </w:r>
      <w:r w:rsidR="00662CA5" w:rsidRPr="00714FB7">
        <w:rPr>
          <w:rFonts w:ascii="Times New Roman" w:hAnsi="Times New Roman"/>
          <w:color w:val="auto"/>
          <w:sz w:val="24"/>
          <w:szCs w:val="24"/>
        </w:rPr>
        <w:t>8</w:t>
      </w:r>
      <w:r w:rsidR="00624899" w:rsidRPr="00714FB7">
        <w:rPr>
          <w:rFonts w:ascii="Times New Roman" w:hAnsi="Times New Roman"/>
          <w:color w:val="auto"/>
          <w:sz w:val="24"/>
          <w:szCs w:val="24"/>
        </w:rPr>
        <w:t xml:space="preserve"> </w:t>
      </w:r>
      <w:r w:rsidR="00041CAB" w:rsidRPr="00714FB7">
        <w:rPr>
          <w:rFonts w:ascii="Times New Roman" w:hAnsi="Times New Roman"/>
          <w:color w:val="auto"/>
          <w:sz w:val="24"/>
          <w:szCs w:val="24"/>
        </w:rPr>
        <w:t>financial year</w:t>
      </w:r>
      <w:r w:rsidR="00624899" w:rsidRPr="00714FB7">
        <w:rPr>
          <w:rFonts w:ascii="Times New Roman" w:hAnsi="Times New Roman"/>
          <w:color w:val="auto"/>
          <w:sz w:val="24"/>
          <w:szCs w:val="24"/>
        </w:rPr>
        <w:t xml:space="preserve"> are</w:t>
      </w:r>
      <w:r w:rsidR="00186BFA" w:rsidRPr="00714FB7">
        <w:rPr>
          <w:rFonts w:ascii="Times New Roman" w:hAnsi="Times New Roman"/>
          <w:color w:val="auto"/>
          <w:sz w:val="24"/>
          <w:szCs w:val="24"/>
        </w:rPr>
        <w:t xml:space="preserve"> to</w:t>
      </w:r>
      <w:r w:rsidR="00041CAB" w:rsidRPr="00714FB7">
        <w:rPr>
          <w:rFonts w:ascii="Times New Roman" w:hAnsi="Times New Roman"/>
          <w:color w:val="auto"/>
          <w:sz w:val="24"/>
          <w:szCs w:val="24"/>
        </w:rPr>
        <w:t xml:space="preserve">: </w:t>
      </w:r>
    </w:p>
    <w:p w:rsidR="00672E4A" w:rsidRPr="00714FB7" w:rsidRDefault="00672E4A" w:rsidP="00DA36FC">
      <w:pPr>
        <w:spacing w:line="360" w:lineRule="auto"/>
        <w:jc w:val="both"/>
        <w:rPr>
          <w:rFonts w:ascii="Times New Roman" w:eastAsia="Batang" w:hAnsi="Times New Roman"/>
          <w:b/>
          <w:color w:val="auto"/>
          <w:sz w:val="24"/>
          <w:szCs w:val="24"/>
          <w:lang w:eastAsia="ko-KR"/>
        </w:rPr>
      </w:pPr>
    </w:p>
    <w:p w:rsidR="00662CA5" w:rsidRPr="00714FB7" w:rsidRDefault="00662CA5"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Improve district governance and strengthen management and leadership of the district health system.</w:t>
      </w:r>
    </w:p>
    <w:p w:rsidR="00662CA5" w:rsidRPr="00714FB7" w:rsidRDefault="00301880"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National Guidelines for District Health Management Structures will be approved.</w:t>
      </w:r>
    </w:p>
    <w:p w:rsidR="00301880" w:rsidRPr="00714FB7" w:rsidRDefault="00DF17B4"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Two thousand PHC facility Committees will be assessed to determine their functionality.</w:t>
      </w:r>
    </w:p>
    <w:p w:rsidR="00DF17B4" w:rsidRPr="00714FB7" w:rsidRDefault="00DF17B4"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Access to community based PHC services will be improved.</w:t>
      </w:r>
    </w:p>
    <w:p w:rsidR="00D35A68" w:rsidRPr="00714FB7" w:rsidRDefault="00D35A68"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One thousand primary health care facil</w:t>
      </w:r>
      <w:r w:rsidR="001D7FA9" w:rsidRPr="00714FB7">
        <w:rPr>
          <w:rFonts w:ascii="Times New Roman" w:eastAsia="Batang" w:hAnsi="Times New Roman"/>
          <w:color w:val="auto"/>
          <w:sz w:val="24"/>
          <w:szCs w:val="24"/>
          <w:lang w:eastAsia="ko-KR"/>
        </w:rPr>
        <w:t>ities in the 52 districts qualify</w:t>
      </w:r>
      <w:r w:rsidRPr="00714FB7">
        <w:rPr>
          <w:rFonts w:ascii="Times New Roman" w:eastAsia="Batang" w:hAnsi="Times New Roman"/>
          <w:color w:val="auto"/>
          <w:sz w:val="24"/>
          <w:szCs w:val="24"/>
          <w:lang w:eastAsia="ko-KR"/>
        </w:rPr>
        <w:t xml:space="preserve"> as Ideal Clinics.</w:t>
      </w:r>
    </w:p>
    <w:p w:rsidR="00D35A68" w:rsidRPr="00714FB7" w:rsidRDefault="00D35A68"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 xml:space="preserve">Accessibility of Primary Health Services to people with </w:t>
      </w:r>
      <w:r w:rsidR="00FB646B" w:rsidRPr="00714FB7">
        <w:rPr>
          <w:rFonts w:ascii="Times New Roman" w:eastAsia="Batang" w:hAnsi="Times New Roman"/>
          <w:color w:val="auto"/>
          <w:sz w:val="24"/>
          <w:szCs w:val="24"/>
          <w:lang w:eastAsia="ko-KR"/>
        </w:rPr>
        <w:t xml:space="preserve">physical disabilities will be improved. </w:t>
      </w:r>
    </w:p>
    <w:p w:rsidR="00FB646B" w:rsidRPr="00714FB7" w:rsidRDefault="00FB646B"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Ideal District Hospital Framework will be drafted and presented to NDHSC.</w:t>
      </w:r>
    </w:p>
    <w:p w:rsidR="00FB646B" w:rsidRPr="00714FB7" w:rsidRDefault="00FB646B"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Twenty municipalities are randomly selected and audited against environmental health norms and standards.</w:t>
      </w:r>
    </w:p>
    <w:p w:rsidR="00FB646B" w:rsidRPr="00714FB7" w:rsidRDefault="00FB646B"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Fifty public health facilities will be assessed for adherence to Health Care Risk Waste (HCRW) Norms and Standards.</w:t>
      </w:r>
    </w:p>
    <w:p w:rsidR="00FB646B" w:rsidRPr="00714FB7" w:rsidRDefault="00FB646B"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National Guidelines for District Health Management Structures will be approved.</w:t>
      </w:r>
    </w:p>
    <w:p w:rsidR="00FB646B" w:rsidRPr="00714FB7" w:rsidRDefault="00FB646B"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Two thousand PHC Facility Committees will be assessed to determine their functionality.</w:t>
      </w:r>
    </w:p>
    <w:p w:rsidR="00FB646B" w:rsidRPr="00714FB7" w:rsidRDefault="00FB646B"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Three media campaigns creating awareness of risk factors that contribute to NCDs will be conducted.</w:t>
      </w:r>
    </w:p>
    <w:p w:rsidR="00FB646B" w:rsidRPr="00714FB7" w:rsidRDefault="00FB646B"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Three Government Departments (Education, Social Development and Health) in nine provinces will be oriented on the National guide for healthy meal provision in the workplace.</w:t>
      </w:r>
    </w:p>
    <w:p w:rsidR="00FB646B" w:rsidRPr="00714FB7" w:rsidRDefault="00B766C0"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Consultations on the Draft Tobacco Product Bill led by Cabinet supp</w:t>
      </w:r>
      <w:r w:rsidR="00920C0A" w:rsidRPr="00714FB7">
        <w:rPr>
          <w:rFonts w:ascii="Times New Roman" w:eastAsia="Batang" w:hAnsi="Times New Roman"/>
          <w:color w:val="auto"/>
          <w:sz w:val="24"/>
          <w:szCs w:val="24"/>
          <w:lang w:eastAsia="ko-KR"/>
        </w:rPr>
        <w:t>orted and comments incorporated.</w:t>
      </w:r>
    </w:p>
    <w:p w:rsidR="00920C0A" w:rsidRPr="00714FB7" w:rsidRDefault="00920C0A"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In the current financial year</w:t>
      </w:r>
      <w:r w:rsidR="00AF2566" w:rsidRPr="00714FB7">
        <w:rPr>
          <w:rFonts w:ascii="Times New Roman" w:eastAsia="Batang" w:hAnsi="Times New Roman"/>
          <w:color w:val="auto"/>
          <w:sz w:val="24"/>
          <w:szCs w:val="24"/>
          <w:lang w:eastAsia="ko-KR"/>
        </w:rPr>
        <w:t>,</w:t>
      </w:r>
      <w:r w:rsidRPr="00714FB7">
        <w:rPr>
          <w:rFonts w:ascii="Times New Roman" w:eastAsia="Batang" w:hAnsi="Times New Roman"/>
          <w:color w:val="auto"/>
          <w:sz w:val="24"/>
          <w:szCs w:val="24"/>
          <w:lang w:eastAsia="ko-KR"/>
        </w:rPr>
        <w:t xml:space="preserve"> random samples from each of the 13 regulated food categories will be tested, reported on and corrective action taken.</w:t>
      </w:r>
    </w:p>
    <w:p w:rsidR="00920C0A" w:rsidRPr="00714FB7" w:rsidRDefault="00920C0A"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The Framework for National Health Commission will be presented to Cabinet for approval.</w:t>
      </w:r>
    </w:p>
    <w:p w:rsidR="00920C0A" w:rsidRPr="00714FB7" w:rsidRDefault="00920C0A"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Ten districts with mental health teams will be established.</w:t>
      </w:r>
    </w:p>
    <w:p w:rsidR="00920C0A" w:rsidRPr="00714FB7" w:rsidRDefault="00920C0A"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A survey will be conducted to determine the number of districts with an inter-disciplinary rehabilitation team.</w:t>
      </w:r>
    </w:p>
    <w:p w:rsidR="00FB646B" w:rsidRPr="00714FB7" w:rsidRDefault="00853F92"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 xml:space="preserve">Malaria will be eliminated so that there is zero local cases of malaria in South Africa by </w:t>
      </w:r>
      <w:r w:rsidR="006F2754" w:rsidRPr="00714FB7">
        <w:rPr>
          <w:rFonts w:ascii="Times New Roman" w:eastAsia="Batang" w:hAnsi="Times New Roman"/>
          <w:color w:val="auto"/>
          <w:sz w:val="24"/>
          <w:szCs w:val="24"/>
          <w:lang w:eastAsia="ko-KR"/>
        </w:rPr>
        <w:t>2020.</w:t>
      </w:r>
    </w:p>
    <w:p w:rsidR="006F2754" w:rsidRPr="00714FB7" w:rsidRDefault="006F2754"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In 2017/18 nine provincial outbreak response teams will be trained on infectious disease surveillance and response.</w:t>
      </w:r>
    </w:p>
    <w:p w:rsidR="006F2754" w:rsidRPr="00714FB7" w:rsidRDefault="006F2754"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 xml:space="preserve">The </w:t>
      </w:r>
      <w:r w:rsidR="002D43EF" w:rsidRPr="00714FB7">
        <w:rPr>
          <w:rFonts w:ascii="Times New Roman" w:eastAsia="Batang" w:hAnsi="Times New Roman"/>
          <w:color w:val="auto"/>
          <w:sz w:val="24"/>
          <w:szCs w:val="24"/>
          <w:lang w:eastAsia="ko-KR"/>
        </w:rPr>
        <w:t>D</w:t>
      </w:r>
      <w:r w:rsidRPr="00714FB7">
        <w:rPr>
          <w:rFonts w:ascii="Times New Roman" w:eastAsia="Batang" w:hAnsi="Times New Roman"/>
          <w:color w:val="auto"/>
          <w:sz w:val="24"/>
          <w:szCs w:val="24"/>
          <w:lang w:eastAsia="ko-KR"/>
        </w:rPr>
        <w:t>epartment will publish regulations for organ transplantation for public comment in the current financial year.</w:t>
      </w:r>
    </w:p>
    <w:p w:rsidR="006F2754" w:rsidRPr="00714FB7" w:rsidRDefault="006F2754"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Regulations for dialysis will be published in the current financial year.</w:t>
      </w:r>
    </w:p>
    <w:p w:rsidR="006F2754" w:rsidRPr="00714FB7" w:rsidRDefault="006F2754"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National Policy Framework and Strategy on Eye Health will be developed and presented to NHC.</w:t>
      </w:r>
    </w:p>
    <w:p w:rsidR="00BB2571" w:rsidRPr="00714FB7" w:rsidRDefault="006F2754" w:rsidP="00BA17D2">
      <w:pPr>
        <w:numPr>
          <w:ilvl w:val="0"/>
          <w:numId w:val="8"/>
        </w:num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Oral health policy and strategy will be drafted.</w:t>
      </w:r>
    </w:p>
    <w:p w:rsidR="00F7385C" w:rsidRPr="00714FB7" w:rsidRDefault="00F7385C" w:rsidP="00F7385C">
      <w:pPr>
        <w:spacing w:line="360" w:lineRule="auto"/>
        <w:ind w:left="786"/>
        <w:jc w:val="both"/>
        <w:rPr>
          <w:rFonts w:ascii="Times New Roman" w:eastAsia="Batang" w:hAnsi="Times New Roman"/>
          <w:color w:val="auto"/>
          <w:sz w:val="24"/>
          <w:szCs w:val="24"/>
          <w:lang w:eastAsia="ko-KR"/>
        </w:rPr>
      </w:pPr>
    </w:p>
    <w:p w:rsidR="00042343" w:rsidRPr="00714FB7" w:rsidRDefault="009E190E" w:rsidP="00030895">
      <w:pPr>
        <w:pStyle w:val="ListParagraph"/>
        <w:numPr>
          <w:ilvl w:val="2"/>
          <w:numId w:val="78"/>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b/>
          <w:color w:val="auto"/>
          <w:sz w:val="24"/>
          <w:szCs w:val="24"/>
          <w:lang w:eastAsia="ko-KR"/>
        </w:rPr>
        <w:t>Programme 5: Hospital, Tertiary Health Services and Human Resource Development</w:t>
      </w:r>
    </w:p>
    <w:p w:rsidR="001E094F" w:rsidRPr="00714FB7" w:rsidRDefault="001E094F" w:rsidP="00DA36FC">
      <w:pPr>
        <w:spacing w:line="360" w:lineRule="auto"/>
        <w:jc w:val="both"/>
        <w:rPr>
          <w:rFonts w:ascii="Times New Roman" w:eastAsia="Batang" w:hAnsi="Times New Roman"/>
          <w:b/>
          <w:color w:val="auto"/>
          <w:sz w:val="24"/>
          <w:szCs w:val="24"/>
          <w:lang w:eastAsia="ko-KR"/>
        </w:rPr>
      </w:pPr>
    </w:p>
    <w:p w:rsidR="00102B81" w:rsidRPr="00714FB7" w:rsidRDefault="00102B81" w:rsidP="00102B81">
      <w:p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 xml:space="preserve">The purpose of this programme is to develop policies, delivery models and clinical protocols for hospitals and emergency medical services. </w:t>
      </w:r>
      <w:r w:rsidR="00F7385C" w:rsidRPr="00714FB7">
        <w:rPr>
          <w:rFonts w:ascii="Times New Roman" w:eastAsia="Batang" w:hAnsi="Times New Roman"/>
          <w:color w:val="auto"/>
          <w:sz w:val="24"/>
          <w:szCs w:val="24"/>
          <w:lang w:eastAsia="ko-KR"/>
        </w:rPr>
        <w:t>It is also to e</w:t>
      </w:r>
      <w:r w:rsidRPr="00714FB7">
        <w:rPr>
          <w:rFonts w:ascii="Times New Roman" w:eastAsia="Batang" w:hAnsi="Times New Roman"/>
          <w:color w:val="auto"/>
          <w:sz w:val="24"/>
          <w:szCs w:val="24"/>
          <w:lang w:eastAsia="ko-KR"/>
        </w:rPr>
        <w:t>nsure alignment of academic medical centres with health workforce programmes, training of health professionals and to ensure the planning of health infrastructure meet the health needs of the country.</w:t>
      </w:r>
      <w:r w:rsidR="00F7385C" w:rsidRPr="00714FB7">
        <w:rPr>
          <w:rFonts w:ascii="Times New Roman" w:eastAsia="Batang" w:hAnsi="Times New Roman"/>
          <w:color w:val="auto"/>
          <w:sz w:val="24"/>
          <w:szCs w:val="24"/>
          <w:lang w:eastAsia="ko-KR"/>
        </w:rPr>
        <w:t xml:space="preserve">  This programme will also assist the government to achieve the population health goals of the country through nursing and midwifery, by the provision of expert policy and technical advice and recommendations on the role of nurses in attainment of desired health outputs.</w:t>
      </w:r>
      <w:r w:rsidRPr="00714FB7">
        <w:rPr>
          <w:rFonts w:ascii="Times New Roman" w:eastAsia="Batang" w:hAnsi="Times New Roman"/>
          <w:color w:val="auto"/>
          <w:sz w:val="24"/>
          <w:szCs w:val="24"/>
          <w:lang w:eastAsia="ko-KR"/>
        </w:rPr>
        <w:t xml:space="preserve"> Below are</w:t>
      </w:r>
      <w:r w:rsidRPr="00714FB7">
        <w:rPr>
          <w:rFonts w:ascii="Times New Roman" w:hAnsi="Times New Roman"/>
          <w:color w:val="auto"/>
          <w:sz w:val="24"/>
          <w:szCs w:val="24"/>
        </w:rPr>
        <w:t xml:space="preserve"> targets under Programme 5 for </w:t>
      </w:r>
      <w:r w:rsidR="00F7385C" w:rsidRPr="00714FB7">
        <w:rPr>
          <w:rFonts w:ascii="Times New Roman" w:hAnsi="Times New Roman"/>
          <w:color w:val="auto"/>
          <w:sz w:val="24"/>
          <w:szCs w:val="24"/>
        </w:rPr>
        <w:t>the current financial year (2017</w:t>
      </w:r>
      <w:r w:rsidRPr="00714FB7">
        <w:rPr>
          <w:rFonts w:ascii="Times New Roman" w:hAnsi="Times New Roman"/>
          <w:color w:val="auto"/>
          <w:sz w:val="24"/>
          <w:szCs w:val="24"/>
        </w:rPr>
        <w:t>/1</w:t>
      </w:r>
      <w:r w:rsidR="00F7385C" w:rsidRPr="00714FB7">
        <w:rPr>
          <w:rFonts w:ascii="Times New Roman" w:hAnsi="Times New Roman"/>
          <w:color w:val="auto"/>
          <w:sz w:val="24"/>
          <w:szCs w:val="24"/>
        </w:rPr>
        <w:t>8</w:t>
      </w:r>
      <w:r w:rsidRPr="00714FB7">
        <w:rPr>
          <w:rFonts w:ascii="Times New Roman" w:hAnsi="Times New Roman"/>
          <w:color w:val="auto"/>
          <w:sz w:val="24"/>
          <w:szCs w:val="24"/>
        </w:rPr>
        <w:t xml:space="preserve">): </w:t>
      </w:r>
    </w:p>
    <w:p w:rsidR="00A96DC6" w:rsidRPr="00714FB7" w:rsidRDefault="00A96DC6" w:rsidP="00DA36FC">
      <w:pPr>
        <w:spacing w:line="360" w:lineRule="auto"/>
        <w:jc w:val="both"/>
        <w:rPr>
          <w:rFonts w:ascii="Times New Roman" w:eastAsia="Batang" w:hAnsi="Times New Roman"/>
          <w:color w:val="auto"/>
          <w:sz w:val="24"/>
          <w:szCs w:val="24"/>
          <w:lang w:eastAsia="ko-KR"/>
        </w:rPr>
      </w:pPr>
    </w:p>
    <w:p w:rsidR="00F7385C" w:rsidRPr="00714FB7" w:rsidRDefault="00C82708" w:rsidP="00BA17D2">
      <w:pPr>
        <w:numPr>
          <w:ilvl w:val="0"/>
          <w:numId w:val="9"/>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 xml:space="preserve">The </w:t>
      </w:r>
      <w:r w:rsidR="002D43EF" w:rsidRPr="00714FB7">
        <w:rPr>
          <w:rFonts w:ascii="Times New Roman" w:eastAsia="Batang" w:hAnsi="Times New Roman"/>
          <w:color w:val="auto"/>
          <w:sz w:val="24"/>
          <w:szCs w:val="24"/>
          <w:lang w:eastAsia="ko-KR"/>
        </w:rPr>
        <w:t>d</w:t>
      </w:r>
      <w:r w:rsidRPr="00714FB7">
        <w:rPr>
          <w:rFonts w:ascii="Times New Roman" w:eastAsia="Batang" w:hAnsi="Times New Roman"/>
          <w:color w:val="auto"/>
          <w:sz w:val="24"/>
          <w:szCs w:val="24"/>
          <w:lang w:eastAsia="ko-KR"/>
        </w:rPr>
        <w:t>epartment will e</w:t>
      </w:r>
      <w:r w:rsidR="00521F50" w:rsidRPr="00714FB7">
        <w:rPr>
          <w:rFonts w:ascii="Times New Roman" w:eastAsia="Batang" w:hAnsi="Times New Roman"/>
          <w:color w:val="auto"/>
          <w:sz w:val="24"/>
          <w:szCs w:val="24"/>
          <w:lang w:eastAsia="ko-KR"/>
        </w:rPr>
        <w:t xml:space="preserve">nsure </w:t>
      </w:r>
      <w:r w:rsidR="00F7385C" w:rsidRPr="00714FB7">
        <w:rPr>
          <w:rFonts w:ascii="Times New Roman" w:eastAsia="Batang" w:hAnsi="Times New Roman"/>
          <w:color w:val="auto"/>
          <w:sz w:val="24"/>
          <w:szCs w:val="24"/>
          <w:lang w:eastAsia="ko-KR"/>
        </w:rPr>
        <w:t>the quality health care by improving compliance with National Core Standards at all central, tertiary, regional and specialised hospitals.</w:t>
      </w:r>
    </w:p>
    <w:p w:rsidR="00F7385C" w:rsidRPr="00714FB7" w:rsidRDefault="002D43EF" w:rsidP="00BA17D2">
      <w:pPr>
        <w:numPr>
          <w:ilvl w:val="0"/>
          <w:numId w:val="9"/>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The d</w:t>
      </w:r>
      <w:r w:rsidR="00F7385C" w:rsidRPr="00714FB7">
        <w:rPr>
          <w:rFonts w:ascii="Times New Roman" w:eastAsia="Batang" w:hAnsi="Times New Roman"/>
          <w:color w:val="auto"/>
          <w:sz w:val="24"/>
          <w:szCs w:val="24"/>
          <w:lang w:eastAsia="ko-KR"/>
        </w:rPr>
        <w:t>epartment will increase the capacity of central hospitals to strengthen local decision making and accountability to facilitate semi-autonomy of ten central hospitals.</w:t>
      </w:r>
    </w:p>
    <w:p w:rsidR="00F7385C" w:rsidRPr="00714FB7" w:rsidRDefault="00F7385C" w:rsidP="00BA17D2">
      <w:pPr>
        <w:numPr>
          <w:ilvl w:val="0"/>
          <w:numId w:val="9"/>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 xml:space="preserve">In the current financial year, the </w:t>
      </w:r>
      <w:r w:rsidR="002D43EF" w:rsidRPr="00714FB7">
        <w:rPr>
          <w:rFonts w:ascii="Times New Roman" w:eastAsia="Batang" w:hAnsi="Times New Roman"/>
          <w:color w:val="auto"/>
          <w:sz w:val="24"/>
          <w:szCs w:val="24"/>
          <w:lang w:eastAsia="ko-KR"/>
        </w:rPr>
        <w:t>d</w:t>
      </w:r>
      <w:r w:rsidRPr="00714FB7">
        <w:rPr>
          <w:rFonts w:ascii="Times New Roman" w:eastAsia="Batang" w:hAnsi="Times New Roman"/>
          <w:color w:val="auto"/>
          <w:sz w:val="24"/>
          <w:szCs w:val="24"/>
          <w:lang w:eastAsia="ko-KR"/>
        </w:rPr>
        <w:t>epartment will develop and implement workforce staffing norms and standards.</w:t>
      </w:r>
    </w:p>
    <w:p w:rsidR="003F6375" w:rsidRPr="00714FB7" w:rsidRDefault="003F6375" w:rsidP="00BA17D2">
      <w:pPr>
        <w:numPr>
          <w:ilvl w:val="0"/>
          <w:numId w:val="9"/>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 xml:space="preserve">The </w:t>
      </w:r>
      <w:r w:rsidR="002D43EF" w:rsidRPr="00714FB7">
        <w:rPr>
          <w:rFonts w:ascii="Times New Roman" w:eastAsia="Batang" w:hAnsi="Times New Roman"/>
          <w:color w:val="auto"/>
          <w:sz w:val="24"/>
          <w:szCs w:val="24"/>
          <w:lang w:eastAsia="ko-KR"/>
        </w:rPr>
        <w:t>d</w:t>
      </w:r>
      <w:r w:rsidRPr="00714FB7">
        <w:rPr>
          <w:rFonts w:ascii="Times New Roman" w:eastAsia="Batang" w:hAnsi="Times New Roman"/>
          <w:color w:val="auto"/>
          <w:sz w:val="24"/>
          <w:szCs w:val="24"/>
          <w:lang w:eastAsia="ko-KR"/>
        </w:rPr>
        <w:t xml:space="preserve">epartment will review and revise the current </w:t>
      </w:r>
      <w:r w:rsidR="00AF2566" w:rsidRPr="00714FB7">
        <w:rPr>
          <w:rFonts w:ascii="Times New Roman" w:eastAsia="Batang" w:hAnsi="Times New Roman"/>
          <w:color w:val="auto"/>
          <w:sz w:val="24"/>
          <w:szCs w:val="24"/>
          <w:lang w:eastAsia="ko-KR"/>
        </w:rPr>
        <w:t xml:space="preserve">Human Resources for Health </w:t>
      </w:r>
      <w:r w:rsidRPr="00714FB7">
        <w:rPr>
          <w:rFonts w:ascii="Times New Roman" w:eastAsia="Batang" w:hAnsi="Times New Roman"/>
          <w:color w:val="auto"/>
          <w:sz w:val="24"/>
          <w:szCs w:val="24"/>
          <w:lang w:eastAsia="ko-KR"/>
        </w:rPr>
        <w:t>(HRH) strategy.  The strategy will be tabled at Tech</w:t>
      </w:r>
      <w:r w:rsidR="0053200C" w:rsidRPr="00714FB7">
        <w:rPr>
          <w:rFonts w:ascii="Times New Roman" w:eastAsia="Batang" w:hAnsi="Times New Roman"/>
          <w:color w:val="auto"/>
          <w:sz w:val="24"/>
          <w:szCs w:val="24"/>
          <w:lang w:eastAsia="ko-KR"/>
        </w:rPr>
        <w:t xml:space="preserve"> </w:t>
      </w:r>
      <w:r w:rsidRPr="00714FB7">
        <w:rPr>
          <w:rFonts w:ascii="Times New Roman" w:eastAsia="Batang" w:hAnsi="Times New Roman"/>
          <w:color w:val="auto"/>
          <w:sz w:val="24"/>
          <w:szCs w:val="24"/>
          <w:lang w:eastAsia="ko-KR"/>
        </w:rPr>
        <w:t>NHC</w:t>
      </w:r>
      <w:r w:rsidR="00AF2566" w:rsidRPr="00714FB7">
        <w:rPr>
          <w:rFonts w:ascii="Times New Roman" w:eastAsia="Batang" w:hAnsi="Times New Roman"/>
          <w:color w:val="auto"/>
          <w:sz w:val="24"/>
          <w:szCs w:val="24"/>
          <w:lang w:eastAsia="ko-KR"/>
        </w:rPr>
        <w:t>.</w:t>
      </w:r>
    </w:p>
    <w:p w:rsidR="003F6375" w:rsidRPr="00714FB7" w:rsidRDefault="003F6375" w:rsidP="00BA17D2">
      <w:pPr>
        <w:numPr>
          <w:ilvl w:val="0"/>
          <w:numId w:val="9"/>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The Ministerial Task Team will be established in the current financial year and expanded academic integration programme finalised for their final year training in South Africa.</w:t>
      </w:r>
    </w:p>
    <w:p w:rsidR="00F7385C" w:rsidRPr="00714FB7" w:rsidRDefault="00361898" w:rsidP="00BA17D2">
      <w:pPr>
        <w:numPr>
          <w:ilvl w:val="0"/>
          <w:numId w:val="9"/>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New basic nursing qualification programmes will be finalised and eight colleges will have customised draft curricula in the current financial year.</w:t>
      </w:r>
    </w:p>
    <w:p w:rsidR="00F7385C" w:rsidRPr="00714FB7" w:rsidRDefault="00361898" w:rsidP="00BA17D2">
      <w:pPr>
        <w:numPr>
          <w:ilvl w:val="0"/>
          <w:numId w:val="9"/>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Norms and standards for decentralised clinical training platform will be drafted and consulted.</w:t>
      </w:r>
    </w:p>
    <w:p w:rsidR="00F7385C" w:rsidRPr="00714FB7" w:rsidRDefault="00361898" w:rsidP="00BA17D2">
      <w:pPr>
        <w:numPr>
          <w:ilvl w:val="0"/>
          <w:numId w:val="9"/>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 xml:space="preserve">In the current financial year, the </w:t>
      </w:r>
      <w:r w:rsidR="002D43EF" w:rsidRPr="00714FB7">
        <w:rPr>
          <w:rFonts w:ascii="Times New Roman" w:eastAsia="Batang" w:hAnsi="Times New Roman"/>
          <w:color w:val="auto"/>
          <w:sz w:val="24"/>
          <w:szCs w:val="24"/>
          <w:lang w:eastAsia="ko-KR"/>
        </w:rPr>
        <w:t>d</w:t>
      </w:r>
      <w:r w:rsidRPr="00714FB7">
        <w:rPr>
          <w:rFonts w:ascii="Times New Roman" w:eastAsia="Batang" w:hAnsi="Times New Roman"/>
          <w:color w:val="auto"/>
          <w:sz w:val="24"/>
          <w:szCs w:val="24"/>
          <w:lang w:eastAsia="ko-KR"/>
        </w:rPr>
        <w:t>epartment will repair, refurbish and maintain 197 facilities in the NHI districts.</w:t>
      </w:r>
    </w:p>
    <w:p w:rsidR="00361898" w:rsidRPr="00714FB7" w:rsidRDefault="00361898" w:rsidP="00BA17D2">
      <w:pPr>
        <w:numPr>
          <w:ilvl w:val="0"/>
          <w:numId w:val="9"/>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 xml:space="preserve">The </w:t>
      </w:r>
      <w:r w:rsidR="002D43EF" w:rsidRPr="00714FB7">
        <w:rPr>
          <w:rFonts w:ascii="Times New Roman" w:eastAsia="Batang" w:hAnsi="Times New Roman"/>
          <w:color w:val="auto"/>
          <w:sz w:val="24"/>
          <w:szCs w:val="24"/>
          <w:lang w:eastAsia="ko-KR"/>
        </w:rPr>
        <w:t>d</w:t>
      </w:r>
      <w:r w:rsidRPr="00714FB7">
        <w:rPr>
          <w:rFonts w:ascii="Times New Roman" w:eastAsia="Batang" w:hAnsi="Times New Roman"/>
          <w:color w:val="auto"/>
          <w:sz w:val="24"/>
          <w:szCs w:val="24"/>
          <w:lang w:eastAsia="ko-KR"/>
        </w:rPr>
        <w:t>epartment will repair, refurbish and maintain 321 facilities outside the NHI pilot districts.</w:t>
      </w:r>
    </w:p>
    <w:p w:rsidR="00361898" w:rsidRPr="00714FB7" w:rsidRDefault="00361898" w:rsidP="00BA17D2">
      <w:pPr>
        <w:numPr>
          <w:ilvl w:val="0"/>
          <w:numId w:val="9"/>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 xml:space="preserve">In the current financial year, the </w:t>
      </w:r>
      <w:r w:rsidR="002D43EF" w:rsidRPr="00714FB7">
        <w:rPr>
          <w:rFonts w:ascii="Times New Roman" w:eastAsia="Batang" w:hAnsi="Times New Roman"/>
          <w:color w:val="auto"/>
          <w:sz w:val="24"/>
          <w:szCs w:val="24"/>
          <w:lang w:eastAsia="ko-KR"/>
        </w:rPr>
        <w:t>d</w:t>
      </w:r>
      <w:r w:rsidRPr="00714FB7">
        <w:rPr>
          <w:rFonts w:ascii="Times New Roman" w:eastAsia="Batang" w:hAnsi="Times New Roman"/>
          <w:color w:val="auto"/>
          <w:sz w:val="24"/>
          <w:szCs w:val="24"/>
          <w:lang w:eastAsia="ko-KR"/>
        </w:rPr>
        <w:t xml:space="preserve">epartment will construct </w:t>
      </w:r>
      <w:r w:rsidR="00ED4539" w:rsidRPr="00714FB7">
        <w:rPr>
          <w:rFonts w:ascii="Times New Roman" w:eastAsia="Batang" w:hAnsi="Times New Roman"/>
          <w:color w:val="auto"/>
          <w:sz w:val="24"/>
          <w:szCs w:val="24"/>
          <w:lang w:eastAsia="ko-KR"/>
        </w:rPr>
        <w:t>or revitalise 42 clinics and community health centres.</w:t>
      </w:r>
    </w:p>
    <w:p w:rsidR="00ED4539" w:rsidRPr="00714FB7" w:rsidRDefault="00ED4539" w:rsidP="00BA17D2">
      <w:pPr>
        <w:numPr>
          <w:ilvl w:val="0"/>
          <w:numId w:val="9"/>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 xml:space="preserve">The </w:t>
      </w:r>
      <w:r w:rsidR="002D43EF" w:rsidRPr="00714FB7">
        <w:rPr>
          <w:rFonts w:ascii="Times New Roman" w:eastAsia="Batang" w:hAnsi="Times New Roman"/>
          <w:color w:val="auto"/>
          <w:sz w:val="24"/>
          <w:szCs w:val="24"/>
          <w:lang w:eastAsia="ko-KR"/>
        </w:rPr>
        <w:t>d</w:t>
      </w:r>
      <w:r w:rsidRPr="00714FB7">
        <w:rPr>
          <w:rFonts w:ascii="Times New Roman" w:eastAsia="Batang" w:hAnsi="Times New Roman"/>
          <w:color w:val="auto"/>
          <w:sz w:val="24"/>
          <w:szCs w:val="24"/>
          <w:lang w:eastAsia="ko-KR"/>
        </w:rPr>
        <w:t>epartment will construct or revitalise eight hospitals.</w:t>
      </w:r>
    </w:p>
    <w:p w:rsidR="00ED4539" w:rsidRPr="00714FB7" w:rsidRDefault="00ED4539" w:rsidP="00BA17D2">
      <w:pPr>
        <w:numPr>
          <w:ilvl w:val="0"/>
          <w:numId w:val="9"/>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Compliance checklist will be finalised and presented to Tech</w:t>
      </w:r>
      <w:r w:rsidR="0053200C" w:rsidRPr="00714FB7">
        <w:rPr>
          <w:rFonts w:ascii="Times New Roman" w:eastAsia="Batang" w:hAnsi="Times New Roman"/>
          <w:color w:val="auto"/>
          <w:sz w:val="24"/>
          <w:szCs w:val="24"/>
          <w:lang w:eastAsia="ko-KR"/>
        </w:rPr>
        <w:t xml:space="preserve"> </w:t>
      </w:r>
      <w:r w:rsidRPr="00714FB7">
        <w:rPr>
          <w:rFonts w:ascii="Times New Roman" w:eastAsia="Batang" w:hAnsi="Times New Roman"/>
          <w:color w:val="auto"/>
          <w:sz w:val="24"/>
          <w:szCs w:val="24"/>
          <w:lang w:eastAsia="ko-KR"/>
        </w:rPr>
        <w:t xml:space="preserve">NHC for approval in the current financial year.  </w:t>
      </w:r>
    </w:p>
    <w:p w:rsidR="00F7385C" w:rsidRPr="00714FB7" w:rsidRDefault="00ED4539" w:rsidP="00BA17D2">
      <w:pPr>
        <w:numPr>
          <w:ilvl w:val="0"/>
          <w:numId w:val="9"/>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Nine provincial department of health baseline assessments will be conducted and reports produce to determine compliance levels.</w:t>
      </w:r>
    </w:p>
    <w:p w:rsidR="00ED4539" w:rsidRPr="00714FB7" w:rsidRDefault="00ED4539" w:rsidP="00BA17D2">
      <w:pPr>
        <w:numPr>
          <w:ilvl w:val="0"/>
          <w:numId w:val="9"/>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 xml:space="preserve">The </w:t>
      </w:r>
      <w:r w:rsidR="002D43EF" w:rsidRPr="00714FB7">
        <w:rPr>
          <w:rFonts w:ascii="Times New Roman" w:eastAsia="Batang" w:hAnsi="Times New Roman"/>
          <w:color w:val="auto"/>
          <w:sz w:val="24"/>
          <w:szCs w:val="24"/>
          <w:lang w:eastAsia="ko-KR"/>
        </w:rPr>
        <w:t>d</w:t>
      </w:r>
      <w:r w:rsidRPr="00714FB7">
        <w:rPr>
          <w:rFonts w:ascii="Times New Roman" w:eastAsia="Batang" w:hAnsi="Times New Roman"/>
          <w:color w:val="auto"/>
          <w:sz w:val="24"/>
          <w:szCs w:val="24"/>
          <w:lang w:eastAsia="ko-KR"/>
        </w:rPr>
        <w:t>epartment will eliminate the backlog of blood alcohol test in all four laboratories.</w:t>
      </w:r>
    </w:p>
    <w:p w:rsidR="00F7385C" w:rsidRPr="00714FB7" w:rsidRDefault="00ED4539" w:rsidP="00BA17D2">
      <w:pPr>
        <w:numPr>
          <w:ilvl w:val="0"/>
          <w:numId w:val="9"/>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 xml:space="preserve">The </w:t>
      </w:r>
      <w:r w:rsidR="002D43EF" w:rsidRPr="00714FB7">
        <w:rPr>
          <w:rFonts w:ascii="Times New Roman" w:eastAsia="Batang" w:hAnsi="Times New Roman"/>
          <w:color w:val="auto"/>
          <w:sz w:val="24"/>
          <w:szCs w:val="24"/>
          <w:lang w:eastAsia="ko-KR"/>
        </w:rPr>
        <w:t>d</w:t>
      </w:r>
      <w:r w:rsidRPr="00714FB7">
        <w:rPr>
          <w:rFonts w:ascii="Times New Roman" w:eastAsia="Batang" w:hAnsi="Times New Roman"/>
          <w:color w:val="auto"/>
          <w:sz w:val="24"/>
          <w:szCs w:val="24"/>
          <w:lang w:eastAsia="ko-KR"/>
        </w:rPr>
        <w:t>epartment will eliminate 40% backlog for toxicology tests.</w:t>
      </w:r>
    </w:p>
    <w:p w:rsidR="00ED4539" w:rsidRPr="00714FB7" w:rsidRDefault="00ED4539" w:rsidP="00BA17D2">
      <w:pPr>
        <w:numPr>
          <w:ilvl w:val="0"/>
          <w:numId w:val="9"/>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In the current financial year, a memorandum of under</w:t>
      </w:r>
      <w:r w:rsidR="00AD4473" w:rsidRPr="00714FB7">
        <w:rPr>
          <w:rFonts w:ascii="Times New Roman" w:eastAsia="Batang" w:hAnsi="Times New Roman"/>
          <w:color w:val="auto"/>
          <w:sz w:val="24"/>
          <w:szCs w:val="24"/>
          <w:lang w:eastAsia="ko-KR"/>
        </w:rPr>
        <w:t>standing will be signed</w:t>
      </w:r>
      <w:r w:rsidRPr="00714FB7">
        <w:rPr>
          <w:rFonts w:ascii="Times New Roman" w:eastAsia="Batang" w:hAnsi="Times New Roman"/>
          <w:color w:val="auto"/>
          <w:sz w:val="24"/>
          <w:szCs w:val="24"/>
          <w:lang w:eastAsia="ko-KR"/>
        </w:rPr>
        <w:t xml:space="preserve"> between the National Department of Health and the Department of Transport to implement the roadside testing programme.</w:t>
      </w:r>
    </w:p>
    <w:p w:rsidR="00ED4539" w:rsidRPr="00714FB7" w:rsidRDefault="00ED4539" w:rsidP="00BA17D2">
      <w:pPr>
        <w:numPr>
          <w:ilvl w:val="0"/>
          <w:numId w:val="9"/>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In the current financial year, 100% food tests will be completed within normative turnaround time.</w:t>
      </w:r>
    </w:p>
    <w:p w:rsidR="00ED4539" w:rsidRPr="00714FB7" w:rsidRDefault="00ED4539" w:rsidP="00BA17D2">
      <w:pPr>
        <w:numPr>
          <w:ilvl w:val="0"/>
          <w:numId w:val="9"/>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Fourth quarterly monitoring reports will be produced to determine compliance with policy on education and training.</w:t>
      </w:r>
    </w:p>
    <w:p w:rsidR="00ED4539" w:rsidRPr="00714FB7" w:rsidRDefault="00ED4539" w:rsidP="00BA17D2">
      <w:pPr>
        <w:numPr>
          <w:ilvl w:val="0"/>
          <w:numId w:val="9"/>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Regulations for Emergency Care Centres will be published for public comment in the current financial year.</w:t>
      </w:r>
    </w:p>
    <w:p w:rsidR="00ED4539" w:rsidRPr="00714FB7" w:rsidRDefault="00ED4539" w:rsidP="00BA17D2">
      <w:pPr>
        <w:numPr>
          <w:ilvl w:val="0"/>
          <w:numId w:val="9"/>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A monitoring system will be developed and consulted with Tech</w:t>
      </w:r>
      <w:r w:rsidR="0053200C" w:rsidRPr="00714FB7">
        <w:rPr>
          <w:rFonts w:ascii="Times New Roman" w:eastAsia="Batang" w:hAnsi="Times New Roman"/>
          <w:color w:val="auto"/>
          <w:sz w:val="24"/>
          <w:szCs w:val="24"/>
          <w:lang w:eastAsia="ko-KR"/>
        </w:rPr>
        <w:t xml:space="preserve"> </w:t>
      </w:r>
      <w:r w:rsidRPr="00714FB7">
        <w:rPr>
          <w:rFonts w:ascii="Times New Roman" w:eastAsia="Batang" w:hAnsi="Times New Roman"/>
          <w:color w:val="auto"/>
          <w:sz w:val="24"/>
          <w:szCs w:val="24"/>
          <w:lang w:eastAsia="ko-KR"/>
        </w:rPr>
        <w:t>NHC to measure compliance with regulations for EMS in mass gatherings</w:t>
      </w:r>
      <w:r w:rsidR="00E11CFE" w:rsidRPr="00714FB7">
        <w:rPr>
          <w:rFonts w:ascii="Times New Roman" w:eastAsia="Batang" w:hAnsi="Times New Roman"/>
          <w:color w:val="auto"/>
          <w:sz w:val="24"/>
          <w:szCs w:val="24"/>
          <w:lang w:eastAsia="ko-KR"/>
        </w:rPr>
        <w:t>.</w:t>
      </w:r>
    </w:p>
    <w:p w:rsidR="00E11CFE" w:rsidRPr="00714FB7" w:rsidRDefault="00E11CFE" w:rsidP="00BA17D2">
      <w:pPr>
        <w:numPr>
          <w:ilvl w:val="0"/>
          <w:numId w:val="9"/>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In the current financial year, a monitoring system will be developed to measure compliance with regulations for the rendering of forensic pathology services.</w:t>
      </w:r>
    </w:p>
    <w:p w:rsidR="00E11CFE" w:rsidRPr="00714FB7" w:rsidRDefault="00E11CFE" w:rsidP="00BA17D2">
      <w:pPr>
        <w:numPr>
          <w:ilvl w:val="0"/>
          <w:numId w:val="9"/>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 xml:space="preserve">The </w:t>
      </w:r>
      <w:r w:rsidR="002D43EF" w:rsidRPr="00714FB7">
        <w:rPr>
          <w:rFonts w:ascii="Times New Roman" w:eastAsia="Batang" w:hAnsi="Times New Roman"/>
          <w:color w:val="auto"/>
          <w:sz w:val="24"/>
          <w:szCs w:val="24"/>
          <w:lang w:eastAsia="ko-KR"/>
        </w:rPr>
        <w:t>d</w:t>
      </w:r>
      <w:r w:rsidRPr="00714FB7">
        <w:rPr>
          <w:rFonts w:ascii="Times New Roman" w:eastAsia="Batang" w:hAnsi="Times New Roman"/>
          <w:color w:val="auto"/>
          <w:sz w:val="24"/>
          <w:szCs w:val="24"/>
          <w:lang w:eastAsia="ko-KR"/>
        </w:rPr>
        <w:t>epartment will develop a monitoring system and implement to measure compliance with forensic pathology services scope of practice.</w:t>
      </w:r>
    </w:p>
    <w:p w:rsidR="00E11CFE" w:rsidRPr="00714FB7" w:rsidRDefault="00E11CFE" w:rsidP="00BA17D2">
      <w:pPr>
        <w:numPr>
          <w:ilvl w:val="0"/>
          <w:numId w:val="9"/>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Biannual monitoring reports will be produced at facilities which render services for the management of sexual and related offences.</w:t>
      </w:r>
    </w:p>
    <w:p w:rsidR="00F7385C" w:rsidRPr="00714FB7" w:rsidRDefault="00F7385C" w:rsidP="00BD6959">
      <w:pPr>
        <w:spacing w:line="360" w:lineRule="auto"/>
        <w:ind w:left="720"/>
        <w:jc w:val="both"/>
        <w:rPr>
          <w:rFonts w:ascii="Times New Roman" w:eastAsia="Batang" w:hAnsi="Times New Roman"/>
          <w:b/>
          <w:color w:val="auto"/>
          <w:sz w:val="24"/>
          <w:szCs w:val="24"/>
          <w:lang w:eastAsia="ko-KR"/>
        </w:rPr>
      </w:pPr>
    </w:p>
    <w:p w:rsidR="003E1D1A" w:rsidRPr="00714FB7" w:rsidRDefault="007A44CA" w:rsidP="00030895">
      <w:pPr>
        <w:pStyle w:val="ListParagraph"/>
        <w:numPr>
          <w:ilvl w:val="2"/>
          <w:numId w:val="78"/>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b/>
          <w:color w:val="auto"/>
          <w:sz w:val="24"/>
          <w:szCs w:val="24"/>
          <w:lang w:eastAsia="ko-KR"/>
        </w:rPr>
        <w:t>Programme 6: Health Regulation and Compliance Management</w:t>
      </w:r>
    </w:p>
    <w:p w:rsidR="007A44CA" w:rsidRPr="00714FB7" w:rsidRDefault="007A44CA" w:rsidP="00DA36FC">
      <w:pPr>
        <w:spacing w:line="360" w:lineRule="auto"/>
        <w:jc w:val="both"/>
        <w:rPr>
          <w:rFonts w:ascii="Times New Roman" w:eastAsia="Batang" w:hAnsi="Times New Roman"/>
          <w:b/>
          <w:color w:val="auto"/>
          <w:sz w:val="24"/>
          <w:szCs w:val="24"/>
          <w:lang w:eastAsia="ko-KR"/>
        </w:rPr>
      </w:pPr>
    </w:p>
    <w:p w:rsidR="00210F2E" w:rsidRPr="00714FB7" w:rsidRDefault="00210F2E" w:rsidP="00210F2E">
      <w:pPr>
        <w:spacing w:line="360" w:lineRule="auto"/>
        <w:jc w:val="both"/>
        <w:rPr>
          <w:rFonts w:ascii="Times New Roman" w:eastAsia="Batang" w:hAnsi="Times New Roman"/>
          <w:color w:val="auto"/>
          <w:sz w:val="24"/>
          <w:szCs w:val="24"/>
          <w:lang w:eastAsia="ko-KR"/>
        </w:rPr>
      </w:pPr>
      <w:r w:rsidRPr="00714FB7">
        <w:rPr>
          <w:rFonts w:ascii="Times New Roman" w:eastAsia="Batang" w:hAnsi="Times New Roman"/>
          <w:color w:val="auto"/>
          <w:sz w:val="24"/>
          <w:szCs w:val="24"/>
          <w:lang w:eastAsia="ko-KR"/>
        </w:rPr>
        <w:t xml:space="preserve">The purpose of this programme is to regulate </w:t>
      </w:r>
      <w:r w:rsidR="00BD6959" w:rsidRPr="00714FB7">
        <w:rPr>
          <w:rFonts w:ascii="Times New Roman" w:eastAsia="Batang" w:hAnsi="Times New Roman"/>
          <w:color w:val="auto"/>
          <w:sz w:val="24"/>
          <w:szCs w:val="24"/>
          <w:lang w:eastAsia="ko-KR"/>
        </w:rPr>
        <w:t xml:space="preserve">the scale of food and to ensure accountability and compliance by public entities and statutory health professional councils in accordance with applicable legislative prescripts. </w:t>
      </w:r>
      <w:r w:rsidRPr="00714FB7">
        <w:rPr>
          <w:rFonts w:ascii="Times New Roman" w:hAnsi="Times New Roman"/>
          <w:color w:val="auto"/>
          <w:sz w:val="24"/>
          <w:szCs w:val="24"/>
        </w:rPr>
        <w:t>Targets under Programme 6 for the current financial year (201</w:t>
      </w:r>
      <w:r w:rsidR="00BD6959" w:rsidRPr="00714FB7">
        <w:rPr>
          <w:rFonts w:ascii="Times New Roman" w:hAnsi="Times New Roman"/>
          <w:color w:val="auto"/>
          <w:sz w:val="24"/>
          <w:szCs w:val="24"/>
        </w:rPr>
        <w:t>7</w:t>
      </w:r>
      <w:r w:rsidRPr="00714FB7">
        <w:rPr>
          <w:rFonts w:ascii="Times New Roman" w:hAnsi="Times New Roman"/>
          <w:color w:val="auto"/>
          <w:sz w:val="24"/>
          <w:szCs w:val="24"/>
        </w:rPr>
        <w:t>/1</w:t>
      </w:r>
      <w:r w:rsidR="00BD6959" w:rsidRPr="00714FB7">
        <w:rPr>
          <w:rFonts w:ascii="Times New Roman" w:hAnsi="Times New Roman"/>
          <w:color w:val="auto"/>
          <w:sz w:val="24"/>
          <w:szCs w:val="24"/>
        </w:rPr>
        <w:t>8</w:t>
      </w:r>
      <w:r w:rsidRPr="00714FB7">
        <w:rPr>
          <w:rFonts w:ascii="Times New Roman" w:hAnsi="Times New Roman"/>
          <w:color w:val="auto"/>
          <w:sz w:val="24"/>
          <w:szCs w:val="24"/>
        </w:rPr>
        <w:t xml:space="preserve">): </w:t>
      </w:r>
    </w:p>
    <w:p w:rsidR="009E190E" w:rsidRPr="00714FB7" w:rsidRDefault="009E190E" w:rsidP="00DA36FC">
      <w:pPr>
        <w:spacing w:line="360" w:lineRule="auto"/>
        <w:jc w:val="both"/>
        <w:rPr>
          <w:rFonts w:ascii="Times New Roman" w:eastAsia="Batang" w:hAnsi="Times New Roman"/>
          <w:b/>
          <w:color w:val="auto"/>
          <w:sz w:val="24"/>
          <w:szCs w:val="24"/>
          <w:lang w:eastAsia="ko-KR"/>
        </w:rPr>
      </w:pPr>
    </w:p>
    <w:p w:rsidR="00BD6959" w:rsidRPr="00714FB7" w:rsidRDefault="00365521" w:rsidP="00BA17D2">
      <w:pPr>
        <w:numPr>
          <w:ilvl w:val="0"/>
          <w:numId w:val="10"/>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The department will finalise and implement a signed memorandum of understanding with the South African Health Product Regulatory Authority and the CEO, Executive Management and Committees will be appointed.</w:t>
      </w:r>
    </w:p>
    <w:p w:rsidR="00365521" w:rsidRPr="00714FB7" w:rsidRDefault="00365521" w:rsidP="00BA17D2">
      <w:pPr>
        <w:numPr>
          <w:ilvl w:val="0"/>
          <w:numId w:val="10"/>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The department will table for consideration the National Health Laboratory Service</w:t>
      </w:r>
      <w:r w:rsidR="00AD4473" w:rsidRPr="00714FB7">
        <w:rPr>
          <w:rFonts w:ascii="Times New Roman" w:eastAsia="Batang" w:hAnsi="Times New Roman"/>
          <w:color w:val="auto"/>
          <w:sz w:val="24"/>
          <w:szCs w:val="24"/>
          <w:lang w:eastAsia="ko-KR"/>
        </w:rPr>
        <w:t>s Amendment Bill and NAPHISA Bill to Parliament.</w:t>
      </w:r>
    </w:p>
    <w:p w:rsidR="00365521" w:rsidRPr="00714FB7" w:rsidRDefault="00365521" w:rsidP="00AD4473">
      <w:pPr>
        <w:numPr>
          <w:ilvl w:val="0"/>
          <w:numId w:val="10"/>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Governance reports of four health entities and six statutory health professional councils will be produced.</w:t>
      </w:r>
    </w:p>
    <w:p w:rsidR="00A51B1C" w:rsidRPr="00714FB7" w:rsidRDefault="00365521" w:rsidP="00BA17D2">
      <w:pPr>
        <w:numPr>
          <w:ilvl w:val="0"/>
          <w:numId w:val="10"/>
        </w:numPr>
        <w:spacing w:line="360" w:lineRule="auto"/>
        <w:jc w:val="both"/>
        <w:rPr>
          <w:rFonts w:ascii="Times New Roman" w:eastAsia="Batang" w:hAnsi="Times New Roman"/>
          <w:b/>
          <w:color w:val="auto"/>
          <w:sz w:val="24"/>
          <w:szCs w:val="24"/>
          <w:lang w:eastAsia="ko-KR"/>
        </w:rPr>
      </w:pPr>
      <w:r w:rsidRPr="00714FB7">
        <w:rPr>
          <w:rFonts w:ascii="Times New Roman" w:eastAsia="Batang" w:hAnsi="Times New Roman"/>
          <w:color w:val="auto"/>
          <w:sz w:val="24"/>
          <w:szCs w:val="24"/>
          <w:lang w:eastAsia="ko-KR"/>
        </w:rPr>
        <w:t>Two boards will be appointed for the South African Health Product Regulatory Authority and the Council for Medical Schemes.</w:t>
      </w:r>
    </w:p>
    <w:p w:rsidR="00A970B0" w:rsidRPr="00714FB7" w:rsidRDefault="00A970B0" w:rsidP="00A51B1C">
      <w:pPr>
        <w:jc w:val="both"/>
        <w:rPr>
          <w:rFonts w:ascii="Times New Roman" w:eastAsia="Batang" w:hAnsi="Times New Roman"/>
          <w:color w:val="auto"/>
          <w:sz w:val="24"/>
          <w:szCs w:val="24"/>
          <w:lang w:eastAsia="ko-KR"/>
        </w:rPr>
      </w:pPr>
    </w:p>
    <w:p w:rsidR="00AB1A9A" w:rsidRPr="00714FB7" w:rsidRDefault="00635C48" w:rsidP="00030895">
      <w:pPr>
        <w:pStyle w:val="ListParagraph"/>
        <w:numPr>
          <w:ilvl w:val="0"/>
          <w:numId w:val="78"/>
        </w:numPr>
        <w:rPr>
          <w:rFonts w:ascii="Times New Roman" w:hAnsi="Times New Roman"/>
          <w:b/>
          <w:color w:val="auto"/>
          <w:sz w:val="24"/>
          <w:szCs w:val="24"/>
          <w:lang w:val="en-US"/>
        </w:rPr>
      </w:pPr>
      <w:r w:rsidRPr="00714FB7">
        <w:rPr>
          <w:rFonts w:ascii="Times New Roman" w:hAnsi="Times New Roman"/>
          <w:b/>
          <w:color w:val="auto"/>
          <w:sz w:val="24"/>
          <w:szCs w:val="24"/>
          <w:lang w:val="en-US"/>
        </w:rPr>
        <w:t>BUDGET ANALYSIS</w:t>
      </w:r>
    </w:p>
    <w:p w:rsidR="00DE321A" w:rsidRPr="00714FB7" w:rsidRDefault="00DE321A" w:rsidP="00030895">
      <w:pPr>
        <w:spacing w:line="360" w:lineRule="auto"/>
        <w:jc w:val="both"/>
        <w:rPr>
          <w:rFonts w:ascii="Times New Roman" w:hAnsi="Times New Roman"/>
          <w:color w:val="auto"/>
          <w:sz w:val="24"/>
          <w:szCs w:val="24"/>
        </w:rPr>
      </w:pPr>
    </w:p>
    <w:p w:rsidR="00DE321A" w:rsidRPr="00714FB7" w:rsidRDefault="00DE321A" w:rsidP="00030895">
      <w:pPr>
        <w:spacing w:line="360" w:lineRule="auto"/>
        <w:jc w:val="both"/>
        <w:rPr>
          <w:rFonts w:ascii="Times New Roman" w:hAnsi="Times New Roman"/>
          <w:color w:val="auto"/>
          <w:sz w:val="24"/>
          <w:szCs w:val="24"/>
        </w:rPr>
      </w:pPr>
      <w:r w:rsidRPr="00714FB7">
        <w:rPr>
          <w:rFonts w:ascii="Times New Roman" w:hAnsi="Times New Roman"/>
          <w:color w:val="auto"/>
          <w:sz w:val="24"/>
          <w:szCs w:val="24"/>
        </w:rPr>
        <w:t xml:space="preserve">The Department receives R42.6 billion for 2017/18, up from R38.6 billion in 2016/17. This represents an increase of 10.4 per cent in nominal terms and 3.9 per cent in real terms. </w:t>
      </w:r>
    </w:p>
    <w:p w:rsidR="000240DB" w:rsidRPr="00714FB7" w:rsidRDefault="000240DB" w:rsidP="000240DB">
      <w:pPr>
        <w:rPr>
          <w:rFonts w:ascii="Times New Roman" w:hAnsi="Times New Roman"/>
          <w:color w:val="auto"/>
          <w:sz w:val="24"/>
          <w:szCs w:val="24"/>
        </w:rPr>
      </w:pPr>
    </w:p>
    <w:p w:rsidR="004B6ACC" w:rsidRPr="00714FB7" w:rsidRDefault="004B6ACC" w:rsidP="00030895">
      <w:pPr>
        <w:ind w:left="180"/>
        <w:rPr>
          <w:rFonts w:ascii="Times New Roman" w:hAnsi="Times New Roman"/>
          <w:b/>
          <w:color w:val="auto"/>
          <w:sz w:val="24"/>
          <w:szCs w:val="24"/>
        </w:rPr>
      </w:pPr>
      <w:r w:rsidRPr="00714FB7">
        <w:rPr>
          <w:rFonts w:ascii="Times New Roman" w:eastAsia="Calibri" w:hAnsi="Times New Roman"/>
          <w:noProof/>
          <w:color w:val="auto"/>
          <w:spacing w:val="0"/>
          <w:sz w:val="24"/>
          <w:szCs w:val="24"/>
          <w:lang w:val="en-ZA" w:eastAsia="en-ZA"/>
        </w:rPr>
        <w:drawing>
          <wp:anchor distT="0" distB="0" distL="114300" distR="114300" simplePos="0" relativeHeight="251632640" behindDoc="0" locked="0" layoutInCell="1" allowOverlap="1" wp14:anchorId="2612DCD3" wp14:editId="69A455AF">
            <wp:simplePos x="0" y="0"/>
            <wp:positionH relativeFrom="column">
              <wp:posOffset>0</wp:posOffset>
            </wp:positionH>
            <wp:positionV relativeFrom="paragraph">
              <wp:posOffset>217853</wp:posOffset>
            </wp:positionV>
            <wp:extent cx="5730875" cy="2095500"/>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2095500"/>
                    </a:xfrm>
                    <a:prstGeom prst="rect">
                      <a:avLst/>
                    </a:prstGeom>
                    <a:noFill/>
                  </pic:spPr>
                </pic:pic>
              </a:graphicData>
            </a:graphic>
            <wp14:sizeRelV relativeFrom="margin">
              <wp14:pctHeight>0</wp14:pctHeight>
            </wp14:sizeRelV>
          </wp:anchor>
        </w:drawing>
      </w:r>
      <w:r w:rsidRPr="00714FB7">
        <w:rPr>
          <w:rFonts w:ascii="Times New Roman" w:hAnsi="Times New Roman"/>
          <w:b/>
          <w:color w:val="auto"/>
          <w:sz w:val="24"/>
          <w:szCs w:val="24"/>
        </w:rPr>
        <w:t xml:space="preserve">Table 1: </w:t>
      </w:r>
      <w:r w:rsidR="006D68AD" w:rsidRPr="00714FB7">
        <w:rPr>
          <w:rFonts w:ascii="Times New Roman" w:hAnsi="Times New Roman"/>
          <w:b/>
          <w:color w:val="auto"/>
          <w:sz w:val="24"/>
          <w:szCs w:val="24"/>
        </w:rPr>
        <w:t>Summary per Programme</w:t>
      </w:r>
    </w:p>
    <w:p w:rsidR="004B6ACC" w:rsidRPr="00714FB7" w:rsidRDefault="004B6ACC" w:rsidP="00030895">
      <w:pPr>
        <w:spacing w:line="360" w:lineRule="auto"/>
        <w:jc w:val="both"/>
        <w:rPr>
          <w:rFonts w:ascii="Times New Roman" w:hAnsi="Times New Roman"/>
          <w:color w:val="auto"/>
          <w:sz w:val="24"/>
          <w:szCs w:val="24"/>
        </w:rPr>
      </w:pPr>
    </w:p>
    <w:p w:rsidR="000240DB" w:rsidRPr="00714FB7" w:rsidRDefault="000240DB" w:rsidP="00030895">
      <w:pPr>
        <w:spacing w:line="360" w:lineRule="auto"/>
        <w:jc w:val="both"/>
        <w:rPr>
          <w:rFonts w:ascii="Times New Roman" w:hAnsi="Times New Roman"/>
          <w:color w:val="auto"/>
          <w:sz w:val="24"/>
          <w:szCs w:val="24"/>
        </w:rPr>
      </w:pPr>
      <w:r w:rsidRPr="00714FB7">
        <w:rPr>
          <w:rFonts w:ascii="Times New Roman" w:hAnsi="Times New Roman"/>
          <w:color w:val="auto"/>
          <w:sz w:val="24"/>
          <w:szCs w:val="24"/>
        </w:rPr>
        <w:t xml:space="preserve">The two largest programmes, namely Programme 3: HIV and AIDS, TB, Maternal and Child Health (R18.3 billion) and Programme 5: Hospitals, Tertiary Services and Human Resource Development (R21.1 billion), jointly constitute 92.4 per cent of the total budget allocation to the Department. Programme 4: Primary Health Care Services, receives the smallest allocation (R264.3 million), which is less than one per cent (0.62 per cent) of the Department’s budget. </w:t>
      </w:r>
    </w:p>
    <w:p w:rsidR="000240DB" w:rsidRPr="00714FB7" w:rsidRDefault="000240DB" w:rsidP="00030895">
      <w:pPr>
        <w:spacing w:line="360" w:lineRule="auto"/>
        <w:jc w:val="both"/>
        <w:rPr>
          <w:rFonts w:ascii="Times New Roman" w:hAnsi="Times New Roman"/>
          <w:color w:val="auto"/>
          <w:sz w:val="24"/>
          <w:szCs w:val="24"/>
        </w:rPr>
      </w:pPr>
    </w:p>
    <w:p w:rsidR="000240DB" w:rsidRPr="00714FB7" w:rsidRDefault="000240DB" w:rsidP="00030895">
      <w:pPr>
        <w:spacing w:line="360" w:lineRule="auto"/>
        <w:jc w:val="both"/>
        <w:rPr>
          <w:rFonts w:ascii="Times New Roman" w:hAnsi="Times New Roman"/>
          <w:color w:val="auto"/>
          <w:sz w:val="24"/>
          <w:szCs w:val="24"/>
        </w:rPr>
      </w:pPr>
      <w:r w:rsidRPr="00714FB7">
        <w:rPr>
          <w:rFonts w:ascii="Times New Roman" w:hAnsi="Times New Roman"/>
          <w:color w:val="auto"/>
          <w:sz w:val="24"/>
          <w:szCs w:val="24"/>
        </w:rPr>
        <w:t xml:space="preserve">In terms of economic classification, the bulk of the Health Budget (R39.4 billion or 92.3 per cent) consists of transfers and subsidies to provinces and municipalities, and departmental agencies and accounts. This figure includes R185.2 million to non-profit institutions and R1.6 billion to departmental agencies and accounts. </w:t>
      </w:r>
    </w:p>
    <w:p w:rsidR="004B6ACC" w:rsidRPr="00714FB7" w:rsidRDefault="004B6ACC" w:rsidP="00030895">
      <w:pPr>
        <w:jc w:val="both"/>
        <w:rPr>
          <w:rFonts w:ascii="Times New Roman" w:hAnsi="Times New Roman"/>
          <w:color w:val="auto"/>
          <w:sz w:val="24"/>
          <w:szCs w:val="24"/>
        </w:rPr>
      </w:pPr>
    </w:p>
    <w:p w:rsidR="008F6D9F" w:rsidRPr="00714FB7" w:rsidRDefault="008F6D9F" w:rsidP="008F6D9F">
      <w:pPr>
        <w:jc w:val="both"/>
        <w:rPr>
          <w:rFonts w:ascii="Times New Roman" w:hAnsi="Times New Roman"/>
          <w:color w:val="auto"/>
          <w:sz w:val="24"/>
          <w:szCs w:val="24"/>
        </w:rPr>
      </w:pPr>
    </w:p>
    <w:p w:rsidR="000240DB" w:rsidRPr="00714FB7" w:rsidRDefault="000240DB" w:rsidP="00030895">
      <w:pPr>
        <w:spacing w:line="360" w:lineRule="auto"/>
        <w:jc w:val="both"/>
        <w:rPr>
          <w:rFonts w:ascii="Times New Roman" w:eastAsia="Calibri" w:hAnsi="Times New Roman"/>
          <w:color w:val="auto"/>
          <w:spacing w:val="0"/>
          <w:sz w:val="24"/>
          <w:szCs w:val="24"/>
          <w:lang w:val="en-ZA" w:eastAsia="en-US"/>
        </w:rPr>
      </w:pPr>
      <w:r w:rsidRPr="00714FB7">
        <w:rPr>
          <w:rFonts w:ascii="Times New Roman" w:hAnsi="Times New Roman"/>
          <w:color w:val="auto"/>
          <w:sz w:val="24"/>
          <w:szCs w:val="24"/>
        </w:rPr>
        <w:t xml:space="preserve">Current payments constitute a total value of R2.4 billion, which represents 5.6 per cent of the total budget allocation. R760 million (31.6 per cent) is allocated to Compensation of </w:t>
      </w:r>
      <w:r w:rsidR="0008522C" w:rsidRPr="00714FB7">
        <w:rPr>
          <w:rFonts w:ascii="Times New Roman" w:hAnsi="Times New Roman"/>
          <w:color w:val="auto"/>
          <w:sz w:val="24"/>
          <w:szCs w:val="24"/>
        </w:rPr>
        <w:t>E</w:t>
      </w:r>
      <w:r w:rsidRPr="00714FB7">
        <w:rPr>
          <w:rFonts w:ascii="Times New Roman" w:hAnsi="Times New Roman"/>
          <w:color w:val="auto"/>
          <w:sz w:val="24"/>
          <w:szCs w:val="24"/>
        </w:rPr>
        <w:t xml:space="preserve">mployees. However, most of the current </w:t>
      </w:r>
      <w:r w:rsidR="006C474A" w:rsidRPr="00714FB7">
        <w:rPr>
          <w:rFonts w:ascii="Times New Roman" w:hAnsi="Times New Roman"/>
          <w:color w:val="auto"/>
          <w:sz w:val="24"/>
          <w:szCs w:val="24"/>
        </w:rPr>
        <w:t>budget</w:t>
      </w:r>
      <w:r w:rsidRPr="00714FB7">
        <w:rPr>
          <w:rFonts w:ascii="Times New Roman" w:hAnsi="Times New Roman"/>
          <w:color w:val="auto"/>
          <w:sz w:val="24"/>
          <w:szCs w:val="24"/>
        </w:rPr>
        <w:t xml:space="preserve"> is allocated to Goods and Services, constituting 68.4 per cent of the total current payments. </w:t>
      </w:r>
      <w:r w:rsidR="006C474A" w:rsidRPr="00714FB7">
        <w:rPr>
          <w:rFonts w:ascii="Times New Roman" w:hAnsi="Times New Roman"/>
          <w:color w:val="auto"/>
          <w:sz w:val="24"/>
          <w:szCs w:val="24"/>
        </w:rPr>
        <w:t xml:space="preserve">Budget </w:t>
      </w:r>
      <w:r w:rsidRPr="00714FB7">
        <w:rPr>
          <w:rFonts w:ascii="Times New Roman" w:hAnsi="Times New Roman"/>
          <w:color w:val="auto"/>
          <w:sz w:val="24"/>
          <w:szCs w:val="24"/>
        </w:rPr>
        <w:t xml:space="preserve">items that receive the largest share are:  Contractors </w:t>
      </w:r>
      <w:r w:rsidRPr="00714FB7">
        <w:rPr>
          <w:rFonts w:ascii="Times New Roman" w:eastAsia="Calibri" w:hAnsi="Times New Roman"/>
          <w:color w:val="auto"/>
          <w:spacing w:val="0"/>
          <w:sz w:val="24"/>
          <w:szCs w:val="24"/>
          <w:lang w:val="en-ZA" w:eastAsia="en-US"/>
        </w:rPr>
        <w:t xml:space="preserve">largest share of the goods and services budget are: Contractors at R353.8 million; Agency and support/outsourced services at R175 million; Consultants: Business and advisory services at R207 million; Medical Supplies at R122.8 million; and Medicine at R176.9 million. Operating leases are at R155.7 million. </w:t>
      </w:r>
    </w:p>
    <w:p w:rsidR="000240DB" w:rsidRPr="00714FB7" w:rsidRDefault="000240DB" w:rsidP="00030895">
      <w:pPr>
        <w:spacing w:line="360" w:lineRule="auto"/>
        <w:jc w:val="both"/>
        <w:rPr>
          <w:rFonts w:ascii="Times New Roman" w:eastAsia="Calibri" w:hAnsi="Times New Roman"/>
          <w:color w:val="auto"/>
          <w:spacing w:val="0"/>
          <w:sz w:val="24"/>
          <w:szCs w:val="24"/>
          <w:lang w:val="en-ZA" w:eastAsia="en-US"/>
        </w:rPr>
      </w:pPr>
    </w:p>
    <w:p w:rsidR="000240DB" w:rsidRPr="00714FB7" w:rsidRDefault="000240DB" w:rsidP="00030895">
      <w:pPr>
        <w:spacing w:line="360" w:lineRule="auto"/>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 xml:space="preserve">A significant increase in payments for capital assets is budgeted for (68.2 per cent), from R591 million in 2016/17 to R865.6 million in 2017/18. Buildings and other fixed structures increase by 66 per cent from R471.9 million to R714.6 million. </w:t>
      </w:r>
    </w:p>
    <w:p w:rsidR="000240DB" w:rsidRPr="00714FB7" w:rsidRDefault="000240DB" w:rsidP="00030895">
      <w:pPr>
        <w:spacing w:line="360" w:lineRule="auto"/>
        <w:jc w:val="both"/>
        <w:rPr>
          <w:rFonts w:ascii="Times New Roman" w:eastAsia="Calibri" w:hAnsi="Times New Roman"/>
          <w:color w:val="auto"/>
          <w:spacing w:val="0"/>
          <w:sz w:val="24"/>
          <w:szCs w:val="24"/>
          <w:lang w:val="en-ZA" w:eastAsia="en-US"/>
        </w:rPr>
      </w:pPr>
    </w:p>
    <w:p w:rsidR="000240DB" w:rsidRPr="00714FB7" w:rsidRDefault="000240DB" w:rsidP="00030895">
      <w:pPr>
        <w:spacing w:line="360" w:lineRule="auto"/>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Over the medium term</w:t>
      </w:r>
      <w:r w:rsidR="0008522C" w:rsidRPr="00714FB7">
        <w:rPr>
          <w:rFonts w:ascii="Times New Roman" w:eastAsia="Calibri" w:hAnsi="Times New Roman"/>
          <w:color w:val="auto"/>
          <w:spacing w:val="0"/>
          <w:sz w:val="24"/>
          <w:szCs w:val="24"/>
          <w:lang w:val="en-ZA" w:eastAsia="en-US"/>
        </w:rPr>
        <w:t>,</w:t>
      </w:r>
      <w:r w:rsidRPr="00714FB7">
        <w:rPr>
          <w:rFonts w:ascii="Times New Roman" w:eastAsia="Calibri" w:hAnsi="Times New Roman"/>
          <w:color w:val="auto"/>
          <w:spacing w:val="0"/>
          <w:sz w:val="24"/>
          <w:szCs w:val="24"/>
          <w:lang w:val="en-ZA" w:eastAsia="en-US"/>
        </w:rPr>
        <w:t xml:space="preserve"> the Department’s focus will remain on the expansion of the HIV and AIDS, and TB treatment and prevention programmes, revitalising public health facilities, and providing specialised tertiary health services. A significant amount (R119.2 billion</w:t>
      </w:r>
      <w:r w:rsidR="0008522C" w:rsidRPr="00714FB7">
        <w:rPr>
          <w:rFonts w:ascii="Times New Roman" w:eastAsia="Calibri" w:hAnsi="Times New Roman"/>
          <w:color w:val="auto"/>
          <w:spacing w:val="0"/>
          <w:sz w:val="24"/>
          <w:szCs w:val="24"/>
          <w:lang w:val="en-ZA" w:eastAsia="en-US"/>
        </w:rPr>
        <w:t>, 85.4 per cent</w:t>
      </w:r>
      <w:r w:rsidRPr="00714FB7">
        <w:rPr>
          <w:rFonts w:ascii="Times New Roman" w:eastAsia="Calibri" w:hAnsi="Times New Roman"/>
          <w:color w:val="auto"/>
          <w:spacing w:val="0"/>
          <w:sz w:val="24"/>
          <w:szCs w:val="24"/>
          <w:lang w:val="en-ZA" w:eastAsia="en-US"/>
        </w:rPr>
        <w:t xml:space="preserve">) of the Department’s budget over the medium term expenditure framework period, will be spent on these activities. The Department’s </w:t>
      </w:r>
      <w:r w:rsidR="0008522C" w:rsidRPr="00714FB7">
        <w:rPr>
          <w:rFonts w:ascii="Times New Roman" w:eastAsia="Calibri" w:hAnsi="Times New Roman"/>
          <w:color w:val="auto"/>
          <w:spacing w:val="0"/>
          <w:sz w:val="24"/>
          <w:szCs w:val="24"/>
          <w:lang w:val="en-ZA" w:eastAsia="en-US"/>
        </w:rPr>
        <w:t>Compensation of Employees</w:t>
      </w:r>
      <w:r w:rsidRPr="00714FB7">
        <w:rPr>
          <w:rFonts w:ascii="Times New Roman" w:eastAsia="Calibri" w:hAnsi="Times New Roman"/>
          <w:color w:val="auto"/>
          <w:spacing w:val="0"/>
          <w:sz w:val="24"/>
          <w:szCs w:val="24"/>
          <w:lang w:val="en-ZA" w:eastAsia="en-US"/>
        </w:rPr>
        <w:t xml:space="preserve"> budget has been reduced by R9.7 million </w:t>
      </w:r>
      <w:r w:rsidR="0008522C" w:rsidRPr="00714FB7">
        <w:rPr>
          <w:rFonts w:ascii="Times New Roman" w:eastAsia="Calibri" w:hAnsi="Times New Roman"/>
          <w:color w:val="auto"/>
          <w:spacing w:val="0"/>
          <w:sz w:val="24"/>
          <w:szCs w:val="24"/>
          <w:lang w:val="en-ZA" w:eastAsia="en-US"/>
        </w:rPr>
        <w:t xml:space="preserve">in </w:t>
      </w:r>
      <w:r w:rsidRPr="00714FB7">
        <w:rPr>
          <w:rFonts w:ascii="Times New Roman" w:eastAsia="Calibri" w:hAnsi="Times New Roman"/>
          <w:color w:val="auto"/>
          <w:spacing w:val="0"/>
          <w:sz w:val="24"/>
          <w:szCs w:val="24"/>
          <w:lang w:val="en-ZA" w:eastAsia="en-US"/>
        </w:rPr>
        <w:t xml:space="preserve">2017/18, R10.7 million </w:t>
      </w:r>
      <w:r w:rsidR="0008522C" w:rsidRPr="00714FB7">
        <w:rPr>
          <w:rFonts w:ascii="Times New Roman" w:eastAsia="Calibri" w:hAnsi="Times New Roman"/>
          <w:color w:val="auto"/>
          <w:spacing w:val="0"/>
          <w:sz w:val="24"/>
          <w:szCs w:val="24"/>
          <w:lang w:val="en-ZA" w:eastAsia="en-US"/>
        </w:rPr>
        <w:t xml:space="preserve">in </w:t>
      </w:r>
      <w:r w:rsidRPr="00714FB7">
        <w:rPr>
          <w:rFonts w:ascii="Times New Roman" w:eastAsia="Calibri" w:hAnsi="Times New Roman"/>
          <w:color w:val="auto"/>
          <w:spacing w:val="0"/>
          <w:sz w:val="24"/>
          <w:szCs w:val="24"/>
          <w:lang w:val="en-ZA" w:eastAsia="en-US"/>
        </w:rPr>
        <w:t xml:space="preserve">2018/19 and R11.3 million </w:t>
      </w:r>
      <w:r w:rsidR="0008522C" w:rsidRPr="00714FB7">
        <w:rPr>
          <w:rFonts w:ascii="Times New Roman" w:eastAsia="Calibri" w:hAnsi="Times New Roman"/>
          <w:color w:val="auto"/>
          <w:spacing w:val="0"/>
          <w:sz w:val="24"/>
          <w:szCs w:val="24"/>
          <w:lang w:val="en-ZA" w:eastAsia="en-US"/>
        </w:rPr>
        <w:t xml:space="preserve">in </w:t>
      </w:r>
      <w:r w:rsidRPr="00714FB7">
        <w:rPr>
          <w:rFonts w:ascii="Times New Roman" w:eastAsia="Calibri" w:hAnsi="Times New Roman"/>
          <w:color w:val="auto"/>
          <w:spacing w:val="0"/>
          <w:sz w:val="24"/>
          <w:szCs w:val="24"/>
          <w:lang w:val="en-ZA" w:eastAsia="en-US"/>
        </w:rPr>
        <w:t xml:space="preserve">2019/20, due to the Cabinet approved budget reductions to lower the national aggregate expenditure. </w:t>
      </w:r>
    </w:p>
    <w:p w:rsidR="000240DB" w:rsidRPr="00714FB7" w:rsidRDefault="000240DB" w:rsidP="00030895">
      <w:pPr>
        <w:spacing w:line="360" w:lineRule="auto"/>
        <w:jc w:val="both"/>
        <w:rPr>
          <w:rFonts w:ascii="Times New Roman" w:eastAsia="Calibri" w:hAnsi="Times New Roman"/>
          <w:color w:val="auto"/>
          <w:spacing w:val="0"/>
          <w:sz w:val="24"/>
          <w:szCs w:val="24"/>
          <w:lang w:val="en-ZA" w:eastAsia="en-US"/>
        </w:rPr>
      </w:pPr>
    </w:p>
    <w:p w:rsidR="000240DB" w:rsidRPr="00714FB7" w:rsidRDefault="000240DB" w:rsidP="00030895">
      <w:pPr>
        <w:numPr>
          <w:ilvl w:val="0"/>
          <w:numId w:val="11"/>
        </w:numPr>
        <w:spacing w:line="360" w:lineRule="auto"/>
        <w:contextualSpacing/>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The HIV and AIDS, TB and Maternal and Child Health programme will increase spending from R16 billion in 2016/17 to R22.9 billion in 2019/20 at an annual rate of 12.8 per cent over the MTEF.</w:t>
      </w:r>
    </w:p>
    <w:p w:rsidR="000240DB" w:rsidRPr="00714FB7" w:rsidRDefault="000240DB" w:rsidP="00030895">
      <w:pPr>
        <w:numPr>
          <w:ilvl w:val="0"/>
          <w:numId w:val="11"/>
        </w:numPr>
        <w:spacing w:line="360" w:lineRule="auto"/>
        <w:contextualSpacing/>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The Department has adopted the UN’s 90-90-90 targets on HIV and AIDS. This means that the Department aims to ensure that by 2020, 90 per cent of all people living with HIV will know their status; 90 per cent of all people diagnosed with HIV will receive sustained antiretroviral therapy (ART) and 90 per cent of all people receiving ART will be virally suppressed. The Department has also implemented the universal test-and-treat policy, which means that treatment will be provided to all HIV positive people, regardless of CD4 count.</w:t>
      </w:r>
    </w:p>
    <w:p w:rsidR="000240DB" w:rsidRPr="00714FB7" w:rsidRDefault="000240DB" w:rsidP="00030895">
      <w:pPr>
        <w:numPr>
          <w:ilvl w:val="0"/>
          <w:numId w:val="11"/>
        </w:numPr>
        <w:spacing w:line="360" w:lineRule="auto"/>
        <w:contextualSpacing/>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Cabinet</w:t>
      </w:r>
      <w:r w:rsidR="001C66FD" w:rsidRPr="00714FB7">
        <w:rPr>
          <w:rFonts w:ascii="Times New Roman" w:eastAsia="Calibri" w:hAnsi="Times New Roman"/>
          <w:color w:val="auto"/>
          <w:spacing w:val="0"/>
          <w:sz w:val="24"/>
          <w:szCs w:val="24"/>
          <w:lang w:val="en-ZA" w:eastAsia="en-US"/>
        </w:rPr>
        <w:t>-</w:t>
      </w:r>
      <w:r w:rsidRPr="00714FB7">
        <w:rPr>
          <w:rFonts w:ascii="Times New Roman" w:eastAsia="Calibri" w:hAnsi="Times New Roman"/>
          <w:color w:val="auto"/>
          <w:spacing w:val="0"/>
          <w:sz w:val="24"/>
          <w:szCs w:val="24"/>
          <w:lang w:val="en-ZA" w:eastAsia="en-US"/>
        </w:rPr>
        <w:t>approved reductions of R363.6 million over the medium term</w:t>
      </w:r>
      <w:r w:rsidR="00754FF3" w:rsidRPr="00714FB7">
        <w:rPr>
          <w:rFonts w:ascii="Times New Roman" w:eastAsia="Calibri" w:hAnsi="Times New Roman"/>
          <w:color w:val="auto"/>
          <w:spacing w:val="0"/>
          <w:sz w:val="24"/>
          <w:szCs w:val="24"/>
          <w:lang w:val="en-ZA" w:eastAsia="en-US"/>
        </w:rPr>
        <w:t xml:space="preserve">, </w:t>
      </w:r>
      <w:r w:rsidRPr="00714FB7">
        <w:rPr>
          <w:rFonts w:ascii="Times New Roman" w:eastAsia="Calibri" w:hAnsi="Times New Roman"/>
          <w:color w:val="auto"/>
          <w:spacing w:val="0"/>
          <w:sz w:val="24"/>
          <w:szCs w:val="24"/>
          <w:lang w:val="en-ZA" w:eastAsia="en-US"/>
        </w:rPr>
        <w:t>in the health facility revitalisation</w:t>
      </w:r>
      <w:r w:rsidRPr="00714FB7">
        <w:rPr>
          <w:rFonts w:ascii="Times New Roman" w:eastAsia="Calibri" w:hAnsi="Times New Roman"/>
          <w:color w:val="FF0000"/>
          <w:spacing w:val="0"/>
          <w:sz w:val="24"/>
          <w:szCs w:val="24"/>
          <w:lang w:val="en-ZA" w:eastAsia="en-US"/>
        </w:rPr>
        <w:t xml:space="preserve"> </w:t>
      </w:r>
      <w:r w:rsidRPr="00714FB7">
        <w:rPr>
          <w:rFonts w:ascii="Times New Roman" w:eastAsia="Calibri" w:hAnsi="Times New Roman"/>
          <w:color w:val="auto"/>
          <w:spacing w:val="0"/>
          <w:sz w:val="24"/>
          <w:szCs w:val="24"/>
          <w:lang w:val="en-ZA" w:eastAsia="en-US"/>
        </w:rPr>
        <w:t>direct grant (provincial) which totals R17.8 billion over the MTEF. The health facility revitalisation component of the NHI indirect grant is allocated R3 billion over the MTEF. An amount of R20.8 billion will be spent on health infrastructure over the MTEF period.</w:t>
      </w:r>
    </w:p>
    <w:p w:rsidR="000240DB" w:rsidRPr="00714FB7" w:rsidRDefault="000240DB" w:rsidP="00030895">
      <w:pPr>
        <w:numPr>
          <w:ilvl w:val="0"/>
          <w:numId w:val="11"/>
        </w:numPr>
        <w:spacing w:line="360" w:lineRule="auto"/>
        <w:contextualSpacing/>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 xml:space="preserve">A total of R5.2 billion is allocated to the NHI over the medium term. Of this amount, R1 billion is allocated for the contracting of health professionals and the expansion of the central chronic medicines distribution and dispensing model, which is targeting 1.5 million chronic patients. </w:t>
      </w:r>
    </w:p>
    <w:p w:rsidR="000240DB" w:rsidRPr="00714FB7" w:rsidRDefault="000240DB" w:rsidP="00030895">
      <w:pPr>
        <w:numPr>
          <w:ilvl w:val="0"/>
          <w:numId w:val="11"/>
        </w:numPr>
        <w:spacing w:line="360" w:lineRule="auto"/>
        <w:contextualSpacing/>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 xml:space="preserve">An amount of R132.8 million is allocated to the NHI indirect grant over the MTEF for the rollout of the Ideal Clinic programme. A new component was added to the NHI indirect grant for an integrated patient based information system, and an electronic stock management system, which will include an early warning system for stock-outs in PHC facilities. An amount of R166 million, R390 million and R412 million has been allocated over the MTEF period. </w:t>
      </w:r>
    </w:p>
    <w:p w:rsidR="000240DB" w:rsidRPr="00714FB7" w:rsidRDefault="000240DB" w:rsidP="00030895">
      <w:pPr>
        <w:numPr>
          <w:ilvl w:val="0"/>
          <w:numId w:val="11"/>
        </w:numPr>
        <w:spacing w:line="360" w:lineRule="auto"/>
        <w:contextualSpacing/>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 xml:space="preserve">The goods and services budget has been reduced with R60.5 million over the MTEF period. </w:t>
      </w:r>
    </w:p>
    <w:p w:rsidR="000240DB" w:rsidRPr="00714FB7" w:rsidRDefault="000240DB" w:rsidP="00030895">
      <w:pPr>
        <w:numPr>
          <w:ilvl w:val="0"/>
          <w:numId w:val="11"/>
        </w:numPr>
        <w:spacing w:line="360" w:lineRule="auto"/>
        <w:contextualSpacing/>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 xml:space="preserve">R600 million </w:t>
      </w:r>
      <w:r w:rsidR="001C66FD" w:rsidRPr="00714FB7">
        <w:rPr>
          <w:rFonts w:ascii="Times New Roman" w:eastAsia="Calibri" w:hAnsi="Times New Roman"/>
          <w:color w:val="auto"/>
          <w:spacing w:val="0"/>
          <w:sz w:val="24"/>
          <w:szCs w:val="24"/>
          <w:lang w:val="en-ZA" w:eastAsia="en-US"/>
        </w:rPr>
        <w:t xml:space="preserve">has been </w:t>
      </w:r>
      <w:r w:rsidRPr="00714FB7">
        <w:rPr>
          <w:rFonts w:ascii="Times New Roman" w:eastAsia="Calibri" w:hAnsi="Times New Roman"/>
          <w:color w:val="auto"/>
          <w:spacing w:val="0"/>
          <w:sz w:val="24"/>
          <w:szCs w:val="24"/>
          <w:lang w:val="en-ZA" w:eastAsia="en-US"/>
        </w:rPr>
        <w:t>reprioritised for the operationalisation of the Nelson Mandela Children’s Hospital over the MTEF.</w:t>
      </w:r>
    </w:p>
    <w:p w:rsidR="00F06843" w:rsidRPr="00714FB7" w:rsidRDefault="00F06843" w:rsidP="00F06843">
      <w:pPr>
        <w:spacing w:line="280" w:lineRule="exact"/>
        <w:contextualSpacing/>
        <w:jc w:val="both"/>
        <w:rPr>
          <w:rFonts w:ascii="Times New Roman" w:eastAsia="Calibri" w:hAnsi="Times New Roman"/>
          <w:color w:val="auto"/>
          <w:spacing w:val="0"/>
          <w:sz w:val="24"/>
          <w:szCs w:val="24"/>
          <w:lang w:val="en-ZA" w:eastAsia="en-US"/>
        </w:rPr>
      </w:pPr>
    </w:p>
    <w:p w:rsidR="00EF7099" w:rsidRPr="00714FB7" w:rsidRDefault="00EF7099" w:rsidP="00030895">
      <w:pPr>
        <w:pStyle w:val="ListParagraph"/>
        <w:keepNext/>
        <w:keepLines/>
        <w:numPr>
          <w:ilvl w:val="1"/>
          <w:numId w:val="82"/>
        </w:numPr>
        <w:spacing w:line="280" w:lineRule="exact"/>
        <w:ind w:left="540" w:hanging="540"/>
        <w:jc w:val="both"/>
        <w:outlineLvl w:val="2"/>
        <w:rPr>
          <w:rFonts w:ascii="Times New Roman" w:hAnsi="Times New Roman"/>
          <w:b/>
          <w:color w:val="auto"/>
          <w:spacing w:val="0"/>
          <w:sz w:val="24"/>
          <w:szCs w:val="24"/>
          <w:lang w:val="en-ZA" w:eastAsia="en-US"/>
        </w:rPr>
      </w:pPr>
      <w:bookmarkStart w:id="1" w:name="_Toc481570704"/>
      <w:r w:rsidRPr="00714FB7">
        <w:rPr>
          <w:rFonts w:ascii="Times New Roman" w:hAnsi="Times New Roman"/>
          <w:b/>
          <w:color w:val="auto"/>
          <w:spacing w:val="0"/>
          <w:sz w:val="24"/>
          <w:szCs w:val="24"/>
          <w:lang w:val="en-ZA" w:eastAsia="en-US"/>
        </w:rPr>
        <w:t>Programme Analysis</w:t>
      </w:r>
    </w:p>
    <w:p w:rsidR="00EF7099" w:rsidRPr="00714FB7" w:rsidRDefault="00EF7099" w:rsidP="00030895">
      <w:pPr>
        <w:keepNext/>
        <w:keepLines/>
        <w:spacing w:line="280" w:lineRule="exact"/>
        <w:jc w:val="both"/>
        <w:outlineLvl w:val="2"/>
        <w:rPr>
          <w:rFonts w:ascii="Times New Roman" w:hAnsi="Times New Roman"/>
          <w:b/>
          <w:color w:val="auto"/>
          <w:spacing w:val="0"/>
          <w:sz w:val="24"/>
          <w:szCs w:val="24"/>
          <w:lang w:val="en-ZA" w:eastAsia="en-US"/>
        </w:rPr>
      </w:pPr>
    </w:p>
    <w:p w:rsidR="001D0182" w:rsidRPr="00714FB7" w:rsidRDefault="001D0182" w:rsidP="00030895">
      <w:pPr>
        <w:keepNext/>
        <w:keepLines/>
        <w:spacing w:line="280" w:lineRule="exact"/>
        <w:jc w:val="both"/>
        <w:outlineLvl w:val="2"/>
        <w:rPr>
          <w:rFonts w:ascii="Times New Roman" w:hAnsi="Times New Roman"/>
          <w:b/>
          <w:color w:val="auto"/>
          <w:spacing w:val="0"/>
          <w:sz w:val="24"/>
          <w:szCs w:val="24"/>
          <w:lang w:val="en-ZA" w:eastAsia="en-US"/>
        </w:rPr>
      </w:pPr>
    </w:p>
    <w:p w:rsidR="00F06843" w:rsidRPr="00714FB7" w:rsidRDefault="00F06843" w:rsidP="00030895">
      <w:pPr>
        <w:pStyle w:val="ListParagraph"/>
        <w:keepNext/>
        <w:keepLines/>
        <w:numPr>
          <w:ilvl w:val="2"/>
          <w:numId w:val="82"/>
        </w:numPr>
        <w:spacing w:line="280" w:lineRule="exact"/>
        <w:jc w:val="both"/>
        <w:outlineLvl w:val="2"/>
        <w:rPr>
          <w:rFonts w:ascii="Times New Roman" w:eastAsia="Calibri" w:hAnsi="Times New Roman"/>
          <w:color w:val="auto"/>
          <w:spacing w:val="0"/>
          <w:sz w:val="24"/>
          <w:szCs w:val="24"/>
          <w:lang w:val="en-ZA" w:eastAsia="en-US"/>
        </w:rPr>
      </w:pPr>
      <w:r w:rsidRPr="00714FB7">
        <w:rPr>
          <w:rFonts w:ascii="Times New Roman" w:hAnsi="Times New Roman"/>
          <w:b/>
          <w:color w:val="auto"/>
          <w:spacing w:val="0"/>
          <w:sz w:val="24"/>
          <w:szCs w:val="24"/>
          <w:lang w:val="en-ZA" w:eastAsia="en-US"/>
        </w:rPr>
        <w:t>Programme 1: Administration</w:t>
      </w:r>
      <w:bookmarkEnd w:id="1"/>
      <w:r w:rsidRPr="00714FB7">
        <w:rPr>
          <w:rFonts w:ascii="Times New Roman" w:eastAsia="Calibri" w:hAnsi="Times New Roman"/>
          <w:color w:val="auto"/>
          <w:spacing w:val="0"/>
          <w:sz w:val="24"/>
          <w:szCs w:val="24"/>
          <w:lang w:val="en-ZA" w:eastAsia="en-US"/>
        </w:rPr>
        <w:t xml:space="preserve"> </w:t>
      </w:r>
    </w:p>
    <w:p w:rsidR="00F06843" w:rsidRPr="00714FB7" w:rsidRDefault="00DE321A" w:rsidP="00F06843">
      <w:pPr>
        <w:spacing w:line="280" w:lineRule="exact"/>
        <w:jc w:val="both"/>
        <w:rPr>
          <w:rFonts w:ascii="Times New Roman" w:eastAsia="Calibri" w:hAnsi="Times New Roman"/>
          <w:color w:val="auto"/>
          <w:spacing w:val="0"/>
          <w:sz w:val="24"/>
          <w:szCs w:val="24"/>
          <w:lang w:val="en-ZA" w:eastAsia="en-US"/>
        </w:rPr>
      </w:pPr>
      <w:r w:rsidRPr="00714FB7">
        <w:rPr>
          <w:rFonts w:ascii="Times New Roman" w:eastAsia="Calibri" w:hAnsi="Times New Roman"/>
          <w:noProof/>
          <w:color w:val="auto"/>
          <w:spacing w:val="0"/>
          <w:sz w:val="24"/>
          <w:szCs w:val="24"/>
          <w:lang w:val="en-ZA" w:eastAsia="en-ZA"/>
        </w:rPr>
        <mc:AlternateContent>
          <mc:Choice Requires="wps">
            <w:drawing>
              <wp:anchor distT="0" distB="0" distL="114300" distR="114300" simplePos="0" relativeHeight="251636736" behindDoc="0" locked="0" layoutInCell="1" allowOverlap="1" wp14:anchorId="01512DD4" wp14:editId="1C725380">
                <wp:simplePos x="0" y="0"/>
                <wp:positionH relativeFrom="column">
                  <wp:posOffset>86751</wp:posOffset>
                </wp:positionH>
                <wp:positionV relativeFrom="paragraph">
                  <wp:posOffset>328295</wp:posOffset>
                </wp:positionV>
                <wp:extent cx="5730875" cy="140970"/>
                <wp:effectExtent l="0" t="0" r="3175" b="0"/>
                <wp:wrapTopAndBottom/>
                <wp:docPr id="13" name="Text Box 13"/>
                <wp:cNvGraphicFramePr/>
                <a:graphic xmlns:a="http://schemas.openxmlformats.org/drawingml/2006/main">
                  <a:graphicData uri="http://schemas.microsoft.com/office/word/2010/wordprocessingShape">
                    <wps:wsp>
                      <wps:cNvSpPr txBox="1"/>
                      <wps:spPr>
                        <a:xfrm>
                          <a:off x="0" y="0"/>
                          <a:ext cx="5730875" cy="140970"/>
                        </a:xfrm>
                        <a:prstGeom prst="rect">
                          <a:avLst/>
                        </a:prstGeom>
                        <a:solidFill>
                          <a:prstClr val="white"/>
                        </a:solidFill>
                        <a:ln>
                          <a:noFill/>
                        </a:ln>
                      </wps:spPr>
                      <wps:txbx>
                        <w:txbxContent>
                          <w:p w:rsidR="00A43F60" w:rsidRPr="00030895" w:rsidRDefault="00A43F60" w:rsidP="00F06843">
                            <w:pPr>
                              <w:pStyle w:val="Caption"/>
                              <w:rPr>
                                <w:rFonts w:ascii="Times New Roman" w:hAnsi="Times New Roman"/>
                                <w:noProof/>
                                <w:sz w:val="22"/>
                              </w:rPr>
                            </w:pPr>
                            <w:r w:rsidRPr="00030895">
                              <w:rPr>
                                <w:rFonts w:ascii="Times New Roman" w:hAnsi="Times New Roman"/>
                                <w:sz w:val="22"/>
                              </w:rPr>
                              <w:t>Table 2: Programme 1: Administration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1512DD4" id="_x0000_t202" coordsize="21600,21600" o:spt="202" path="m,l,21600r21600,l21600,xe">
                <v:stroke joinstyle="miter"/>
                <v:path gradientshapeok="t" o:connecttype="rect"/>
              </v:shapetype>
              <v:shape id="Text Box 13" o:spid="_x0000_s1026" type="#_x0000_t202" style="position:absolute;left:0;text-align:left;margin-left:6.85pt;margin-top:25.85pt;width:451.25pt;height:11.1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hJMQIAAGIEAAAOAAAAZHJzL2Uyb0RvYy54bWysVFFv2yAQfp+0/4B4X+y069JZcaosVaZJ&#10;UVspmfpMMMRImGNAYme/fge2067b07QXcr77OPi+78j8rms0OQnnFZiSTic5JcJwqJQ5lPT7bv3h&#10;lhIfmKmYBiNKehae3i3ev5u3thBXUIOuhCPYxPiitSWtQ7BFlnlei4b5CVhhsCjBNSzgpztklWMt&#10;dm90dpXnn7IWXGUdcOE9Zu/7Il2k/lIKHh6l9CIQXVK8W0irS+s+rtlizoqDY7ZWfLgG+4dbNEwZ&#10;PPTS6p4FRo5O/dGqUdyBBxkmHJoMpFRcJA7IZpq/YbOtmRWJC4rj7UUm///a8ofTkyOqQu+uKTGs&#10;QY92ogvkC3QEU6hPa32BsK1FYOgwj9gx7zEZaXfSNfEXCRGso9Lni7qxG8fkzew6v53dUMKxNv2Y&#10;f54l+bOX3db58FVAQ2JQUofuJVHZaeMD3gShIyQe5kGraq20jh+xsNKOnBg63dYqiHhH3PEbSpuI&#10;NRB39eWYySLFnkqMQrfvBt57qM5I20E/ON7ytcKDNsyHJ+ZwUpApTn94xEVqaEsKQ0RJDe7n3/IR&#10;jwZilZIWJ6+k/seROUGJ/mbQ2jimY+DGYD8G5tisAClO8V1ZnkLc4IIeQ+mgecZHsYynYIkZjmeV&#10;NIzhKvTzj4+Ki+UygXAYLQsbs7U8th4F3XXPzNnBjoBGPsA4k6x440qP7eVdHgNIlSyLgvYqDjrj&#10;ICdfhkcXX8rr74R6+WtY/AIAAP//AwBQSwMEFAAGAAgAAAAhACTg+KXfAAAACAEAAA8AAABkcnMv&#10;ZG93bnJldi54bWxMj8FOwzAQRO+V+AdrkbhU1EkqUhriVNDCDQ4tVc/b2CQR8TqKnSb9e5YTnFaj&#10;Gc2+yTeTbcXF9L5xpCBeRCAMlU43VCk4fr7dP4LwAUlj68gouBoPm+JmlmOm3Uh7czmESnAJ+QwV&#10;1CF0mZS+rI1Fv3CdIfa+XG8xsOwrqXscudy2MomiVFpsiD/U2Jltbcrvw2AVpLt+GPe0ne+Or+/4&#10;0VXJ6eV6Uurudnp+AhHMFP7C8IvP6FAw09kNpL1oWS9XnFTwEPNlfx2nCYizgtVyDbLI5f8BxQ8A&#10;AAD//wMAUEsBAi0AFAAGAAgAAAAhALaDOJL+AAAA4QEAABMAAAAAAAAAAAAAAAAAAAAAAFtDb250&#10;ZW50X1R5cGVzXS54bWxQSwECLQAUAAYACAAAACEAOP0h/9YAAACUAQAACwAAAAAAAAAAAAAAAAAv&#10;AQAAX3JlbHMvLnJlbHNQSwECLQAUAAYACAAAACEAs60ISTECAABiBAAADgAAAAAAAAAAAAAAAAAu&#10;AgAAZHJzL2Uyb0RvYy54bWxQSwECLQAUAAYACAAAACEAJOD4pd8AAAAIAQAADwAAAAAAAAAAAAAA&#10;AACLBAAAZHJzL2Rvd25yZXYueG1sUEsFBgAAAAAEAAQA8wAAAJcFAAAAAA==&#10;" stroked="f">
                <v:textbox inset="0,0,0,0">
                  <w:txbxContent>
                    <w:p w:rsidR="00A43F60" w:rsidRPr="00030895" w:rsidRDefault="00A43F60" w:rsidP="00F06843">
                      <w:pPr>
                        <w:pStyle w:val="Caption"/>
                        <w:rPr>
                          <w:rFonts w:ascii="Times New Roman" w:hAnsi="Times New Roman"/>
                          <w:noProof/>
                          <w:sz w:val="22"/>
                        </w:rPr>
                      </w:pPr>
                      <w:r w:rsidRPr="00030895">
                        <w:rPr>
                          <w:rFonts w:ascii="Times New Roman" w:hAnsi="Times New Roman"/>
                          <w:sz w:val="22"/>
                        </w:rPr>
                        <w:t>Table 2: Programme 1: Administration</w:t>
                      </w:r>
                    </w:p>
                  </w:txbxContent>
                </v:textbox>
                <w10:wrap type="topAndBottom"/>
              </v:shape>
            </w:pict>
          </mc:Fallback>
        </mc:AlternateContent>
      </w:r>
      <w:r w:rsidR="00B02948" w:rsidRPr="00714FB7">
        <w:rPr>
          <w:rFonts w:ascii="Times New Roman" w:eastAsia="Calibri" w:hAnsi="Times New Roman"/>
          <w:noProof/>
          <w:color w:val="auto"/>
          <w:spacing w:val="0"/>
          <w:sz w:val="24"/>
          <w:szCs w:val="24"/>
          <w:lang w:val="en-ZA" w:eastAsia="en-ZA"/>
        </w:rPr>
        <w:drawing>
          <wp:anchor distT="0" distB="0" distL="114300" distR="114300" simplePos="0" relativeHeight="251634688" behindDoc="0" locked="0" layoutInCell="1" allowOverlap="1" wp14:anchorId="1BF038C3" wp14:editId="0B88C397">
            <wp:simplePos x="0" y="0"/>
            <wp:positionH relativeFrom="margin">
              <wp:align>right</wp:align>
            </wp:positionH>
            <wp:positionV relativeFrom="paragraph">
              <wp:posOffset>546442</wp:posOffset>
            </wp:positionV>
            <wp:extent cx="5730875" cy="1670685"/>
            <wp:effectExtent l="0" t="0" r="3175"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1670685"/>
                    </a:xfrm>
                    <a:prstGeom prst="rect">
                      <a:avLst/>
                    </a:prstGeom>
                    <a:noFill/>
                  </pic:spPr>
                </pic:pic>
              </a:graphicData>
            </a:graphic>
          </wp:anchor>
        </w:drawing>
      </w:r>
    </w:p>
    <w:p w:rsidR="00F06843" w:rsidRPr="00714FB7" w:rsidRDefault="00F06843" w:rsidP="00F06843">
      <w:pPr>
        <w:spacing w:line="280" w:lineRule="exact"/>
        <w:jc w:val="both"/>
        <w:rPr>
          <w:rFonts w:ascii="Times New Roman" w:eastAsia="Calibri" w:hAnsi="Times New Roman"/>
          <w:color w:val="auto"/>
          <w:spacing w:val="0"/>
          <w:sz w:val="24"/>
          <w:szCs w:val="24"/>
          <w:lang w:val="en-ZA" w:eastAsia="en-US"/>
        </w:rPr>
      </w:pPr>
    </w:p>
    <w:p w:rsidR="00F06843" w:rsidRPr="00714FB7" w:rsidRDefault="00F06843" w:rsidP="00F06843">
      <w:pPr>
        <w:spacing w:line="280" w:lineRule="exact"/>
        <w:jc w:val="both"/>
        <w:rPr>
          <w:rFonts w:ascii="Times New Roman" w:eastAsia="Calibri" w:hAnsi="Times New Roman"/>
          <w:color w:val="auto"/>
          <w:spacing w:val="0"/>
          <w:sz w:val="24"/>
          <w:szCs w:val="24"/>
          <w:lang w:val="en-ZA" w:eastAsia="en-US"/>
        </w:rPr>
      </w:pPr>
    </w:p>
    <w:p w:rsidR="00F06843" w:rsidRPr="00714FB7" w:rsidRDefault="00F06843" w:rsidP="00030895">
      <w:pPr>
        <w:spacing w:line="360" w:lineRule="auto"/>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 xml:space="preserve">Programme 1’s </w:t>
      </w:r>
      <w:r w:rsidR="006C474A" w:rsidRPr="00714FB7">
        <w:rPr>
          <w:rFonts w:ascii="Times New Roman" w:eastAsia="Calibri" w:hAnsi="Times New Roman"/>
          <w:color w:val="auto"/>
          <w:spacing w:val="0"/>
          <w:sz w:val="24"/>
          <w:szCs w:val="24"/>
          <w:lang w:val="en-ZA" w:eastAsia="en-US"/>
        </w:rPr>
        <w:t xml:space="preserve">allocation </w:t>
      </w:r>
      <w:r w:rsidRPr="00714FB7">
        <w:rPr>
          <w:rFonts w:ascii="Times New Roman" w:eastAsia="Calibri" w:hAnsi="Times New Roman"/>
          <w:color w:val="auto"/>
          <w:spacing w:val="0"/>
          <w:sz w:val="24"/>
          <w:szCs w:val="24"/>
          <w:lang w:val="en-ZA" w:eastAsia="en-US"/>
        </w:rPr>
        <w:t>increases by 11.0 per cent in nominal terms (increasing in real terms by 4.4 per cent) from R462 million in 2016/17 to R512.8 million in 2017/18. The largest sub-programme is Corporate Services, of which the allocation increases by 13 per cent in nominal terms and by 6.3 per cent in real terms. Office Accommodation receives 32.2 per cent of the programme budget and increases from R143.7 million in 2016/17 to R165.2 million (up nominally by 15 per cent or 8.1 per cent in real terms) in 2017/18. The only sub-programme that experiences a nominal decrease is Management. Whilst all the other sub-programmes experience nominal increases, only two of these, i.e. Corporate Services and Office Accommodation (which also appear to be the priority sub-programmes in terms of budget allocation) experience real increases.</w:t>
      </w:r>
    </w:p>
    <w:p w:rsidR="00F06843" w:rsidRPr="00714FB7" w:rsidRDefault="00F06843" w:rsidP="00030895">
      <w:pPr>
        <w:spacing w:line="360" w:lineRule="auto"/>
        <w:jc w:val="both"/>
        <w:rPr>
          <w:rFonts w:ascii="Times New Roman" w:eastAsia="Calibri" w:hAnsi="Times New Roman"/>
          <w:i/>
          <w:color w:val="auto"/>
          <w:spacing w:val="0"/>
          <w:sz w:val="24"/>
          <w:szCs w:val="24"/>
          <w:lang w:val="en-ZA" w:eastAsia="en-US"/>
        </w:rPr>
      </w:pPr>
    </w:p>
    <w:p w:rsidR="00F06843" w:rsidRPr="00714FB7" w:rsidRDefault="00F06843" w:rsidP="00030895">
      <w:pPr>
        <w:spacing w:line="360" w:lineRule="auto"/>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In terms of economic classification, 98.7 per cent of the budget is allocated to current payments. Compensation of employees amounts to R197.2 million, while R308.8 million is allocated to goods and services. This includes R147.6 million for operating leases</w:t>
      </w:r>
    </w:p>
    <w:p w:rsidR="00F06843" w:rsidRPr="00714FB7" w:rsidRDefault="00F06843" w:rsidP="00F06843">
      <w:pPr>
        <w:spacing w:line="280" w:lineRule="exact"/>
        <w:jc w:val="both"/>
        <w:rPr>
          <w:rFonts w:ascii="Times New Roman" w:eastAsia="Calibri" w:hAnsi="Times New Roman"/>
          <w:color w:val="auto"/>
          <w:spacing w:val="0"/>
          <w:sz w:val="24"/>
          <w:szCs w:val="24"/>
          <w:lang w:val="en-ZA" w:eastAsia="en-US"/>
        </w:rPr>
      </w:pPr>
    </w:p>
    <w:p w:rsidR="00F06843" w:rsidRPr="00714FB7" w:rsidRDefault="00F06843" w:rsidP="00030895">
      <w:pPr>
        <w:pStyle w:val="ListParagraph"/>
        <w:numPr>
          <w:ilvl w:val="2"/>
          <w:numId w:val="82"/>
        </w:numPr>
        <w:rPr>
          <w:rFonts w:ascii="Times New Roman" w:hAnsi="Times New Roman"/>
          <w:b/>
          <w:color w:val="auto"/>
          <w:sz w:val="24"/>
          <w:szCs w:val="24"/>
          <w:lang w:val="en-ZA" w:eastAsia="en-US"/>
        </w:rPr>
      </w:pPr>
      <w:bookmarkStart w:id="2" w:name="_Toc481570705"/>
      <w:r w:rsidRPr="00714FB7">
        <w:rPr>
          <w:rFonts w:ascii="Times New Roman" w:hAnsi="Times New Roman"/>
          <w:b/>
          <w:color w:val="auto"/>
          <w:sz w:val="24"/>
          <w:szCs w:val="24"/>
          <w:lang w:val="en-ZA" w:eastAsia="en-US"/>
        </w:rPr>
        <w:t>Programme 2: National Health Insurance, Health Planning and Systems Enablement</w:t>
      </w:r>
      <w:bookmarkEnd w:id="2"/>
    </w:p>
    <w:p w:rsidR="00F06843" w:rsidRPr="00714FB7" w:rsidRDefault="00DE321A" w:rsidP="00F06843">
      <w:pPr>
        <w:spacing w:line="280" w:lineRule="exact"/>
        <w:jc w:val="both"/>
        <w:rPr>
          <w:rFonts w:ascii="Times New Roman" w:eastAsia="Calibri" w:hAnsi="Times New Roman"/>
          <w:color w:val="auto"/>
          <w:spacing w:val="0"/>
          <w:sz w:val="24"/>
          <w:szCs w:val="24"/>
          <w:lang w:val="en-ZA" w:eastAsia="en-US"/>
        </w:rPr>
      </w:pPr>
      <w:r w:rsidRPr="00714FB7">
        <w:rPr>
          <w:rFonts w:ascii="Times New Roman" w:eastAsia="Calibri" w:hAnsi="Times New Roman"/>
          <w:noProof/>
          <w:color w:val="auto"/>
          <w:spacing w:val="0"/>
          <w:sz w:val="24"/>
          <w:szCs w:val="24"/>
          <w:lang w:val="en-ZA" w:eastAsia="en-ZA"/>
        </w:rPr>
        <mc:AlternateContent>
          <mc:Choice Requires="wps">
            <w:drawing>
              <wp:anchor distT="0" distB="0" distL="114300" distR="114300" simplePos="0" relativeHeight="251641856" behindDoc="0" locked="0" layoutInCell="1" allowOverlap="1" wp14:anchorId="11FCD1BE" wp14:editId="44983EE6">
                <wp:simplePos x="0" y="0"/>
                <wp:positionH relativeFrom="margin">
                  <wp:align>left</wp:align>
                </wp:positionH>
                <wp:positionV relativeFrom="paragraph">
                  <wp:posOffset>237148</wp:posOffset>
                </wp:positionV>
                <wp:extent cx="5677535" cy="167005"/>
                <wp:effectExtent l="0" t="0" r="0" b="4445"/>
                <wp:wrapTopAndBottom/>
                <wp:docPr id="15" name="Text Box 15"/>
                <wp:cNvGraphicFramePr/>
                <a:graphic xmlns:a="http://schemas.openxmlformats.org/drawingml/2006/main">
                  <a:graphicData uri="http://schemas.microsoft.com/office/word/2010/wordprocessingShape">
                    <wps:wsp>
                      <wps:cNvSpPr txBox="1"/>
                      <wps:spPr>
                        <a:xfrm>
                          <a:off x="0" y="0"/>
                          <a:ext cx="5677535" cy="167005"/>
                        </a:xfrm>
                        <a:prstGeom prst="rect">
                          <a:avLst/>
                        </a:prstGeom>
                        <a:solidFill>
                          <a:prstClr val="white"/>
                        </a:solidFill>
                        <a:ln>
                          <a:noFill/>
                        </a:ln>
                      </wps:spPr>
                      <wps:txbx>
                        <w:txbxContent>
                          <w:p w:rsidR="00A43F60" w:rsidRPr="00030895" w:rsidRDefault="00A43F60" w:rsidP="00F06843">
                            <w:pPr>
                              <w:pStyle w:val="Caption"/>
                              <w:rPr>
                                <w:rFonts w:ascii="Times New Roman" w:hAnsi="Times New Roman"/>
                                <w:noProof/>
                                <w:sz w:val="22"/>
                              </w:rPr>
                            </w:pPr>
                            <w:r w:rsidRPr="00030895">
                              <w:rPr>
                                <w:rFonts w:ascii="Times New Roman" w:hAnsi="Times New Roman"/>
                                <w:sz w:val="22"/>
                              </w:rPr>
                              <w:t>Table 3: Programme 2: NHI, Health Planning and Systems Enablement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FCD1BE" id="Text Box 15" o:spid="_x0000_s1027" type="#_x0000_t202" style="position:absolute;left:0;text-align:left;margin-left:0;margin-top:18.65pt;width:447.05pt;height:13.15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Z6MgIAAGkEAAAOAAAAZHJzL2Uyb0RvYy54bWysVMGO2jAQvVfqP1i+dwNbLVSIsKKsqCqh&#10;3ZWg2rNxHGLJ8bi2IaFf3+eEsO22p6oXM5l5nvF7M8P8vq0NOykfNNmcj29GnCkrqdD2kPNvu/WH&#10;T5yFKGwhDFmV87MK/H7x/t28cTN1SxWZQnmGJDbMGpfzKkY3y7IgK1WLcENOWQRL8rWI+PSHrPCi&#10;QfbaZLej0SRryBfOk1QhwPvQB/miy1+WSsansgwqMpNzvC12p+/OfTqzxVzMDl64SsvLM8Q/vKIW&#10;2qLoNdWDiIIdvf4jVa2lp0BlvJFUZ1SWWqqOA9iMR2/YbCvhVMcF4gR3lSn8v7Ty8fTsmS7QuzvO&#10;rKjRo51qI/tMLYML+jQuzADbOgBjCz+wgz/AmWi3pa/TLwgxxKH0+apuyibhvJtMp3cfUUUiNp5M&#10;R6MuffZ62/kQvyiqWTJy7tG9TlRx2oSIlwA6QFKxQEYXa21M+kiBlfHsJNDpptJRpTfixm8oYxPW&#10;UrrVh5MnSxR7KsmK7b7tJRlo7qk4g72nfn6Ck2uNehsR4rPwGBgQxhLEJxyloSbndLE4q8j/+Js/&#10;4dFHRDlrMIA5D9+PwivOzFeLDqdpHQw/GPvBsMd6RWA6xno52Zm44KMZzNJT/YLdWKYqCAkrUSvn&#10;cTBXsV8D7JZUy2UHwkw6ETd262RKPei6a1+Ed5euRPTzkYbRFLM3zemxvcrLY6RSd51LuvYqXuTG&#10;PHftuexeWphfvzvU6z/E4icAAAD//wMAUEsDBBQABgAIAAAAIQAyPrFD3QAAAAYBAAAPAAAAZHJz&#10;L2Rvd25yZXYueG1sTI/BTsMwEETvSPyDtUhcEHXaoFBCnApauJVDS9XzNl6SiHgd2U6T/j3mBMfV&#10;jN68LVaT6cSZnG8tK5jPEhDEldUt1woOn+/3SxA+IGvsLJOCC3lYlddXBebajryj8z7UIkLY56ig&#10;CaHPpfRVQwb9zPbEMfuyzmCIp6uldjhGuOnkIkkyabDluNBgT+uGqu/9YBRkGzeMO17fbQ5vW/zo&#10;68Xx9XJU6vZmenkGEWgKf2X41Y/qUEankx1Ye9EpiI8EBeljCiKmy6eHOYhTRKcZyLKQ//XLHwAA&#10;AP//AwBQSwECLQAUAAYACAAAACEAtoM4kv4AAADhAQAAEwAAAAAAAAAAAAAAAAAAAAAAW0NvbnRl&#10;bnRfVHlwZXNdLnhtbFBLAQItABQABgAIAAAAIQA4/SH/1gAAAJQBAAALAAAAAAAAAAAAAAAAAC8B&#10;AABfcmVscy8ucmVsc1BLAQItABQABgAIAAAAIQBr1eZ6MgIAAGkEAAAOAAAAAAAAAAAAAAAAAC4C&#10;AABkcnMvZTJvRG9jLnhtbFBLAQItABQABgAIAAAAIQAyPrFD3QAAAAYBAAAPAAAAAAAAAAAAAAAA&#10;AIwEAABkcnMvZG93bnJldi54bWxQSwUGAAAAAAQABADzAAAAlgUAAAAA&#10;" stroked="f">
                <v:textbox inset="0,0,0,0">
                  <w:txbxContent>
                    <w:p w:rsidR="00A43F60" w:rsidRPr="00030895" w:rsidRDefault="00A43F60" w:rsidP="00F06843">
                      <w:pPr>
                        <w:pStyle w:val="Caption"/>
                        <w:rPr>
                          <w:rFonts w:ascii="Times New Roman" w:hAnsi="Times New Roman"/>
                          <w:noProof/>
                          <w:sz w:val="22"/>
                        </w:rPr>
                      </w:pPr>
                      <w:r w:rsidRPr="00030895">
                        <w:rPr>
                          <w:rFonts w:ascii="Times New Roman" w:hAnsi="Times New Roman"/>
                          <w:sz w:val="22"/>
                        </w:rPr>
                        <w:t>Table 3: Programme 2: NHI, Health Planning and Systems Enablement</w:t>
                      </w:r>
                    </w:p>
                  </w:txbxContent>
                </v:textbox>
                <w10:wrap type="topAndBottom" anchorx="margin"/>
              </v:shape>
            </w:pict>
          </mc:Fallback>
        </mc:AlternateContent>
      </w:r>
    </w:p>
    <w:p w:rsidR="00450513" w:rsidRPr="00714FB7" w:rsidRDefault="00F06843" w:rsidP="00F06843">
      <w:pPr>
        <w:spacing w:line="280" w:lineRule="exact"/>
        <w:jc w:val="both"/>
        <w:rPr>
          <w:rFonts w:ascii="Times New Roman" w:eastAsia="Calibri" w:hAnsi="Times New Roman"/>
          <w:color w:val="auto"/>
          <w:spacing w:val="0"/>
          <w:sz w:val="24"/>
          <w:szCs w:val="24"/>
          <w:lang w:val="en-ZA" w:eastAsia="en-US"/>
        </w:rPr>
      </w:pPr>
      <w:r w:rsidRPr="00714FB7">
        <w:rPr>
          <w:rFonts w:ascii="Times New Roman" w:eastAsia="Calibri" w:hAnsi="Times New Roman"/>
          <w:noProof/>
          <w:color w:val="auto"/>
          <w:spacing w:val="0"/>
          <w:sz w:val="24"/>
          <w:szCs w:val="24"/>
          <w:lang w:val="en-ZA" w:eastAsia="en-ZA"/>
        </w:rPr>
        <w:drawing>
          <wp:anchor distT="0" distB="0" distL="114300" distR="114300" simplePos="0" relativeHeight="251638784" behindDoc="0" locked="0" layoutInCell="1" allowOverlap="1" wp14:anchorId="4C895CBB" wp14:editId="4CB73FB5">
            <wp:simplePos x="0" y="0"/>
            <wp:positionH relativeFrom="column">
              <wp:posOffset>-53340</wp:posOffset>
            </wp:positionH>
            <wp:positionV relativeFrom="paragraph">
              <wp:posOffset>250825</wp:posOffset>
            </wp:positionV>
            <wp:extent cx="5730875" cy="1505585"/>
            <wp:effectExtent l="0" t="0" r="317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1505585"/>
                    </a:xfrm>
                    <a:prstGeom prst="rect">
                      <a:avLst/>
                    </a:prstGeom>
                    <a:noFill/>
                  </pic:spPr>
                </pic:pic>
              </a:graphicData>
            </a:graphic>
          </wp:anchor>
        </w:drawing>
      </w:r>
    </w:p>
    <w:p w:rsidR="00F06843" w:rsidRPr="00714FB7" w:rsidRDefault="00F06843" w:rsidP="00030895">
      <w:pPr>
        <w:spacing w:line="360" w:lineRule="auto"/>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 xml:space="preserve">This Programme budget increases by 24.9 per cent in nominal terms (17.5 per cent in real terms) from the 2016/17 financial year, due largely to increased funding for the Technical Policy and Planning sub-programme (345 per cent nominal increase) and Sector-wide Procurement sub-programmes (252.6 per cent nominal increase). </w:t>
      </w:r>
    </w:p>
    <w:p w:rsidR="00F06843" w:rsidRPr="00714FB7" w:rsidRDefault="00F06843" w:rsidP="00030895">
      <w:pPr>
        <w:spacing w:line="360" w:lineRule="auto"/>
        <w:jc w:val="both"/>
        <w:rPr>
          <w:rFonts w:ascii="Times New Roman" w:eastAsia="Calibri" w:hAnsi="Times New Roman"/>
          <w:color w:val="auto"/>
          <w:spacing w:val="0"/>
          <w:sz w:val="24"/>
          <w:szCs w:val="24"/>
          <w:lang w:val="en-ZA" w:eastAsia="en-US"/>
        </w:rPr>
      </w:pPr>
    </w:p>
    <w:p w:rsidR="00F06843" w:rsidRPr="00714FB7" w:rsidRDefault="00F06843" w:rsidP="00030895">
      <w:pPr>
        <w:spacing w:line="360" w:lineRule="auto"/>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 xml:space="preserve">There are decreases in the Health Information Management, Monitoring and Evaluation sub-programme, as well as the Health Financing and NHI sub-programme. The Health Information Management sub-programme decreases by R6.8 million (9.2 per cent in nominal terms). The Health Financing and NHI sub-programme decreases by R36.8 million (9.6 per cent nominally and 15 per cent in real terms). </w:t>
      </w:r>
    </w:p>
    <w:p w:rsidR="00F418C6" w:rsidRPr="00714FB7" w:rsidRDefault="00F418C6" w:rsidP="00030895">
      <w:pPr>
        <w:spacing w:line="360" w:lineRule="auto"/>
        <w:jc w:val="both"/>
        <w:rPr>
          <w:rFonts w:ascii="Times New Roman" w:eastAsia="Calibri" w:hAnsi="Times New Roman"/>
          <w:color w:val="auto"/>
          <w:spacing w:val="0"/>
          <w:sz w:val="24"/>
          <w:szCs w:val="24"/>
          <w:lang w:val="en-ZA" w:eastAsia="en-US"/>
        </w:rPr>
      </w:pPr>
    </w:p>
    <w:p w:rsidR="00450513" w:rsidRPr="00714FB7" w:rsidRDefault="00450513" w:rsidP="00030895">
      <w:pPr>
        <w:pStyle w:val="ListParagraph"/>
        <w:keepNext/>
        <w:keepLines/>
        <w:numPr>
          <w:ilvl w:val="2"/>
          <w:numId w:val="82"/>
        </w:numPr>
        <w:spacing w:line="280" w:lineRule="exact"/>
        <w:jc w:val="both"/>
        <w:outlineLvl w:val="2"/>
        <w:rPr>
          <w:rFonts w:ascii="Times New Roman" w:hAnsi="Times New Roman"/>
          <w:b/>
          <w:color w:val="auto"/>
          <w:spacing w:val="0"/>
          <w:sz w:val="24"/>
          <w:szCs w:val="24"/>
          <w:lang w:val="en-ZA" w:eastAsia="en-US"/>
        </w:rPr>
      </w:pPr>
      <w:bookmarkStart w:id="3" w:name="_Toc481570706"/>
      <w:r w:rsidRPr="00714FB7">
        <w:rPr>
          <w:rFonts w:ascii="Times New Roman" w:hAnsi="Times New Roman"/>
          <w:b/>
          <w:color w:val="auto"/>
          <w:spacing w:val="0"/>
          <w:sz w:val="24"/>
          <w:szCs w:val="24"/>
          <w:lang w:val="en-ZA" w:eastAsia="en-US"/>
        </w:rPr>
        <w:t>Programme 3: HIV and AIDS, TB, Maternal and Child Health</w:t>
      </w:r>
      <w:bookmarkEnd w:id="3"/>
    </w:p>
    <w:p w:rsidR="00450513" w:rsidRPr="00714FB7" w:rsidRDefault="001D0182" w:rsidP="00450513">
      <w:pPr>
        <w:spacing w:line="280" w:lineRule="exact"/>
        <w:jc w:val="both"/>
        <w:rPr>
          <w:rFonts w:ascii="Times New Roman" w:eastAsia="Calibri" w:hAnsi="Times New Roman"/>
          <w:color w:val="auto"/>
          <w:spacing w:val="0"/>
          <w:sz w:val="24"/>
          <w:szCs w:val="24"/>
          <w:lang w:val="en-ZA" w:eastAsia="en-US"/>
        </w:rPr>
      </w:pPr>
      <w:r w:rsidRPr="00714FB7">
        <w:rPr>
          <w:rFonts w:ascii="Times New Roman" w:eastAsia="Calibri" w:hAnsi="Times New Roman"/>
          <w:noProof/>
          <w:color w:val="auto"/>
          <w:spacing w:val="0"/>
          <w:sz w:val="24"/>
          <w:szCs w:val="24"/>
          <w:lang w:val="en-ZA" w:eastAsia="en-ZA"/>
        </w:rPr>
        <mc:AlternateContent>
          <mc:Choice Requires="wps">
            <w:drawing>
              <wp:anchor distT="0" distB="0" distL="114300" distR="114300" simplePos="0" relativeHeight="251655168" behindDoc="0" locked="0" layoutInCell="1" allowOverlap="1" wp14:anchorId="3DA0BFB1" wp14:editId="51A15248">
                <wp:simplePos x="0" y="0"/>
                <wp:positionH relativeFrom="margin">
                  <wp:align>right</wp:align>
                </wp:positionH>
                <wp:positionV relativeFrom="paragraph">
                  <wp:posOffset>336550</wp:posOffset>
                </wp:positionV>
                <wp:extent cx="5608320" cy="140335"/>
                <wp:effectExtent l="0" t="0" r="0" b="0"/>
                <wp:wrapTopAndBottom/>
                <wp:docPr id="16" name="Text Box 16"/>
                <wp:cNvGraphicFramePr/>
                <a:graphic xmlns:a="http://schemas.openxmlformats.org/drawingml/2006/main">
                  <a:graphicData uri="http://schemas.microsoft.com/office/word/2010/wordprocessingShape">
                    <wps:wsp>
                      <wps:cNvSpPr txBox="1"/>
                      <wps:spPr>
                        <a:xfrm>
                          <a:off x="0" y="0"/>
                          <a:ext cx="5608320" cy="140335"/>
                        </a:xfrm>
                        <a:prstGeom prst="rect">
                          <a:avLst/>
                        </a:prstGeom>
                        <a:solidFill>
                          <a:prstClr val="white"/>
                        </a:solidFill>
                        <a:ln>
                          <a:noFill/>
                        </a:ln>
                      </wps:spPr>
                      <wps:txbx>
                        <w:txbxContent>
                          <w:p w:rsidR="00A43F60" w:rsidRPr="00030895" w:rsidRDefault="00A43F60" w:rsidP="00450513">
                            <w:pPr>
                              <w:pStyle w:val="Caption"/>
                              <w:rPr>
                                <w:rFonts w:ascii="Times New Roman" w:hAnsi="Times New Roman"/>
                                <w:sz w:val="22"/>
                              </w:rPr>
                            </w:pPr>
                            <w:r w:rsidRPr="00030895">
                              <w:rPr>
                                <w:rFonts w:ascii="Times New Roman" w:hAnsi="Times New Roman"/>
                                <w:sz w:val="22"/>
                              </w:rPr>
                              <w:t>Table 4: HIV and AIDS, TB, Maternal and Child Health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A0BFB1" id="Text Box 16" o:spid="_x0000_s1028" type="#_x0000_t202" style="position:absolute;left:0;text-align:left;margin-left:390.4pt;margin-top:26.5pt;width:441.6pt;height:11.0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GhMAIAAGkEAAAOAAAAZHJzL2Uyb0RvYy54bWysVFFv2yAQfp+0/4B4X+wka1VZcaosVaZJ&#10;UVspmfpMMMRImGNAYme/fge2067b07QXfNwdB9/33Xlx3zWanIXzCkxJp5OcEmE4VMocS/p9v/l0&#10;R4kPzFRMgxElvQhP75cfPyxaW4gZ1KAr4QgWMb5obUnrEGyRZZ7XomF+AlYYDEpwDQu4dcescqzF&#10;6o3OZnl+m7XgKuuAC+/R+9AH6TLVl1Lw8CSlF4HokuLbQlpdWg9xzZYLVhwds7XiwzPYP7yiYcrg&#10;pddSDywwcnLqj1KN4g48yDDh0GQgpeIiYUA00/wdml3NrEhYkBxvrzT5/1eWP56fHVEVandLiWEN&#10;arQXXSBfoCPoQn5a6wtM21lMDB36MXf0e3RG2J10TfwiIIJxZPpyZTdW4+i8uc3v5jMMcYxNP+fz&#10;+U0sk72ets6HrwIaEo2SOlQvkcrOWx/61DElXuZBq2qjtI6bGFhrR84MlW5rFcRQ/LcsbWKugXiq&#10;Lxg9WYTYQ4lW6A5domQ2wjxAdUH0Dvr+8ZZvFN63ZT48M4cNg6hwCMITLlJDW1IYLEpqcD//5o/5&#10;qCNGKWmxAUvqf5yYE5TobwYVjt06Gm40DqNhTs0aEOkUx8vyZOIBF/RoSgfNC87GKt6CIWY43lXS&#10;MJrr0I8BzhYXq1VKwp60LGzNzvJYeuR1370wZwdVAur5CGNrsuKdOH1uz/LqFECqpFzktWdxoBv7&#10;OWk/zF4cmLf7lPX6h1j+AgAA//8DAFBLAwQUAAYACAAAACEACYGPV90AAAAGAQAADwAAAGRycy9k&#10;b3ducmV2LnhtbEyPwU7DMBBE70j8g7VIXBB1mqolCnEqaOEGh5aqZzdekoh4HdlOk/49y4meVqMZ&#10;zbwt1pPtxBl9aB0pmM8SEEiVMy3VCg5f748ZiBA1Gd05QgUXDLAub28KnRs30g7P+1gLLqGQawVN&#10;jH0uZagatDrMXI/E3rfzVkeWvpbG65HLbSfTJFlJq1vihUb3uGmw+tkPVsFq64dxR5uH7eHtQ3/2&#10;dXp8vRyVur+bXp5BRJzifxj+8BkdSmY6uYFMEJ0CfiQqWC74sptlixTEScHTcg6yLOQ1fvkLAAD/&#10;/wMAUEsBAi0AFAAGAAgAAAAhALaDOJL+AAAA4QEAABMAAAAAAAAAAAAAAAAAAAAAAFtDb250ZW50&#10;X1R5cGVzXS54bWxQSwECLQAUAAYACAAAACEAOP0h/9YAAACUAQAACwAAAAAAAAAAAAAAAAAvAQAA&#10;X3JlbHMvLnJlbHNQSwECLQAUAAYACAAAACEApr5xoTACAABpBAAADgAAAAAAAAAAAAAAAAAuAgAA&#10;ZHJzL2Uyb0RvYy54bWxQSwECLQAUAAYACAAAACEACYGPV90AAAAGAQAADwAAAAAAAAAAAAAAAACK&#10;BAAAZHJzL2Rvd25yZXYueG1sUEsFBgAAAAAEAAQA8wAAAJQFAAAAAA==&#10;" stroked="f">
                <v:textbox inset="0,0,0,0">
                  <w:txbxContent>
                    <w:p w:rsidR="00A43F60" w:rsidRPr="00030895" w:rsidRDefault="00A43F60" w:rsidP="00450513">
                      <w:pPr>
                        <w:pStyle w:val="Caption"/>
                        <w:rPr>
                          <w:rFonts w:ascii="Times New Roman" w:hAnsi="Times New Roman"/>
                          <w:sz w:val="22"/>
                        </w:rPr>
                      </w:pPr>
                      <w:r w:rsidRPr="00030895">
                        <w:rPr>
                          <w:rFonts w:ascii="Times New Roman" w:hAnsi="Times New Roman"/>
                          <w:sz w:val="22"/>
                        </w:rPr>
                        <w:t>Table 4: HIV and AIDS, TB, Maternal and Child Health</w:t>
                      </w:r>
                    </w:p>
                  </w:txbxContent>
                </v:textbox>
                <w10:wrap type="topAndBottom" anchorx="margin"/>
              </v:shape>
            </w:pict>
          </mc:Fallback>
        </mc:AlternateContent>
      </w:r>
    </w:p>
    <w:p w:rsidR="00450513" w:rsidRPr="00714FB7" w:rsidRDefault="00070E9C" w:rsidP="00450513">
      <w:pPr>
        <w:spacing w:line="280" w:lineRule="exact"/>
        <w:jc w:val="both"/>
        <w:rPr>
          <w:rFonts w:ascii="Times New Roman" w:eastAsia="Calibri" w:hAnsi="Times New Roman"/>
          <w:color w:val="auto"/>
          <w:spacing w:val="0"/>
          <w:sz w:val="24"/>
          <w:szCs w:val="24"/>
          <w:lang w:val="en-ZA" w:eastAsia="en-US"/>
        </w:rPr>
      </w:pPr>
      <w:r w:rsidRPr="00714FB7">
        <w:rPr>
          <w:rFonts w:ascii="Times New Roman" w:eastAsia="Calibri" w:hAnsi="Times New Roman"/>
          <w:noProof/>
          <w:color w:val="auto"/>
          <w:spacing w:val="0"/>
          <w:sz w:val="24"/>
          <w:szCs w:val="24"/>
          <w:lang w:val="en-ZA" w:eastAsia="en-ZA"/>
        </w:rPr>
        <w:drawing>
          <wp:anchor distT="0" distB="0" distL="114300" distR="114300" simplePos="0" relativeHeight="251650048" behindDoc="0" locked="0" layoutInCell="1" allowOverlap="1" wp14:anchorId="02771F12" wp14:editId="6576D5E4">
            <wp:simplePos x="0" y="0"/>
            <wp:positionH relativeFrom="margin">
              <wp:posOffset>0</wp:posOffset>
            </wp:positionH>
            <wp:positionV relativeFrom="paragraph">
              <wp:posOffset>335280</wp:posOffset>
            </wp:positionV>
            <wp:extent cx="5731510" cy="1564640"/>
            <wp:effectExtent l="0" t="0" r="254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564640"/>
                    </a:xfrm>
                    <a:prstGeom prst="rect">
                      <a:avLst/>
                    </a:prstGeom>
                    <a:noFill/>
                    <a:ln>
                      <a:noFill/>
                    </a:ln>
                  </pic:spPr>
                </pic:pic>
              </a:graphicData>
            </a:graphic>
            <wp14:sizeRelV relativeFrom="margin">
              <wp14:pctHeight>0</wp14:pctHeight>
            </wp14:sizeRelV>
          </wp:anchor>
        </w:drawing>
      </w:r>
      <w:r w:rsidR="00450513" w:rsidRPr="00714FB7">
        <w:rPr>
          <w:rFonts w:ascii="Times New Roman" w:eastAsia="Calibri" w:hAnsi="Times New Roman"/>
          <w:color w:val="auto"/>
          <w:spacing w:val="0"/>
          <w:sz w:val="24"/>
          <w:szCs w:val="24"/>
          <w:lang w:val="en-ZA" w:eastAsia="en-US"/>
        </w:rPr>
        <w:t xml:space="preserve"> </w:t>
      </w:r>
    </w:p>
    <w:p w:rsidR="00450513" w:rsidRPr="00714FB7" w:rsidRDefault="00450513" w:rsidP="00030895">
      <w:pPr>
        <w:spacing w:line="360" w:lineRule="auto"/>
        <w:jc w:val="both"/>
        <w:rPr>
          <w:rFonts w:ascii="Times New Roman" w:eastAsia="Calibri" w:hAnsi="Times New Roman"/>
          <w:color w:val="auto"/>
          <w:spacing w:val="0"/>
          <w:sz w:val="24"/>
          <w:szCs w:val="24"/>
          <w:lang w:eastAsia="en-US"/>
        </w:rPr>
      </w:pPr>
      <w:r w:rsidRPr="00714FB7">
        <w:rPr>
          <w:rFonts w:ascii="Times New Roman" w:eastAsia="Calibri" w:hAnsi="Times New Roman"/>
          <w:color w:val="auto"/>
          <w:spacing w:val="0"/>
          <w:sz w:val="24"/>
          <w:szCs w:val="24"/>
          <w:lang w:eastAsia="en-US"/>
        </w:rPr>
        <w:t xml:space="preserve">The bulk of this programme’s budget, i.e. 98.5 per cent, is allocated to the HIV and AIDS sub-programme, amounting to R18 billion in 2017/18. This represents a nominal increase of 14.3 per cent or 7.6 per cent in real terms compared to the 2016/17 allocation. The remaining four sub-programmes combined receive less than 1.5 per cent of the programme’s budget. Moreover, two of these four sub-programmes, i.e. TB and Women’s Maternal and Reproductive Health, experience nominal and real decreases in their budget allocations. This is despite the fact that women’s health, children’s health and TB form part of the stated priorities of the Department as they relate to the burden of disease in the country. </w:t>
      </w:r>
    </w:p>
    <w:p w:rsidR="00450513" w:rsidRPr="00714FB7" w:rsidRDefault="00450513" w:rsidP="00030895">
      <w:pPr>
        <w:spacing w:line="360" w:lineRule="auto"/>
        <w:jc w:val="both"/>
        <w:rPr>
          <w:rFonts w:ascii="Times New Roman" w:eastAsia="Calibri" w:hAnsi="Times New Roman"/>
          <w:color w:val="auto"/>
          <w:spacing w:val="0"/>
          <w:sz w:val="24"/>
          <w:szCs w:val="24"/>
          <w:lang w:eastAsia="en-US"/>
        </w:rPr>
      </w:pPr>
    </w:p>
    <w:p w:rsidR="00450513" w:rsidRPr="00714FB7" w:rsidRDefault="00450513" w:rsidP="00030895">
      <w:pPr>
        <w:spacing w:line="360" w:lineRule="auto"/>
        <w:jc w:val="both"/>
        <w:rPr>
          <w:rFonts w:ascii="Times New Roman" w:eastAsia="Calibri" w:hAnsi="Times New Roman"/>
          <w:color w:val="auto"/>
          <w:spacing w:val="0"/>
          <w:sz w:val="24"/>
          <w:szCs w:val="24"/>
          <w:lang w:eastAsia="en-US"/>
        </w:rPr>
      </w:pPr>
      <w:r w:rsidRPr="00714FB7">
        <w:rPr>
          <w:rFonts w:ascii="Times New Roman" w:eastAsia="Calibri" w:hAnsi="Times New Roman"/>
          <w:color w:val="auto"/>
          <w:spacing w:val="0"/>
          <w:sz w:val="24"/>
          <w:szCs w:val="24"/>
          <w:lang w:eastAsia="en-US"/>
        </w:rPr>
        <w:t>The 2017/18 funding for the TB sub-programme declined by 3.2 per cent in nominal terms and 8.9 per cent in real terms. This despite the stated priority of tackling TB, especially given the high co-morbidity rate with HIV and AIDS.</w:t>
      </w:r>
    </w:p>
    <w:p w:rsidR="00450513" w:rsidRPr="00714FB7" w:rsidRDefault="00450513" w:rsidP="00030895">
      <w:pPr>
        <w:spacing w:line="360" w:lineRule="auto"/>
        <w:jc w:val="both"/>
        <w:rPr>
          <w:rFonts w:ascii="Times New Roman" w:eastAsia="Calibri" w:hAnsi="Times New Roman"/>
          <w:color w:val="auto"/>
          <w:spacing w:val="0"/>
          <w:sz w:val="24"/>
          <w:szCs w:val="24"/>
          <w:lang w:eastAsia="en-US"/>
        </w:rPr>
      </w:pPr>
    </w:p>
    <w:p w:rsidR="00450513" w:rsidRPr="00714FB7" w:rsidRDefault="00450513" w:rsidP="00030895">
      <w:pPr>
        <w:spacing w:line="360" w:lineRule="auto"/>
        <w:jc w:val="both"/>
        <w:rPr>
          <w:rFonts w:ascii="Times New Roman" w:eastAsia="Calibri" w:hAnsi="Times New Roman"/>
          <w:color w:val="auto"/>
          <w:spacing w:val="0"/>
          <w:sz w:val="24"/>
          <w:szCs w:val="24"/>
          <w:lang w:eastAsia="en-US"/>
        </w:rPr>
      </w:pPr>
      <w:r w:rsidRPr="00714FB7">
        <w:rPr>
          <w:rFonts w:ascii="Times New Roman" w:eastAsia="Calibri" w:hAnsi="Times New Roman"/>
          <w:color w:val="auto"/>
          <w:spacing w:val="0"/>
          <w:sz w:val="24"/>
          <w:szCs w:val="24"/>
          <w:lang w:eastAsia="en-US"/>
        </w:rPr>
        <w:t xml:space="preserve">The Women’s Maternal and Reproductive Health sub-programme is responsible for, amongst other things, reducing maternal mortality and improving access to sexual and reproductive health services. This sub-programme received less than 1 (i.e. 0.1) per cent of the programme budget. </w:t>
      </w:r>
      <w:r w:rsidR="006C474A" w:rsidRPr="00714FB7">
        <w:rPr>
          <w:rFonts w:ascii="Times New Roman" w:eastAsia="Calibri" w:hAnsi="Times New Roman"/>
          <w:color w:val="auto"/>
          <w:spacing w:val="0"/>
          <w:sz w:val="24"/>
          <w:szCs w:val="24"/>
          <w:lang w:eastAsia="en-US"/>
        </w:rPr>
        <w:t xml:space="preserve">Budget </w:t>
      </w:r>
      <w:r w:rsidRPr="00714FB7">
        <w:rPr>
          <w:rFonts w:ascii="Times New Roman" w:eastAsia="Calibri" w:hAnsi="Times New Roman"/>
          <w:color w:val="auto"/>
          <w:spacing w:val="0"/>
          <w:sz w:val="24"/>
          <w:szCs w:val="24"/>
          <w:lang w:eastAsia="en-US"/>
        </w:rPr>
        <w:t>declines in nominal terms by 2.8 per cent, and by 8.6 per cent in real terms from the previous year.</w:t>
      </w:r>
    </w:p>
    <w:p w:rsidR="00450513" w:rsidRPr="00714FB7" w:rsidRDefault="00450513" w:rsidP="00030895">
      <w:pPr>
        <w:spacing w:line="360" w:lineRule="auto"/>
        <w:jc w:val="both"/>
        <w:rPr>
          <w:rFonts w:ascii="Times New Roman" w:eastAsia="Calibri" w:hAnsi="Times New Roman"/>
          <w:color w:val="auto"/>
          <w:spacing w:val="0"/>
          <w:sz w:val="24"/>
          <w:szCs w:val="24"/>
          <w:lang w:eastAsia="en-US"/>
        </w:rPr>
      </w:pPr>
    </w:p>
    <w:p w:rsidR="00450513" w:rsidRPr="00714FB7" w:rsidRDefault="00450513" w:rsidP="00030895">
      <w:pPr>
        <w:spacing w:line="360" w:lineRule="auto"/>
        <w:jc w:val="both"/>
        <w:rPr>
          <w:rFonts w:ascii="Times New Roman" w:eastAsia="Calibri" w:hAnsi="Times New Roman"/>
          <w:color w:val="auto"/>
          <w:spacing w:val="0"/>
          <w:sz w:val="24"/>
          <w:szCs w:val="24"/>
          <w:lang w:eastAsia="en-US"/>
        </w:rPr>
      </w:pPr>
      <w:r w:rsidRPr="00714FB7">
        <w:rPr>
          <w:rFonts w:ascii="Times New Roman" w:eastAsia="Calibri" w:hAnsi="Times New Roman"/>
          <w:color w:val="auto"/>
          <w:spacing w:val="0"/>
          <w:sz w:val="24"/>
          <w:szCs w:val="24"/>
          <w:lang w:eastAsia="en-US"/>
        </w:rPr>
        <w:t xml:space="preserve">The Child, Youth and School Health sub-programme increases with 4.6 per cent in nominal terms (declining by 1.6 per cent in real terms). A significant portion of the allocated budget funds the roll-out of the Human Papilloma Virus (HPV) Vaccine. This sub-programme develops and monitors policies and guidelines, and sets norms and standards for child health. Each province also has a unit which is responsible for facilitating implementation at provincial level. The cluster focuses on, amongst other things: reducing under 5 years of age mortality, increasing the number of children with HIV on treatment, strengthening youth health services, including ensuring that health services are youth friendly, and strengthening school health services. </w:t>
      </w:r>
    </w:p>
    <w:p w:rsidR="00450513" w:rsidRPr="00714FB7" w:rsidRDefault="00450513" w:rsidP="00450513">
      <w:pPr>
        <w:keepNext/>
        <w:keepLines/>
        <w:spacing w:line="280" w:lineRule="exact"/>
        <w:jc w:val="both"/>
        <w:outlineLvl w:val="2"/>
        <w:rPr>
          <w:rFonts w:ascii="Times New Roman" w:hAnsi="Times New Roman"/>
          <w:b/>
          <w:i/>
          <w:color w:val="auto"/>
          <w:spacing w:val="0"/>
          <w:sz w:val="24"/>
          <w:szCs w:val="24"/>
          <w:lang w:val="en-ZA" w:eastAsia="en-US"/>
        </w:rPr>
      </w:pPr>
    </w:p>
    <w:p w:rsidR="00450513" w:rsidRPr="00714FB7" w:rsidRDefault="00450513" w:rsidP="00030895">
      <w:pPr>
        <w:pStyle w:val="ListParagraph"/>
        <w:keepNext/>
        <w:keepLines/>
        <w:numPr>
          <w:ilvl w:val="2"/>
          <w:numId w:val="82"/>
        </w:numPr>
        <w:spacing w:line="280" w:lineRule="exact"/>
        <w:jc w:val="both"/>
        <w:outlineLvl w:val="2"/>
        <w:rPr>
          <w:rFonts w:ascii="Times New Roman" w:hAnsi="Times New Roman"/>
          <w:b/>
          <w:color w:val="auto"/>
          <w:spacing w:val="0"/>
          <w:sz w:val="24"/>
          <w:szCs w:val="24"/>
          <w:lang w:val="en-ZA" w:eastAsia="en-US"/>
        </w:rPr>
      </w:pPr>
      <w:r w:rsidRPr="00714FB7">
        <w:rPr>
          <w:rFonts w:ascii="Times New Roman" w:hAnsi="Times New Roman"/>
          <w:b/>
          <w:color w:val="auto"/>
          <w:spacing w:val="0"/>
          <w:sz w:val="24"/>
          <w:szCs w:val="24"/>
          <w:lang w:val="en-ZA" w:eastAsia="en-US"/>
        </w:rPr>
        <w:t>Programme 4: Primary Health Care Services</w:t>
      </w:r>
    </w:p>
    <w:p w:rsidR="00450513" w:rsidRPr="00714FB7" w:rsidRDefault="00DE321A" w:rsidP="00450513">
      <w:pPr>
        <w:spacing w:line="280" w:lineRule="exact"/>
        <w:jc w:val="both"/>
        <w:rPr>
          <w:rFonts w:ascii="Times New Roman" w:eastAsia="Calibri" w:hAnsi="Times New Roman"/>
          <w:color w:val="auto"/>
          <w:spacing w:val="0"/>
          <w:sz w:val="24"/>
          <w:szCs w:val="24"/>
          <w:lang w:val="en-ZA" w:eastAsia="en-US"/>
        </w:rPr>
      </w:pPr>
      <w:r w:rsidRPr="00714FB7">
        <w:rPr>
          <w:rFonts w:ascii="Times New Roman" w:eastAsia="Calibri" w:hAnsi="Times New Roman"/>
          <w:noProof/>
          <w:color w:val="auto"/>
          <w:spacing w:val="0"/>
          <w:sz w:val="24"/>
          <w:szCs w:val="24"/>
          <w:lang w:val="en-ZA" w:eastAsia="en-ZA"/>
        </w:rPr>
        <mc:AlternateContent>
          <mc:Choice Requires="wps">
            <w:drawing>
              <wp:anchor distT="0" distB="0" distL="114300" distR="114300" simplePos="0" relativeHeight="251659264" behindDoc="0" locked="0" layoutInCell="1" allowOverlap="1" wp14:anchorId="78AFBED5" wp14:editId="7551F9DD">
                <wp:simplePos x="0" y="0"/>
                <wp:positionH relativeFrom="margin">
                  <wp:align>right</wp:align>
                </wp:positionH>
                <wp:positionV relativeFrom="paragraph">
                  <wp:posOffset>325511</wp:posOffset>
                </wp:positionV>
                <wp:extent cx="5563235" cy="167005"/>
                <wp:effectExtent l="0" t="0" r="0" b="4445"/>
                <wp:wrapTopAndBottom/>
                <wp:docPr id="18" name="Text Box 18"/>
                <wp:cNvGraphicFramePr/>
                <a:graphic xmlns:a="http://schemas.openxmlformats.org/drawingml/2006/main">
                  <a:graphicData uri="http://schemas.microsoft.com/office/word/2010/wordprocessingShape">
                    <wps:wsp>
                      <wps:cNvSpPr txBox="1"/>
                      <wps:spPr>
                        <a:xfrm>
                          <a:off x="0" y="0"/>
                          <a:ext cx="5563235" cy="167005"/>
                        </a:xfrm>
                        <a:prstGeom prst="rect">
                          <a:avLst/>
                        </a:prstGeom>
                        <a:solidFill>
                          <a:prstClr val="white"/>
                        </a:solidFill>
                        <a:ln>
                          <a:noFill/>
                        </a:ln>
                      </wps:spPr>
                      <wps:txbx>
                        <w:txbxContent>
                          <w:p w:rsidR="00A43F60" w:rsidRPr="00030895" w:rsidRDefault="00A43F60" w:rsidP="00450513">
                            <w:pPr>
                              <w:pStyle w:val="Caption"/>
                              <w:rPr>
                                <w:rFonts w:ascii="Times New Roman" w:hAnsi="Times New Roman"/>
                                <w:noProof/>
                                <w:sz w:val="22"/>
                              </w:rPr>
                            </w:pPr>
                            <w:r w:rsidRPr="00030895">
                              <w:rPr>
                                <w:rFonts w:ascii="Times New Roman" w:hAnsi="Times New Roman"/>
                                <w:sz w:val="22"/>
                              </w:rPr>
                              <w:t>Table 5: Primary Health Care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AFBED5" id="Text Box 18" o:spid="_x0000_s1029" type="#_x0000_t202" style="position:absolute;left:0;text-align:left;margin-left:386.85pt;margin-top:25.65pt;width:438.05pt;height:13.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RRMAIAAGkEAAAOAAAAZHJzL2Uyb0RvYy54bWysVE2P2yAQvVfqf0DcGzuJklZWnFWaVapK&#10;0e5KSbVngiFGAoYCib399R38kW23PVW94GFmGHjvzXh11xpNrsIHBbak00lOibAcKmXPJf123H34&#10;REmIzFZMgxUlfRGB3q3fv1s1rhAzqEFXwhMsYkPRuJLWMboiywKvhWFhAk5YDErwhkXc+nNWedZg&#10;daOzWZ4vswZ85TxwEQJ67/sgXXf1pRQ8PkoZRCS6pPi22K2+W09pzdYrVpw9c7XiwzPYP7zCMGXx&#10;0lupexYZuXj1RymjuIcAMk44mAykVFx0GBDNNH+D5lAzJzosSE5wN5rC/yvLH65PnqgKtUOlLDOo&#10;0VG0kXyGlqAL+WlcKDDt4DAxtujH3NEf0Jlgt9Kb9EVABOPI9MuN3VSNo3OxWM5n8wUlHGPT5cc8&#10;X6Qy2etp50P8IsCQZJTUo3odqey6D7FPHVPSZQG0qnZK67RJga325MpQ6aZWUQzFf8vSNuVaSKf6&#10;gsmTJYg9lGTF9tR2lMxHmCeoXhC9h75/guM7hfftWYhPzGPDIGAcgviIi9TQlBQGi5Ia/I+/+VM+&#10;6ohRShpswJKG7xfmBSX6q0WFU7eOhh+N02jYi9kCIp3ieDnemXjARz2a0oN5xtnYpFswxCzHu0oa&#10;R3Mb+zHA2eJis+mSsCcdi3t7cDyVHnk9ts/Mu0GViHo+wNiarHgjTp/bs7y5RJCqUy7x2rM40I39&#10;3Gk/zF4amF/3XdbrH2L9EwAA//8DAFBLAwQUAAYACAAAACEA+sdCgd0AAAAGAQAADwAAAGRycy9k&#10;b3ducmV2LnhtbEyPwU7DMBBE70j8g7VIXBB1UkRShTgVtHCDQ0vV8zZekoh4HdlOk/495gTH0Yxm&#10;3pTr2fTiTM53lhWkiwQEcW11x42Cw+fb/QqED8gae8uk4EIe1tX1VYmFthPv6LwPjYgl7AtU0IYw&#10;FFL6uiWDfmEH4uh9WWcwROkaqR1Osdz0cpkkmTTYcVxocaBNS/X3fjQKsq0bpx1v7raH13f8GJrl&#10;8eVyVOr2Zn5+AhFoDn9h+MWP6FBFppMdWXvRK4hHgoLH9AFEdFd5loI4KcjzDGRVyv/41Q8AAAD/&#10;/wMAUEsBAi0AFAAGAAgAAAAhALaDOJL+AAAA4QEAABMAAAAAAAAAAAAAAAAAAAAAAFtDb250ZW50&#10;X1R5cGVzXS54bWxQSwECLQAUAAYACAAAACEAOP0h/9YAAACUAQAACwAAAAAAAAAAAAAAAAAvAQAA&#10;X3JlbHMvLnJlbHNQSwECLQAUAAYACAAAACEASGzEUTACAABpBAAADgAAAAAAAAAAAAAAAAAuAgAA&#10;ZHJzL2Uyb0RvYy54bWxQSwECLQAUAAYACAAAACEA+sdCgd0AAAAGAQAADwAAAAAAAAAAAAAAAACK&#10;BAAAZHJzL2Rvd25yZXYueG1sUEsFBgAAAAAEAAQA8wAAAJQFAAAAAA==&#10;" stroked="f">
                <v:textbox inset="0,0,0,0">
                  <w:txbxContent>
                    <w:p w:rsidR="00A43F60" w:rsidRPr="00030895" w:rsidRDefault="00A43F60" w:rsidP="00450513">
                      <w:pPr>
                        <w:pStyle w:val="Caption"/>
                        <w:rPr>
                          <w:rFonts w:ascii="Times New Roman" w:hAnsi="Times New Roman"/>
                          <w:noProof/>
                          <w:sz w:val="22"/>
                        </w:rPr>
                      </w:pPr>
                      <w:r w:rsidRPr="00030895">
                        <w:rPr>
                          <w:rFonts w:ascii="Times New Roman" w:hAnsi="Times New Roman"/>
                          <w:sz w:val="22"/>
                        </w:rPr>
                        <w:t>Table 5: Primary Health Care Services</w:t>
                      </w:r>
                    </w:p>
                  </w:txbxContent>
                </v:textbox>
                <w10:wrap type="topAndBottom" anchorx="margin"/>
              </v:shape>
            </w:pict>
          </mc:Fallback>
        </mc:AlternateContent>
      </w:r>
    </w:p>
    <w:p w:rsidR="001D0182" w:rsidRPr="00714FB7" w:rsidRDefault="00450513" w:rsidP="00030895">
      <w:pPr>
        <w:spacing w:line="360" w:lineRule="auto"/>
        <w:jc w:val="both"/>
        <w:rPr>
          <w:rFonts w:ascii="Times New Roman" w:eastAsia="Calibri" w:hAnsi="Times New Roman"/>
          <w:color w:val="auto"/>
          <w:spacing w:val="0"/>
          <w:sz w:val="24"/>
          <w:szCs w:val="24"/>
          <w:lang w:eastAsia="en-US"/>
        </w:rPr>
      </w:pPr>
      <w:r w:rsidRPr="00714FB7">
        <w:rPr>
          <w:rFonts w:ascii="Times New Roman" w:eastAsia="Calibri" w:hAnsi="Times New Roman"/>
          <w:noProof/>
          <w:color w:val="auto"/>
          <w:spacing w:val="0"/>
          <w:sz w:val="24"/>
          <w:szCs w:val="24"/>
          <w:lang w:val="en-ZA" w:eastAsia="en-ZA"/>
        </w:rPr>
        <w:drawing>
          <wp:anchor distT="0" distB="0" distL="114300" distR="114300" simplePos="0" relativeHeight="251658240" behindDoc="0" locked="0" layoutInCell="1" allowOverlap="1" wp14:anchorId="69C3A56C" wp14:editId="11AE205D">
            <wp:simplePos x="0" y="0"/>
            <wp:positionH relativeFrom="margin">
              <wp:align>right</wp:align>
            </wp:positionH>
            <wp:positionV relativeFrom="paragraph">
              <wp:posOffset>337134</wp:posOffset>
            </wp:positionV>
            <wp:extent cx="5730875" cy="1840865"/>
            <wp:effectExtent l="0" t="0" r="3175" b="698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1840865"/>
                    </a:xfrm>
                    <a:prstGeom prst="rect">
                      <a:avLst/>
                    </a:prstGeom>
                    <a:noFill/>
                  </pic:spPr>
                </pic:pic>
              </a:graphicData>
            </a:graphic>
          </wp:anchor>
        </w:drawing>
      </w:r>
      <w:r w:rsidR="00B21E76" w:rsidRPr="00714FB7">
        <w:rPr>
          <w:rFonts w:ascii="Times New Roman" w:eastAsia="Calibri" w:hAnsi="Times New Roman"/>
          <w:color w:val="auto"/>
          <w:spacing w:val="0"/>
          <w:sz w:val="24"/>
          <w:szCs w:val="24"/>
          <w:lang w:eastAsia="en-US"/>
        </w:rPr>
        <w:t xml:space="preserve">                                                                                                                                                 </w:t>
      </w:r>
    </w:p>
    <w:p w:rsidR="00450513" w:rsidRPr="00714FB7" w:rsidRDefault="00450513" w:rsidP="00030895">
      <w:pPr>
        <w:spacing w:line="360" w:lineRule="auto"/>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eastAsia="en-US"/>
        </w:rPr>
        <w:t>This Programme’s budget increases by 3 per cent in nominal terms in 2017/18 (3.1 per cent decline in real terms).</w:t>
      </w:r>
    </w:p>
    <w:p w:rsidR="00450513" w:rsidRPr="00714FB7" w:rsidRDefault="00450513" w:rsidP="00030895">
      <w:pPr>
        <w:spacing w:line="360" w:lineRule="auto"/>
        <w:jc w:val="both"/>
        <w:rPr>
          <w:rFonts w:ascii="Times New Roman" w:eastAsia="Calibri" w:hAnsi="Times New Roman"/>
          <w:color w:val="auto"/>
          <w:spacing w:val="0"/>
          <w:sz w:val="24"/>
          <w:szCs w:val="24"/>
          <w:lang w:eastAsia="en-US"/>
        </w:rPr>
      </w:pPr>
    </w:p>
    <w:p w:rsidR="00450513" w:rsidRPr="00714FB7" w:rsidRDefault="00450513" w:rsidP="00030895">
      <w:pPr>
        <w:spacing w:line="360" w:lineRule="auto"/>
        <w:jc w:val="both"/>
        <w:rPr>
          <w:rFonts w:ascii="Times New Roman" w:eastAsia="Calibri" w:hAnsi="Times New Roman"/>
          <w:color w:val="auto"/>
          <w:spacing w:val="0"/>
          <w:sz w:val="24"/>
          <w:szCs w:val="24"/>
          <w:lang w:eastAsia="en-US"/>
        </w:rPr>
      </w:pPr>
      <w:r w:rsidRPr="00714FB7">
        <w:rPr>
          <w:rFonts w:ascii="Times New Roman" w:eastAsia="Calibri" w:hAnsi="Times New Roman"/>
          <w:color w:val="auto"/>
          <w:spacing w:val="0"/>
          <w:sz w:val="24"/>
          <w:szCs w:val="24"/>
          <w:lang w:eastAsia="en-US"/>
        </w:rPr>
        <w:t>The District Health Services sub-programme increases by 77.6 per cent nominally (67.1 per cent in real terms) from R26 million 2016/17 to R46.3 million 2017/18. It is also one of only two sub-programmes that experience real increases, the other being Health Promotion and Nutrition (which increases by 16.4 per cent in nominal terms from R22.7 million in 2016/17 to R26.5 million in 2017/18).</w:t>
      </w:r>
    </w:p>
    <w:p w:rsidR="00450513" w:rsidRPr="00714FB7" w:rsidRDefault="00450513" w:rsidP="00030895">
      <w:pPr>
        <w:spacing w:line="360" w:lineRule="auto"/>
        <w:jc w:val="both"/>
        <w:rPr>
          <w:rFonts w:ascii="Times New Roman" w:eastAsia="Calibri" w:hAnsi="Times New Roman"/>
          <w:color w:val="auto"/>
          <w:spacing w:val="0"/>
          <w:sz w:val="24"/>
          <w:szCs w:val="24"/>
          <w:lang w:eastAsia="en-US"/>
        </w:rPr>
      </w:pPr>
    </w:p>
    <w:p w:rsidR="00450513" w:rsidRPr="00714FB7" w:rsidRDefault="00450513" w:rsidP="00030895">
      <w:pPr>
        <w:spacing w:line="360" w:lineRule="auto"/>
        <w:jc w:val="both"/>
        <w:rPr>
          <w:rFonts w:ascii="Times New Roman" w:eastAsia="Calibri" w:hAnsi="Times New Roman"/>
          <w:color w:val="auto"/>
          <w:spacing w:val="0"/>
          <w:sz w:val="24"/>
          <w:szCs w:val="24"/>
          <w:lang w:eastAsia="en-US"/>
        </w:rPr>
      </w:pPr>
      <w:r w:rsidRPr="00714FB7">
        <w:rPr>
          <w:rFonts w:ascii="Times New Roman" w:eastAsia="Calibri" w:hAnsi="Times New Roman"/>
          <w:color w:val="auto"/>
          <w:spacing w:val="0"/>
          <w:sz w:val="24"/>
          <w:szCs w:val="24"/>
          <w:lang w:eastAsia="en-US"/>
        </w:rPr>
        <w:t xml:space="preserve">The allocation for Environmental and Port Health Services decreases by 10.9 per cent in nominal terms (or 16.2 per cent in real terms) from R161.1 million to R144 million. The budget allocation for Communicable Diseases increases by 1.7 per cent in nominal terms (and declines by 4.4 per cent in real terms) from R21.6 million to R21.9 million. </w:t>
      </w:r>
    </w:p>
    <w:p w:rsidR="00450513" w:rsidRPr="00714FB7" w:rsidRDefault="00450513" w:rsidP="00030895">
      <w:pPr>
        <w:spacing w:line="360" w:lineRule="auto"/>
        <w:jc w:val="both"/>
        <w:rPr>
          <w:rFonts w:ascii="Times New Roman" w:eastAsia="Calibri" w:hAnsi="Times New Roman"/>
          <w:color w:val="auto"/>
          <w:spacing w:val="0"/>
          <w:sz w:val="24"/>
          <w:szCs w:val="24"/>
          <w:lang w:eastAsia="en-US"/>
        </w:rPr>
      </w:pPr>
    </w:p>
    <w:p w:rsidR="00450513" w:rsidRPr="00714FB7" w:rsidRDefault="00450513" w:rsidP="00030895">
      <w:pPr>
        <w:spacing w:line="360" w:lineRule="auto"/>
        <w:jc w:val="both"/>
        <w:rPr>
          <w:rFonts w:ascii="Times New Roman" w:eastAsia="Calibri" w:hAnsi="Times New Roman"/>
          <w:color w:val="auto"/>
          <w:spacing w:val="0"/>
          <w:sz w:val="24"/>
          <w:szCs w:val="24"/>
          <w:lang w:eastAsia="en-US"/>
        </w:rPr>
      </w:pPr>
      <w:r w:rsidRPr="00714FB7">
        <w:rPr>
          <w:rFonts w:ascii="Times New Roman" w:eastAsia="Calibri" w:hAnsi="Times New Roman"/>
          <w:color w:val="auto"/>
          <w:spacing w:val="0"/>
          <w:sz w:val="24"/>
          <w:szCs w:val="24"/>
          <w:lang w:eastAsia="en-US"/>
        </w:rPr>
        <w:t xml:space="preserve">The Non-Communicable Diseases sub-programme allocation increases from R21.6 million in in 2016/17 to R22.5 million in 2017/18. This sub-programme, amongst others, assists provinces in implementing and monitoring chronic diseases, disability, elderly people, oral health, mental health and substance abuse. </w:t>
      </w:r>
    </w:p>
    <w:p w:rsidR="00450513" w:rsidRPr="00714FB7" w:rsidRDefault="00450513" w:rsidP="00450513">
      <w:pPr>
        <w:spacing w:line="280" w:lineRule="exact"/>
        <w:jc w:val="both"/>
        <w:rPr>
          <w:rFonts w:ascii="Times New Roman" w:eastAsia="Calibri" w:hAnsi="Times New Roman"/>
          <w:color w:val="auto"/>
          <w:spacing w:val="0"/>
          <w:sz w:val="24"/>
          <w:szCs w:val="24"/>
          <w:lang w:eastAsia="en-US"/>
        </w:rPr>
      </w:pPr>
    </w:p>
    <w:p w:rsidR="00FD6740" w:rsidRPr="00714FB7" w:rsidRDefault="00FD6740" w:rsidP="00030895">
      <w:pPr>
        <w:pStyle w:val="ListParagraph"/>
        <w:keepNext/>
        <w:keepLines/>
        <w:numPr>
          <w:ilvl w:val="2"/>
          <w:numId w:val="82"/>
        </w:numPr>
        <w:spacing w:line="280" w:lineRule="exact"/>
        <w:jc w:val="both"/>
        <w:outlineLvl w:val="2"/>
        <w:rPr>
          <w:rFonts w:ascii="Times New Roman" w:hAnsi="Times New Roman"/>
          <w:b/>
          <w:color w:val="auto"/>
          <w:spacing w:val="0"/>
          <w:sz w:val="24"/>
          <w:szCs w:val="24"/>
          <w:lang w:val="en-ZA" w:eastAsia="en-US"/>
        </w:rPr>
      </w:pPr>
      <w:bookmarkStart w:id="4" w:name="_Toc481570708"/>
      <w:r w:rsidRPr="00714FB7">
        <w:rPr>
          <w:rFonts w:ascii="Times New Roman" w:hAnsi="Times New Roman"/>
          <w:b/>
          <w:color w:val="auto"/>
          <w:spacing w:val="0"/>
          <w:sz w:val="24"/>
          <w:szCs w:val="24"/>
          <w:lang w:val="en-ZA" w:eastAsia="en-US"/>
        </w:rPr>
        <w:t>Programme 5: Hospitals, Tertiary Health Services and Human Resources Development</w:t>
      </w:r>
      <w:bookmarkEnd w:id="4"/>
    </w:p>
    <w:p w:rsidR="00070E9C" w:rsidRPr="00714FB7" w:rsidRDefault="00DE321A" w:rsidP="00030895">
      <w:pPr>
        <w:pStyle w:val="ListParagraph"/>
        <w:keepNext/>
        <w:keepLines/>
        <w:spacing w:line="280" w:lineRule="exact"/>
        <w:ind w:left="1260"/>
        <w:jc w:val="both"/>
        <w:outlineLvl w:val="2"/>
        <w:rPr>
          <w:rFonts w:ascii="Times New Roman" w:hAnsi="Times New Roman"/>
          <w:b/>
          <w:color w:val="auto"/>
          <w:spacing w:val="0"/>
          <w:sz w:val="24"/>
          <w:szCs w:val="24"/>
          <w:lang w:val="en-ZA" w:eastAsia="en-US"/>
        </w:rPr>
      </w:pPr>
      <w:r w:rsidRPr="00714FB7">
        <w:rPr>
          <w:rFonts w:ascii="Times New Roman" w:eastAsia="Calibri" w:hAnsi="Times New Roman"/>
          <w:noProof/>
          <w:color w:val="auto"/>
          <w:spacing w:val="0"/>
          <w:sz w:val="24"/>
          <w:szCs w:val="24"/>
          <w:lang w:val="en-ZA" w:eastAsia="en-ZA"/>
        </w:rPr>
        <mc:AlternateContent>
          <mc:Choice Requires="wps">
            <w:drawing>
              <wp:anchor distT="0" distB="0" distL="114300" distR="114300" simplePos="0" relativeHeight="251671552" behindDoc="0" locked="0" layoutInCell="1" allowOverlap="1" wp14:anchorId="7B70292C" wp14:editId="2ED4B279">
                <wp:simplePos x="0" y="0"/>
                <wp:positionH relativeFrom="margin">
                  <wp:posOffset>105508</wp:posOffset>
                </wp:positionH>
                <wp:positionV relativeFrom="paragraph">
                  <wp:posOffset>294396</wp:posOffset>
                </wp:positionV>
                <wp:extent cx="5539105" cy="193040"/>
                <wp:effectExtent l="0" t="0" r="4445" b="0"/>
                <wp:wrapTopAndBottom/>
                <wp:docPr id="20" name="Text Box 20"/>
                <wp:cNvGraphicFramePr/>
                <a:graphic xmlns:a="http://schemas.openxmlformats.org/drawingml/2006/main">
                  <a:graphicData uri="http://schemas.microsoft.com/office/word/2010/wordprocessingShape">
                    <wps:wsp>
                      <wps:cNvSpPr txBox="1"/>
                      <wps:spPr>
                        <a:xfrm>
                          <a:off x="0" y="0"/>
                          <a:ext cx="5539105" cy="193040"/>
                        </a:xfrm>
                        <a:prstGeom prst="rect">
                          <a:avLst/>
                        </a:prstGeom>
                        <a:solidFill>
                          <a:prstClr val="white"/>
                        </a:solidFill>
                        <a:ln>
                          <a:noFill/>
                        </a:ln>
                      </wps:spPr>
                      <wps:txbx>
                        <w:txbxContent>
                          <w:p w:rsidR="00A43F60" w:rsidRPr="00030895" w:rsidRDefault="00A43F60" w:rsidP="00FD6740">
                            <w:pPr>
                              <w:pStyle w:val="Caption"/>
                              <w:rPr>
                                <w:rFonts w:ascii="Times New Roman" w:hAnsi="Times New Roman"/>
                                <w:noProof/>
                                <w:sz w:val="22"/>
                                <w:szCs w:val="16"/>
                              </w:rPr>
                            </w:pPr>
                            <w:r w:rsidRPr="00030895">
                              <w:rPr>
                                <w:rFonts w:ascii="Times New Roman" w:hAnsi="Times New Roman"/>
                                <w:sz w:val="22"/>
                                <w:szCs w:val="16"/>
                              </w:rPr>
                              <w:t>Table 6: Hospitals, Tertiary Health Services and Human Resources Development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70292C" id="Text Box 20" o:spid="_x0000_s1030" type="#_x0000_t202" style="position:absolute;left:0;text-align:left;margin-left:8.3pt;margin-top:23.2pt;width:436.15pt;height:1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qKMwIAAGkEAAAOAAAAZHJzL2Uyb0RvYy54bWysVFFv2yAQfp+0/4B4X+ykzbRGcaosVaZJ&#10;UVspmfpMMMRIwDEgsbNfvwPH6dbtadoLPu6Og+/77jy/74wmJ+GDAlvR8aikRFgOtbKHin7brT98&#10;oiREZmumwYqKnkWg94v37+atm4kJNKBr4QkWsWHWuoo2MbpZUQTeCMPCCJywGJTgDYu49Yei9qzF&#10;6kYXk7L8WLTga+eBixDQ+9AH6SLXl1Lw+CRlEJHoiuLbYl59XvdpLRZzNjt45hrFL89g//AKw5TF&#10;S6+lHlhk5OjVH6WM4h4CyDjiYAqQUnGRMSCacfkGzbZhTmQsSE5wV5rC/yvLH0/Pnqi6ohOkxzKD&#10;Gu1EF8ln6Ai6kJ/WhRmmbR0mxg79qPPgD+hMsDvpTfoiIIJxLHW+spuqcXROpzd343JKCcfY+O6m&#10;vM3li9fTzof4RYAhyaioR/Uyqey0CRFfgqlDSrosgFb1WmmdNimw0p6cGCrdNiqK9EY88VuWtinX&#10;QjrVh5OnSBB7KMmK3b7LlNwOMPdQnxG9h75/guNrhfdtWIjPzGPDIGAcgviEi9TQVhQuFiUN+B9/&#10;86d81BGjlLTYgBUN34/MC0r0V4sKp24dDD8Y+8GwR7MCRDrG8XI8m3jARz2Y0oN5wdlYplswxCzH&#10;uyoaB3MV+zHA2eJiucxJ2JOOxY3dOp5KD7zuuhfm3UWViHo+wtCabPZGnD63Z3l5jCBVVi7x2rN4&#10;oRv7Octzmb00ML/uc9brH2LxEwAA//8DAFBLAwQUAAYACAAAACEAHAYBZt0AAAAIAQAADwAAAGRy&#10;cy9kb3ducmV2LnhtbEyPMU/DMBSEdyT+g/WQWBB1qCpj0jgVtLDRoaXq/Bq7SUT8HNlOk/57zATj&#10;6U533xWryXbsYnxoHSl4mmXADFVOt1QrOHx9PEpgISJp7BwZBVcTYFXe3hSYazfSzlz2sWaphEKO&#10;CpoY+5zzUDXGYpi53lDyzs5bjEn6mmuPYyq3HZ9nmeAWW0oLDfZm3Zjqez9YBWLjh3FH64fN4f0T&#10;t309P75dj0rd302vS2DRTPEvDL/4CR3KxHRyA+nAuqSFSEkFC7EAlnwp5Quwk4JnIYGXBf9/oPwB&#10;AAD//wMAUEsBAi0AFAAGAAgAAAAhALaDOJL+AAAA4QEAABMAAAAAAAAAAAAAAAAAAAAAAFtDb250&#10;ZW50X1R5cGVzXS54bWxQSwECLQAUAAYACAAAACEAOP0h/9YAAACUAQAACwAAAAAAAAAAAAAAAAAv&#10;AQAAX3JlbHMvLnJlbHNQSwECLQAUAAYACAAAACEAYF26ijMCAABpBAAADgAAAAAAAAAAAAAAAAAu&#10;AgAAZHJzL2Uyb0RvYy54bWxQSwECLQAUAAYACAAAACEAHAYBZt0AAAAIAQAADwAAAAAAAAAAAAAA&#10;AACNBAAAZHJzL2Rvd25yZXYueG1sUEsFBgAAAAAEAAQA8wAAAJcFAAAAAA==&#10;" stroked="f">
                <v:textbox inset="0,0,0,0">
                  <w:txbxContent>
                    <w:p w:rsidR="00A43F60" w:rsidRPr="00030895" w:rsidRDefault="00A43F60" w:rsidP="00FD6740">
                      <w:pPr>
                        <w:pStyle w:val="Caption"/>
                        <w:rPr>
                          <w:rFonts w:ascii="Times New Roman" w:hAnsi="Times New Roman"/>
                          <w:noProof/>
                          <w:sz w:val="22"/>
                          <w:szCs w:val="16"/>
                        </w:rPr>
                      </w:pPr>
                      <w:r w:rsidRPr="00030895">
                        <w:rPr>
                          <w:rFonts w:ascii="Times New Roman" w:hAnsi="Times New Roman"/>
                          <w:sz w:val="22"/>
                          <w:szCs w:val="16"/>
                        </w:rPr>
                        <w:t>Table 6: Hospitals, Tertiary Health Services and Human Resources Development</w:t>
                      </w:r>
                    </w:p>
                  </w:txbxContent>
                </v:textbox>
                <w10:wrap type="topAndBottom" anchorx="margin"/>
              </v:shape>
            </w:pict>
          </mc:Fallback>
        </mc:AlternateContent>
      </w:r>
      <w:r w:rsidRPr="00714FB7">
        <w:rPr>
          <w:rFonts w:ascii="Times New Roman" w:eastAsia="Calibri" w:hAnsi="Times New Roman"/>
          <w:noProof/>
          <w:color w:val="auto"/>
          <w:spacing w:val="0"/>
          <w:sz w:val="24"/>
          <w:szCs w:val="24"/>
          <w:lang w:val="en-ZA" w:eastAsia="en-ZA"/>
        </w:rPr>
        <w:drawing>
          <wp:anchor distT="0" distB="0" distL="114300" distR="114300" simplePos="0" relativeHeight="251665408" behindDoc="0" locked="0" layoutInCell="1" allowOverlap="1" wp14:anchorId="7D2F6464" wp14:editId="0F5827FE">
            <wp:simplePos x="0" y="0"/>
            <wp:positionH relativeFrom="column">
              <wp:posOffset>-54806</wp:posOffset>
            </wp:positionH>
            <wp:positionV relativeFrom="paragraph">
              <wp:posOffset>520945</wp:posOffset>
            </wp:positionV>
            <wp:extent cx="5730875" cy="1859280"/>
            <wp:effectExtent l="0" t="0" r="3175"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875" cy="1859280"/>
                    </a:xfrm>
                    <a:prstGeom prst="rect">
                      <a:avLst/>
                    </a:prstGeom>
                    <a:noFill/>
                  </pic:spPr>
                </pic:pic>
              </a:graphicData>
            </a:graphic>
          </wp:anchor>
        </w:drawing>
      </w:r>
    </w:p>
    <w:p w:rsidR="00B21E76" w:rsidRPr="00714FB7" w:rsidRDefault="00B21E76">
      <w:pPr>
        <w:spacing w:line="280" w:lineRule="exact"/>
        <w:jc w:val="both"/>
        <w:rPr>
          <w:rFonts w:ascii="Times New Roman" w:hAnsi="Times New Roman"/>
          <w:bCs/>
          <w:iCs/>
          <w:color w:val="auto"/>
          <w:spacing w:val="0"/>
          <w:sz w:val="24"/>
          <w:szCs w:val="24"/>
          <w:lang w:eastAsia="en-US"/>
        </w:rPr>
      </w:pPr>
    </w:p>
    <w:p w:rsidR="00FD6740" w:rsidRPr="00714FB7" w:rsidRDefault="00FD6740" w:rsidP="00030895">
      <w:pPr>
        <w:spacing w:line="360" w:lineRule="auto"/>
        <w:jc w:val="both"/>
        <w:rPr>
          <w:rFonts w:ascii="Times New Roman" w:hAnsi="Times New Roman"/>
          <w:bCs/>
          <w:iCs/>
          <w:color w:val="auto"/>
          <w:spacing w:val="0"/>
          <w:sz w:val="24"/>
          <w:szCs w:val="24"/>
          <w:lang w:eastAsia="en-US"/>
        </w:rPr>
      </w:pPr>
      <w:r w:rsidRPr="00714FB7">
        <w:rPr>
          <w:rFonts w:ascii="Times New Roman" w:hAnsi="Times New Roman"/>
          <w:bCs/>
          <w:iCs/>
          <w:color w:val="auto"/>
          <w:spacing w:val="0"/>
          <w:sz w:val="24"/>
          <w:szCs w:val="24"/>
          <w:lang w:eastAsia="en-US"/>
        </w:rPr>
        <w:t xml:space="preserve">Total </w:t>
      </w:r>
      <w:r w:rsidR="006C474A" w:rsidRPr="00714FB7">
        <w:rPr>
          <w:rFonts w:ascii="Times New Roman" w:hAnsi="Times New Roman"/>
          <w:bCs/>
          <w:iCs/>
          <w:color w:val="auto"/>
          <w:spacing w:val="0"/>
          <w:sz w:val="24"/>
          <w:szCs w:val="24"/>
          <w:lang w:eastAsia="en-US"/>
        </w:rPr>
        <w:t xml:space="preserve">allocation </w:t>
      </w:r>
      <w:r w:rsidRPr="00714FB7">
        <w:rPr>
          <w:rFonts w:ascii="Times New Roman" w:hAnsi="Times New Roman"/>
          <w:bCs/>
          <w:iCs/>
          <w:color w:val="auto"/>
          <w:spacing w:val="0"/>
          <w:sz w:val="24"/>
          <w:szCs w:val="24"/>
          <w:lang w:eastAsia="en-US"/>
        </w:rPr>
        <w:t>for Programme 5 grows from R19.57 billion in the 2016/17 financial year to R21.11 billion in 2017/18. The budget for this programme increases by 7.8 per cent in nominal terms, and 1.5 per cent in real terms.</w:t>
      </w:r>
    </w:p>
    <w:p w:rsidR="00FD6740" w:rsidRPr="00714FB7" w:rsidRDefault="00FD6740" w:rsidP="00030895">
      <w:pPr>
        <w:spacing w:line="360" w:lineRule="auto"/>
        <w:jc w:val="both"/>
        <w:rPr>
          <w:rFonts w:ascii="Times New Roman" w:hAnsi="Times New Roman"/>
          <w:bCs/>
          <w:iCs/>
          <w:color w:val="auto"/>
          <w:spacing w:val="0"/>
          <w:sz w:val="24"/>
          <w:szCs w:val="24"/>
          <w:lang w:eastAsia="en-US"/>
        </w:rPr>
      </w:pPr>
    </w:p>
    <w:p w:rsidR="00FD6740" w:rsidRPr="00714FB7" w:rsidRDefault="00FD6740" w:rsidP="00030895">
      <w:pPr>
        <w:spacing w:line="360" w:lineRule="auto"/>
        <w:jc w:val="both"/>
        <w:rPr>
          <w:rFonts w:ascii="Times New Roman" w:hAnsi="Times New Roman"/>
          <w:bCs/>
          <w:iCs/>
          <w:color w:val="auto"/>
          <w:spacing w:val="0"/>
          <w:sz w:val="24"/>
          <w:szCs w:val="24"/>
          <w:lang w:eastAsia="en-US"/>
        </w:rPr>
      </w:pPr>
      <w:r w:rsidRPr="00714FB7">
        <w:rPr>
          <w:rFonts w:ascii="Times New Roman" w:hAnsi="Times New Roman"/>
          <w:bCs/>
          <w:iCs/>
          <w:color w:val="auto"/>
          <w:spacing w:val="0"/>
          <w:sz w:val="24"/>
          <w:szCs w:val="24"/>
          <w:lang w:eastAsia="en-US"/>
        </w:rPr>
        <w:t xml:space="preserve">The Tertiary Health Care Planning and Policy sub-programme increases from R10.85 billion to R11.68 billion (7.6 per cent in nominal terms and 1.26 per cent in real terms). The 2017/18 allocation for Health Facilities Infrastructure Management increases by 9 per cent in nominal terms, 2.5 per cent in real terms.  </w:t>
      </w:r>
    </w:p>
    <w:p w:rsidR="00FD6740" w:rsidRPr="00714FB7" w:rsidRDefault="00FD6740" w:rsidP="00030895">
      <w:pPr>
        <w:spacing w:line="360" w:lineRule="auto"/>
        <w:jc w:val="both"/>
        <w:rPr>
          <w:rFonts w:ascii="Times New Roman" w:hAnsi="Times New Roman"/>
          <w:bCs/>
          <w:iCs/>
          <w:color w:val="auto"/>
          <w:spacing w:val="0"/>
          <w:sz w:val="24"/>
          <w:szCs w:val="24"/>
          <w:lang w:eastAsia="en-US"/>
        </w:rPr>
      </w:pPr>
    </w:p>
    <w:p w:rsidR="00FD6740" w:rsidRPr="00714FB7" w:rsidRDefault="00FD6740" w:rsidP="00030895">
      <w:pPr>
        <w:spacing w:line="360" w:lineRule="auto"/>
        <w:jc w:val="both"/>
        <w:rPr>
          <w:rFonts w:ascii="Times New Roman" w:hAnsi="Times New Roman"/>
          <w:bCs/>
          <w:iCs/>
          <w:color w:val="auto"/>
          <w:spacing w:val="0"/>
          <w:sz w:val="24"/>
          <w:szCs w:val="24"/>
          <w:lang w:eastAsia="en-US"/>
        </w:rPr>
      </w:pPr>
      <w:r w:rsidRPr="00714FB7">
        <w:rPr>
          <w:rFonts w:ascii="Times New Roman" w:hAnsi="Times New Roman"/>
          <w:bCs/>
          <w:iCs/>
          <w:color w:val="auto"/>
          <w:spacing w:val="0"/>
          <w:sz w:val="24"/>
          <w:szCs w:val="24"/>
          <w:lang w:eastAsia="en-US"/>
        </w:rPr>
        <w:t xml:space="preserve">The Forensic Chemistry Laboratories sub-programme allocation increases by 5.7 per cent in nominal terms (declining by 0.6 per cent in real terms) from R120.5 million in 2016/17 to R127.4 million in 2017/18. </w:t>
      </w:r>
    </w:p>
    <w:p w:rsidR="00FD6740" w:rsidRPr="00714FB7" w:rsidRDefault="00FD6740" w:rsidP="00030895">
      <w:pPr>
        <w:spacing w:line="360" w:lineRule="auto"/>
        <w:jc w:val="both"/>
        <w:rPr>
          <w:rFonts w:ascii="Times New Roman" w:hAnsi="Times New Roman"/>
          <w:bCs/>
          <w:iCs/>
          <w:color w:val="auto"/>
          <w:spacing w:val="0"/>
          <w:sz w:val="24"/>
          <w:szCs w:val="24"/>
          <w:lang w:eastAsia="en-US"/>
        </w:rPr>
      </w:pPr>
    </w:p>
    <w:p w:rsidR="00FD6740" w:rsidRPr="00714FB7" w:rsidRDefault="00FD6740" w:rsidP="00030895">
      <w:pPr>
        <w:spacing w:line="360" w:lineRule="auto"/>
        <w:jc w:val="both"/>
        <w:rPr>
          <w:rFonts w:ascii="Times New Roman" w:hAnsi="Times New Roman"/>
          <w:bCs/>
          <w:iCs/>
          <w:color w:val="auto"/>
          <w:spacing w:val="0"/>
          <w:sz w:val="24"/>
          <w:szCs w:val="24"/>
          <w:lang w:eastAsia="en-US"/>
        </w:rPr>
      </w:pPr>
      <w:r w:rsidRPr="00714FB7">
        <w:rPr>
          <w:rFonts w:ascii="Times New Roman" w:hAnsi="Times New Roman"/>
          <w:bCs/>
          <w:iCs/>
          <w:color w:val="auto"/>
          <w:spacing w:val="0"/>
          <w:sz w:val="24"/>
          <w:szCs w:val="24"/>
          <w:lang w:eastAsia="en-US"/>
        </w:rPr>
        <w:t xml:space="preserve">The Nursing Services sub-programme allocation decreases by 1 per cent in nominal terms from R6.63 million in 2016/17 to R6.56 million in 2017/18 (declines by 6.9 per cent in real terms). </w:t>
      </w:r>
    </w:p>
    <w:p w:rsidR="001D0182" w:rsidRPr="00714FB7" w:rsidRDefault="001D0182" w:rsidP="00FD6740">
      <w:pPr>
        <w:spacing w:line="280" w:lineRule="exact"/>
        <w:jc w:val="both"/>
        <w:rPr>
          <w:rFonts w:ascii="Times New Roman" w:hAnsi="Times New Roman"/>
          <w:bCs/>
          <w:iCs/>
          <w:color w:val="auto"/>
          <w:spacing w:val="0"/>
          <w:sz w:val="24"/>
          <w:szCs w:val="24"/>
          <w:lang w:eastAsia="en-US"/>
        </w:rPr>
      </w:pPr>
    </w:p>
    <w:p w:rsidR="005704B2" w:rsidRPr="00714FB7" w:rsidRDefault="005704B2" w:rsidP="00FD6740">
      <w:pPr>
        <w:spacing w:line="280" w:lineRule="exact"/>
        <w:jc w:val="both"/>
        <w:rPr>
          <w:rFonts w:ascii="Times New Roman" w:hAnsi="Times New Roman"/>
          <w:bCs/>
          <w:iCs/>
          <w:color w:val="auto"/>
          <w:spacing w:val="0"/>
          <w:sz w:val="24"/>
          <w:szCs w:val="24"/>
          <w:lang w:eastAsia="en-US"/>
        </w:rPr>
      </w:pPr>
    </w:p>
    <w:p w:rsidR="005704B2" w:rsidRPr="00714FB7" w:rsidRDefault="005704B2" w:rsidP="00FD6740">
      <w:pPr>
        <w:spacing w:line="280" w:lineRule="exact"/>
        <w:jc w:val="both"/>
        <w:rPr>
          <w:rFonts w:ascii="Times New Roman" w:hAnsi="Times New Roman"/>
          <w:bCs/>
          <w:iCs/>
          <w:color w:val="auto"/>
          <w:spacing w:val="0"/>
          <w:sz w:val="24"/>
          <w:szCs w:val="24"/>
          <w:lang w:eastAsia="en-US"/>
        </w:rPr>
      </w:pPr>
    </w:p>
    <w:p w:rsidR="005704B2" w:rsidRPr="00714FB7" w:rsidRDefault="005704B2" w:rsidP="00FD6740">
      <w:pPr>
        <w:spacing w:line="280" w:lineRule="exact"/>
        <w:jc w:val="both"/>
        <w:rPr>
          <w:rFonts w:ascii="Times New Roman" w:hAnsi="Times New Roman"/>
          <w:bCs/>
          <w:iCs/>
          <w:color w:val="auto"/>
          <w:spacing w:val="0"/>
          <w:sz w:val="24"/>
          <w:szCs w:val="24"/>
          <w:lang w:eastAsia="en-US"/>
        </w:rPr>
      </w:pPr>
    </w:p>
    <w:p w:rsidR="005704B2" w:rsidRPr="00714FB7" w:rsidRDefault="005704B2" w:rsidP="00FD6740">
      <w:pPr>
        <w:spacing w:line="280" w:lineRule="exact"/>
        <w:jc w:val="both"/>
        <w:rPr>
          <w:rFonts w:ascii="Times New Roman" w:hAnsi="Times New Roman"/>
          <w:bCs/>
          <w:iCs/>
          <w:color w:val="auto"/>
          <w:spacing w:val="0"/>
          <w:sz w:val="24"/>
          <w:szCs w:val="24"/>
          <w:lang w:eastAsia="en-US"/>
        </w:rPr>
      </w:pPr>
    </w:p>
    <w:p w:rsidR="005704B2" w:rsidRPr="00714FB7" w:rsidRDefault="005704B2" w:rsidP="00FD6740">
      <w:pPr>
        <w:spacing w:line="280" w:lineRule="exact"/>
        <w:jc w:val="both"/>
        <w:rPr>
          <w:rFonts w:ascii="Times New Roman" w:hAnsi="Times New Roman"/>
          <w:bCs/>
          <w:iCs/>
          <w:color w:val="auto"/>
          <w:spacing w:val="0"/>
          <w:sz w:val="24"/>
          <w:szCs w:val="24"/>
          <w:lang w:eastAsia="en-US"/>
        </w:rPr>
      </w:pPr>
    </w:p>
    <w:p w:rsidR="005704B2" w:rsidRPr="00714FB7" w:rsidRDefault="005704B2" w:rsidP="00FD6740">
      <w:pPr>
        <w:spacing w:line="280" w:lineRule="exact"/>
        <w:jc w:val="both"/>
        <w:rPr>
          <w:rFonts w:ascii="Times New Roman" w:hAnsi="Times New Roman"/>
          <w:bCs/>
          <w:iCs/>
          <w:color w:val="auto"/>
          <w:spacing w:val="0"/>
          <w:sz w:val="24"/>
          <w:szCs w:val="24"/>
          <w:lang w:eastAsia="en-US"/>
        </w:rPr>
      </w:pPr>
    </w:p>
    <w:p w:rsidR="005704B2" w:rsidRPr="00714FB7" w:rsidRDefault="005704B2" w:rsidP="00FD6740">
      <w:pPr>
        <w:spacing w:line="280" w:lineRule="exact"/>
        <w:jc w:val="both"/>
        <w:rPr>
          <w:rFonts w:ascii="Times New Roman" w:hAnsi="Times New Roman"/>
          <w:bCs/>
          <w:iCs/>
          <w:color w:val="auto"/>
          <w:spacing w:val="0"/>
          <w:sz w:val="24"/>
          <w:szCs w:val="24"/>
          <w:lang w:eastAsia="en-US"/>
        </w:rPr>
      </w:pPr>
    </w:p>
    <w:p w:rsidR="005704B2" w:rsidRPr="00714FB7" w:rsidRDefault="005704B2" w:rsidP="00FD6740">
      <w:pPr>
        <w:spacing w:line="280" w:lineRule="exact"/>
        <w:jc w:val="both"/>
        <w:rPr>
          <w:rFonts w:ascii="Times New Roman" w:hAnsi="Times New Roman"/>
          <w:bCs/>
          <w:iCs/>
          <w:color w:val="auto"/>
          <w:spacing w:val="0"/>
          <w:sz w:val="24"/>
          <w:szCs w:val="24"/>
          <w:lang w:eastAsia="en-US"/>
        </w:rPr>
      </w:pPr>
    </w:p>
    <w:p w:rsidR="002345F1" w:rsidRPr="00714FB7" w:rsidRDefault="002345F1" w:rsidP="00030895">
      <w:pPr>
        <w:pStyle w:val="ListParagraph"/>
        <w:keepNext/>
        <w:keepLines/>
        <w:numPr>
          <w:ilvl w:val="2"/>
          <w:numId w:val="82"/>
        </w:numPr>
        <w:spacing w:line="280" w:lineRule="exact"/>
        <w:jc w:val="both"/>
        <w:outlineLvl w:val="2"/>
        <w:rPr>
          <w:rFonts w:ascii="Times New Roman" w:hAnsi="Times New Roman"/>
          <w:b/>
          <w:color w:val="auto"/>
          <w:spacing w:val="0"/>
          <w:sz w:val="24"/>
          <w:szCs w:val="24"/>
          <w:lang w:val="en-ZA" w:eastAsia="en-US"/>
        </w:rPr>
      </w:pPr>
      <w:bookmarkStart w:id="5" w:name="_Toc481570709"/>
      <w:r w:rsidRPr="00714FB7">
        <w:rPr>
          <w:rFonts w:ascii="Times New Roman" w:hAnsi="Times New Roman"/>
          <w:b/>
          <w:color w:val="auto"/>
          <w:spacing w:val="0"/>
          <w:sz w:val="24"/>
          <w:szCs w:val="24"/>
          <w:lang w:val="en-ZA" w:eastAsia="en-US"/>
        </w:rPr>
        <w:t>Programme 6: Health Regulation and Compliance Management</w:t>
      </w:r>
      <w:bookmarkEnd w:id="5"/>
    </w:p>
    <w:p w:rsidR="00CA19A7" w:rsidRPr="00714FB7" w:rsidRDefault="00CA19A7" w:rsidP="002345F1">
      <w:pPr>
        <w:spacing w:line="280" w:lineRule="exact"/>
        <w:jc w:val="both"/>
        <w:rPr>
          <w:rFonts w:ascii="Times New Roman" w:eastAsia="Calibri" w:hAnsi="Times New Roman"/>
          <w:color w:val="auto"/>
          <w:spacing w:val="0"/>
          <w:sz w:val="24"/>
          <w:szCs w:val="24"/>
          <w:lang w:val="en-ZA" w:eastAsia="en-US"/>
        </w:rPr>
      </w:pPr>
    </w:p>
    <w:p w:rsidR="002345F1" w:rsidRPr="00714FB7" w:rsidRDefault="00CA19A7" w:rsidP="002345F1">
      <w:pPr>
        <w:spacing w:line="280" w:lineRule="exact"/>
        <w:jc w:val="both"/>
        <w:rPr>
          <w:rFonts w:ascii="Times New Roman" w:eastAsia="Calibri" w:hAnsi="Times New Roman"/>
          <w:color w:val="auto"/>
          <w:spacing w:val="0"/>
          <w:sz w:val="24"/>
          <w:szCs w:val="24"/>
          <w:lang w:val="en-ZA" w:eastAsia="en-US"/>
        </w:rPr>
      </w:pPr>
      <w:r w:rsidRPr="00714FB7">
        <w:rPr>
          <w:rFonts w:ascii="Times New Roman" w:eastAsia="Calibri" w:hAnsi="Times New Roman"/>
          <w:noProof/>
          <w:color w:val="auto"/>
          <w:spacing w:val="0"/>
          <w:sz w:val="24"/>
          <w:szCs w:val="24"/>
          <w:lang w:val="en-ZA" w:eastAsia="en-ZA"/>
        </w:rPr>
        <mc:AlternateContent>
          <mc:Choice Requires="wps">
            <w:drawing>
              <wp:anchor distT="0" distB="0" distL="114300" distR="114300" simplePos="0" relativeHeight="251677696" behindDoc="0" locked="0" layoutInCell="1" allowOverlap="1" wp14:anchorId="47B1D272" wp14:editId="3EF28726">
                <wp:simplePos x="0" y="0"/>
                <wp:positionH relativeFrom="margin">
                  <wp:align>right</wp:align>
                </wp:positionH>
                <wp:positionV relativeFrom="paragraph">
                  <wp:posOffset>233045</wp:posOffset>
                </wp:positionV>
                <wp:extent cx="5563235" cy="158115"/>
                <wp:effectExtent l="0" t="0" r="0" b="0"/>
                <wp:wrapTopAndBottom/>
                <wp:docPr id="19" name="Text Box 19"/>
                <wp:cNvGraphicFramePr/>
                <a:graphic xmlns:a="http://schemas.openxmlformats.org/drawingml/2006/main">
                  <a:graphicData uri="http://schemas.microsoft.com/office/word/2010/wordprocessingShape">
                    <wps:wsp>
                      <wps:cNvSpPr txBox="1"/>
                      <wps:spPr>
                        <a:xfrm>
                          <a:off x="0" y="0"/>
                          <a:ext cx="5563235" cy="158115"/>
                        </a:xfrm>
                        <a:prstGeom prst="rect">
                          <a:avLst/>
                        </a:prstGeom>
                        <a:solidFill>
                          <a:prstClr val="white"/>
                        </a:solidFill>
                        <a:ln>
                          <a:noFill/>
                        </a:ln>
                      </wps:spPr>
                      <wps:txbx>
                        <w:txbxContent>
                          <w:p w:rsidR="00A43F60" w:rsidRPr="00030895" w:rsidRDefault="00A43F60" w:rsidP="002345F1">
                            <w:pPr>
                              <w:pStyle w:val="Caption"/>
                              <w:rPr>
                                <w:rFonts w:ascii="Times New Roman" w:hAnsi="Times New Roman"/>
                                <w:noProof/>
                                <w:sz w:val="22"/>
                              </w:rPr>
                            </w:pPr>
                            <w:r w:rsidRPr="00030895">
                              <w:rPr>
                                <w:rFonts w:ascii="Times New Roman" w:hAnsi="Times New Roman"/>
                                <w:sz w:val="22"/>
                              </w:rPr>
                              <w:t>Table 7: Health Regulation and Compliance Management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B1D272" id="Text Box 19" o:spid="_x0000_s1031" type="#_x0000_t202" style="position:absolute;left:0;text-align:left;margin-left:386.85pt;margin-top:18.35pt;width:438.05pt;height:12.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aUMAIAAGkEAAAOAAAAZHJzL2Uyb0RvYy54bWysVFFv2yAQfp+0/4B4XxynStVZcaosVaZJ&#10;UVspmfpMMMRImGNAYne/fge2k67b07QXfNx9HNz33Xlx3zWanIXzCkxJ88mUEmE4VMocS/p9v/l0&#10;R4kPzFRMgxElfRWe3i8/fli0thAzqEFXwhFMYnzR2pLWIdgiyzyvRcP8BKwwGJTgGhZw645Z5ViL&#10;2RudzabT26wFV1kHXHiP3oc+SJcpv5SChycpvQhElxTfFtLq0nqIa7ZcsOLomK0VH57B/uEVDVMG&#10;L72kemCBkZNTf6RqFHfgQYYJhyYDKRUXqQasJp++q2ZXMytSLUiOtxea/P9Lyx/Pz46oCrX7TIlh&#10;DWq0F10gX6Aj6EJ+WusLhO0sAkOHfsSOfo/OWHYnXRO/WBDBODL9emE3ZuPonM9vb2Y3c0o4xvL5&#10;XZ7PY5rseto6H74KaEg0SupQvUQqO2996KEjJF7mQatqo7SOmxhYa0fODJVuaxXEkPw3lDYRayCe&#10;6hNGTxZL7EuJVugOXaIkvS96DlC9YvUO+v7xlm8U3rdlPjwzhw2DBeMQhCdcpIa2pDBYlNTgfv7N&#10;H/GoI0YpabEBS+p/nJgTlOhvBhWO3ToabjQOo2FOzRqw0hzHy/Jk4gEX9GhKB80LzsYq3oIhZjje&#10;VdIwmuvQjwHOFherVQJhT1oWtmZneUw98rrvXpizgyoB9XyEsTVZ8U6cHtuzvDoFkCopd2VxoBv7&#10;OWk/zF4cmLf7hLr+IZa/AAAA//8DAFBLAwQUAAYACAAAACEAN+gJDdwAAAAGAQAADwAAAGRycy9k&#10;b3ducmV2LnhtbEyPwU7DMBBE70j8g7VIXBB1UiS3CnEqaOFWDi1Vz9t4SSLidRQ7Tfr3uCd6XM3o&#10;zdt8NdlWnKn3jWMN6SwBQVw603Cl4fD9+bwE4QOywdYxabiQh1Vxf5djZtzIOzrvQyUihH2GGuoQ&#10;ukxKX9Zk0c9cRxyzH9dbDPHsK2l6HCPctnKeJEpabDgu1NjRuqbydz9YDWrTD+OO10+bw8cWv7pq&#10;fny/HLV+fJjeXkEEmsJ/Ga76UR2K6HRyAxsvWg3xkaDhRS1AxHS5UCmIU0SnCmSRy1v94g8AAP//&#10;AwBQSwECLQAUAAYACAAAACEAtoM4kv4AAADhAQAAEwAAAAAAAAAAAAAAAAAAAAAAW0NvbnRlbnRf&#10;VHlwZXNdLnhtbFBLAQItABQABgAIAAAAIQA4/SH/1gAAAJQBAAALAAAAAAAAAAAAAAAAAC8BAABf&#10;cmVscy8ucmVsc1BLAQItABQABgAIAAAAIQCiKmaUMAIAAGkEAAAOAAAAAAAAAAAAAAAAAC4CAABk&#10;cnMvZTJvRG9jLnhtbFBLAQItABQABgAIAAAAIQA36AkN3AAAAAYBAAAPAAAAAAAAAAAAAAAAAIoE&#10;AABkcnMvZG93bnJldi54bWxQSwUGAAAAAAQABADzAAAAkwUAAAAA&#10;" stroked="f">
                <v:textbox inset="0,0,0,0">
                  <w:txbxContent>
                    <w:p w:rsidR="00A43F60" w:rsidRPr="00030895" w:rsidRDefault="00A43F60" w:rsidP="002345F1">
                      <w:pPr>
                        <w:pStyle w:val="Caption"/>
                        <w:rPr>
                          <w:rFonts w:ascii="Times New Roman" w:hAnsi="Times New Roman"/>
                          <w:noProof/>
                          <w:sz w:val="22"/>
                        </w:rPr>
                      </w:pPr>
                      <w:r w:rsidRPr="00030895">
                        <w:rPr>
                          <w:rFonts w:ascii="Times New Roman" w:hAnsi="Times New Roman"/>
                          <w:sz w:val="22"/>
                        </w:rPr>
                        <w:t>Table 7: Health Regulation and Compliance Management</w:t>
                      </w:r>
                    </w:p>
                  </w:txbxContent>
                </v:textbox>
                <w10:wrap type="topAndBottom" anchorx="margin"/>
              </v:shape>
            </w:pict>
          </mc:Fallback>
        </mc:AlternateContent>
      </w:r>
      <w:r w:rsidR="001D0182" w:rsidRPr="00714FB7">
        <w:rPr>
          <w:rFonts w:ascii="Times New Roman" w:eastAsia="Calibri" w:hAnsi="Times New Roman"/>
          <w:noProof/>
          <w:color w:val="auto"/>
          <w:spacing w:val="0"/>
          <w:sz w:val="24"/>
          <w:szCs w:val="24"/>
          <w:lang w:val="en-ZA" w:eastAsia="en-ZA"/>
        </w:rPr>
        <w:drawing>
          <wp:anchor distT="0" distB="0" distL="114300" distR="114300" simplePos="0" relativeHeight="251674624" behindDoc="0" locked="0" layoutInCell="1" allowOverlap="1" wp14:anchorId="4D8B3F38" wp14:editId="2B5404AA">
            <wp:simplePos x="0" y="0"/>
            <wp:positionH relativeFrom="margin">
              <wp:align>right</wp:align>
            </wp:positionH>
            <wp:positionV relativeFrom="paragraph">
              <wp:posOffset>456712</wp:posOffset>
            </wp:positionV>
            <wp:extent cx="5730875" cy="1536065"/>
            <wp:effectExtent l="0" t="0" r="3175" b="698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1536065"/>
                    </a:xfrm>
                    <a:prstGeom prst="rect">
                      <a:avLst/>
                    </a:prstGeom>
                    <a:noFill/>
                  </pic:spPr>
                </pic:pic>
              </a:graphicData>
            </a:graphic>
          </wp:anchor>
        </w:drawing>
      </w:r>
    </w:p>
    <w:p w:rsidR="002345F1" w:rsidRPr="00714FB7" w:rsidRDefault="002345F1" w:rsidP="002345F1">
      <w:pPr>
        <w:spacing w:line="280" w:lineRule="exact"/>
        <w:jc w:val="both"/>
        <w:rPr>
          <w:rFonts w:ascii="Times New Roman" w:eastAsia="Calibri" w:hAnsi="Times New Roman"/>
          <w:color w:val="auto"/>
          <w:spacing w:val="0"/>
          <w:sz w:val="24"/>
          <w:szCs w:val="24"/>
          <w:lang w:val="en-ZA" w:eastAsia="en-US"/>
        </w:rPr>
      </w:pPr>
    </w:p>
    <w:p w:rsidR="002345F1" w:rsidRPr="00714FB7" w:rsidRDefault="002345F1" w:rsidP="00030895">
      <w:pPr>
        <w:spacing w:line="360" w:lineRule="auto"/>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 xml:space="preserve">Programme 6 grows from R1.71 billion in the 2016/17 financial year to R1.73 billion in 2017/18. </w:t>
      </w:r>
      <w:r w:rsidR="00A56094" w:rsidRPr="00714FB7">
        <w:rPr>
          <w:rFonts w:ascii="Times New Roman" w:eastAsia="Calibri" w:hAnsi="Times New Roman"/>
          <w:color w:val="auto"/>
          <w:spacing w:val="0"/>
          <w:sz w:val="24"/>
          <w:szCs w:val="24"/>
          <w:lang w:val="en-ZA" w:eastAsia="en-US"/>
        </w:rPr>
        <w:t xml:space="preserve">The </w:t>
      </w:r>
      <w:r w:rsidR="00737C15" w:rsidRPr="00714FB7">
        <w:rPr>
          <w:rFonts w:ascii="Times New Roman" w:eastAsia="Calibri" w:hAnsi="Times New Roman"/>
          <w:color w:val="auto"/>
          <w:spacing w:val="0"/>
          <w:sz w:val="24"/>
          <w:szCs w:val="24"/>
          <w:lang w:val="en-ZA" w:eastAsia="en-US"/>
        </w:rPr>
        <w:t>budget</w:t>
      </w:r>
      <w:r w:rsidR="00A56094" w:rsidRPr="00714FB7">
        <w:rPr>
          <w:rFonts w:ascii="Times New Roman" w:eastAsia="Calibri" w:hAnsi="Times New Roman"/>
          <w:color w:val="auto"/>
          <w:spacing w:val="0"/>
          <w:sz w:val="24"/>
          <w:szCs w:val="24"/>
          <w:lang w:val="en-ZA" w:eastAsia="en-US"/>
        </w:rPr>
        <w:t xml:space="preserve"> </w:t>
      </w:r>
      <w:r w:rsidRPr="00714FB7">
        <w:rPr>
          <w:rFonts w:ascii="Times New Roman" w:eastAsia="Calibri" w:hAnsi="Times New Roman"/>
          <w:color w:val="auto"/>
          <w:spacing w:val="0"/>
          <w:sz w:val="24"/>
          <w:szCs w:val="24"/>
          <w:lang w:val="en-ZA" w:eastAsia="en-US"/>
        </w:rPr>
        <w:t xml:space="preserve">increases by R20 million (1.2 per cent in nominal terms, but declines by 4.8 per cent in real terms).  </w:t>
      </w:r>
    </w:p>
    <w:p w:rsidR="002345F1" w:rsidRPr="00714FB7" w:rsidRDefault="002345F1" w:rsidP="00030895">
      <w:pPr>
        <w:spacing w:line="360" w:lineRule="auto"/>
        <w:jc w:val="both"/>
        <w:rPr>
          <w:rFonts w:ascii="Times New Roman" w:eastAsia="Calibri" w:hAnsi="Times New Roman"/>
          <w:color w:val="auto"/>
          <w:spacing w:val="0"/>
          <w:sz w:val="24"/>
          <w:szCs w:val="24"/>
          <w:lang w:val="en-ZA" w:eastAsia="en-US"/>
        </w:rPr>
      </w:pPr>
    </w:p>
    <w:p w:rsidR="005A162A" w:rsidRPr="00714FB7" w:rsidRDefault="003A6FA1" w:rsidP="00030895">
      <w:pPr>
        <w:spacing w:line="360" w:lineRule="auto"/>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 xml:space="preserve">Allocation </w:t>
      </w:r>
      <w:r w:rsidR="002345F1" w:rsidRPr="00714FB7">
        <w:rPr>
          <w:rFonts w:ascii="Times New Roman" w:eastAsia="Calibri" w:hAnsi="Times New Roman"/>
          <w:color w:val="auto"/>
          <w:spacing w:val="0"/>
          <w:sz w:val="24"/>
          <w:szCs w:val="24"/>
          <w:lang w:val="en-ZA" w:eastAsia="en-US"/>
        </w:rPr>
        <w:t xml:space="preserve">under Programme 6 is dominated by the Public Entities Management sub-programme, which receives 94.4 per cent of the programme budget, amounting to R1.63 billion. This constitutes a 10.5 per cent nominal and 4 per cent real increase when compared to the previous year’s allocation. About 94.4 per cent of this sub-programme consist of transfers to entities and statutory councils falling within the mandate of health legislation. </w:t>
      </w:r>
    </w:p>
    <w:p w:rsidR="00B72A6D" w:rsidRPr="00714FB7" w:rsidRDefault="00B72A6D" w:rsidP="00554B03">
      <w:pPr>
        <w:spacing w:line="280" w:lineRule="exact"/>
        <w:jc w:val="both"/>
        <w:rPr>
          <w:rFonts w:ascii="Times New Roman" w:eastAsia="Calibri" w:hAnsi="Times New Roman"/>
          <w:color w:val="auto"/>
          <w:spacing w:val="0"/>
          <w:sz w:val="24"/>
          <w:szCs w:val="24"/>
          <w:lang w:val="en-ZA" w:eastAsia="en-US"/>
        </w:rPr>
      </w:pPr>
    </w:p>
    <w:p w:rsidR="000725E2" w:rsidRPr="00714FB7" w:rsidRDefault="00E244FA" w:rsidP="00030895">
      <w:pPr>
        <w:pStyle w:val="Heading1"/>
        <w:numPr>
          <w:ilvl w:val="0"/>
          <w:numId w:val="82"/>
        </w:numPr>
        <w:spacing w:line="360" w:lineRule="auto"/>
        <w:jc w:val="both"/>
        <w:rPr>
          <w:rFonts w:ascii="Times New Roman" w:hAnsi="Times New Roman" w:cs="Times New Roman"/>
          <w:color w:val="auto"/>
          <w:sz w:val="24"/>
          <w:szCs w:val="24"/>
          <w:lang w:val="en-US"/>
        </w:rPr>
      </w:pPr>
      <w:r w:rsidRPr="00714FB7">
        <w:rPr>
          <w:rFonts w:ascii="Times New Roman" w:hAnsi="Times New Roman" w:cs="Times New Roman"/>
          <w:color w:val="auto"/>
          <w:spacing w:val="0"/>
          <w:sz w:val="24"/>
          <w:szCs w:val="24"/>
          <w:lang w:eastAsia="en-US"/>
        </w:rPr>
        <w:t xml:space="preserve">CONSIDERATION OF </w:t>
      </w:r>
      <w:r w:rsidRPr="00714FB7">
        <w:rPr>
          <w:rFonts w:ascii="Times New Roman" w:hAnsi="Times New Roman" w:cs="Times New Roman"/>
          <w:color w:val="auto"/>
          <w:sz w:val="24"/>
          <w:szCs w:val="24"/>
          <w:lang w:val="en-US"/>
        </w:rPr>
        <w:t>THE ANNUAL PERFORMANCE PLANS AND BUD</w:t>
      </w:r>
      <w:r w:rsidR="0070084D" w:rsidRPr="00714FB7">
        <w:rPr>
          <w:rFonts w:ascii="Times New Roman" w:hAnsi="Times New Roman" w:cs="Times New Roman"/>
          <w:color w:val="auto"/>
          <w:sz w:val="24"/>
          <w:szCs w:val="24"/>
          <w:lang w:val="en-US"/>
        </w:rPr>
        <w:t>G</w:t>
      </w:r>
      <w:r w:rsidRPr="00714FB7">
        <w:rPr>
          <w:rFonts w:ascii="Times New Roman" w:hAnsi="Times New Roman" w:cs="Times New Roman"/>
          <w:color w:val="auto"/>
          <w:sz w:val="24"/>
          <w:szCs w:val="24"/>
          <w:lang w:val="en-US"/>
        </w:rPr>
        <w:t>ET OF ENTITIES</w:t>
      </w:r>
    </w:p>
    <w:p w:rsidR="00805293" w:rsidRPr="00714FB7" w:rsidRDefault="00805293" w:rsidP="00805293">
      <w:pPr>
        <w:rPr>
          <w:rFonts w:ascii="Times New Roman" w:hAnsi="Times New Roman"/>
          <w:color w:val="auto"/>
          <w:sz w:val="24"/>
          <w:szCs w:val="24"/>
          <w:lang w:val="en-US" w:eastAsia="en-US"/>
        </w:rPr>
      </w:pPr>
    </w:p>
    <w:p w:rsidR="00554B03" w:rsidRPr="00714FB7" w:rsidRDefault="00033DE3" w:rsidP="00030895">
      <w:pPr>
        <w:pStyle w:val="ListParagraph"/>
        <w:numPr>
          <w:ilvl w:val="1"/>
          <w:numId w:val="82"/>
        </w:numPr>
        <w:spacing w:line="360" w:lineRule="auto"/>
        <w:ind w:left="426" w:hanging="426"/>
        <w:jc w:val="both"/>
        <w:rPr>
          <w:rFonts w:ascii="Times New Roman" w:hAnsi="Times New Roman"/>
          <w:b/>
          <w:bCs/>
          <w:color w:val="auto"/>
          <w:spacing w:val="0"/>
          <w:kern w:val="32"/>
          <w:sz w:val="24"/>
          <w:szCs w:val="24"/>
          <w:lang w:eastAsia="en-US"/>
        </w:rPr>
      </w:pPr>
      <w:r w:rsidRPr="00714FB7">
        <w:rPr>
          <w:rFonts w:ascii="Times New Roman" w:hAnsi="Times New Roman"/>
          <w:b/>
          <w:bCs/>
          <w:color w:val="auto"/>
          <w:spacing w:val="0"/>
          <w:kern w:val="32"/>
          <w:sz w:val="24"/>
          <w:szCs w:val="24"/>
          <w:lang w:eastAsia="en-US"/>
        </w:rPr>
        <w:t xml:space="preserve">SOUTH AFRICAN MEDICAL RESEARCH COUNCIL </w:t>
      </w:r>
      <w:r w:rsidR="00554B03" w:rsidRPr="00714FB7">
        <w:rPr>
          <w:rFonts w:ascii="Times New Roman" w:hAnsi="Times New Roman"/>
          <w:b/>
          <w:bCs/>
          <w:color w:val="auto"/>
          <w:spacing w:val="0"/>
          <w:kern w:val="32"/>
          <w:sz w:val="24"/>
          <w:szCs w:val="24"/>
          <w:lang w:eastAsia="en-US"/>
        </w:rPr>
        <w:t>(</w:t>
      </w:r>
      <w:r w:rsidR="00134CC9" w:rsidRPr="00714FB7">
        <w:rPr>
          <w:rFonts w:ascii="Times New Roman" w:hAnsi="Times New Roman"/>
          <w:b/>
          <w:bCs/>
          <w:color w:val="auto"/>
          <w:spacing w:val="0"/>
          <w:kern w:val="32"/>
          <w:sz w:val="24"/>
          <w:szCs w:val="24"/>
          <w:lang w:eastAsia="en-US"/>
        </w:rPr>
        <w:t>SA</w:t>
      </w:r>
      <w:r w:rsidR="00554B03" w:rsidRPr="00714FB7">
        <w:rPr>
          <w:rFonts w:ascii="Times New Roman" w:hAnsi="Times New Roman"/>
          <w:b/>
          <w:bCs/>
          <w:color w:val="auto"/>
          <w:spacing w:val="0"/>
          <w:kern w:val="32"/>
          <w:sz w:val="24"/>
          <w:szCs w:val="24"/>
          <w:lang w:eastAsia="en-US"/>
        </w:rPr>
        <w:t xml:space="preserve">MRC) </w:t>
      </w:r>
    </w:p>
    <w:p w:rsidR="00805293" w:rsidRPr="00714FB7" w:rsidRDefault="00805293" w:rsidP="00805293">
      <w:pPr>
        <w:spacing w:line="280" w:lineRule="exact"/>
        <w:jc w:val="both"/>
        <w:rPr>
          <w:rFonts w:ascii="Times New Roman" w:hAnsi="Times New Roman"/>
          <w:b/>
          <w:bCs/>
          <w:color w:val="auto"/>
          <w:spacing w:val="0"/>
          <w:kern w:val="32"/>
          <w:sz w:val="24"/>
          <w:szCs w:val="24"/>
          <w:lang w:eastAsia="en-US"/>
        </w:rPr>
      </w:pPr>
    </w:p>
    <w:p w:rsidR="00805293" w:rsidRPr="00714FB7" w:rsidRDefault="00805293" w:rsidP="00030895">
      <w:p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The South African Medical Research Council (SAMRC) is founded on the promulgation of the South African Medical Research Council Act, No. 58 of 1991. The SAMRC’s annual performance plan (APP) is premised on the country’s health needs,</w:t>
      </w:r>
      <w:r w:rsidRPr="00714FB7">
        <w:rPr>
          <w:rFonts w:ascii="Times New Roman" w:eastAsia="Calibri" w:hAnsi="Times New Roman"/>
          <w:color w:val="auto"/>
          <w:spacing w:val="0"/>
          <w:sz w:val="24"/>
          <w:szCs w:val="24"/>
          <w:lang w:val="en-ZA" w:eastAsia="en-US"/>
        </w:rPr>
        <w:t xml:space="preserve"> </w:t>
      </w:r>
      <w:r w:rsidRPr="00714FB7">
        <w:rPr>
          <w:rFonts w:ascii="Times New Roman" w:hAnsi="Times New Roman"/>
          <w:color w:val="auto"/>
          <w:spacing w:val="0"/>
          <w:sz w:val="24"/>
          <w:szCs w:val="24"/>
          <w:lang w:eastAsia="en-US"/>
        </w:rPr>
        <w:t xml:space="preserve">the Sustainable Development Goals (SDGs) and the National Development Plan 2030 (NDP). </w:t>
      </w:r>
      <w:r w:rsidRPr="00714FB7">
        <w:rPr>
          <w:rFonts w:ascii="Times New Roman" w:eastAsia="Calibri" w:hAnsi="Times New Roman"/>
          <w:color w:val="auto"/>
          <w:spacing w:val="0"/>
          <w:sz w:val="24"/>
          <w:szCs w:val="24"/>
          <w:lang w:val="en-ZA" w:eastAsia="en-US"/>
        </w:rPr>
        <w:t>Furthermore, the performance targets are aligned to the performance targets of the National Department of Health (NDoH). It acknowledges the current health-related challenges such as the quadruple burden of disease, mainly advanced Human immunodeficiency virus (HIV), tuberculosis (TB), Maternal and Child Mortality, Non-communicable Diseases (NCDs), Violence and Injuries and others</w:t>
      </w:r>
    </w:p>
    <w:p w:rsidR="00805293" w:rsidRPr="00714FB7" w:rsidRDefault="00805293" w:rsidP="00030895">
      <w:pPr>
        <w:spacing w:line="360" w:lineRule="auto"/>
        <w:jc w:val="both"/>
        <w:rPr>
          <w:rFonts w:ascii="Times New Roman" w:hAnsi="Times New Roman"/>
          <w:color w:val="auto"/>
          <w:spacing w:val="0"/>
          <w:sz w:val="24"/>
          <w:szCs w:val="24"/>
          <w:lang w:eastAsia="en-US"/>
        </w:rPr>
      </w:pPr>
    </w:p>
    <w:p w:rsidR="00805293" w:rsidRPr="00714FB7" w:rsidRDefault="00805293" w:rsidP="00030895">
      <w:p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The</w:t>
      </w:r>
      <w:r w:rsidR="005704B2" w:rsidRPr="00714FB7">
        <w:rPr>
          <w:rFonts w:ascii="Times New Roman" w:hAnsi="Times New Roman"/>
          <w:color w:val="auto"/>
          <w:spacing w:val="0"/>
          <w:sz w:val="24"/>
          <w:szCs w:val="24"/>
          <w:lang w:eastAsia="en-US"/>
        </w:rPr>
        <w:t xml:space="preserve"> SAMRC’s main objective is to “</w:t>
      </w:r>
      <w:r w:rsidRPr="00714FB7">
        <w:rPr>
          <w:rFonts w:ascii="Times New Roman" w:hAnsi="Times New Roman"/>
          <w:color w:val="auto"/>
          <w:spacing w:val="0"/>
          <w:sz w:val="24"/>
          <w:szCs w:val="24"/>
          <w:lang w:eastAsia="en-US"/>
        </w:rPr>
        <w:t xml:space="preserve">promote the improvement of the health and quality of life of all who live in South Africa”. In this, it conducts and funds the research for drug or vaccine discovery, affordable diagnostics and devices that improve the wellbeing of South Africans. </w:t>
      </w:r>
    </w:p>
    <w:p w:rsidR="00805293" w:rsidRPr="00714FB7" w:rsidRDefault="00805293" w:rsidP="00030895">
      <w:pPr>
        <w:spacing w:line="360" w:lineRule="auto"/>
        <w:jc w:val="both"/>
        <w:rPr>
          <w:rFonts w:ascii="Times New Roman" w:hAnsi="Times New Roman"/>
          <w:color w:val="auto"/>
          <w:spacing w:val="0"/>
          <w:sz w:val="24"/>
          <w:szCs w:val="24"/>
          <w:lang w:eastAsia="en-US"/>
        </w:rPr>
      </w:pPr>
    </w:p>
    <w:p w:rsidR="00805293" w:rsidRPr="00714FB7" w:rsidRDefault="00D551AB" w:rsidP="00030895">
      <w:pPr>
        <w:pStyle w:val="ListParagraph"/>
        <w:numPr>
          <w:ilvl w:val="2"/>
          <w:numId w:val="82"/>
        </w:numPr>
        <w:autoSpaceDE w:val="0"/>
        <w:autoSpaceDN w:val="0"/>
        <w:adjustRightInd w:val="0"/>
        <w:spacing w:line="360" w:lineRule="auto"/>
        <w:jc w:val="both"/>
        <w:rPr>
          <w:rFonts w:ascii="Times New Roman" w:eastAsia="Calibri" w:hAnsi="Times New Roman"/>
          <w:b/>
          <w:bCs/>
          <w:color w:val="auto"/>
          <w:spacing w:val="0"/>
          <w:sz w:val="24"/>
          <w:szCs w:val="24"/>
          <w:lang w:val="en-ZA" w:eastAsia="en-US"/>
        </w:rPr>
      </w:pPr>
      <w:r w:rsidRPr="00714FB7">
        <w:rPr>
          <w:rFonts w:ascii="Times New Roman" w:eastAsia="Calibri" w:hAnsi="Times New Roman"/>
          <w:b/>
          <w:bCs/>
          <w:color w:val="auto"/>
          <w:spacing w:val="0"/>
          <w:sz w:val="24"/>
          <w:szCs w:val="24"/>
          <w:lang w:val="en-ZA" w:eastAsia="en-US"/>
        </w:rPr>
        <w:t xml:space="preserve">Revisions </w:t>
      </w:r>
      <w:r w:rsidRPr="00714FB7">
        <w:rPr>
          <w:rFonts w:ascii="Times New Roman" w:eastAsia="Calibri" w:hAnsi="Times New Roman"/>
          <w:b/>
          <w:color w:val="auto"/>
          <w:spacing w:val="0"/>
          <w:sz w:val="24"/>
          <w:szCs w:val="24"/>
          <w:lang w:val="en-ZA" w:eastAsia="en-US"/>
        </w:rPr>
        <w:t>to</w:t>
      </w:r>
      <w:r w:rsidRPr="00714FB7">
        <w:rPr>
          <w:rFonts w:ascii="Times New Roman" w:eastAsia="Calibri" w:hAnsi="Times New Roman"/>
          <w:color w:val="auto"/>
          <w:spacing w:val="0"/>
          <w:sz w:val="24"/>
          <w:szCs w:val="24"/>
          <w:lang w:val="en-ZA" w:eastAsia="en-US"/>
        </w:rPr>
        <w:t xml:space="preserve"> </w:t>
      </w:r>
      <w:r w:rsidRPr="00714FB7">
        <w:rPr>
          <w:rFonts w:ascii="Times New Roman" w:eastAsia="Calibri" w:hAnsi="Times New Roman"/>
          <w:b/>
          <w:bCs/>
          <w:color w:val="auto"/>
          <w:spacing w:val="0"/>
          <w:sz w:val="24"/>
          <w:szCs w:val="24"/>
          <w:lang w:val="en-ZA" w:eastAsia="en-US"/>
        </w:rPr>
        <w:t>legislative and other mandates</w:t>
      </w:r>
    </w:p>
    <w:p w:rsidR="00805293" w:rsidRPr="00714FB7" w:rsidRDefault="00805293" w:rsidP="00030895">
      <w:pPr>
        <w:autoSpaceDE w:val="0"/>
        <w:autoSpaceDN w:val="0"/>
        <w:adjustRightInd w:val="0"/>
        <w:spacing w:line="360" w:lineRule="auto"/>
        <w:jc w:val="both"/>
        <w:rPr>
          <w:rFonts w:ascii="Times New Roman" w:eastAsia="Calibri" w:hAnsi="Times New Roman"/>
          <w:b/>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During the 2017/18 financial year, the SAMRC considers no significant changes to the South African Medical Research Council's legislative and other mandates</w:t>
      </w:r>
      <w:r w:rsidR="008C19B2" w:rsidRPr="00714FB7">
        <w:rPr>
          <w:rFonts w:ascii="Times New Roman" w:eastAsia="Calibri" w:hAnsi="Times New Roman"/>
          <w:color w:val="auto"/>
          <w:spacing w:val="0"/>
          <w:sz w:val="24"/>
          <w:szCs w:val="24"/>
          <w:lang w:val="en-ZA" w:eastAsia="en-US"/>
        </w:rPr>
        <w:t>,</w:t>
      </w:r>
      <w:r w:rsidR="005704B2" w:rsidRPr="00714FB7">
        <w:rPr>
          <w:rFonts w:ascii="Times New Roman" w:eastAsia="Calibri" w:hAnsi="Times New Roman"/>
          <w:color w:val="auto"/>
          <w:spacing w:val="0"/>
          <w:sz w:val="24"/>
          <w:szCs w:val="24"/>
          <w:lang w:val="en-ZA" w:eastAsia="en-US"/>
        </w:rPr>
        <w:t xml:space="preserve"> </w:t>
      </w:r>
      <w:r w:rsidR="008C19B2" w:rsidRPr="00714FB7">
        <w:rPr>
          <w:rFonts w:ascii="Times New Roman" w:eastAsia="Calibri" w:hAnsi="Times New Roman"/>
          <w:color w:val="auto"/>
          <w:spacing w:val="0"/>
          <w:sz w:val="24"/>
          <w:szCs w:val="24"/>
          <w:lang w:val="en-ZA" w:eastAsia="en-US"/>
        </w:rPr>
        <w:t xml:space="preserve">however, </w:t>
      </w:r>
      <w:r w:rsidRPr="00714FB7">
        <w:rPr>
          <w:rFonts w:ascii="Times New Roman" w:eastAsia="Calibri" w:hAnsi="Times New Roman"/>
          <w:color w:val="auto"/>
          <w:spacing w:val="0"/>
          <w:sz w:val="24"/>
          <w:szCs w:val="24"/>
          <w:lang w:val="en-ZA" w:eastAsia="en-US"/>
        </w:rPr>
        <w:t xml:space="preserve">proposed amendments which will be furnished to the NDoH for consideration and processing. </w:t>
      </w:r>
    </w:p>
    <w:p w:rsidR="00805293" w:rsidRPr="00714FB7" w:rsidRDefault="00805293" w:rsidP="00030895">
      <w:pPr>
        <w:spacing w:line="360" w:lineRule="auto"/>
        <w:jc w:val="both"/>
        <w:rPr>
          <w:rFonts w:ascii="Times New Roman" w:hAnsi="Times New Roman"/>
          <w:color w:val="auto"/>
          <w:spacing w:val="0"/>
          <w:sz w:val="24"/>
          <w:szCs w:val="24"/>
          <w:lang w:eastAsia="en-US"/>
        </w:rPr>
      </w:pPr>
    </w:p>
    <w:p w:rsidR="00805293" w:rsidRPr="00714FB7" w:rsidRDefault="00805293" w:rsidP="00030895">
      <w:pPr>
        <w:pStyle w:val="ListParagraph"/>
        <w:numPr>
          <w:ilvl w:val="2"/>
          <w:numId w:val="82"/>
        </w:numPr>
        <w:autoSpaceDE w:val="0"/>
        <w:autoSpaceDN w:val="0"/>
        <w:adjustRightInd w:val="0"/>
        <w:spacing w:line="360" w:lineRule="auto"/>
        <w:jc w:val="both"/>
        <w:rPr>
          <w:rFonts w:ascii="Times New Roman" w:eastAsia="Calibri" w:hAnsi="Times New Roman"/>
          <w:b/>
          <w:bCs/>
          <w:color w:val="auto"/>
          <w:spacing w:val="0"/>
          <w:sz w:val="24"/>
          <w:szCs w:val="24"/>
          <w:lang w:val="en-ZA" w:eastAsia="en-US"/>
        </w:rPr>
      </w:pPr>
      <w:r w:rsidRPr="00714FB7">
        <w:rPr>
          <w:rFonts w:ascii="Times New Roman" w:eastAsia="Calibri" w:hAnsi="Times New Roman"/>
          <w:b/>
          <w:bCs/>
          <w:color w:val="auto"/>
          <w:spacing w:val="0"/>
          <w:sz w:val="24"/>
          <w:szCs w:val="24"/>
          <w:lang w:val="en-ZA" w:eastAsia="en-US"/>
        </w:rPr>
        <w:t>New SAMRC Collaborations</w:t>
      </w:r>
    </w:p>
    <w:p w:rsidR="00805293" w:rsidRPr="00714FB7" w:rsidRDefault="00805293" w:rsidP="00030895">
      <w:pPr>
        <w:autoSpaceDE w:val="0"/>
        <w:autoSpaceDN w:val="0"/>
        <w:adjustRightInd w:val="0"/>
        <w:spacing w:line="360" w:lineRule="auto"/>
        <w:jc w:val="both"/>
        <w:rPr>
          <w:rFonts w:ascii="Times New Roman" w:hAnsi="Times New Roman"/>
          <w:color w:val="auto"/>
          <w:spacing w:val="0"/>
          <w:sz w:val="24"/>
          <w:szCs w:val="24"/>
          <w:lang w:eastAsia="en-US"/>
        </w:rPr>
      </w:pPr>
      <w:r w:rsidRPr="00714FB7">
        <w:rPr>
          <w:rFonts w:ascii="Times New Roman" w:eastAsia="Calibri" w:hAnsi="Times New Roman"/>
          <w:color w:val="auto"/>
          <w:spacing w:val="0"/>
          <w:sz w:val="24"/>
          <w:szCs w:val="24"/>
          <w:lang w:val="en-ZA" w:eastAsia="en-US"/>
        </w:rPr>
        <w:t>The SAMRC is strengthening its research footprints through collaborations with institutions of similar objectives from various countries such as the Swedish Research Council for Health, Working Life and Welfare (FORTE). This collaboration started as a result of bilateral cooperation between South Africa and Sweden. In pursuit of full implementation of 17 collaborative projects focusing on challenges of healthcare such as inequalities in health and health systems policies, the SAMRC is contributing over R20 million. There are three categories of project funding under the SAMRC and Swedish initiative, namely: category 1 and 2 grants for three-year joint projects, and category 3 grants, which comprises of a mobility grant during the first year to establish new collaborative partnerships followed by a 2-year project grant thereafter but depending on competitive process.</w:t>
      </w:r>
    </w:p>
    <w:p w:rsidR="00E43DF5" w:rsidRPr="00714FB7" w:rsidRDefault="00E43DF5" w:rsidP="00030895">
      <w:pPr>
        <w:spacing w:line="360" w:lineRule="auto"/>
        <w:contextualSpacing/>
        <w:jc w:val="both"/>
        <w:rPr>
          <w:rFonts w:ascii="Times New Roman" w:eastAsia="Calibri" w:hAnsi="Times New Roman"/>
          <w:b/>
          <w:bCs/>
          <w:color w:val="auto"/>
          <w:spacing w:val="0"/>
          <w:sz w:val="24"/>
          <w:szCs w:val="24"/>
          <w:lang w:val="en-ZA" w:eastAsia="en-US"/>
        </w:rPr>
      </w:pPr>
    </w:p>
    <w:p w:rsidR="00805293" w:rsidRPr="00714FB7" w:rsidRDefault="00805293" w:rsidP="00030895">
      <w:pPr>
        <w:pStyle w:val="ListParagraph"/>
        <w:numPr>
          <w:ilvl w:val="2"/>
          <w:numId w:val="82"/>
        </w:numPr>
        <w:spacing w:line="360" w:lineRule="auto"/>
        <w:jc w:val="both"/>
        <w:rPr>
          <w:rFonts w:ascii="Times New Roman" w:eastAsia="Calibri" w:hAnsi="Times New Roman"/>
          <w:b/>
          <w:bCs/>
          <w:color w:val="auto"/>
          <w:spacing w:val="0"/>
          <w:sz w:val="24"/>
          <w:szCs w:val="24"/>
          <w:lang w:val="en-ZA" w:eastAsia="en-US"/>
        </w:rPr>
      </w:pPr>
      <w:r w:rsidRPr="00714FB7">
        <w:rPr>
          <w:rFonts w:ascii="Times New Roman" w:eastAsia="Calibri" w:hAnsi="Times New Roman"/>
          <w:b/>
          <w:bCs/>
          <w:color w:val="auto"/>
          <w:spacing w:val="0"/>
          <w:sz w:val="24"/>
          <w:szCs w:val="24"/>
          <w:lang w:val="en-ZA" w:eastAsia="en-US"/>
        </w:rPr>
        <w:t>Organisational Functioning</w:t>
      </w:r>
    </w:p>
    <w:p w:rsidR="00805293" w:rsidRPr="00714FB7" w:rsidRDefault="00805293" w:rsidP="00030895">
      <w:pPr>
        <w:autoSpaceDE w:val="0"/>
        <w:autoSpaceDN w:val="0"/>
        <w:adjustRightInd w:val="0"/>
        <w:spacing w:line="360" w:lineRule="auto"/>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It is envisaged that the SAMRC will undertake several new initiatives during the 2017/18 period as described hereunder:</w:t>
      </w:r>
    </w:p>
    <w:p w:rsidR="00805293" w:rsidRPr="00714FB7" w:rsidRDefault="00805293" w:rsidP="00030895">
      <w:pPr>
        <w:numPr>
          <w:ilvl w:val="0"/>
          <w:numId w:val="43"/>
        </w:numPr>
        <w:autoSpaceDE w:val="0"/>
        <w:autoSpaceDN w:val="0"/>
        <w:adjustRightInd w:val="0"/>
        <w:spacing w:line="360" w:lineRule="auto"/>
        <w:contextualSpacing/>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The prioritisation and focus of the intramural research will create a new ethos of high quality science and health impact;</w:t>
      </w:r>
    </w:p>
    <w:p w:rsidR="00805293" w:rsidRPr="00714FB7" w:rsidRDefault="00805293" w:rsidP="00030895">
      <w:pPr>
        <w:numPr>
          <w:ilvl w:val="0"/>
          <w:numId w:val="43"/>
        </w:numPr>
        <w:autoSpaceDE w:val="0"/>
        <w:autoSpaceDN w:val="0"/>
        <w:adjustRightInd w:val="0"/>
        <w:spacing w:line="360" w:lineRule="auto"/>
        <w:contextualSpacing/>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Strategic oversight of the SAMRC research by the Scientific Advisory Committee</w:t>
      </w:r>
      <w:r w:rsidR="008C19B2" w:rsidRPr="00714FB7">
        <w:rPr>
          <w:rFonts w:ascii="Times New Roman" w:eastAsia="Calibri" w:hAnsi="Times New Roman"/>
          <w:color w:val="auto"/>
          <w:spacing w:val="0"/>
          <w:sz w:val="24"/>
          <w:szCs w:val="24"/>
          <w:lang w:val="en-ZA" w:eastAsia="en-US"/>
        </w:rPr>
        <w:t>;</w:t>
      </w:r>
    </w:p>
    <w:p w:rsidR="00805293" w:rsidRPr="00714FB7" w:rsidRDefault="00805293" w:rsidP="00030895">
      <w:pPr>
        <w:numPr>
          <w:ilvl w:val="0"/>
          <w:numId w:val="43"/>
        </w:numPr>
        <w:autoSpaceDE w:val="0"/>
        <w:autoSpaceDN w:val="0"/>
        <w:adjustRightInd w:val="0"/>
        <w:spacing w:line="360" w:lineRule="auto"/>
        <w:contextualSpacing/>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 xml:space="preserve">Improved funding of intramural units; </w:t>
      </w:r>
    </w:p>
    <w:p w:rsidR="00805293" w:rsidRPr="00714FB7" w:rsidRDefault="00805293" w:rsidP="00030895">
      <w:pPr>
        <w:numPr>
          <w:ilvl w:val="0"/>
          <w:numId w:val="43"/>
        </w:numPr>
        <w:autoSpaceDE w:val="0"/>
        <w:autoSpaceDN w:val="0"/>
        <w:adjustRightInd w:val="0"/>
        <w:spacing w:line="360" w:lineRule="auto"/>
        <w:contextualSpacing/>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Investigating paediatric and adolescent mental health;</w:t>
      </w:r>
    </w:p>
    <w:p w:rsidR="00805293" w:rsidRPr="00714FB7" w:rsidRDefault="00805293" w:rsidP="00030895">
      <w:pPr>
        <w:numPr>
          <w:ilvl w:val="0"/>
          <w:numId w:val="43"/>
        </w:numPr>
        <w:autoSpaceDE w:val="0"/>
        <w:autoSpaceDN w:val="0"/>
        <w:adjustRightInd w:val="0"/>
        <w:spacing w:line="360" w:lineRule="auto"/>
        <w:contextualSpacing/>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 xml:space="preserve">Revitalised SAMRC's funding model - continue development of a responsive model to strengthen health research at Historically Disadvantaged Institutions (HDls) and increase the level of </w:t>
      </w:r>
      <w:r w:rsidRPr="00714FB7">
        <w:rPr>
          <w:rFonts w:ascii="Times New Roman" w:eastAsia="Calibri" w:hAnsi="Times New Roman"/>
          <w:bCs/>
          <w:color w:val="auto"/>
          <w:spacing w:val="0"/>
          <w:sz w:val="24"/>
          <w:szCs w:val="24"/>
          <w:lang w:val="en-ZA" w:eastAsia="en-US"/>
        </w:rPr>
        <w:t>SAMRC</w:t>
      </w:r>
      <w:r w:rsidRPr="00714FB7">
        <w:rPr>
          <w:rFonts w:ascii="Times New Roman" w:eastAsia="Calibri" w:hAnsi="Times New Roman"/>
          <w:b/>
          <w:bCs/>
          <w:color w:val="auto"/>
          <w:spacing w:val="0"/>
          <w:sz w:val="24"/>
          <w:szCs w:val="24"/>
          <w:lang w:val="en-ZA" w:eastAsia="en-US"/>
        </w:rPr>
        <w:t xml:space="preserve"> </w:t>
      </w:r>
      <w:r w:rsidRPr="00714FB7">
        <w:rPr>
          <w:rFonts w:ascii="Times New Roman" w:eastAsia="Calibri" w:hAnsi="Times New Roman"/>
          <w:color w:val="auto"/>
          <w:spacing w:val="0"/>
          <w:sz w:val="24"/>
          <w:szCs w:val="24"/>
          <w:lang w:val="en-ZA" w:eastAsia="en-US"/>
        </w:rPr>
        <w:t>funding to Previously Disadvantaged Individuals (PDls) and Historically Disadvantaged Institutions (HDls);</w:t>
      </w:r>
    </w:p>
    <w:p w:rsidR="00805293" w:rsidRPr="00714FB7" w:rsidRDefault="00805293" w:rsidP="00030895">
      <w:pPr>
        <w:numPr>
          <w:ilvl w:val="0"/>
          <w:numId w:val="43"/>
        </w:numPr>
        <w:autoSpaceDE w:val="0"/>
        <w:autoSpaceDN w:val="0"/>
        <w:adjustRightInd w:val="0"/>
        <w:spacing w:line="360" w:lineRule="auto"/>
        <w:contextualSpacing/>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 xml:space="preserve">Sign a </w:t>
      </w:r>
      <w:r w:rsidR="0086356A" w:rsidRPr="00714FB7">
        <w:rPr>
          <w:rFonts w:ascii="Times New Roman" w:eastAsia="Calibri" w:hAnsi="Times New Roman"/>
          <w:color w:val="auto"/>
          <w:spacing w:val="0"/>
          <w:sz w:val="24"/>
          <w:szCs w:val="24"/>
          <w:lang w:val="en-ZA" w:eastAsia="en-US"/>
        </w:rPr>
        <w:t>MoU</w:t>
      </w:r>
      <w:r w:rsidRPr="00714FB7">
        <w:rPr>
          <w:rFonts w:ascii="Times New Roman" w:eastAsia="Calibri" w:hAnsi="Times New Roman"/>
          <w:color w:val="auto"/>
          <w:spacing w:val="0"/>
          <w:sz w:val="24"/>
          <w:szCs w:val="24"/>
          <w:lang w:val="en-ZA" w:eastAsia="en-US"/>
        </w:rPr>
        <w:t xml:space="preserve"> with Forte (Swedish Council for Health, Working Life and Welfare) and joint fund collaborative projects in Sweden and South Africa focussing on inequalities in health, health systems and health system policies; </w:t>
      </w:r>
    </w:p>
    <w:p w:rsidR="00805293" w:rsidRPr="00714FB7" w:rsidRDefault="00805293" w:rsidP="00030895">
      <w:pPr>
        <w:numPr>
          <w:ilvl w:val="0"/>
          <w:numId w:val="43"/>
        </w:numPr>
        <w:autoSpaceDE w:val="0"/>
        <w:autoSpaceDN w:val="0"/>
        <w:adjustRightInd w:val="0"/>
        <w:spacing w:line="360" w:lineRule="auto"/>
        <w:contextualSpacing/>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Establish an Intramural Research Fund focussing on emerging and previously disadvantaged individuals; and</w:t>
      </w:r>
    </w:p>
    <w:p w:rsidR="00805293" w:rsidRPr="00714FB7" w:rsidRDefault="00805293" w:rsidP="00030895">
      <w:pPr>
        <w:numPr>
          <w:ilvl w:val="0"/>
          <w:numId w:val="43"/>
        </w:numPr>
        <w:autoSpaceDE w:val="0"/>
        <w:autoSpaceDN w:val="0"/>
        <w:adjustRightInd w:val="0"/>
        <w:spacing w:line="360" w:lineRule="auto"/>
        <w:contextualSpacing/>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 xml:space="preserve">Sign </w:t>
      </w:r>
      <w:r w:rsidR="00E43DF5" w:rsidRPr="00714FB7">
        <w:rPr>
          <w:rFonts w:ascii="Times New Roman" w:eastAsia="Calibri" w:hAnsi="Times New Roman"/>
          <w:color w:val="auto"/>
          <w:spacing w:val="0"/>
          <w:sz w:val="24"/>
          <w:szCs w:val="24"/>
          <w:lang w:val="en-ZA" w:eastAsia="en-US"/>
        </w:rPr>
        <w:t xml:space="preserve">MOU </w:t>
      </w:r>
      <w:r w:rsidRPr="00714FB7">
        <w:rPr>
          <w:rFonts w:ascii="Times New Roman" w:eastAsia="Calibri" w:hAnsi="Times New Roman"/>
          <w:color w:val="auto"/>
          <w:spacing w:val="0"/>
          <w:sz w:val="24"/>
          <w:szCs w:val="24"/>
          <w:lang w:val="en-ZA" w:eastAsia="en-US"/>
        </w:rPr>
        <w:t>with Chinese Academy of Medical Sciences (CAMS) to promote collaboration in cancer research between scientists from both countries with an emphasis on oesophageal cancer.</w:t>
      </w:r>
    </w:p>
    <w:p w:rsidR="00805293" w:rsidRPr="00714FB7" w:rsidRDefault="00805293" w:rsidP="00030895">
      <w:pPr>
        <w:spacing w:line="360" w:lineRule="auto"/>
        <w:jc w:val="both"/>
        <w:rPr>
          <w:rFonts w:ascii="Times New Roman" w:hAnsi="Times New Roman"/>
          <w:color w:val="auto"/>
          <w:spacing w:val="0"/>
          <w:sz w:val="24"/>
          <w:szCs w:val="24"/>
          <w:lang w:eastAsia="en-US"/>
        </w:rPr>
      </w:pPr>
    </w:p>
    <w:p w:rsidR="00E43DF5" w:rsidRPr="00714FB7" w:rsidRDefault="00D551AB" w:rsidP="00030895">
      <w:pPr>
        <w:pStyle w:val="ListParagraph"/>
        <w:numPr>
          <w:ilvl w:val="2"/>
          <w:numId w:val="82"/>
        </w:numPr>
        <w:rPr>
          <w:rFonts w:ascii="Times New Roman" w:eastAsia="Calibri" w:hAnsi="Times New Roman"/>
          <w:b/>
          <w:bCs/>
          <w:iCs/>
          <w:color w:val="auto"/>
          <w:sz w:val="24"/>
          <w:szCs w:val="24"/>
          <w:lang w:val="en-ZA" w:eastAsia="en-US"/>
        </w:rPr>
      </w:pPr>
      <w:r w:rsidRPr="00714FB7">
        <w:rPr>
          <w:rFonts w:ascii="Times New Roman" w:eastAsia="Calibri" w:hAnsi="Times New Roman"/>
          <w:b/>
          <w:bCs/>
          <w:iCs/>
          <w:color w:val="auto"/>
          <w:sz w:val="24"/>
          <w:szCs w:val="24"/>
          <w:lang w:val="en-ZA" w:eastAsia="en-US"/>
        </w:rPr>
        <w:t xml:space="preserve">Strategic Objectives </w:t>
      </w:r>
    </w:p>
    <w:p w:rsidR="00B05F4A" w:rsidRPr="00714FB7" w:rsidRDefault="00B05F4A" w:rsidP="00030895">
      <w:pPr>
        <w:pStyle w:val="ListParagraph"/>
        <w:ind w:left="1260"/>
        <w:rPr>
          <w:rFonts w:ascii="Times New Roman" w:eastAsia="Calibri" w:hAnsi="Times New Roman"/>
          <w:b/>
          <w:bCs/>
          <w:iCs/>
          <w:color w:val="auto"/>
          <w:sz w:val="24"/>
          <w:szCs w:val="24"/>
          <w:lang w:val="en-ZA" w:eastAsia="en-US"/>
        </w:rPr>
      </w:pPr>
    </w:p>
    <w:p w:rsidR="00B05F4A" w:rsidRPr="00714FB7" w:rsidRDefault="00B05F4A" w:rsidP="00030895">
      <w:pPr>
        <w:autoSpaceDE w:val="0"/>
        <w:autoSpaceDN w:val="0"/>
        <w:adjustRightInd w:val="0"/>
        <w:spacing w:line="360" w:lineRule="auto"/>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The research agenda and action plans for SAMRC are informed by its strategic objectives. As a result, the implementation of the research agenda is realised through the relevant research projects conducted by both intra-and extra-mural research units, centres and offices comprising of funding of self-initiated projects and request for applications (RFAs) including capacity development initiatives. In ensuring the realisation of its objective, the SAMRC works with strategic health partners consisting of the NDoH, the Department of Science and Technology (DST), Medical Schools, Universities, Science Councils, Research Institutes and international collaborators. The table below captures the performance indicators, which demonstrate the means to achieve the strategic objectives:</w:t>
      </w:r>
    </w:p>
    <w:p w:rsidR="00070E9C" w:rsidRPr="00714FB7" w:rsidRDefault="00070E9C" w:rsidP="00B05F4A">
      <w:pPr>
        <w:autoSpaceDE w:val="0"/>
        <w:autoSpaceDN w:val="0"/>
        <w:adjustRightInd w:val="0"/>
        <w:jc w:val="both"/>
        <w:rPr>
          <w:rFonts w:ascii="Times New Roman" w:eastAsia="Calibri" w:hAnsi="Times New Roman"/>
          <w:color w:val="auto"/>
          <w:spacing w:val="0"/>
          <w:sz w:val="24"/>
          <w:szCs w:val="24"/>
          <w:lang w:val="en-ZA" w:eastAsia="en-US"/>
        </w:rPr>
      </w:pPr>
    </w:p>
    <w:p w:rsidR="00070E9C" w:rsidRPr="00714FB7" w:rsidRDefault="001D0182" w:rsidP="00030895">
      <w:pPr>
        <w:autoSpaceDE w:val="0"/>
        <w:autoSpaceDN w:val="0"/>
        <w:adjustRightInd w:val="0"/>
        <w:spacing w:line="360" w:lineRule="auto"/>
        <w:ind w:firstLine="180"/>
        <w:jc w:val="both"/>
        <w:rPr>
          <w:rFonts w:ascii="Times New Roman" w:eastAsia="Calibri" w:hAnsi="Times New Roman"/>
          <w:b/>
          <w:color w:val="auto"/>
          <w:spacing w:val="0"/>
          <w:sz w:val="24"/>
          <w:szCs w:val="24"/>
          <w:lang w:val="en-ZA" w:eastAsia="en-US"/>
        </w:rPr>
      </w:pPr>
      <w:r w:rsidRPr="00714FB7">
        <w:rPr>
          <w:rFonts w:ascii="Times New Roman" w:eastAsia="Calibri" w:hAnsi="Times New Roman"/>
          <w:b/>
          <w:color w:val="auto"/>
          <w:spacing w:val="0"/>
          <w:sz w:val="24"/>
          <w:szCs w:val="24"/>
          <w:lang w:val="en-ZA" w:eastAsia="en-US"/>
        </w:rPr>
        <w:t>Table 8:</w:t>
      </w:r>
      <w:r w:rsidR="00F96507" w:rsidRPr="00714FB7">
        <w:rPr>
          <w:rFonts w:ascii="Times New Roman" w:eastAsia="Calibri" w:hAnsi="Times New Roman"/>
          <w:b/>
          <w:color w:val="auto"/>
          <w:spacing w:val="0"/>
          <w:sz w:val="24"/>
          <w:szCs w:val="24"/>
          <w:lang w:val="en-ZA" w:eastAsia="en-US"/>
        </w:rPr>
        <w:t xml:space="preserve"> SAMRC Annual Targets</w:t>
      </w:r>
    </w:p>
    <w:tbl>
      <w:tblPr>
        <w:tblStyle w:val="TableGrid3"/>
        <w:tblW w:w="0" w:type="auto"/>
        <w:tblLayout w:type="fixed"/>
        <w:tblLook w:val="04A0" w:firstRow="1" w:lastRow="0" w:firstColumn="1" w:lastColumn="0" w:noHBand="0" w:noVBand="1"/>
      </w:tblPr>
      <w:tblGrid>
        <w:gridCol w:w="546"/>
        <w:gridCol w:w="2649"/>
        <w:gridCol w:w="3910"/>
        <w:gridCol w:w="1911"/>
      </w:tblGrid>
      <w:tr w:rsidR="00B05F4A" w:rsidRPr="00714FB7" w:rsidTr="00030895">
        <w:tc>
          <w:tcPr>
            <w:tcW w:w="546" w:type="dxa"/>
            <w:shd w:val="clear" w:color="auto" w:fill="auto"/>
          </w:tcPr>
          <w:p w:rsidR="00B05F4A" w:rsidRPr="00714FB7" w:rsidRDefault="00B05F4A" w:rsidP="006036E7">
            <w:pPr>
              <w:autoSpaceDE w:val="0"/>
              <w:autoSpaceDN w:val="0"/>
              <w:adjustRightInd w:val="0"/>
              <w:jc w:val="both"/>
              <w:rPr>
                <w:rFonts w:ascii="Times New Roman" w:hAnsi="Times New Roman"/>
                <w:b/>
                <w:color w:val="auto"/>
                <w:spacing w:val="0"/>
                <w:sz w:val="24"/>
                <w:szCs w:val="24"/>
                <w:lang w:val="en-ZA" w:eastAsia="en-US"/>
              </w:rPr>
            </w:pPr>
            <w:r w:rsidRPr="00714FB7">
              <w:rPr>
                <w:rFonts w:ascii="Times New Roman" w:hAnsi="Times New Roman"/>
                <w:b/>
                <w:color w:val="auto"/>
                <w:spacing w:val="0"/>
                <w:sz w:val="24"/>
                <w:szCs w:val="24"/>
                <w:lang w:val="en-ZA" w:eastAsia="en-US"/>
              </w:rPr>
              <w:t>SG</w:t>
            </w:r>
          </w:p>
        </w:tc>
        <w:tc>
          <w:tcPr>
            <w:tcW w:w="2649" w:type="dxa"/>
            <w:shd w:val="clear" w:color="auto" w:fill="auto"/>
          </w:tcPr>
          <w:p w:rsidR="00B05F4A" w:rsidRPr="00714FB7" w:rsidRDefault="00B05F4A" w:rsidP="00B05F4A">
            <w:pPr>
              <w:autoSpaceDE w:val="0"/>
              <w:autoSpaceDN w:val="0"/>
              <w:adjustRightInd w:val="0"/>
              <w:jc w:val="both"/>
              <w:rPr>
                <w:rFonts w:ascii="Times New Roman" w:hAnsi="Times New Roman"/>
                <w:b/>
                <w:color w:val="auto"/>
                <w:spacing w:val="0"/>
                <w:sz w:val="24"/>
                <w:szCs w:val="24"/>
                <w:lang w:val="en-ZA" w:eastAsia="en-US"/>
              </w:rPr>
            </w:pPr>
            <w:r w:rsidRPr="00714FB7">
              <w:rPr>
                <w:rFonts w:ascii="Times New Roman" w:hAnsi="Times New Roman"/>
                <w:b/>
                <w:color w:val="auto"/>
                <w:spacing w:val="0"/>
                <w:sz w:val="24"/>
                <w:szCs w:val="24"/>
                <w:lang w:val="en-ZA" w:eastAsia="en-US"/>
              </w:rPr>
              <w:t>STRATEGIC OBJECTIVE</w:t>
            </w:r>
          </w:p>
        </w:tc>
        <w:tc>
          <w:tcPr>
            <w:tcW w:w="3910" w:type="dxa"/>
            <w:shd w:val="clear" w:color="auto" w:fill="auto"/>
          </w:tcPr>
          <w:p w:rsidR="00B05F4A" w:rsidRPr="00714FB7" w:rsidRDefault="00B05F4A" w:rsidP="00B05F4A">
            <w:pPr>
              <w:autoSpaceDE w:val="0"/>
              <w:autoSpaceDN w:val="0"/>
              <w:adjustRightInd w:val="0"/>
              <w:jc w:val="both"/>
              <w:rPr>
                <w:rFonts w:ascii="Times New Roman" w:hAnsi="Times New Roman"/>
                <w:b/>
                <w:color w:val="auto"/>
                <w:spacing w:val="0"/>
                <w:sz w:val="24"/>
                <w:szCs w:val="24"/>
                <w:lang w:val="en-ZA" w:eastAsia="en-US"/>
              </w:rPr>
            </w:pPr>
            <w:r w:rsidRPr="00714FB7">
              <w:rPr>
                <w:rFonts w:ascii="Times New Roman" w:hAnsi="Times New Roman"/>
                <w:b/>
                <w:color w:val="auto"/>
                <w:spacing w:val="0"/>
                <w:sz w:val="24"/>
                <w:szCs w:val="24"/>
                <w:lang w:val="en-ZA" w:eastAsia="en-US"/>
              </w:rPr>
              <w:t>PERFORMANCE INDICATOR</w:t>
            </w:r>
          </w:p>
        </w:tc>
        <w:tc>
          <w:tcPr>
            <w:tcW w:w="1911" w:type="dxa"/>
            <w:shd w:val="clear" w:color="auto" w:fill="auto"/>
          </w:tcPr>
          <w:p w:rsidR="00B05F4A" w:rsidRPr="00714FB7" w:rsidRDefault="00B05F4A" w:rsidP="00B05F4A">
            <w:pPr>
              <w:autoSpaceDE w:val="0"/>
              <w:autoSpaceDN w:val="0"/>
              <w:adjustRightInd w:val="0"/>
              <w:jc w:val="both"/>
              <w:rPr>
                <w:rFonts w:ascii="Times New Roman" w:hAnsi="Times New Roman"/>
                <w:b/>
                <w:color w:val="auto"/>
                <w:spacing w:val="0"/>
                <w:sz w:val="24"/>
                <w:szCs w:val="24"/>
                <w:lang w:val="en-ZA" w:eastAsia="en-US"/>
              </w:rPr>
            </w:pPr>
            <w:r w:rsidRPr="00714FB7">
              <w:rPr>
                <w:rFonts w:ascii="Times New Roman" w:hAnsi="Times New Roman"/>
                <w:b/>
                <w:color w:val="auto"/>
                <w:spacing w:val="0"/>
                <w:sz w:val="24"/>
                <w:szCs w:val="24"/>
                <w:lang w:val="en-ZA" w:eastAsia="en-US"/>
              </w:rPr>
              <w:t>2017/2018</w:t>
            </w:r>
          </w:p>
          <w:p w:rsidR="00F96507" w:rsidRPr="00714FB7" w:rsidRDefault="00F96507" w:rsidP="00B05F4A">
            <w:pPr>
              <w:autoSpaceDE w:val="0"/>
              <w:autoSpaceDN w:val="0"/>
              <w:adjustRightInd w:val="0"/>
              <w:jc w:val="both"/>
              <w:rPr>
                <w:rFonts w:ascii="Times New Roman" w:hAnsi="Times New Roman"/>
                <w:b/>
                <w:color w:val="auto"/>
                <w:spacing w:val="0"/>
                <w:sz w:val="24"/>
                <w:szCs w:val="24"/>
                <w:lang w:val="en-ZA" w:eastAsia="en-US"/>
              </w:rPr>
            </w:pPr>
            <w:r w:rsidRPr="00714FB7">
              <w:rPr>
                <w:rFonts w:ascii="Times New Roman" w:hAnsi="Times New Roman"/>
                <w:b/>
                <w:color w:val="auto"/>
                <w:spacing w:val="0"/>
                <w:sz w:val="24"/>
                <w:szCs w:val="24"/>
                <w:lang w:val="en-ZA" w:eastAsia="en-US"/>
              </w:rPr>
              <w:t>TARGETS</w:t>
            </w:r>
          </w:p>
          <w:p w:rsidR="00B05F4A" w:rsidRPr="00714FB7" w:rsidRDefault="00B05F4A" w:rsidP="00B05F4A">
            <w:pPr>
              <w:autoSpaceDE w:val="0"/>
              <w:autoSpaceDN w:val="0"/>
              <w:adjustRightInd w:val="0"/>
              <w:jc w:val="both"/>
              <w:rPr>
                <w:rFonts w:ascii="Times New Roman" w:hAnsi="Times New Roman"/>
                <w:b/>
                <w:color w:val="auto"/>
                <w:spacing w:val="0"/>
                <w:sz w:val="24"/>
                <w:szCs w:val="24"/>
                <w:lang w:val="en-ZA" w:eastAsia="en-US"/>
              </w:rPr>
            </w:pPr>
          </w:p>
        </w:tc>
      </w:tr>
      <w:tr w:rsidR="00B05F4A" w:rsidRPr="00714FB7" w:rsidTr="00030895">
        <w:tc>
          <w:tcPr>
            <w:tcW w:w="546" w:type="dxa"/>
            <w:vMerge w:val="restart"/>
            <w:shd w:val="clear" w:color="auto" w:fill="auto"/>
          </w:tcPr>
          <w:p w:rsidR="00B05F4A" w:rsidRPr="00714FB7" w:rsidRDefault="00B05F4A" w:rsidP="00B05F4A">
            <w:pPr>
              <w:autoSpaceDE w:val="0"/>
              <w:autoSpaceDN w:val="0"/>
              <w:adjustRightInd w:val="0"/>
              <w:jc w:val="both"/>
              <w:rPr>
                <w:rFonts w:ascii="Times New Roman" w:hAnsi="Times New Roman"/>
                <w:b/>
                <w:color w:val="auto"/>
                <w:spacing w:val="0"/>
                <w:sz w:val="24"/>
                <w:szCs w:val="24"/>
                <w:lang w:val="en-ZA" w:eastAsia="en-US"/>
              </w:rPr>
            </w:pPr>
            <w:r w:rsidRPr="00714FB7">
              <w:rPr>
                <w:rFonts w:ascii="Times New Roman" w:hAnsi="Times New Roman"/>
                <w:b/>
                <w:color w:val="auto"/>
                <w:spacing w:val="0"/>
                <w:sz w:val="24"/>
                <w:szCs w:val="24"/>
                <w:lang w:val="en-ZA" w:eastAsia="en-US"/>
              </w:rPr>
              <w:t>1</w:t>
            </w:r>
          </w:p>
        </w:tc>
        <w:tc>
          <w:tcPr>
            <w:tcW w:w="2649" w:type="dxa"/>
            <w:shd w:val="clear" w:color="auto" w:fill="auto"/>
          </w:tcPr>
          <w:p w:rsidR="00B05F4A" w:rsidRPr="00714FB7" w:rsidRDefault="00B05F4A" w:rsidP="00030895">
            <w:pPr>
              <w:autoSpaceDE w:val="0"/>
              <w:autoSpaceDN w:val="0"/>
              <w:adjustRightInd w:val="0"/>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To ensure good governance, effective administration and compliance with government regulations</w:t>
            </w:r>
          </w:p>
          <w:p w:rsidR="00B05F4A" w:rsidRPr="00714FB7" w:rsidRDefault="00B05F4A" w:rsidP="00030895">
            <w:pPr>
              <w:autoSpaceDE w:val="0"/>
              <w:autoSpaceDN w:val="0"/>
              <w:adjustRightInd w:val="0"/>
              <w:rPr>
                <w:rFonts w:ascii="Times New Roman" w:hAnsi="Times New Roman"/>
                <w:color w:val="auto"/>
                <w:spacing w:val="0"/>
                <w:sz w:val="24"/>
                <w:szCs w:val="24"/>
                <w:lang w:val="en-ZA" w:eastAsia="en-US"/>
              </w:rPr>
            </w:pPr>
          </w:p>
        </w:tc>
        <w:tc>
          <w:tcPr>
            <w:tcW w:w="3910" w:type="dxa"/>
            <w:shd w:val="clear" w:color="auto" w:fill="auto"/>
          </w:tcPr>
          <w:p w:rsidR="00B05F4A" w:rsidRPr="00714FB7" w:rsidRDefault="00B05F4A" w:rsidP="00B05F4A">
            <w:pPr>
              <w:autoSpaceDE w:val="0"/>
              <w:autoSpaceDN w:val="0"/>
              <w:adjustRightInd w:val="0"/>
              <w:jc w:val="both"/>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1.1 Compliance with legislative prescripts, reflected in the final audit report relating to the processes and systems of the SAMRC</w:t>
            </w:r>
          </w:p>
          <w:p w:rsidR="00B05F4A" w:rsidRPr="00714FB7" w:rsidRDefault="00B05F4A" w:rsidP="00B05F4A">
            <w:pPr>
              <w:autoSpaceDE w:val="0"/>
              <w:autoSpaceDN w:val="0"/>
              <w:adjustRightInd w:val="0"/>
              <w:jc w:val="both"/>
              <w:rPr>
                <w:rFonts w:ascii="Times New Roman" w:hAnsi="Times New Roman"/>
                <w:color w:val="auto"/>
                <w:spacing w:val="0"/>
                <w:sz w:val="24"/>
                <w:szCs w:val="24"/>
                <w:lang w:val="en-ZA" w:eastAsia="en-US"/>
              </w:rPr>
            </w:pPr>
          </w:p>
        </w:tc>
        <w:tc>
          <w:tcPr>
            <w:tcW w:w="1911" w:type="dxa"/>
            <w:shd w:val="clear" w:color="auto" w:fill="auto"/>
          </w:tcPr>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Clean audit</w:t>
            </w:r>
          </w:p>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p>
        </w:tc>
      </w:tr>
      <w:tr w:rsidR="00B05F4A" w:rsidRPr="00714FB7" w:rsidTr="00030895">
        <w:tc>
          <w:tcPr>
            <w:tcW w:w="546" w:type="dxa"/>
            <w:vMerge/>
            <w:shd w:val="clear" w:color="auto" w:fill="auto"/>
          </w:tcPr>
          <w:p w:rsidR="00B05F4A" w:rsidRPr="00714FB7" w:rsidRDefault="00B05F4A" w:rsidP="00B05F4A">
            <w:pPr>
              <w:autoSpaceDE w:val="0"/>
              <w:autoSpaceDN w:val="0"/>
              <w:adjustRightInd w:val="0"/>
              <w:jc w:val="both"/>
              <w:rPr>
                <w:rFonts w:ascii="Times New Roman" w:hAnsi="Times New Roman"/>
                <w:b/>
                <w:color w:val="auto"/>
                <w:spacing w:val="0"/>
                <w:sz w:val="24"/>
                <w:szCs w:val="24"/>
                <w:lang w:val="en-ZA" w:eastAsia="en-US"/>
              </w:rPr>
            </w:pPr>
          </w:p>
        </w:tc>
        <w:tc>
          <w:tcPr>
            <w:tcW w:w="2649" w:type="dxa"/>
            <w:shd w:val="clear" w:color="auto" w:fill="auto"/>
          </w:tcPr>
          <w:p w:rsidR="00B05F4A" w:rsidRPr="00714FB7" w:rsidRDefault="00B05F4A" w:rsidP="00030895">
            <w:pPr>
              <w:autoSpaceDE w:val="0"/>
              <w:autoSpaceDN w:val="0"/>
              <w:adjustRightInd w:val="0"/>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To promote the organisation's administrative</w:t>
            </w:r>
          </w:p>
          <w:p w:rsidR="00B05F4A" w:rsidRPr="00714FB7" w:rsidRDefault="00B05F4A" w:rsidP="00030895">
            <w:pPr>
              <w:autoSpaceDE w:val="0"/>
              <w:autoSpaceDN w:val="0"/>
              <w:adjustRightInd w:val="0"/>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efficiency to maximise the funds available for research</w:t>
            </w:r>
          </w:p>
        </w:tc>
        <w:tc>
          <w:tcPr>
            <w:tcW w:w="3910" w:type="dxa"/>
            <w:shd w:val="clear" w:color="auto" w:fill="auto"/>
          </w:tcPr>
          <w:p w:rsidR="00B05F4A" w:rsidRPr="00714FB7" w:rsidRDefault="00B05F4A" w:rsidP="00B05F4A">
            <w:pPr>
              <w:autoSpaceDE w:val="0"/>
              <w:autoSpaceDN w:val="0"/>
              <w:adjustRightInd w:val="0"/>
              <w:jc w:val="both"/>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1.2 Percentage (%) of the 2017/18</w:t>
            </w:r>
            <w:r w:rsidR="009A5F97" w:rsidRPr="00714FB7">
              <w:rPr>
                <w:rFonts w:ascii="Times New Roman" w:hAnsi="Times New Roman"/>
                <w:color w:val="auto"/>
                <w:spacing w:val="0"/>
                <w:sz w:val="24"/>
                <w:szCs w:val="24"/>
                <w:lang w:val="en-ZA" w:eastAsia="en-US"/>
              </w:rPr>
              <w:t xml:space="preserve"> </w:t>
            </w:r>
            <w:r w:rsidRPr="00714FB7">
              <w:rPr>
                <w:rFonts w:ascii="Times New Roman" w:hAnsi="Times New Roman"/>
                <w:color w:val="auto"/>
                <w:spacing w:val="0"/>
                <w:sz w:val="24"/>
                <w:szCs w:val="24"/>
                <w:lang w:val="en-ZA" w:eastAsia="en-US"/>
              </w:rPr>
              <w:t>SAMRC total budget spent on</w:t>
            </w:r>
          </w:p>
          <w:p w:rsidR="00B05F4A" w:rsidRPr="00714FB7" w:rsidRDefault="00B05F4A" w:rsidP="00B05F4A">
            <w:pPr>
              <w:autoSpaceDE w:val="0"/>
              <w:autoSpaceDN w:val="0"/>
              <w:adjustRightInd w:val="0"/>
              <w:jc w:val="both"/>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salaries and operations of all corporate administrative</w:t>
            </w:r>
          </w:p>
          <w:p w:rsidR="00B05F4A" w:rsidRPr="00714FB7" w:rsidRDefault="00B05F4A" w:rsidP="00B05F4A">
            <w:pPr>
              <w:autoSpaceDE w:val="0"/>
              <w:autoSpaceDN w:val="0"/>
              <w:adjustRightInd w:val="0"/>
              <w:jc w:val="both"/>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functions</w:t>
            </w:r>
          </w:p>
        </w:tc>
        <w:tc>
          <w:tcPr>
            <w:tcW w:w="1911" w:type="dxa"/>
            <w:shd w:val="clear" w:color="auto" w:fill="auto"/>
          </w:tcPr>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20%</w:t>
            </w:r>
          </w:p>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p>
        </w:tc>
      </w:tr>
      <w:tr w:rsidR="00B05F4A" w:rsidRPr="00714FB7" w:rsidTr="00030895">
        <w:tc>
          <w:tcPr>
            <w:tcW w:w="546" w:type="dxa"/>
            <w:vMerge w:val="restart"/>
            <w:shd w:val="clear" w:color="auto" w:fill="auto"/>
          </w:tcPr>
          <w:p w:rsidR="00B05F4A" w:rsidRPr="00714FB7" w:rsidRDefault="00B05F4A" w:rsidP="00B05F4A">
            <w:pPr>
              <w:autoSpaceDE w:val="0"/>
              <w:autoSpaceDN w:val="0"/>
              <w:adjustRightInd w:val="0"/>
              <w:jc w:val="both"/>
              <w:rPr>
                <w:rFonts w:ascii="Times New Roman" w:hAnsi="Times New Roman"/>
                <w:b/>
                <w:color w:val="auto"/>
                <w:spacing w:val="0"/>
                <w:sz w:val="24"/>
                <w:szCs w:val="24"/>
                <w:lang w:val="en-ZA" w:eastAsia="en-US"/>
              </w:rPr>
            </w:pPr>
            <w:r w:rsidRPr="00714FB7">
              <w:rPr>
                <w:rFonts w:ascii="Times New Roman" w:hAnsi="Times New Roman"/>
                <w:b/>
                <w:color w:val="auto"/>
                <w:spacing w:val="0"/>
                <w:sz w:val="24"/>
                <w:szCs w:val="24"/>
                <w:lang w:val="en-ZA" w:eastAsia="en-US"/>
              </w:rPr>
              <w:t>2</w:t>
            </w:r>
          </w:p>
        </w:tc>
        <w:tc>
          <w:tcPr>
            <w:tcW w:w="2649" w:type="dxa"/>
            <w:vMerge w:val="restart"/>
            <w:shd w:val="clear" w:color="auto" w:fill="auto"/>
          </w:tcPr>
          <w:p w:rsidR="00B05F4A" w:rsidRPr="00714FB7" w:rsidRDefault="00B05F4A" w:rsidP="00B05F4A">
            <w:pPr>
              <w:autoSpaceDE w:val="0"/>
              <w:autoSpaceDN w:val="0"/>
              <w:adjustRightInd w:val="0"/>
              <w:jc w:val="both"/>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To produce and disseminate new scientific findings and knowledge on health</w:t>
            </w:r>
          </w:p>
          <w:p w:rsidR="00B05F4A" w:rsidRPr="00714FB7" w:rsidRDefault="00B05F4A" w:rsidP="00B05F4A">
            <w:pPr>
              <w:autoSpaceDE w:val="0"/>
              <w:autoSpaceDN w:val="0"/>
              <w:adjustRightInd w:val="0"/>
              <w:jc w:val="both"/>
              <w:rPr>
                <w:rFonts w:ascii="Times New Roman" w:hAnsi="Times New Roman"/>
                <w:color w:val="auto"/>
                <w:spacing w:val="0"/>
                <w:sz w:val="24"/>
                <w:szCs w:val="24"/>
                <w:lang w:val="en-ZA" w:eastAsia="en-US"/>
              </w:rPr>
            </w:pPr>
          </w:p>
        </w:tc>
        <w:tc>
          <w:tcPr>
            <w:tcW w:w="3910" w:type="dxa"/>
            <w:shd w:val="clear" w:color="auto" w:fill="auto"/>
          </w:tcPr>
          <w:p w:rsidR="00B05F4A" w:rsidRPr="00714FB7" w:rsidRDefault="00B05F4A" w:rsidP="00B05F4A">
            <w:pPr>
              <w:autoSpaceDE w:val="0"/>
              <w:autoSpaceDN w:val="0"/>
              <w:adjustRightInd w:val="0"/>
              <w:jc w:val="both"/>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2.1 Number of published journal articles, book chapters and books by SAMRC researchers within intramural, extramural research units and collaborating centres at the SAMRC (Malaria, TB, HIV and Cancer), Self-Initiated Research, SHIP and Flagship projects</w:t>
            </w:r>
          </w:p>
          <w:p w:rsidR="00B05F4A" w:rsidRPr="00714FB7" w:rsidRDefault="00B05F4A" w:rsidP="00B05F4A">
            <w:pPr>
              <w:autoSpaceDE w:val="0"/>
              <w:autoSpaceDN w:val="0"/>
              <w:adjustRightInd w:val="0"/>
              <w:jc w:val="both"/>
              <w:rPr>
                <w:rFonts w:ascii="Times New Roman" w:hAnsi="Times New Roman"/>
                <w:color w:val="auto"/>
                <w:spacing w:val="0"/>
                <w:sz w:val="24"/>
                <w:szCs w:val="24"/>
                <w:lang w:val="en-ZA" w:eastAsia="en-US"/>
              </w:rPr>
            </w:pPr>
          </w:p>
        </w:tc>
        <w:tc>
          <w:tcPr>
            <w:tcW w:w="1911" w:type="dxa"/>
            <w:shd w:val="clear" w:color="auto" w:fill="auto"/>
          </w:tcPr>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p>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p>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700</w:t>
            </w:r>
          </w:p>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p>
        </w:tc>
      </w:tr>
      <w:tr w:rsidR="00B05F4A" w:rsidRPr="00714FB7" w:rsidTr="00030895">
        <w:tc>
          <w:tcPr>
            <w:tcW w:w="546" w:type="dxa"/>
            <w:vMerge/>
            <w:shd w:val="clear" w:color="auto" w:fill="auto"/>
          </w:tcPr>
          <w:p w:rsidR="00B05F4A" w:rsidRPr="00714FB7" w:rsidRDefault="00B05F4A" w:rsidP="00B05F4A">
            <w:pPr>
              <w:autoSpaceDE w:val="0"/>
              <w:autoSpaceDN w:val="0"/>
              <w:adjustRightInd w:val="0"/>
              <w:jc w:val="both"/>
              <w:rPr>
                <w:rFonts w:ascii="Times New Roman" w:hAnsi="Times New Roman"/>
                <w:b/>
                <w:color w:val="auto"/>
                <w:spacing w:val="0"/>
                <w:sz w:val="24"/>
                <w:szCs w:val="24"/>
                <w:lang w:val="en-ZA" w:eastAsia="en-US"/>
              </w:rPr>
            </w:pPr>
          </w:p>
        </w:tc>
        <w:tc>
          <w:tcPr>
            <w:tcW w:w="2649" w:type="dxa"/>
            <w:vMerge/>
            <w:shd w:val="clear" w:color="auto" w:fill="auto"/>
          </w:tcPr>
          <w:p w:rsidR="00B05F4A" w:rsidRPr="00714FB7" w:rsidRDefault="00B05F4A" w:rsidP="00B05F4A">
            <w:pPr>
              <w:autoSpaceDE w:val="0"/>
              <w:autoSpaceDN w:val="0"/>
              <w:adjustRightInd w:val="0"/>
              <w:jc w:val="both"/>
              <w:rPr>
                <w:rFonts w:ascii="Times New Roman" w:hAnsi="Times New Roman"/>
                <w:color w:val="auto"/>
                <w:spacing w:val="0"/>
                <w:sz w:val="24"/>
                <w:szCs w:val="24"/>
                <w:lang w:val="en-ZA" w:eastAsia="en-US"/>
              </w:rPr>
            </w:pPr>
          </w:p>
        </w:tc>
        <w:tc>
          <w:tcPr>
            <w:tcW w:w="3910" w:type="dxa"/>
            <w:shd w:val="clear" w:color="auto" w:fill="auto"/>
          </w:tcPr>
          <w:p w:rsidR="00B05F4A" w:rsidRPr="00714FB7" w:rsidRDefault="00B05F4A" w:rsidP="00030895">
            <w:pPr>
              <w:autoSpaceDE w:val="0"/>
              <w:autoSpaceDN w:val="0"/>
              <w:adjustRightInd w:val="0"/>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2.2 Number of Journal articles published by  SAMRC grant-holders with acknowledgement of SAMRC support during the reporting period</w:t>
            </w:r>
          </w:p>
        </w:tc>
        <w:tc>
          <w:tcPr>
            <w:tcW w:w="1911" w:type="dxa"/>
            <w:shd w:val="clear" w:color="auto" w:fill="auto"/>
          </w:tcPr>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p>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185</w:t>
            </w:r>
          </w:p>
        </w:tc>
      </w:tr>
      <w:tr w:rsidR="00B05F4A" w:rsidRPr="00714FB7" w:rsidTr="00030895">
        <w:tc>
          <w:tcPr>
            <w:tcW w:w="546" w:type="dxa"/>
            <w:vMerge/>
            <w:shd w:val="clear" w:color="auto" w:fill="auto"/>
          </w:tcPr>
          <w:p w:rsidR="00B05F4A" w:rsidRPr="00714FB7" w:rsidRDefault="00B05F4A" w:rsidP="00B05F4A">
            <w:pPr>
              <w:autoSpaceDE w:val="0"/>
              <w:autoSpaceDN w:val="0"/>
              <w:adjustRightInd w:val="0"/>
              <w:jc w:val="both"/>
              <w:rPr>
                <w:rFonts w:ascii="Times New Roman" w:hAnsi="Times New Roman"/>
                <w:b/>
                <w:color w:val="auto"/>
                <w:spacing w:val="0"/>
                <w:sz w:val="24"/>
                <w:szCs w:val="24"/>
                <w:lang w:val="en-ZA" w:eastAsia="en-US"/>
              </w:rPr>
            </w:pPr>
          </w:p>
        </w:tc>
        <w:tc>
          <w:tcPr>
            <w:tcW w:w="2649" w:type="dxa"/>
            <w:shd w:val="clear" w:color="auto" w:fill="auto"/>
          </w:tcPr>
          <w:p w:rsidR="00B05F4A" w:rsidRPr="00714FB7" w:rsidRDefault="00B05F4A" w:rsidP="00030895">
            <w:pPr>
              <w:autoSpaceDE w:val="0"/>
              <w:autoSpaceDN w:val="0"/>
              <w:adjustRightInd w:val="0"/>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 xml:space="preserve">To promote scientific excellence and the reputation of South African </w:t>
            </w:r>
            <w:r w:rsidR="009A5F97" w:rsidRPr="00714FB7">
              <w:rPr>
                <w:rFonts w:ascii="Times New Roman" w:hAnsi="Times New Roman"/>
                <w:color w:val="auto"/>
                <w:spacing w:val="0"/>
                <w:sz w:val="24"/>
                <w:szCs w:val="24"/>
                <w:lang w:val="en-ZA" w:eastAsia="en-US"/>
              </w:rPr>
              <w:t>heath</w:t>
            </w:r>
            <w:r w:rsidRPr="00714FB7">
              <w:rPr>
                <w:rFonts w:ascii="Times New Roman" w:hAnsi="Times New Roman"/>
                <w:color w:val="auto"/>
                <w:spacing w:val="0"/>
                <w:sz w:val="24"/>
                <w:szCs w:val="24"/>
                <w:lang w:val="en-ZA" w:eastAsia="en-US"/>
              </w:rPr>
              <w:t xml:space="preserve"> research </w:t>
            </w:r>
          </w:p>
        </w:tc>
        <w:tc>
          <w:tcPr>
            <w:tcW w:w="3910" w:type="dxa"/>
            <w:shd w:val="clear" w:color="auto" w:fill="auto"/>
          </w:tcPr>
          <w:p w:rsidR="00B05F4A" w:rsidRPr="00714FB7" w:rsidRDefault="00B05F4A" w:rsidP="00B05F4A">
            <w:pPr>
              <w:autoSpaceDE w:val="0"/>
              <w:autoSpaceDN w:val="0"/>
              <w:adjustRightInd w:val="0"/>
              <w:jc w:val="both"/>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2.3 Number of published indexed impact factor Journal articles with a SAMRC affiliated author</w:t>
            </w:r>
          </w:p>
        </w:tc>
        <w:tc>
          <w:tcPr>
            <w:tcW w:w="1911" w:type="dxa"/>
            <w:shd w:val="clear" w:color="auto" w:fill="auto"/>
          </w:tcPr>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p>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17</w:t>
            </w:r>
          </w:p>
        </w:tc>
      </w:tr>
      <w:tr w:rsidR="00B05F4A" w:rsidRPr="00714FB7" w:rsidTr="00030895">
        <w:tc>
          <w:tcPr>
            <w:tcW w:w="546" w:type="dxa"/>
            <w:vMerge/>
            <w:shd w:val="clear" w:color="auto" w:fill="auto"/>
          </w:tcPr>
          <w:p w:rsidR="00B05F4A" w:rsidRPr="00714FB7" w:rsidRDefault="00B05F4A" w:rsidP="00B05F4A">
            <w:pPr>
              <w:autoSpaceDE w:val="0"/>
              <w:autoSpaceDN w:val="0"/>
              <w:adjustRightInd w:val="0"/>
              <w:jc w:val="both"/>
              <w:rPr>
                <w:rFonts w:ascii="Times New Roman" w:hAnsi="Times New Roman"/>
                <w:b/>
                <w:color w:val="auto"/>
                <w:spacing w:val="0"/>
                <w:sz w:val="24"/>
                <w:szCs w:val="24"/>
                <w:lang w:val="en-ZA" w:eastAsia="en-US"/>
              </w:rPr>
            </w:pPr>
          </w:p>
        </w:tc>
        <w:tc>
          <w:tcPr>
            <w:tcW w:w="2649" w:type="dxa"/>
            <w:shd w:val="clear" w:color="auto" w:fill="auto"/>
          </w:tcPr>
          <w:p w:rsidR="00B05F4A" w:rsidRPr="00714FB7" w:rsidRDefault="00B05F4A" w:rsidP="00030895">
            <w:pPr>
              <w:autoSpaceDE w:val="0"/>
              <w:autoSpaceDN w:val="0"/>
              <w:adjustRightInd w:val="0"/>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 xml:space="preserve">To provide leadership in the generation new knowledge in health </w:t>
            </w:r>
          </w:p>
        </w:tc>
        <w:tc>
          <w:tcPr>
            <w:tcW w:w="3910" w:type="dxa"/>
            <w:shd w:val="clear" w:color="auto" w:fill="auto"/>
          </w:tcPr>
          <w:p w:rsidR="00B05F4A" w:rsidRPr="00714FB7" w:rsidRDefault="00B05F4A" w:rsidP="00B05F4A">
            <w:pPr>
              <w:autoSpaceDE w:val="0"/>
              <w:autoSpaceDN w:val="0"/>
              <w:adjustRightInd w:val="0"/>
              <w:jc w:val="both"/>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2.4 Number of journal articles where the first and/or last author is affiliated to the SAMRC during the reporting period</w:t>
            </w:r>
          </w:p>
        </w:tc>
        <w:tc>
          <w:tcPr>
            <w:tcW w:w="1911" w:type="dxa"/>
            <w:shd w:val="clear" w:color="auto" w:fill="auto"/>
          </w:tcPr>
          <w:p w:rsidR="00B05F4A" w:rsidRPr="00714FB7" w:rsidRDefault="00B05F4A" w:rsidP="00B05F4A">
            <w:pPr>
              <w:autoSpaceDE w:val="0"/>
              <w:autoSpaceDN w:val="0"/>
              <w:adjustRightInd w:val="0"/>
              <w:rPr>
                <w:rFonts w:ascii="Times New Roman" w:hAnsi="Times New Roman"/>
                <w:color w:val="auto"/>
                <w:spacing w:val="0"/>
                <w:sz w:val="24"/>
                <w:szCs w:val="24"/>
                <w:lang w:val="en-ZA" w:eastAsia="en-US"/>
              </w:rPr>
            </w:pPr>
          </w:p>
          <w:p w:rsidR="00B05F4A" w:rsidRPr="00714FB7" w:rsidRDefault="00B05F4A" w:rsidP="00B05F4A">
            <w:pPr>
              <w:autoSpaceDE w:val="0"/>
              <w:autoSpaceDN w:val="0"/>
              <w:adjustRightInd w:val="0"/>
              <w:rPr>
                <w:rFonts w:ascii="Times New Roman" w:hAnsi="Times New Roman"/>
                <w:color w:val="auto"/>
                <w:spacing w:val="0"/>
                <w:sz w:val="24"/>
                <w:szCs w:val="24"/>
                <w:lang w:val="en-ZA" w:eastAsia="en-US"/>
              </w:rPr>
            </w:pPr>
          </w:p>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230</w:t>
            </w:r>
          </w:p>
          <w:p w:rsidR="00B05F4A" w:rsidRPr="00714FB7" w:rsidRDefault="00B05F4A" w:rsidP="00B05F4A">
            <w:pPr>
              <w:autoSpaceDE w:val="0"/>
              <w:autoSpaceDN w:val="0"/>
              <w:adjustRightInd w:val="0"/>
              <w:rPr>
                <w:rFonts w:ascii="Times New Roman" w:hAnsi="Times New Roman"/>
                <w:color w:val="auto"/>
                <w:spacing w:val="0"/>
                <w:sz w:val="24"/>
                <w:szCs w:val="24"/>
                <w:lang w:val="en-ZA" w:eastAsia="en-US"/>
              </w:rPr>
            </w:pPr>
          </w:p>
        </w:tc>
      </w:tr>
      <w:tr w:rsidR="00B05F4A" w:rsidRPr="00714FB7" w:rsidTr="00030895">
        <w:tc>
          <w:tcPr>
            <w:tcW w:w="546" w:type="dxa"/>
            <w:vMerge/>
            <w:shd w:val="clear" w:color="auto" w:fill="auto"/>
          </w:tcPr>
          <w:p w:rsidR="00B05F4A" w:rsidRPr="00714FB7" w:rsidRDefault="00B05F4A" w:rsidP="00B05F4A">
            <w:pPr>
              <w:autoSpaceDE w:val="0"/>
              <w:autoSpaceDN w:val="0"/>
              <w:adjustRightInd w:val="0"/>
              <w:jc w:val="both"/>
              <w:rPr>
                <w:rFonts w:ascii="Times New Roman" w:hAnsi="Times New Roman"/>
                <w:b/>
                <w:color w:val="auto"/>
                <w:spacing w:val="0"/>
                <w:sz w:val="24"/>
                <w:szCs w:val="24"/>
                <w:lang w:val="en-ZA" w:eastAsia="en-US"/>
              </w:rPr>
            </w:pPr>
          </w:p>
        </w:tc>
        <w:tc>
          <w:tcPr>
            <w:tcW w:w="2649" w:type="dxa"/>
            <w:shd w:val="clear" w:color="auto" w:fill="auto"/>
          </w:tcPr>
          <w:p w:rsidR="00B05F4A" w:rsidRPr="00714FB7" w:rsidRDefault="00B05F4A" w:rsidP="00030895">
            <w:pPr>
              <w:autoSpaceDE w:val="0"/>
              <w:autoSpaceDN w:val="0"/>
              <w:adjustRightInd w:val="0"/>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To facilitate the translation of SAMRC research findings into health policies and practices</w:t>
            </w:r>
          </w:p>
        </w:tc>
        <w:tc>
          <w:tcPr>
            <w:tcW w:w="3910" w:type="dxa"/>
            <w:shd w:val="clear" w:color="auto" w:fill="auto"/>
          </w:tcPr>
          <w:p w:rsidR="00B05F4A" w:rsidRPr="00714FB7" w:rsidRDefault="00B05F4A" w:rsidP="00B05F4A">
            <w:pPr>
              <w:autoSpaceDE w:val="0"/>
              <w:autoSpaceDN w:val="0"/>
              <w:adjustRightInd w:val="0"/>
              <w:jc w:val="both"/>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2.5 Number of policies and guidelines that reference SAMRC research</w:t>
            </w:r>
          </w:p>
        </w:tc>
        <w:tc>
          <w:tcPr>
            <w:tcW w:w="1911" w:type="dxa"/>
            <w:shd w:val="clear" w:color="auto" w:fill="auto"/>
          </w:tcPr>
          <w:p w:rsidR="00B05F4A" w:rsidRPr="00714FB7" w:rsidRDefault="00B05F4A" w:rsidP="00B05F4A">
            <w:pPr>
              <w:autoSpaceDE w:val="0"/>
              <w:autoSpaceDN w:val="0"/>
              <w:adjustRightInd w:val="0"/>
              <w:rPr>
                <w:rFonts w:ascii="Times New Roman" w:hAnsi="Times New Roman"/>
                <w:color w:val="auto"/>
                <w:spacing w:val="0"/>
                <w:sz w:val="24"/>
                <w:szCs w:val="24"/>
                <w:lang w:val="en-ZA" w:eastAsia="en-US"/>
              </w:rPr>
            </w:pPr>
          </w:p>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6</w:t>
            </w:r>
          </w:p>
        </w:tc>
      </w:tr>
      <w:tr w:rsidR="00B05F4A" w:rsidRPr="00714FB7" w:rsidTr="00030895">
        <w:tc>
          <w:tcPr>
            <w:tcW w:w="546" w:type="dxa"/>
            <w:vMerge/>
            <w:shd w:val="clear" w:color="auto" w:fill="auto"/>
          </w:tcPr>
          <w:p w:rsidR="00B05F4A" w:rsidRPr="00714FB7" w:rsidRDefault="00B05F4A" w:rsidP="00B05F4A">
            <w:pPr>
              <w:autoSpaceDE w:val="0"/>
              <w:autoSpaceDN w:val="0"/>
              <w:adjustRightInd w:val="0"/>
              <w:jc w:val="both"/>
              <w:rPr>
                <w:rFonts w:ascii="Times New Roman" w:hAnsi="Times New Roman"/>
                <w:b/>
                <w:color w:val="auto"/>
                <w:spacing w:val="0"/>
                <w:sz w:val="24"/>
                <w:szCs w:val="24"/>
                <w:lang w:val="en-ZA" w:eastAsia="en-US"/>
              </w:rPr>
            </w:pPr>
          </w:p>
        </w:tc>
        <w:tc>
          <w:tcPr>
            <w:tcW w:w="2649" w:type="dxa"/>
            <w:shd w:val="clear" w:color="auto" w:fill="auto"/>
          </w:tcPr>
          <w:p w:rsidR="00B05F4A" w:rsidRPr="00714FB7" w:rsidRDefault="00B05F4A" w:rsidP="00030895">
            <w:pPr>
              <w:autoSpaceDE w:val="0"/>
              <w:autoSpaceDN w:val="0"/>
              <w:adjustRightInd w:val="0"/>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To provide funding for the conduct of health research</w:t>
            </w:r>
          </w:p>
        </w:tc>
        <w:tc>
          <w:tcPr>
            <w:tcW w:w="3910" w:type="dxa"/>
            <w:shd w:val="clear" w:color="auto" w:fill="auto"/>
          </w:tcPr>
          <w:p w:rsidR="00B05F4A" w:rsidRPr="00714FB7" w:rsidRDefault="00B05F4A" w:rsidP="00B05F4A">
            <w:pPr>
              <w:autoSpaceDE w:val="0"/>
              <w:autoSpaceDN w:val="0"/>
              <w:adjustRightInd w:val="0"/>
              <w:jc w:val="both"/>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2.6 Number of research grants (new and renewals) awarded by the SAMRC (new/referrals)</w:t>
            </w:r>
          </w:p>
        </w:tc>
        <w:tc>
          <w:tcPr>
            <w:tcW w:w="1911" w:type="dxa"/>
            <w:shd w:val="clear" w:color="auto" w:fill="auto"/>
          </w:tcPr>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p>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p>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168</w:t>
            </w:r>
          </w:p>
        </w:tc>
      </w:tr>
      <w:tr w:rsidR="00B05F4A" w:rsidRPr="00714FB7" w:rsidTr="00030895">
        <w:tc>
          <w:tcPr>
            <w:tcW w:w="546" w:type="dxa"/>
            <w:vMerge w:val="restart"/>
            <w:shd w:val="clear" w:color="auto" w:fill="auto"/>
          </w:tcPr>
          <w:p w:rsidR="00B05F4A" w:rsidRPr="00714FB7" w:rsidRDefault="00B05F4A" w:rsidP="00B05F4A">
            <w:pPr>
              <w:autoSpaceDE w:val="0"/>
              <w:autoSpaceDN w:val="0"/>
              <w:adjustRightInd w:val="0"/>
              <w:jc w:val="both"/>
              <w:rPr>
                <w:rFonts w:ascii="Times New Roman" w:hAnsi="Times New Roman"/>
                <w:b/>
                <w:color w:val="auto"/>
                <w:spacing w:val="0"/>
                <w:sz w:val="24"/>
                <w:szCs w:val="24"/>
                <w:lang w:val="en-ZA" w:eastAsia="en-US"/>
              </w:rPr>
            </w:pPr>
            <w:r w:rsidRPr="00714FB7">
              <w:rPr>
                <w:rFonts w:ascii="Times New Roman" w:hAnsi="Times New Roman"/>
                <w:b/>
                <w:color w:val="auto"/>
                <w:spacing w:val="0"/>
                <w:sz w:val="24"/>
                <w:szCs w:val="24"/>
                <w:lang w:val="en-ZA" w:eastAsia="en-US"/>
              </w:rPr>
              <w:t>3</w:t>
            </w:r>
          </w:p>
        </w:tc>
        <w:tc>
          <w:tcPr>
            <w:tcW w:w="2649" w:type="dxa"/>
            <w:vMerge w:val="restart"/>
            <w:shd w:val="clear" w:color="auto" w:fill="auto"/>
          </w:tcPr>
          <w:p w:rsidR="00B05F4A" w:rsidRPr="00714FB7" w:rsidRDefault="00B05F4A" w:rsidP="00030895">
            <w:pPr>
              <w:autoSpaceDE w:val="0"/>
              <w:autoSpaceDN w:val="0"/>
              <w:adjustRightInd w:val="0"/>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To provide funding for health research innovation and technology development</w:t>
            </w:r>
          </w:p>
        </w:tc>
        <w:tc>
          <w:tcPr>
            <w:tcW w:w="3910" w:type="dxa"/>
            <w:shd w:val="clear" w:color="auto" w:fill="auto"/>
          </w:tcPr>
          <w:p w:rsidR="00B05F4A" w:rsidRPr="00714FB7" w:rsidRDefault="00B05F4A" w:rsidP="00B05F4A">
            <w:pPr>
              <w:autoSpaceDE w:val="0"/>
              <w:autoSpaceDN w:val="0"/>
              <w:adjustRightInd w:val="0"/>
              <w:jc w:val="both"/>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3.1 Number of Innovation and technology projects funded by the SAMRC to develop new diagnostics, devices, vaccines and therapeutics</w:t>
            </w:r>
          </w:p>
          <w:p w:rsidR="00B05F4A" w:rsidRPr="00714FB7" w:rsidRDefault="00B05F4A" w:rsidP="00B05F4A">
            <w:pPr>
              <w:autoSpaceDE w:val="0"/>
              <w:autoSpaceDN w:val="0"/>
              <w:adjustRightInd w:val="0"/>
              <w:jc w:val="both"/>
              <w:rPr>
                <w:rFonts w:ascii="Times New Roman" w:hAnsi="Times New Roman"/>
                <w:color w:val="auto"/>
                <w:spacing w:val="0"/>
                <w:sz w:val="24"/>
                <w:szCs w:val="24"/>
                <w:lang w:val="en-ZA" w:eastAsia="en-US"/>
              </w:rPr>
            </w:pPr>
          </w:p>
        </w:tc>
        <w:tc>
          <w:tcPr>
            <w:tcW w:w="1911" w:type="dxa"/>
            <w:shd w:val="clear" w:color="auto" w:fill="auto"/>
          </w:tcPr>
          <w:p w:rsidR="00B05F4A" w:rsidRPr="00714FB7" w:rsidRDefault="00B05F4A" w:rsidP="00B05F4A">
            <w:pPr>
              <w:autoSpaceDE w:val="0"/>
              <w:autoSpaceDN w:val="0"/>
              <w:adjustRightInd w:val="0"/>
              <w:rPr>
                <w:rFonts w:ascii="Times New Roman" w:hAnsi="Times New Roman"/>
                <w:color w:val="auto"/>
                <w:spacing w:val="0"/>
                <w:sz w:val="24"/>
                <w:szCs w:val="24"/>
                <w:lang w:val="en-ZA" w:eastAsia="en-US"/>
              </w:rPr>
            </w:pPr>
          </w:p>
          <w:p w:rsidR="00B05F4A" w:rsidRPr="00714FB7" w:rsidRDefault="00B05F4A" w:rsidP="00B05F4A">
            <w:pPr>
              <w:autoSpaceDE w:val="0"/>
              <w:autoSpaceDN w:val="0"/>
              <w:adjustRightInd w:val="0"/>
              <w:rPr>
                <w:rFonts w:ascii="Times New Roman" w:hAnsi="Times New Roman"/>
                <w:color w:val="auto"/>
                <w:spacing w:val="0"/>
                <w:sz w:val="24"/>
                <w:szCs w:val="24"/>
                <w:lang w:val="en-ZA" w:eastAsia="en-US"/>
              </w:rPr>
            </w:pPr>
          </w:p>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40</w:t>
            </w:r>
          </w:p>
          <w:p w:rsidR="00B05F4A" w:rsidRPr="00714FB7" w:rsidRDefault="00B05F4A" w:rsidP="00B05F4A">
            <w:pPr>
              <w:autoSpaceDE w:val="0"/>
              <w:autoSpaceDN w:val="0"/>
              <w:adjustRightInd w:val="0"/>
              <w:rPr>
                <w:rFonts w:ascii="Times New Roman" w:hAnsi="Times New Roman"/>
                <w:color w:val="auto"/>
                <w:spacing w:val="0"/>
                <w:sz w:val="24"/>
                <w:szCs w:val="24"/>
                <w:lang w:val="en-ZA" w:eastAsia="en-US"/>
              </w:rPr>
            </w:pPr>
          </w:p>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p>
        </w:tc>
      </w:tr>
      <w:tr w:rsidR="00B05F4A" w:rsidRPr="00714FB7" w:rsidTr="00030895">
        <w:tc>
          <w:tcPr>
            <w:tcW w:w="546" w:type="dxa"/>
            <w:vMerge/>
            <w:shd w:val="clear" w:color="auto" w:fill="auto"/>
          </w:tcPr>
          <w:p w:rsidR="00B05F4A" w:rsidRPr="00714FB7" w:rsidRDefault="00B05F4A" w:rsidP="00B05F4A">
            <w:pPr>
              <w:autoSpaceDE w:val="0"/>
              <w:autoSpaceDN w:val="0"/>
              <w:adjustRightInd w:val="0"/>
              <w:jc w:val="both"/>
              <w:rPr>
                <w:rFonts w:ascii="Times New Roman" w:hAnsi="Times New Roman"/>
                <w:b/>
                <w:color w:val="auto"/>
                <w:spacing w:val="0"/>
                <w:sz w:val="24"/>
                <w:szCs w:val="24"/>
                <w:lang w:val="en-ZA" w:eastAsia="en-US"/>
              </w:rPr>
            </w:pPr>
          </w:p>
        </w:tc>
        <w:tc>
          <w:tcPr>
            <w:tcW w:w="2649" w:type="dxa"/>
            <w:vMerge/>
            <w:shd w:val="clear" w:color="auto" w:fill="auto"/>
          </w:tcPr>
          <w:p w:rsidR="00B05F4A" w:rsidRPr="00714FB7" w:rsidRDefault="00B05F4A" w:rsidP="00B05F4A">
            <w:pPr>
              <w:autoSpaceDE w:val="0"/>
              <w:autoSpaceDN w:val="0"/>
              <w:adjustRightInd w:val="0"/>
              <w:jc w:val="both"/>
              <w:rPr>
                <w:rFonts w:ascii="Times New Roman" w:hAnsi="Times New Roman"/>
                <w:color w:val="auto"/>
                <w:spacing w:val="0"/>
                <w:sz w:val="24"/>
                <w:szCs w:val="24"/>
                <w:lang w:val="en-ZA" w:eastAsia="en-US"/>
              </w:rPr>
            </w:pPr>
          </w:p>
        </w:tc>
        <w:tc>
          <w:tcPr>
            <w:tcW w:w="3910" w:type="dxa"/>
            <w:shd w:val="clear" w:color="auto" w:fill="auto"/>
          </w:tcPr>
          <w:p w:rsidR="00B05F4A" w:rsidRPr="00714FB7" w:rsidRDefault="00B05F4A" w:rsidP="00B05F4A">
            <w:pPr>
              <w:autoSpaceDE w:val="0"/>
              <w:autoSpaceDN w:val="0"/>
              <w:adjustRightInd w:val="0"/>
              <w:jc w:val="both"/>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 xml:space="preserve">3.2 Number of new diagnostics, devices, vaccines and therapeutics progressed to the next </w:t>
            </w:r>
            <w:r w:rsidRPr="00714FB7">
              <w:rPr>
                <w:rFonts w:ascii="Times New Roman" w:hAnsi="Times New Roman"/>
                <w:bCs/>
                <w:color w:val="auto"/>
                <w:spacing w:val="0"/>
                <w:sz w:val="24"/>
                <w:szCs w:val="24"/>
                <w:lang w:val="en-ZA" w:eastAsia="en-US"/>
              </w:rPr>
              <w:t>stage</w:t>
            </w:r>
            <w:r w:rsidRPr="00714FB7">
              <w:rPr>
                <w:rFonts w:ascii="Times New Roman" w:hAnsi="Times New Roman"/>
                <w:b/>
                <w:bCs/>
                <w:color w:val="auto"/>
                <w:spacing w:val="0"/>
                <w:sz w:val="24"/>
                <w:szCs w:val="24"/>
                <w:lang w:val="en-ZA" w:eastAsia="en-US"/>
              </w:rPr>
              <w:t xml:space="preserve"> </w:t>
            </w:r>
            <w:r w:rsidRPr="00714FB7">
              <w:rPr>
                <w:rFonts w:ascii="Times New Roman" w:hAnsi="Times New Roman"/>
                <w:color w:val="auto"/>
                <w:spacing w:val="0"/>
                <w:sz w:val="24"/>
                <w:szCs w:val="24"/>
                <w:lang w:val="en-ZA" w:eastAsia="en-US"/>
              </w:rPr>
              <w:t>of development during the reporting period</w:t>
            </w:r>
          </w:p>
        </w:tc>
        <w:tc>
          <w:tcPr>
            <w:tcW w:w="1911" w:type="dxa"/>
            <w:shd w:val="clear" w:color="auto" w:fill="auto"/>
          </w:tcPr>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p>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2</w:t>
            </w:r>
          </w:p>
          <w:p w:rsidR="00B05F4A" w:rsidRPr="00714FB7" w:rsidRDefault="00B05F4A" w:rsidP="00B05F4A">
            <w:pPr>
              <w:autoSpaceDE w:val="0"/>
              <w:autoSpaceDN w:val="0"/>
              <w:adjustRightInd w:val="0"/>
              <w:rPr>
                <w:rFonts w:ascii="Times New Roman" w:hAnsi="Times New Roman"/>
                <w:color w:val="auto"/>
                <w:spacing w:val="0"/>
                <w:sz w:val="24"/>
                <w:szCs w:val="24"/>
                <w:lang w:val="en-ZA" w:eastAsia="en-US"/>
              </w:rPr>
            </w:pPr>
          </w:p>
        </w:tc>
      </w:tr>
      <w:tr w:rsidR="00B05F4A" w:rsidRPr="00714FB7" w:rsidTr="00030895">
        <w:tc>
          <w:tcPr>
            <w:tcW w:w="546" w:type="dxa"/>
            <w:vMerge w:val="restart"/>
            <w:shd w:val="clear" w:color="auto" w:fill="auto"/>
          </w:tcPr>
          <w:p w:rsidR="00B05F4A" w:rsidRPr="00714FB7" w:rsidRDefault="00B05F4A" w:rsidP="00B05F4A">
            <w:pPr>
              <w:autoSpaceDE w:val="0"/>
              <w:autoSpaceDN w:val="0"/>
              <w:adjustRightInd w:val="0"/>
              <w:jc w:val="both"/>
              <w:rPr>
                <w:rFonts w:ascii="Times New Roman" w:hAnsi="Times New Roman"/>
                <w:b/>
                <w:color w:val="auto"/>
                <w:spacing w:val="0"/>
                <w:sz w:val="24"/>
                <w:szCs w:val="24"/>
                <w:lang w:val="en-ZA" w:eastAsia="en-US"/>
              </w:rPr>
            </w:pPr>
            <w:r w:rsidRPr="00714FB7">
              <w:rPr>
                <w:rFonts w:ascii="Times New Roman" w:hAnsi="Times New Roman"/>
                <w:b/>
                <w:color w:val="auto"/>
                <w:spacing w:val="0"/>
                <w:sz w:val="24"/>
                <w:szCs w:val="24"/>
                <w:lang w:val="en-ZA" w:eastAsia="en-US"/>
              </w:rPr>
              <w:t>4</w:t>
            </w:r>
          </w:p>
        </w:tc>
        <w:tc>
          <w:tcPr>
            <w:tcW w:w="2649" w:type="dxa"/>
            <w:vMerge w:val="restart"/>
            <w:shd w:val="clear" w:color="auto" w:fill="auto"/>
          </w:tcPr>
          <w:p w:rsidR="00B05F4A" w:rsidRPr="00714FB7" w:rsidRDefault="00B05F4A" w:rsidP="00030895">
            <w:pPr>
              <w:autoSpaceDE w:val="0"/>
              <w:autoSpaceDN w:val="0"/>
              <w:adjustRightInd w:val="0"/>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To enhance the long-term sustainability of health research in South Africa by providing funding for the next generation of health researchers</w:t>
            </w:r>
          </w:p>
        </w:tc>
        <w:tc>
          <w:tcPr>
            <w:tcW w:w="3910" w:type="dxa"/>
            <w:shd w:val="clear" w:color="auto" w:fill="auto"/>
          </w:tcPr>
          <w:p w:rsidR="00B05F4A" w:rsidRPr="00714FB7" w:rsidRDefault="00B05F4A" w:rsidP="00B05F4A">
            <w:pPr>
              <w:autoSpaceDE w:val="0"/>
              <w:autoSpaceDN w:val="0"/>
              <w:adjustRightInd w:val="0"/>
              <w:jc w:val="both"/>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 xml:space="preserve">4.1. Number </w:t>
            </w:r>
            <w:r w:rsidRPr="00714FB7">
              <w:rPr>
                <w:rFonts w:ascii="Times New Roman" w:hAnsi="Times New Roman"/>
                <w:bCs/>
                <w:color w:val="auto"/>
                <w:spacing w:val="0"/>
                <w:sz w:val="24"/>
                <w:szCs w:val="24"/>
                <w:lang w:val="en-ZA" w:eastAsia="en-US"/>
              </w:rPr>
              <w:t>(new</w:t>
            </w:r>
            <w:r w:rsidRPr="00714FB7">
              <w:rPr>
                <w:rFonts w:ascii="Times New Roman" w:hAnsi="Times New Roman"/>
                <w:b/>
                <w:bCs/>
                <w:color w:val="auto"/>
                <w:spacing w:val="0"/>
                <w:sz w:val="24"/>
                <w:szCs w:val="24"/>
                <w:lang w:val="en-ZA" w:eastAsia="en-US"/>
              </w:rPr>
              <w:t xml:space="preserve"> </w:t>
            </w:r>
            <w:r w:rsidRPr="00714FB7">
              <w:rPr>
                <w:rFonts w:ascii="Times New Roman" w:hAnsi="Times New Roman"/>
                <w:color w:val="auto"/>
                <w:spacing w:val="0"/>
                <w:sz w:val="24"/>
                <w:szCs w:val="24"/>
                <w:lang w:val="en-ZA" w:eastAsia="en-US"/>
              </w:rPr>
              <w:t>and renewals) of SAMRC bursaries, scholarships and fellowships funded for postgraduate study at masters doctoral and postdoctoral levels</w:t>
            </w:r>
          </w:p>
          <w:p w:rsidR="00B05F4A" w:rsidRPr="00714FB7" w:rsidRDefault="00B05F4A" w:rsidP="00B05F4A">
            <w:pPr>
              <w:autoSpaceDE w:val="0"/>
              <w:autoSpaceDN w:val="0"/>
              <w:adjustRightInd w:val="0"/>
              <w:jc w:val="both"/>
              <w:rPr>
                <w:rFonts w:ascii="Times New Roman" w:hAnsi="Times New Roman"/>
                <w:color w:val="auto"/>
                <w:spacing w:val="0"/>
                <w:sz w:val="24"/>
                <w:szCs w:val="24"/>
                <w:lang w:val="en-ZA" w:eastAsia="en-US"/>
              </w:rPr>
            </w:pPr>
          </w:p>
        </w:tc>
        <w:tc>
          <w:tcPr>
            <w:tcW w:w="1911" w:type="dxa"/>
            <w:shd w:val="clear" w:color="auto" w:fill="auto"/>
          </w:tcPr>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p>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98</w:t>
            </w:r>
          </w:p>
        </w:tc>
      </w:tr>
      <w:tr w:rsidR="00B05F4A" w:rsidRPr="00714FB7" w:rsidTr="00030895">
        <w:tc>
          <w:tcPr>
            <w:tcW w:w="546" w:type="dxa"/>
            <w:vMerge/>
            <w:shd w:val="clear" w:color="auto" w:fill="auto"/>
          </w:tcPr>
          <w:p w:rsidR="00B05F4A" w:rsidRPr="00714FB7" w:rsidRDefault="00B05F4A" w:rsidP="00B05F4A">
            <w:pPr>
              <w:autoSpaceDE w:val="0"/>
              <w:autoSpaceDN w:val="0"/>
              <w:adjustRightInd w:val="0"/>
              <w:jc w:val="both"/>
              <w:rPr>
                <w:rFonts w:ascii="Times New Roman" w:hAnsi="Times New Roman"/>
                <w:color w:val="auto"/>
                <w:spacing w:val="0"/>
                <w:sz w:val="24"/>
                <w:szCs w:val="24"/>
                <w:lang w:val="en-ZA" w:eastAsia="en-US"/>
              </w:rPr>
            </w:pPr>
          </w:p>
        </w:tc>
        <w:tc>
          <w:tcPr>
            <w:tcW w:w="2649" w:type="dxa"/>
            <w:vMerge/>
            <w:shd w:val="clear" w:color="auto" w:fill="auto"/>
          </w:tcPr>
          <w:p w:rsidR="00B05F4A" w:rsidRPr="00714FB7" w:rsidRDefault="00B05F4A" w:rsidP="00B05F4A">
            <w:pPr>
              <w:autoSpaceDE w:val="0"/>
              <w:autoSpaceDN w:val="0"/>
              <w:adjustRightInd w:val="0"/>
              <w:jc w:val="both"/>
              <w:rPr>
                <w:rFonts w:ascii="Times New Roman" w:hAnsi="Times New Roman"/>
                <w:color w:val="auto"/>
                <w:spacing w:val="0"/>
                <w:sz w:val="24"/>
                <w:szCs w:val="24"/>
                <w:lang w:val="en-ZA" w:eastAsia="en-US"/>
              </w:rPr>
            </w:pPr>
          </w:p>
        </w:tc>
        <w:tc>
          <w:tcPr>
            <w:tcW w:w="3910" w:type="dxa"/>
            <w:shd w:val="clear" w:color="auto" w:fill="auto"/>
          </w:tcPr>
          <w:p w:rsidR="00B05F4A" w:rsidRPr="00714FB7" w:rsidRDefault="00B05F4A" w:rsidP="00B05F4A">
            <w:pPr>
              <w:autoSpaceDE w:val="0"/>
              <w:autoSpaceDN w:val="0"/>
              <w:adjustRightInd w:val="0"/>
              <w:jc w:val="both"/>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4.2  Number of new masters and doctoral students graduated during the reporting period</w:t>
            </w:r>
          </w:p>
        </w:tc>
        <w:tc>
          <w:tcPr>
            <w:tcW w:w="1911" w:type="dxa"/>
            <w:shd w:val="clear" w:color="auto" w:fill="auto"/>
          </w:tcPr>
          <w:p w:rsidR="00B05F4A" w:rsidRPr="00714FB7" w:rsidRDefault="00B05F4A" w:rsidP="00B05F4A">
            <w:pPr>
              <w:autoSpaceDE w:val="0"/>
              <w:autoSpaceDN w:val="0"/>
              <w:adjustRightInd w:val="0"/>
              <w:jc w:val="center"/>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55</w:t>
            </w:r>
          </w:p>
        </w:tc>
      </w:tr>
    </w:tbl>
    <w:p w:rsidR="00B05F4A" w:rsidRPr="00714FB7" w:rsidRDefault="00B05F4A" w:rsidP="00B05F4A">
      <w:pPr>
        <w:autoSpaceDE w:val="0"/>
        <w:autoSpaceDN w:val="0"/>
        <w:adjustRightInd w:val="0"/>
        <w:jc w:val="both"/>
        <w:rPr>
          <w:rFonts w:ascii="Times New Roman" w:eastAsia="Calibri" w:hAnsi="Times New Roman"/>
          <w:color w:val="auto"/>
          <w:spacing w:val="0"/>
          <w:sz w:val="24"/>
          <w:szCs w:val="24"/>
          <w:lang w:val="en-ZA" w:eastAsia="en-US"/>
        </w:rPr>
      </w:pPr>
    </w:p>
    <w:p w:rsidR="0053200C" w:rsidRPr="00714FB7" w:rsidRDefault="0053200C" w:rsidP="00B05F4A">
      <w:pPr>
        <w:autoSpaceDE w:val="0"/>
        <w:autoSpaceDN w:val="0"/>
        <w:adjustRightInd w:val="0"/>
        <w:jc w:val="both"/>
        <w:rPr>
          <w:rFonts w:ascii="Times New Roman" w:eastAsia="Calibri" w:hAnsi="Times New Roman"/>
          <w:color w:val="auto"/>
          <w:spacing w:val="0"/>
          <w:sz w:val="24"/>
          <w:szCs w:val="24"/>
          <w:lang w:val="en-ZA" w:eastAsia="en-US"/>
        </w:rPr>
      </w:pPr>
    </w:p>
    <w:p w:rsidR="00B05F4A" w:rsidRPr="00714FB7" w:rsidRDefault="00B05F4A" w:rsidP="00030895">
      <w:pPr>
        <w:pStyle w:val="ListParagraph"/>
        <w:numPr>
          <w:ilvl w:val="2"/>
          <w:numId w:val="82"/>
        </w:numPr>
        <w:autoSpaceDE w:val="0"/>
        <w:autoSpaceDN w:val="0"/>
        <w:adjustRightInd w:val="0"/>
        <w:spacing w:line="280" w:lineRule="exact"/>
        <w:jc w:val="both"/>
        <w:rPr>
          <w:rFonts w:ascii="Times New Roman" w:hAnsi="Times New Roman"/>
          <w:color w:val="auto"/>
          <w:spacing w:val="0"/>
          <w:sz w:val="24"/>
          <w:szCs w:val="24"/>
          <w:lang w:val="en-ZA" w:eastAsia="en-ZA"/>
        </w:rPr>
      </w:pPr>
      <w:r w:rsidRPr="00714FB7">
        <w:rPr>
          <w:rFonts w:ascii="Times New Roman" w:hAnsi="Times New Roman"/>
          <w:b/>
          <w:bCs/>
          <w:color w:val="auto"/>
          <w:spacing w:val="0"/>
          <w:sz w:val="24"/>
          <w:szCs w:val="24"/>
          <w:lang w:val="en-ZA" w:eastAsia="en-ZA"/>
        </w:rPr>
        <w:t>SAMRC B</w:t>
      </w:r>
      <w:r w:rsidR="00033DE3" w:rsidRPr="00714FB7">
        <w:rPr>
          <w:rFonts w:ascii="Times New Roman" w:hAnsi="Times New Roman"/>
          <w:b/>
          <w:bCs/>
          <w:color w:val="auto"/>
          <w:spacing w:val="0"/>
          <w:sz w:val="24"/>
          <w:szCs w:val="24"/>
          <w:lang w:val="en-ZA" w:eastAsia="en-ZA"/>
        </w:rPr>
        <w:t xml:space="preserve">udget for </w:t>
      </w:r>
      <w:r w:rsidRPr="00714FB7">
        <w:rPr>
          <w:rFonts w:ascii="Times New Roman" w:hAnsi="Times New Roman"/>
          <w:b/>
          <w:bCs/>
          <w:color w:val="auto"/>
          <w:spacing w:val="0"/>
          <w:sz w:val="24"/>
          <w:szCs w:val="24"/>
          <w:lang w:val="en-ZA" w:eastAsia="en-ZA"/>
        </w:rPr>
        <w:t xml:space="preserve">2017/18 </w:t>
      </w:r>
    </w:p>
    <w:p w:rsidR="00B05F4A" w:rsidRPr="00714FB7" w:rsidRDefault="00B05F4A" w:rsidP="00B05F4A">
      <w:pPr>
        <w:autoSpaceDE w:val="0"/>
        <w:autoSpaceDN w:val="0"/>
        <w:adjustRightInd w:val="0"/>
        <w:ind w:left="360"/>
        <w:contextualSpacing/>
        <w:jc w:val="both"/>
        <w:rPr>
          <w:rFonts w:ascii="Times New Roman" w:hAnsi="Times New Roman"/>
          <w:color w:val="auto"/>
          <w:spacing w:val="0"/>
          <w:sz w:val="24"/>
          <w:szCs w:val="24"/>
          <w:lang w:val="en-ZA" w:eastAsia="en-ZA"/>
        </w:rPr>
      </w:pPr>
    </w:p>
    <w:p w:rsidR="00B05F4A" w:rsidRPr="00714FB7" w:rsidRDefault="00B05F4A" w:rsidP="00030895">
      <w:pPr>
        <w:autoSpaceDE w:val="0"/>
        <w:autoSpaceDN w:val="0"/>
        <w:adjustRightInd w:val="0"/>
        <w:spacing w:line="360" w:lineRule="auto"/>
        <w:jc w:val="both"/>
        <w:rPr>
          <w:rFonts w:ascii="Times New Roman" w:eastAsia="Calibri" w:hAnsi="Times New Roman"/>
          <w:bCs/>
          <w:color w:val="auto"/>
          <w:spacing w:val="0"/>
          <w:sz w:val="24"/>
          <w:szCs w:val="24"/>
          <w:lang w:val="en-ZA" w:eastAsia="en-US"/>
        </w:rPr>
      </w:pPr>
      <w:r w:rsidRPr="00714FB7">
        <w:rPr>
          <w:rFonts w:ascii="Times New Roman" w:hAnsi="Times New Roman"/>
          <w:color w:val="auto"/>
          <w:spacing w:val="0"/>
          <w:sz w:val="24"/>
          <w:szCs w:val="24"/>
          <w:lang w:val="en-ZA" w:eastAsia="en-ZA"/>
        </w:rPr>
        <w:t xml:space="preserve">The SAMRC’s comprehensive budget is composed of two components namely the annual baseline grants and donor funding. In 2017/18, the SAMRC's annual baseline budget will decrease by 5.2% due to the cut of R50 million in the Economic Competitiveness Support Package (ECSP) and further decrease in 2018/19 by 4.8 per cent amounting to Rl00 million. </w:t>
      </w:r>
      <w:r w:rsidRPr="00714FB7">
        <w:rPr>
          <w:rFonts w:ascii="Times New Roman" w:eastAsia="Calibri" w:hAnsi="Times New Roman"/>
          <w:color w:val="auto"/>
          <w:spacing w:val="0"/>
          <w:sz w:val="24"/>
          <w:szCs w:val="24"/>
          <w:lang w:val="en-ZA" w:eastAsia="en-US"/>
        </w:rPr>
        <w:t xml:space="preserve">The ECSP funding component is used to fund Flagship projects at an annual cost of R74 million and leverage funding agreements with likeminded research institutions in the United States (US) and the United Kingdom (UK). </w:t>
      </w:r>
      <w:r w:rsidRPr="00714FB7">
        <w:rPr>
          <w:rFonts w:ascii="Times New Roman" w:eastAsia="Calibri" w:hAnsi="Times New Roman"/>
          <w:bCs/>
          <w:color w:val="auto"/>
          <w:spacing w:val="0"/>
          <w:sz w:val="24"/>
          <w:szCs w:val="24"/>
          <w:lang w:val="en-ZA" w:eastAsia="en-US"/>
        </w:rPr>
        <w:t>The leverage funding agreements have different life terms ranging from 2 to 3 years with some having probabilities for extension. The focus of the leverage agreements is on various key health challenges facing South Africa and developing regions such as; maternal and child health, non-communicable diseases; and TB Implementation.</w:t>
      </w:r>
    </w:p>
    <w:p w:rsidR="00B05F4A" w:rsidRPr="00714FB7" w:rsidRDefault="00B05F4A" w:rsidP="00B05F4A">
      <w:pPr>
        <w:autoSpaceDE w:val="0"/>
        <w:autoSpaceDN w:val="0"/>
        <w:adjustRightInd w:val="0"/>
        <w:rPr>
          <w:rFonts w:ascii="Times New Roman" w:hAnsi="Times New Roman"/>
          <w:b/>
          <w:iCs/>
          <w:color w:val="auto"/>
          <w:spacing w:val="0"/>
          <w:sz w:val="24"/>
          <w:szCs w:val="24"/>
          <w:lang w:val="en-ZA" w:eastAsia="en-ZA"/>
        </w:rPr>
      </w:pPr>
    </w:p>
    <w:p w:rsidR="005B6F80" w:rsidRPr="00714FB7" w:rsidRDefault="00F96507" w:rsidP="003136D1">
      <w:pPr>
        <w:spacing w:line="360" w:lineRule="auto"/>
        <w:ind w:left="187"/>
        <w:jc w:val="both"/>
        <w:rPr>
          <w:rFonts w:ascii="Times New Roman" w:hAnsi="Times New Roman"/>
          <w:color w:val="auto"/>
          <w:spacing w:val="0"/>
          <w:sz w:val="24"/>
          <w:szCs w:val="24"/>
          <w:lang w:eastAsia="en-US"/>
        </w:rPr>
      </w:pPr>
      <w:r w:rsidRPr="00714FB7">
        <w:rPr>
          <w:rFonts w:ascii="Times New Roman" w:hAnsi="Times New Roman"/>
          <w:b/>
          <w:color w:val="auto"/>
          <w:spacing w:val="0"/>
          <w:sz w:val="24"/>
          <w:szCs w:val="24"/>
          <w:lang w:val="en-ZA" w:eastAsia="en-ZA"/>
        </w:rPr>
        <w:t>Table 9:</w:t>
      </w:r>
      <w:r w:rsidRPr="00714FB7">
        <w:rPr>
          <w:rFonts w:ascii="Times New Roman" w:hAnsi="Times New Roman"/>
          <w:color w:val="auto"/>
          <w:spacing w:val="0"/>
          <w:sz w:val="24"/>
          <w:szCs w:val="24"/>
          <w:lang w:val="en-ZA" w:eastAsia="en-ZA"/>
        </w:rPr>
        <w:t xml:space="preserve"> </w:t>
      </w:r>
      <w:r w:rsidRPr="00714FB7">
        <w:rPr>
          <w:rFonts w:ascii="Times New Roman" w:hAnsi="Times New Roman"/>
          <w:b/>
          <w:iCs/>
          <w:color w:val="auto"/>
          <w:spacing w:val="0"/>
          <w:sz w:val="24"/>
          <w:szCs w:val="24"/>
          <w:lang w:val="en-ZA" w:eastAsia="en-ZA"/>
        </w:rPr>
        <w:t>Budget overview across programmes</w:t>
      </w:r>
      <w:r w:rsidRPr="00714FB7">
        <w:rPr>
          <w:rFonts w:ascii="Times New Roman" w:hAnsi="Times New Roman"/>
          <w:color w:val="auto"/>
          <w:spacing w:val="0"/>
          <w:sz w:val="24"/>
          <w:szCs w:val="24"/>
          <w:lang w:eastAsia="en-US"/>
        </w:rPr>
        <w:t xml:space="preserve"> </w:t>
      </w:r>
    </w:p>
    <w:tbl>
      <w:tblPr>
        <w:tblStyle w:val="TableGrid"/>
        <w:tblW w:w="9450" w:type="dxa"/>
        <w:tblInd w:w="-5" w:type="dxa"/>
        <w:tblLook w:val="04A0" w:firstRow="1" w:lastRow="0" w:firstColumn="1" w:lastColumn="0" w:noHBand="0" w:noVBand="1"/>
      </w:tblPr>
      <w:tblGrid>
        <w:gridCol w:w="2380"/>
        <w:gridCol w:w="1231"/>
        <w:gridCol w:w="1231"/>
        <w:gridCol w:w="1231"/>
        <w:gridCol w:w="1055"/>
        <w:gridCol w:w="1139"/>
        <w:gridCol w:w="973"/>
        <w:gridCol w:w="1139"/>
        <w:gridCol w:w="973"/>
      </w:tblGrid>
      <w:tr w:rsidR="003136D1" w:rsidRPr="00714FB7" w:rsidTr="003136D1">
        <w:trPr>
          <w:trHeight w:val="770"/>
        </w:trPr>
        <w:tc>
          <w:tcPr>
            <w:tcW w:w="1669" w:type="dxa"/>
            <w:noWrap/>
            <w:hideMark/>
          </w:tcPr>
          <w:p w:rsidR="003136D1" w:rsidRPr="00714FB7" w:rsidRDefault="003136D1" w:rsidP="00E62886">
            <w:pPr>
              <w:rPr>
                <w:rFonts w:ascii="Times New Roman" w:hAnsi="Times New Roman"/>
                <w:b/>
                <w:bCs/>
                <w:sz w:val="24"/>
                <w:szCs w:val="24"/>
              </w:rPr>
            </w:pPr>
            <w:r w:rsidRPr="00714FB7">
              <w:rPr>
                <w:rFonts w:ascii="Times New Roman" w:hAnsi="Times New Roman"/>
                <w:b/>
                <w:bCs/>
                <w:sz w:val="24"/>
                <w:szCs w:val="24"/>
              </w:rPr>
              <w:t>Programme</w:t>
            </w:r>
          </w:p>
        </w:tc>
        <w:tc>
          <w:tcPr>
            <w:tcW w:w="4001" w:type="dxa"/>
            <w:gridSpan w:val="4"/>
            <w:hideMark/>
          </w:tcPr>
          <w:p w:rsidR="003136D1" w:rsidRPr="00714FB7" w:rsidRDefault="003136D1" w:rsidP="00E62886">
            <w:pPr>
              <w:rPr>
                <w:rFonts w:ascii="Times New Roman" w:hAnsi="Times New Roman"/>
                <w:b/>
                <w:bCs/>
                <w:sz w:val="24"/>
                <w:szCs w:val="24"/>
              </w:rPr>
            </w:pPr>
            <w:r w:rsidRPr="00714FB7">
              <w:rPr>
                <w:rFonts w:ascii="Times New Roman" w:hAnsi="Times New Roman"/>
                <w:b/>
                <w:bCs/>
                <w:sz w:val="24"/>
                <w:szCs w:val="24"/>
              </w:rPr>
              <w:t>Budget</w:t>
            </w:r>
          </w:p>
        </w:tc>
        <w:tc>
          <w:tcPr>
            <w:tcW w:w="1077" w:type="dxa"/>
            <w:hideMark/>
          </w:tcPr>
          <w:p w:rsidR="003136D1" w:rsidRPr="00714FB7" w:rsidRDefault="003136D1" w:rsidP="00E62886">
            <w:pPr>
              <w:rPr>
                <w:rFonts w:ascii="Times New Roman" w:hAnsi="Times New Roman"/>
                <w:b/>
                <w:bCs/>
                <w:sz w:val="24"/>
                <w:szCs w:val="24"/>
              </w:rPr>
            </w:pPr>
            <w:r w:rsidRPr="00714FB7">
              <w:rPr>
                <w:rFonts w:ascii="Times New Roman" w:hAnsi="Times New Roman"/>
                <w:b/>
                <w:bCs/>
                <w:sz w:val="24"/>
                <w:szCs w:val="24"/>
              </w:rPr>
              <w:t>Nominal Rand change</w:t>
            </w:r>
          </w:p>
        </w:tc>
        <w:tc>
          <w:tcPr>
            <w:tcW w:w="903" w:type="dxa"/>
            <w:hideMark/>
          </w:tcPr>
          <w:p w:rsidR="003136D1" w:rsidRPr="00714FB7" w:rsidRDefault="003136D1" w:rsidP="00E62886">
            <w:pPr>
              <w:rPr>
                <w:rFonts w:ascii="Times New Roman" w:hAnsi="Times New Roman"/>
                <w:b/>
                <w:bCs/>
                <w:sz w:val="24"/>
                <w:szCs w:val="24"/>
              </w:rPr>
            </w:pPr>
            <w:r w:rsidRPr="00714FB7">
              <w:rPr>
                <w:rFonts w:ascii="Times New Roman" w:hAnsi="Times New Roman"/>
                <w:b/>
                <w:bCs/>
                <w:sz w:val="24"/>
                <w:szCs w:val="24"/>
              </w:rPr>
              <w:t>Real Rand change</w:t>
            </w:r>
          </w:p>
        </w:tc>
        <w:tc>
          <w:tcPr>
            <w:tcW w:w="900" w:type="dxa"/>
            <w:hideMark/>
          </w:tcPr>
          <w:p w:rsidR="003136D1" w:rsidRPr="00714FB7" w:rsidRDefault="003136D1" w:rsidP="00E62886">
            <w:pPr>
              <w:rPr>
                <w:rFonts w:ascii="Times New Roman" w:hAnsi="Times New Roman"/>
                <w:b/>
                <w:bCs/>
                <w:sz w:val="24"/>
                <w:szCs w:val="24"/>
              </w:rPr>
            </w:pPr>
            <w:r w:rsidRPr="00714FB7">
              <w:rPr>
                <w:rFonts w:ascii="Times New Roman" w:hAnsi="Times New Roman"/>
                <w:b/>
                <w:bCs/>
                <w:sz w:val="24"/>
                <w:szCs w:val="24"/>
              </w:rPr>
              <w:t>Nominal % change</w:t>
            </w:r>
          </w:p>
        </w:tc>
        <w:tc>
          <w:tcPr>
            <w:tcW w:w="900" w:type="dxa"/>
            <w:hideMark/>
          </w:tcPr>
          <w:p w:rsidR="003136D1" w:rsidRPr="00714FB7" w:rsidRDefault="003136D1" w:rsidP="00E62886">
            <w:pPr>
              <w:rPr>
                <w:rFonts w:ascii="Times New Roman" w:hAnsi="Times New Roman"/>
                <w:b/>
                <w:bCs/>
                <w:sz w:val="24"/>
                <w:szCs w:val="24"/>
              </w:rPr>
            </w:pPr>
            <w:r w:rsidRPr="00714FB7">
              <w:rPr>
                <w:rFonts w:ascii="Times New Roman" w:hAnsi="Times New Roman"/>
                <w:b/>
                <w:bCs/>
                <w:sz w:val="24"/>
                <w:szCs w:val="24"/>
              </w:rPr>
              <w:t>Real % change</w:t>
            </w:r>
          </w:p>
        </w:tc>
      </w:tr>
      <w:tr w:rsidR="003136D1" w:rsidRPr="00714FB7" w:rsidTr="003136D1">
        <w:trPr>
          <w:trHeight w:val="272"/>
        </w:trPr>
        <w:tc>
          <w:tcPr>
            <w:tcW w:w="1669"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R million</w:t>
            </w:r>
          </w:p>
        </w:tc>
        <w:tc>
          <w:tcPr>
            <w:tcW w:w="982" w:type="dxa"/>
            <w:noWrap/>
            <w:hideMark/>
          </w:tcPr>
          <w:p w:rsidR="003136D1" w:rsidRPr="00714FB7" w:rsidRDefault="003136D1" w:rsidP="00E62886">
            <w:pPr>
              <w:rPr>
                <w:rFonts w:ascii="Times New Roman" w:hAnsi="Times New Roman"/>
                <w:b/>
                <w:bCs/>
                <w:sz w:val="24"/>
                <w:szCs w:val="24"/>
              </w:rPr>
            </w:pPr>
            <w:r w:rsidRPr="00714FB7">
              <w:rPr>
                <w:rFonts w:ascii="Times New Roman" w:hAnsi="Times New Roman"/>
                <w:b/>
                <w:bCs/>
                <w:sz w:val="24"/>
                <w:szCs w:val="24"/>
              </w:rPr>
              <w:t>2016/17</w:t>
            </w:r>
          </w:p>
        </w:tc>
        <w:tc>
          <w:tcPr>
            <w:tcW w:w="982" w:type="dxa"/>
            <w:noWrap/>
            <w:hideMark/>
          </w:tcPr>
          <w:p w:rsidR="003136D1" w:rsidRPr="00714FB7" w:rsidRDefault="003136D1" w:rsidP="00E62886">
            <w:pPr>
              <w:rPr>
                <w:rFonts w:ascii="Times New Roman" w:hAnsi="Times New Roman"/>
                <w:b/>
                <w:bCs/>
                <w:sz w:val="24"/>
                <w:szCs w:val="24"/>
              </w:rPr>
            </w:pPr>
            <w:r w:rsidRPr="00714FB7">
              <w:rPr>
                <w:rFonts w:ascii="Times New Roman" w:hAnsi="Times New Roman"/>
                <w:b/>
                <w:bCs/>
                <w:sz w:val="24"/>
                <w:szCs w:val="24"/>
              </w:rPr>
              <w:t>2017/18</w:t>
            </w:r>
          </w:p>
        </w:tc>
        <w:tc>
          <w:tcPr>
            <w:tcW w:w="982" w:type="dxa"/>
            <w:noWrap/>
            <w:hideMark/>
          </w:tcPr>
          <w:p w:rsidR="003136D1" w:rsidRPr="00714FB7" w:rsidRDefault="003136D1" w:rsidP="00E62886">
            <w:pPr>
              <w:rPr>
                <w:rFonts w:ascii="Times New Roman" w:hAnsi="Times New Roman"/>
                <w:b/>
                <w:bCs/>
                <w:sz w:val="24"/>
                <w:szCs w:val="24"/>
              </w:rPr>
            </w:pPr>
            <w:r w:rsidRPr="00714FB7">
              <w:rPr>
                <w:rFonts w:ascii="Times New Roman" w:hAnsi="Times New Roman"/>
                <w:b/>
                <w:bCs/>
                <w:sz w:val="24"/>
                <w:szCs w:val="24"/>
              </w:rPr>
              <w:t>2018/19</w:t>
            </w:r>
          </w:p>
        </w:tc>
        <w:tc>
          <w:tcPr>
            <w:tcW w:w="1055" w:type="dxa"/>
            <w:noWrap/>
            <w:hideMark/>
          </w:tcPr>
          <w:p w:rsidR="003136D1" w:rsidRPr="00714FB7" w:rsidRDefault="003136D1" w:rsidP="00E62886">
            <w:pPr>
              <w:rPr>
                <w:rFonts w:ascii="Times New Roman" w:hAnsi="Times New Roman"/>
                <w:b/>
                <w:bCs/>
                <w:sz w:val="24"/>
                <w:szCs w:val="24"/>
              </w:rPr>
            </w:pPr>
            <w:r w:rsidRPr="00714FB7">
              <w:rPr>
                <w:rFonts w:ascii="Times New Roman" w:hAnsi="Times New Roman"/>
                <w:b/>
                <w:bCs/>
                <w:sz w:val="24"/>
                <w:szCs w:val="24"/>
              </w:rPr>
              <w:t>2019/20</w:t>
            </w:r>
          </w:p>
        </w:tc>
        <w:tc>
          <w:tcPr>
            <w:tcW w:w="1980" w:type="dxa"/>
            <w:gridSpan w:val="2"/>
            <w:noWrap/>
            <w:hideMark/>
          </w:tcPr>
          <w:p w:rsidR="003136D1" w:rsidRPr="00714FB7" w:rsidRDefault="003136D1" w:rsidP="00E62886">
            <w:pPr>
              <w:rPr>
                <w:rFonts w:ascii="Times New Roman" w:hAnsi="Times New Roman"/>
                <w:b/>
                <w:bCs/>
                <w:sz w:val="24"/>
                <w:szCs w:val="24"/>
              </w:rPr>
            </w:pPr>
            <w:r w:rsidRPr="00714FB7">
              <w:rPr>
                <w:rFonts w:ascii="Times New Roman" w:hAnsi="Times New Roman"/>
                <w:b/>
                <w:bCs/>
                <w:sz w:val="24"/>
                <w:szCs w:val="24"/>
              </w:rPr>
              <w:t xml:space="preserve"> 2016/17-2017/18</w:t>
            </w:r>
          </w:p>
        </w:tc>
        <w:tc>
          <w:tcPr>
            <w:tcW w:w="1800" w:type="dxa"/>
            <w:gridSpan w:val="2"/>
            <w:noWrap/>
            <w:hideMark/>
          </w:tcPr>
          <w:p w:rsidR="003136D1" w:rsidRPr="00714FB7" w:rsidRDefault="003136D1" w:rsidP="00E62886">
            <w:pPr>
              <w:rPr>
                <w:rFonts w:ascii="Times New Roman" w:hAnsi="Times New Roman"/>
                <w:b/>
                <w:bCs/>
                <w:sz w:val="24"/>
                <w:szCs w:val="24"/>
              </w:rPr>
            </w:pPr>
            <w:r w:rsidRPr="00714FB7">
              <w:rPr>
                <w:rFonts w:ascii="Times New Roman" w:hAnsi="Times New Roman"/>
                <w:b/>
                <w:bCs/>
                <w:sz w:val="24"/>
                <w:szCs w:val="24"/>
              </w:rPr>
              <w:t xml:space="preserve"> 2016/17-2017/18</w:t>
            </w:r>
          </w:p>
        </w:tc>
      </w:tr>
      <w:tr w:rsidR="003136D1" w:rsidRPr="00714FB7" w:rsidTr="003136D1">
        <w:trPr>
          <w:trHeight w:val="272"/>
        </w:trPr>
        <w:tc>
          <w:tcPr>
            <w:tcW w:w="1669"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ADMINISTRATION</w:t>
            </w:r>
          </w:p>
        </w:tc>
        <w:tc>
          <w:tcPr>
            <w:tcW w:w="982"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182 450</w:t>
            </w:r>
          </w:p>
        </w:tc>
        <w:tc>
          <w:tcPr>
            <w:tcW w:w="982"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199 232</w:t>
            </w:r>
          </w:p>
        </w:tc>
        <w:tc>
          <w:tcPr>
            <w:tcW w:w="982"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214 799</w:t>
            </w:r>
          </w:p>
        </w:tc>
        <w:tc>
          <w:tcPr>
            <w:tcW w:w="1055"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228 466</w:t>
            </w:r>
          </w:p>
        </w:tc>
        <w:tc>
          <w:tcPr>
            <w:tcW w:w="1077"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 xml:space="preserve"> 16 782</w:t>
            </w:r>
          </w:p>
        </w:tc>
        <w:tc>
          <w:tcPr>
            <w:tcW w:w="903"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 xml:space="preserve"> 4 974</w:t>
            </w:r>
          </w:p>
        </w:tc>
        <w:tc>
          <w:tcPr>
            <w:tcW w:w="900" w:type="dxa"/>
            <w:noWrap/>
            <w:hideMark/>
          </w:tcPr>
          <w:p w:rsidR="003136D1" w:rsidRPr="00714FB7" w:rsidRDefault="003136D1" w:rsidP="003136D1">
            <w:pPr>
              <w:rPr>
                <w:rFonts w:ascii="Times New Roman" w:hAnsi="Times New Roman"/>
                <w:sz w:val="24"/>
                <w:szCs w:val="24"/>
              </w:rPr>
            </w:pPr>
            <w:r w:rsidRPr="00714FB7">
              <w:rPr>
                <w:rFonts w:ascii="Times New Roman" w:hAnsi="Times New Roman"/>
                <w:sz w:val="24"/>
                <w:szCs w:val="24"/>
              </w:rPr>
              <w:t>9,20%</w:t>
            </w:r>
          </w:p>
        </w:tc>
        <w:tc>
          <w:tcPr>
            <w:tcW w:w="900" w:type="dxa"/>
            <w:noWrap/>
            <w:hideMark/>
          </w:tcPr>
          <w:p w:rsidR="003136D1" w:rsidRPr="00714FB7" w:rsidRDefault="003136D1" w:rsidP="003136D1">
            <w:pPr>
              <w:rPr>
                <w:rFonts w:ascii="Times New Roman" w:hAnsi="Times New Roman"/>
                <w:sz w:val="24"/>
                <w:szCs w:val="24"/>
              </w:rPr>
            </w:pPr>
            <w:r w:rsidRPr="00714FB7">
              <w:rPr>
                <w:rFonts w:ascii="Times New Roman" w:hAnsi="Times New Roman"/>
                <w:sz w:val="24"/>
                <w:szCs w:val="24"/>
              </w:rPr>
              <w:t>2,73%</w:t>
            </w:r>
          </w:p>
        </w:tc>
      </w:tr>
      <w:tr w:rsidR="003136D1" w:rsidRPr="00714FB7" w:rsidTr="003136D1">
        <w:trPr>
          <w:trHeight w:val="272"/>
        </w:trPr>
        <w:tc>
          <w:tcPr>
            <w:tcW w:w="1669"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CORE RESEARCH</w:t>
            </w:r>
          </w:p>
        </w:tc>
        <w:tc>
          <w:tcPr>
            <w:tcW w:w="982"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603 212</w:t>
            </w:r>
          </w:p>
        </w:tc>
        <w:tc>
          <w:tcPr>
            <w:tcW w:w="982"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603 247</w:t>
            </w:r>
          </w:p>
        </w:tc>
        <w:tc>
          <w:tcPr>
            <w:tcW w:w="982"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559 907</w:t>
            </w:r>
          </w:p>
        </w:tc>
        <w:tc>
          <w:tcPr>
            <w:tcW w:w="1055"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534 311</w:t>
            </w:r>
          </w:p>
        </w:tc>
        <w:tc>
          <w:tcPr>
            <w:tcW w:w="1077"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 xml:space="preserve">  35.0</w:t>
            </w:r>
          </w:p>
        </w:tc>
        <w:tc>
          <w:tcPr>
            <w:tcW w:w="903"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- 35 717</w:t>
            </w:r>
          </w:p>
        </w:tc>
        <w:tc>
          <w:tcPr>
            <w:tcW w:w="900" w:type="dxa"/>
            <w:noWrap/>
            <w:hideMark/>
          </w:tcPr>
          <w:p w:rsidR="003136D1" w:rsidRPr="00714FB7" w:rsidRDefault="003136D1" w:rsidP="003136D1">
            <w:pPr>
              <w:rPr>
                <w:rFonts w:ascii="Times New Roman" w:hAnsi="Times New Roman"/>
                <w:sz w:val="24"/>
                <w:szCs w:val="24"/>
              </w:rPr>
            </w:pPr>
            <w:r w:rsidRPr="00714FB7">
              <w:rPr>
                <w:rFonts w:ascii="Times New Roman" w:hAnsi="Times New Roman"/>
                <w:sz w:val="24"/>
                <w:szCs w:val="24"/>
              </w:rPr>
              <w:t>0,01%</w:t>
            </w:r>
          </w:p>
        </w:tc>
        <w:tc>
          <w:tcPr>
            <w:tcW w:w="900" w:type="dxa"/>
            <w:noWrap/>
            <w:hideMark/>
          </w:tcPr>
          <w:p w:rsidR="003136D1" w:rsidRPr="00714FB7" w:rsidRDefault="003136D1" w:rsidP="003136D1">
            <w:pPr>
              <w:rPr>
                <w:rFonts w:ascii="Times New Roman" w:hAnsi="Times New Roman"/>
                <w:sz w:val="24"/>
                <w:szCs w:val="24"/>
              </w:rPr>
            </w:pPr>
            <w:r w:rsidRPr="00714FB7">
              <w:rPr>
                <w:rFonts w:ascii="Times New Roman" w:hAnsi="Times New Roman"/>
                <w:sz w:val="24"/>
                <w:szCs w:val="24"/>
              </w:rPr>
              <w:t>-5,92%</w:t>
            </w:r>
          </w:p>
        </w:tc>
      </w:tr>
      <w:tr w:rsidR="003136D1" w:rsidRPr="00714FB7" w:rsidTr="003136D1">
        <w:trPr>
          <w:trHeight w:val="272"/>
        </w:trPr>
        <w:tc>
          <w:tcPr>
            <w:tcW w:w="1669"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INNOVATION &amp; TECHNOLOGY</w:t>
            </w:r>
          </w:p>
        </w:tc>
        <w:tc>
          <w:tcPr>
            <w:tcW w:w="982"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199 598</w:t>
            </w:r>
          </w:p>
        </w:tc>
        <w:tc>
          <w:tcPr>
            <w:tcW w:w="982"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190 992</w:t>
            </w:r>
          </w:p>
        </w:tc>
        <w:tc>
          <w:tcPr>
            <w:tcW w:w="982"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168 230</w:t>
            </w:r>
          </w:p>
        </w:tc>
        <w:tc>
          <w:tcPr>
            <w:tcW w:w="1055"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215 254</w:t>
            </w:r>
          </w:p>
        </w:tc>
        <w:tc>
          <w:tcPr>
            <w:tcW w:w="1077"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- 8 606</w:t>
            </w:r>
          </w:p>
        </w:tc>
        <w:tc>
          <w:tcPr>
            <w:tcW w:w="903"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- 19 925</w:t>
            </w:r>
          </w:p>
        </w:tc>
        <w:tc>
          <w:tcPr>
            <w:tcW w:w="900"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-4,31%</w:t>
            </w:r>
          </w:p>
        </w:tc>
        <w:tc>
          <w:tcPr>
            <w:tcW w:w="900" w:type="dxa"/>
            <w:noWrap/>
            <w:hideMark/>
          </w:tcPr>
          <w:p w:rsidR="003136D1" w:rsidRPr="00714FB7" w:rsidRDefault="003136D1" w:rsidP="003136D1">
            <w:pPr>
              <w:rPr>
                <w:rFonts w:ascii="Times New Roman" w:hAnsi="Times New Roman"/>
                <w:sz w:val="24"/>
                <w:szCs w:val="24"/>
              </w:rPr>
            </w:pPr>
            <w:r w:rsidRPr="00714FB7">
              <w:rPr>
                <w:rFonts w:ascii="Times New Roman" w:hAnsi="Times New Roman"/>
                <w:sz w:val="24"/>
                <w:szCs w:val="24"/>
              </w:rPr>
              <w:t>-9,98%</w:t>
            </w:r>
          </w:p>
        </w:tc>
      </w:tr>
      <w:tr w:rsidR="003136D1" w:rsidRPr="00714FB7" w:rsidTr="003136D1">
        <w:trPr>
          <w:trHeight w:val="272"/>
        </w:trPr>
        <w:tc>
          <w:tcPr>
            <w:tcW w:w="1669"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CAPACITY DEVELOPMENT</w:t>
            </w:r>
          </w:p>
        </w:tc>
        <w:tc>
          <w:tcPr>
            <w:tcW w:w="982"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50 484,0</w:t>
            </w:r>
          </w:p>
        </w:tc>
        <w:tc>
          <w:tcPr>
            <w:tcW w:w="982"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58 153</w:t>
            </w:r>
          </w:p>
        </w:tc>
        <w:tc>
          <w:tcPr>
            <w:tcW w:w="982"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58 807</w:t>
            </w:r>
          </w:p>
        </w:tc>
        <w:tc>
          <w:tcPr>
            <w:tcW w:w="1055"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55 160</w:t>
            </w:r>
          </w:p>
        </w:tc>
        <w:tc>
          <w:tcPr>
            <w:tcW w:w="1077"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 xml:space="preserve"> 7 669</w:t>
            </w:r>
          </w:p>
        </w:tc>
        <w:tc>
          <w:tcPr>
            <w:tcW w:w="903"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 xml:space="preserve"> 4 223</w:t>
            </w:r>
          </w:p>
        </w:tc>
        <w:tc>
          <w:tcPr>
            <w:tcW w:w="900" w:type="dxa"/>
            <w:noWrap/>
            <w:hideMark/>
          </w:tcPr>
          <w:p w:rsidR="003136D1" w:rsidRPr="00714FB7" w:rsidRDefault="003136D1" w:rsidP="00E62886">
            <w:pPr>
              <w:rPr>
                <w:rFonts w:ascii="Times New Roman" w:hAnsi="Times New Roman"/>
                <w:sz w:val="24"/>
                <w:szCs w:val="24"/>
              </w:rPr>
            </w:pPr>
            <w:r w:rsidRPr="00714FB7">
              <w:rPr>
                <w:rFonts w:ascii="Times New Roman" w:hAnsi="Times New Roman"/>
                <w:sz w:val="24"/>
                <w:szCs w:val="24"/>
              </w:rPr>
              <w:t>15,19%</w:t>
            </w:r>
          </w:p>
        </w:tc>
        <w:tc>
          <w:tcPr>
            <w:tcW w:w="900" w:type="dxa"/>
            <w:noWrap/>
            <w:hideMark/>
          </w:tcPr>
          <w:p w:rsidR="003136D1" w:rsidRPr="00714FB7" w:rsidRDefault="003136D1" w:rsidP="003136D1">
            <w:pPr>
              <w:rPr>
                <w:rFonts w:ascii="Times New Roman" w:hAnsi="Times New Roman"/>
                <w:sz w:val="24"/>
                <w:szCs w:val="24"/>
              </w:rPr>
            </w:pPr>
            <w:r w:rsidRPr="00714FB7">
              <w:rPr>
                <w:rFonts w:ascii="Times New Roman" w:hAnsi="Times New Roman"/>
                <w:sz w:val="24"/>
                <w:szCs w:val="24"/>
              </w:rPr>
              <w:t>8,36%</w:t>
            </w:r>
          </w:p>
        </w:tc>
      </w:tr>
      <w:tr w:rsidR="003136D1" w:rsidRPr="00714FB7" w:rsidTr="003136D1">
        <w:trPr>
          <w:trHeight w:val="272"/>
        </w:trPr>
        <w:tc>
          <w:tcPr>
            <w:tcW w:w="1669" w:type="dxa"/>
            <w:noWrap/>
            <w:hideMark/>
          </w:tcPr>
          <w:p w:rsidR="003136D1" w:rsidRPr="00714FB7" w:rsidRDefault="003136D1" w:rsidP="00E62886">
            <w:pPr>
              <w:rPr>
                <w:rFonts w:ascii="Times New Roman" w:hAnsi="Times New Roman"/>
                <w:b/>
                <w:bCs/>
                <w:sz w:val="24"/>
                <w:szCs w:val="24"/>
              </w:rPr>
            </w:pPr>
            <w:r w:rsidRPr="00714FB7">
              <w:rPr>
                <w:rFonts w:ascii="Times New Roman" w:hAnsi="Times New Roman"/>
                <w:b/>
                <w:bCs/>
                <w:sz w:val="24"/>
                <w:szCs w:val="24"/>
              </w:rPr>
              <w:t>TOTAL</w:t>
            </w:r>
          </w:p>
        </w:tc>
        <w:tc>
          <w:tcPr>
            <w:tcW w:w="982" w:type="dxa"/>
            <w:noWrap/>
            <w:hideMark/>
          </w:tcPr>
          <w:p w:rsidR="003136D1" w:rsidRPr="00714FB7" w:rsidRDefault="003136D1" w:rsidP="00E62886">
            <w:pPr>
              <w:rPr>
                <w:rFonts w:ascii="Times New Roman" w:hAnsi="Times New Roman"/>
                <w:b/>
                <w:bCs/>
                <w:sz w:val="24"/>
                <w:szCs w:val="24"/>
              </w:rPr>
            </w:pPr>
            <w:r w:rsidRPr="00714FB7">
              <w:rPr>
                <w:rFonts w:ascii="Times New Roman" w:hAnsi="Times New Roman"/>
                <w:b/>
                <w:bCs/>
                <w:sz w:val="24"/>
                <w:szCs w:val="24"/>
              </w:rPr>
              <w:t>1,035,744</w:t>
            </w:r>
          </w:p>
        </w:tc>
        <w:tc>
          <w:tcPr>
            <w:tcW w:w="982" w:type="dxa"/>
            <w:noWrap/>
            <w:hideMark/>
          </w:tcPr>
          <w:p w:rsidR="003136D1" w:rsidRPr="00714FB7" w:rsidRDefault="003136D1" w:rsidP="00E62886">
            <w:pPr>
              <w:rPr>
                <w:rFonts w:ascii="Times New Roman" w:hAnsi="Times New Roman"/>
                <w:b/>
                <w:bCs/>
                <w:sz w:val="24"/>
                <w:szCs w:val="24"/>
              </w:rPr>
            </w:pPr>
            <w:r w:rsidRPr="00714FB7">
              <w:rPr>
                <w:rFonts w:ascii="Times New Roman" w:hAnsi="Times New Roman"/>
                <w:b/>
                <w:bCs/>
                <w:sz w:val="24"/>
                <w:szCs w:val="24"/>
              </w:rPr>
              <w:t>1,051,624</w:t>
            </w:r>
          </w:p>
        </w:tc>
        <w:tc>
          <w:tcPr>
            <w:tcW w:w="982" w:type="dxa"/>
            <w:noWrap/>
            <w:hideMark/>
          </w:tcPr>
          <w:p w:rsidR="003136D1" w:rsidRPr="00714FB7" w:rsidRDefault="003136D1" w:rsidP="00E62886">
            <w:pPr>
              <w:rPr>
                <w:rFonts w:ascii="Times New Roman" w:hAnsi="Times New Roman"/>
                <w:b/>
                <w:sz w:val="24"/>
                <w:szCs w:val="24"/>
              </w:rPr>
            </w:pPr>
            <w:r w:rsidRPr="00714FB7">
              <w:rPr>
                <w:rFonts w:ascii="Times New Roman" w:hAnsi="Times New Roman"/>
                <w:b/>
                <w:sz w:val="24"/>
                <w:szCs w:val="24"/>
              </w:rPr>
              <w:t>1,001,743</w:t>
            </w:r>
          </w:p>
        </w:tc>
        <w:tc>
          <w:tcPr>
            <w:tcW w:w="1055" w:type="dxa"/>
            <w:noWrap/>
            <w:hideMark/>
          </w:tcPr>
          <w:p w:rsidR="003136D1" w:rsidRPr="00714FB7" w:rsidRDefault="003136D1" w:rsidP="00E62886">
            <w:pPr>
              <w:rPr>
                <w:rFonts w:ascii="Times New Roman" w:hAnsi="Times New Roman"/>
                <w:b/>
                <w:sz w:val="24"/>
                <w:szCs w:val="24"/>
              </w:rPr>
            </w:pPr>
            <w:r w:rsidRPr="00714FB7">
              <w:rPr>
                <w:rFonts w:ascii="Times New Roman" w:hAnsi="Times New Roman"/>
                <w:b/>
                <w:sz w:val="24"/>
                <w:szCs w:val="24"/>
              </w:rPr>
              <w:t>1,033 191</w:t>
            </w:r>
          </w:p>
        </w:tc>
        <w:tc>
          <w:tcPr>
            <w:tcW w:w="1077" w:type="dxa"/>
            <w:noWrap/>
            <w:hideMark/>
          </w:tcPr>
          <w:p w:rsidR="003136D1" w:rsidRPr="00714FB7" w:rsidRDefault="003136D1" w:rsidP="00E62886">
            <w:pPr>
              <w:rPr>
                <w:rFonts w:ascii="Times New Roman" w:hAnsi="Times New Roman"/>
                <w:b/>
                <w:bCs/>
                <w:sz w:val="24"/>
                <w:szCs w:val="24"/>
              </w:rPr>
            </w:pPr>
            <w:r w:rsidRPr="00714FB7">
              <w:rPr>
                <w:rFonts w:ascii="Times New Roman" w:hAnsi="Times New Roman"/>
                <w:b/>
                <w:bCs/>
                <w:sz w:val="24"/>
                <w:szCs w:val="24"/>
              </w:rPr>
              <w:t xml:space="preserve"> 15 880</w:t>
            </w:r>
          </w:p>
        </w:tc>
        <w:tc>
          <w:tcPr>
            <w:tcW w:w="903" w:type="dxa"/>
            <w:noWrap/>
            <w:hideMark/>
          </w:tcPr>
          <w:p w:rsidR="003136D1" w:rsidRPr="00714FB7" w:rsidRDefault="003136D1" w:rsidP="00E62886">
            <w:pPr>
              <w:rPr>
                <w:rFonts w:ascii="Times New Roman" w:hAnsi="Times New Roman"/>
                <w:b/>
                <w:bCs/>
                <w:sz w:val="24"/>
                <w:szCs w:val="24"/>
              </w:rPr>
            </w:pPr>
            <w:r w:rsidRPr="00714FB7">
              <w:rPr>
                <w:rFonts w:ascii="Times New Roman" w:hAnsi="Times New Roman"/>
                <w:b/>
                <w:bCs/>
                <w:sz w:val="24"/>
                <w:szCs w:val="24"/>
              </w:rPr>
              <w:t>- 46 445</w:t>
            </w:r>
          </w:p>
        </w:tc>
        <w:tc>
          <w:tcPr>
            <w:tcW w:w="900" w:type="dxa"/>
            <w:noWrap/>
            <w:hideMark/>
          </w:tcPr>
          <w:p w:rsidR="003136D1" w:rsidRPr="00714FB7" w:rsidRDefault="003136D1" w:rsidP="00E62886">
            <w:pPr>
              <w:rPr>
                <w:rFonts w:ascii="Times New Roman" w:hAnsi="Times New Roman"/>
                <w:b/>
                <w:bCs/>
                <w:sz w:val="24"/>
                <w:szCs w:val="24"/>
              </w:rPr>
            </w:pPr>
            <w:r w:rsidRPr="00714FB7">
              <w:rPr>
                <w:rFonts w:ascii="Times New Roman" w:hAnsi="Times New Roman"/>
                <w:b/>
                <w:bCs/>
                <w:sz w:val="24"/>
                <w:szCs w:val="24"/>
              </w:rPr>
              <w:t>1,53%</w:t>
            </w:r>
          </w:p>
        </w:tc>
        <w:tc>
          <w:tcPr>
            <w:tcW w:w="900" w:type="dxa"/>
            <w:noWrap/>
            <w:hideMark/>
          </w:tcPr>
          <w:p w:rsidR="003136D1" w:rsidRPr="00714FB7" w:rsidRDefault="003136D1" w:rsidP="003136D1">
            <w:pPr>
              <w:rPr>
                <w:rFonts w:ascii="Times New Roman" w:hAnsi="Times New Roman"/>
                <w:b/>
                <w:bCs/>
                <w:sz w:val="24"/>
                <w:szCs w:val="24"/>
              </w:rPr>
            </w:pPr>
            <w:r w:rsidRPr="00714FB7">
              <w:rPr>
                <w:rFonts w:ascii="Times New Roman" w:hAnsi="Times New Roman"/>
                <w:b/>
                <w:bCs/>
                <w:sz w:val="24"/>
                <w:szCs w:val="24"/>
              </w:rPr>
              <w:t>-4,48%</w:t>
            </w:r>
          </w:p>
        </w:tc>
      </w:tr>
    </w:tbl>
    <w:p w:rsidR="00B05F4A" w:rsidRPr="00714FB7" w:rsidRDefault="00CA19A7" w:rsidP="00B05F4A">
      <w:pPr>
        <w:jc w:val="both"/>
        <w:rPr>
          <w:rFonts w:ascii="Times New Roman" w:eastAsia="Calibri" w:hAnsi="Times New Roman"/>
          <w:color w:val="auto"/>
          <w:spacing w:val="0"/>
          <w:sz w:val="24"/>
          <w:szCs w:val="24"/>
          <w:lang w:val="en-ZA" w:eastAsia="en-US"/>
        </w:rPr>
      </w:pPr>
      <w:r w:rsidRPr="00714FB7">
        <w:rPr>
          <w:rFonts w:ascii="Times New Roman" w:hAnsi="Times New Roman"/>
          <w:color w:val="auto"/>
          <w:spacing w:val="0"/>
          <w:sz w:val="24"/>
          <w:szCs w:val="24"/>
          <w:lang w:eastAsia="en-US"/>
        </w:rPr>
        <w:t xml:space="preserve"> </w:t>
      </w:r>
      <w:r w:rsidR="00B05F4A" w:rsidRPr="00714FB7">
        <w:rPr>
          <w:rFonts w:ascii="Times New Roman" w:hAnsi="Times New Roman"/>
          <w:color w:val="auto"/>
          <w:spacing w:val="0"/>
          <w:sz w:val="24"/>
          <w:szCs w:val="24"/>
          <w:lang w:eastAsia="en-US"/>
        </w:rPr>
        <w:fldChar w:fldCharType="begin"/>
      </w:r>
      <w:r w:rsidR="00B05F4A" w:rsidRPr="00714FB7">
        <w:rPr>
          <w:rFonts w:ascii="Times New Roman" w:hAnsi="Times New Roman"/>
          <w:color w:val="auto"/>
          <w:spacing w:val="0"/>
          <w:sz w:val="24"/>
          <w:szCs w:val="24"/>
          <w:lang w:eastAsia="en-US"/>
        </w:rPr>
        <w:instrText xml:space="preserve"> LINK Excel.Sheet.12 "C:\\Users\\mmncwabe\\AppData\\Local\\Temp\\XPgrpwise\\2.Budget Table.Committee.Overall Budget 2017.xlsx" "variance analysis 1!R2C1:R9C7" \a \f 5 \h  \* MERGEFORMAT </w:instrText>
      </w:r>
      <w:r w:rsidR="00B05F4A" w:rsidRPr="00714FB7">
        <w:rPr>
          <w:rFonts w:ascii="Times New Roman" w:hAnsi="Times New Roman"/>
          <w:color w:val="auto"/>
          <w:spacing w:val="0"/>
          <w:sz w:val="24"/>
          <w:szCs w:val="24"/>
          <w:lang w:eastAsia="en-US"/>
        </w:rPr>
        <w:fldChar w:fldCharType="separate"/>
      </w:r>
    </w:p>
    <w:p w:rsidR="00B05F4A" w:rsidRPr="00714FB7" w:rsidRDefault="00B05F4A" w:rsidP="003136D1">
      <w:pPr>
        <w:spacing w:line="360" w:lineRule="auto"/>
        <w:jc w:val="both"/>
        <w:rPr>
          <w:rFonts w:ascii="Times New Roman" w:eastAsia="Calibri" w:hAnsi="Times New Roman"/>
          <w:color w:val="auto"/>
          <w:spacing w:val="0"/>
          <w:sz w:val="24"/>
          <w:szCs w:val="24"/>
          <w:lang w:val="en-ZA" w:eastAsia="en-US"/>
        </w:rPr>
      </w:pPr>
      <w:r w:rsidRPr="00714FB7">
        <w:rPr>
          <w:rFonts w:ascii="Times New Roman" w:hAnsi="Times New Roman"/>
          <w:color w:val="auto"/>
          <w:spacing w:val="0"/>
          <w:sz w:val="24"/>
          <w:szCs w:val="24"/>
          <w:lang w:eastAsia="en-US"/>
        </w:rPr>
        <w:fldChar w:fldCharType="end"/>
      </w:r>
      <w:r w:rsidRPr="00714FB7">
        <w:rPr>
          <w:rFonts w:ascii="Times New Roman" w:eastAsia="Calibri" w:hAnsi="Times New Roman"/>
          <w:color w:val="auto"/>
          <w:spacing w:val="0"/>
          <w:sz w:val="24"/>
          <w:szCs w:val="24"/>
          <w:lang w:val="en-ZA" w:eastAsia="en-US"/>
        </w:rPr>
        <w:t xml:space="preserve">In respect to Table </w:t>
      </w:r>
      <w:r w:rsidR="005B6F80" w:rsidRPr="00714FB7">
        <w:rPr>
          <w:rFonts w:ascii="Times New Roman" w:eastAsia="Calibri" w:hAnsi="Times New Roman"/>
          <w:color w:val="auto"/>
          <w:spacing w:val="0"/>
          <w:sz w:val="24"/>
          <w:szCs w:val="24"/>
          <w:lang w:val="en-ZA" w:eastAsia="en-US"/>
        </w:rPr>
        <w:t>9</w:t>
      </w:r>
      <w:r w:rsidRPr="00714FB7">
        <w:rPr>
          <w:rFonts w:ascii="Times New Roman" w:eastAsia="Calibri" w:hAnsi="Times New Roman"/>
          <w:color w:val="auto"/>
          <w:spacing w:val="0"/>
          <w:sz w:val="24"/>
          <w:szCs w:val="24"/>
          <w:lang w:val="en-ZA" w:eastAsia="en-US"/>
        </w:rPr>
        <w:t>, the total budget allocation for SAMRC in 2016/17 was R1</w:t>
      </w:r>
      <w:r w:rsidR="00FA4166" w:rsidRPr="00714FB7">
        <w:rPr>
          <w:rFonts w:ascii="Times New Roman" w:eastAsia="Calibri" w:hAnsi="Times New Roman"/>
          <w:color w:val="auto"/>
          <w:spacing w:val="0"/>
          <w:sz w:val="24"/>
          <w:szCs w:val="24"/>
          <w:lang w:val="en-ZA" w:eastAsia="en-US"/>
        </w:rPr>
        <w:t xml:space="preserve">.036 </w:t>
      </w:r>
      <w:r w:rsidRPr="00714FB7">
        <w:rPr>
          <w:rFonts w:ascii="Times New Roman" w:eastAsia="Calibri" w:hAnsi="Times New Roman"/>
          <w:color w:val="auto"/>
          <w:spacing w:val="0"/>
          <w:sz w:val="24"/>
          <w:szCs w:val="24"/>
          <w:lang w:val="en-ZA" w:eastAsia="en-US"/>
        </w:rPr>
        <w:t>billion, in 2017/18, the budget allocation has been marginally increased to R1</w:t>
      </w:r>
      <w:r w:rsidR="00FA4166" w:rsidRPr="00714FB7">
        <w:rPr>
          <w:rFonts w:ascii="Times New Roman" w:eastAsia="Calibri" w:hAnsi="Times New Roman"/>
          <w:color w:val="auto"/>
          <w:spacing w:val="0"/>
          <w:sz w:val="24"/>
          <w:szCs w:val="24"/>
          <w:lang w:val="en-ZA" w:eastAsia="en-US"/>
        </w:rPr>
        <w:t>.</w:t>
      </w:r>
      <w:r w:rsidRPr="00714FB7">
        <w:rPr>
          <w:rFonts w:ascii="Times New Roman" w:eastAsia="Calibri" w:hAnsi="Times New Roman"/>
          <w:color w:val="auto"/>
          <w:spacing w:val="0"/>
          <w:sz w:val="24"/>
          <w:szCs w:val="24"/>
          <w:lang w:val="en-ZA" w:eastAsia="en-US"/>
        </w:rPr>
        <w:t>05</w:t>
      </w:r>
      <w:r w:rsidR="00FA4166" w:rsidRPr="00714FB7">
        <w:rPr>
          <w:rFonts w:ascii="Times New Roman" w:eastAsia="Calibri" w:hAnsi="Times New Roman"/>
          <w:color w:val="auto"/>
          <w:spacing w:val="0"/>
          <w:sz w:val="24"/>
          <w:szCs w:val="24"/>
          <w:lang w:val="en-ZA" w:eastAsia="en-US"/>
        </w:rPr>
        <w:t>1</w:t>
      </w:r>
      <w:r w:rsidRPr="00714FB7">
        <w:rPr>
          <w:rFonts w:ascii="Times New Roman" w:eastAsia="Calibri" w:hAnsi="Times New Roman"/>
          <w:color w:val="auto"/>
          <w:spacing w:val="0"/>
          <w:sz w:val="24"/>
          <w:szCs w:val="24"/>
          <w:lang w:val="en-ZA" w:eastAsia="en-US"/>
        </w:rPr>
        <w:t xml:space="preserve"> billion. The difference from the 2016/17 and 2017/18 allocation is R15.8 million. In 2017/18, the Core Research</w:t>
      </w:r>
      <w:r w:rsidRPr="00714FB7">
        <w:rPr>
          <w:rFonts w:ascii="Times New Roman" w:eastAsia="Calibri" w:hAnsi="Times New Roman"/>
          <w:b/>
          <w:color w:val="auto"/>
          <w:spacing w:val="0"/>
          <w:sz w:val="24"/>
          <w:szCs w:val="24"/>
          <w:lang w:val="en-ZA" w:eastAsia="en-US"/>
        </w:rPr>
        <w:t xml:space="preserve"> </w:t>
      </w:r>
      <w:r w:rsidRPr="00714FB7">
        <w:rPr>
          <w:rFonts w:ascii="Times New Roman" w:eastAsia="Calibri" w:hAnsi="Times New Roman"/>
          <w:color w:val="auto"/>
          <w:spacing w:val="0"/>
          <w:sz w:val="24"/>
          <w:szCs w:val="24"/>
          <w:lang w:val="en-ZA" w:eastAsia="en-US"/>
        </w:rPr>
        <w:t>programme will suffer a real decrease of a negative R35</w:t>
      </w:r>
      <w:r w:rsidR="00E43DF5" w:rsidRPr="00714FB7">
        <w:rPr>
          <w:rFonts w:ascii="Times New Roman" w:eastAsia="Calibri" w:hAnsi="Times New Roman"/>
          <w:color w:val="auto"/>
          <w:spacing w:val="0"/>
          <w:sz w:val="24"/>
          <w:szCs w:val="24"/>
          <w:lang w:val="en-ZA" w:eastAsia="en-US"/>
        </w:rPr>
        <w:t>.</w:t>
      </w:r>
      <w:r w:rsidRPr="00714FB7">
        <w:rPr>
          <w:rFonts w:ascii="Times New Roman" w:eastAsia="Calibri" w:hAnsi="Times New Roman"/>
          <w:color w:val="auto"/>
          <w:spacing w:val="0"/>
          <w:sz w:val="24"/>
          <w:szCs w:val="24"/>
          <w:lang w:val="en-ZA" w:eastAsia="en-US"/>
        </w:rPr>
        <w:t>7 million, which translates into a real percentage decrease of a negative 5</w:t>
      </w:r>
      <w:r w:rsidR="00E43DF5" w:rsidRPr="00714FB7">
        <w:rPr>
          <w:rFonts w:ascii="Times New Roman" w:eastAsia="Calibri" w:hAnsi="Times New Roman"/>
          <w:color w:val="auto"/>
          <w:spacing w:val="0"/>
          <w:sz w:val="24"/>
          <w:szCs w:val="24"/>
          <w:lang w:val="en-ZA" w:eastAsia="en-US"/>
        </w:rPr>
        <w:t>.</w:t>
      </w:r>
      <w:r w:rsidRPr="00714FB7">
        <w:rPr>
          <w:rFonts w:ascii="Times New Roman" w:eastAsia="Calibri" w:hAnsi="Times New Roman"/>
          <w:color w:val="auto"/>
          <w:spacing w:val="0"/>
          <w:sz w:val="24"/>
          <w:szCs w:val="24"/>
          <w:lang w:val="en-ZA" w:eastAsia="en-US"/>
        </w:rPr>
        <w:t xml:space="preserve">92 per cent. </w:t>
      </w:r>
    </w:p>
    <w:p w:rsidR="00B05F4A" w:rsidRPr="00714FB7" w:rsidRDefault="00B05F4A" w:rsidP="003136D1">
      <w:pPr>
        <w:autoSpaceDE w:val="0"/>
        <w:autoSpaceDN w:val="0"/>
        <w:adjustRightInd w:val="0"/>
        <w:spacing w:line="360" w:lineRule="auto"/>
        <w:contextualSpacing/>
        <w:jc w:val="both"/>
        <w:rPr>
          <w:rFonts w:ascii="Times New Roman" w:eastAsia="Calibri" w:hAnsi="Times New Roman"/>
          <w:color w:val="auto"/>
          <w:spacing w:val="0"/>
          <w:sz w:val="24"/>
          <w:szCs w:val="24"/>
          <w:lang w:val="en-ZA" w:eastAsia="en-US"/>
        </w:rPr>
      </w:pPr>
    </w:p>
    <w:p w:rsidR="00B05F4A" w:rsidRPr="00714FB7" w:rsidRDefault="00B05F4A" w:rsidP="00030895">
      <w:pPr>
        <w:autoSpaceDE w:val="0"/>
        <w:autoSpaceDN w:val="0"/>
        <w:adjustRightInd w:val="0"/>
        <w:spacing w:line="360" w:lineRule="auto"/>
        <w:contextualSpacing/>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Furthermore, Programme 3, Innovation and Technology will receive a nominal decrease of negative R8</w:t>
      </w:r>
      <w:r w:rsidR="00E43DF5" w:rsidRPr="00714FB7">
        <w:rPr>
          <w:rFonts w:ascii="Times New Roman" w:eastAsia="Calibri" w:hAnsi="Times New Roman"/>
          <w:color w:val="auto"/>
          <w:spacing w:val="0"/>
          <w:sz w:val="24"/>
          <w:szCs w:val="24"/>
          <w:lang w:val="en-ZA" w:eastAsia="en-US"/>
        </w:rPr>
        <w:t>.</w:t>
      </w:r>
      <w:r w:rsidRPr="00714FB7">
        <w:rPr>
          <w:rFonts w:ascii="Times New Roman" w:eastAsia="Calibri" w:hAnsi="Times New Roman"/>
          <w:color w:val="auto"/>
          <w:spacing w:val="0"/>
          <w:sz w:val="24"/>
          <w:szCs w:val="24"/>
          <w:lang w:val="en-ZA" w:eastAsia="en-US"/>
        </w:rPr>
        <w:t>6 million. The same programme will also encounter a real decrease of negative R19</w:t>
      </w:r>
      <w:r w:rsidR="00E43DF5" w:rsidRPr="00714FB7">
        <w:rPr>
          <w:rFonts w:ascii="Times New Roman" w:eastAsia="Calibri" w:hAnsi="Times New Roman"/>
          <w:color w:val="auto"/>
          <w:spacing w:val="0"/>
          <w:sz w:val="24"/>
          <w:szCs w:val="24"/>
          <w:lang w:val="en-ZA" w:eastAsia="en-US"/>
        </w:rPr>
        <w:t>.</w:t>
      </w:r>
      <w:r w:rsidRPr="00714FB7">
        <w:rPr>
          <w:rFonts w:ascii="Times New Roman" w:eastAsia="Calibri" w:hAnsi="Times New Roman"/>
          <w:color w:val="auto"/>
          <w:spacing w:val="0"/>
          <w:sz w:val="24"/>
          <w:szCs w:val="24"/>
          <w:lang w:val="en-ZA" w:eastAsia="en-US"/>
        </w:rPr>
        <w:t>9 million which will have a considerable impact on the probability for SAMRC to execute its plans on innovation and technology.</w:t>
      </w:r>
    </w:p>
    <w:p w:rsidR="00386775" w:rsidRPr="00714FB7" w:rsidRDefault="00386775" w:rsidP="00E228C2">
      <w:pPr>
        <w:autoSpaceDE w:val="0"/>
        <w:autoSpaceDN w:val="0"/>
        <w:adjustRightInd w:val="0"/>
        <w:spacing w:line="360" w:lineRule="auto"/>
        <w:jc w:val="both"/>
        <w:rPr>
          <w:rFonts w:ascii="Times New Roman" w:hAnsi="Times New Roman"/>
          <w:color w:val="auto"/>
          <w:spacing w:val="0"/>
          <w:sz w:val="24"/>
          <w:szCs w:val="24"/>
          <w:lang w:val="en-ZA" w:eastAsia="en-ZA"/>
        </w:rPr>
      </w:pPr>
    </w:p>
    <w:p w:rsidR="009A3B60" w:rsidRPr="00714FB7" w:rsidRDefault="00033DE3" w:rsidP="00030895">
      <w:pPr>
        <w:pStyle w:val="ListParagraph"/>
        <w:numPr>
          <w:ilvl w:val="1"/>
          <w:numId w:val="82"/>
        </w:numPr>
        <w:autoSpaceDE w:val="0"/>
        <w:autoSpaceDN w:val="0"/>
        <w:adjustRightInd w:val="0"/>
        <w:spacing w:line="360" w:lineRule="auto"/>
        <w:ind w:left="540" w:hanging="540"/>
        <w:rPr>
          <w:rFonts w:ascii="Times New Roman" w:hAnsi="Times New Roman"/>
          <w:b/>
          <w:bCs/>
          <w:color w:val="auto"/>
          <w:spacing w:val="0"/>
          <w:sz w:val="24"/>
          <w:szCs w:val="24"/>
          <w:lang w:val="en-ZA" w:eastAsia="en-ZA"/>
        </w:rPr>
      </w:pPr>
      <w:r w:rsidRPr="00714FB7">
        <w:rPr>
          <w:rFonts w:ascii="Times New Roman" w:hAnsi="Times New Roman"/>
          <w:b/>
          <w:bCs/>
          <w:color w:val="auto"/>
          <w:spacing w:val="0"/>
          <w:sz w:val="24"/>
          <w:szCs w:val="24"/>
          <w:lang w:val="en-ZA" w:eastAsia="en-ZA"/>
        </w:rPr>
        <w:t xml:space="preserve">NATIONAL HEALTH LABORATORY SERVICES </w:t>
      </w:r>
      <w:r w:rsidR="005707BF" w:rsidRPr="00714FB7">
        <w:rPr>
          <w:rFonts w:ascii="Times New Roman" w:hAnsi="Times New Roman"/>
          <w:b/>
          <w:bCs/>
          <w:color w:val="auto"/>
          <w:spacing w:val="0"/>
          <w:sz w:val="24"/>
          <w:szCs w:val="24"/>
          <w:lang w:val="en-ZA" w:eastAsia="en-ZA"/>
        </w:rPr>
        <w:t>(NHLS)</w:t>
      </w:r>
    </w:p>
    <w:p w:rsidR="00E501F1" w:rsidRPr="00714FB7" w:rsidRDefault="00E501F1" w:rsidP="00E501F1">
      <w:pPr>
        <w:spacing w:line="280" w:lineRule="exact"/>
        <w:jc w:val="both"/>
        <w:rPr>
          <w:rFonts w:ascii="Times New Roman" w:hAnsi="Times New Roman"/>
          <w:b/>
          <w:bCs/>
          <w:color w:val="auto"/>
          <w:spacing w:val="0"/>
          <w:sz w:val="24"/>
          <w:szCs w:val="24"/>
          <w:lang w:val="en-ZA" w:eastAsia="en-ZA"/>
        </w:rPr>
      </w:pPr>
    </w:p>
    <w:p w:rsidR="00E501F1" w:rsidRPr="00714FB7" w:rsidRDefault="00E501F1" w:rsidP="00030895">
      <w:p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The</w:t>
      </w:r>
      <w:r w:rsidRPr="00714FB7">
        <w:rPr>
          <w:rFonts w:ascii="Times New Roman" w:eastAsia="Calibri" w:hAnsi="Times New Roman"/>
          <w:color w:val="auto"/>
          <w:spacing w:val="0"/>
          <w:sz w:val="24"/>
          <w:szCs w:val="24"/>
          <w:lang w:val="en-ZA" w:eastAsia="en-US"/>
        </w:rPr>
        <w:t xml:space="preserve"> National Health Laboratory Service (NHLS) is a national public entity formed according to the National Health Laboratory Service Act 37 of 2000 to specifically provide quality, affordable and sustainable health laboratory and related public health services.</w:t>
      </w:r>
      <w:r w:rsidRPr="00714FB7">
        <w:rPr>
          <w:rFonts w:ascii="Times New Roman" w:hAnsi="Times New Roman"/>
          <w:color w:val="auto"/>
          <w:spacing w:val="0"/>
          <w:sz w:val="24"/>
          <w:szCs w:val="24"/>
          <w:lang w:eastAsia="en-US"/>
        </w:rPr>
        <w:t xml:space="preserve"> It is a Schedule 3A public entity-state governed by a Board and a Chief Executive Officer and managed amongst other according to the Public Finance Management Act No. 1 of 1999. It is the largest provider of diagnostic pathology services countrywide through its 268 laboratories, which service more than 80 per cent of the South African population. </w:t>
      </w:r>
    </w:p>
    <w:p w:rsidR="00E501F1" w:rsidRPr="00714FB7" w:rsidRDefault="00E501F1" w:rsidP="00030895">
      <w:pPr>
        <w:spacing w:line="360" w:lineRule="auto"/>
        <w:jc w:val="both"/>
        <w:rPr>
          <w:rFonts w:ascii="Times New Roman" w:hAnsi="Times New Roman"/>
          <w:color w:val="auto"/>
          <w:spacing w:val="0"/>
          <w:sz w:val="24"/>
          <w:szCs w:val="24"/>
          <w:lang w:eastAsia="en-US"/>
        </w:rPr>
      </w:pPr>
    </w:p>
    <w:p w:rsidR="00E501F1" w:rsidRPr="00714FB7" w:rsidRDefault="00033DE3" w:rsidP="00030895">
      <w:pPr>
        <w:pStyle w:val="ListParagraph"/>
        <w:numPr>
          <w:ilvl w:val="2"/>
          <w:numId w:val="82"/>
        </w:numPr>
        <w:autoSpaceDE w:val="0"/>
        <w:autoSpaceDN w:val="0"/>
        <w:adjustRightInd w:val="0"/>
        <w:spacing w:line="360" w:lineRule="auto"/>
        <w:jc w:val="both"/>
        <w:rPr>
          <w:rFonts w:ascii="Times New Roman" w:eastAsia="Calibri" w:hAnsi="Times New Roman"/>
          <w:b/>
          <w:bCs/>
          <w:color w:val="auto"/>
          <w:spacing w:val="0"/>
          <w:sz w:val="24"/>
          <w:szCs w:val="24"/>
          <w:lang w:val="en-ZA" w:eastAsia="en-US"/>
        </w:rPr>
      </w:pPr>
      <w:r w:rsidRPr="00714FB7">
        <w:rPr>
          <w:rFonts w:ascii="Times New Roman" w:eastAsia="Calibri" w:hAnsi="Times New Roman"/>
          <w:b/>
          <w:bCs/>
          <w:color w:val="auto"/>
          <w:spacing w:val="0"/>
          <w:sz w:val="24"/>
          <w:szCs w:val="24"/>
          <w:lang w:val="en-ZA" w:eastAsia="en-US"/>
        </w:rPr>
        <w:t xml:space="preserve">Legislative impact on </w:t>
      </w:r>
      <w:r w:rsidR="00E501F1" w:rsidRPr="00714FB7">
        <w:rPr>
          <w:rFonts w:ascii="Times New Roman" w:eastAsia="Calibri" w:hAnsi="Times New Roman"/>
          <w:b/>
          <w:bCs/>
          <w:color w:val="auto"/>
          <w:spacing w:val="0"/>
          <w:sz w:val="24"/>
          <w:szCs w:val="24"/>
          <w:lang w:val="en-ZA" w:eastAsia="en-US"/>
        </w:rPr>
        <w:t>NHLS</w:t>
      </w:r>
    </w:p>
    <w:p w:rsidR="00E501F1" w:rsidRPr="00714FB7" w:rsidRDefault="00E501F1" w:rsidP="00030895">
      <w:pPr>
        <w:autoSpaceDE w:val="0"/>
        <w:autoSpaceDN w:val="0"/>
        <w:adjustRightInd w:val="0"/>
        <w:spacing w:line="360" w:lineRule="auto"/>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 xml:space="preserve">During the 2017/18 financial year, the NHLS envisages that the establishment of the National Public Health Institutes of South Africa (NAPHISA) will pose a considerable impact on its operations and budget allocation. To this end, the NHLS purports that the NAPHISA legislation will result in some important divisions being moved from the NHLS such as: </w:t>
      </w:r>
    </w:p>
    <w:p w:rsidR="00E501F1" w:rsidRPr="00714FB7" w:rsidRDefault="00E501F1" w:rsidP="00030895">
      <w:pPr>
        <w:numPr>
          <w:ilvl w:val="0"/>
          <w:numId w:val="45"/>
        </w:numPr>
        <w:autoSpaceDE w:val="0"/>
        <w:autoSpaceDN w:val="0"/>
        <w:adjustRightInd w:val="0"/>
        <w:spacing w:line="360" w:lineRule="auto"/>
        <w:ind w:left="714" w:hanging="357"/>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 xml:space="preserve">Communicable Diseases; </w:t>
      </w:r>
    </w:p>
    <w:p w:rsidR="00E501F1" w:rsidRPr="00714FB7" w:rsidRDefault="00E501F1" w:rsidP="00030895">
      <w:pPr>
        <w:numPr>
          <w:ilvl w:val="0"/>
          <w:numId w:val="45"/>
        </w:numPr>
        <w:autoSpaceDE w:val="0"/>
        <w:autoSpaceDN w:val="0"/>
        <w:adjustRightInd w:val="0"/>
        <w:spacing w:line="360" w:lineRule="auto"/>
        <w:ind w:left="714" w:hanging="357"/>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 xml:space="preserve">Non-Communicable Diseases; </w:t>
      </w:r>
    </w:p>
    <w:p w:rsidR="00E501F1" w:rsidRPr="00714FB7" w:rsidRDefault="00E501F1" w:rsidP="00030895">
      <w:pPr>
        <w:numPr>
          <w:ilvl w:val="0"/>
          <w:numId w:val="45"/>
        </w:numPr>
        <w:autoSpaceDE w:val="0"/>
        <w:autoSpaceDN w:val="0"/>
        <w:adjustRightInd w:val="0"/>
        <w:spacing w:line="360" w:lineRule="auto"/>
        <w:ind w:left="714" w:hanging="357"/>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 xml:space="preserve">Cancer Surveillance; </w:t>
      </w:r>
    </w:p>
    <w:p w:rsidR="00E501F1" w:rsidRPr="00714FB7" w:rsidRDefault="00E501F1" w:rsidP="00030895">
      <w:pPr>
        <w:numPr>
          <w:ilvl w:val="0"/>
          <w:numId w:val="45"/>
        </w:numPr>
        <w:autoSpaceDE w:val="0"/>
        <w:autoSpaceDN w:val="0"/>
        <w:adjustRightInd w:val="0"/>
        <w:spacing w:line="360" w:lineRule="auto"/>
        <w:ind w:left="714" w:hanging="357"/>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 xml:space="preserve">Injury and Violence Prevention; and </w:t>
      </w:r>
    </w:p>
    <w:p w:rsidR="00E501F1" w:rsidRPr="00714FB7" w:rsidRDefault="00E501F1" w:rsidP="00030895">
      <w:pPr>
        <w:numPr>
          <w:ilvl w:val="0"/>
          <w:numId w:val="45"/>
        </w:numPr>
        <w:autoSpaceDE w:val="0"/>
        <w:autoSpaceDN w:val="0"/>
        <w:adjustRightInd w:val="0"/>
        <w:spacing w:line="360" w:lineRule="auto"/>
        <w:ind w:left="714" w:hanging="357"/>
        <w:contextualSpacing/>
        <w:jc w:val="both"/>
        <w:rPr>
          <w:rFonts w:ascii="Times New Roman" w:eastAsia="Calibri" w:hAnsi="Times New Roman"/>
          <w:color w:val="auto"/>
          <w:spacing w:val="0"/>
          <w:sz w:val="24"/>
          <w:szCs w:val="24"/>
          <w:lang w:val="en-ZA" w:eastAsia="en-US"/>
        </w:rPr>
      </w:pPr>
      <w:r w:rsidRPr="00714FB7">
        <w:rPr>
          <w:rFonts w:ascii="Times New Roman" w:eastAsia="Calibri" w:hAnsi="Times New Roman"/>
          <w:iCs/>
          <w:color w:val="auto"/>
          <w:spacing w:val="0"/>
          <w:sz w:val="24"/>
          <w:szCs w:val="24"/>
          <w:lang w:val="en-ZA" w:eastAsia="en-US"/>
        </w:rPr>
        <w:t>Occupational Health.</w:t>
      </w:r>
    </w:p>
    <w:p w:rsidR="005F7A0E" w:rsidRPr="00714FB7" w:rsidRDefault="005F7A0E" w:rsidP="00030895">
      <w:pPr>
        <w:autoSpaceDE w:val="0"/>
        <w:autoSpaceDN w:val="0"/>
        <w:adjustRightInd w:val="0"/>
        <w:spacing w:line="360" w:lineRule="auto"/>
        <w:jc w:val="both"/>
        <w:rPr>
          <w:rFonts w:ascii="Times New Roman" w:eastAsia="Calibri" w:hAnsi="Times New Roman"/>
          <w:color w:val="auto"/>
          <w:spacing w:val="0"/>
          <w:sz w:val="24"/>
          <w:szCs w:val="24"/>
          <w:lang w:val="en-ZA" w:eastAsia="en-US"/>
        </w:rPr>
      </w:pPr>
    </w:p>
    <w:p w:rsidR="00D3725F" w:rsidRPr="00714FB7" w:rsidRDefault="005251D3" w:rsidP="00030895">
      <w:pPr>
        <w:pStyle w:val="ListParagraph"/>
        <w:keepNext/>
        <w:numPr>
          <w:ilvl w:val="2"/>
          <w:numId w:val="82"/>
        </w:numPr>
        <w:spacing w:line="360" w:lineRule="auto"/>
        <w:jc w:val="both"/>
        <w:outlineLvl w:val="1"/>
        <w:rPr>
          <w:rFonts w:ascii="Times New Roman" w:hAnsi="Times New Roman"/>
          <w:b/>
          <w:color w:val="auto"/>
          <w:spacing w:val="0"/>
          <w:sz w:val="24"/>
          <w:szCs w:val="24"/>
          <w:lang w:val="en-ZA" w:eastAsia="en-US"/>
        </w:rPr>
      </w:pPr>
      <w:r w:rsidRPr="00714FB7">
        <w:rPr>
          <w:rFonts w:ascii="Times New Roman" w:eastAsia="Calibri" w:hAnsi="Times New Roman"/>
          <w:b/>
          <w:bCs/>
          <w:color w:val="auto"/>
          <w:spacing w:val="0"/>
          <w:sz w:val="24"/>
          <w:szCs w:val="24"/>
          <w:lang w:val="en-ZA" w:eastAsia="en-US"/>
        </w:rPr>
        <w:t>Annual Performance Plan</w:t>
      </w:r>
      <w:r w:rsidR="006B5D24" w:rsidRPr="00714FB7">
        <w:rPr>
          <w:rFonts w:ascii="Times New Roman" w:eastAsia="Calibri" w:hAnsi="Times New Roman"/>
          <w:b/>
          <w:bCs/>
          <w:color w:val="auto"/>
          <w:spacing w:val="0"/>
          <w:sz w:val="24"/>
          <w:szCs w:val="24"/>
          <w:lang w:val="en-ZA" w:eastAsia="en-US"/>
        </w:rPr>
        <w:t xml:space="preserve"> 2017/18</w:t>
      </w:r>
    </w:p>
    <w:p w:rsidR="00691AAE" w:rsidRPr="00714FB7" w:rsidRDefault="00691AAE" w:rsidP="00691AAE">
      <w:pPr>
        <w:rPr>
          <w:rFonts w:ascii="Times New Roman" w:hAnsi="Times New Roman"/>
          <w:color w:val="auto"/>
          <w:sz w:val="24"/>
          <w:szCs w:val="24"/>
          <w:lang w:val="en-ZA"/>
        </w:rPr>
      </w:pPr>
    </w:p>
    <w:p w:rsidR="00B945D4" w:rsidRPr="00714FB7" w:rsidRDefault="00B945D4" w:rsidP="00B945D4">
      <w:pPr>
        <w:spacing w:line="360" w:lineRule="auto"/>
        <w:rPr>
          <w:rFonts w:ascii="Times New Roman" w:hAnsi="Times New Roman"/>
          <w:color w:val="auto"/>
          <w:sz w:val="24"/>
          <w:szCs w:val="24"/>
          <w:lang w:val="en-ZA"/>
        </w:rPr>
      </w:pPr>
      <w:r w:rsidRPr="00714FB7">
        <w:rPr>
          <w:rFonts w:ascii="Times New Roman" w:hAnsi="Times New Roman"/>
          <w:color w:val="auto"/>
          <w:sz w:val="24"/>
          <w:szCs w:val="24"/>
          <w:lang w:val="en-ZA"/>
        </w:rPr>
        <w:t xml:space="preserve">The NHLS reports on </w:t>
      </w:r>
      <w:r w:rsidR="00030895" w:rsidRPr="00714FB7">
        <w:rPr>
          <w:rFonts w:ascii="Times New Roman" w:hAnsi="Times New Roman"/>
          <w:color w:val="auto"/>
          <w:sz w:val="24"/>
          <w:szCs w:val="24"/>
          <w:lang w:val="en-ZA"/>
        </w:rPr>
        <w:t>five</w:t>
      </w:r>
      <w:r w:rsidRPr="00714FB7">
        <w:rPr>
          <w:rFonts w:ascii="Times New Roman" w:hAnsi="Times New Roman"/>
          <w:color w:val="auto"/>
          <w:sz w:val="24"/>
          <w:szCs w:val="24"/>
          <w:lang w:val="en-ZA"/>
        </w:rPr>
        <w:t xml:space="preserve"> programmes</w:t>
      </w:r>
      <w:r w:rsidR="00030895" w:rsidRPr="00714FB7">
        <w:rPr>
          <w:rFonts w:ascii="Times New Roman" w:hAnsi="Times New Roman"/>
          <w:color w:val="auto"/>
          <w:sz w:val="24"/>
          <w:szCs w:val="24"/>
          <w:lang w:val="en-ZA"/>
        </w:rPr>
        <w:t xml:space="preserve"> as follows</w:t>
      </w:r>
      <w:r w:rsidRPr="00714FB7">
        <w:rPr>
          <w:rFonts w:ascii="Times New Roman" w:hAnsi="Times New Roman"/>
          <w:color w:val="auto"/>
          <w:sz w:val="24"/>
          <w:szCs w:val="24"/>
          <w:lang w:val="en-ZA"/>
        </w:rPr>
        <w:t xml:space="preserve">: </w:t>
      </w:r>
    </w:p>
    <w:p w:rsidR="00467E50" w:rsidRPr="00714FB7" w:rsidRDefault="00467E50" w:rsidP="00691AAE">
      <w:pPr>
        <w:rPr>
          <w:rFonts w:ascii="Times New Roman" w:hAnsi="Times New Roman"/>
          <w:color w:val="auto"/>
          <w:sz w:val="24"/>
          <w:szCs w:val="24"/>
          <w:lang w:val="en-ZA"/>
        </w:rPr>
      </w:pPr>
    </w:p>
    <w:p w:rsidR="00B945D4" w:rsidRPr="00714FB7" w:rsidRDefault="008C1276" w:rsidP="00B945D4">
      <w:pPr>
        <w:spacing w:line="360" w:lineRule="auto"/>
        <w:jc w:val="both"/>
        <w:rPr>
          <w:rFonts w:ascii="Times New Roman" w:hAnsi="Times New Roman"/>
          <w:color w:val="auto"/>
          <w:sz w:val="24"/>
          <w:szCs w:val="24"/>
          <w:lang w:val="en-ZA"/>
        </w:rPr>
      </w:pPr>
      <w:r w:rsidRPr="00714FB7">
        <w:rPr>
          <w:rFonts w:ascii="Times New Roman" w:hAnsi="Times New Roman"/>
          <w:b/>
          <w:color w:val="auto"/>
          <w:sz w:val="24"/>
          <w:szCs w:val="24"/>
          <w:lang w:val="en-ZA"/>
        </w:rPr>
        <w:t xml:space="preserve">Programme 1: </w:t>
      </w:r>
      <w:r w:rsidR="00B945D4" w:rsidRPr="00714FB7">
        <w:rPr>
          <w:rFonts w:ascii="Times New Roman" w:hAnsi="Times New Roman"/>
          <w:b/>
          <w:color w:val="auto"/>
          <w:sz w:val="24"/>
          <w:szCs w:val="24"/>
          <w:lang w:val="en-ZA"/>
        </w:rPr>
        <w:t xml:space="preserve">Administration </w:t>
      </w:r>
      <w:r w:rsidR="00B945D4" w:rsidRPr="00714FB7">
        <w:rPr>
          <w:rFonts w:ascii="Times New Roman" w:hAnsi="Times New Roman"/>
          <w:color w:val="auto"/>
          <w:sz w:val="24"/>
          <w:szCs w:val="24"/>
          <w:lang w:val="en-ZA"/>
        </w:rPr>
        <w:t>– The</w:t>
      </w:r>
      <w:r w:rsidR="00B945D4" w:rsidRPr="00714FB7">
        <w:rPr>
          <w:rFonts w:ascii="Times New Roman" w:hAnsi="Times New Roman"/>
          <w:color w:val="auto"/>
          <w:sz w:val="24"/>
          <w:szCs w:val="24"/>
        </w:rPr>
        <w:t xml:space="preserve"> administration programme plays a crucial role in the delivery of NHLS services through provision of a range of support services, such as organisational development, Human Resources (HR) and labour relations, information technology, property management, security services, legal, communication and the integrated planning function. Indicators include:</w:t>
      </w:r>
    </w:p>
    <w:p w:rsidR="00B945D4" w:rsidRPr="00714FB7" w:rsidRDefault="00B945D4" w:rsidP="00B945D4">
      <w:pPr>
        <w:pStyle w:val="ListParagraph"/>
        <w:numPr>
          <w:ilvl w:val="0"/>
          <w:numId w:val="31"/>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Improve the liquidity position.</w:t>
      </w:r>
    </w:p>
    <w:p w:rsidR="00B945D4" w:rsidRPr="00714FB7" w:rsidRDefault="00B945D4" w:rsidP="00B945D4">
      <w:pPr>
        <w:pStyle w:val="ListParagraph"/>
        <w:numPr>
          <w:ilvl w:val="0"/>
          <w:numId w:val="31"/>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Obtain an unqualified audit opinion of the AG.</w:t>
      </w:r>
    </w:p>
    <w:p w:rsidR="00B945D4" w:rsidRPr="00714FB7" w:rsidRDefault="00B945D4" w:rsidP="00B945D4">
      <w:pPr>
        <w:pStyle w:val="ListParagraph"/>
        <w:numPr>
          <w:ilvl w:val="0"/>
          <w:numId w:val="31"/>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 xml:space="preserve">Build a robust and agile IT infrastructure and innovative digital solutions to facilitate and enable state of the art laboratory services by 2020. </w:t>
      </w:r>
    </w:p>
    <w:p w:rsidR="00B945D4" w:rsidRPr="00714FB7" w:rsidRDefault="00B945D4" w:rsidP="00B945D4">
      <w:pPr>
        <w:pStyle w:val="ListParagraph"/>
        <w:numPr>
          <w:ilvl w:val="0"/>
          <w:numId w:val="31"/>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Ensure adequate and skilled human resources and improved pass rates for Medical technologists and technicians.</w:t>
      </w:r>
    </w:p>
    <w:p w:rsidR="00B945D4" w:rsidRPr="00714FB7" w:rsidRDefault="00B945D4" w:rsidP="00B945D4">
      <w:pPr>
        <w:spacing w:line="360" w:lineRule="auto"/>
        <w:ind w:left="720"/>
        <w:jc w:val="both"/>
        <w:rPr>
          <w:rFonts w:ascii="Times New Roman" w:hAnsi="Times New Roman"/>
          <w:color w:val="auto"/>
          <w:sz w:val="24"/>
          <w:szCs w:val="24"/>
          <w:lang w:val="en-ZA"/>
        </w:rPr>
      </w:pPr>
    </w:p>
    <w:p w:rsidR="00B945D4" w:rsidRPr="00714FB7" w:rsidRDefault="008C1276" w:rsidP="00B945D4">
      <w:pPr>
        <w:spacing w:line="360" w:lineRule="auto"/>
        <w:jc w:val="both"/>
        <w:rPr>
          <w:rFonts w:ascii="Times New Roman" w:hAnsi="Times New Roman"/>
          <w:color w:val="auto"/>
          <w:sz w:val="24"/>
          <w:szCs w:val="24"/>
        </w:rPr>
      </w:pPr>
      <w:r w:rsidRPr="00714FB7">
        <w:rPr>
          <w:rFonts w:ascii="Times New Roman" w:hAnsi="Times New Roman"/>
          <w:b/>
          <w:color w:val="auto"/>
          <w:sz w:val="24"/>
          <w:szCs w:val="24"/>
          <w:lang w:val="en-ZA"/>
        </w:rPr>
        <w:t xml:space="preserve">Programme 2: </w:t>
      </w:r>
      <w:r w:rsidR="00B945D4" w:rsidRPr="00714FB7">
        <w:rPr>
          <w:rFonts w:ascii="Times New Roman" w:hAnsi="Times New Roman"/>
          <w:b/>
          <w:color w:val="auto"/>
          <w:sz w:val="24"/>
          <w:szCs w:val="24"/>
          <w:lang w:val="en-ZA"/>
        </w:rPr>
        <w:t xml:space="preserve">Surveillance of Communicable Diseases </w:t>
      </w:r>
      <w:r w:rsidR="00B945D4" w:rsidRPr="00714FB7">
        <w:rPr>
          <w:rFonts w:ascii="Times New Roman" w:hAnsi="Times New Roman"/>
          <w:color w:val="auto"/>
          <w:sz w:val="24"/>
          <w:szCs w:val="24"/>
          <w:lang w:val="en-ZA"/>
        </w:rPr>
        <w:t>–</w:t>
      </w:r>
      <w:r w:rsidR="00B945D4" w:rsidRPr="00714FB7">
        <w:rPr>
          <w:rFonts w:ascii="Times New Roman" w:hAnsi="Times New Roman"/>
          <w:b/>
          <w:color w:val="auto"/>
          <w:sz w:val="24"/>
          <w:szCs w:val="24"/>
          <w:lang w:val="en-ZA"/>
        </w:rPr>
        <w:t xml:space="preserve"> </w:t>
      </w:r>
      <w:r w:rsidR="00B945D4" w:rsidRPr="00714FB7">
        <w:rPr>
          <w:rFonts w:ascii="Times New Roman" w:hAnsi="Times New Roman"/>
          <w:color w:val="auto"/>
          <w:sz w:val="24"/>
          <w:szCs w:val="24"/>
        </w:rPr>
        <w:t>The purpose of the National Institute for Communicable Diseases is to be a national public health institution providing reference for microbiology, virology, epidemiology, surveillance and public health research to support government’s response to communicable diseases and threats. Some of the indicators under this programme include:</w:t>
      </w:r>
    </w:p>
    <w:p w:rsidR="00E83AAB" w:rsidRPr="00714FB7" w:rsidRDefault="00E83AAB" w:rsidP="00E83AAB">
      <w:pPr>
        <w:numPr>
          <w:ilvl w:val="0"/>
          <w:numId w:val="28"/>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 xml:space="preserve">Uphold communicable disease surveillance level at 90%. </w:t>
      </w:r>
    </w:p>
    <w:p w:rsidR="00E83AAB" w:rsidRPr="00714FB7" w:rsidRDefault="00E83AAB" w:rsidP="00E83AAB">
      <w:pPr>
        <w:numPr>
          <w:ilvl w:val="0"/>
          <w:numId w:val="28"/>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100% of outbreaks responded to within 24 hours after notification.</w:t>
      </w:r>
    </w:p>
    <w:p w:rsidR="00E83AAB" w:rsidRPr="00714FB7" w:rsidRDefault="00E83AAB" w:rsidP="00E83AAB">
      <w:pPr>
        <w:numPr>
          <w:ilvl w:val="0"/>
          <w:numId w:val="28"/>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100% of SANAS accredited NICD laboratories.</w:t>
      </w:r>
    </w:p>
    <w:p w:rsidR="00E83AAB" w:rsidRPr="00714FB7" w:rsidRDefault="00E83AAB" w:rsidP="00E83AAB">
      <w:pPr>
        <w:numPr>
          <w:ilvl w:val="0"/>
          <w:numId w:val="28"/>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Ensure that five field epidemiologists qualified.</w:t>
      </w:r>
    </w:p>
    <w:p w:rsidR="00B945D4" w:rsidRPr="00714FB7" w:rsidRDefault="00B945D4" w:rsidP="00B945D4">
      <w:pPr>
        <w:spacing w:line="360" w:lineRule="auto"/>
        <w:jc w:val="both"/>
        <w:rPr>
          <w:rFonts w:ascii="Times New Roman" w:hAnsi="Times New Roman"/>
          <w:color w:val="auto"/>
          <w:sz w:val="24"/>
          <w:szCs w:val="24"/>
          <w:lang w:val="en-ZA"/>
        </w:rPr>
      </w:pPr>
    </w:p>
    <w:p w:rsidR="00B945D4" w:rsidRPr="00714FB7" w:rsidRDefault="008C1276" w:rsidP="00B945D4">
      <w:pPr>
        <w:spacing w:line="360" w:lineRule="auto"/>
        <w:jc w:val="both"/>
        <w:rPr>
          <w:rFonts w:ascii="Times New Roman" w:hAnsi="Times New Roman"/>
          <w:color w:val="auto"/>
          <w:sz w:val="24"/>
          <w:szCs w:val="24"/>
        </w:rPr>
      </w:pPr>
      <w:r w:rsidRPr="00714FB7">
        <w:rPr>
          <w:rFonts w:ascii="Times New Roman" w:hAnsi="Times New Roman"/>
          <w:b/>
          <w:color w:val="auto"/>
          <w:sz w:val="24"/>
          <w:szCs w:val="24"/>
          <w:lang w:val="en-ZA"/>
        </w:rPr>
        <w:t xml:space="preserve">Programme 3: </w:t>
      </w:r>
      <w:r w:rsidR="00B945D4" w:rsidRPr="00714FB7">
        <w:rPr>
          <w:rFonts w:ascii="Times New Roman" w:hAnsi="Times New Roman"/>
          <w:b/>
          <w:color w:val="auto"/>
          <w:sz w:val="24"/>
          <w:szCs w:val="24"/>
          <w:lang w:val="en-ZA"/>
        </w:rPr>
        <w:t xml:space="preserve">Occupational Health and Safety </w:t>
      </w:r>
      <w:r w:rsidR="00B945D4" w:rsidRPr="00714FB7">
        <w:rPr>
          <w:rFonts w:ascii="Times New Roman" w:hAnsi="Times New Roman"/>
          <w:color w:val="auto"/>
          <w:sz w:val="24"/>
          <w:szCs w:val="24"/>
          <w:lang w:val="en-ZA"/>
        </w:rPr>
        <w:t>–</w:t>
      </w:r>
      <w:r w:rsidR="00B945D4" w:rsidRPr="00714FB7">
        <w:rPr>
          <w:rFonts w:ascii="Times New Roman" w:hAnsi="Times New Roman"/>
          <w:b/>
          <w:color w:val="auto"/>
          <w:sz w:val="24"/>
          <w:szCs w:val="24"/>
          <w:lang w:val="en-ZA"/>
        </w:rPr>
        <w:t xml:space="preserve"> </w:t>
      </w:r>
      <w:r w:rsidR="00B945D4" w:rsidRPr="00714FB7">
        <w:rPr>
          <w:rFonts w:ascii="Times New Roman" w:hAnsi="Times New Roman"/>
          <w:color w:val="auto"/>
          <w:sz w:val="24"/>
          <w:szCs w:val="24"/>
        </w:rPr>
        <w:t xml:space="preserve">The purpose of the National Institute of Occupational Health is to provide occupational health and safety services across all sectors of the economy to improve and promote workers’ health and safety. </w:t>
      </w:r>
      <w:r w:rsidR="0023021B" w:rsidRPr="00714FB7">
        <w:rPr>
          <w:rFonts w:ascii="Times New Roman" w:hAnsi="Times New Roman"/>
          <w:color w:val="auto"/>
          <w:sz w:val="24"/>
          <w:szCs w:val="24"/>
        </w:rPr>
        <w:t>Indicators</w:t>
      </w:r>
      <w:r w:rsidR="00B945D4" w:rsidRPr="00714FB7">
        <w:rPr>
          <w:rFonts w:ascii="Times New Roman" w:hAnsi="Times New Roman"/>
          <w:color w:val="auto"/>
          <w:sz w:val="24"/>
          <w:szCs w:val="24"/>
        </w:rPr>
        <w:t xml:space="preserve"> include, amongst others: </w:t>
      </w:r>
    </w:p>
    <w:p w:rsidR="00E83AAB" w:rsidRPr="00714FB7" w:rsidRDefault="00E83AAB" w:rsidP="00B945D4">
      <w:pPr>
        <w:numPr>
          <w:ilvl w:val="0"/>
          <w:numId w:val="28"/>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Conduct 85% of all occupational and environmental health laboratory tests within specified turnaround times.</w:t>
      </w:r>
    </w:p>
    <w:p w:rsidR="00E83AAB" w:rsidRPr="00714FB7" w:rsidRDefault="00E83AAB" w:rsidP="00B945D4">
      <w:pPr>
        <w:numPr>
          <w:ilvl w:val="0"/>
          <w:numId w:val="28"/>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(25) Number of occupational, environmental health and safety assessment.</w:t>
      </w:r>
    </w:p>
    <w:p w:rsidR="00067664" w:rsidRPr="00714FB7" w:rsidRDefault="00067664" w:rsidP="00B945D4">
      <w:pPr>
        <w:numPr>
          <w:ilvl w:val="0"/>
          <w:numId w:val="28"/>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Improve occupational health services within NHLS by auditing 99% of targeted laboratories.</w:t>
      </w:r>
    </w:p>
    <w:p w:rsidR="00067664" w:rsidRPr="00714FB7" w:rsidRDefault="00067664" w:rsidP="00067664">
      <w:pPr>
        <w:numPr>
          <w:ilvl w:val="0"/>
          <w:numId w:val="28"/>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(25) Number of articles published in peer reviewed journals.</w:t>
      </w:r>
    </w:p>
    <w:p w:rsidR="00B945D4" w:rsidRPr="00714FB7" w:rsidRDefault="00B945D4" w:rsidP="00B945D4">
      <w:pPr>
        <w:spacing w:line="360" w:lineRule="auto"/>
        <w:jc w:val="both"/>
        <w:rPr>
          <w:rFonts w:ascii="Times New Roman" w:hAnsi="Times New Roman"/>
          <w:color w:val="auto"/>
          <w:sz w:val="24"/>
          <w:szCs w:val="24"/>
          <w:lang w:val="en-ZA"/>
        </w:rPr>
      </w:pPr>
    </w:p>
    <w:p w:rsidR="00B945D4" w:rsidRPr="00714FB7" w:rsidRDefault="008C1276" w:rsidP="00B945D4">
      <w:pPr>
        <w:spacing w:line="360" w:lineRule="auto"/>
        <w:jc w:val="both"/>
        <w:rPr>
          <w:rFonts w:ascii="Times New Roman" w:hAnsi="Times New Roman"/>
          <w:color w:val="auto"/>
          <w:sz w:val="24"/>
          <w:szCs w:val="24"/>
        </w:rPr>
      </w:pPr>
      <w:r w:rsidRPr="00714FB7">
        <w:rPr>
          <w:rFonts w:ascii="Times New Roman" w:hAnsi="Times New Roman"/>
          <w:b/>
          <w:color w:val="auto"/>
          <w:sz w:val="24"/>
          <w:szCs w:val="24"/>
          <w:lang w:val="en-ZA"/>
        </w:rPr>
        <w:t xml:space="preserve">Programme 4: </w:t>
      </w:r>
      <w:r w:rsidR="00B945D4" w:rsidRPr="00714FB7">
        <w:rPr>
          <w:rFonts w:ascii="Times New Roman" w:hAnsi="Times New Roman"/>
          <w:b/>
          <w:color w:val="auto"/>
          <w:sz w:val="24"/>
          <w:szCs w:val="24"/>
          <w:lang w:val="en-ZA"/>
        </w:rPr>
        <w:t>Academic Affairs, Research and Quality Assurance (AARQA)</w:t>
      </w:r>
      <w:r w:rsidR="00B945D4" w:rsidRPr="00714FB7">
        <w:rPr>
          <w:rFonts w:ascii="Times New Roman" w:hAnsi="Times New Roman"/>
          <w:color w:val="auto"/>
          <w:sz w:val="24"/>
          <w:szCs w:val="24"/>
          <w:lang w:val="en-ZA"/>
        </w:rPr>
        <w:t xml:space="preserve"> –</w:t>
      </w:r>
      <w:r w:rsidR="00B945D4" w:rsidRPr="00714FB7">
        <w:rPr>
          <w:rFonts w:ascii="Times New Roman" w:hAnsi="Times New Roman"/>
          <w:b/>
          <w:color w:val="auto"/>
          <w:sz w:val="24"/>
          <w:szCs w:val="24"/>
          <w:lang w:val="en-ZA"/>
        </w:rPr>
        <w:t xml:space="preserve"> </w:t>
      </w:r>
      <w:r w:rsidR="00B945D4" w:rsidRPr="00714FB7">
        <w:rPr>
          <w:rFonts w:ascii="Times New Roman" w:hAnsi="Times New Roman"/>
          <w:color w:val="auto"/>
          <w:sz w:val="24"/>
          <w:szCs w:val="24"/>
        </w:rPr>
        <w:t xml:space="preserve">The main purpose of this programme is to strengthen the mandate of the NHLS of maintaining and providing quality assured and accredited laboratory medicine. </w:t>
      </w:r>
      <w:r w:rsidR="00CA055D" w:rsidRPr="00714FB7">
        <w:rPr>
          <w:rFonts w:ascii="Times New Roman" w:hAnsi="Times New Roman"/>
          <w:color w:val="auto"/>
          <w:sz w:val="24"/>
          <w:szCs w:val="24"/>
        </w:rPr>
        <w:t>Some indicators are:</w:t>
      </w:r>
    </w:p>
    <w:p w:rsidR="00B945D4" w:rsidRPr="00714FB7" w:rsidRDefault="00CA055D" w:rsidP="00B945D4">
      <w:pPr>
        <w:numPr>
          <w:ilvl w:val="0"/>
          <w:numId w:val="29"/>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Achieve 83% in compliance achieved by laboratories during annual quality compliance audits</w:t>
      </w:r>
      <w:r w:rsidR="00B945D4" w:rsidRPr="00714FB7">
        <w:rPr>
          <w:rFonts w:ascii="Times New Roman" w:hAnsi="Times New Roman"/>
          <w:color w:val="auto"/>
          <w:sz w:val="24"/>
          <w:szCs w:val="24"/>
        </w:rPr>
        <w:t>.</w:t>
      </w:r>
    </w:p>
    <w:p w:rsidR="00CA055D" w:rsidRPr="00714FB7" w:rsidRDefault="00CA055D" w:rsidP="00B945D4">
      <w:pPr>
        <w:numPr>
          <w:ilvl w:val="0"/>
          <w:numId w:val="29"/>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Increase the pool of available pathology health professionals (10- Registrars and 25% Medical Scientist registrations rate)</w:t>
      </w:r>
    </w:p>
    <w:p w:rsidR="00CA055D" w:rsidRPr="00714FB7" w:rsidRDefault="00CA055D" w:rsidP="00B945D4">
      <w:pPr>
        <w:numPr>
          <w:ilvl w:val="0"/>
          <w:numId w:val="29"/>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 xml:space="preserve">Increase research output that translate into diagnostic practice. </w:t>
      </w:r>
    </w:p>
    <w:p w:rsidR="00B945D4" w:rsidRPr="00714FB7" w:rsidRDefault="00B945D4" w:rsidP="00B945D4">
      <w:pPr>
        <w:numPr>
          <w:ilvl w:val="0"/>
          <w:numId w:val="29"/>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 xml:space="preserve">Targeting </w:t>
      </w:r>
      <w:r w:rsidR="00CA055D" w:rsidRPr="00714FB7">
        <w:rPr>
          <w:rFonts w:ascii="Times New Roman" w:hAnsi="Times New Roman"/>
          <w:color w:val="auto"/>
          <w:sz w:val="24"/>
          <w:szCs w:val="24"/>
        </w:rPr>
        <w:t xml:space="preserve">455 </w:t>
      </w:r>
      <w:r w:rsidRPr="00714FB7">
        <w:rPr>
          <w:rFonts w:ascii="Times New Roman" w:hAnsi="Times New Roman"/>
          <w:color w:val="auto"/>
          <w:sz w:val="24"/>
          <w:szCs w:val="24"/>
        </w:rPr>
        <w:t>peer-reviewed articles published</w:t>
      </w:r>
      <w:r w:rsidR="00CA055D" w:rsidRPr="00714FB7">
        <w:rPr>
          <w:rFonts w:ascii="Times New Roman" w:hAnsi="Times New Roman"/>
          <w:color w:val="auto"/>
          <w:sz w:val="24"/>
          <w:szCs w:val="24"/>
        </w:rPr>
        <w:t xml:space="preserve"> in peer reviewed journals</w:t>
      </w:r>
      <w:r w:rsidRPr="00714FB7">
        <w:rPr>
          <w:rFonts w:ascii="Times New Roman" w:hAnsi="Times New Roman"/>
          <w:color w:val="auto"/>
          <w:sz w:val="24"/>
          <w:szCs w:val="24"/>
        </w:rPr>
        <w:t xml:space="preserve">. </w:t>
      </w:r>
    </w:p>
    <w:p w:rsidR="00B945D4" w:rsidRPr="00714FB7" w:rsidRDefault="00B945D4" w:rsidP="00B945D4">
      <w:pPr>
        <w:jc w:val="both"/>
        <w:rPr>
          <w:rFonts w:ascii="Times New Roman" w:hAnsi="Times New Roman"/>
          <w:color w:val="auto"/>
          <w:sz w:val="24"/>
          <w:szCs w:val="24"/>
          <w:lang w:val="en-ZA"/>
        </w:rPr>
      </w:pPr>
    </w:p>
    <w:p w:rsidR="00B945D4" w:rsidRPr="00714FB7" w:rsidRDefault="008C1276" w:rsidP="00B945D4">
      <w:pPr>
        <w:spacing w:line="360" w:lineRule="auto"/>
        <w:jc w:val="both"/>
        <w:rPr>
          <w:rFonts w:ascii="Times New Roman" w:hAnsi="Times New Roman"/>
          <w:color w:val="auto"/>
          <w:sz w:val="24"/>
          <w:szCs w:val="24"/>
        </w:rPr>
      </w:pPr>
      <w:r w:rsidRPr="00714FB7">
        <w:rPr>
          <w:rFonts w:ascii="Times New Roman" w:hAnsi="Times New Roman"/>
          <w:b/>
          <w:color w:val="auto"/>
          <w:sz w:val="24"/>
          <w:szCs w:val="24"/>
          <w:lang w:val="en-ZA"/>
        </w:rPr>
        <w:t xml:space="preserve">Programme 5: </w:t>
      </w:r>
      <w:r w:rsidR="00B945D4" w:rsidRPr="00714FB7">
        <w:rPr>
          <w:rFonts w:ascii="Times New Roman" w:hAnsi="Times New Roman"/>
          <w:b/>
          <w:color w:val="auto"/>
          <w:sz w:val="24"/>
          <w:szCs w:val="24"/>
          <w:lang w:val="en-ZA"/>
        </w:rPr>
        <w:t xml:space="preserve">Laboratory Services </w:t>
      </w:r>
      <w:r w:rsidR="00B945D4" w:rsidRPr="00714FB7">
        <w:rPr>
          <w:rFonts w:ascii="Times New Roman" w:hAnsi="Times New Roman"/>
          <w:color w:val="auto"/>
          <w:sz w:val="24"/>
          <w:szCs w:val="24"/>
          <w:lang w:val="en-ZA"/>
        </w:rPr>
        <w:t>–</w:t>
      </w:r>
      <w:r w:rsidR="00B945D4" w:rsidRPr="00714FB7">
        <w:rPr>
          <w:rFonts w:ascii="Times New Roman" w:hAnsi="Times New Roman"/>
          <w:b/>
          <w:color w:val="auto"/>
          <w:sz w:val="24"/>
          <w:szCs w:val="24"/>
          <w:lang w:val="en-ZA"/>
        </w:rPr>
        <w:t xml:space="preserve"> </w:t>
      </w:r>
      <w:r w:rsidR="00B945D4" w:rsidRPr="00714FB7">
        <w:rPr>
          <w:rFonts w:ascii="Times New Roman" w:hAnsi="Times New Roman"/>
          <w:color w:val="auto"/>
          <w:sz w:val="24"/>
          <w:szCs w:val="24"/>
        </w:rPr>
        <w:t>This programme is the core business of the NHLS- to provide cost-effective and efficient health laboratory services to all public sector health providers. The focus is on operational efficiency and quality of services. Indicators include:</w:t>
      </w:r>
    </w:p>
    <w:p w:rsidR="00B945D4" w:rsidRPr="00714FB7" w:rsidRDefault="00CA055D" w:rsidP="00B945D4">
      <w:pPr>
        <w:numPr>
          <w:ilvl w:val="0"/>
          <w:numId w:val="30"/>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Ensure 70% accessibility of pathology service to</w:t>
      </w:r>
      <w:r w:rsidR="00B945D4" w:rsidRPr="00714FB7">
        <w:rPr>
          <w:rFonts w:ascii="Times New Roman" w:hAnsi="Times New Roman"/>
          <w:color w:val="auto"/>
          <w:sz w:val="24"/>
          <w:szCs w:val="24"/>
        </w:rPr>
        <w:t xml:space="preserve"> </w:t>
      </w:r>
      <w:r w:rsidRPr="00714FB7">
        <w:rPr>
          <w:rFonts w:ascii="Times New Roman" w:hAnsi="Times New Roman"/>
          <w:color w:val="auto"/>
          <w:sz w:val="24"/>
          <w:szCs w:val="24"/>
        </w:rPr>
        <w:t xml:space="preserve">district </w:t>
      </w:r>
      <w:r w:rsidR="00B945D4" w:rsidRPr="00714FB7">
        <w:rPr>
          <w:rFonts w:ascii="Times New Roman" w:hAnsi="Times New Roman"/>
          <w:color w:val="auto"/>
          <w:sz w:val="24"/>
          <w:szCs w:val="24"/>
        </w:rPr>
        <w:t>hospitals.</w:t>
      </w:r>
    </w:p>
    <w:p w:rsidR="00CA055D" w:rsidRPr="00714FB7" w:rsidRDefault="006634A7" w:rsidP="00B945D4">
      <w:pPr>
        <w:numPr>
          <w:ilvl w:val="0"/>
          <w:numId w:val="30"/>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Ensure that all PHC facilities are provided with daily NHLS specimen collection services.</w:t>
      </w:r>
    </w:p>
    <w:p w:rsidR="00CA055D" w:rsidRPr="00714FB7" w:rsidRDefault="00CA055D" w:rsidP="00B945D4">
      <w:pPr>
        <w:numPr>
          <w:ilvl w:val="0"/>
          <w:numId w:val="30"/>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Increase number of HIV viral load testing sites to 13 by 2018 (new indicator).</w:t>
      </w:r>
    </w:p>
    <w:p w:rsidR="00B945D4" w:rsidRPr="00714FB7" w:rsidRDefault="006634A7" w:rsidP="00B945D4">
      <w:pPr>
        <w:numPr>
          <w:ilvl w:val="0"/>
          <w:numId w:val="30"/>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Nine indicators are related to improving the Total Turnaround Time for tests performed.</w:t>
      </w:r>
    </w:p>
    <w:p w:rsidR="00B945D4" w:rsidRPr="00714FB7" w:rsidRDefault="006634A7" w:rsidP="00B945D4">
      <w:pPr>
        <w:numPr>
          <w:ilvl w:val="0"/>
          <w:numId w:val="30"/>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Five indicators relates to improving the number of SANAS accredited laboratories in the NHLS.</w:t>
      </w:r>
    </w:p>
    <w:p w:rsidR="00B945D4" w:rsidRPr="00714FB7" w:rsidRDefault="00B945D4" w:rsidP="00B945D4">
      <w:pPr>
        <w:spacing w:line="360" w:lineRule="auto"/>
        <w:rPr>
          <w:rFonts w:ascii="Times New Roman" w:hAnsi="Times New Roman"/>
          <w:color w:val="auto"/>
          <w:sz w:val="24"/>
          <w:szCs w:val="24"/>
          <w:lang w:val="en-ZA"/>
        </w:rPr>
      </w:pPr>
    </w:p>
    <w:p w:rsidR="00D3725F" w:rsidRPr="00714FB7" w:rsidRDefault="00D3725F" w:rsidP="00030895">
      <w:pPr>
        <w:pStyle w:val="ListParagraph"/>
        <w:numPr>
          <w:ilvl w:val="2"/>
          <w:numId w:val="82"/>
        </w:numPr>
        <w:autoSpaceDE w:val="0"/>
        <w:autoSpaceDN w:val="0"/>
        <w:adjustRightInd w:val="0"/>
        <w:spacing w:line="280" w:lineRule="exact"/>
        <w:jc w:val="both"/>
        <w:rPr>
          <w:rFonts w:ascii="Times New Roman" w:hAnsi="Times New Roman"/>
          <w:color w:val="auto"/>
          <w:spacing w:val="0"/>
          <w:sz w:val="24"/>
          <w:szCs w:val="24"/>
          <w:lang w:val="en-ZA" w:eastAsia="en-ZA"/>
        </w:rPr>
      </w:pPr>
      <w:r w:rsidRPr="00714FB7">
        <w:rPr>
          <w:rFonts w:ascii="Times New Roman" w:hAnsi="Times New Roman"/>
          <w:b/>
          <w:bCs/>
          <w:color w:val="auto"/>
          <w:spacing w:val="0"/>
          <w:sz w:val="24"/>
          <w:szCs w:val="24"/>
          <w:lang w:val="en-ZA" w:eastAsia="en-ZA"/>
        </w:rPr>
        <w:t>NHLS B</w:t>
      </w:r>
      <w:r w:rsidR="00033DE3" w:rsidRPr="00714FB7">
        <w:rPr>
          <w:rFonts w:ascii="Times New Roman" w:hAnsi="Times New Roman"/>
          <w:b/>
          <w:bCs/>
          <w:color w:val="auto"/>
          <w:spacing w:val="0"/>
          <w:sz w:val="24"/>
          <w:szCs w:val="24"/>
          <w:lang w:val="en-ZA" w:eastAsia="en-ZA"/>
        </w:rPr>
        <w:t xml:space="preserve">udget for </w:t>
      </w:r>
      <w:r w:rsidRPr="00714FB7">
        <w:rPr>
          <w:rFonts w:ascii="Times New Roman" w:hAnsi="Times New Roman"/>
          <w:b/>
          <w:bCs/>
          <w:color w:val="auto"/>
          <w:spacing w:val="0"/>
          <w:sz w:val="24"/>
          <w:szCs w:val="24"/>
          <w:lang w:val="en-ZA" w:eastAsia="en-ZA"/>
        </w:rPr>
        <w:t xml:space="preserve">2017/18 </w:t>
      </w:r>
    </w:p>
    <w:p w:rsidR="00D3725F" w:rsidRPr="00714FB7" w:rsidRDefault="00D3725F" w:rsidP="00D3725F">
      <w:pPr>
        <w:autoSpaceDE w:val="0"/>
        <w:autoSpaceDN w:val="0"/>
        <w:adjustRightInd w:val="0"/>
        <w:ind w:left="360"/>
        <w:contextualSpacing/>
        <w:jc w:val="both"/>
        <w:rPr>
          <w:rFonts w:ascii="Times New Roman" w:hAnsi="Times New Roman"/>
          <w:color w:val="auto"/>
          <w:spacing w:val="0"/>
          <w:sz w:val="24"/>
          <w:szCs w:val="24"/>
          <w:lang w:val="en-ZA" w:eastAsia="en-ZA"/>
        </w:rPr>
      </w:pPr>
    </w:p>
    <w:p w:rsidR="008F1D08" w:rsidRPr="00714FB7" w:rsidRDefault="00D3725F" w:rsidP="00030895">
      <w:pPr>
        <w:spacing w:line="360" w:lineRule="auto"/>
        <w:jc w:val="both"/>
        <w:rPr>
          <w:rFonts w:ascii="Times New Roman" w:hAnsi="Times New Roman"/>
          <w:color w:val="auto"/>
          <w:sz w:val="24"/>
          <w:szCs w:val="24"/>
        </w:rPr>
      </w:pPr>
      <w:r w:rsidRPr="00714FB7">
        <w:rPr>
          <w:rFonts w:ascii="Times New Roman" w:hAnsi="Times New Roman"/>
          <w:color w:val="auto"/>
          <w:sz w:val="24"/>
          <w:szCs w:val="24"/>
        </w:rPr>
        <w:t>The NHLS’ comprehensive budget is composed of two components namely the annual government allocation and income from providing laboratory tests to patients predominantly from public hospitals.</w:t>
      </w:r>
    </w:p>
    <w:p w:rsidR="008F1D08" w:rsidRPr="00714FB7" w:rsidRDefault="008F1D08" w:rsidP="00D3725F">
      <w:pPr>
        <w:spacing w:line="280" w:lineRule="exact"/>
        <w:jc w:val="both"/>
        <w:rPr>
          <w:rFonts w:ascii="Times New Roman" w:hAnsi="Times New Roman"/>
          <w:color w:val="auto"/>
          <w:sz w:val="24"/>
          <w:szCs w:val="24"/>
        </w:rPr>
      </w:pPr>
    </w:p>
    <w:p w:rsidR="00D3725F" w:rsidRPr="00714FB7" w:rsidRDefault="00D3725F" w:rsidP="00DC6D09">
      <w:pPr>
        <w:spacing w:line="360" w:lineRule="auto"/>
        <w:ind w:left="180"/>
        <w:jc w:val="both"/>
        <w:rPr>
          <w:rFonts w:ascii="Times New Roman" w:eastAsia="Calibri" w:hAnsi="Times New Roman"/>
          <w:b/>
          <w:color w:val="auto"/>
          <w:spacing w:val="0"/>
          <w:sz w:val="24"/>
          <w:szCs w:val="24"/>
          <w:lang w:val="en-ZA" w:eastAsia="en-US"/>
        </w:rPr>
      </w:pPr>
      <w:r w:rsidRPr="00714FB7">
        <w:rPr>
          <w:rFonts w:ascii="Times New Roman" w:eastAsia="Calibri" w:hAnsi="Times New Roman"/>
          <w:b/>
          <w:color w:val="auto"/>
          <w:spacing w:val="0"/>
          <w:sz w:val="24"/>
          <w:szCs w:val="24"/>
          <w:lang w:val="en-ZA" w:eastAsia="en-US"/>
        </w:rPr>
        <w:t xml:space="preserve">Table </w:t>
      </w:r>
      <w:r w:rsidR="008F1D08" w:rsidRPr="00714FB7">
        <w:rPr>
          <w:rFonts w:ascii="Times New Roman" w:eastAsia="Calibri" w:hAnsi="Times New Roman"/>
          <w:b/>
          <w:color w:val="auto"/>
          <w:spacing w:val="0"/>
          <w:sz w:val="24"/>
          <w:szCs w:val="24"/>
          <w:lang w:val="en-ZA" w:eastAsia="en-US"/>
        </w:rPr>
        <w:t>10</w:t>
      </w:r>
      <w:r w:rsidRPr="00714FB7">
        <w:rPr>
          <w:rFonts w:ascii="Times New Roman" w:eastAsia="Calibri" w:hAnsi="Times New Roman"/>
          <w:b/>
          <w:color w:val="auto"/>
          <w:spacing w:val="0"/>
          <w:sz w:val="24"/>
          <w:szCs w:val="24"/>
          <w:lang w:val="en-ZA" w:eastAsia="en-US"/>
        </w:rPr>
        <w:t>: Statement of financial performance</w:t>
      </w:r>
    </w:p>
    <w:tbl>
      <w:tblPr>
        <w:tblStyle w:val="TableGrid31"/>
        <w:tblW w:w="0" w:type="auto"/>
        <w:tblInd w:w="-5" w:type="dxa"/>
        <w:tblLook w:val="04A0" w:firstRow="1" w:lastRow="0" w:firstColumn="1" w:lastColumn="0" w:noHBand="0" w:noVBand="1"/>
      </w:tblPr>
      <w:tblGrid>
        <w:gridCol w:w="4040"/>
        <w:gridCol w:w="1990"/>
        <w:gridCol w:w="2250"/>
      </w:tblGrid>
      <w:tr w:rsidR="00D3725F" w:rsidRPr="00714FB7" w:rsidTr="00030895">
        <w:tc>
          <w:tcPr>
            <w:tcW w:w="4040" w:type="dxa"/>
            <w:vMerge w:val="restart"/>
            <w:shd w:val="clear" w:color="auto" w:fill="auto"/>
          </w:tcPr>
          <w:p w:rsidR="00D3725F" w:rsidRPr="00714FB7" w:rsidRDefault="00D3725F" w:rsidP="00D3725F">
            <w:pPr>
              <w:spacing w:line="280" w:lineRule="exact"/>
              <w:jc w:val="both"/>
              <w:rPr>
                <w:rFonts w:ascii="Times New Roman" w:hAnsi="Times New Roman"/>
                <w:b/>
                <w:color w:val="auto"/>
                <w:spacing w:val="0"/>
                <w:sz w:val="24"/>
                <w:szCs w:val="24"/>
                <w:lang w:val="en-ZA" w:eastAsia="en-US"/>
              </w:rPr>
            </w:pPr>
          </w:p>
        </w:tc>
        <w:tc>
          <w:tcPr>
            <w:tcW w:w="1990" w:type="dxa"/>
            <w:shd w:val="clear" w:color="auto" w:fill="auto"/>
          </w:tcPr>
          <w:p w:rsidR="00D3725F" w:rsidRPr="00714FB7" w:rsidRDefault="00D3725F" w:rsidP="00D3725F">
            <w:pPr>
              <w:autoSpaceDE w:val="0"/>
              <w:autoSpaceDN w:val="0"/>
              <w:adjustRightInd w:val="0"/>
              <w:spacing w:line="280" w:lineRule="exact"/>
              <w:jc w:val="center"/>
              <w:rPr>
                <w:rFonts w:ascii="Times New Roman" w:hAnsi="Times New Roman"/>
                <w:b/>
                <w:color w:val="auto"/>
                <w:spacing w:val="0"/>
                <w:sz w:val="24"/>
                <w:szCs w:val="24"/>
                <w:lang w:val="en-ZA" w:eastAsia="en-US"/>
              </w:rPr>
            </w:pPr>
            <w:r w:rsidRPr="00714FB7">
              <w:rPr>
                <w:rFonts w:ascii="Times New Roman" w:hAnsi="Times New Roman"/>
                <w:b/>
                <w:color w:val="auto"/>
                <w:spacing w:val="0"/>
                <w:sz w:val="24"/>
                <w:szCs w:val="24"/>
                <w:lang w:val="en-ZA" w:eastAsia="en-US"/>
              </w:rPr>
              <w:t>2016/17</w:t>
            </w:r>
          </w:p>
        </w:tc>
        <w:tc>
          <w:tcPr>
            <w:tcW w:w="2250" w:type="dxa"/>
            <w:shd w:val="clear" w:color="auto" w:fill="auto"/>
          </w:tcPr>
          <w:p w:rsidR="00D3725F" w:rsidRPr="00714FB7" w:rsidRDefault="00D3725F" w:rsidP="00D3725F">
            <w:pPr>
              <w:autoSpaceDE w:val="0"/>
              <w:autoSpaceDN w:val="0"/>
              <w:adjustRightInd w:val="0"/>
              <w:spacing w:line="280" w:lineRule="exact"/>
              <w:jc w:val="center"/>
              <w:rPr>
                <w:rFonts w:ascii="Times New Roman" w:hAnsi="Times New Roman"/>
                <w:b/>
                <w:color w:val="auto"/>
                <w:spacing w:val="0"/>
                <w:sz w:val="24"/>
                <w:szCs w:val="24"/>
                <w:lang w:val="en-ZA" w:eastAsia="en-US"/>
              </w:rPr>
            </w:pPr>
            <w:r w:rsidRPr="00714FB7">
              <w:rPr>
                <w:rFonts w:ascii="Times New Roman" w:hAnsi="Times New Roman"/>
                <w:b/>
                <w:color w:val="auto"/>
                <w:spacing w:val="0"/>
                <w:sz w:val="24"/>
                <w:szCs w:val="24"/>
                <w:lang w:val="en-ZA" w:eastAsia="en-US"/>
              </w:rPr>
              <w:t>2017/18</w:t>
            </w:r>
          </w:p>
        </w:tc>
      </w:tr>
      <w:tr w:rsidR="00D3725F" w:rsidRPr="00714FB7" w:rsidTr="00030895">
        <w:tc>
          <w:tcPr>
            <w:tcW w:w="4040" w:type="dxa"/>
            <w:vMerge/>
            <w:shd w:val="clear" w:color="auto" w:fill="auto"/>
          </w:tcPr>
          <w:p w:rsidR="00D3725F" w:rsidRPr="00714FB7" w:rsidRDefault="00D3725F" w:rsidP="00D3725F">
            <w:pPr>
              <w:spacing w:line="280" w:lineRule="exact"/>
              <w:jc w:val="both"/>
              <w:rPr>
                <w:rFonts w:ascii="Times New Roman" w:hAnsi="Times New Roman"/>
                <w:b/>
                <w:color w:val="auto"/>
                <w:spacing w:val="0"/>
                <w:sz w:val="24"/>
                <w:szCs w:val="24"/>
                <w:lang w:val="en-ZA" w:eastAsia="en-US"/>
              </w:rPr>
            </w:pPr>
          </w:p>
        </w:tc>
        <w:tc>
          <w:tcPr>
            <w:tcW w:w="1990" w:type="dxa"/>
            <w:shd w:val="clear" w:color="auto" w:fill="auto"/>
          </w:tcPr>
          <w:p w:rsidR="00D3725F" w:rsidRPr="00714FB7" w:rsidRDefault="00D3725F" w:rsidP="00D3725F">
            <w:pPr>
              <w:autoSpaceDE w:val="0"/>
              <w:autoSpaceDN w:val="0"/>
              <w:adjustRightInd w:val="0"/>
              <w:spacing w:line="280" w:lineRule="exact"/>
              <w:jc w:val="center"/>
              <w:rPr>
                <w:rFonts w:ascii="Times New Roman" w:hAnsi="Times New Roman"/>
                <w:b/>
                <w:color w:val="auto"/>
                <w:spacing w:val="0"/>
                <w:sz w:val="24"/>
                <w:szCs w:val="24"/>
                <w:lang w:val="en-ZA" w:eastAsia="en-US"/>
              </w:rPr>
            </w:pPr>
            <w:r w:rsidRPr="00714FB7">
              <w:rPr>
                <w:rFonts w:ascii="Times New Roman" w:hAnsi="Times New Roman"/>
                <w:b/>
                <w:color w:val="auto"/>
                <w:spacing w:val="0"/>
                <w:sz w:val="24"/>
                <w:szCs w:val="24"/>
                <w:lang w:val="en-ZA" w:eastAsia="en-US"/>
              </w:rPr>
              <w:t>R’000</w:t>
            </w:r>
          </w:p>
        </w:tc>
        <w:tc>
          <w:tcPr>
            <w:tcW w:w="2250" w:type="dxa"/>
            <w:shd w:val="clear" w:color="auto" w:fill="auto"/>
          </w:tcPr>
          <w:p w:rsidR="00D3725F" w:rsidRPr="00714FB7" w:rsidRDefault="00D3725F" w:rsidP="00D3725F">
            <w:pPr>
              <w:autoSpaceDE w:val="0"/>
              <w:autoSpaceDN w:val="0"/>
              <w:adjustRightInd w:val="0"/>
              <w:spacing w:line="280" w:lineRule="exact"/>
              <w:jc w:val="center"/>
              <w:rPr>
                <w:rFonts w:ascii="Times New Roman" w:hAnsi="Times New Roman"/>
                <w:b/>
                <w:color w:val="auto"/>
                <w:spacing w:val="0"/>
                <w:sz w:val="24"/>
                <w:szCs w:val="24"/>
                <w:lang w:val="en-ZA" w:eastAsia="en-US"/>
              </w:rPr>
            </w:pPr>
            <w:r w:rsidRPr="00714FB7">
              <w:rPr>
                <w:rFonts w:ascii="Times New Roman" w:hAnsi="Times New Roman"/>
                <w:b/>
                <w:color w:val="auto"/>
                <w:spacing w:val="0"/>
                <w:sz w:val="24"/>
                <w:szCs w:val="24"/>
                <w:lang w:val="en-ZA" w:eastAsia="en-US"/>
              </w:rPr>
              <w:t>R’000</w:t>
            </w:r>
          </w:p>
        </w:tc>
      </w:tr>
      <w:tr w:rsidR="00D3725F" w:rsidRPr="00714FB7" w:rsidTr="00030895">
        <w:tc>
          <w:tcPr>
            <w:tcW w:w="4040" w:type="dxa"/>
            <w:shd w:val="clear" w:color="auto" w:fill="auto"/>
          </w:tcPr>
          <w:p w:rsidR="00D3725F" w:rsidRPr="00714FB7" w:rsidRDefault="00D3725F" w:rsidP="00D3725F">
            <w:pPr>
              <w:spacing w:line="280" w:lineRule="exact"/>
              <w:jc w:val="both"/>
              <w:rPr>
                <w:rFonts w:ascii="Times New Roman" w:hAnsi="Times New Roman"/>
                <w:b/>
                <w:color w:val="auto"/>
                <w:spacing w:val="0"/>
                <w:sz w:val="24"/>
                <w:szCs w:val="24"/>
                <w:lang w:val="en-ZA" w:eastAsia="en-US"/>
              </w:rPr>
            </w:pPr>
            <w:r w:rsidRPr="00714FB7">
              <w:rPr>
                <w:rFonts w:ascii="Times New Roman" w:hAnsi="Times New Roman"/>
                <w:b/>
                <w:color w:val="auto"/>
                <w:spacing w:val="0"/>
                <w:sz w:val="24"/>
                <w:szCs w:val="24"/>
                <w:lang w:val="en-ZA" w:eastAsia="en-US"/>
              </w:rPr>
              <w:t xml:space="preserve">Revenue </w:t>
            </w:r>
          </w:p>
        </w:tc>
        <w:tc>
          <w:tcPr>
            <w:tcW w:w="1990" w:type="dxa"/>
            <w:shd w:val="clear" w:color="auto" w:fill="auto"/>
          </w:tcPr>
          <w:p w:rsidR="00D3725F" w:rsidRPr="00714FB7" w:rsidRDefault="00D3725F" w:rsidP="00D3725F">
            <w:pPr>
              <w:spacing w:line="280" w:lineRule="exact"/>
              <w:jc w:val="right"/>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6 599 056</w:t>
            </w:r>
          </w:p>
        </w:tc>
        <w:tc>
          <w:tcPr>
            <w:tcW w:w="2250" w:type="dxa"/>
            <w:shd w:val="clear" w:color="auto" w:fill="auto"/>
          </w:tcPr>
          <w:p w:rsidR="00D3725F" w:rsidRPr="00714FB7" w:rsidRDefault="00D3725F" w:rsidP="00D3725F">
            <w:pPr>
              <w:spacing w:line="280" w:lineRule="exact"/>
              <w:jc w:val="right"/>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7 142 527</w:t>
            </w:r>
          </w:p>
        </w:tc>
      </w:tr>
      <w:tr w:rsidR="00D3725F" w:rsidRPr="00714FB7" w:rsidTr="00030895">
        <w:tc>
          <w:tcPr>
            <w:tcW w:w="4040" w:type="dxa"/>
            <w:shd w:val="clear" w:color="auto" w:fill="auto"/>
          </w:tcPr>
          <w:p w:rsidR="00D3725F" w:rsidRPr="00714FB7" w:rsidRDefault="00D3725F" w:rsidP="00D3725F">
            <w:pPr>
              <w:spacing w:line="280" w:lineRule="exact"/>
              <w:jc w:val="both"/>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Government Allocation/transfer</w:t>
            </w:r>
          </w:p>
        </w:tc>
        <w:tc>
          <w:tcPr>
            <w:tcW w:w="1990" w:type="dxa"/>
            <w:shd w:val="clear" w:color="auto" w:fill="auto"/>
          </w:tcPr>
          <w:p w:rsidR="00D3725F" w:rsidRPr="00714FB7" w:rsidRDefault="00D3725F" w:rsidP="00D3725F">
            <w:pPr>
              <w:spacing w:line="280" w:lineRule="exact"/>
              <w:jc w:val="right"/>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711 871</w:t>
            </w:r>
          </w:p>
        </w:tc>
        <w:tc>
          <w:tcPr>
            <w:tcW w:w="2250" w:type="dxa"/>
            <w:shd w:val="clear" w:color="auto" w:fill="auto"/>
          </w:tcPr>
          <w:p w:rsidR="00D3725F" w:rsidRPr="00714FB7" w:rsidRDefault="00D3725F" w:rsidP="00D3725F">
            <w:pPr>
              <w:spacing w:line="280" w:lineRule="exact"/>
              <w:jc w:val="right"/>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746 464</w:t>
            </w:r>
          </w:p>
        </w:tc>
      </w:tr>
      <w:tr w:rsidR="00D3725F" w:rsidRPr="00714FB7" w:rsidTr="00030895">
        <w:tc>
          <w:tcPr>
            <w:tcW w:w="4040" w:type="dxa"/>
            <w:shd w:val="clear" w:color="auto" w:fill="auto"/>
          </w:tcPr>
          <w:p w:rsidR="00D3725F" w:rsidRPr="00714FB7" w:rsidRDefault="00D3725F" w:rsidP="00D3725F">
            <w:pPr>
              <w:spacing w:line="280" w:lineRule="exact"/>
              <w:jc w:val="both"/>
              <w:rPr>
                <w:rFonts w:ascii="Times New Roman" w:hAnsi="Times New Roman"/>
                <w:b/>
                <w:color w:val="auto"/>
                <w:spacing w:val="0"/>
                <w:sz w:val="24"/>
                <w:szCs w:val="24"/>
                <w:lang w:val="en-ZA" w:eastAsia="en-US"/>
              </w:rPr>
            </w:pPr>
            <w:r w:rsidRPr="00714FB7">
              <w:rPr>
                <w:rFonts w:ascii="Times New Roman" w:hAnsi="Times New Roman"/>
                <w:b/>
                <w:color w:val="auto"/>
                <w:spacing w:val="0"/>
                <w:sz w:val="24"/>
                <w:szCs w:val="24"/>
                <w:lang w:val="en-ZA" w:eastAsia="en-US"/>
              </w:rPr>
              <w:t>Total Revenue</w:t>
            </w:r>
          </w:p>
        </w:tc>
        <w:tc>
          <w:tcPr>
            <w:tcW w:w="1990" w:type="dxa"/>
            <w:shd w:val="clear" w:color="auto" w:fill="auto"/>
          </w:tcPr>
          <w:p w:rsidR="00D3725F" w:rsidRPr="00714FB7" w:rsidRDefault="00D3725F" w:rsidP="00D3725F">
            <w:pPr>
              <w:spacing w:line="280" w:lineRule="exact"/>
              <w:jc w:val="right"/>
              <w:rPr>
                <w:rFonts w:ascii="Times New Roman" w:hAnsi="Times New Roman"/>
                <w:b/>
                <w:color w:val="auto"/>
                <w:spacing w:val="0"/>
                <w:sz w:val="24"/>
                <w:szCs w:val="24"/>
                <w:lang w:val="en-ZA" w:eastAsia="en-US"/>
              </w:rPr>
            </w:pPr>
            <w:r w:rsidRPr="00714FB7">
              <w:rPr>
                <w:rFonts w:ascii="Times New Roman" w:hAnsi="Times New Roman"/>
                <w:b/>
                <w:color w:val="auto"/>
                <w:spacing w:val="0"/>
                <w:sz w:val="24"/>
                <w:szCs w:val="24"/>
                <w:lang w:val="en-ZA" w:eastAsia="en-US"/>
              </w:rPr>
              <w:t>7 310 927</w:t>
            </w:r>
          </w:p>
        </w:tc>
        <w:tc>
          <w:tcPr>
            <w:tcW w:w="2250" w:type="dxa"/>
            <w:shd w:val="clear" w:color="auto" w:fill="auto"/>
          </w:tcPr>
          <w:p w:rsidR="00D3725F" w:rsidRPr="00714FB7" w:rsidRDefault="00D3725F" w:rsidP="00D3725F">
            <w:pPr>
              <w:spacing w:line="280" w:lineRule="exact"/>
              <w:jc w:val="right"/>
              <w:rPr>
                <w:rFonts w:ascii="Times New Roman" w:hAnsi="Times New Roman"/>
                <w:b/>
                <w:color w:val="auto"/>
                <w:spacing w:val="0"/>
                <w:sz w:val="24"/>
                <w:szCs w:val="24"/>
                <w:lang w:val="en-ZA" w:eastAsia="en-US"/>
              </w:rPr>
            </w:pPr>
            <w:r w:rsidRPr="00714FB7">
              <w:rPr>
                <w:rFonts w:ascii="Times New Roman" w:hAnsi="Times New Roman"/>
                <w:b/>
                <w:color w:val="auto"/>
                <w:spacing w:val="0"/>
                <w:sz w:val="24"/>
                <w:szCs w:val="24"/>
                <w:lang w:val="en-ZA" w:eastAsia="en-US"/>
              </w:rPr>
              <w:t>7 888 991</w:t>
            </w:r>
          </w:p>
        </w:tc>
      </w:tr>
      <w:tr w:rsidR="00D3725F" w:rsidRPr="00714FB7" w:rsidTr="00030895">
        <w:tc>
          <w:tcPr>
            <w:tcW w:w="4040" w:type="dxa"/>
            <w:shd w:val="clear" w:color="auto" w:fill="auto"/>
          </w:tcPr>
          <w:p w:rsidR="00D3725F" w:rsidRPr="00714FB7" w:rsidRDefault="00D3725F" w:rsidP="00D3725F">
            <w:pPr>
              <w:spacing w:line="280" w:lineRule="exact"/>
              <w:jc w:val="both"/>
              <w:rPr>
                <w:rFonts w:ascii="Times New Roman" w:hAnsi="Times New Roman"/>
                <w:b/>
                <w:color w:val="auto"/>
                <w:spacing w:val="0"/>
                <w:sz w:val="24"/>
                <w:szCs w:val="24"/>
                <w:lang w:val="en-ZA" w:eastAsia="en-US"/>
              </w:rPr>
            </w:pPr>
            <w:r w:rsidRPr="00714FB7">
              <w:rPr>
                <w:rFonts w:ascii="Times New Roman" w:hAnsi="Times New Roman"/>
                <w:b/>
                <w:bCs/>
                <w:color w:val="auto"/>
                <w:spacing w:val="0"/>
                <w:sz w:val="24"/>
                <w:szCs w:val="24"/>
                <w:lang w:val="en-ZA" w:eastAsia="en-US"/>
              </w:rPr>
              <w:t>Expenses</w:t>
            </w:r>
          </w:p>
        </w:tc>
        <w:tc>
          <w:tcPr>
            <w:tcW w:w="1990" w:type="dxa"/>
            <w:shd w:val="clear" w:color="auto" w:fill="auto"/>
          </w:tcPr>
          <w:p w:rsidR="00D3725F" w:rsidRPr="00714FB7" w:rsidRDefault="00D3725F" w:rsidP="00D3725F">
            <w:pPr>
              <w:spacing w:line="280" w:lineRule="exact"/>
              <w:jc w:val="right"/>
              <w:rPr>
                <w:rFonts w:ascii="Times New Roman" w:hAnsi="Times New Roman"/>
                <w:b/>
                <w:color w:val="auto"/>
                <w:spacing w:val="0"/>
                <w:sz w:val="24"/>
                <w:szCs w:val="24"/>
                <w:lang w:val="en-ZA" w:eastAsia="en-US"/>
              </w:rPr>
            </w:pPr>
          </w:p>
        </w:tc>
        <w:tc>
          <w:tcPr>
            <w:tcW w:w="2250" w:type="dxa"/>
            <w:shd w:val="clear" w:color="auto" w:fill="auto"/>
          </w:tcPr>
          <w:p w:rsidR="00D3725F" w:rsidRPr="00714FB7" w:rsidRDefault="00D3725F" w:rsidP="00D3725F">
            <w:pPr>
              <w:spacing w:line="280" w:lineRule="exact"/>
              <w:jc w:val="right"/>
              <w:rPr>
                <w:rFonts w:ascii="Times New Roman" w:hAnsi="Times New Roman"/>
                <w:b/>
                <w:color w:val="auto"/>
                <w:spacing w:val="0"/>
                <w:sz w:val="24"/>
                <w:szCs w:val="24"/>
                <w:lang w:val="en-ZA" w:eastAsia="en-US"/>
              </w:rPr>
            </w:pPr>
          </w:p>
        </w:tc>
      </w:tr>
      <w:tr w:rsidR="00D3725F" w:rsidRPr="00714FB7" w:rsidTr="00030895">
        <w:tc>
          <w:tcPr>
            <w:tcW w:w="4040" w:type="dxa"/>
            <w:shd w:val="clear" w:color="auto" w:fill="auto"/>
          </w:tcPr>
          <w:p w:rsidR="00D3725F" w:rsidRPr="00714FB7" w:rsidRDefault="00D3725F" w:rsidP="00D3725F">
            <w:pPr>
              <w:spacing w:line="280" w:lineRule="exact"/>
              <w:jc w:val="both"/>
              <w:rPr>
                <w:rFonts w:ascii="Times New Roman" w:hAnsi="Times New Roman"/>
                <w:bCs/>
                <w:color w:val="auto"/>
                <w:spacing w:val="0"/>
                <w:sz w:val="24"/>
                <w:szCs w:val="24"/>
                <w:lang w:val="en-ZA" w:eastAsia="en-US"/>
              </w:rPr>
            </w:pPr>
            <w:r w:rsidRPr="00714FB7">
              <w:rPr>
                <w:rFonts w:ascii="Times New Roman" w:hAnsi="Times New Roman"/>
                <w:bCs/>
                <w:color w:val="auto"/>
                <w:spacing w:val="0"/>
                <w:sz w:val="24"/>
                <w:szCs w:val="24"/>
                <w:lang w:val="en-ZA" w:eastAsia="en-US"/>
              </w:rPr>
              <w:t>Compensation of employees</w:t>
            </w:r>
          </w:p>
        </w:tc>
        <w:tc>
          <w:tcPr>
            <w:tcW w:w="1990" w:type="dxa"/>
            <w:shd w:val="clear" w:color="auto" w:fill="auto"/>
          </w:tcPr>
          <w:p w:rsidR="00D3725F" w:rsidRPr="00714FB7" w:rsidRDefault="00D3725F" w:rsidP="00D3725F">
            <w:pPr>
              <w:spacing w:line="280" w:lineRule="exact"/>
              <w:jc w:val="right"/>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(3 064 721)</w:t>
            </w:r>
          </w:p>
        </w:tc>
        <w:tc>
          <w:tcPr>
            <w:tcW w:w="2250" w:type="dxa"/>
            <w:shd w:val="clear" w:color="auto" w:fill="auto"/>
          </w:tcPr>
          <w:p w:rsidR="00D3725F" w:rsidRPr="00714FB7" w:rsidRDefault="00D3725F" w:rsidP="00D3725F">
            <w:pPr>
              <w:spacing w:line="280" w:lineRule="exact"/>
              <w:jc w:val="right"/>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(3 454 939)</w:t>
            </w:r>
          </w:p>
        </w:tc>
      </w:tr>
      <w:tr w:rsidR="00D3725F" w:rsidRPr="00714FB7" w:rsidTr="00030895">
        <w:tc>
          <w:tcPr>
            <w:tcW w:w="4040" w:type="dxa"/>
            <w:shd w:val="clear" w:color="auto" w:fill="auto"/>
          </w:tcPr>
          <w:p w:rsidR="00D3725F" w:rsidRPr="00714FB7" w:rsidRDefault="00D3725F" w:rsidP="00D3725F">
            <w:pPr>
              <w:spacing w:line="280" w:lineRule="exact"/>
              <w:jc w:val="both"/>
              <w:rPr>
                <w:rFonts w:ascii="Times New Roman" w:hAnsi="Times New Roman"/>
                <w:bCs/>
                <w:color w:val="auto"/>
                <w:spacing w:val="0"/>
                <w:sz w:val="24"/>
                <w:szCs w:val="24"/>
                <w:lang w:val="en-ZA" w:eastAsia="en-US"/>
              </w:rPr>
            </w:pPr>
            <w:r w:rsidRPr="00714FB7">
              <w:rPr>
                <w:rFonts w:ascii="Times New Roman" w:hAnsi="Times New Roman"/>
                <w:bCs/>
                <w:color w:val="auto"/>
                <w:spacing w:val="0"/>
                <w:sz w:val="24"/>
                <w:szCs w:val="24"/>
                <w:lang w:val="en-ZA" w:eastAsia="en-US"/>
              </w:rPr>
              <w:t>Materials</w:t>
            </w:r>
          </w:p>
        </w:tc>
        <w:tc>
          <w:tcPr>
            <w:tcW w:w="1990" w:type="dxa"/>
            <w:shd w:val="clear" w:color="auto" w:fill="auto"/>
          </w:tcPr>
          <w:p w:rsidR="00D3725F" w:rsidRPr="00714FB7" w:rsidRDefault="00D3725F" w:rsidP="00D3725F">
            <w:pPr>
              <w:spacing w:line="280" w:lineRule="exact"/>
              <w:jc w:val="right"/>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(2 220 744)</w:t>
            </w:r>
          </w:p>
        </w:tc>
        <w:tc>
          <w:tcPr>
            <w:tcW w:w="2250" w:type="dxa"/>
            <w:shd w:val="clear" w:color="auto" w:fill="auto"/>
          </w:tcPr>
          <w:p w:rsidR="00D3725F" w:rsidRPr="00714FB7" w:rsidRDefault="00D3725F" w:rsidP="00D3725F">
            <w:pPr>
              <w:spacing w:line="280" w:lineRule="exact"/>
              <w:jc w:val="right"/>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(2 425 052)</w:t>
            </w:r>
          </w:p>
        </w:tc>
      </w:tr>
      <w:tr w:rsidR="00D3725F" w:rsidRPr="00714FB7" w:rsidTr="00030895">
        <w:tc>
          <w:tcPr>
            <w:tcW w:w="4040" w:type="dxa"/>
            <w:shd w:val="clear" w:color="auto" w:fill="auto"/>
          </w:tcPr>
          <w:p w:rsidR="00D3725F" w:rsidRPr="00714FB7" w:rsidRDefault="00D3725F" w:rsidP="00D3725F">
            <w:pPr>
              <w:spacing w:line="280" w:lineRule="exact"/>
              <w:jc w:val="both"/>
              <w:rPr>
                <w:rFonts w:ascii="Times New Roman" w:hAnsi="Times New Roman"/>
                <w:bCs/>
                <w:color w:val="auto"/>
                <w:spacing w:val="0"/>
                <w:sz w:val="24"/>
                <w:szCs w:val="24"/>
                <w:lang w:val="en-ZA" w:eastAsia="en-US"/>
              </w:rPr>
            </w:pPr>
            <w:r w:rsidRPr="00714FB7">
              <w:rPr>
                <w:rFonts w:ascii="Times New Roman" w:hAnsi="Times New Roman"/>
                <w:bCs/>
                <w:color w:val="auto"/>
                <w:spacing w:val="0"/>
                <w:sz w:val="24"/>
                <w:szCs w:val="24"/>
                <w:lang w:val="en-ZA" w:eastAsia="en-US"/>
              </w:rPr>
              <w:t>Goods and services</w:t>
            </w:r>
          </w:p>
        </w:tc>
        <w:tc>
          <w:tcPr>
            <w:tcW w:w="1990" w:type="dxa"/>
            <w:shd w:val="clear" w:color="auto" w:fill="auto"/>
          </w:tcPr>
          <w:p w:rsidR="00D3725F" w:rsidRPr="00714FB7" w:rsidRDefault="00D3725F" w:rsidP="00D3725F">
            <w:pPr>
              <w:spacing w:line="280" w:lineRule="exact"/>
              <w:jc w:val="right"/>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(1 525 621)</w:t>
            </w:r>
          </w:p>
        </w:tc>
        <w:tc>
          <w:tcPr>
            <w:tcW w:w="2250" w:type="dxa"/>
            <w:shd w:val="clear" w:color="auto" w:fill="auto"/>
          </w:tcPr>
          <w:p w:rsidR="00D3725F" w:rsidRPr="00714FB7" w:rsidRDefault="00D3725F" w:rsidP="00D3725F">
            <w:pPr>
              <w:spacing w:line="280" w:lineRule="exact"/>
              <w:jc w:val="right"/>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(1 602 062)</w:t>
            </w:r>
          </w:p>
        </w:tc>
      </w:tr>
      <w:tr w:rsidR="00D3725F" w:rsidRPr="00714FB7" w:rsidTr="00030895">
        <w:tc>
          <w:tcPr>
            <w:tcW w:w="4040" w:type="dxa"/>
            <w:shd w:val="clear" w:color="auto" w:fill="auto"/>
          </w:tcPr>
          <w:p w:rsidR="00D3725F" w:rsidRPr="00714FB7" w:rsidRDefault="00D3725F" w:rsidP="00D3725F">
            <w:pPr>
              <w:spacing w:line="280" w:lineRule="exact"/>
              <w:jc w:val="both"/>
              <w:rPr>
                <w:rFonts w:ascii="Times New Roman" w:hAnsi="Times New Roman"/>
                <w:bCs/>
                <w:color w:val="auto"/>
                <w:spacing w:val="0"/>
                <w:sz w:val="24"/>
                <w:szCs w:val="24"/>
                <w:lang w:val="en-ZA" w:eastAsia="en-US"/>
              </w:rPr>
            </w:pPr>
            <w:r w:rsidRPr="00714FB7">
              <w:rPr>
                <w:rFonts w:ascii="Times New Roman" w:hAnsi="Times New Roman"/>
                <w:bCs/>
                <w:color w:val="auto"/>
                <w:spacing w:val="0"/>
                <w:sz w:val="24"/>
                <w:szCs w:val="24"/>
                <w:lang w:val="en-ZA" w:eastAsia="en-US"/>
              </w:rPr>
              <w:t>Depreciation</w:t>
            </w:r>
          </w:p>
        </w:tc>
        <w:tc>
          <w:tcPr>
            <w:tcW w:w="1990" w:type="dxa"/>
            <w:shd w:val="clear" w:color="auto" w:fill="auto"/>
          </w:tcPr>
          <w:p w:rsidR="00D3725F" w:rsidRPr="00714FB7" w:rsidRDefault="00D3725F" w:rsidP="00D3725F">
            <w:pPr>
              <w:spacing w:line="280" w:lineRule="exact"/>
              <w:jc w:val="right"/>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(130 303)</w:t>
            </w:r>
          </w:p>
        </w:tc>
        <w:tc>
          <w:tcPr>
            <w:tcW w:w="2250" w:type="dxa"/>
            <w:shd w:val="clear" w:color="auto" w:fill="auto"/>
          </w:tcPr>
          <w:p w:rsidR="00D3725F" w:rsidRPr="00714FB7" w:rsidRDefault="00D3725F" w:rsidP="00D3725F">
            <w:pPr>
              <w:spacing w:line="280" w:lineRule="exact"/>
              <w:jc w:val="right"/>
              <w:rPr>
                <w:rFonts w:ascii="Times New Roman" w:hAnsi="Times New Roman"/>
                <w:color w:val="auto"/>
                <w:spacing w:val="0"/>
                <w:sz w:val="24"/>
                <w:szCs w:val="24"/>
                <w:lang w:val="en-ZA" w:eastAsia="en-US"/>
              </w:rPr>
            </w:pPr>
            <w:r w:rsidRPr="00714FB7">
              <w:rPr>
                <w:rFonts w:ascii="Times New Roman" w:hAnsi="Times New Roman"/>
                <w:color w:val="auto"/>
                <w:spacing w:val="0"/>
                <w:sz w:val="24"/>
                <w:szCs w:val="24"/>
                <w:lang w:val="en-ZA" w:eastAsia="en-US"/>
              </w:rPr>
              <w:t>(134 417)</w:t>
            </w:r>
          </w:p>
        </w:tc>
      </w:tr>
      <w:tr w:rsidR="00D3725F" w:rsidRPr="00714FB7" w:rsidTr="00030895">
        <w:tc>
          <w:tcPr>
            <w:tcW w:w="4040" w:type="dxa"/>
            <w:shd w:val="clear" w:color="auto" w:fill="auto"/>
          </w:tcPr>
          <w:p w:rsidR="00D3725F" w:rsidRPr="00714FB7" w:rsidRDefault="00D3725F" w:rsidP="00D3725F">
            <w:pPr>
              <w:spacing w:line="280" w:lineRule="exact"/>
              <w:jc w:val="both"/>
              <w:rPr>
                <w:rFonts w:ascii="Times New Roman" w:hAnsi="Times New Roman"/>
                <w:bCs/>
                <w:color w:val="auto"/>
                <w:spacing w:val="0"/>
                <w:sz w:val="24"/>
                <w:szCs w:val="24"/>
                <w:lang w:val="en-ZA" w:eastAsia="en-US"/>
              </w:rPr>
            </w:pPr>
            <w:r w:rsidRPr="00714FB7">
              <w:rPr>
                <w:rFonts w:ascii="Times New Roman" w:hAnsi="Times New Roman"/>
                <w:b/>
                <w:bCs/>
                <w:color w:val="auto"/>
                <w:spacing w:val="0"/>
                <w:sz w:val="24"/>
                <w:szCs w:val="24"/>
                <w:lang w:val="en-ZA" w:eastAsia="en-US"/>
              </w:rPr>
              <w:t>Total expenses</w:t>
            </w:r>
          </w:p>
        </w:tc>
        <w:tc>
          <w:tcPr>
            <w:tcW w:w="1990" w:type="dxa"/>
            <w:shd w:val="clear" w:color="auto" w:fill="auto"/>
          </w:tcPr>
          <w:p w:rsidR="00D3725F" w:rsidRPr="00714FB7" w:rsidRDefault="00D3725F" w:rsidP="00D3725F">
            <w:pPr>
              <w:spacing w:line="280" w:lineRule="exact"/>
              <w:jc w:val="right"/>
              <w:rPr>
                <w:rFonts w:ascii="Times New Roman" w:hAnsi="Times New Roman"/>
                <w:b/>
                <w:color w:val="auto"/>
                <w:spacing w:val="0"/>
                <w:sz w:val="24"/>
                <w:szCs w:val="24"/>
                <w:lang w:val="en-ZA" w:eastAsia="en-US"/>
              </w:rPr>
            </w:pPr>
            <w:r w:rsidRPr="00714FB7">
              <w:rPr>
                <w:rFonts w:ascii="Times New Roman" w:hAnsi="Times New Roman"/>
                <w:b/>
                <w:color w:val="auto"/>
                <w:spacing w:val="0"/>
                <w:sz w:val="24"/>
                <w:szCs w:val="24"/>
                <w:lang w:val="en-ZA" w:eastAsia="en-US"/>
              </w:rPr>
              <w:t>6 941 389</w:t>
            </w:r>
          </w:p>
        </w:tc>
        <w:tc>
          <w:tcPr>
            <w:tcW w:w="2250" w:type="dxa"/>
            <w:shd w:val="clear" w:color="auto" w:fill="auto"/>
          </w:tcPr>
          <w:p w:rsidR="00D3725F" w:rsidRPr="00714FB7" w:rsidRDefault="00D3725F" w:rsidP="00D3725F">
            <w:pPr>
              <w:spacing w:line="280" w:lineRule="exact"/>
              <w:jc w:val="right"/>
              <w:rPr>
                <w:rFonts w:ascii="Times New Roman" w:hAnsi="Times New Roman"/>
                <w:b/>
                <w:color w:val="auto"/>
                <w:spacing w:val="0"/>
                <w:sz w:val="24"/>
                <w:szCs w:val="24"/>
                <w:lang w:val="en-ZA" w:eastAsia="en-US"/>
              </w:rPr>
            </w:pPr>
            <w:r w:rsidRPr="00714FB7">
              <w:rPr>
                <w:rFonts w:ascii="Times New Roman" w:hAnsi="Times New Roman"/>
                <w:b/>
                <w:color w:val="auto"/>
                <w:spacing w:val="0"/>
                <w:sz w:val="24"/>
                <w:szCs w:val="24"/>
                <w:lang w:val="en-ZA" w:eastAsia="en-US"/>
              </w:rPr>
              <w:t>7 616 470</w:t>
            </w:r>
          </w:p>
        </w:tc>
      </w:tr>
      <w:tr w:rsidR="00D3725F" w:rsidRPr="00714FB7" w:rsidTr="00030895">
        <w:tc>
          <w:tcPr>
            <w:tcW w:w="4040" w:type="dxa"/>
            <w:shd w:val="clear" w:color="auto" w:fill="auto"/>
          </w:tcPr>
          <w:p w:rsidR="00D3725F" w:rsidRPr="00714FB7" w:rsidRDefault="00D3725F" w:rsidP="00D3725F">
            <w:pPr>
              <w:spacing w:line="280" w:lineRule="exact"/>
              <w:jc w:val="both"/>
              <w:rPr>
                <w:rFonts w:ascii="Times New Roman" w:hAnsi="Times New Roman"/>
                <w:bCs/>
                <w:color w:val="auto"/>
                <w:spacing w:val="0"/>
                <w:sz w:val="24"/>
                <w:szCs w:val="24"/>
                <w:lang w:val="en-ZA" w:eastAsia="en-US"/>
              </w:rPr>
            </w:pPr>
            <w:r w:rsidRPr="00714FB7">
              <w:rPr>
                <w:rFonts w:ascii="Times New Roman" w:hAnsi="Times New Roman"/>
                <w:b/>
                <w:bCs/>
                <w:color w:val="auto"/>
                <w:spacing w:val="0"/>
                <w:sz w:val="24"/>
                <w:szCs w:val="24"/>
                <w:lang w:val="en-ZA" w:eastAsia="en-US"/>
              </w:rPr>
              <w:t>Surplus/(Deficit)</w:t>
            </w:r>
          </w:p>
        </w:tc>
        <w:tc>
          <w:tcPr>
            <w:tcW w:w="1990" w:type="dxa"/>
            <w:shd w:val="clear" w:color="auto" w:fill="auto"/>
          </w:tcPr>
          <w:p w:rsidR="00D3725F" w:rsidRPr="00714FB7" w:rsidRDefault="00D3725F" w:rsidP="00D3725F">
            <w:pPr>
              <w:spacing w:line="280" w:lineRule="exact"/>
              <w:jc w:val="right"/>
              <w:rPr>
                <w:rFonts w:ascii="Times New Roman" w:hAnsi="Times New Roman"/>
                <w:b/>
                <w:color w:val="auto"/>
                <w:spacing w:val="0"/>
                <w:sz w:val="24"/>
                <w:szCs w:val="24"/>
                <w:lang w:val="en-ZA" w:eastAsia="en-US"/>
              </w:rPr>
            </w:pPr>
            <w:r w:rsidRPr="00714FB7">
              <w:rPr>
                <w:rFonts w:ascii="Times New Roman" w:hAnsi="Times New Roman"/>
                <w:b/>
                <w:color w:val="auto"/>
                <w:spacing w:val="0"/>
                <w:sz w:val="24"/>
                <w:szCs w:val="24"/>
                <w:lang w:val="en-ZA" w:eastAsia="en-US"/>
              </w:rPr>
              <w:t>369 538</w:t>
            </w:r>
          </w:p>
        </w:tc>
        <w:tc>
          <w:tcPr>
            <w:tcW w:w="2250" w:type="dxa"/>
            <w:shd w:val="clear" w:color="auto" w:fill="auto"/>
          </w:tcPr>
          <w:p w:rsidR="00D3725F" w:rsidRPr="00714FB7" w:rsidRDefault="00D3725F" w:rsidP="00D3725F">
            <w:pPr>
              <w:spacing w:line="280" w:lineRule="exact"/>
              <w:jc w:val="right"/>
              <w:rPr>
                <w:rFonts w:ascii="Times New Roman" w:hAnsi="Times New Roman"/>
                <w:b/>
                <w:color w:val="auto"/>
                <w:spacing w:val="0"/>
                <w:sz w:val="24"/>
                <w:szCs w:val="24"/>
                <w:lang w:val="en-ZA" w:eastAsia="en-US"/>
              </w:rPr>
            </w:pPr>
            <w:r w:rsidRPr="00714FB7">
              <w:rPr>
                <w:rFonts w:ascii="Times New Roman" w:hAnsi="Times New Roman"/>
                <w:b/>
                <w:color w:val="auto"/>
                <w:spacing w:val="0"/>
                <w:sz w:val="24"/>
                <w:szCs w:val="24"/>
                <w:lang w:val="en-ZA" w:eastAsia="en-US"/>
              </w:rPr>
              <w:t>272 521</w:t>
            </w:r>
          </w:p>
        </w:tc>
      </w:tr>
    </w:tbl>
    <w:p w:rsidR="00D3725F" w:rsidRPr="00714FB7" w:rsidRDefault="00D3725F" w:rsidP="00D3725F">
      <w:pPr>
        <w:spacing w:line="280" w:lineRule="exact"/>
        <w:jc w:val="both"/>
        <w:rPr>
          <w:rFonts w:ascii="Times New Roman" w:eastAsia="Calibri" w:hAnsi="Times New Roman"/>
          <w:color w:val="auto"/>
          <w:spacing w:val="0"/>
          <w:sz w:val="24"/>
          <w:szCs w:val="24"/>
          <w:lang w:val="en-ZA" w:eastAsia="en-US"/>
        </w:rPr>
      </w:pPr>
    </w:p>
    <w:p w:rsidR="00D3725F" w:rsidRPr="00714FB7" w:rsidRDefault="00D3725F" w:rsidP="00030895">
      <w:pPr>
        <w:spacing w:line="360" w:lineRule="auto"/>
        <w:jc w:val="both"/>
        <w:rPr>
          <w:rFonts w:ascii="Times New Roman" w:eastAsia="Calibri" w:hAnsi="Times New Roman"/>
          <w:color w:val="auto"/>
          <w:spacing w:val="0"/>
          <w:sz w:val="24"/>
          <w:szCs w:val="24"/>
          <w:lang w:val="en-ZA" w:eastAsia="en-US"/>
        </w:rPr>
      </w:pPr>
      <w:r w:rsidRPr="00714FB7">
        <w:rPr>
          <w:rFonts w:ascii="Times New Roman" w:eastAsia="Calibri" w:hAnsi="Times New Roman"/>
          <w:color w:val="auto"/>
          <w:spacing w:val="0"/>
          <w:sz w:val="24"/>
          <w:szCs w:val="24"/>
          <w:lang w:val="en-ZA" w:eastAsia="en-US"/>
        </w:rPr>
        <w:t xml:space="preserve">In reference to </w:t>
      </w:r>
      <w:r w:rsidR="008F1D08" w:rsidRPr="00714FB7">
        <w:rPr>
          <w:rFonts w:ascii="Times New Roman" w:eastAsia="Calibri" w:hAnsi="Times New Roman"/>
          <w:color w:val="auto"/>
          <w:spacing w:val="0"/>
          <w:sz w:val="24"/>
          <w:szCs w:val="24"/>
          <w:lang w:val="en-ZA" w:eastAsia="en-US"/>
        </w:rPr>
        <w:t>T</w:t>
      </w:r>
      <w:r w:rsidRPr="00714FB7">
        <w:rPr>
          <w:rFonts w:ascii="Times New Roman" w:eastAsia="Calibri" w:hAnsi="Times New Roman"/>
          <w:color w:val="auto"/>
          <w:spacing w:val="0"/>
          <w:sz w:val="24"/>
          <w:szCs w:val="24"/>
          <w:lang w:val="en-ZA" w:eastAsia="en-US"/>
        </w:rPr>
        <w:t xml:space="preserve">able </w:t>
      </w:r>
      <w:r w:rsidR="008F1D08" w:rsidRPr="00714FB7">
        <w:rPr>
          <w:rFonts w:ascii="Times New Roman" w:eastAsia="Calibri" w:hAnsi="Times New Roman"/>
          <w:color w:val="auto"/>
          <w:spacing w:val="0"/>
          <w:sz w:val="24"/>
          <w:szCs w:val="24"/>
          <w:lang w:val="en-ZA" w:eastAsia="en-US"/>
        </w:rPr>
        <w:t>10</w:t>
      </w:r>
      <w:r w:rsidRPr="00714FB7">
        <w:rPr>
          <w:rFonts w:ascii="Times New Roman" w:eastAsia="Calibri" w:hAnsi="Times New Roman"/>
          <w:color w:val="auto"/>
          <w:spacing w:val="0"/>
          <w:sz w:val="24"/>
          <w:szCs w:val="24"/>
          <w:lang w:val="en-ZA" w:eastAsia="en-US"/>
        </w:rPr>
        <w:t>, the NHLS foresees a decrease in surplus from R369 million in 2016/17 to R272 million in 2017/18 due to various factors such as bad debtors and increases exchange rate. The burden is also effected by the cost of employees which rises by 12.7 percent from the previous financial year from R3.0 billion to slightly R3.4 billion. Another cost factor is on Goods and services which, rises by 8 percent annually from R3.7 billion in 2016/17 to slightly over R4.0 billion in 2017/18. For the current financial year (2017/18) the NHLS is to receive R746 million increase from R711 million in 2016/17.</w:t>
      </w:r>
    </w:p>
    <w:p w:rsidR="00F418C6" w:rsidRPr="00714FB7" w:rsidRDefault="00F418C6" w:rsidP="00030895">
      <w:pPr>
        <w:spacing w:line="360" w:lineRule="auto"/>
        <w:jc w:val="both"/>
        <w:rPr>
          <w:rFonts w:ascii="Times New Roman" w:eastAsia="Calibri" w:hAnsi="Times New Roman"/>
          <w:color w:val="auto"/>
          <w:spacing w:val="0"/>
          <w:sz w:val="24"/>
          <w:szCs w:val="24"/>
          <w:lang w:val="en-ZA" w:eastAsia="en-US"/>
        </w:rPr>
      </w:pPr>
    </w:p>
    <w:p w:rsidR="00F418C6" w:rsidRPr="00714FB7" w:rsidRDefault="00F418C6" w:rsidP="00030895">
      <w:pPr>
        <w:spacing w:line="360" w:lineRule="auto"/>
        <w:jc w:val="both"/>
        <w:rPr>
          <w:rFonts w:ascii="Times New Roman" w:eastAsia="Calibri" w:hAnsi="Times New Roman"/>
          <w:color w:val="auto"/>
          <w:spacing w:val="0"/>
          <w:sz w:val="24"/>
          <w:szCs w:val="24"/>
          <w:lang w:val="en-ZA" w:eastAsia="en-US"/>
        </w:rPr>
      </w:pPr>
    </w:p>
    <w:p w:rsidR="005E6E02" w:rsidRPr="00714FB7" w:rsidRDefault="005E6E02" w:rsidP="00030895">
      <w:pPr>
        <w:spacing w:line="360" w:lineRule="auto"/>
        <w:jc w:val="both"/>
        <w:rPr>
          <w:rFonts w:ascii="Times New Roman" w:eastAsia="Calibri" w:hAnsi="Times New Roman"/>
          <w:color w:val="auto"/>
          <w:spacing w:val="0"/>
          <w:sz w:val="24"/>
          <w:szCs w:val="24"/>
          <w:lang w:val="en-ZA" w:eastAsia="en-US"/>
        </w:rPr>
      </w:pPr>
    </w:p>
    <w:p w:rsidR="005E6E02" w:rsidRPr="00714FB7" w:rsidRDefault="005E6E02" w:rsidP="00030895">
      <w:pPr>
        <w:spacing w:line="360" w:lineRule="auto"/>
        <w:jc w:val="both"/>
        <w:rPr>
          <w:rFonts w:ascii="Times New Roman" w:eastAsia="Calibri" w:hAnsi="Times New Roman"/>
          <w:color w:val="auto"/>
          <w:spacing w:val="0"/>
          <w:sz w:val="24"/>
          <w:szCs w:val="24"/>
          <w:lang w:val="en-ZA" w:eastAsia="en-US"/>
        </w:rPr>
      </w:pPr>
    </w:p>
    <w:p w:rsidR="005E6E02" w:rsidRPr="00714FB7" w:rsidRDefault="005E6E02" w:rsidP="00030895">
      <w:pPr>
        <w:spacing w:line="360" w:lineRule="auto"/>
        <w:jc w:val="both"/>
        <w:rPr>
          <w:rFonts w:ascii="Times New Roman" w:eastAsia="Calibri" w:hAnsi="Times New Roman"/>
          <w:color w:val="auto"/>
          <w:spacing w:val="0"/>
          <w:sz w:val="24"/>
          <w:szCs w:val="24"/>
          <w:lang w:val="en-ZA" w:eastAsia="en-US"/>
        </w:rPr>
      </w:pPr>
    </w:p>
    <w:p w:rsidR="00F418C6" w:rsidRPr="00714FB7" w:rsidRDefault="00F418C6" w:rsidP="00030895">
      <w:pPr>
        <w:spacing w:line="360" w:lineRule="auto"/>
        <w:jc w:val="both"/>
        <w:rPr>
          <w:rFonts w:ascii="Times New Roman" w:eastAsia="Calibri" w:hAnsi="Times New Roman"/>
          <w:color w:val="auto"/>
          <w:spacing w:val="0"/>
          <w:sz w:val="24"/>
          <w:szCs w:val="24"/>
          <w:lang w:val="en-ZA" w:eastAsia="en-US"/>
        </w:rPr>
      </w:pPr>
    </w:p>
    <w:p w:rsidR="00DE08D0" w:rsidRPr="00714FB7" w:rsidRDefault="00033DE3" w:rsidP="00030895">
      <w:pPr>
        <w:pStyle w:val="ListParagraph"/>
        <w:numPr>
          <w:ilvl w:val="1"/>
          <w:numId w:val="82"/>
        </w:numPr>
        <w:tabs>
          <w:tab w:val="left" w:pos="720"/>
        </w:tabs>
        <w:spacing w:line="280" w:lineRule="exact"/>
        <w:ind w:left="540" w:hanging="540"/>
        <w:jc w:val="both"/>
        <w:rPr>
          <w:rFonts w:ascii="Times New Roman" w:hAnsi="Times New Roman"/>
          <w:b/>
          <w:color w:val="auto"/>
          <w:spacing w:val="0"/>
          <w:sz w:val="24"/>
          <w:szCs w:val="24"/>
          <w:lang w:eastAsia="en-US"/>
        </w:rPr>
      </w:pPr>
      <w:r w:rsidRPr="00714FB7">
        <w:rPr>
          <w:rFonts w:ascii="Times New Roman" w:hAnsi="Times New Roman"/>
          <w:b/>
          <w:color w:val="auto"/>
          <w:spacing w:val="0"/>
          <w:sz w:val="24"/>
          <w:szCs w:val="24"/>
          <w:lang w:eastAsia="en-US"/>
        </w:rPr>
        <w:t>OFFICE OF THE HEALTH STANDARDS COMPLIANCE</w:t>
      </w:r>
      <w:r w:rsidR="00DE08D0" w:rsidRPr="00714FB7">
        <w:rPr>
          <w:rFonts w:ascii="Times New Roman" w:hAnsi="Times New Roman"/>
          <w:b/>
          <w:color w:val="auto"/>
          <w:spacing w:val="0"/>
          <w:sz w:val="24"/>
          <w:szCs w:val="24"/>
          <w:lang w:eastAsia="en-US"/>
        </w:rPr>
        <w:t xml:space="preserve"> (OHSC)</w:t>
      </w:r>
    </w:p>
    <w:p w:rsidR="00DE08D0" w:rsidRPr="00714FB7" w:rsidRDefault="00DE08D0" w:rsidP="00DE08D0">
      <w:pPr>
        <w:tabs>
          <w:tab w:val="left" w:pos="720"/>
        </w:tabs>
        <w:spacing w:line="280" w:lineRule="exact"/>
        <w:jc w:val="both"/>
        <w:rPr>
          <w:rFonts w:ascii="Times New Roman" w:hAnsi="Times New Roman"/>
          <w:color w:val="auto"/>
          <w:spacing w:val="0"/>
          <w:sz w:val="24"/>
          <w:szCs w:val="24"/>
          <w:lang w:eastAsia="en-US"/>
        </w:rPr>
      </w:pPr>
    </w:p>
    <w:p w:rsidR="00DE08D0" w:rsidRPr="00714FB7" w:rsidRDefault="00DE08D0" w:rsidP="00030895">
      <w:pPr>
        <w:tabs>
          <w:tab w:val="left" w:pos="720"/>
        </w:tabs>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The mandate for the </w:t>
      </w:r>
      <w:r w:rsidR="0073799E" w:rsidRPr="00714FB7">
        <w:rPr>
          <w:rFonts w:ascii="Times New Roman" w:hAnsi="Times New Roman"/>
          <w:color w:val="auto"/>
          <w:spacing w:val="0"/>
          <w:sz w:val="24"/>
          <w:szCs w:val="24"/>
          <w:lang w:eastAsia="en-US"/>
        </w:rPr>
        <w:t>OHSC</w:t>
      </w:r>
      <w:r w:rsidRPr="00714FB7">
        <w:rPr>
          <w:rFonts w:ascii="Times New Roman" w:hAnsi="Times New Roman"/>
          <w:color w:val="auto"/>
          <w:spacing w:val="0"/>
          <w:sz w:val="24"/>
          <w:szCs w:val="24"/>
          <w:lang w:eastAsia="en-US"/>
        </w:rPr>
        <w:t xml:space="preserve"> emanates from the Act which is to protect and promote the health and safety of users of health services in South Africa. In line with the South African Constitution and Batho Pele Principles, its mandate implies that the entity should:</w:t>
      </w:r>
    </w:p>
    <w:p w:rsidR="00DE08D0" w:rsidRPr="00714FB7" w:rsidRDefault="00DE08D0" w:rsidP="00030895">
      <w:pPr>
        <w:tabs>
          <w:tab w:val="left" w:pos="720"/>
        </w:tabs>
        <w:spacing w:line="360" w:lineRule="auto"/>
        <w:jc w:val="both"/>
        <w:rPr>
          <w:rFonts w:ascii="Times New Roman" w:hAnsi="Times New Roman"/>
          <w:color w:val="auto"/>
          <w:spacing w:val="0"/>
          <w:sz w:val="24"/>
          <w:szCs w:val="24"/>
          <w:lang w:eastAsia="en-US"/>
        </w:rPr>
      </w:pPr>
    </w:p>
    <w:p w:rsidR="00DE08D0" w:rsidRPr="00714FB7" w:rsidRDefault="00DE08D0" w:rsidP="00030895">
      <w:pPr>
        <w:numPr>
          <w:ilvl w:val="0"/>
          <w:numId w:val="53"/>
        </w:numPr>
        <w:tabs>
          <w:tab w:val="left" w:pos="720"/>
        </w:tabs>
        <w:spacing w:line="360" w:lineRule="auto"/>
        <w:ind w:left="714" w:hanging="357"/>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Act as the champion of the public and of healthcare users so as to restore credibility and trust;</w:t>
      </w:r>
    </w:p>
    <w:p w:rsidR="00DE08D0" w:rsidRPr="00714FB7" w:rsidRDefault="00DE08D0" w:rsidP="00030895">
      <w:pPr>
        <w:numPr>
          <w:ilvl w:val="0"/>
          <w:numId w:val="53"/>
        </w:numPr>
        <w:tabs>
          <w:tab w:val="left" w:pos="720"/>
        </w:tabs>
        <w:spacing w:line="360" w:lineRule="auto"/>
        <w:ind w:left="714" w:hanging="357"/>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Respect healthcare users and their families as well as healthcare personnel;</w:t>
      </w:r>
    </w:p>
    <w:p w:rsidR="00DE08D0" w:rsidRPr="00714FB7" w:rsidRDefault="00DE08D0" w:rsidP="00030895">
      <w:pPr>
        <w:numPr>
          <w:ilvl w:val="0"/>
          <w:numId w:val="53"/>
        </w:numPr>
        <w:tabs>
          <w:tab w:val="left" w:pos="720"/>
        </w:tabs>
        <w:spacing w:line="360" w:lineRule="auto"/>
        <w:ind w:left="714" w:hanging="357"/>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Push for effectiveness in achieving health system change and social impact;</w:t>
      </w:r>
      <w:r w:rsidRPr="00714FB7">
        <w:rPr>
          <w:rFonts w:ascii="Times New Roman" w:hAnsi="Times New Roman"/>
          <w:color w:val="auto"/>
          <w:spacing w:val="0"/>
          <w:sz w:val="24"/>
          <w:szCs w:val="24"/>
          <w:vertAlign w:val="superscript"/>
          <w:lang w:eastAsia="en-US"/>
        </w:rPr>
        <w:t xml:space="preserve"> </w:t>
      </w:r>
    </w:p>
    <w:p w:rsidR="00DE08D0" w:rsidRPr="00714FB7" w:rsidRDefault="00DE08D0" w:rsidP="00030895">
      <w:pPr>
        <w:numPr>
          <w:ilvl w:val="0"/>
          <w:numId w:val="53"/>
        </w:numPr>
        <w:tabs>
          <w:tab w:val="left" w:pos="720"/>
        </w:tabs>
        <w:spacing w:line="360" w:lineRule="auto"/>
        <w:ind w:left="714" w:hanging="357"/>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Strive for excellence, innovation and efficiency in its operations;</w:t>
      </w:r>
    </w:p>
    <w:p w:rsidR="00DE08D0" w:rsidRPr="00714FB7" w:rsidRDefault="00DE08D0" w:rsidP="00030895">
      <w:pPr>
        <w:numPr>
          <w:ilvl w:val="0"/>
          <w:numId w:val="53"/>
        </w:numPr>
        <w:tabs>
          <w:tab w:val="left" w:pos="720"/>
        </w:tabs>
        <w:spacing w:line="360" w:lineRule="auto"/>
        <w:ind w:left="714" w:hanging="357"/>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Be truthful, fair and committed to intellectual honesty;</w:t>
      </w:r>
    </w:p>
    <w:p w:rsidR="00DE08D0" w:rsidRPr="00714FB7" w:rsidRDefault="00DE08D0" w:rsidP="00030895">
      <w:pPr>
        <w:numPr>
          <w:ilvl w:val="0"/>
          <w:numId w:val="53"/>
        </w:numPr>
        <w:tabs>
          <w:tab w:val="left" w:pos="720"/>
        </w:tabs>
        <w:spacing w:line="360" w:lineRule="auto"/>
        <w:ind w:left="714" w:hanging="357"/>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Practice transparency, but respect confidentiality;</w:t>
      </w:r>
    </w:p>
    <w:p w:rsidR="00DE08D0" w:rsidRPr="00714FB7" w:rsidRDefault="00DE08D0" w:rsidP="00030895">
      <w:pPr>
        <w:numPr>
          <w:ilvl w:val="0"/>
          <w:numId w:val="53"/>
        </w:numPr>
        <w:tabs>
          <w:tab w:val="left" w:pos="720"/>
        </w:tabs>
        <w:spacing w:line="360" w:lineRule="auto"/>
        <w:ind w:left="714" w:hanging="357"/>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Achieve the highest standards of ethical behaviour, teamwork and collaboration; and</w:t>
      </w:r>
    </w:p>
    <w:p w:rsidR="00DE08D0" w:rsidRPr="00714FB7" w:rsidRDefault="00DE08D0" w:rsidP="00030895">
      <w:pPr>
        <w:numPr>
          <w:ilvl w:val="0"/>
          <w:numId w:val="53"/>
        </w:numPr>
        <w:tabs>
          <w:tab w:val="left" w:pos="720"/>
        </w:tabs>
        <w:spacing w:line="360" w:lineRule="auto"/>
        <w:ind w:left="714" w:hanging="357"/>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Promote professionalism, compassion, diversity and social responsibility. </w:t>
      </w:r>
    </w:p>
    <w:p w:rsidR="00DE08D0" w:rsidRPr="00714FB7" w:rsidRDefault="00DE08D0" w:rsidP="00030895">
      <w:pPr>
        <w:tabs>
          <w:tab w:val="left" w:pos="720"/>
        </w:tabs>
        <w:spacing w:line="360" w:lineRule="auto"/>
        <w:jc w:val="both"/>
        <w:rPr>
          <w:rFonts w:ascii="Times New Roman" w:hAnsi="Times New Roman"/>
          <w:color w:val="auto"/>
          <w:spacing w:val="0"/>
          <w:sz w:val="24"/>
          <w:szCs w:val="24"/>
          <w:lang w:eastAsia="en-US"/>
        </w:rPr>
      </w:pPr>
    </w:p>
    <w:p w:rsidR="00DE08D0" w:rsidRPr="00714FB7" w:rsidRDefault="00033DE3" w:rsidP="00030895">
      <w:pPr>
        <w:pStyle w:val="ListParagraph"/>
        <w:keepNext/>
        <w:numPr>
          <w:ilvl w:val="2"/>
          <w:numId w:val="82"/>
        </w:numPr>
        <w:spacing w:line="360" w:lineRule="auto"/>
        <w:jc w:val="both"/>
        <w:outlineLvl w:val="0"/>
        <w:rPr>
          <w:rFonts w:ascii="Times New Roman" w:hAnsi="Times New Roman"/>
          <w:b/>
          <w:bCs/>
          <w:color w:val="auto"/>
          <w:spacing w:val="0"/>
          <w:kern w:val="32"/>
          <w:sz w:val="24"/>
          <w:szCs w:val="24"/>
          <w:lang w:eastAsia="en-US"/>
        </w:rPr>
      </w:pPr>
      <w:r w:rsidRPr="00714FB7">
        <w:rPr>
          <w:rFonts w:ascii="Times New Roman" w:hAnsi="Times New Roman"/>
          <w:b/>
          <w:bCs/>
          <w:color w:val="auto"/>
          <w:spacing w:val="0"/>
          <w:kern w:val="32"/>
          <w:sz w:val="24"/>
          <w:szCs w:val="24"/>
          <w:lang w:eastAsia="en-US"/>
        </w:rPr>
        <w:t>Organisational Environment</w:t>
      </w:r>
    </w:p>
    <w:p w:rsidR="00690DFB" w:rsidRPr="00714FB7" w:rsidRDefault="00DE08D0" w:rsidP="00030895">
      <w:pPr>
        <w:autoSpaceDE w:val="0"/>
        <w:autoSpaceDN w:val="0"/>
        <w:adjustRightInd w:val="0"/>
        <w:spacing w:line="360" w:lineRule="auto"/>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The anticipated promulgation of the proposed norms and standards regulations during 2016/17 could not materialise as there were delays with the processing of the regulations through reviews, these have been reviewed and re-published for public comments in January 2017</w:t>
      </w:r>
      <w:r w:rsidR="00240DD5" w:rsidRPr="00714FB7">
        <w:rPr>
          <w:rFonts w:ascii="Times New Roman" w:hAnsi="Times New Roman"/>
          <w:color w:val="auto"/>
          <w:spacing w:val="0"/>
          <w:sz w:val="24"/>
          <w:szCs w:val="24"/>
          <w:lang w:eastAsia="en-ZA"/>
        </w:rPr>
        <w:t xml:space="preserve">. </w:t>
      </w:r>
      <w:r w:rsidRPr="00714FB7">
        <w:rPr>
          <w:rFonts w:ascii="Times New Roman" w:hAnsi="Times New Roman"/>
          <w:color w:val="auto"/>
          <w:spacing w:val="0"/>
          <w:sz w:val="24"/>
          <w:szCs w:val="24"/>
          <w:lang w:eastAsia="en-ZA"/>
        </w:rPr>
        <w:t xml:space="preserve">  </w:t>
      </w:r>
    </w:p>
    <w:p w:rsidR="00690DFB" w:rsidRPr="00714FB7" w:rsidRDefault="00690DFB" w:rsidP="00030895">
      <w:pPr>
        <w:autoSpaceDE w:val="0"/>
        <w:autoSpaceDN w:val="0"/>
        <w:adjustRightInd w:val="0"/>
        <w:spacing w:line="360" w:lineRule="auto"/>
        <w:jc w:val="both"/>
        <w:rPr>
          <w:rFonts w:ascii="Times New Roman" w:hAnsi="Times New Roman"/>
          <w:color w:val="auto"/>
          <w:spacing w:val="0"/>
          <w:sz w:val="24"/>
          <w:szCs w:val="24"/>
          <w:lang w:eastAsia="en-ZA"/>
        </w:rPr>
      </w:pPr>
    </w:p>
    <w:p w:rsidR="00DE08D0" w:rsidRPr="00714FB7" w:rsidRDefault="00DE08D0" w:rsidP="00030895">
      <w:pPr>
        <w:autoSpaceDE w:val="0"/>
        <w:autoSpaceDN w:val="0"/>
        <w:adjustRightInd w:val="0"/>
        <w:spacing w:line="360" w:lineRule="auto"/>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The main changes to the strategic direction that are reflected in the 2017/18 APP are:</w:t>
      </w:r>
    </w:p>
    <w:p w:rsidR="00DE08D0" w:rsidRPr="00714FB7" w:rsidRDefault="00DE08D0" w:rsidP="00030895">
      <w:pPr>
        <w:numPr>
          <w:ilvl w:val="0"/>
          <w:numId w:val="55"/>
        </w:numPr>
        <w:autoSpaceDE w:val="0"/>
        <w:autoSpaceDN w:val="0"/>
        <w:adjustRightInd w:val="0"/>
        <w:spacing w:line="360" w:lineRule="auto"/>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The inspector skills and accreditation for assessing health establishments as required by the Act and of the guidance provided to them, which were incorporated into refined indicators;</w:t>
      </w:r>
    </w:p>
    <w:p w:rsidR="00DE08D0" w:rsidRPr="00714FB7" w:rsidRDefault="00DE08D0" w:rsidP="00030895">
      <w:pPr>
        <w:numPr>
          <w:ilvl w:val="0"/>
          <w:numId w:val="55"/>
        </w:numPr>
        <w:autoSpaceDE w:val="0"/>
        <w:autoSpaceDN w:val="0"/>
        <w:adjustRightInd w:val="0"/>
        <w:spacing w:line="360" w:lineRule="auto"/>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 xml:space="preserve">The inclusion of private health establishments in the indicators for compliance inspections and of progressive enforcement in the exercise of regulatory power due to unavailability of promulgated </w:t>
      </w:r>
      <w:r w:rsidR="00240DD5" w:rsidRPr="00714FB7">
        <w:rPr>
          <w:rFonts w:ascii="Times New Roman" w:hAnsi="Times New Roman"/>
          <w:color w:val="auto"/>
          <w:spacing w:val="0"/>
          <w:sz w:val="24"/>
          <w:szCs w:val="24"/>
          <w:lang w:eastAsia="en-ZA"/>
        </w:rPr>
        <w:t>regulations, norms</w:t>
      </w:r>
      <w:r w:rsidRPr="00714FB7">
        <w:rPr>
          <w:rFonts w:ascii="Times New Roman" w:hAnsi="Times New Roman"/>
          <w:color w:val="auto"/>
          <w:spacing w:val="0"/>
          <w:sz w:val="24"/>
          <w:szCs w:val="24"/>
          <w:lang w:eastAsia="en-ZA"/>
        </w:rPr>
        <w:t xml:space="preserve"> and standards and the critical importance of follow-up and re-inspection (included as part of the procedural regulations and operational plans);</w:t>
      </w:r>
    </w:p>
    <w:p w:rsidR="00DE08D0" w:rsidRPr="00714FB7" w:rsidRDefault="00DE08D0" w:rsidP="00030895">
      <w:pPr>
        <w:numPr>
          <w:ilvl w:val="0"/>
          <w:numId w:val="55"/>
        </w:numPr>
        <w:autoSpaceDE w:val="0"/>
        <w:autoSpaceDN w:val="0"/>
        <w:adjustRightInd w:val="0"/>
        <w:spacing w:line="360" w:lineRule="auto"/>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The expansion in capacity during the first financial year of operations which has been reflected in an expanded staff establishment that has enabled the critical management and administrative systems to be set up;</w:t>
      </w:r>
    </w:p>
    <w:p w:rsidR="00DE08D0" w:rsidRPr="00714FB7" w:rsidRDefault="00DE08D0" w:rsidP="00030895">
      <w:pPr>
        <w:numPr>
          <w:ilvl w:val="0"/>
          <w:numId w:val="55"/>
        </w:numPr>
        <w:autoSpaceDE w:val="0"/>
        <w:autoSpaceDN w:val="0"/>
        <w:adjustRightInd w:val="0"/>
        <w:spacing w:line="360" w:lineRule="auto"/>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The progress towards independent functioning during the transition which has led to the specification of staffing, budgets and outputs for each budget programme, including that of administration through the corporate services division; and</w:t>
      </w:r>
    </w:p>
    <w:p w:rsidR="00DE08D0" w:rsidRPr="00714FB7" w:rsidRDefault="00DE08D0" w:rsidP="00030895">
      <w:pPr>
        <w:numPr>
          <w:ilvl w:val="0"/>
          <w:numId w:val="55"/>
        </w:numPr>
        <w:autoSpaceDE w:val="0"/>
        <w:autoSpaceDN w:val="0"/>
        <w:adjustRightInd w:val="0"/>
        <w:spacing w:line="360" w:lineRule="auto"/>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A clearer understating of the role of the Office with respect to other regulators and stakeholders and activities to concretise this.</w:t>
      </w:r>
    </w:p>
    <w:p w:rsidR="00DE08D0" w:rsidRPr="00714FB7" w:rsidRDefault="00DE08D0" w:rsidP="00030895">
      <w:pPr>
        <w:autoSpaceDE w:val="0"/>
        <w:autoSpaceDN w:val="0"/>
        <w:adjustRightInd w:val="0"/>
        <w:spacing w:line="360" w:lineRule="auto"/>
        <w:jc w:val="both"/>
        <w:rPr>
          <w:rFonts w:ascii="Times New Roman" w:hAnsi="Times New Roman"/>
          <w:color w:val="auto"/>
          <w:spacing w:val="0"/>
          <w:sz w:val="24"/>
          <w:szCs w:val="24"/>
          <w:lang w:eastAsia="en-ZA"/>
        </w:rPr>
      </w:pPr>
    </w:p>
    <w:p w:rsidR="00DE08D0" w:rsidRPr="00714FB7" w:rsidRDefault="00033DE3" w:rsidP="00030895">
      <w:pPr>
        <w:pStyle w:val="ListParagraph"/>
        <w:keepNext/>
        <w:numPr>
          <w:ilvl w:val="2"/>
          <w:numId w:val="82"/>
        </w:numPr>
        <w:spacing w:line="360" w:lineRule="auto"/>
        <w:jc w:val="both"/>
        <w:outlineLvl w:val="0"/>
        <w:rPr>
          <w:rFonts w:ascii="Times New Roman" w:hAnsi="Times New Roman"/>
          <w:b/>
          <w:bCs/>
          <w:color w:val="auto"/>
          <w:spacing w:val="0"/>
          <w:kern w:val="32"/>
          <w:sz w:val="24"/>
          <w:szCs w:val="24"/>
          <w:lang w:eastAsia="en-US"/>
        </w:rPr>
      </w:pPr>
      <w:r w:rsidRPr="00714FB7">
        <w:rPr>
          <w:rFonts w:ascii="Times New Roman" w:hAnsi="Times New Roman"/>
          <w:b/>
          <w:bCs/>
          <w:color w:val="auto"/>
          <w:spacing w:val="0"/>
          <w:kern w:val="32"/>
          <w:sz w:val="24"/>
          <w:szCs w:val="24"/>
          <w:lang w:eastAsia="en-US"/>
        </w:rPr>
        <w:t>Strategic Outcome Oriented Goals</w:t>
      </w:r>
    </w:p>
    <w:p w:rsidR="00DE08D0" w:rsidRPr="00714FB7" w:rsidRDefault="00DE08D0" w:rsidP="00030895">
      <w:p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The Board has approved the broad strategic goals for the entity to attain its legislative mandate. Hereunder, is the summary of some of the strategic goals:</w:t>
      </w:r>
    </w:p>
    <w:p w:rsidR="00DE08D0" w:rsidRPr="00714FB7" w:rsidRDefault="00DE08D0" w:rsidP="00030895">
      <w:pPr>
        <w:numPr>
          <w:ilvl w:val="0"/>
          <w:numId w:val="54"/>
        </w:numPr>
        <w:spacing w:line="360" w:lineRule="auto"/>
        <w:ind w:left="714" w:hanging="357"/>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Publicly demonstrate responsiveness and accountability as an effective and efficient high performance organisation;</w:t>
      </w:r>
    </w:p>
    <w:p w:rsidR="00DE08D0" w:rsidRPr="00714FB7" w:rsidRDefault="00DE08D0" w:rsidP="00030895">
      <w:pPr>
        <w:numPr>
          <w:ilvl w:val="0"/>
          <w:numId w:val="54"/>
        </w:numPr>
        <w:spacing w:line="360" w:lineRule="auto"/>
        <w:ind w:left="714" w:hanging="357"/>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Inspect Health Establishments for compliance with quality norms and standards;</w:t>
      </w:r>
    </w:p>
    <w:p w:rsidR="00DE08D0" w:rsidRPr="00714FB7" w:rsidRDefault="00DE08D0" w:rsidP="00030895">
      <w:pPr>
        <w:numPr>
          <w:ilvl w:val="0"/>
          <w:numId w:val="54"/>
        </w:numPr>
        <w:spacing w:line="360" w:lineRule="auto"/>
        <w:ind w:left="714" w:hanging="357"/>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Patient and community complaints regarding poor care and situations of concern are investigated and responded to; and</w:t>
      </w:r>
    </w:p>
    <w:p w:rsidR="00DE08D0" w:rsidRPr="00714FB7" w:rsidRDefault="00DE08D0" w:rsidP="00030895">
      <w:pPr>
        <w:numPr>
          <w:ilvl w:val="0"/>
          <w:numId w:val="54"/>
        </w:numPr>
        <w:spacing w:line="360" w:lineRule="auto"/>
        <w:ind w:left="714" w:hanging="357"/>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Progressively improve the quality and safety of health care through effective communication and collaboration with users, providers and other relevant stakeholders.</w:t>
      </w:r>
    </w:p>
    <w:p w:rsidR="000A2BE2" w:rsidRPr="00714FB7" w:rsidRDefault="000A2BE2" w:rsidP="00030895">
      <w:pPr>
        <w:spacing w:line="360" w:lineRule="auto"/>
        <w:ind w:left="714"/>
        <w:jc w:val="both"/>
        <w:rPr>
          <w:rFonts w:ascii="Times New Roman" w:hAnsi="Times New Roman"/>
          <w:color w:val="auto"/>
          <w:spacing w:val="0"/>
          <w:sz w:val="24"/>
          <w:szCs w:val="24"/>
          <w:lang w:eastAsia="en-US"/>
        </w:rPr>
      </w:pPr>
    </w:p>
    <w:p w:rsidR="00DE08D0" w:rsidRPr="00714FB7" w:rsidRDefault="00033DE3" w:rsidP="00030895">
      <w:pPr>
        <w:pStyle w:val="ListParagraph"/>
        <w:numPr>
          <w:ilvl w:val="2"/>
          <w:numId w:val="82"/>
        </w:numPr>
        <w:rPr>
          <w:rFonts w:ascii="Times New Roman" w:hAnsi="Times New Roman"/>
          <w:b/>
          <w:bCs/>
          <w:color w:val="auto"/>
          <w:kern w:val="32"/>
          <w:sz w:val="24"/>
          <w:szCs w:val="24"/>
          <w:lang w:eastAsia="en-US"/>
        </w:rPr>
      </w:pPr>
      <w:r w:rsidRPr="00714FB7">
        <w:rPr>
          <w:rFonts w:ascii="Times New Roman" w:hAnsi="Times New Roman"/>
          <w:b/>
          <w:bCs/>
          <w:color w:val="auto"/>
          <w:kern w:val="32"/>
          <w:sz w:val="24"/>
          <w:szCs w:val="24"/>
          <w:lang w:eastAsia="en-US"/>
        </w:rPr>
        <w:t xml:space="preserve">2017/18 Budget </w:t>
      </w:r>
      <w:r w:rsidR="00D82668" w:rsidRPr="00714FB7">
        <w:rPr>
          <w:rFonts w:ascii="Times New Roman" w:hAnsi="Times New Roman"/>
          <w:b/>
          <w:bCs/>
          <w:color w:val="auto"/>
          <w:kern w:val="32"/>
          <w:sz w:val="24"/>
          <w:szCs w:val="24"/>
          <w:lang w:eastAsia="en-US"/>
        </w:rPr>
        <w:t xml:space="preserve">and MTEF </w:t>
      </w:r>
      <w:r w:rsidRPr="00714FB7">
        <w:rPr>
          <w:rFonts w:ascii="Times New Roman" w:hAnsi="Times New Roman"/>
          <w:b/>
          <w:bCs/>
          <w:color w:val="auto"/>
          <w:kern w:val="32"/>
          <w:sz w:val="24"/>
          <w:szCs w:val="24"/>
          <w:lang w:eastAsia="en-US"/>
        </w:rPr>
        <w:t>Estimates</w:t>
      </w:r>
    </w:p>
    <w:p w:rsidR="00DE08D0" w:rsidRPr="00714FB7" w:rsidRDefault="00DE08D0" w:rsidP="00DE08D0">
      <w:pPr>
        <w:spacing w:line="280" w:lineRule="exact"/>
        <w:jc w:val="both"/>
        <w:rPr>
          <w:rFonts w:ascii="Times New Roman" w:hAnsi="Times New Roman"/>
          <w:color w:val="auto"/>
          <w:spacing w:val="0"/>
          <w:sz w:val="24"/>
          <w:szCs w:val="24"/>
          <w:lang w:eastAsia="en-US"/>
        </w:rPr>
      </w:pPr>
    </w:p>
    <w:p w:rsidR="00CA19A7" w:rsidRPr="00714FB7" w:rsidRDefault="00CA19A7" w:rsidP="00DE08D0">
      <w:pPr>
        <w:spacing w:line="280" w:lineRule="exact"/>
        <w:jc w:val="both"/>
        <w:rPr>
          <w:rFonts w:ascii="Times New Roman" w:hAnsi="Times New Roman"/>
          <w:color w:val="auto"/>
          <w:spacing w:val="0"/>
          <w:sz w:val="24"/>
          <w:szCs w:val="24"/>
          <w:lang w:eastAsia="en-US"/>
        </w:rPr>
      </w:pPr>
    </w:p>
    <w:p w:rsidR="00DE08D0" w:rsidRPr="00714FB7" w:rsidRDefault="00DE08D0" w:rsidP="00DC6D09">
      <w:pPr>
        <w:autoSpaceDE w:val="0"/>
        <w:autoSpaceDN w:val="0"/>
        <w:adjustRightInd w:val="0"/>
        <w:spacing w:line="360" w:lineRule="auto"/>
        <w:ind w:left="270" w:hanging="90"/>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 xml:space="preserve">Table </w:t>
      </w:r>
      <w:r w:rsidR="008F1D08" w:rsidRPr="00714FB7">
        <w:rPr>
          <w:rFonts w:ascii="Times New Roman" w:hAnsi="Times New Roman"/>
          <w:b/>
          <w:color w:val="auto"/>
          <w:spacing w:val="0"/>
          <w:sz w:val="24"/>
          <w:szCs w:val="24"/>
          <w:lang w:eastAsia="en-ZA"/>
        </w:rPr>
        <w:t>11</w:t>
      </w:r>
      <w:r w:rsidRPr="00714FB7">
        <w:rPr>
          <w:rFonts w:ascii="Times New Roman" w:hAnsi="Times New Roman"/>
          <w:b/>
          <w:color w:val="auto"/>
          <w:spacing w:val="0"/>
          <w:sz w:val="24"/>
          <w:szCs w:val="24"/>
          <w:lang w:eastAsia="en-ZA"/>
        </w:rPr>
        <w:t>: Summary of Budget per Program</w:t>
      </w:r>
    </w:p>
    <w:tbl>
      <w:tblPr>
        <w:tblStyle w:val="TableGrid"/>
        <w:tblW w:w="0" w:type="auto"/>
        <w:tblLook w:val="04A0" w:firstRow="1" w:lastRow="0" w:firstColumn="1" w:lastColumn="0" w:noHBand="0" w:noVBand="1"/>
      </w:tblPr>
      <w:tblGrid>
        <w:gridCol w:w="2845"/>
        <w:gridCol w:w="1319"/>
        <w:gridCol w:w="1140"/>
        <w:gridCol w:w="1361"/>
        <w:gridCol w:w="1361"/>
        <w:gridCol w:w="1216"/>
      </w:tblGrid>
      <w:tr w:rsidR="00DE08D0" w:rsidRPr="00714FB7" w:rsidTr="00030895">
        <w:tc>
          <w:tcPr>
            <w:tcW w:w="2965" w:type="dxa"/>
            <w:shd w:val="clear" w:color="auto" w:fill="auto"/>
          </w:tcPr>
          <w:p w:rsidR="00DE08D0" w:rsidRPr="00714FB7" w:rsidRDefault="00DE08D0" w:rsidP="00DE08D0">
            <w:pPr>
              <w:autoSpaceDE w:val="0"/>
              <w:autoSpaceDN w:val="0"/>
              <w:adjustRightInd w:val="0"/>
              <w:spacing w:line="360" w:lineRule="auto"/>
              <w:jc w:val="both"/>
              <w:rPr>
                <w:rFonts w:ascii="Times New Roman" w:hAnsi="Times New Roman"/>
                <w:b/>
                <w:color w:val="auto"/>
                <w:spacing w:val="0"/>
                <w:sz w:val="24"/>
                <w:szCs w:val="24"/>
                <w:lang w:eastAsia="en-ZA"/>
              </w:rPr>
            </w:pPr>
          </w:p>
          <w:p w:rsidR="00DE08D0" w:rsidRPr="00714FB7" w:rsidRDefault="00DE08D0" w:rsidP="00DE08D0">
            <w:pPr>
              <w:autoSpaceDE w:val="0"/>
              <w:autoSpaceDN w:val="0"/>
              <w:adjustRightInd w:val="0"/>
              <w:spacing w:line="360" w:lineRule="auto"/>
              <w:jc w:val="both"/>
              <w:rPr>
                <w:rFonts w:ascii="Times New Roman" w:hAnsi="Times New Roman"/>
                <w:b/>
                <w:color w:val="auto"/>
                <w:spacing w:val="0"/>
                <w:sz w:val="24"/>
                <w:szCs w:val="24"/>
                <w:lang w:eastAsia="en-ZA"/>
              </w:rPr>
            </w:pPr>
          </w:p>
          <w:p w:rsidR="00DE08D0" w:rsidRPr="00714FB7" w:rsidRDefault="00DE08D0" w:rsidP="00DE08D0">
            <w:pPr>
              <w:autoSpaceDE w:val="0"/>
              <w:autoSpaceDN w:val="0"/>
              <w:adjustRightInd w:val="0"/>
              <w:spacing w:line="360" w:lineRule="auto"/>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PROGRAM</w:t>
            </w:r>
          </w:p>
        </w:tc>
        <w:tc>
          <w:tcPr>
            <w:tcW w:w="1350" w:type="dxa"/>
            <w:shd w:val="clear" w:color="auto" w:fill="auto"/>
          </w:tcPr>
          <w:p w:rsidR="00DE08D0" w:rsidRPr="00714FB7" w:rsidRDefault="00DE08D0" w:rsidP="00DE08D0">
            <w:pPr>
              <w:autoSpaceDE w:val="0"/>
              <w:autoSpaceDN w:val="0"/>
              <w:adjustRightInd w:val="0"/>
              <w:spacing w:line="360" w:lineRule="auto"/>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Audited outcomes</w:t>
            </w:r>
          </w:p>
          <w:p w:rsidR="00DE08D0" w:rsidRPr="00714FB7" w:rsidRDefault="00DE08D0" w:rsidP="00DE08D0">
            <w:pPr>
              <w:autoSpaceDE w:val="0"/>
              <w:autoSpaceDN w:val="0"/>
              <w:adjustRightInd w:val="0"/>
              <w:spacing w:line="360" w:lineRule="auto"/>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2015/16</w:t>
            </w:r>
          </w:p>
        </w:tc>
        <w:tc>
          <w:tcPr>
            <w:tcW w:w="1170" w:type="dxa"/>
            <w:shd w:val="clear" w:color="auto" w:fill="auto"/>
          </w:tcPr>
          <w:p w:rsidR="00DE08D0" w:rsidRPr="00714FB7" w:rsidRDefault="00DE08D0" w:rsidP="00DE08D0">
            <w:pPr>
              <w:autoSpaceDE w:val="0"/>
              <w:autoSpaceDN w:val="0"/>
              <w:adjustRightInd w:val="0"/>
              <w:spacing w:line="360" w:lineRule="auto"/>
              <w:jc w:val="both"/>
              <w:rPr>
                <w:rFonts w:ascii="Times New Roman" w:hAnsi="Times New Roman"/>
                <w:b/>
                <w:color w:val="auto"/>
                <w:spacing w:val="0"/>
                <w:sz w:val="24"/>
                <w:szCs w:val="24"/>
                <w:lang w:eastAsia="en-ZA"/>
              </w:rPr>
            </w:pPr>
          </w:p>
          <w:p w:rsidR="00DE08D0" w:rsidRPr="00714FB7" w:rsidRDefault="00DE08D0" w:rsidP="00DE08D0">
            <w:pPr>
              <w:autoSpaceDE w:val="0"/>
              <w:autoSpaceDN w:val="0"/>
              <w:adjustRightInd w:val="0"/>
              <w:spacing w:line="360" w:lineRule="auto"/>
              <w:jc w:val="both"/>
              <w:rPr>
                <w:rFonts w:ascii="Times New Roman" w:hAnsi="Times New Roman"/>
                <w:b/>
                <w:color w:val="auto"/>
                <w:spacing w:val="0"/>
                <w:sz w:val="24"/>
                <w:szCs w:val="24"/>
                <w:lang w:eastAsia="en-ZA"/>
              </w:rPr>
            </w:pPr>
          </w:p>
          <w:p w:rsidR="00DE08D0" w:rsidRPr="00714FB7" w:rsidRDefault="00DE08D0" w:rsidP="00DE08D0">
            <w:pPr>
              <w:autoSpaceDE w:val="0"/>
              <w:autoSpaceDN w:val="0"/>
              <w:adjustRightInd w:val="0"/>
              <w:spacing w:line="360" w:lineRule="auto"/>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2016/17</w:t>
            </w:r>
          </w:p>
        </w:tc>
        <w:tc>
          <w:tcPr>
            <w:tcW w:w="1440" w:type="dxa"/>
            <w:shd w:val="clear" w:color="auto" w:fill="auto"/>
          </w:tcPr>
          <w:p w:rsidR="00DE08D0" w:rsidRPr="00714FB7" w:rsidRDefault="00DE08D0" w:rsidP="00DE08D0">
            <w:pPr>
              <w:autoSpaceDE w:val="0"/>
              <w:autoSpaceDN w:val="0"/>
              <w:adjustRightInd w:val="0"/>
              <w:spacing w:line="360" w:lineRule="auto"/>
              <w:jc w:val="both"/>
              <w:rPr>
                <w:rFonts w:ascii="Times New Roman" w:hAnsi="Times New Roman"/>
                <w:b/>
                <w:color w:val="auto"/>
                <w:spacing w:val="0"/>
                <w:sz w:val="24"/>
                <w:szCs w:val="24"/>
                <w:lang w:eastAsia="en-ZA"/>
              </w:rPr>
            </w:pPr>
          </w:p>
          <w:p w:rsidR="00DE08D0" w:rsidRPr="00714FB7" w:rsidRDefault="00DE08D0" w:rsidP="00DE08D0">
            <w:pPr>
              <w:autoSpaceDE w:val="0"/>
              <w:autoSpaceDN w:val="0"/>
              <w:adjustRightInd w:val="0"/>
              <w:spacing w:line="360" w:lineRule="auto"/>
              <w:jc w:val="both"/>
              <w:rPr>
                <w:rFonts w:ascii="Times New Roman" w:hAnsi="Times New Roman"/>
                <w:b/>
                <w:color w:val="auto"/>
                <w:spacing w:val="0"/>
                <w:sz w:val="24"/>
                <w:szCs w:val="24"/>
                <w:lang w:eastAsia="en-ZA"/>
              </w:rPr>
            </w:pPr>
          </w:p>
          <w:p w:rsidR="00DE08D0" w:rsidRPr="00714FB7" w:rsidRDefault="00DE08D0" w:rsidP="00DE08D0">
            <w:pPr>
              <w:autoSpaceDE w:val="0"/>
              <w:autoSpaceDN w:val="0"/>
              <w:adjustRightInd w:val="0"/>
              <w:spacing w:line="360" w:lineRule="auto"/>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2017/18</w:t>
            </w:r>
          </w:p>
        </w:tc>
        <w:tc>
          <w:tcPr>
            <w:tcW w:w="1440" w:type="dxa"/>
            <w:shd w:val="clear" w:color="auto" w:fill="auto"/>
          </w:tcPr>
          <w:p w:rsidR="00DE08D0" w:rsidRPr="00714FB7" w:rsidRDefault="00DE08D0" w:rsidP="00DE08D0">
            <w:pPr>
              <w:autoSpaceDE w:val="0"/>
              <w:autoSpaceDN w:val="0"/>
              <w:adjustRightInd w:val="0"/>
              <w:spacing w:line="360" w:lineRule="auto"/>
              <w:jc w:val="both"/>
              <w:rPr>
                <w:rFonts w:ascii="Times New Roman" w:hAnsi="Times New Roman"/>
                <w:b/>
                <w:color w:val="auto"/>
                <w:spacing w:val="0"/>
                <w:sz w:val="24"/>
                <w:szCs w:val="24"/>
                <w:lang w:eastAsia="en-ZA"/>
              </w:rPr>
            </w:pPr>
          </w:p>
          <w:p w:rsidR="00DE08D0" w:rsidRPr="00714FB7" w:rsidRDefault="00DE08D0" w:rsidP="00DE08D0">
            <w:pPr>
              <w:autoSpaceDE w:val="0"/>
              <w:autoSpaceDN w:val="0"/>
              <w:adjustRightInd w:val="0"/>
              <w:spacing w:line="360" w:lineRule="auto"/>
              <w:jc w:val="both"/>
              <w:rPr>
                <w:rFonts w:ascii="Times New Roman" w:hAnsi="Times New Roman"/>
                <w:b/>
                <w:color w:val="auto"/>
                <w:spacing w:val="0"/>
                <w:sz w:val="24"/>
                <w:szCs w:val="24"/>
                <w:lang w:eastAsia="en-ZA"/>
              </w:rPr>
            </w:pPr>
          </w:p>
          <w:p w:rsidR="00DE08D0" w:rsidRPr="00714FB7" w:rsidRDefault="00DE08D0" w:rsidP="00DE08D0">
            <w:pPr>
              <w:autoSpaceDE w:val="0"/>
              <w:autoSpaceDN w:val="0"/>
              <w:adjustRightInd w:val="0"/>
              <w:spacing w:line="360" w:lineRule="auto"/>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2018/19</w:t>
            </w:r>
          </w:p>
        </w:tc>
        <w:tc>
          <w:tcPr>
            <w:tcW w:w="1263" w:type="dxa"/>
            <w:shd w:val="clear" w:color="auto" w:fill="auto"/>
          </w:tcPr>
          <w:p w:rsidR="00DE08D0" w:rsidRPr="00714FB7" w:rsidRDefault="00DE08D0" w:rsidP="00DE08D0">
            <w:pPr>
              <w:autoSpaceDE w:val="0"/>
              <w:autoSpaceDN w:val="0"/>
              <w:adjustRightInd w:val="0"/>
              <w:spacing w:line="360" w:lineRule="auto"/>
              <w:jc w:val="both"/>
              <w:rPr>
                <w:rFonts w:ascii="Times New Roman" w:hAnsi="Times New Roman"/>
                <w:b/>
                <w:color w:val="auto"/>
                <w:spacing w:val="0"/>
                <w:sz w:val="24"/>
                <w:szCs w:val="24"/>
                <w:lang w:eastAsia="en-ZA"/>
              </w:rPr>
            </w:pPr>
          </w:p>
          <w:p w:rsidR="00DE08D0" w:rsidRPr="00714FB7" w:rsidRDefault="00DE08D0" w:rsidP="00DE08D0">
            <w:pPr>
              <w:autoSpaceDE w:val="0"/>
              <w:autoSpaceDN w:val="0"/>
              <w:adjustRightInd w:val="0"/>
              <w:spacing w:line="360" w:lineRule="auto"/>
              <w:jc w:val="both"/>
              <w:rPr>
                <w:rFonts w:ascii="Times New Roman" w:hAnsi="Times New Roman"/>
                <w:b/>
                <w:color w:val="auto"/>
                <w:spacing w:val="0"/>
                <w:sz w:val="24"/>
                <w:szCs w:val="24"/>
                <w:lang w:eastAsia="en-ZA"/>
              </w:rPr>
            </w:pPr>
          </w:p>
          <w:p w:rsidR="00DE08D0" w:rsidRPr="00714FB7" w:rsidRDefault="00DE08D0" w:rsidP="00DE08D0">
            <w:pPr>
              <w:autoSpaceDE w:val="0"/>
              <w:autoSpaceDN w:val="0"/>
              <w:adjustRightInd w:val="0"/>
              <w:spacing w:line="360" w:lineRule="auto"/>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2019/20</w:t>
            </w:r>
          </w:p>
        </w:tc>
      </w:tr>
      <w:tr w:rsidR="00DE08D0" w:rsidRPr="00714FB7" w:rsidTr="00030895">
        <w:tc>
          <w:tcPr>
            <w:tcW w:w="2965"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ADMINISTRATION</w:t>
            </w:r>
          </w:p>
        </w:tc>
        <w:tc>
          <w:tcPr>
            <w:tcW w:w="6663" w:type="dxa"/>
            <w:gridSpan w:val="5"/>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p>
        </w:tc>
      </w:tr>
      <w:tr w:rsidR="00DE08D0" w:rsidRPr="00714FB7" w:rsidTr="00030895">
        <w:tc>
          <w:tcPr>
            <w:tcW w:w="2965"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 xml:space="preserve">  OFFICE OF THE CEO</w:t>
            </w:r>
          </w:p>
        </w:tc>
        <w:tc>
          <w:tcPr>
            <w:tcW w:w="1350"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5 874</w:t>
            </w:r>
          </w:p>
        </w:tc>
        <w:tc>
          <w:tcPr>
            <w:tcW w:w="1170"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12 403</w:t>
            </w:r>
          </w:p>
        </w:tc>
        <w:tc>
          <w:tcPr>
            <w:tcW w:w="1440"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12 335</w:t>
            </w:r>
          </w:p>
        </w:tc>
        <w:tc>
          <w:tcPr>
            <w:tcW w:w="1440"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13 098</w:t>
            </w:r>
          </w:p>
        </w:tc>
        <w:tc>
          <w:tcPr>
            <w:tcW w:w="1263"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12 898</w:t>
            </w:r>
          </w:p>
        </w:tc>
      </w:tr>
      <w:tr w:rsidR="00DE08D0" w:rsidRPr="00714FB7" w:rsidTr="00030895">
        <w:tc>
          <w:tcPr>
            <w:tcW w:w="2965"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 xml:space="preserve">  CORPORATE SERVICES</w:t>
            </w:r>
          </w:p>
        </w:tc>
        <w:tc>
          <w:tcPr>
            <w:tcW w:w="1350"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23 380</w:t>
            </w:r>
          </w:p>
        </w:tc>
        <w:tc>
          <w:tcPr>
            <w:tcW w:w="1170"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26 839</w:t>
            </w:r>
          </w:p>
        </w:tc>
        <w:tc>
          <w:tcPr>
            <w:tcW w:w="1440"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37 779</w:t>
            </w:r>
          </w:p>
        </w:tc>
        <w:tc>
          <w:tcPr>
            <w:tcW w:w="1440"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38 120</w:t>
            </w:r>
          </w:p>
        </w:tc>
        <w:tc>
          <w:tcPr>
            <w:tcW w:w="1263"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40 441</w:t>
            </w:r>
          </w:p>
        </w:tc>
      </w:tr>
      <w:tr w:rsidR="00DE08D0" w:rsidRPr="00714FB7" w:rsidTr="00030895">
        <w:tc>
          <w:tcPr>
            <w:tcW w:w="2965"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COMPLIANCE INSPECTORATE</w:t>
            </w:r>
          </w:p>
        </w:tc>
        <w:tc>
          <w:tcPr>
            <w:tcW w:w="1350"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30 492</w:t>
            </w:r>
          </w:p>
        </w:tc>
        <w:tc>
          <w:tcPr>
            <w:tcW w:w="1170"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39 430</w:t>
            </w:r>
          </w:p>
        </w:tc>
        <w:tc>
          <w:tcPr>
            <w:tcW w:w="1440"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49 110</w:t>
            </w:r>
          </w:p>
        </w:tc>
        <w:tc>
          <w:tcPr>
            <w:tcW w:w="1440"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53 377</w:t>
            </w:r>
          </w:p>
        </w:tc>
        <w:tc>
          <w:tcPr>
            <w:tcW w:w="1263"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57 210</w:t>
            </w:r>
          </w:p>
        </w:tc>
      </w:tr>
      <w:tr w:rsidR="00DE08D0" w:rsidRPr="00714FB7" w:rsidTr="00030895">
        <w:tc>
          <w:tcPr>
            <w:tcW w:w="2965"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COMPLAINTS MANAGEMENT</w:t>
            </w:r>
          </w:p>
        </w:tc>
        <w:tc>
          <w:tcPr>
            <w:tcW w:w="1350"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3 499</w:t>
            </w:r>
          </w:p>
        </w:tc>
        <w:tc>
          <w:tcPr>
            <w:tcW w:w="1170"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13 000</w:t>
            </w:r>
          </w:p>
        </w:tc>
        <w:tc>
          <w:tcPr>
            <w:tcW w:w="1440"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14 770</w:t>
            </w:r>
          </w:p>
        </w:tc>
        <w:tc>
          <w:tcPr>
            <w:tcW w:w="1440"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15 835</w:t>
            </w:r>
          </w:p>
        </w:tc>
        <w:tc>
          <w:tcPr>
            <w:tcW w:w="1263"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16 956</w:t>
            </w:r>
          </w:p>
        </w:tc>
      </w:tr>
      <w:tr w:rsidR="00DE08D0" w:rsidRPr="00714FB7" w:rsidTr="00030895">
        <w:tc>
          <w:tcPr>
            <w:tcW w:w="2965"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HSDAS</w:t>
            </w:r>
          </w:p>
        </w:tc>
        <w:tc>
          <w:tcPr>
            <w:tcW w:w="1350"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4 155</w:t>
            </w:r>
          </w:p>
        </w:tc>
        <w:tc>
          <w:tcPr>
            <w:tcW w:w="1170"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8 864</w:t>
            </w:r>
          </w:p>
        </w:tc>
        <w:tc>
          <w:tcPr>
            <w:tcW w:w="1440"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11 716</w:t>
            </w:r>
          </w:p>
        </w:tc>
        <w:tc>
          <w:tcPr>
            <w:tcW w:w="1440"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12 573</w:t>
            </w:r>
          </w:p>
        </w:tc>
        <w:tc>
          <w:tcPr>
            <w:tcW w:w="1263" w:type="dxa"/>
            <w:shd w:val="clear" w:color="auto" w:fill="auto"/>
          </w:tcPr>
          <w:p w:rsidR="00DE08D0" w:rsidRPr="00714FB7" w:rsidRDefault="00DE08D0" w:rsidP="00030895">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12 946</w:t>
            </w:r>
          </w:p>
        </w:tc>
      </w:tr>
      <w:tr w:rsidR="00DE08D0" w:rsidRPr="00714FB7" w:rsidTr="00030895">
        <w:tc>
          <w:tcPr>
            <w:tcW w:w="2965" w:type="dxa"/>
            <w:shd w:val="clear" w:color="auto" w:fill="auto"/>
          </w:tcPr>
          <w:p w:rsidR="00DE08D0" w:rsidRPr="00714FB7" w:rsidRDefault="00DE08D0" w:rsidP="00030895">
            <w:pPr>
              <w:autoSpaceDE w:val="0"/>
              <w:autoSpaceDN w:val="0"/>
              <w:adjustRightInd w:val="0"/>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TOTAL</w:t>
            </w:r>
          </w:p>
        </w:tc>
        <w:tc>
          <w:tcPr>
            <w:tcW w:w="1350" w:type="dxa"/>
            <w:shd w:val="clear" w:color="auto" w:fill="auto"/>
          </w:tcPr>
          <w:p w:rsidR="00DE08D0" w:rsidRPr="00714FB7" w:rsidRDefault="00DE08D0" w:rsidP="00030895">
            <w:pPr>
              <w:autoSpaceDE w:val="0"/>
              <w:autoSpaceDN w:val="0"/>
              <w:adjustRightInd w:val="0"/>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67 401</w:t>
            </w:r>
          </w:p>
        </w:tc>
        <w:tc>
          <w:tcPr>
            <w:tcW w:w="1170" w:type="dxa"/>
            <w:shd w:val="clear" w:color="auto" w:fill="auto"/>
          </w:tcPr>
          <w:p w:rsidR="00DE08D0" w:rsidRPr="00714FB7" w:rsidRDefault="00DE08D0" w:rsidP="00030895">
            <w:pPr>
              <w:autoSpaceDE w:val="0"/>
              <w:autoSpaceDN w:val="0"/>
              <w:adjustRightInd w:val="0"/>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100 535</w:t>
            </w:r>
          </w:p>
        </w:tc>
        <w:tc>
          <w:tcPr>
            <w:tcW w:w="1440" w:type="dxa"/>
            <w:shd w:val="clear" w:color="auto" w:fill="auto"/>
          </w:tcPr>
          <w:p w:rsidR="00DE08D0" w:rsidRPr="00714FB7" w:rsidRDefault="00DE08D0" w:rsidP="00030895">
            <w:pPr>
              <w:autoSpaceDE w:val="0"/>
              <w:autoSpaceDN w:val="0"/>
              <w:adjustRightInd w:val="0"/>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125 711</w:t>
            </w:r>
          </w:p>
        </w:tc>
        <w:tc>
          <w:tcPr>
            <w:tcW w:w="1440" w:type="dxa"/>
            <w:shd w:val="clear" w:color="auto" w:fill="auto"/>
          </w:tcPr>
          <w:p w:rsidR="00DE08D0" w:rsidRPr="00714FB7" w:rsidRDefault="00DE08D0" w:rsidP="00030895">
            <w:pPr>
              <w:autoSpaceDE w:val="0"/>
              <w:autoSpaceDN w:val="0"/>
              <w:adjustRightInd w:val="0"/>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133 003</w:t>
            </w:r>
          </w:p>
        </w:tc>
        <w:tc>
          <w:tcPr>
            <w:tcW w:w="1263" w:type="dxa"/>
            <w:shd w:val="clear" w:color="auto" w:fill="auto"/>
          </w:tcPr>
          <w:p w:rsidR="00DE08D0" w:rsidRPr="00714FB7" w:rsidRDefault="00DE08D0" w:rsidP="00030895">
            <w:pPr>
              <w:autoSpaceDE w:val="0"/>
              <w:autoSpaceDN w:val="0"/>
              <w:adjustRightInd w:val="0"/>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140 451</w:t>
            </w:r>
          </w:p>
        </w:tc>
      </w:tr>
    </w:tbl>
    <w:p w:rsidR="00DE08D0" w:rsidRPr="00714FB7" w:rsidRDefault="00DE08D0" w:rsidP="00DE08D0">
      <w:pPr>
        <w:autoSpaceDE w:val="0"/>
        <w:autoSpaceDN w:val="0"/>
        <w:adjustRightInd w:val="0"/>
        <w:spacing w:line="360" w:lineRule="auto"/>
        <w:jc w:val="both"/>
        <w:rPr>
          <w:rFonts w:ascii="Times New Roman" w:hAnsi="Times New Roman"/>
          <w:color w:val="auto"/>
          <w:spacing w:val="0"/>
          <w:sz w:val="24"/>
          <w:szCs w:val="24"/>
          <w:lang w:eastAsia="en-ZA"/>
        </w:rPr>
      </w:pPr>
    </w:p>
    <w:p w:rsidR="00DE08D0" w:rsidRPr="00714FB7" w:rsidRDefault="00DE08D0" w:rsidP="00030895">
      <w:pPr>
        <w:pStyle w:val="ListParagraph"/>
        <w:numPr>
          <w:ilvl w:val="2"/>
          <w:numId w:val="82"/>
        </w:numPr>
        <w:autoSpaceDE w:val="0"/>
        <w:autoSpaceDN w:val="0"/>
        <w:adjustRightInd w:val="0"/>
        <w:spacing w:line="360" w:lineRule="auto"/>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 xml:space="preserve">Overview of Budget and MTEF Estimates </w:t>
      </w:r>
    </w:p>
    <w:p w:rsidR="00DE08D0" w:rsidRPr="00714FB7" w:rsidRDefault="00DE08D0" w:rsidP="00DE08D0">
      <w:pPr>
        <w:autoSpaceDE w:val="0"/>
        <w:autoSpaceDN w:val="0"/>
        <w:adjustRightInd w:val="0"/>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ZA"/>
        </w:rPr>
        <w:t xml:space="preserve">The total budget allocation for the 2017/18 is expected to be R125.7 million, with 60% geared towards the core business activities; and increasing to R140.5 million in 2019/2, with 61% earmarked for the core operations. </w:t>
      </w:r>
      <w:r w:rsidRPr="00714FB7">
        <w:rPr>
          <w:rFonts w:ascii="Times New Roman" w:hAnsi="Times New Roman"/>
          <w:color w:val="auto"/>
          <w:spacing w:val="0"/>
          <w:sz w:val="24"/>
          <w:szCs w:val="24"/>
          <w:lang w:eastAsia="en-US"/>
        </w:rPr>
        <w:t>On the other hand, the total staff complement is anticipated to increase from 108 in 2016/17 to 121 in 2019/20 of which more than 70% will be staff in core operations over the same period.</w:t>
      </w:r>
    </w:p>
    <w:p w:rsidR="00895960" w:rsidRPr="00714FB7" w:rsidRDefault="00895960" w:rsidP="00DE08D0">
      <w:pPr>
        <w:spacing w:line="360" w:lineRule="auto"/>
        <w:jc w:val="both"/>
        <w:rPr>
          <w:rFonts w:ascii="Times New Roman" w:hAnsi="Times New Roman"/>
          <w:color w:val="auto"/>
          <w:spacing w:val="0"/>
          <w:sz w:val="24"/>
          <w:szCs w:val="24"/>
          <w:lang w:eastAsia="en-US"/>
        </w:rPr>
      </w:pPr>
    </w:p>
    <w:p w:rsidR="00DE08D0" w:rsidRPr="00714FB7" w:rsidRDefault="00DE08D0" w:rsidP="00DE08D0">
      <w:p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Specific budget programmes:</w:t>
      </w:r>
    </w:p>
    <w:p w:rsidR="00DE08D0" w:rsidRPr="00714FB7" w:rsidRDefault="00DE08D0" w:rsidP="00CB47D6">
      <w:pPr>
        <w:numPr>
          <w:ilvl w:val="0"/>
          <w:numId w:val="56"/>
        </w:numPr>
        <w:spacing w:line="360" w:lineRule="auto"/>
        <w:jc w:val="both"/>
        <w:rPr>
          <w:rFonts w:ascii="Times New Roman" w:hAnsi="Times New Roman"/>
          <w:color w:val="auto"/>
          <w:spacing w:val="0"/>
          <w:sz w:val="24"/>
          <w:szCs w:val="24"/>
          <w:lang w:val="en-ZA" w:eastAsia="en-US"/>
        </w:rPr>
      </w:pPr>
      <w:r w:rsidRPr="00714FB7">
        <w:rPr>
          <w:rFonts w:ascii="Times New Roman" w:hAnsi="Times New Roman"/>
          <w:b/>
          <w:color w:val="auto"/>
          <w:spacing w:val="0"/>
          <w:sz w:val="24"/>
          <w:szCs w:val="24"/>
          <w:lang w:val="en-ZA" w:eastAsia="en-US"/>
        </w:rPr>
        <w:t>Administration</w:t>
      </w:r>
      <w:r w:rsidRPr="00714FB7">
        <w:rPr>
          <w:rFonts w:ascii="Times New Roman" w:hAnsi="Times New Roman"/>
          <w:color w:val="auto"/>
          <w:spacing w:val="0"/>
          <w:sz w:val="24"/>
          <w:szCs w:val="24"/>
          <w:lang w:val="en-ZA" w:eastAsia="en-US"/>
        </w:rPr>
        <w:t xml:space="preserve"> – The Administration programme comprises of staff in the Corporate Service division and the Office of the CEO. The budget estimates for this programme increase from R39.2 million in 2016/17 to R53.3 million in 2019/20. The programme will see an increase in the number of staff members in the MTEF period.</w:t>
      </w:r>
    </w:p>
    <w:p w:rsidR="00DE08D0" w:rsidRPr="00714FB7" w:rsidRDefault="00DE08D0" w:rsidP="00DE08D0">
      <w:pPr>
        <w:spacing w:line="360" w:lineRule="auto"/>
        <w:jc w:val="both"/>
        <w:rPr>
          <w:rFonts w:ascii="Times New Roman" w:hAnsi="Times New Roman"/>
          <w:color w:val="auto"/>
          <w:spacing w:val="0"/>
          <w:sz w:val="24"/>
          <w:szCs w:val="24"/>
          <w:lang w:val="en-ZA" w:eastAsia="en-US"/>
        </w:rPr>
      </w:pPr>
    </w:p>
    <w:p w:rsidR="00DE08D0" w:rsidRPr="00714FB7" w:rsidRDefault="00DE08D0" w:rsidP="00CB47D6">
      <w:pPr>
        <w:numPr>
          <w:ilvl w:val="0"/>
          <w:numId w:val="56"/>
        </w:numPr>
        <w:spacing w:line="360" w:lineRule="auto"/>
        <w:jc w:val="both"/>
        <w:rPr>
          <w:rFonts w:ascii="Times New Roman" w:hAnsi="Times New Roman"/>
          <w:color w:val="auto"/>
          <w:spacing w:val="0"/>
          <w:sz w:val="24"/>
          <w:szCs w:val="24"/>
          <w:lang w:val="en-ZA" w:eastAsia="en-US"/>
        </w:rPr>
      </w:pPr>
      <w:r w:rsidRPr="00714FB7">
        <w:rPr>
          <w:rFonts w:ascii="Times New Roman" w:hAnsi="Times New Roman"/>
          <w:b/>
          <w:color w:val="auto"/>
          <w:spacing w:val="0"/>
          <w:sz w:val="24"/>
          <w:szCs w:val="24"/>
          <w:lang w:val="en-ZA" w:eastAsia="en-US"/>
        </w:rPr>
        <w:t xml:space="preserve">Compliance Inspectorate </w:t>
      </w:r>
      <w:r w:rsidRPr="00714FB7">
        <w:rPr>
          <w:rFonts w:ascii="Times New Roman" w:hAnsi="Times New Roman"/>
          <w:color w:val="auto"/>
          <w:spacing w:val="0"/>
          <w:sz w:val="24"/>
          <w:szCs w:val="24"/>
          <w:lang w:val="en-ZA" w:eastAsia="en-US"/>
        </w:rPr>
        <w:t xml:space="preserve">– This is the largest programme of the entity, receives the biggest allocation of the total budget, R49.1 million in 2017/18, up from R39.4 million in 2016/17. The progressive increase in budget allocation will enable an increase in the numbers of inspectors and thus increase the coverage achieved in public and private sectors, including initiating inspections of specialised hospitals and ensuring enough resources are put into follow-up and re-inspections. </w:t>
      </w:r>
    </w:p>
    <w:p w:rsidR="00DE08D0" w:rsidRPr="00714FB7" w:rsidRDefault="00DE08D0" w:rsidP="00DE08D0">
      <w:pPr>
        <w:spacing w:line="360" w:lineRule="auto"/>
        <w:jc w:val="both"/>
        <w:rPr>
          <w:rFonts w:ascii="Times New Roman" w:hAnsi="Times New Roman"/>
          <w:b/>
          <w:color w:val="auto"/>
          <w:spacing w:val="0"/>
          <w:sz w:val="24"/>
          <w:szCs w:val="24"/>
          <w:lang w:val="en-ZA" w:eastAsia="en-US"/>
        </w:rPr>
      </w:pPr>
    </w:p>
    <w:p w:rsidR="00DE08D0" w:rsidRPr="00714FB7" w:rsidRDefault="00DE08D0" w:rsidP="00CB47D6">
      <w:pPr>
        <w:numPr>
          <w:ilvl w:val="0"/>
          <w:numId w:val="56"/>
        </w:numPr>
        <w:spacing w:line="360" w:lineRule="auto"/>
        <w:jc w:val="both"/>
        <w:rPr>
          <w:rFonts w:ascii="Times New Roman" w:hAnsi="Times New Roman"/>
          <w:b/>
          <w:color w:val="auto"/>
          <w:spacing w:val="0"/>
          <w:sz w:val="24"/>
          <w:szCs w:val="24"/>
          <w:lang w:val="en-ZA" w:eastAsia="en-US"/>
        </w:rPr>
      </w:pPr>
      <w:r w:rsidRPr="00714FB7">
        <w:rPr>
          <w:rFonts w:ascii="Times New Roman" w:hAnsi="Times New Roman"/>
          <w:b/>
          <w:color w:val="auto"/>
          <w:spacing w:val="0"/>
          <w:sz w:val="24"/>
          <w:szCs w:val="24"/>
          <w:lang w:val="en-ZA" w:eastAsia="en-US"/>
        </w:rPr>
        <w:t xml:space="preserve">Complaints management </w:t>
      </w:r>
      <w:r w:rsidRPr="00714FB7">
        <w:rPr>
          <w:rFonts w:ascii="Times New Roman" w:hAnsi="Times New Roman"/>
          <w:color w:val="auto"/>
          <w:spacing w:val="0"/>
          <w:sz w:val="24"/>
          <w:szCs w:val="24"/>
          <w:lang w:val="en-ZA" w:eastAsia="en-US"/>
        </w:rPr>
        <w:t>– The budget of this programme is expected to increase from R12.9 million in 2016/17 to R16.9 million in 2019/20. Provision has been made for additional staff members for the call centre, complaints assessments and investigators, which will further provide additional capacity for the proper functioning of the Office of the Ombud.</w:t>
      </w:r>
    </w:p>
    <w:p w:rsidR="00DE08D0" w:rsidRPr="00714FB7" w:rsidRDefault="00DE08D0" w:rsidP="00DE08D0">
      <w:pPr>
        <w:ind w:left="720"/>
        <w:rPr>
          <w:rFonts w:ascii="Times New Roman" w:hAnsi="Times New Roman"/>
          <w:b/>
          <w:color w:val="auto"/>
          <w:spacing w:val="0"/>
          <w:sz w:val="24"/>
          <w:szCs w:val="24"/>
          <w:lang w:val="en-ZA" w:eastAsia="en-US"/>
        </w:rPr>
      </w:pPr>
    </w:p>
    <w:p w:rsidR="00DE08D0" w:rsidRPr="00714FB7" w:rsidRDefault="00DE08D0" w:rsidP="00CB47D6">
      <w:pPr>
        <w:numPr>
          <w:ilvl w:val="0"/>
          <w:numId w:val="56"/>
        </w:numPr>
        <w:spacing w:line="360" w:lineRule="auto"/>
        <w:jc w:val="both"/>
        <w:rPr>
          <w:rFonts w:ascii="Times New Roman" w:hAnsi="Times New Roman"/>
          <w:color w:val="auto"/>
          <w:spacing w:val="0"/>
          <w:sz w:val="24"/>
          <w:szCs w:val="24"/>
          <w:lang w:val="en-ZA" w:eastAsia="en-US"/>
        </w:rPr>
      </w:pPr>
      <w:r w:rsidRPr="00714FB7">
        <w:rPr>
          <w:rFonts w:ascii="Times New Roman" w:hAnsi="Times New Roman"/>
          <w:b/>
          <w:color w:val="auto"/>
          <w:spacing w:val="0"/>
          <w:sz w:val="24"/>
          <w:szCs w:val="24"/>
          <w:lang w:val="en-ZA" w:eastAsia="en-US"/>
        </w:rPr>
        <w:t>Health Standards Design, Analysis and Support</w:t>
      </w:r>
      <w:r w:rsidRPr="00714FB7">
        <w:rPr>
          <w:rFonts w:ascii="Times New Roman" w:hAnsi="Times New Roman"/>
          <w:color w:val="auto"/>
          <w:spacing w:val="0"/>
          <w:sz w:val="24"/>
          <w:szCs w:val="24"/>
          <w:lang w:val="en-ZA" w:eastAsia="en-US"/>
        </w:rPr>
        <w:t xml:space="preserve"> – This programme’s budget is expected to increase from R8.8 million in 2017/18 to R12.9 million in 2019/20. The main budget item is the remuneration of employees in line with plans to conduct a review of and/or develop new norms and standards and measurement tools.</w:t>
      </w:r>
    </w:p>
    <w:p w:rsidR="00DB6645" w:rsidRPr="00714FB7" w:rsidRDefault="00DB6645" w:rsidP="00DE08D0">
      <w:pPr>
        <w:spacing w:line="280" w:lineRule="exact"/>
        <w:jc w:val="both"/>
        <w:rPr>
          <w:rFonts w:ascii="Times New Roman" w:hAnsi="Times New Roman"/>
          <w:color w:val="auto"/>
          <w:spacing w:val="0"/>
          <w:sz w:val="24"/>
          <w:szCs w:val="24"/>
          <w:lang w:eastAsia="en-US"/>
        </w:rPr>
      </w:pPr>
    </w:p>
    <w:p w:rsidR="00DE08D0" w:rsidRPr="00714FB7" w:rsidRDefault="00DE08D0" w:rsidP="00DE08D0">
      <w:pPr>
        <w:autoSpaceDE w:val="0"/>
        <w:autoSpaceDN w:val="0"/>
        <w:adjustRightInd w:val="0"/>
        <w:spacing w:line="360" w:lineRule="auto"/>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In 2017/18 the OHSC plans to achieve the following:</w:t>
      </w:r>
    </w:p>
    <w:p w:rsidR="00DE08D0" w:rsidRPr="00714FB7" w:rsidRDefault="00DE08D0" w:rsidP="00DE08D0">
      <w:pPr>
        <w:autoSpaceDE w:val="0"/>
        <w:autoSpaceDN w:val="0"/>
        <w:adjustRightInd w:val="0"/>
        <w:spacing w:line="360" w:lineRule="auto"/>
        <w:jc w:val="both"/>
        <w:rPr>
          <w:rFonts w:ascii="Times New Roman" w:hAnsi="Times New Roman"/>
          <w:color w:val="auto"/>
          <w:spacing w:val="0"/>
          <w:sz w:val="24"/>
          <w:szCs w:val="24"/>
          <w:lang w:eastAsia="en-ZA"/>
        </w:rPr>
      </w:pPr>
    </w:p>
    <w:p w:rsidR="00DE08D0" w:rsidRPr="00714FB7" w:rsidRDefault="00DE08D0" w:rsidP="00DE08D0">
      <w:pPr>
        <w:numPr>
          <w:ilvl w:val="0"/>
          <w:numId w:val="33"/>
        </w:numPr>
        <w:autoSpaceDE w:val="0"/>
        <w:autoSpaceDN w:val="0"/>
        <w:adjustRightInd w:val="0"/>
        <w:spacing w:line="360" w:lineRule="auto"/>
        <w:contextualSpacing/>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Ensure that 20% of health establishments in the public sector, as well as 30% of health establishments in the private sector are inspected;</w:t>
      </w:r>
    </w:p>
    <w:p w:rsidR="00DE08D0" w:rsidRPr="00714FB7" w:rsidRDefault="00DE08D0" w:rsidP="00DE08D0">
      <w:pPr>
        <w:numPr>
          <w:ilvl w:val="0"/>
          <w:numId w:val="33"/>
        </w:numPr>
        <w:autoSpaceDE w:val="0"/>
        <w:autoSpaceDN w:val="0"/>
        <w:adjustRightInd w:val="0"/>
        <w:spacing w:line="360" w:lineRule="auto"/>
        <w:contextualSpacing/>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Ensure that 100% of compliant health establishments are certified by the OHSC within 60 days after the final inspection.</w:t>
      </w:r>
    </w:p>
    <w:p w:rsidR="00DE08D0" w:rsidRPr="00714FB7" w:rsidRDefault="00DE08D0" w:rsidP="00DE08D0">
      <w:pPr>
        <w:numPr>
          <w:ilvl w:val="0"/>
          <w:numId w:val="33"/>
        </w:numPr>
        <w:autoSpaceDE w:val="0"/>
        <w:autoSpaceDN w:val="0"/>
        <w:adjustRightInd w:val="0"/>
        <w:spacing w:line="360" w:lineRule="auto"/>
        <w:contextualSpacing/>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 xml:space="preserve">Ensure that 100% of persistently non-compliant health establishments for which regulated action is initiated within 10 days from date of receipt of re-inspection or EWS report. </w:t>
      </w:r>
    </w:p>
    <w:p w:rsidR="00DE08D0" w:rsidRPr="00714FB7" w:rsidRDefault="00DE08D0" w:rsidP="00DE08D0">
      <w:pPr>
        <w:numPr>
          <w:ilvl w:val="0"/>
          <w:numId w:val="33"/>
        </w:numPr>
        <w:autoSpaceDE w:val="0"/>
        <w:autoSpaceDN w:val="0"/>
        <w:adjustRightInd w:val="0"/>
        <w:spacing w:line="360" w:lineRule="auto"/>
        <w:contextualSpacing/>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Ensure that five reports on inspections conducted, remedial recommendations issues and compliance status of health establishments are published.</w:t>
      </w:r>
    </w:p>
    <w:p w:rsidR="00DE08D0" w:rsidRPr="00714FB7" w:rsidRDefault="00DE08D0" w:rsidP="00DE08D0">
      <w:pPr>
        <w:numPr>
          <w:ilvl w:val="0"/>
          <w:numId w:val="33"/>
        </w:numPr>
        <w:autoSpaceDE w:val="0"/>
        <w:autoSpaceDN w:val="0"/>
        <w:adjustRightInd w:val="0"/>
        <w:spacing w:line="360" w:lineRule="auto"/>
        <w:contextualSpacing/>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Ensure a fully-functional Call Centre system for receiving complaints.</w:t>
      </w:r>
    </w:p>
    <w:p w:rsidR="00240DD5" w:rsidRPr="00714FB7" w:rsidRDefault="00DE08D0" w:rsidP="00240DD5">
      <w:pPr>
        <w:numPr>
          <w:ilvl w:val="0"/>
          <w:numId w:val="33"/>
        </w:numPr>
        <w:autoSpaceDE w:val="0"/>
        <w:autoSpaceDN w:val="0"/>
        <w:adjustRightInd w:val="0"/>
        <w:spacing w:line="360" w:lineRule="auto"/>
        <w:contextualSpacing/>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Ensure that 80% of complaints lodged with the OHSC are investigated and responded to within six months.</w:t>
      </w:r>
    </w:p>
    <w:p w:rsidR="00CB47D6" w:rsidRPr="00714FB7" w:rsidRDefault="00CB47D6" w:rsidP="00CB47D6">
      <w:pPr>
        <w:autoSpaceDE w:val="0"/>
        <w:autoSpaceDN w:val="0"/>
        <w:adjustRightInd w:val="0"/>
        <w:spacing w:line="360" w:lineRule="auto"/>
        <w:ind w:left="720"/>
        <w:contextualSpacing/>
        <w:jc w:val="both"/>
        <w:rPr>
          <w:rFonts w:ascii="Times New Roman" w:hAnsi="Times New Roman"/>
          <w:color w:val="auto"/>
          <w:spacing w:val="0"/>
          <w:sz w:val="24"/>
          <w:szCs w:val="24"/>
          <w:lang w:eastAsia="en-ZA"/>
        </w:rPr>
      </w:pPr>
    </w:p>
    <w:p w:rsidR="00240DD5" w:rsidRPr="00714FB7" w:rsidRDefault="00D82668" w:rsidP="00030895">
      <w:pPr>
        <w:pStyle w:val="ListParagraph"/>
        <w:numPr>
          <w:ilvl w:val="1"/>
          <w:numId w:val="82"/>
        </w:numPr>
        <w:autoSpaceDE w:val="0"/>
        <w:autoSpaceDN w:val="0"/>
        <w:adjustRightInd w:val="0"/>
        <w:spacing w:line="360" w:lineRule="auto"/>
        <w:ind w:left="540" w:hanging="540"/>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COUNCIL FOR MEDICAL SCHEMES (CMS)</w:t>
      </w:r>
    </w:p>
    <w:p w:rsidR="00D71CD7" w:rsidRPr="00714FB7" w:rsidRDefault="00D71CD7" w:rsidP="00D71CD7">
      <w:pPr>
        <w:jc w:val="both"/>
        <w:rPr>
          <w:rFonts w:ascii="Times New Roman" w:hAnsi="Times New Roman"/>
          <w:b/>
          <w:color w:val="auto"/>
          <w:spacing w:val="0"/>
          <w:sz w:val="24"/>
          <w:szCs w:val="24"/>
          <w:lang w:eastAsia="en-ZA"/>
        </w:rPr>
      </w:pPr>
    </w:p>
    <w:p w:rsidR="00D71CD7" w:rsidRPr="00714FB7" w:rsidRDefault="00D71CD7" w:rsidP="00030895">
      <w:p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The Council for Medical Schemes, as the national medical schemes regulatory authority, is a public entity responsible for regulating the medical schemes industry to protect the interests of members and beneficiaries, “controlling and co-ordinating the functioning of medical schemes, collecting and disseminating information about private health care, and advising the Minister of Health on any matter concerning medical schemes.” The paper provides an overview of the Council for Medical Schemes’ Annual Performance Plan</w:t>
      </w:r>
      <w:r w:rsidR="00424720" w:rsidRPr="00714FB7">
        <w:rPr>
          <w:rFonts w:ascii="Times New Roman" w:hAnsi="Times New Roman"/>
          <w:color w:val="auto"/>
          <w:spacing w:val="0"/>
          <w:sz w:val="24"/>
          <w:szCs w:val="24"/>
          <w:lang w:eastAsia="en-US"/>
        </w:rPr>
        <w:t xml:space="preserve"> </w:t>
      </w:r>
      <w:r w:rsidRPr="00714FB7">
        <w:rPr>
          <w:rFonts w:ascii="Times New Roman" w:hAnsi="Times New Roman"/>
          <w:color w:val="auto"/>
          <w:spacing w:val="0"/>
          <w:sz w:val="24"/>
          <w:szCs w:val="24"/>
          <w:lang w:eastAsia="en-US"/>
        </w:rPr>
        <w:t>and budget, as submitted to Parliament. Key issues for consideration by Parliament are also highlighted.</w:t>
      </w:r>
    </w:p>
    <w:p w:rsidR="00D71CD7" w:rsidRPr="00714FB7" w:rsidRDefault="00D71CD7" w:rsidP="00030895">
      <w:pPr>
        <w:spacing w:line="360" w:lineRule="auto"/>
        <w:jc w:val="both"/>
        <w:rPr>
          <w:rFonts w:ascii="Times New Roman" w:hAnsi="Times New Roman"/>
          <w:color w:val="auto"/>
          <w:spacing w:val="0"/>
          <w:sz w:val="24"/>
          <w:szCs w:val="24"/>
          <w:lang w:eastAsia="en-US"/>
        </w:rPr>
      </w:pPr>
    </w:p>
    <w:p w:rsidR="00D71CD7" w:rsidRPr="00714FB7" w:rsidRDefault="00D71CD7" w:rsidP="00030895">
      <w:p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The vision of the CMS is to be “promote vibrant and affordable healthcare cover for all.” Its mission is to regulate the medical schemes industry in a fair and transparent manner by, amongst other things: </w:t>
      </w:r>
    </w:p>
    <w:p w:rsidR="00D71CD7" w:rsidRPr="00714FB7" w:rsidRDefault="00D71CD7" w:rsidP="00030895">
      <w:pPr>
        <w:numPr>
          <w:ilvl w:val="0"/>
          <w:numId w:val="60"/>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Protecting the public and informing them about their rights, obligations and other matters with regard to medical schemes;</w:t>
      </w:r>
    </w:p>
    <w:p w:rsidR="00D71CD7" w:rsidRPr="00714FB7" w:rsidRDefault="00D71CD7" w:rsidP="00030895">
      <w:pPr>
        <w:numPr>
          <w:ilvl w:val="0"/>
          <w:numId w:val="60"/>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Ensuring that complaints raised by members of the public are handled appropriately and speedily;</w:t>
      </w:r>
    </w:p>
    <w:p w:rsidR="00D71CD7" w:rsidRPr="00714FB7" w:rsidRDefault="00D71CD7" w:rsidP="00030895">
      <w:pPr>
        <w:numPr>
          <w:ilvl w:val="0"/>
          <w:numId w:val="60"/>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Ensuring compliance with the Medical Schemes Act (No.131 of 1998);</w:t>
      </w:r>
    </w:p>
    <w:p w:rsidR="00D71CD7" w:rsidRPr="00714FB7" w:rsidRDefault="00D71CD7" w:rsidP="00030895">
      <w:pPr>
        <w:numPr>
          <w:ilvl w:val="0"/>
          <w:numId w:val="60"/>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Ensuring improved management and governance of medical schemes; and</w:t>
      </w:r>
    </w:p>
    <w:p w:rsidR="00D71CD7" w:rsidRPr="00714FB7" w:rsidRDefault="00D71CD7" w:rsidP="00030895">
      <w:pPr>
        <w:numPr>
          <w:ilvl w:val="0"/>
          <w:numId w:val="60"/>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Advising the Minister of Health on appropriate regulatory and policy interventions.</w:t>
      </w:r>
    </w:p>
    <w:p w:rsidR="00D71CD7" w:rsidRPr="00714FB7" w:rsidRDefault="00D71CD7" w:rsidP="00030895">
      <w:pPr>
        <w:autoSpaceDE w:val="0"/>
        <w:autoSpaceDN w:val="0"/>
        <w:adjustRightInd w:val="0"/>
        <w:spacing w:line="360" w:lineRule="auto"/>
        <w:jc w:val="both"/>
        <w:rPr>
          <w:rFonts w:ascii="Times New Roman" w:hAnsi="Times New Roman"/>
          <w:iCs/>
          <w:color w:val="auto"/>
          <w:spacing w:val="0"/>
          <w:sz w:val="24"/>
          <w:szCs w:val="24"/>
          <w:lang w:val="en-ZA" w:eastAsia="en-ZA"/>
        </w:rPr>
      </w:pPr>
    </w:p>
    <w:p w:rsidR="00D71CD7" w:rsidRPr="00714FB7" w:rsidRDefault="00D82668" w:rsidP="00030895">
      <w:pPr>
        <w:pStyle w:val="ListParagraph"/>
        <w:keepNext/>
        <w:numPr>
          <w:ilvl w:val="2"/>
          <w:numId w:val="82"/>
        </w:numPr>
        <w:spacing w:line="360" w:lineRule="auto"/>
        <w:jc w:val="both"/>
        <w:outlineLvl w:val="0"/>
        <w:rPr>
          <w:rFonts w:ascii="Times New Roman" w:hAnsi="Times New Roman"/>
          <w:b/>
          <w:bCs/>
          <w:color w:val="auto"/>
          <w:spacing w:val="0"/>
          <w:kern w:val="32"/>
          <w:sz w:val="24"/>
          <w:szCs w:val="24"/>
          <w:lang w:eastAsia="en-US"/>
        </w:rPr>
      </w:pPr>
      <w:r w:rsidRPr="00714FB7">
        <w:rPr>
          <w:rFonts w:ascii="Times New Roman" w:hAnsi="Times New Roman"/>
          <w:b/>
          <w:bCs/>
          <w:color w:val="auto"/>
          <w:spacing w:val="0"/>
          <w:kern w:val="32"/>
          <w:sz w:val="24"/>
          <w:szCs w:val="24"/>
          <w:lang w:eastAsia="en-US"/>
        </w:rPr>
        <w:t xml:space="preserve">CMS Strategic Policy Initiatives </w:t>
      </w:r>
    </w:p>
    <w:p w:rsidR="00D71CD7" w:rsidRPr="00714FB7" w:rsidRDefault="00D71CD7" w:rsidP="00030895">
      <w:pPr>
        <w:spacing w:line="360" w:lineRule="auto"/>
        <w:jc w:val="both"/>
        <w:rPr>
          <w:rFonts w:ascii="Times New Roman" w:hAnsi="Times New Roman"/>
          <w:color w:val="auto"/>
          <w:spacing w:val="0"/>
          <w:sz w:val="24"/>
          <w:szCs w:val="24"/>
          <w:lang w:eastAsia="en-US"/>
        </w:rPr>
      </w:pPr>
    </w:p>
    <w:p w:rsidR="00D71CD7" w:rsidRPr="00714FB7" w:rsidRDefault="00D71CD7" w:rsidP="00030895">
      <w:pPr>
        <w:autoSpaceDE w:val="0"/>
        <w:autoSpaceDN w:val="0"/>
        <w:adjustRightInd w:val="0"/>
        <w:spacing w:line="360" w:lineRule="auto"/>
        <w:jc w:val="both"/>
        <w:rPr>
          <w:rFonts w:ascii="Times New Roman" w:hAnsi="Times New Roman"/>
          <w:bCs/>
          <w:color w:val="auto"/>
          <w:spacing w:val="0"/>
          <w:sz w:val="24"/>
          <w:szCs w:val="24"/>
          <w:lang w:val="en-ZA" w:eastAsia="en-ZA"/>
        </w:rPr>
      </w:pPr>
      <w:r w:rsidRPr="00714FB7">
        <w:rPr>
          <w:rFonts w:ascii="Times New Roman" w:hAnsi="Times New Roman"/>
          <w:bCs/>
          <w:color w:val="auto"/>
          <w:spacing w:val="0"/>
          <w:sz w:val="24"/>
          <w:szCs w:val="24"/>
          <w:lang w:val="en-ZA" w:eastAsia="en-ZA"/>
        </w:rPr>
        <w:t xml:space="preserve">The CMS has aligned the strategic focus areas for the five-year period (2015 to 2020) emanating from the policy direction of the National Department of Health Strategic Plan 2014/15 – 2019/20, as well as imperatives outlined in the National Development Plan (NDP) Vision 2030 and the Medium Term Strategic Framework (MTSF) Priorities. </w:t>
      </w:r>
    </w:p>
    <w:p w:rsidR="00D71CD7" w:rsidRPr="00714FB7" w:rsidRDefault="00D71CD7" w:rsidP="00030895">
      <w:pPr>
        <w:autoSpaceDE w:val="0"/>
        <w:autoSpaceDN w:val="0"/>
        <w:adjustRightInd w:val="0"/>
        <w:spacing w:line="360" w:lineRule="auto"/>
        <w:jc w:val="both"/>
        <w:rPr>
          <w:rFonts w:ascii="Times New Roman" w:hAnsi="Times New Roman"/>
          <w:bCs/>
          <w:color w:val="auto"/>
          <w:spacing w:val="0"/>
          <w:sz w:val="24"/>
          <w:szCs w:val="24"/>
          <w:lang w:val="en-ZA" w:eastAsia="en-ZA"/>
        </w:rPr>
      </w:pPr>
    </w:p>
    <w:p w:rsidR="00D71CD7" w:rsidRPr="00714FB7" w:rsidRDefault="00D71CD7" w:rsidP="00030895">
      <w:pPr>
        <w:autoSpaceDE w:val="0"/>
        <w:autoSpaceDN w:val="0"/>
        <w:adjustRightInd w:val="0"/>
        <w:spacing w:line="360" w:lineRule="auto"/>
        <w:jc w:val="both"/>
        <w:rPr>
          <w:rFonts w:ascii="Times New Roman" w:hAnsi="Times New Roman"/>
          <w:bCs/>
          <w:color w:val="auto"/>
          <w:spacing w:val="0"/>
          <w:sz w:val="24"/>
          <w:szCs w:val="24"/>
          <w:lang w:val="en-ZA" w:eastAsia="en-ZA"/>
        </w:rPr>
      </w:pPr>
      <w:r w:rsidRPr="00714FB7">
        <w:rPr>
          <w:rFonts w:ascii="Times New Roman" w:hAnsi="Times New Roman"/>
          <w:bCs/>
          <w:color w:val="auto"/>
          <w:spacing w:val="0"/>
          <w:sz w:val="24"/>
          <w:szCs w:val="24"/>
          <w:lang w:val="en-ZA" w:eastAsia="en-ZA"/>
        </w:rPr>
        <w:t xml:space="preserve">The CMS’s Strategic Policy Initiatives include: </w:t>
      </w:r>
    </w:p>
    <w:p w:rsidR="00D71CD7" w:rsidRPr="00714FB7" w:rsidRDefault="00D71CD7" w:rsidP="00030895">
      <w:pPr>
        <w:numPr>
          <w:ilvl w:val="0"/>
          <w:numId w:val="57"/>
        </w:numPr>
        <w:autoSpaceDE w:val="0"/>
        <w:autoSpaceDN w:val="0"/>
        <w:adjustRightInd w:val="0"/>
        <w:spacing w:line="360" w:lineRule="auto"/>
        <w:jc w:val="both"/>
        <w:rPr>
          <w:rFonts w:ascii="Times New Roman" w:hAnsi="Times New Roman"/>
          <w:bCs/>
          <w:color w:val="auto"/>
          <w:spacing w:val="0"/>
          <w:sz w:val="24"/>
          <w:szCs w:val="24"/>
          <w:lang w:val="en-ZA" w:eastAsia="en-ZA"/>
        </w:rPr>
      </w:pPr>
      <w:r w:rsidRPr="00714FB7">
        <w:rPr>
          <w:rFonts w:ascii="Times New Roman" w:hAnsi="Times New Roman"/>
          <w:bCs/>
          <w:color w:val="auto"/>
          <w:spacing w:val="0"/>
          <w:sz w:val="24"/>
          <w:szCs w:val="24"/>
          <w:lang w:val="en-ZA" w:eastAsia="en-ZA"/>
        </w:rPr>
        <w:t xml:space="preserve">National Health Insurance: CMS has responded to the White Paper on the NHI, and other activities in support of the development and implementation of the NHI. </w:t>
      </w:r>
    </w:p>
    <w:p w:rsidR="00D71CD7" w:rsidRPr="00714FB7" w:rsidRDefault="00D71CD7" w:rsidP="00030895">
      <w:pPr>
        <w:numPr>
          <w:ilvl w:val="0"/>
          <w:numId w:val="57"/>
        </w:numPr>
        <w:autoSpaceDE w:val="0"/>
        <w:autoSpaceDN w:val="0"/>
        <w:adjustRightInd w:val="0"/>
        <w:spacing w:line="360" w:lineRule="auto"/>
        <w:jc w:val="both"/>
        <w:rPr>
          <w:rFonts w:ascii="Times New Roman" w:hAnsi="Times New Roman"/>
          <w:bCs/>
          <w:color w:val="auto"/>
          <w:spacing w:val="0"/>
          <w:sz w:val="24"/>
          <w:szCs w:val="24"/>
          <w:lang w:val="en-ZA" w:eastAsia="en-ZA"/>
        </w:rPr>
      </w:pPr>
      <w:r w:rsidRPr="00714FB7">
        <w:rPr>
          <w:rFonts w:ascii="Times New Roman" w:hAnsi="Times New Roman"/>
          <w:bCs/>
          <w:color w:val="auto"/>
          <w:spacing w:val="0"/>
          <w:sz w:val="24"/>
          <w:szCs w:val="24"/>
          <w:lang w:val="en-ZA" w:eastAsia="en-ZA"/>
        </w:rPr>
        <w:t>Health Market Inquiry (HMI): The CMS was identified as one of the key stakeholders in the HMI that is in process under the auspices of the Competition Commission.</w:t>
      </w:r>
    </w:p>
    <w:p w:rsidR="00D71CD7" w:rsidRPr="00714FB7" w:rsidRDefault="00D71CD7" w:rsidP="00030895">
      <w:pPr>
        <w:numPr>
          <w:ilvl w:val="0"/>
          <w:numId w:val="57"/>
        </w:numPr>
        <w:autoSpaceDE w:val="0"/>
        <w:autoSpaceDN w:val="0"/>
        <w:adjustRightInd w:val="0"/>
        <w:spacing w:line="360" w:lineRule="auto"/>
        <w:jc w:val="both"/>
        <w:rPr>
          <w:rFonts w:ascii="Times New Roman" w:hAnsi="Times New Roman"/>
          <w:bCs/>
          <w:color w:val="auto"/>
          <w:spacing w:val="0"/>
          <w:sz w:val="24"/>
          <w:szCs w:val="24"/>
          <w:lang w:val="en-ZA" w:eastAsia="en-ZA"/>
        </w:rPr>
      </w:pPr>
      <w:r w:rsidRPr="00714FB7">
        <w:rPr>
          <w:rFonts w:ascii="Times New Roman" w:hAnsi="Times New Roman"/>
          <w:bCs/>
          <w:color w:val="auto"/>
          <w:spacing w:val="0"/>
          <w:sz w:val="24"/>
          <w:szCs w:val="24"/>
          <w:lang w:val="en-ZA" w:eastAsia="en-ZA"/>
        </w:rPr>
        <w:t xml:space="preserve">Beneficiary Registry List: The CMS has been tasked by the Minister of Health to develop a single repository of all funded patients in South Africa. It is expected that the repository will be up and running in 2017. </w:t>
      </w:r>
    </w:p>
    <w:p w:rsidR="00D71CD7" w:rsidRPr="00714FB7" w:rsidRDefault="00D71CD7" w:rsidP="00030895">
      <w:pPr>
        <w:numPr>
          <w:ilvl w:val="0"/>
          <w:numId w:val="57"/>
        </w:numPr>
        <w:autoSpaceDE w:val="0"/>
        <w:autoSpaceDN w:val="0"/>
        <w:adjustRightInd w:val="0"/>
        <w:spacing w:line="360" w:lineRule="auto"/>
        <w:jc w:val="both"/>
        <w:rPr>
          <w:rFonts w:ascii="Times New Roman" w:hAnsi="Times New Roman"/>
          <w:bCs/>
          <w:color w:val="auto"/>
          <w:spacing w:val="0"/>
          <w:sz w:val="24"/>
          <w:szCs w:val="24"/>
          <w:lang w:val="en-ZA" w:eastAsia="en-ZA"/>
        </w:rPr>
      </w:pPr>
      <w:r w:rsidRPr="00714FB7">
        <w:rPr>
          <w:rFonts w:ascii="Times New Roman" w:hAnsi="Times New Roman"/>
          <w:bCs/>
          <w:color w:val="auto"/>
          <w:spacing w:val="0"/>
          <w:sz w:val="24"/>
          <w:szCs w:val="24"/>
          <w:lang w:val="en-ZA" w:eastAsia="en-ZA"/>
        </w:rPr>
        <w:t>Prescribed Minimum Benefits (PMBs): The CMS in collaboration with the Department is reviewing the PMB regulations to include primary health care component that is affordable, sustainable and cost-effective, which will be in line with the NHI’s intended service package.</w:t>
      </w:r>
    </w:p>
    <w:p w:rsidR="00D71CD7" w:rsidRPr="00714FB7" w:rsidRDefault="00D71CD7" w:rsidP="00030895">
      <w:pPr>
        <w:numPr>
          <w:ilvl w:val="0"/>
          <w:numId w:val="57"/>
        </w:numPr>
        <w:autoSpaceDE w:val="0"/>
        <w:autoSpaceDN w:val="0"/>
        <w:adjustRightInd w:val="0"/>
        <w:spacing w:line="360" w:lineRule="auto"/>
        <w:jc w:val="both"/>
        <w:rPr>
          <w:rFonts w:ascii="Times New Roman" w:hAnsi="Times New Roman"/>
          <w:bCs/>
          <w:color w:val="auto"/>
          <w:spacing w:val="0"/>
          <w:sz w:val="24"/>
          <w:szCs w:val="24"/>
          <w:lang w:val="en-ZA" w:eastAsia="en-ZA"/>
        </w:rPr>
      </w:pPr>
      <w:r w:rsidRPr="00714FB7">
        <w:rPr>
          <w:rFonts w:ascii="Times New Roman" w:hAnsi="Times New Roman"/>
          <w:bCs/>
          <w:color w:val="auto"/>
          <w:spacing w:val="0"/>
          <w:sz w:val="24"/>
          <w:szCs w:val="24"/>
          <w:lang w:val="en-ZA" w:eastAsia="en-ZA"/>
        </w:rPr>
        <w:t>Demarcation: Treasury regulations to the Short Term Insurance Act of 1998 and Long Term Insurance Act of 1998 were promulgated for implementation on 1 April 2017.</w:t>
      </w:r>
    </w:p>
    <w:p w:rsidR="00D71CD7" w:rsidRPr="00714FB7" w:rsidRDefault="00D71CD7" w:rsidP="00030895">
      <w:pPr>
        <w:numPr>
          <w:ilvl w:val="0"/>
          <w:numId w:val="57"/>
        </w:numPr>
        <w:autoSpaceDE w:val="0"/>
        <w:autoSpaceDN w:val="0"/>
        <w:adjustRightInd w:val="0"/>
        <w:spacing w:line="360" w:lineRule="auto"/>
        <w:jc w:val="both"/>
        <w:rPr>
          <w:rFonts w:ascii="Times New Roman" w:hAnsi="Times New Roman"/>
          <w:bCs/>
          <w:color w:val="auto"/>
          <w:spacing w:val="0"/>
          <w:sz w:val="24"/>
          <w:szCs w:val="24"/>
          <w:lang w:val="en-ZA" w:eastAsia="en-ZA"/>
        </w:rPr>
      </w:pPr>
      <w:r w:rsidRPr="00714FB7">
        <w:rPr>
          <w:rFonts w:ascii="Times New Roman" w:hAnsi="Times New Roman"/>
          <w:bCs/>
          <w:color w:val="auto"/>
          <w:spacing w:val="0"/>
          <w:sz w:val="24"/>
          <w:szCs w:val="24"/>
          <w:lang w:val="en-ZA" w:eastAsia="en-ZA"/>
        </w:rPr>
        <w:t xml:space="preserve">Solvency Framework: the CMS is engaging in research to review the solvency ratio requirement for medical schemes to maintain 25% of funds. </w:t>
      </w:r>
    </w:p>
    <w:p w:rsidR="00D71CD7" w:rsidRPr="00714FB7" w:rsidRDefault="00D71CD7" w:rsidP="00030895">
      <w:pPr>
        <w:autoSpaceDE w:val="0"/>
        <w:autoSpaceDN w:val="0"/>
        <w:adjustRightInd w:val="0"/>
        <w:spacing w:line="360" w:lineRule="auto"/>
        <w:jc w:val="both"/>
        <w:rPr>
          <w:rFonts w:ascii="Times New Roman" w:hAnsi="Times New Roman"/>
          <w:b/>
          <w:bCs/>
          <w:color w:val="auto"/>
          <w:spacing w:val="0"/>
          <w:sz w:val="24"/>
          <w:szCs w:val="24"/>
          <w:lang w:val="en-ZA" w:eastAsia="en-ZA"/>
        </w:rPr>
      </w:pPr>
    </w:p>
    <w:p w:rsidR="00D71CD7" w:rsidRPr="00714FB7" w:rsidRDefault="00D82668" w:rsidP="00030895">
      <w:pPr>
        <w:pStyle w:val="ListParagraph"/>
        <w:numPr>
          <w:ilvl w:val="2"/>
          <w:numId w:val="82"/>
        </w:numPr>
        <w:rPr>
          <w:rFonts w:ascii="Times New Roman" w:hAnsi="Times New Roman"/>
          <w:b/>
          <w:color w:val="auto"/>
          <w:kern w:val="32"/>
          <w:sz w:val="24"/>
          <w:szCs w:val="24"/>
          <w:lang w:eastAsia="en-US"/>
        </w:rPr>
      </w:pPr>
      <w:r w:rsidRPr="00714FB7">
        <w:rPr>
          <w:rFonts w:ascii="Times New Roman" w:hAnsi="Times New Roman"/>
          <w:b/>
          <w:color w:val="auto"/>
          <w:kern w:val="32"/>
          <w:sz w:val="24"/>
          <w:szCs w:val="24"/>
          <w:lang w:eastAsia="en-US"/>
        </w:rPr>
        <w:t xml:space="preserve">Strategic Objectives and Performance Plan for 2017/18 </w:t>
      </w:r>
    </w:p>
    <w:p w:rsidR="00D71CD7" w:rsidRPr="00714FB7" w:rsidRDefault="00D71CD7" w:rsidP="00030895">
      <w:pPr>
        <w:autoSpaceDE w:val="0"/>
        <w:autoSpaceDN w:val="0"/>
        <w:adjustRightInd w:val="0"/>
        <w:spacing w:line="360" w:lineRule="auto"/>
        <w:jc w:val="both"/>
        <w:rPr>
          <w:rFonts w:ascii="Times New Roman" w:hAnsi="Times New Roman"/>
          <w:b/>
          <w:bCs/>
          <w:color w:val="auto"/>
          <w:spacing w:val="0"/>
          <w:sz w:val="24"/>
          <w:szCs w:val="24"/>
          <w:lang w:val="en-ZA" w:eastAsia="en-ZA"/>
        </w:rPr>
      </w:pPr>
      <w:r w:rsidRPr="00714FB7">
        <w:rPr>
          <w:rFonts w:ascii="Times New Roman" w:hAnsi="Times New Roman"/>
          <w:b/>
          <w:bCs/>
          <w:color w:val="auto"/>
          <w:spacing w:val="0"/>
          <w:sz w:val="24"/>
          <w:szCs w:val="24"/>
          <w:lang w:val="en-ZA" w:eastAsia="en-ZA"/>
        </w:rPr>
        <w:t xml:space="preserve"> </w:t>
      </w:r>
    </w:p>
    <w:p w:rsidR="00D71CD7" w:rsidRPr="00714FB7" w:rsidRDefault="00D71CD7" w:rsidP="00030895">
      <w:pPr>
        <w:autoSpaceDE w:val="0"/>
        <w:autoSpaceDN w:val="0"/>
        <w:adjustRightInd w:val="0"/>
        <w:spacing w:line="360" w:lineRule="auto"/>
        <w:jc w:val="both"/>
        <w:rPr>
          <w:rFonts w:ascii="Times New Roman" w:hAnsi="Times New Roman"/>
          <w:bCs/>
          <w:color w:val="auto"/>
          <w:spacing w:val="0"/>
          <w:sz w:val="24"/>
          <w:szCs w:val="24"/>
          <w:lang w:val="en-ZA" w:eastAsia="en-ZA"/>
        </w:rPr>
      </w:pPr>
      <w:r w:rsidRPr="00714FB7">
        <w:rPr>
          <w:rFonts w:ascii="Times New Roman" w:hAnsi="Times New Roman"/>
          <w:bCs/>
          <w:color w:val="auto"/>
          <w:spacing w:val="0"/>
          <w:sz w:val="24"/>
          <w:szCs w:val="24"/>
          <w:lang w:val="en-ZA" w:eastAsia="en-ZA"/>
        </w:rPr>
        <w:t>The t</w:t>
      </w:r>
      <w:r w:rsidR="003B5AA2" w:rsidRPr="00714FB7">
        <w:rPr>
          <w:rFonts w:ascii="Times New Roman" w:hAnsi="Times New Roman"/>
          <w:bCs/>
          <w:color w:val="auto"/>
          <w:spacing w:val="0"/>
          <w:sz w:val="24"/>
          <w:szCs w:val="24"/>
          <w:lang w:val="en-ZA" w:eastAsia="en-ZA"/>
        </w:rPr>
        <w:t>able</w:t>
      </w:r>
      <w:r w:rsidRPr="00714FB7">
        <w:rPr>
          <w:rFonts w:ascii="Times New Roman" w:hAnsi="Times New Roman"/>
          <w:bCs/>
          <w:color w:val="auto"/>
          <w:spacing w:val="0"/>
          <w:sz w:val="24"/>
          <w:szCs w:val="24"/>
          <w:lang w:val="en-ZA" w:eastAsia="en-ZA"/>
        </w:rPr>
        <w:t xml:space="preserve"> below highlights some of the annual and quarterly performance indicators for the CMS.</w:t>
      </w:r>
    </w:p>
    <w:p w:rsidR="00DC6D09" w:rsidRPr="00714FB7" w:rsidRDefault="00DC6D09" w:rsidP="00D71CD7">
      <w:pPr>
        <w:autoSpaceDE w:val="0"/>
        <w:autoSpaceDN w:val="0"/>
        <w:adjustRightInd w:val="0"/>
        <w:spacing w:line="280" w:lineRule="exact"/>
        <w:jc w:val="both"/>
        <w:rPr>
          <w:rFonts w:ascii="Times New Roman" w:hAnsi="Times New Roman"/>
          <w:bCs/>
          <w:color w:val="auto"/>
          <w:spacing w:val="0"/>
          <w:sz w:val="24"/>
          <w:szCs w:val="24"/>
          <w:lang w:val="en-ZA" w:eastAsia="en-ZA"/>
        </w:rPr>
      </w:pPr>
    </w:p>
    <w:p w:rsidR="00D71CD7" w:rsidRPr="00714FB7" w:rsidRDefault="00D71CD7" w:rsidP="00DC6D09">
      <w:pPr>
        <w:autoSpaceDE w:val="0"/>
        <w:autoSpaceDN w:val="0"/>
        <w:adjustRightInd w:val="0"/>
        <w:spacing w:line="360" w:lineRule="auto"/>
        <w:ind w:firstLine="270"/>
        <w:jc w:val="both"/>
        <w:rPr>
          <w:rFonts w:ascii="Times New Roman" w:hAnsi="Times New Roman"/>
          <w:b/>
          <w:color w:val="auto"/>
          <w:spacing w:val="0"/>
          <w:sz w:val="24"/>
          <w:szCs w:val="24"/>
          <w:lang w:eastAsia="en-US"/>
        </w:rPr>
      </w:pPr>
      <w:r w:rsidRPr="00714FB7">
        <w:rPr>
          <w:rFonts w:ascii="Times New Roman" w:hAnsi="Times New Roman"/>
          <w:b/>
          <w:color w:val="auto"/>
          <w:spacing w:val="0"/>
          <w:sz w:val="24"/>
          <w:szCs w:val="24"/>
          <w:lang w:eastAsia="en-US"/>
        </w:rPr>
        <w:t xml:space="preserve">Table </w:t>
      </w:r>
      <w:r w:rsidR="008F1D08" w:rsidRPr="00714FB7">
        <w:rPr>
          <w:rFonts w:ascii="Times New Roman" w:hAnsi="Times New Roman"/>
          <w:b/>
          <w:color w:val="auto"/>
          <w:spacing w:val="0"/>
          <w:sz w:val="24"/>
          <w:szCs w:val="24"/>
          <w:lang w:eastAsia="en-US"/>
        </w:rPr>
        <w:t>12</w:t>
      </w:r>
      <w:r w:rsidRPr="00714FB7">
        <w:rPr>
          <w:rFonts w:ascii="Times New Roman" w:hAnsi="Times New Roman"/>
          <w:b/>
          <w:color w:val="auto"/>
          <w:spacing w:val="0"/>
          <w:sz w:val="24"/>
          <w:szCs w:val="24"/>
          <w:lang w:eastAsia="en-US"/>
        </w:rPr>
        <w:t>: Strategic Objectives and Performance Plan Indicators for 2017/18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1862"/>
        <w:gridCol w:w="2459"/>
        <w:gridCol w:w="4034"/>
      </w:tblGrid>
      <w:tr w:rsidR="00D71CD7" w:rsidRPr="00714FB7" w:rsidTr="00030895">
        <w:trPr>
          <w:cantSplit/>
          <w:trHeight w:val="414"/>
          <w:tblHeader/>
        </w:trPr>
        <w:tc>
          <w:tcPr>
            <w:tcW w:w="889" w:type="dxa"/>
            <w:shd w:val="clear" w:color="auto" w:fill="auto"/>
          </w:tcPr>
          <w:p w:rsidR="00D71CD7" w:rsidRPr="00714FB7" w:rsidRDefault="00D71CD7" w:rsidP="00D71CD7">
            <w:pPr>
              <w:spacing w:line="280" w:lineRule="exact"/>
              <w:jc w:val="both"/>
              <w:rPr>
                <w:rFonts w:ascii="Times New Roman" w:hAnsi="Times New Roman"/>
                <w:b/>
                <w:color w:val="auto"/>
                <w:spacing w:val="0"/>
                <w:sz w:val="24"/>
                <w:szCs w:val="24"/>
                <w:lang w:eastAsia="en-US"/>
              </w:rPr>
            </w:pPr>
          </w:p>
        </w:tc>
        <w:tc>
          <w:tcPr>
            <w:tcW w:w="1913" w:type="dxa"/>
            <w:shd w:val="clear" w:color="auto" w:fill="auto"/>
          </w:tcPr>
          <w:p w:rsidR="00D71CD7" w:rsidRPr="00714FB7" w:rsidRDefault="00D71CD7" w:rsidP="00D71CD7">
            <w:pPr>
              <w:spacing w:line="280" w:lineRule="exact"/>
              <w:jc w:val="both"/>
              <w:rPr>
                <w:rFonts w:ascii="Times New Roman" w:hAnsi="Times New Roman"/>
                <w:b/>
                <w:color w:val="auto"/>
                <w:spacing w:val="0"/>
                <w:sz w:val="24"/>
                <w:szCs w:val="24"/>
                <w:lang w:eastAsia="en-US"/>
              </w:rPr>
            </w:pPr>
            <w:r w:rsidRPr="00714FB7">
              <w:rPr>
                <w:rFonts w:ascii="Times New Roman" w:hAnsi="Times New Roman"/>
                <w:b/>
                <w:color w:val="auto"/>
                <w:spacing w:val="0"/>
                <w:sz w:val="24"/>
                <w:szCs w:val="24"/>
                <w:lang w:eastAsia="en-US"/>
              </w:rPr>
              <w:t xml:space="preserve">Programme </w:t>
            </w:r>
          </w:p>
        </w:tc>
        <w:tc>
          <w:tcPr>
            <w:tcW w:w="2607" w:type="dxa"/>
            <w:shd w:val="clear" w:color="auto" w:fill="auto"/>
          </w:tcPr>
          <w:p w:rsidR="00D71CD7" w:rsidRPr="00714FB7" w:rsidRDefault="00D71CD7" w:rsidP="00D71CD7">
            <w:pPr>
              <w:spacing w:line="280" w:lineRule="exact"/>
              <w:jc w:val="both"/>
              <w:rPr>
                <w:rFonts w:ascii="Times New Roman" w:hAnsi="Times New Roman"/>
                <w:b/>
                <w:color w:val="auto"/>
                <w:spacing w:val="0"/>
                <w:sz w:val="24"/>
                <w:szCs w:val="24"/>
                <w:lang w:eastAsia="en-US"/>
              </w:rPr>
            </w:pPr>
            <w:r w:rsidRPr="00714FB7">
              <w:rPr>
                <w:rFonts w:ascii="Times New Roman" w:hAnsi="Times New Roman"/>
                <w:b/>
                <w:color w:val="auto"/>
                <w:spacing w:val="0"/>
                <w:sz w:val="24"/>
                <w:szCs w:val="24"/>
                <w:lang w:eastAsia="en-US"/>
              </w:rPr>
              <w:t xml:space="preserve">Strategic Objective </w:t>
            </w:r>
          </w:p>
        </w:tc>
        <w:tc>
          <w:tcPr>
            <w:tcW w:w="4338" w:type="dxa"/>
            <w:shd w:val="clear" w:color="auto" w:fill="auto"/>
          </w:tcPr>
          <w:p w:rsidR="00D71CD7" w:rsidRPr="00714FB7" w:rsidRDefault="00D71CD7" w:rsidP="00D71CD7">
            <w:pPr>
              <w:spacing w:line="280" w:lineRule="exact"/>
              <w:jc w:val="both"/>
              <w:rPr>
                <w:rFonts w:ascii="Times New Roman" w:hAnsi="Times New Roman"/>
                <w:b/>
                <w:color w:val="auto"/>
                <w:spacing w:val="0"/>
                <w:sz w:val="24"/>
                <w:szCs w:val="24"/>
                <w:lang w:eastAsia="en-US"/>
              </w:rPr>
            </w:pPr>
            <w:r w:rsidRPr="00714FB7">
              <w:rPr>
                <w:rFonts w:ascii="Times New Roman" w:hAnsi="Times New Roman"/>
                <w:b/>
                <w:color w:val="auto"/>
                <w:spacing w:val="0"/>
                <w:sz w:val="24"/>
                <w:szCs w:val="24"/>
                <w:lang w:eastAsia="en-US"/>
              </w:rPr>
              <w:t>Performance Indicator</w:t>
            </w:r>
          </w:p>
        </w:tc>
      </w:tr>
      <w:tr w:rsidR="00D71CD7" w:rsidRPr="00714FB7" w:rsidTr="00030895">
        <w:trPr>
          <w:trHeight w:val="993"/>
        </w:trPr>
        <w:tc>
          <w:tcPr>
            <w:tcW w:w="889"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1.2.3.1</w:t>
            </w:r>
          </w:p>
        </w:tc>
        <w:tc>
          <w:tcPr>
            <w:tcW w:w="1913"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Office of the CFO</w:t>
            </w:r>
          </w:p>
          <w:p w:rsidR="00D71CD7" w:rsidRPr="00714FB7" w:rsidRDefault="00D71CD7" w:rsidP="00D71CD7">
            <w:pPr>
              <w:spacing w:line="280" w:lineRule="exact"/>
              <w:jc w:val="both"/>
              <w:rPr>
                <w:rFonts w:ascii="Times New Roman" w:hAnsi="Times New Roman"/>
                <w:color w:val="auto"/>
                <w:spacing w:val="0"/>
                <w:sz w:val="24"/>
                <w:szCs w:val="24"/>
                <w:lang w:eastAsia="en-US"/>
              </w:rPr>
            </w:pPr>
          </w:p>
        </w:tc>
        <w:tc>
          <w:tcPr>
            <w:tcW w:w="2607"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Ensure effective financial management and alignment of budget allocation with strategic priorities</w:t>
            </w:r>
          </w:p>
        </w:tc>
        <w:tc>
          <w:tcPr>
            <w:tcW w:w="4338" w:type="dxa"/>
            <w:shd w:val="clear" w:color="auto" w:fill="auto"/>
          </w:tcPr>
          <w:p w:rsidR="00D71CD7" w:rsidRPr="00714FB7" w:rsidRDefault="00D71CD7" w:rsidP="00D71CD7">
            <w:pPr>
              <w:jc w:val="both"/>
              <w:rPr>
                <w:rFonts w:ascii="Times New Roman" w:hAnsi="Times New Roman"/>
                <w:color w:val="auto"/>
                <w:spacing w:val="0"/>
                <w:sz w:val="24"/>
                <w:szCs w:val="24"/>
                <w:lang w:eastAsia="en-US"/>
              </w:rPr>
            </w:pPr>
          </w:p>
          <w:p w:rsidR="00D71CD7" w:rsidRPr="00714FB7" w:rsidRDefault="00D71CD7" w:rsidP="00D71CD7">
            <w:pPr>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An unqualified opinion issued by the Auditor General on the financial statements by 31 July each year</w:t>
            </w:r>
          </w:p>
        </w:tc>
      </w:tr>
      <w:tr w:rsidR="00D71CD7" w:rsidRPr="00714FB7" w:rsidTr="00030895">
        <w:trPr>
          <w:trHeight w:val="993"/>
        </w:trPr>
        <w:tc>
          <w:tcPr>
            <w:tcW w:w="889"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2.1.1</w:t>
            </w:r>
          </w:p>
        </w:tc>
        <w:tc>
          <w:tcPr>
            <w:tcW w:w="1913"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Strategy Office</w:t>
            </w:r>
          </w:p>
        </w:tc>
        <w:tc>
          <w:tcPr>
            <w:tcW w:w="2607"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Formulate Prescribed Minimum Benefits definitions to ensure members are adequately protected </w:t>
            </w:r>
          </w:p>
        </w:tc>
        <w:tc>
          <w:tcPr>
            <w:tcW w:w="4338"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The number of benefit definitions published, per year</w:t>
            </w:r>
          </w:p>
        </w:tc>
      </w:tr>
      <w:tr w:rsidR="00D71CD7" w:rsidRPr="00714FB7" w:rsidTr="00030895">
        <w:trPr>
          <w:trHeight w:val="993"/>
        </w:trPr>
        <w:tc>
          <w:tcPr>
            <w:tcW w:w="889"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2.1.1.</w:t>
            </w:r>
          </w:p>
        </w:tc>
        <w:tc>
          <w:tcPr>
            <w:tcW w:w="1913"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Strategy Office</w:t>
            </w:r>
          </w:p>
        </w:tc>
        <w:tc>
          <w:tcPr>
            <w:tcW w:w="2607"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Conduct a review of the PMBs every two years</w:t>
            </w:r>
          </w:p>
        </w:tc>
        <w:tc>
          <w:tcPr>
            <w:tcW w:w="4338"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Submit a draft costed PMB benefit package to Council </w:t>
            </w:r>
          </w:p>
        </w:tc>
      </w:tr>
      <w:tr w:rsidR="00D71CD7" w:rsidRPr="00714FB7" w:rsidTr="00030895">
        <w:trPr>
          <w:trHeight w:val="959"/>
        </w:trPr>
        <w:tc>
          <w:tcPr>
            <w:tcW w:w="889"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2.2.1.</w:t>
            </w:r>
          </w:p>
        </w:tc>
        <w:tc>
          <w:tcPr>
            <w:tcW w:w="1913"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Strategy Office</w:t>
            </w:r>
          </w:p>
        </w:tc>
        <w:tc>
          <w:tcPr>
            <w:tcW w:w="2607"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Provide clinical opinions with a view to resolve complaints and enquiries </w:t>
            </w:r>
          </w:p>
        </w:tc>
        <w:tc>
          <w:tcPr>
            <w:tcW w:w="4338"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Percentage of clinical opinions reviewed within 30 working days of receipt from Complaints Adjudication (95%)</w:t>
            </w:r>
          </w:p>
        </w:tc>
      </w:tr>
      <w:tr w:rsidR="00D71CD7" w:rsidRPr="00714FB7" w:rsidTr="00030895">
        <w:trPr>
          <w:trHeight w:val="959"/>
        </w:trPr>
        <w:tc>
          <w:tcPr>
            <w:tcW w:w="889"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3.2.1.</w:t>
            </w:r>
          </w:p>
        </w:tc>
        <w:tc>
          <w:tcPr>
            <w:tcW w:w="1913"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Accreditation Unit</w:t>
            </w:r>
          </w:p>
        </w:tc>
        <w:tc>
          <w:tcPr>
            <w:tcW w:w="2607"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Accredit brokers based on their compliance with the requirements for accreditation in order to provide broker services</w:t>
            </w:r>
          </w:p>
        </w:tc>
        <w:tc>
          <w:tcPr>
            <w:tcW w:w="4338"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Number of broker and broker organisation applications accredited within 21 working days of receipt of complete applications (4045)</w:t>
            </w:r>
          </w:p>
        </w:tc>
      </w:tr>
      <w:tr w:rsidR="00D71CD7" w:rsidRPr="00714FB7" w:rsidTr="00030895">
        <w:trPr>
          <w:trHeight w:val="959"/>
        </w:trPr>
        <w:tc>
          <w:tcPr>
            <w:tcW w:w="889"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4.4.1.</w:t>
            </w:r>
          </w:p>
        </w:tc>
        <w:tc>
          <w:tcPr>
            <w:tcW w:w="1913"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Research and Monitoring Unit</w:t>
            </w:r>
          </w:p>
        </w:tc>
        <w:tc>
          <w:tcPr>
            <w:tcW w:w="2607"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Conduct research to inform appropriate policy interventions</w:t>
            </w:r>
          </w:p>
        </w:tc>
        <w:tc>
          <w:tcPr>
            <w:tcW w:w="4338"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Number of research projects and support projects finalised, per year (7)</w:t>
            </w:r>
          </w:p>
        </w:tc>
      </w:tr>
      <w:tr w:rsidR="00D71CD7" w:rsidRPr="00714FB7" w:rsidTr="00030895">
        <w:trPr>
          <w:trHeight w:val="959"/>
        </w:trPr>
        <w:tc>
          <w:tcPr>
            <w:tcW w:w="889"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5.2.1.</w:t>
            </w:r>
          </w:p>
        </w:tc>
        <w:tc>
          <w:tcPr>
            <w:tcW w:w="1913"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Stakeholder Relations Unit </w:t>
            </w:r>
          </w:p>
        </w:tc>
        <w:tc>
          <w:tcPr>
            <w:tcW w:w="2607"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Create awareness and provide training in order to enhance visibility and reputation of CMS</w:t>
            </w:r>
          </w:p>
        </w:tc>
        <w:tc>
          <w:tcPr>
            <w:tcW w:w="4338"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Number of stakeholder training and awareness sessions, per year (20)</w:t>
            </w:r>
          </w:p>
        </w:tc>
      </w:tr>
      <w:tr w:rsidR="00D71CD7" w:rsidRPr="00714FB7" w:rsidTr="00030895">
        <w:trPr>
          <w:trHeight w:val="959"/>
        </w:trPr>
        <w:tc>
          <w:tcPr>
            <w:tcW w:w="889"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6.2.1.</w:t>
            </w:r>
          </w:p>
        </w:tc>
        <w:tc>
          <w:tcPr>
            <w:tcW w:w="1913"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Compliance and Investigation Unit </w:t>
            </w:r>
          </w:p>
        </w:tc>
        <w:tc>
          <w:tcPr>
            <w:tcW w:w="2607"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Regulated entities comply with legislation </w:t>
            </w:r>
          </w:p>
        </w:tc>
        <w:tc>
          <w:tcPr>
            <w:tcW w:w="4338"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Percentage of non-compliance cases against regulated entities undertaken (n=35; 100%)</w:t>
            </w:r>
          </w:p>
        </w:tc>
      </w:tr>
      <w:tr w:rsidR="00D71CD7" w:rsidRPr="00714FB7" w:rsidTr="00030895">
        <w:trPr>
          <w:trHeight w:val="959"/>
        </w:trPr>
        <w:tc>
          <w:tcPr>
            <w:tcW w:w="889"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7.2.1</w:t>
            </w:r>
          </w:p>
        </w:tc>
        <w:tc>
          <w:tcPr>
            <w:tcW w:w="1913"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Benefit management </w:t>
            </w:r>
          </w:p>
        </w:tc>
        <w:tc>
          <w:tcPr>
            <w:tcW w:w="2607"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To ensure that rules of the schemes are fair and compliant with the Medical Schemes Act. </w:t>
            </w:r>
          </w:p>
        </w:tc>
        <w:tc>
          <w:tcPr>
            <w:tcW w:w="4338"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Percentage of annual rule amendments processed before 31 December (n=83; 100%)</w:t>
            </w:r>
          </w:p>
        </w:tc>
      </w:tr>
      <w:tr w:rsidR="00D71CD7" w:rsidRPr="00714FB7" w:rsidTr="00030895">
        <w:trPr>
          <w:trHeight w:val="959"/>
        </w:trPr>
        <w:tc>
          <w:tcPr>
            <w:tcW w:w="889"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8.2.1.</w:t>
            </w:r>
          </w:p>
        </w:tc>
        <w:tc>
          <w:tcPr>
            <w:tcW w:w="1913"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Financial Supervision Unit</w:t>
            </w:r>
          </w:p>
        </w:tc>
        <w:tc>
          <w:tcPr>
            <w:tcW w:w="2607"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Monitor and promote the financial soundness of medical schemes</w:t>
            </w:r>
          </w:p>
        </w:tc>
        <w:tc>
          <w:tcPr>
            <w:tcW w:w="4338"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Recommendations in respect of Regulation 29 (schemes below solvency) for 100% of business plan received, per year. (100%)</w:t>
            </w:r>
          </w:p>
        </w:tc>
      </w:tr>
      <w:tr w:rsidR="00D71CD7" w:rsidRPr="00714FB7" w:rsidTr="00030895">
        <w:trPr>
          <w:trHeight w:val="959"/>
        </w:trPr>
        <w:tc>
          <w:tcPr>
            <w:tcW w:w="889"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9.2.1.</w:t>
            </w:r>
          </w:p>
        </w:tc>
        <w:tc>
          <w:tcPr>
            <w:tcW w:w="1913"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Complaints Adjudication Unit </w:t>
            </w:r>
          </w:p>
        </w:tc>
        <w:tc>
          <w:tcPr>
            <w:tcW w:w="2607"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Resolve complaints with the aim of protecting beneficiaries of medial schemes</w:t>
            </w:r>
          </w:p>
        </w:tc>
        <w:tc>
          <w:tcPr>
            <w:tcW w:w="4338" w:type="dxa"/>
            <w:shd w:val="clear" w:color="auto" w:fill="auto"/>
          </w:tcPr>
          <w:p w:rsidR="00D71CD7" w:rsidRPr="00714FB7" w:rsidRDefault="00D71CD7" w:rsidP="00D71CD7">
            <w:pPr>
              <w:spacing w:line="280" w:lineRule="exact"/>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Percentage of complaints adjudicated within 120 working days and in accordance with complaints procedure, per year (79%)</w:t>
            </w:r>
          </w:p>
        </w:tc>
      </w:tr>
    </w:tbl>
    <w:p w:rsidR="00E06829" w:rsidRPr="00714FB7" w:rsidRDefault="00E06829" w:rsidP="00030895">
      <w:pPr>
        <w:rPr>
          <w:rFonts w:ascii="Times New Roman" w:hAnsi="Times New Roman"/>
          <w:b/>
          <w:bCs/>
          <w:color w:val="auto"/>
          <w:spacing w:val="0"/>
          <w:sz w:val="24"/>
          <w:szCs w:val="24"/>
          <w:lang w:val="en-ZA" w:eastAsia="en-ZA"/>
        </w:rPr>
      </w:pPr>
    </w:p>
    <w:p w:rsidR="00F418C6" w:rsidRPr="00714FB7" w:rsidRDefault="00F418C6" w:rsidP="00030895">
      <w:pPr>
        <w:rPr>
          <w:rFonts w:ascii="Times New Roman" w:hAnsi="Times New Roman"/>
          <w:b/>
          <w:bCs/>
          <w:color w:val="auto"/>
          <w:spacing w:val="0"/>
          <w:sz w:val="24"/>
          <w:szCs w:val="24"/>
          <w:lang w:val="en-ZA" w:eastAsia="en-ZA"/>
        </w:rPr>
      </w:pPr>
    </w:p>
    <w:p w:rsidR="00F418C6" w:rsidRPr="00714FB7" w:rsidRDefault="00F418C6" w:rsidP="00030895">
      <w:pPr>
        <w:rPr>
          <w:rFonts w:ascii="Times New Roman" w:hAnsi="Times New Roman"/>
          <w:b/>
          <w:bCs/>
          <w:color w:val="auto"/>
          <w:spacing w:val="0"/>
          <w:sz w:val="24"/>
          <w:szCs w:val="24"/>
          <w:lang w:val="en-ZA" w:eastAsia="en-ZA"/>
        </w:rPr>
      </w:pPr>
    </w:p>
    <w:p w:rsidR="00F418C6" w:rsidRPr="00714FB7" w:rsidRDefault="00F418C6" w:rsidP="00030895">
      <w:pPr>
        <w:rPr>
          <w:rFonts w:ascii="Times New Roman" w:hAnsi="Times New Roman"/>
          <w:b/>
          <w:bCs/>
          <w:color w:val="auto"/>
          <w:spacing w:val="0"/>
          <w:sz w:val="24"/>
          <w:szCs w:val="24"/>
          <w:lang w:val="en-ZA" w:eastAsia="en-ZA"/>
        </w:rPr>
      </w:pPr>
    </w:p>
    <w:p w:rsidR="00F418C6" w:rsidRPr="00714FB7" w:rsidRDefault="00F418C6" w:rsidP="00030895">
      <w:pPr>
        <w:rPr>
          <w:rFonts w:ascii="Times New Roman" w:hAnsi="Times New Roman"/>
          <w:b/>
          <w:bCs/>
          <w:color w:val="auto"/>
          <w:spacing w:val="0"/>
          <w:sz w:val="24"/>
          <w:szCs w:val="24"/>
          <w:lang w:val="en-ZA" w:eastAsia="en-ZA"/>
        </w:rPr>
      </w:pPr>
    </w:p>
    <w:p w:rsidR="00F418C6" w:rsidRPr="00714FB7" w:rsidRDefault="00F418C6" w:rsidP="00030895">
      <w:pPr>
        <w:rPr>
          <w:rFonts w:ascii="Times New Roman" w:hAnsi="Times New Roman"/>
          <w:b/>
          <w:bCs/>
          <w:color w:val="auto"/>
          <w:spacing w:val="0"/>
          <w:sz w:val="24"/>
          <w:szCs w:val="24"/>
          <w:lang w:val="en-ZA" w:eastAsia="en-ZA"/>
        </w:rPr>
      </w:pPr>
    </w:p>
    <w:p w:rsidR="00F418C6" w:rsidRPr="00714FB7" w:rsidRDefault="00F418C6" w:rsidP="00030895">
      <w:pPr>
        <w:rPr>
          <w:rFonts w:ascii="Times New Roman" w:hAnsi="Times New Roman"/>
          <w:b/>
          <w:bCs/>
          <w:color w:val="auto"/>
          <w:spacing w:val="0"/>
          <w:sz w:val="24"/>
          <w:szCs w:val="24"/>
          <w:lang w:val="en-ZA" w:eastAsia="en-ZA"/>
        </w:rPr>
      </w:pPr>
    </w:p>
    <w:p w:rsidR="00F418C6" w:rsidRPr="00714FB7" w:rsidRDefault="00F418C6" w:rsidP="00030895">
      <w:pPr>
        <w:rPr>
          <w:rFonts w:ascii="Times New Roman" w:hAnsi="Times New Roman"/>
          <w:b/>
          <w:bCs/>
          <w:color w:val="auto"/>
          <w:spacing w:val="0"/>
          <w:sz w:val="24"/>
          <w:szCs w:val="24"/>
          <w:lang w:val="en-ZA" w:eastAsia="en-ZA"/>
        </w:rPr>
      </w:pPr>
    </w:p>
    <w:p w:rsidR="00F418C6" w:rsidRPr="00714FB7" w:rsidRDefault="00F418C6" w:rsidP="00030895">
      <w:pPr>
        <w:rPr>
          <w:rFonts w:ascii="Times New Roman" w:hAnsi="Times New Roman"/>
          <w:b/>
          <w:bCs/>
          <w:color w:val="auto"/>
          <w:spacing w:val="0"/>
          <w:sz w:val="24"/>
          <w:szCs w:val="24"/>
          <w:lang w:val="en-ZA" w:eastAsia="en-ZA"/>
        </w:rPr>
      </w:pPr>
    </w:p>
    <w:p w:rsidR="00F418C6" w:rsidRPr="00714FB7" w:rsidRDefault="00F418C6" w:rsidP="00030895">
      <w:pPr>
        <w:rPr>
          <w:rFonts w:ascii="Times New Roman" w:hAnsi="Times New Roman"/>
          <w:b/>
          <w:bCs/>
          <w:color w:val="auto"/>
          <w:spacing w:val="0"/>
          <w:sz w:val="24"/>
          <w:szCs w:val="24"/>
          <w:lang w:val="en-ZA" w:eastAsia="en-ZA"/>
        </w:rPr>
      </w:pPr>
    </w:p>
    <w:p w:rsidR="00F418C6" w:rsidRPr="00714FB7" w:rsidRDefault="00F418C6" w:rsidP="00030895">
      <w:pPr>
        <w:rPr>
          <w:rFonts w:ascii="Times New Roman" w:hAnsi="Times New Roman"/>
          <w:b/>
          <w:bCs/>
          <w:color w:val="auto"/>
          <w:spacing w:val="0"/>
          <w:sz w:val="24"/>
          <w:szCs w:val="24"/>
          <w:lang w:val="en-ZA" w:eastAsia="en-ZA"/>
        </w:rPr>
      </w:pPr>
    </w:p>
    <w:p w:rsidR="005E6E02" w:rsidRPr="00714FB7" w:rsidRDefault="005E6E02" w:rsidP="00030895">
      <w:pPr>
        <w:rPr>
          <w:rFonts w:ascii="Times New Roman" w:hAnsi="Times New Roman"/>
          <w:b/>
          <w:bCs/>
          <w:color w:val="auto"/>
          <w:spacing w:val="0"/>
          <w:sz w:val="24"/>
          <w:szCs w:val="24"/>
          <w:lang w:val="en-ZA" w:eastAsia="en-ZA"/>
        </w:rPr>
      </w:pPr>
    </w:p>
    <w:p w:rsidR="005E6E02" w:rsidRPr="00714FB7" w:rsidRDefault="005E6E02" w:rsidP="00030895">
      <w:pPr>
        <w:rPr>
          <w:rFonts w:ascii="Times New Roman" w:hAnsi="Times New Roman"/>
          <w:b/>
          <w:bCs/>
          <w:color w:val="auto"/>
          <w:spacing w:val="0"/>
          <w:sz w:val="24"/>
          <w:szCs w:val="24"/>
          <w:lang w:val="en-ZA" w:eastAsia="en-ZA"/>
        </w:rPr>
      </w:pPr>
    </w:p>
    <w:p w:rsidR="005E6E02" w:rsidRPr="00714FB7" w:rsidRDefault="005E6E02" w:rsidP="00030895">
      <w:pPr>
        <w:rPr>
          <w:rFonts w:ascii="Times New Roman" w:hAnsi="Times New Roman"/>
          <w:b/>
          <w:bCs/>
          <w:color w:val="auto"/>
          <w:spacing w:val="0"/>
          <w:sz w:val="24"/>
          <w:szCs w:val="24"/>
          <w:lang w:val="en-ZA" w:eastAsia="en-ZA"/>
        </w:rPr>
      </w:pPr>
    </w:p>
    <w:p w:rsidR="005E6E02" w:rsidRPr="00714FB7" w:rsidRDefault="005E6E02" w:rsidP="00030895">
      <w:pPr>
        <w:rPr>
          <w:rFonts w:ascii="Times New Roman" w:hAnsi="Times New Roman"/>
          <w:b/>
          <w:bCs/>
          <w:color w:val="auto"/>
          <w:spacing w:val="0"/>
          <w:sz w:val="24"/>
          <w:szCs w:val="24"/>
          <w:lang w:val="en-ZA" w:eastAsia="en-ZA"/>
        </w:rPr>
      </w:pPr>
    </w:p>
    <w:p w:rsidR="00D71CD7" w:rsidRPr="00714FB7" w:rsidRDefault="00D82668" w:rsidP="00030895">
      <w:pPr>
        <w:pStyle w:val="ListParagraph"/>
        <w:numPr>
          <w:ilvl w:val="2"/>
          <w:numId w:val="82"/>
        </w:numPr>
        <w:rPr>
          <w:rFonts w:ascii="Times New Roman" w:hAnsi="Times New Roman"/>
          <w:b/>
          <w:color w:val="auto"/>
          <w:kern w:val="32"/>
          <w:sz w:val="24"/>
          <w:szCs w:val="24"/>
          <w:lang w:eastAsia="en-US"/>
        </w:rPr>
      </w:pPr>
      <w:r w:rsidRPr="00714FB7">
        <w:rPr>
          <w:rFonts w:ascii="Times New Roman" w:hAnsi="Times New Roman"/>
          <w:b/>
          <w:color w:val="auto"/>
          <w:kern w:val="32"/>
          <w:sz w:val="24"/>
          <w:szCs w:val="24"/>
          <w:lang w:val="en-ZA" w:eastAsia="en-ZA"/>
        </w:rPr>
        <w:t xml:space="preserve">Budget Analysis </w:t>
      </w:r>
    </w:p>
    <w:p w:rsidR="00D71CD7" w:rsidRPr="00714FB7" w:rsidRDefault="00D71CD7" w:rsidP="00D71CD7">
      <w:pPr>
        <w:autoSpaceDE w:val="0"/>
        <w:autoSpaceDN w:val="0"/>
        <w:adjustRightInd w:val="0"/>
        <w:jc w:val="both"/>
        <w:rPr>
          <w:rFonts w:ascii="Times New Roman" w:hAnsi="Times New Roman"/>
          <w:b/>
          <w:bCs/>
          <w:color w:val="auto"/>
          <w:spacing w:val="0"/>
          <w:sz w:val="24"/>
          <w:szCs w:val="24"/>
          <w:lang w:val="en-ZA" w:eastAsia="en-ZA"/>
        </w:rPr>
      </w:pPr>
    </w:p>
    <w:p w:rsidR="00D71CD7" w:rsidRPr="00714FB7" w:rsidRDefault="00D71CD7" w:rsidP="00D71CD7">
      <w:pPr>
        <w:autoSpaceDE w:val="0"/>
        <w:autoSpaceDN w:val="0"/>
        <w:adjustRightInd w:val="0"/>
        <w:jc w:val="both"/>
        <w:rPr>
          <w:rFonts w:ascii="Times New Roman" w:hAnsi="Times New Roman"/>
          <w:b/>
          <w:bCs/>
          <w:color w:val="auto"/>
          <w:spacing w:val="0"/>
          <w:sz w:val="24"/>
          <w:szCs w:val="24"/>
          <w:lang w:val="en-ZA" w:eastAsia="en-ZA"/>
        </w:rPr>
      </w:pPr>
      <w:r w:rsidRPr="00714FB7">
        <w:rPr>
          <w:rFonts w:ascii="Times New Roman" w:hAnsi="Times New Roman"/>
          <w:noProof/>
          <w:color w:val="auto"/>
          <w:spacing w:val="0"/>
          <w:sz w:val="24"/>
          <w:szCs w:val="24"/>
          <w:lang w:val="en-ZA" w:eastAsia="en-ZA"/>
        </w:rPr>
        <mc:AlternateContent>
          <mc:Choice Requires="wps">
            <w:drawing>
              <wp:anchor distT="0" distB="0" distL="114300" distR="114300" simplePos="0" relativeHeight="251679744" behindDoc="0" locked="0" layoutInCell="1" allowOverlap="1" wp14:anchorId="699D3158" wp14:editId="7E1E9F58">
                <wp:simplePos x="0" y="0"/>
                <wp:positionH relativeFrom="column">
                  <wp:posOffset>175846</wp:posOffset>
                </wp:positionH>
                <wp:positionV relativeFrom="paragraph">
                  <wp:posOffset>53927</wp:posOffset>
                </wp:positionV>
                <wp:extent cx="5908431" cy="158262"/>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431" cy="158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F60" w:rsidRPr="00D05BCF" w:rsidRDefault="00A43F60" w:rsidP="00D71CD7">
                            <w:pPr>
                              <w:pStyle w:val="Caption"/>
                              <w:rPr>
                                <w:rFonts w:ascii="Times New Roman" w:hAnsi="Times New Roman"/>
                                <w:sz w:val="22"/>
                              </w:rPr>
                            </w:pPr>
                            <w:r w:rsidRPr="00D05BCF">
                              <w:rPr>
                                <w:rFonts w:ascii="Times New Roman" w:hAnsi="Times New Roman"/>
                                <w:sz w:val="22"/>
                              </w:rPr>
                              <w:t>Table 13: CMS Operating Cash Expenditure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9D3158" id="Text Box 28" o:spid="_x0000_s1032" type="#_x0000_t202" style="position:absolute;left:0;text-align:left;margin-left:13.85pt;margin-top:4.25pt;width:465.25pt;height:1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9TEfgIAAAg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TgH&#10;phTpgKN7Pnh0pQcES1Cf3rgK3O4MOPoB1oHnmKszt5p+dkjp65aoHb+0VvctJwziy8LJ5MnREccF&#10;kG3/TjO4h+y9jkBDY7tQPCgHAnTg6eHETYiFwuK8TJfFqwwjCnvZfJkv8ngFqabTxjr/husOBaPG&#10;FriP6ORw63yIhlSTS7jMaSnYRkgZJ3a3vZYWHQjoZBO/I/ozN6mCs9Lh2Ig4rkCQcEfYC+FG3r+V&#10;WV6kV3k52yyW57NiU8xn5Xm6nKVZeVUu0qIsbjbfQ4BZUbWCMa5uheKTBrPi7zg+dsOonqhC1Ne4&#10;nOfzkaI/JpnG73dJdsJDS0rR1Xh5ciJVIPa1YpA2qTwRcrST5+HHKkMNpn+sSpRBYH7UgB+2Q1Tc&#10;ItweJLLV7AF0YTXQBuTDcwJGq+1XjHpozRq7L3tiOUbyrQJthT6eDDsZ28kgisLRGnuMRvPaj/2+&#10;N1bsWkAe1av0JeivEVEaj1EcVQvtFnM4Pg2hn5/Oo9fjA7b+AQAA//8DAFBLAwQUAAYACAAAACEA&#10;ArXsTt4AAAAHAQAADwAAAGRycy9kb3ducmV2LnhtbEyOTU/DMBBE70j8B2uRuCDqkNI2DXEqaOkN&#10;Dv1Qz9tkSSLidWQ7TfrvMSc4jmb05mWrUbfiQtY1hhU8TSIQxIUpG64UHA/bxwSE88gltoZJwZUc&#10;rPLbmwzT0gy8o8veVyJA2KWooPa+S6V0RU0a3cR0xKH7MlajD9FWsrQ4BLhuZRxFc6mx4fBQY0fr&#10;morvfa8VzDe2H3a8ftgc3z/ws6vi09v1pNT93fj6AsLT6P/G8Ksf1CEPTmfTc+lEqyBeLMJSQTID&#10;EerlLIlBnBVMp88g80z+989/AAAA//8DAFBLAQItABQABgAIAAAAIQC2gziS/gAAAOEBAAATAAAA&#10;AAAAAAAAAAAAAAAAAABbQ29udGVudF9UeXBlc10ueG1sUEsBAi0AFAAGAAgAAAAhADj9If/WAAAA&#10;lAEAAAsAAAAAAAAAAAAAAAAALwEAAF9yZWxzLy5yZWxzUEsBAi0AFAAGAAgAAAAhALXX1MR+AgAA&#10;CAUAAA4AAAAAAAAAAAAAAAAALgIAAGRycy9lMm9Eb2MueG1sUEsBAi0AFAAGAAgAAAAhAAK17E7e&#10;AAAABwEAAA8AAAAAAAAAAAAAAAAA2AQAAGRycy9kb3ducmV2LnhtbFBLBQYAAAAABAAEAPMAAADj&#10;BQAAAAA=&#10;" stroked="f">
                <v:textbox inset="0,0,0,0">
                  <w:txbxContent>
                    <w:p w:rsidR="00A43F60" w:rsidRPr="00D05BCF" w:rsidRDefault="00A43F60" w:rsidP="00D71CD7">
                      <w:pPr>
                        <w:pStyle w:val="Caption"/>
                        <w:rPr>
                          <w:rFonts w:ascii="Times New Roman" w:hAnsi="Times New Roman"/>
                          <w:sz w:val="22"/>
                        </w:rPr>
                      </w:pPr>
                      <w:r w:rsidRPr="00D05BCF">
                        <w:rPr>
                          <w:rFonts w:ascii="Times New Roman" w:hAnsi="Times New Roman"/>
                          <w:sz w:val="22"/>
                        </w:rPr>
                        <w:t>Table 13: CMS Operating Cash Expenditure</w:t>
                      </w:r>
                    </w:p>
                  </w:txbxContent>
                </v:textbox>
              </v:shape>
            </w:pict>
          </mc:Fallback>
        </mc:AlternateContent>
      </w:r>
      <w:r w:rsidRPr="00714FB7">
        <w:rPr>
          <w:rFonts w:ascii="Times New Roman" w:hAnsi="Times New Roman"/>
          <w:noProof/>
          <w:color w:val="auto"/>
          <w:spacing w:val="0"/>
          <w:sz w:val="24"/>
          <w:szCs w:val="24"/>
          <w:lang w:val="en-ZA" w:eastAsia="en-ZA"/>
        </w:rPr>
        <w:drawing>
          <wp:anchor distT="0" distB="0" distL="114300" distR="114300" simplePos="0" relativeHeight="251681792" behindDoc="1" locked="0" layoutInCell="1" allowOverlap="0" wp14:anchorId="4E7AF454" wp14:editId="1B06AF18">
            <wp:simplePos x="0" y="0"/>
            <wp:positionH relativeFrom="column">
              <wp:posOffset>0</wp:posOffset>
            </wp:positionH>
            <wp:positionV relativeFrom="paragraph">
              <wp:posOffset>219710</wp:posOffset>
            </wp:positionV>
            <wp:extent cx="6114415" cy="1868805"/>
            <wp:effectExtent l="0" t="0" r="635" b="0"/>
            <wp:wrapTight wrapText="bothSides">
              <wp:wrapPolygon edited="0">
                <wp:start x="0" y="0"/>
                <wp:lineTo x="0" y="21358"/>
                <wp:lineTo x="21535" y="21358"/>
                <wp:lineTo x="21535" y="5284"/>
                <wp:lineTo x="20862" y="3523"/>
                <wp:lineTo x="2153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4415" cy="1868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CD7" w:rsidRPr="00714FB7" w:rsidRDefault="00D71CD7" w:rsidP="00D71CD7">
      <w:pPr>
        <w:tabs>
          <w:tab w:val="left" w:pos="720"/>
        </w:tabs>
        <w:spacing w:line="280" w:lineRule="exact"/>
        <w:jc w:val="both"/>
        <w:rPr>
          <w:rFonts w:ascii="Times New Roman" w:hAnsi="Times New Roman"/>
          <w:color w:val="auto"/>
          <w:spacing w:val="0"/>
          <w:sz w:val="24"/>
          <w:szCs w:val="24"/>
          <w:lang w:eastAsia="en-US"/>
        </w:rPr>
      </w:pPr>
    </w:p>
    <w:p w:rsidR="00D71CD7" w:rsidRPr="00714FB7" w:rsidRDefault="00D71CD7" w:rsidP="00030895">
      <w:pPr>
        <w:numPr>
          <w:ilvl w:val="0"/>
          <w:numId w:val="59"/>
        </w:numPr>
        <w:tabs>
          <w:tab w:val="left" w:pos="720"/>
        </w:tabs>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CMS is set to spend R154.1 million in 2017/18, up 9.2 per cent in nominal terms and 2.7 per cent in real terms from 2016/17 when it spent R141.2 million.</w:t>
      </w:r>
    </w:p>
    <w:p w:rsidR="005268A3" w:rsidRPr="00714FB7" w:rsidRDefault="005268A3" w:rsidP="005268A3">
      <w:pPr>
        <w:tabs>
          <w:tab w:val="left" w:pos="720"/>
        </w:tabs>
        <w:spacing w:line="360" w:lineRule="auto"/>
        <w:ind w:left="720"/>
        <w:jc w:val="both"/>
        <w:rPr>
          <w:rFonts w:ascii="Times New Roman" w:hAnsi="Times New Roman"/>
          <w:color w:val="auto"/>
          <w:spacing w:val="0"/>
          <w:sz w:val="24"/>
          <w:szCs w:val="24"/>
          <w:lang w:eastAsia="en-US"/>
        </w:rPr>
      </w:pPr>
    </w:p>
    <w:p w:rsidR="00D71CD7" w:rsidRPr="00714FB7" w:rsidRDefault="00D71CD7" w:rsidP="00030895">
      <w:pPr>
        <w:tabs>
          <w:tab w:val="left" w:pos="720"/>
        </w:tabs>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 </w:t>
      </w:r>
      <w:r w:rsidR="005268A3" w:rsidRPr="00714FB7">
        <w:rPr>
          <w:rFonts w:ascii="Times New Roman" w:hAnsi="Times New Roman"/>
          <w:color w:val="auto"/>
          <w:spacing w:val="0"/>
          <w:sz w:val="24"/>
          <w:szCs w:val="24"/>
          <w:lang w:eastAsia="en-US"/>
        </w:rPr>
        <w:t>Selected budget programmes:</w:t>
      </w:r>
    </w:p>
    <w:p w:rsidR="00D71CD7" w:rsidRPr="00714FB7" w:rsidRDefault="00D71CD7" w:rsidP="00030895">
      <w:pPr>
        <w:numPr>
          <w:ilvl w:val="0"/>
          <w:numId w:val="59"/>
        </w:numPr>
        <w:tabs>
          <w:tab w:val="left" w:pos="720"/>
        </w:tabs>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Programme 1: Administration receives the biggest allocation of R80.5 million. This is a 10.3 per cent nominal increase. This programme is divided into 5 sub-programmes namely:</w:t>
      </w:r>
    </w:p>
    <w:p w:rsidR="00D71CD7" w:rsidRPr="00714FB7" w:rsidRDefault="00D71CD7" w:rsidP="00030895">
      <w:pPr>
        <w:tabs>
          <w:tab w:val="left" w:pos="720"/>
        </w:tabs>
        <w:spacing w:line="360" w:lineRule="auto"/>
        <w:ind w:left="1071" w:hanging="357"/>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1.1: Off</w:t>
      </w:r>
      <w:r w:rsidR="00B873DB" w:rsidRPr="00714FB7">
        <w:rPr>
          <w:rFonts w:ascii="Times New Roman" w:hAnsi="Times New Roman"/>
          <w:color w:val="auto"/>
          <w:spacing w:val="0"/>
          <w:sz w:val="24"/>
          <w:szCs w:val="24"/>
          <w:lang w:eastAsia="en-US"/>
        </w:rPr>
        <w:t xml:space="preserve">ice of the CEO and Registrar </w:t>
      </w:r>
      <w:r w:rsidR="00B873DB" w:rsidRPr="00714FB7">
        <w:rPr>
          <w:rFonts w:ascii="Times New Roman" w:hAnsi="Times New Roman"/>
          <w:color w:val="auto"/>
          <w:spacing w:val="0"/>
          <w:sz w:val="24"/>
          <w:szCs w:val="24"/>
          <w:lang w:eastAsia="en-US"/>
        </w:rPr>
        <w:tab/>
      </w:r>
      <w:r w:rsidR="00B873DB" w:rsidRPr="00714FB7">
        <w:rPr>
          <w:rFonts w:ascii="Times New Roman" w:hAnsi="Times New Roman"/>
          <w:color w:val="auto"/>
          <w:spacing w:val="0"/>
          <w:sz w:val="24"/>
          <w:szCs w:val="24"/>
          <w:lang w:eastAsia="en-US"/>
        </w:rPr>
        <w:tab/>
      </w:r>
      <w:r w:rsidRPr="00714FB7">
        <w:rPr>
          <w:rFonts w:ascii="Times New Roman" w:hAnsi="Times New Roman"/>
          <w:color w:val="auto"/>
          <w:spacing w:val="0"/>
          <w:sz w:val="24"/>
          <w:szCs w:val="24"/>
          <w:lang w:eastAsia="en-US"/>
        </w:rPr>
        <w:t xml:space="preserve">R 9.9 million; </w:t>
      </w:r>
    </w:p>
    <w:p w:rsidR="00D71CD7" w:rsidRPr="00714FB7" w:rsidRDefault="00D71CD7" w:rsidP="00030895">
      <w:pPr>
        <w:tabs>
          <w:tab w:val="left" w:pos="720"/>
        </w:tabs>
        <w:spacing w:line="360" w:lineRule="auto"/>
        <w:ind w:left="1071" w:hanging="357"/>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1.2: Off</w:t>
      </w:r>
      <w:r w:rsidR="00B873DB" w:rsidRPr="00714FB7">
        <w:rPr>
          <w:rFonts w:ascii="Times New Roman" w:hAnsi="Times New Roman"/>
          <w:color w:val="auto"/>
          <w:spacing w:val="0"/>
          <w:sz w:val="24"/>
          <w:szCs w:val="24"/>
          <w:lang w:eastAsia="en-US"/>
        </w:rPr>
        <w:t xml:space="preserve">ice of the CFO </w:t>
      </w:r>
      <w:r w:rsidR="00B873DB" w:rsidRPr="00714FB7">
        <w:rPr>
          <w:rFonts w:ascii="Times New Roman" w:hAnsi="Times New Roman"/>
          <w:color w:val="auto"/>
          <w:spacing w:val="0"/>
          <w:sz w:val="24"/>
          <w:szCs w:val="24"/>
          <w:lang w:eastAsia="en-US"/>
        </w:rPr>
        <w:tab/>
        <w:t xml:space="preserve"> </w:t>
      </w:r>
      <w:r w:rsidR="00B873DB" w:rsidRPr="00714FB7">
        <w:rPr>
          <w:rFonts w:ascii="Times New Roman" w:hAnsi="Times New Roman"/>
          <w:color w:val="auto"/>
          <w:spacing w:val="0"/>
          <w:sz w:val="24"/>
          <w:szCs w:val="24"/>
          <w:lang w:eastAsia="en-US"/>
        </w:rPr>
        <w:tab/>
      </w:r>
      <w:r w:rsidR="00B873DB" w:rsidRPr="00714FB7">
        <w:rPr>
          <w:rFonts w:ascii="Times New Roman" w:hAnsi="Times New Roman"/>
          <w:color w:val="auto"/>
          <w:spacing w:val="0"/>
          <w:sz w:val="24"/>
          <w:szCs w:val="24"/>
          <w:lang w:eastAsia="en-US"/>
        </w:rPr>
        <w:tab/>
      </w:r>
      <w:r w:rsidRPr="00714FB7">
        <w:rPr>
          <w:rFonts w:ascii="Times New Roman" w:hAnsi="Times New Roman"/>
          <w:color w:val="auto"/>
          <w:spacing w:val="0"/>
          <w:sz w:val="24"/>
          <w:szCs w:val="24"/>
          <w:lang w:eastAsia="en-US"/>
        </w:rPr>
        <w:t>R 30.6 million;</w:t>
      </w:r>
    </w:p>
    <w:p w:rsidR="00D71CD7" w:rsidRPr="00714FB7" w:rsidRDefault="00D71CD7" w:rsidP="00030895">
      <w:pPr>
        <w:tabs>
          <w:tab w:val="left" w:pos="720"/>
        </w:tabs>
        <w:spacing w:line="360" w:lineRule="auto"/>
        <w:ind w:left="1071" w:hanging="357"/>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1.3: </w:t>
      </w:r>
      <w:r w:rsidR="00B873DB" w:rsidRPr="00714FB7">
        <w:rPr>
          <w:rFonts w:ascii="Times New Roman" w:hAnsi="Times New Roman"/>
          <w:color w:val="auto"/>
          <w:spacing w:val="0"/>
          <w:sz w:val="24"/>
          <w:szCs w:val="24"/>
          <w:lang w:eastAsia="en-US"/>
        </w:rPr>
        <w:t xml:space="preserve">ICT and Knowledge Management </w:t>
      </w:r>
      <w:r w:rsidR="00B873DB" w:rsidRPr="00714FB7">
        <w:rPr>
          <w:rFonts w:ascii="Times New Roman" w:hAnsi="Times New Roman"/>
          <w:color w:val="auto"/>
          <w:spacing w:val="0"/>
          <w:sz w:val="24"/>
          <w:szCs w:val="24"/>
          <w:lang w:eastAsia="en-US"/>
        </w:rPr>
        <w:tab/>
      </w:r>
      <w:r w:rsidRPr="00714FB7">
        <w:rPr>
          <w:rFonts w:ascii="Times New Roman" w:hAnsi="Times New Roman"/>
          <w:color w:val="auto"/>
          <w:spacing w:val="0"/>
          <w:sz w:val="24"/>
          <w:szCs w:val="24"/>
          <w:lang w:eastAsia="en-US"/>
        </w:rPr>
        <w:t>R 19.7 million;</w:t>
      </w:r>
    </w:p>
    <w:p w:rsidR="00D71CD7" w:rsidRPr="00714FB7" w:rsidRDefault="00B873DB" w:rsidP="00030895">
      <w:pPr>
        <w:tabs>
          <w:tab w:val="left" w:pos="720"/>
        </w:tabs>
        <w:spacing w:line="360" w:lineRule="auto"/>
        <w:ind w:left="1071" w:hanging="357"/>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1.4: Human Resource</w:t>
      </w:r>
      <w:r w:rsidRPr="00714FB7">
        <w:rPr>
          <w:rFonts w:ascii="Times New Roman" w:hAnsi="Times New Roman"/>
          <w:color w:val="auto"/>
          <w:spacing w:val="0"/>
          <w:sz w:val="24"/>
          <w:szCs w:val="24"/>
          <w:lang w:eastAsia="en-US"/>
        </w:rPr>
        <w:tab/>
      </w:r>
      <w:r w:rsidRPr="00714FB7">
        <w:rPr>
          <w:rFonts w:ascii="Times New Roman" w:hAnsi="Times New Roman"/>
          <w:color w:val="auto"/>
          <w:spacing w:val="0"/>
          <w:sz w:val="24"/>
          <w:szCs w:val="24"/>
          <w:lang w:eastAsia="en-US"/>
        </w:rPr>
        <w:tab/>
      </w:r>
      <w:r w:rsidRPr="00714FB7">
        <w:rPr>
          <w:rFonts w:ascii="Times New Roman" w:hAnsi="Times New Roman"/>
          <w:color w:val="auto"/>
          <w:spacing w:val="0"/>
          <w:sz w:val="24"/>
          <w:szCs w:val="24"/>
          <w:lang w:eastAsia="en-US"/>
        </w:rPr>
        <w:tab/>
        <w:t xml:space="preserve"> </w:t>
      </w:r>
      <w:r w:rsidRPr="00714FB7">
        <w:rPr>
          <w:rFonts w:ascii="Times New Roman" w:hAnsi="Times New Roman"/>
          <w:color w:val="auto"/>
          <w:spacing w:val="0"/>
          <w:sz w:val="24"/>
          <w:szCs w:val="24"/>
          <w:lang w:eastAsia="en-US"/>
        </w:rPr>
        <w:tab/>
      </w:r>
      <w:r w:rsidR="00D71CD7" w:rsidRPr="00714FB7">
        <w:rPr>
          <w:rFonts w:ascii="Times New Roman" w:hAnsi="Times New Roman"/>
          <w:color w:val="auto"/>
          <w:spacing w:val="0"/>
          <w:sz w:val="24"/>
          <w:szCs w:val="24"/>
          <w:lang w:eastAsia="en-US"/>
        </w:rPr>
        <w:t>R 7.7 million; and</w:t>
      </w:r>
    </w:p>
    <w:p w:rsidR="00D71CD7" w:rsidRPr="00714FB7" w:rsidRDefault="00B873DB" w:rsidP="00030895">
      <w:pPr>
        <w:tabs>
          <w:tab w:val="left" w:pos="720"/>
        </w:tabs>
        <w:spacing w:line="360" w:lineRule="auto"/>
        <w:ind w:left="1071" w:hanging="357"/>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1.5: Legal Services Unit</w:t>
      </w:r>
      <w:r w:rsidRPr="00714FB7">
        <w:rPr>
          <w:rFonts w:ascii="Times New Roman" w:hAnsi="Times New Roman"/>
          <w:color w:val="auto"/>
          <w:spacing w:val="0"/>
          <w:sz w:val="24"/>
          <w:szCs w:val="24"/>
          <w:lang w:eastAsia="en-US"/>
        </w:rPr>
        <w:tab/>
      </w:r>
      <w:r w:rsidRPr="00714FB7">
        <w:rPr>
          <w:rFonts w:ascii="Times New Roman" w:hAnsi="Times New Roman"/>
          <w:color w:val="auto"/>
          <w:spacing w:val="0"/>
          <w:sz w:val="24"/>
          <w:szCs w:val="24"/>
          <w:lang w:eastAsia="en-US"/>
        </w:rPr>
        <w:tab/>
      </w:r>
      <w:r w:rsidRPr="00714FB7">
        <w:rPr>
          <w:rFonts w:ascii="Times New Roman" w:hAnsi="Times New Roman"/>
          <w:color w:val="auto"/>
          <w:spacing w:val="0"/>
          <w:sz w:val="24"/>
          <w:szCs w:val="24"/>
          <w:lang w:eastAsia="en-US"/>
        </w:rPr>
        <w:tab/>
      </w:r>
      <w:r w:rsidR="00D71CD7" w:rsidRPr="00714FB7">
        <w:rPr>
          <w:rFonts w:ascii="Times New Roman" w:hAnsi="Times New Roman"/>
          <w:color w:val="auto"/>
          <w:spacing w:val="0"/>
          <w:sz w:val="24"/>
          <w:szCs w:val="24"/>
          <w:lang w:eastAsia="en-US"/>
        </w:rPr>
        <w:t>R 12.6 million</w:t>
      </w:r>
    </w:p>
    <w:p w:rsidR="00D71CD7" w:rsidRPr="00714FB7" w:rsidRDefault="00D71CD7" w:rsidP="00030895">
      <w:pPr>
        <w:tabs>
          <w:tab w:val="left" w:pos="720"/>
        </w:tabs>
        <w:spacing w:line="360" w:lineRule="auto"/>
        <w:jc w:val="both"/>
        <w:rPr>
          <w:rFonts w:ascii="Times New Roman" w:hAnsi="Times New Roman"/>
          <w:color w:val="auto"/>
          <w:spacing w:val="0"/>
          <w:sz w:val="24"/>
          <w:szCs w:val="24"/>
          <w:lang w:eastAsia="en-US"/>
        </w:rPr>
      </w:pPr>
    </w:p>
    <w:p w:rsidR="00D71CD7" w:rsidRPr="00714FB7" w:rsidRDefault="00D71CD7" w:rsidP="00030895">
      <w:pPr>
        <w:numPr>
          <w:ilvl w:val="0"/>
          <w:numId w:val="58"/>
        </w:numPr>
        <w:autoSpaceDE w:val="0"/>
        <w:autoSpaceDN w:val="0"/>
        <w:adjustRightInd w:val="0"/>
        <w:spacing w:line="360" w:lineRule="auto"/>
        <w:jc w:val="both"/>
        <w:rPr>
          <w:rFonts w:ascii="Times New Roman" w:hAnsi="Times New Roman"/>
          <w:bCs/>
          <w:color w:val="auto"/>
          <w:spacing w:val="0"/>
          <w:sz w:val="24"/>
          <w:szCs w:val="24"/>
          <w:lang w:val="en-ZA" w:eastAsia="en-ZA"/>
        </w:rPr>
      </w:pPr>
      <w:r w:rsidRPr="00714FB7">
        <w:rPr>
          <w:rFonts w:ascii="Times New Roman" w:hAnsi="Times New Roman"/>
          <w:bCs/>
          <w:color w:val="auto"/>
          <w:spacing w:val="0"/>
          <w:sz w:val="24"/>
          <w:szCs w:val="24"/>
          <w:lang w:val="en-ZA" w:eastAsia="en-ZA"/>
        </w:rPr>
        <w:t>Programme 7: Benefits Management Unit receives the smallest allocations in com</w:t>
      </w:r>
      <w:r w:rsidR="00CB47D6" w:rsidRPr="00714FB7">
        <w:rPr>
          <w:rFonts w:ascii="Times New Roman" w:hAnsi="Times New Roman"/>
          <w:bCs/>
          <w:color w:val="auto"/>
          <w:spacing w:val="0"/>
          <w:sz w:val="24"/>
          <w:szCs w:val="24"/>
          <w:lang w:val="en-ZA" w:eastAsia="en-ZA"/>
        </w:rPr>
        <w:t>parison with other</w:t>
      </w:r>
      <w:r w:rsidRPr="00714FB7">
        <w:rPr>
          <w:rFonts w:ascii="Times New Roman" w:hAnsi="Times New Roman"/>
          <w:bCs/>
          <w:color w:val="auto"/>
          <w:spacing w:val="0"/>
          <w:sz w:val="24"/>
          <w:szCs w:val="24"/>
          <w:lang w:val="en-ZA" w:eastAsia="en-ZA"/>
        </w:rPr>
        <w:t xml:space="preserve"> programmes, with R 6.3 </w:t>
      </w:r>
      <w:r w:rsidR="00CB47D6" w:rsidRPr="00714FB7">
        <w:rPr>
          <w:rFonts w:ascii="Times New Roman" w:hAnsi="Times New Roman"/>
          <w:bCs/>
          <w:color w:val="auto"/>
          <w:spacing w:val="0"/>
          <w:sz w:val="24"/>
          <w:szCs w:val="24"/>
          <w:lang w:val="en-ZA" w:eastAsia="en-ZA"/>
        </w:rPr>
        <w:t>million, which</w:t>
      </w:r>
      <w:r w:rsidRPr="00714FB7">
        <w:rPr>
          <w:rFonts w:ascii="Times New Roman" w:hAnsi="Times New Roman"/>
          <w:bCs/>
          <w:color w:val="auto"/>
          <w:spacing w:val="0"/>
          <w:sz w:val="24"/>
          <w:szCs w:val="24"/>
          <w:lang w:val="en-ZA" w:eastAsia="en-ZA"/>
        </w:rPr>
        <w:t xml:space="preserve"> shows a nominal increase of 8.10 percent for 2016/17 financial year;</w:t>
      </w:r>
      <w:r w:rsidRPr="00714FB7">
        <w:rPr>
          <w:rFonts w:ascii="Times New Roman" w:eastAsia="Calibri" w:hAnsi="Times New Roman"/>
          <w:color w:val="auto"/>
          <w:spacing w:val="0"/>
          <w:sz w:val="24"/>
          <w:szCs w:val="24"/>
          <w:vertAlign w:val="superscript"/>
          <w:lang w:val="en-ZA" w:eastAsia="en-ZA"/>
        </w:rPr>
        <w:t xml:space="preserve"> </w:t>
      </w:r>
    </w:p>
    <w:p w:rsidR="00D71CD7" w:rsidRPr="00714FB7" w:rsidRDefault="00D71CD7" w:rsidP="00030895">
      <w:pPr>
        <w:autoSpaceDE w:val="0"/>
        <w:autoSpaceDN w:val="0"/>
        <w:adjustRightInd w:val="0"/>
        <w:spacing w:line="360" w:lineRule="auto"/>
        <w:jc w:val="both"/>
        <w:rPr>
          <w:rFonts w:ascii="Times New Roman" w:hAnsi="Times New Roman"/>
          <w:bCs/>
          <w:color w:val="auto"/>
          <w:spacing w:val="0"/>
          <w:sz w:val="24"/>
          <w:szCs w:val="24"/>
          <w:lang w:val="en-ZA" w:eastAsia="en-ZA"/>
        </w:rPr>
      </w:pPr>
    </w:p>
    <w:p w:rsidR="00D71CD7" w:rsidRPr="00714FB7" w:rsidRDefault="00D71CD7" w:rsidP="00030895">
      <w:pPr>
        <w:numPr>
          <w:ilvl w:val="0"/>
          <w:numId w:val="58"/>
        </w:numPr>
        <w:autoSpaceDE w:val="0"/>
        <w:autoSpaceDN w:val="0"/>
        <w:adjustRightInd w:val="0"/>
        <w:spacing w:line="360" w:lineRule="auto"/>
        <w:jc w:val="both"/>
        <w:rPr>
          <w:rFonts w:ascii="Times New Roman" w:hAnsi="Times New Roman"/>
          <w:bCs/>
          <w:color w:val="auto"/>
          <w:spacing w:val="0"/>
          <w:sz w:val="24"/>
          <w:szCs w:val="24"/>
          <w:lang w:val="en-ZA" w:eastAsia="en-ZA"/>
        </w:rPr>
      </w:pPr>
      <w:r w:rsidRPr="00714FB7">
        <w:rPr>
          <w:rFonts w:ascii="Times New Roman" w:hAnsi="Times New Roman"/>
          <w:bCs/>
          <w:color w:val="auto"/>
          <w:spacing w:val="0"/>
          <w:sz w:val="24"/>
          <w:szCs w:val="24"/>
          <w:lang w:val="en-ZA" w:eastAsia="en-ZA"/>
        </w:rPr>
        <w:t>Programme 3 is responsible for accreditation and will receive R9.9 million in 2017/18 which is an increase of over R1.5 million from R8.3 million in 2016/17 financial year. This programme shows a real increase of 1.5 per cent and a nominal increase of 7.9 per cent.</w:t>
      </w:r>
    </w:p>
    <w:p w:rsidR="00D71CD7" w:rsidRPr="00714FB7" w:rsidRDefault="00D71CD7" w:rsidP="00030895">
      <w:pPr>
        <w:autoSpaceDE w:val="0"/>
        <w:autoSpaceDN w:val="0"/>
        <w:adjustRightInd w:val="0"/>
        <w:spacing w:line="360" w:lineRule="auto"/>
        <w:jc w:val="both"/>
        <w:rPr>
          <w:rFonts w:ascii="Times New Roman" w:hAnsi="Times New Roman"/>
          <w:bCs/>
          <w:color w:val="auto"/>
          <w:spacing w:val="0"/>
          <w:sz w:val="24"/>
          <w:szCs w:val="24"/>
          <w:lang w:val="en-ZA" w:eastAsia="en-ZA"/>
        </w:rPr>
      </w:pPr>
    </w:p>
    <w:p w:rsidR="00D71CD7" w:rsidRPr="00714FB7" w:rsidRDefault="00D71CD7" w:rsidP="00030895">
      <w:pPr>
        <w:numPr>
          <w:ilvl w:val="0"/>
          <w:numId w:val="58"/>
        </w:numPr>
        <w:autoSpaceDE w:val="0"/>
        <w:autoSpaceDN w:val="0"/>
        <w:adjustRightInd w:val="0"/>
        <w:spacing w:line="360" w:lineRule="auto"/>
        <w:jc w:val="both"/>
        <w:rPr>
          <w:rFonts w:ascii="Times New Roman" w:hAnsi="Times New Roman"/>
          <w:bCs/>
          <w:color w:val="auto"/>
          <w:spacing w:val="0"/>
          <w:sz w:val="24"/>
          <w:szCs w:val="24"/>
          <w:lang w:val="en-ZA" w:eastAsia="en-ZA"/>
        </w:rPr>
      </w:pPr>
      <w:r w:rsidRPr="00714FB7">
        <w:rPr>
          <w:rFonts w:ascii="Times New Roman" w:hAnsi="Times New Roman"/>
          <w:bCs/>
          <w:color w:val="auto"/>
          <w:spacing w:val="0"/>
          <w:sz w:val="24"/>
          <w:szCs w:val="24"/>
          <w:lang w:val="en-ZA" w:eastAsia="en-ZA"/>
        </w:rPr>
        <w:t xml:space="preserve">Programme 8 is responsible for financial supervision – for the current financial year, this programme receives R11.8 million a 6.7 per cent nominal increase over the R11.1 million it received in 2016/17. </w:t>
      </w:r>
    </w:p>
    <w:p w:rsidR="00CB47D6" w:rsidRPr="00714FB7" w:rsidRDefault="00CB47D6" w:rsidP="00CB47D6">
      <w:pPr>
        <w:autoSpaceDE w:val="0"/>
        <w:autoSpaceDN w:val="0"/>
        <w:adjustRightInd w:val="0"/>
        <w:spacing w:line="280" w:lineRule="exact"/>
        <w:jc w:val="both"/>
        <w:rPr>
          <w:rFonts w:ascii="Times New Roman" w:hAnsi="Times New Roman"/>
          <w:bCs/>
          <w:color w:val="auto"/>
          <w:spacing w:val="0"/>
          <w:sz w:val="24"/>
          <w:szCs w:val="24"/>
          <w:lang w:val="en-ZA" w:eastAsia="en-ZA"/>
        </w:rPr>
      </w:pPr>
    </w:p>
    <w:p w:rsidR="00CB47D6" w:rsidRPr="00714FB7" w:rsidRDefault="00D82668" w:rsidP="00030895">
      <w:pPr>
        <w:pStyle w:val="ListParagraph"/>
        <w:numPr>
          <w:ilvl w:val="1"/>
          <w:numId w:val="82"/>
        </w:numPr>
        <w:autoSpaceDE w:val="0"/>
        <w:autoSpaceDN w:val="0"/>
        <w:adjustRightInd w:val="0"/>
        <w:spacing w:line="280" w:lineRule="exact"/>
        <w:ind w:left="540" w:hanging="540"/>
        <w:jc w:val="both"/>
        <w:rPr>
          <w:rFonts w:ascii="Times New Roman" w:hAnsi="Times New Roman"/>
          <w:b/>
          <w:bCs/>
          <w:color w:val="auto"/>
          <w:spacing w:val="0"/>
          <w:sz w:val="24"/>
          <w:szCs w:val="24"/>
          <w:lang w:val="en-ZA" w:eastAsia="en-ZA"/>
        </w:rPr>
      </w:pPr>
      <w:r w:rsidRPr="00714FB7">
        <w:rPr>
          <w:rFonts w:ascii="Times New Roman" w:hAnsi="Times New Roman"/>
          <w:b/>
          <w:bCs/>
          <w:color w:val="auto"/>
          <w:spacing w:val="0"/>
          <w:sz w:val="24"/>
          <w:szCs w:val="24"/>
          <w:lang w:val="en-ZA" w:eastAsia="en-ZA"/>
        </w:rPr>
        <w:t>COMPENSATION COMMISSIONER FOR OCCUPATIONAL DISEASE (CCOD)</w:t>
      </w:r>
    </w:p>
    <w:p w:rsidR="00CB47D6" w:rsidRPr="00714FB7" w:rsidRDefault="00CB47D6" w:rsidP="00CB47D6">
      <w:pPr>
        <w:autoSpaceDE w:val="0"/>
        <w:autoSpaceDN w:val="0"/>
        <w:adjustRightInd w:val="0"/>
        <w:spacing w:line="280" w:lineRule="exact"/>
        <w:jc w:val="both"/>
        <w:rPr>
          <w:rFonts w:ascii="Times New Roman" w:hAnsi="Times New Roman"/>
          <w:b/>
          <w:bCs/>
          <w:color w:val="auto"/>
          <w:spacing w:val="0"/>
          <w:sz w:val="24"/>
          <w:szCs w:val="24"/>
          <w:lang w:val="en-ZA" w:eastAsia="en-ZA"/>
        </w:rPr>
      </w:pPr>
    </w:p>
    <w:p w:rsidR="00CB47D6" w:rsidRPr="00714FB7" w:rsidRDefault="00CB47D6" w:rsidP="00030895">
      <w:p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The activities of the Compensation Commissioner for Occupational Diseases and the Medical Bureau for Occupational Diseases (MBOD) are regulated by the Occupational Diseases in Mines and Works Act (No. 78 of 1973). The Fund compensates current miners and ex-miners (or their estate) in controlled mines and works for impairment or diseases of the cardio-respiratory system and reimbursement for loss of earnings during TB treatment. In particular, the CCOD’s statutory functions include.</w:t>
      </w:r>
    </w:p>
    <w:p w:rsidR="00CB47D6" w:rsidRPr="00714FB7" w:rsidRDefault="00CB47D6" w:rsidP="00030895">
      <w:pPr>
        <w:spacing w:line="360" w:lineRule="auto"/>
        <w:jc w:val="both"/>
        <w:rPr>
          <w:rFonts w:ascii="Times New Roman" w:hAnsi="Times New Roman"/>
          <w:color w:val="auto"/>
          <w:spacing w:val="0"/>
          <w:sz w:val="24"/>
          <w:szCs w:val="24"/>
          <w:lang w:eastAsia="en-US"/>
        </w:rPr>
      </w:pPr>
    </w:p>
    <w:p w:rsidR="00CB47D6" w:rsidRPr="00714FB7" w:rsidRDefault="00CB47D6" w:rsidP="00030895">
      <w:pPr>
        <w:numPr>
          <w:ilvl w:val="0"/>
          <w:numId w:val="62"/>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Administering the Mines and Works Compensation Fund to compensate ex-miners disabled by occupational lung disease;</w:t>
      </w:r>
    </w:p>
    <w:p w:rsidR="00CB47D6" w:rsidRPr="00714FB7" w:rsidRDefault="00CB47D6" w:rsidP="00030895">
      <w:pPr>
        <w:numPr>
          <w:ilvl w:val="0"/>
          <w:numId w:val="62"/>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Determining and recovering levies from controlled mines and works;</w:t>
      </w:r>
    </w:p>
    <w:p w:rsidR="00CB47D6" w:rsidRPr="00714FB7" w:rsidRDefault="00CB47D6" w:rsidP="00030895">
      <w:pPr>
        <w:numPr>
          <w:ilvl w:val="0"/>
          <w:numId w:val="62"/>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Awarding benefits to miners and ex-miners suffering from occupational lung related diseases; and </w:t>
      </w:r>
    </w:p>
    <w:p w:rsidR="00CB47D6" w:rsidRPr="00714FB7" w:rsidRDefault="00CB47D6" w:rsidP="00030895">
      <w:pPr>
        <w:numPr>
          <w:ilvl w:val="0"/>
          <w:numId w:val="62"/>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Investing levies collected and interest earned from investments. </w:t>
      </w:r>
    </w:p>
    <w:p w:rsidR="00CB47D6" w:rsidRPr="00714FB7" w:rsidRDefault="00CB47D6" w:rsidP="00030895">
      <w:pPr>
        <w:spacing w:line="360" w:lineRule="auto"/>
        <w:jc w:val="both"/>
        <w:rPr>
          <w:rFonts w:ascii="Times New Roman" w:hAnsi="Times New Roman"/>
          <w:color w:val="auto"/>
          <w:spacing w:val="0"/>
          <w:sz w:val="24"/>
          <w:szCs w:val="24"/>
          <w:lang w:eastAsia="en-US"/>
        </w:rPr>
      </w:pPr>
    </w:p>
    <w:p w:rsidR="00CB47D6" w:rsidRPr="00714FB7" w:rsidRDefault="00CB47D6" w:rsidP="00030895">
      <w:p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The MBOD provides medical examinations of current and ex-workers as well as the assessment and certification process for claimants. Pathology services are provided by the National Institute for Occupational Health through autopsy examinations.</w:t>
      </w:r>
    </w:p>
    <w:p w:rsidR="00D82668" w:rsidRPr="00714FB7" w:rsidRDefault="00D82668" w:rsidP="00030895">
      <w:pPr>
        <w:spacing w:line="360" w:lineRule="auto"/>
        <w:jc w:val="both"/>
        <w:rPr>
          <w:rFonts w:ascii="Times New Roman" w:hAnsi="Times New Roman"/>
          <w:color w:val="auto"/>
          <w:spacing w:val="0"/>
          <w:sz w:val="24"/>
          <w:szCs w:val="24"/>
          <w:lang w:eastAsia="en-US"/>
        </w:rPr>
      </w:pPr>
    </w:p>
    <w:p w:rsidR="00CB47D6" w:rsidRPr="00714FB7" w:rsidRDefault="00CB47D6" w:rsidP="00030895">
      <w:pPr>
        <w:pStyle w:val="ListParagraph"/>
        <w:numPr>
          <w:ilvl w:val="2"/>
          <w:numId w:val="82"/>
        </w:numPr>
        <w:spacing w:line="360" w:lineRule="auto"/>
        <w:rPr>
          <w:rFonts w:ascii="Times New Roman" w:hAnsi="Times New Roman"/>
          <w:b/>
          <w:color w:val="auto"/>
          <w:sz w:val="24"/>
          <w:szCs w:val="24"/>
          <w:lang w:eastAsia="en-US"/>
        </w:rPr>
      </w:pPr>
      <w:r w:rsidRPr="00714FB7">
        <w:rPr>
          <w:rFonts w:ascii="Times New Roman" w:hAnsi="Times New Roman"/>
          <w:b/>
          <w:color w:val="auto"/>
          <w:sz w:val="24"/>
          <w:szCs w:val="24"/>
          <w:lang w:eastAsia="en-US"/>
        </w:rPr>
        <w:t>Performance Delivery Environment</w:t>
      </w:r>
    </w:p>
    <w:p w:rsidR="00CB47D6" w:rsidRPr="00714FB7" w:rsidRDefault="00CB47D6" w:rsidP="00030895">
      <w:pPr>
        <w:spacing w:line="360" w:lineRule="auto"/>
        <w:jc w:val="both"/>
        <w:rPr>
          <w:rFonts w:ascii="Times New Roman" w:hAnsi="Times New Roman"/>
          <w:color w:val="auto"/>
          <w:spacing w:val="0"/>
          <w:sz w:val="24"/>
          <w:szCs w:val="24"/>
          <w:lang w:eastAsia="en-US"/>
        </w:rPr>
      </w:pPr>
    </w:p>
    <w:p w:rsidR="00CB47D6" w:rsidRPr="00714FB7" w:rsidRDefault="00CB47D6" w:rsidP="00030895">
      <w:p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Below is information on the CCOD’s performance delivery environment:</w:t>
      </w:r>
    </w:p>
    <w:p w:rsidR="00CB47D6" w:rsidRPr="00714FB7" w:rsidRDefault="00CB47D6" w:rsidP="00030895">
      <w:pPr>
        <w:keepNext/>
        <w:numPr>
          <w:ilvl w:val="0"/>
          <w:numId w:val="65"/>
        </w:numPr>
        <w:spacing w:before="60" w:after="60" w:line="360" w:lineRule="auto"/>
        <w:ind w:left="714" w:hanging="357"/>
        <w:jc w:val="both"/>
        <w:outlineLvl w:val="0"/>
        <w:rPr>
          <w:rFonts w:ascii="Times New Roman" w:hAnsi="Times New Roman"/>
          <w:bCs/>
          <w:color w:val="auto"/>
          <w:spacing w:val="0"/>
          <w:kern w:val="32"/>
          <w:sz w:val="24"/>
          <w:szCs w:val="24"/>
          <w:lang w:eastAsia="en-US"/>
        </w:rPr>
      </w:pPr>
      <w:r w:rsidRPr="00714FB7">
        <w:rPr>
          <w:rFonts w:ascii="Times New Roman" w:hAnsi="Times New Roman"/>
          <w:bCs/>
          <w:color w:val="auto"/>
          <w:spacing w:val="0"/>
          <w:kern w:val="32"/>
          <w:sz w:val="24"/>
          <w:szCs w:val="24"/>
          <w:lang w:eastAsia="en-US"/>
        </w:rPr>
        <w:t xml:space="preserve">The Chamber of Mines and the Gold Mining Companies continues their support for the CCOD. This included secondment of medical doctors to the Certification Committees on the MBOD; technical support for the preparation of the annual reports and financial statements; personnel for the Carletonville One Stop Service Centre; funding for the electronic database of claimants; the development of a logistics and coordinating centre; and tracking and tracing of claimants and beneficiaries. </w:t>
      </w:r>
    </w:p>
    <w:p w:rsidR="00CB47D6" w:rsidRPr="00714FB7" w:rsidRDefault="00CB47D6" w:rsidP="00030895">
      <w:pPr>
        <w:keepNext/>
        <w:numPr>
          <w:ilvl w:val="0"/>
          <w:numId w:val="65"/>
        </w:numPr>
        <w:spacing w:before="60" w:after="60" w:line="360" w:lineRule="auto"/>
        <w:ind w:left="714" w:hanging="357"/>
        <w:jc w:val="both"/>
        <w:outlineLvl w:val="0"/>
        <w:rPr>
          <w:rFonts w:ascii="Times New Roman" w:hAnsi="Times New Roman"/>
          <w:bCs/>
          <w:color w:val="auto"/>
          <w:spacing w:val="0"/>
          <w:kern w:val="32"/>
          <w:sz w:val="24"/>
          <w:szCs w:val="24"/>
          <w:lang w:eastAsia="en-US"/>
        </w:rPr>
      </w:pPr>
      <w:r w:rsidRPr="00714FB7">
        <w:rPr>
          <w:rFonts w:ascii="Times New Roman" w:hAnsi="Times New Roman"/>
          <w:bCs/>
          <w:color w:val="auto"/>
          <w:spacing w:val="0"/>
          <w:kern w:val="32"/>
          <w:sz w:val="24"/>
          <w:szCs w:val="24"/>
          <w:lang w:eastAsia="en-US"/>
        </w:rPr>
        <w:t>Approximately R50 million in funding support was provided by social partners through the provision of technical and human resources to the CCOD.</w:t>
      </w:r>
    </w:p>
    <w:p w:rsidR="00CB47D6" w:rsidRPr="00714FB7" w:rsidRDefault="00CB47D6" w:rsidP="00030895">
      <w:pPr>
        <w:numPr>
          <w:ilvl w:val="0"/>
          <w:numId w:val="65"/>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The Actuarial Valuation of the Compensation was finalised.</w:t>
      </w:r>
    </w:p>
    <w:p w:rsidR="00CB47D6" w:rsidRPr="00714FB7" w:rsidRDefault="00CB47D6" w:rsidP="00030895">
      <w:pPr>
        <w:numPr>
          <w:ilvl w:val="0"/>
          <w:numId w:val="65"/>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The annual reports and financial statements for 2010/11 and 2011/12 were submitted to the Auditor-General for auditing.</w:t>
      </w:r>
    </w:p>
    <w:p w:rsidR="00CB47D6" w:rsidRPr="00714FB7" w:rsidRDefault="00CB47D6" w:rsidP="00030895">
      <w:pPr>
        <w:numPr>
          <w:ilvl w:val="0"/>
          <w:numId w:val="65"/>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A total of 3 824 claimants were paid R155.6 million, with 36% going to claimants in neighbouring countries over the 9-month period ending in December 2016.</w:t>
      </w:r>
    </w:p>
    <w:p w:rsidR="00CB47D6" w:rsidRPr="00714FB7" w:rsidRDefault="00CB47D6" w:rsidP="00030895">
      <w:pPr>
        <w:numPr>
          <w:ilvl w:val="0"/>
          <w:numId w:val="65"/>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A total of 15 388 certifications, with 5 003 compensable, 9 871 non-compensable and 514 deferred claims as the end of December 2016. Reasons for deferrals were due to missing information in the complaints file.</w:t>
      </w:r>
    </w:p>
    <w:p w:rsidR="00CB47D6" w:rsidRPr="00714FB7" w:rsidRDefault="00CB47D6" w:rsidP="00030895">
      <w:pPr>
        <w:numPr>
          <w:ilvl w:val="0"/>
          <w:numId w:val="65"/>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Tuberculosis accounted for 57% of all certifications.</w:t>
      </w:r>
    </w:p>
    <w:p w:rsidR="00CB47D6" w:rsidRPr="00714FB7" w:rsidRDefault="00CB47D6" w:rsidP="00030895">
      <w:pPr>
        <w:keepNext/>
        <w:numPr>
          <w:ilvl w:val="0"/>
          <w:numId w:val="65"/>
        </w:numPr>
        <w:spacing w:line="360" w:lineRule="auto"/>
        <w:ind w:left="714" w:hanging="357"/>
        <w:jc w:val="both"/>
        <w:outlineLvl w:val="0"/>
        <w:rPr>
          <w:rFonts w:ascii="Times New Roman" w:hAnsi="Times New Roman"/>
          <w:bCs/>
          <w:color w:val="auto"/>
          <w:spacing w:val="0"/>
          <w:kern w:val="32"/>
          <w:sz w:val="24"/>
          <w:szCs w:val="24"/>
          <w:lang w:eastAsia="en-US"/>
        </w:rPr>
      </w:pPr>
      <w:r w:rsidRPr="00714FB7">
        <w:rPr>
          <w:rFonts w:ascii="Times New Roman" w:hAnsi="Times New Roman"/>
          <w:bCs/>
          <w:color w:val="auto"/>
          <w:spacing w:val="0"/>
          <w:kern w:val="32"/>
          <w:sz w:val="24"/>
          <w:szCs w:val="24"/>
          <w:lang w:eastAsia="en-US"/>
        </w:rPr>
        <w:t>The fund has continued to pay monthly pensions to about 88 pensioners.</w:t>
      </w:r>
    </w:p>
    <w:p w:rsidR="00CB47D6" w:rsidRPr="00714FB7" w:rsidRDefault="00CB47D6" w:rsidP="00030895">
      <w:pPr>
        <w:numPr>
          <w:ilvl w:val="0"/>
          <w:numId w:val="65"/>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A logistics and coordinating centre has been set up incorporating a call centre to support the outreach and awareness activities of the CCOD and provide feedback to claimants. The call centre has fielded 2 635 calls and responded to 1 1119 queries as at the end of December 2016.</w:t>
      </w:r>
    </w:p>
    <w:p w:rsidR="00CB47D6" w:rsidRPr="00714FB7" w:rsidRDefault="00CB47D6" w:rsidP="00030895">
      <w:pPr>
        <w:numPr>
          <w:ilvl w:val="0"/>
          <w:numId w:val="65"/>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Approximately 1 082 current and ex-workers were seen at the One Stop Service Centre in Mthatha and 1 097 in Carletonville as at the end of December 2016 for whom 523 and 484 Benefit Medical Examination forms submitted to the MBOD respectively. </w:t>
      </w:r>
    </w:p>
    <w:p w:rsidR="00CB47D6" w:rsidRPr="00714FB7" w:rsidRDefault="00CB47D6" w:rsidP="00030895">
      <w:pPr>
        <w:numPr>
          <w:ilvl w:val="0"/>
          <w:numId w:val="65"/>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The One Stop Service Centres planned for Burgersfort in Limpopo and Kuruman in Northern Cape are awaiting procurement process for construction. </w:t>
      </w:r>
    </w:p>
    <w:p w:rsidR="00CB47D6" w:rsidRPr="00714FB7" w:rsidRDefault="00CB47D6" w:rsidP="00030895">
      <w:pPr>
        <w:numPr>
          <w:ilvl w:val="0"/>
          <w:numId w:val="65"/>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There were 252 controlled mines and works registered as the end of March 2016. About 31% of controlled mines and works are not paying levies as they have requested a review of their status as a controlled entity.</w:t>
      </w:r>
    </w:p>
    <w:p w:rsidR="00CB47D6" w:rsidRPr="00714FB7" w:rsidRDefault="00CB47D6" w:rsidP="00030895">
      <w:pPr>
        <w:numPr>
          <w:ilvl w:val="0"/>
          <w:numId w:val="65"/>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Revenue generated from levies in 2015/16 was R297 million.</w:t>
      </w:r>
    </w:p>
    <w:p w:rsidR="00CB47D6" w:rsidRPr="00714FB7" w:rsidRDefault="00CB47D6" w:rsidP="00030895">
      <w:pPr>
        <w:numPr>
          <w:ilvl w:val="0"/>
          <w:numId w:val="65"/>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Health inspectors (nine) funded by the Global Fund have assessed the TB programmes and health risks at 246 controlled mines and works.</w:t>
      </w:r>
    </w:p>
    <w:p w:rsidR="00CB47D6" w:rsidRPr="00714FB7" w:rsidRDefault="00CB47D6" w:rsidP="00030895">
      <w:pPr>
        <w:numPr>
          <w:ilvl w:val="0"/>
          <w:numId w:val="65"/>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The Risk Committee of the MBOD met infrequently, this poses significant </w:t>
      </w:r>
      <w:r w:rsidR="00424720" w:rsidRPr="00714FB7">
        <w:rPr>
          <w:rFonts w:ascii="Times New Roman" w:hAnsi="Times New Roman"/>
          <w:color w:val="auto"/>
          <w:spacing w:val="0"/>
          <w:sz w:val="24"/>
          <w:szCs w:val="24"/>
          <w:lang w:eastAsia="en-US"/>
        </w:rPr>
        <w:t xml:space="preserve">challenge </w:t>
      </w:r>
      <w:r w:rsidRPr="00714FB7">
        <w:rPr>
          <w:rFonts w:ascii="Times New Roman" w:hAnsi="Times New Roman"/>
          <w:color w:val="auto"/>
          <w:spacing w:val="0"/>
          <w:sz w:val="24"/>
          <w:szCs w:val="24"/>
          <w:lang w:eastAsia="en-US"/>
        </w:rPr>
        <w:t xml:space="preserve">to the Compensation Fund with respect to exposure and health risk assessments.  </w:t>
      </w:r>
    </w:p>
    <w:p w:rsidR="00CB47D6" w:rsidRPr="00714FB7" w:rsidRDefault="00CB47D6" w:rsidP="00030895">
      <w:pPr>
        <w:spacing w:line="360" w:lineRule="auto"/>
        <w:ind w:left="720"/>
        <w:jc w:val="both"/>
        <w:rPr>
          <w:rFonts w:ascii="Times New Roman" w:hAnsi="Times New Roman"/>
          <w:color w:val="auto"/>
          <w:spacing w:val="0"/>
          <w:sz w:val="24"/>
          <w:szCs w:val="24"/>
          <w:lang w:eastAsia="en-US"/>
        </w:rPr>
      </w:pPr>
    </w:p>
    <w:p w:rsidR="00CB47D6" w:rsidRPr="00714FB7" w:rsidRDefault="00CB47D6" w:rsidP="00030895">
      <w:pPr>
        <w:pStyle w:val="ListParagraph"/>
        <w:keepNext/>
        <w:numPr>
          <w:ilvl w:val="2"/>
          <w:numId w:val="82"/>
        </w:numPr>
        <w:spacing w:after="60" w:line="360" w:lineRule="auto"/>
        <w:jc w:val="both"/>
        <w:outlineLvl w:val="0"/>
        <w:rPr>
          <w:rFonts w:ascii="Times New Roman" w:hAnsi="Times New Roman"/>
          <w:b/>
          <w:bCs/>
          <w:color w:val="auto"/>
          <w:spacing w:val="0"/>
          <w:kern w:val="32"/>
          <w:sz w:val="24"/>
          <w:szCs w:val="24"/>
          <w:lang w:eastAsia="en-US"/>
        </w:rPr>
      </w:pPr>
      <w:r w:rsidRPr="00714FB7">
        <w:rPr>
          <w:rFonts w:ascii="Times New Roman" w:hAnsi="Times New Roman"/>
          <w:b/>
          <w:bCs/>
          <w:color w:val="auto"/>
          <w:spacing w:val="0"/>
          <w:kern w:val="32"/>
          <w:sz w:val="24"/>
          <w:szCs w:val="24"/>
          <w:lang w:eastAsia="en-US"/>
        </w:rPr>
        <w:t>Organisational Environment</w:t>
      </w:r>
    </w:p>
    <w:p w:rsidR="00CB47D6" w:rsidRPr="00714FB7" w:rsidRDefault="00CB47D6" w:rsidP="00030895">
      <w:p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In terms of the organisational environment, the CCOD highlighted the following: </w:t>
      </w:r>
    </w:p>
    <w:p w:rsidR="00CB47D6" w:rsidRPr="00714FB7" w:rsidRDefault="00CB47D6" w:rsidP="00030895">
      <w:pPr>
        <w:numPr>
          <w:ilvl w:val="0"/>
          <w:numId w:val="64"/>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A newly constituted Certification Committee began functioning and have increased certifications by 292%. The skills base of the medical doctors in assessing BMEs have been upgraded, effective work flow procedure dealing with TB claims, and revamped quality assurance system of claims applications through outreach activities with mining companies and service provider.</w:t>
      </w:r>
    </w:p>
    <w:p w:rsidR="00CB47D6" w:rsidRPr="00714FB7" w:rsidRDefault="00CB47D6" w:rsidP="00030895">
      <w:pPr>
        <w:numPr>
          <w:ilvl w:val="0"/>
          <w:numId w:val="64"/>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The upgrade of the MBOD/CCOD Information Technology System was not implemented due to a lack of funds. </w:t>
      </w:r>
    </w:p>
    <w:p w:rsidR="00CB47D6" w:rsidRPr="00714FB7" w:rsidRDefault="00CB47D6" w:rsidP="00030895">
      <w:pPr>
        <w:numPr>
          <w:ilvl w:val="0"/>
          <w:numId w:val="64"/>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There are problems with the buildings, clinical and diagnostic facilities at the MBOD/CCOD in Braamfontein, with significant drainage and security problem.</w:t>
      </w:r>
    </w:p>
    <w:p w:rsidR="00CB47D6" w:rsidRPr="00714FB7" w:rsidRDefault="00CB47D6" w:rsidP="00030895">
      <w:pPr>
        <w:numPr>
          <w:ilvl w:val="0"/>
          <w:numId w:val="64"/>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There were work stoppages at the CCOD resulting in setbacks with the business reform processes and service delivery activities.</w:t>
      </w:r>
    </w:p>
    <w:p w:rsidR="00CB47D6" w:rsidRPr="00714FB7" w:rsidRDefault="00CB47D6" w:rsidP="00030895">
      <w:pPr>
        <w:numPr>
          <w:ilvl w:val="0"/>
          <w:numId w:val="64"/>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The Professional Support Officers funded through external grants will end on 30 April 2017 and will have an impact on service delivery and operations at the CCOD.</w:t>
      </w:r>
    </w:p>
    <w:p w:rsidR="005F7A0E" w:rsidRPr="00714FB7" w:rsidRDefault="005F7A0E" w:rsidP="00030895">
      <w:pPr>
        <w:spacing w:line="360" w:lineRule="auto"/>
        <w:jc w:val="both"/>
        <w:rPr>
          <w:rFonts w:ascii="Times New Roman" w:hAnsi="Times New Roman"/>
          <w:color w:val="auto"/>
          <w:spacing w:val="0"/>
          <w:sz w:val="24"/>
          <w:szCs w:val="24"/>
          <w:lang w:eastAsia="en-US"/>
        </w:rPr>
      </w:pPr>
    </w:p>
    <w:p w:rsidR="00CB47D6" w:rsidRPr="00714FB7" w:rsidRDefault="00CB47D6" w:rsidP="00030895">
      <w:pPr>
        <w:spacing w:line="360" w:lineRule="auto"/>
        <w:jc w:val="both"/>
        <w:rPr>
          <w:rFonts w:ascii="Times New Roman" w:hAnsi="Times New Roman"/>
          <w:color w:val="auto"/>
          <w:spacing w:val="0"/>
          <w:sz w:val="24"/>
          <w:szCs w:val="24"/>
        </w:rPr>
      </w:pPr>
      <w:r w:rsidRPr="00714FB7">
        <w:rPr>
          <w:rFonts w:ascii="Times New Roman" w:hAnsi="Times New Roman"/>
          <w:color w:val="auto"/>
          <w:spacing w:val="0"/>
          <w:sz w:val="24"/>
          <w:szCs w:val="24"/>
        </w:rPr>
        <w:t>The key focus areas for 2017/18 financial year will be:</w:t>
      </w:r>
    </w:p>
    <w:p w:rsidR="00CB47D6" w:rsidRPr="00714FB7" w:rsidRDefault="00CB47D6" w:rsidP="00030895">
      <w:pPr>
        <w:numPr>
          <w:ilvl w:val="0"/>
          <w:numId w:val="67"/>
        </w:numPr>
        <w:spacing w:line="360" w:lineRule="auto"/>
        <w:jc w:val="both"/>
        <w:rPr>
          <w:rFonts w:ascii="Times New Roman" w:hAnsi="Times New Roman"/>
          <w:color w:val="auto"/>
          <w:spacing w:val="0"/>
          <w:sz w:val="24"/>
          <w:szCs w:val="24"/>
        </w:rPr>
      </w:pPr>
      <w:r w:rsidRPr="00714FB7">
        <w:rPr>
          <w:rFonts w:ascii="Times New Roman" w:hAnsi="Times New Roman"/>
          <w:color w:val="auto"/>
          <w:spacing w:val="0"/>
          <w:sz w:val="24"/>
          <w:szCs w:val="24"/>
        </w:rPr>
        <w:t>Ensure the submission of amendments to the Occupational Diseases in Mines and Works Act 1973.</w:t>
      </w:r>
    </w:p>
    <w:p w:rsidR="00CB47D6" w:rsidRPr="00714FB7" w:rsidRDefault="00CB47D6" w:rsidP="00030895">
      <w:pPr>
        <w:numPr>
          <w:ilvl w:val="0"/>
          <w:numId w:val="67"/>
        </w:numPr>
        <w:spacing w:line="360" w:lineRule="auto"/>
        <w:jc w:val="both"/>
        <w:rPr>
          <w:rFonts w:ascii="Times New Roman" w:hAnsi="Times New Roman"/>
          <w:color w:val="auto"/>
          <w:spacing w:val="0"/>
          <w:sz w:val="24"/>
          <w:szCs w:val="24"/>
        </w:rPr>
      </w:pPr>
      <w:r w:rsidRPr="00714FB7">
        <w:rPr>
          <w:rFonts w:ascii="Times New Roman" w:hAnsi="Times New Roman"/>
          <w:color w:val="auto"/>
          <w:spacing w:val="0"/>
          <w:sz w:val="24"/>
          <w:szCs w:val="24"/>
        </w:rPr>
        <w:t>Increase access to decentralized facilities in provinces and neighbouring countries to workers, ex-workers and their beneficiaries the services of the MBOD/CCOD.</w:t>
      </w:r>
    </w:p>
    <w:p w:rsidR="00CB47D6" w:rsidRPr="00714FB7" w:rsidRDefault="00CB47D6" w:rsidP="00030895">
      <w:pPr>
        <w:numPr>
          <w:ilvl w:val="0"/>
          <w:numId w:val="67"/>
        </w:numPr>
        <w:spacing w:line="360" w:lineRule="auto"/>
        <w:jc w:val="both"/>
        <w:rPr>
          <w:rFonts w:ascii="Times New Roman" w:hAnsi="Times New Roman"/>
          <w:color w:val="auto"/>
          <w:spacing w:val="0"/>
          <w:sz w:val="24"/>
          <w:szCs w:val="24"/>
        </w:rPr>
      </w:pPr>
      <w:r w:rsidRPr="00714FB7">
        <w:rPr>
          <w:rFonts w:ascii="Times New Roman" w:hAnsi="Times New Roman"/>
          <w:color w:val="auto"/>
          <w:spacing w:val="0"/>
          <w:sz w:val="24"/>
          <w:szCs w:val="24"/>
        </w:rPr>
        <w:t>Increase the number of paid claimants.</w:t>
      </w:r>
    </w:p>
    <w:p w:rsidR="00CB47D6" w:rsidRPr="00714FB7" w:rsidRDefault="00CB47D6" w:rsidP="00030895">
      <w:pPr>
        <w:numPr>
          <w:ilvl w:val="0"/>
          <w:numId w:val="67"/>
        </w:numPr>
        <w:spacing w:line="360" w:lineRule="auto"/>
        <w:jc w:val="both"/>
        <w:rPr>
          <w:rFonts w:ascii="Times New Roman" w:hAnsi="Times New Roman"/>
          <w:color w:val="auto"/>
          <w:spacing w:val="0"/>
          <w:sz w:val="24"/>
          <w:szCs w:val="24"/>
        </w:rPr>
      </w:pPr>
      <w:r w:rsidRPr="00714FB7">
        <w:rPr>
          <w:rFonts w:ascii="Times New Roman" w:hAnsi="Times New Roman"/>
          <w:color w:val="auto"/>
          <w:spacing w:val="0"/>
          <w:sz w:val="24"/>
          <w:szCs w:val="24"/>
        </w:rPr>
        <w:t>Determine the liability of the Compensation Fund through use of the actuarial valuation report.</w:t>
      </w:r>
    </w:p>
    <w:p w:rsidR="00CB47D6" w:rsidRPr="00714FB7" w:rsidRDefault="00CB47D6" w:rsidP="00030895">
      <w:pPr>
        <w:numPr>
          <w:ilvl w:val="0"/>
          <w:numId w:val="67"/>
        </w:numPr>
        <w:spacing w:line="360" w:lineRule="auto"/>
        <w:jc w:val="both"/>
        <w:rPr>
          <w:rFonts w:ascii="Times New Roman" w:hAnsi="Times New Roman"/>
          <w:color w:val="auto"/>
          <w:spacing w:val="0"/>
          <w:sz w:val="24"/>
          <w:szCs w:val="24"/>
        </w:rPr>
      </w:pPr>
      <w:r w:rsidRPr="00714FB7">
        <w:rPr>
          <w:rFonts w:ascii="Times New Roman" w:hAnsi="Times New Roman"/>
          <w:color w:val="auto"/>
          <w:spacing w:val="0"/>
          <w:sz w:val="24"/>
          <w:szCs w:val="24"/>
        </w:rPr>
        <w:t>Ensure the submission of annual reports and financial statement of the Compensation Fund.</w:t>
      </w:r>
    </w:p>
    <w:p w:rsidR="00CB47D6" w:rsidRPr="00714FB7" w:rsidRDefault="00CB47D6" w:rsidP="00030895">
      <w:pPr>
        <w:spacing w:line="360" w:lineRule="auto"/>
        <w:ind w:left="720"/>
        <w:jc w:val="both"/>
        <w:rPr>
          <w:rFonts w:ascii="Times New Roman" w:hAnsi="Times New Roman"/>
          <w:color w:val="auto"/>
          <w:spacing w:val="0"/>
          <w:sz w:val="24"/>
          <w:szCs w:val="24"/>
        </w:rPr>
      </w:pPr>
    </w:p>
    <w:p w:rsidR="00CB47D6" w:rsidRPr="00714FB7" w:rsidRDefault="005F7A0E" w:rsidP="00030895">
      <w:pPr>
        <w:pStyle w:val="ListParagraph"/>
        <w:keepNext/>
        <w:numPr>
          <w:ilvl w:val="2"/>
          <w:numId w:val="82"/>
        </w:numPr>
        <w:spacing w:line="360" w:lineRule="auto"/>
        <w:jc w:val="both"/>
        <w:outlineLvl w:val="1"/>
        <w:rPr>
          <w:rFonts w:ascii="Times New Roman" w:hAnsi="Times New Roman"/>
          <w:b/>
          <w:bCs/>
          <w:iCs/>
          <w:color w:val="auto"/>
          <w:sz w:val="24"/>
          <w:szCs w:val="24"/>
        </w:rPr>
      </w:pPr>
      <w:r w:rsidRPr="00714FB7">
        <w:rPr>
          <w:rFonts w:ascii="Times New Roman" w:hAnsi="Times New Roman"/>
          <w:b/>
          <w:bCs/>
          <w:iCs/>
          <w:color w:val="auto"/>
          <w:sz w:val="24"/>
          <w:szCs w:val="24"/>
        </w:rPr>
        <w:t>S</w:t>
      </w:r>
      <w:r w:rsidR="00CB47D6" w:rsidRPr="00714FB7">
        <w:rPr>
          <w:rFonts w:ascii="Times New Roman" w:hAnsi="Times New Roman"/>
          <w:b/>
          <w:bCs/>
          <w:iCs/>
          <w:color w:val="auto"/>
          <w:sz w:val="24"/>
          <w:szCs w:val="24"/>
        </w:rPr>
        <w:t xml:space="preserve">trategic Objectives </w:t>
      </w:r>
    </w:p>
    <w:p w:rsidR="00CB47D6" w:rsidRPr="00714FB7" w:rsidRDefault="00CB47D6" w:rsidP="00030895">
      <w:pPr>
        <w:spacing w:line="360" w:lineRule="auto"/>
        <w:jc w:val="both"/>
        <w:rPr>
          <w:rFonts w:ascii="Times New Roman" w:hAnsi="Times New Roman"/>
          <w:color w:val="auto"/>
          <w:spacing w:val="0"/>
          <w:sz w:val="24"/>
          <w:szCs w:val="24"/>
          <w:lang w:eastAsia="en-US"/>
        </w:rPr>
      </w:pPr>
    </w:p>
    <w:p w:rsidR="00CB47D6" w:rsidRPr="00714FB7" w:rsidRDefault="00CB47D6" w:rsidP="00030895">
      <w:p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The CCOD has nine strategic objectives. These link with the outputs of the Health Sector’s outcome 2 “A long and healthy life for all South Africans”. The table below discusses the strategic objectives and respective performance indicators and targets set for 2017/18. </w:t>
      </w:r>
    </w:p>
    <w:p w:rsidR="00CB47D6" w:rsidRPr="00714FB7" w:rsidRDefault="00CB47D6" w:rsidP="00CB47D6">
      <w:pPr>
        <w:spacing w:line="280" w:lineRule="exact"/>
        <w:jc w:val="both"/>
        <w:rPr>
          <w:rFonts w:ascii="Times New Roman" w:hAnsi="Times New Roman"/>
          <w:color w:val="auto"/>
          <w:spacing w:val="0"/>
          <w:sz w:val="24"/>
          <w:szCs w:val="24"/>
          <w:highlight w:val="yellow"/>
          <w:lang w:eastAsia="en-US"/>
        </w:rPr>
      </w:pPr>
    </w:p>
    <w:p w:rsidR="00CB47D6" w:rsidRPr="00714FB7" w:rsidRDefault="00CB47D6" w:rsidP="00623217">
      <w:pPr>
        <w:spacing w:line="360" w:lineRule="auto"/>
        <w:ind w:firstLine="360"/>
        <w:jc w:val="both"/>
        <w:rPr>
          <w:rFonts w:ascii="Times New Roman" w:hAnsi="Times New Roman"/>
          <w:b/>
          <w:color w:val="auto"/>
          <w:spacing w:val="0"/>
          <w:sz w:val="24"/>
          <w:szCs w:val="24"/>
          <w:lang w:eastAsia="en-US"/>
        </w:rPr>
      </w:pPr>
      <w:r w:rsidRPr="00714FB7">
        <w:rPr>
          <w:rFonts w:ascii="Times New Roman" w:hAnsi="Times New Roman"/>
          <w:b/>
          <w:color w:val="auto"/>
          <w:spacing w:val="0"/>
          <w:sz w:val="24"/>
          <w:szCs w:val="24"/>
          <w:lang w:eastAsia="en-US"/>
        </w:rPr>
        <w:t xml:space="preserve">Table </w:t>
      </w:r>
      <w:r w:rsidR="008F1D08" w:rsidRPr="00714FB7">
        <w:rPr>
          <w:rFonts w:ascii="Times New Roman" w:hAnsi="Times New Roman"/>
          <w:b/>
          <w:color w:val="auto"/>
          <w:spacing w:val="0"/>
          <w:sz w:val="24"/>
          <w:szCs w:val="24"/>
          <w:lang w:eastAsia="en-US"/>
        </w:rPr>
        <w:t>14</w:t>
      </w:r>
      <w:r w:rsidRPr="00714FB7">
        <w:rPr>
          <w:rFonts w:ascii="Times New Roman" w:hAnsi="Times New Roman"/>
          <w:b/>
          <w:color w:val="auto"/>
          <w:spacing w:val="0"/>
          <w:sz w:val="24"/>
          <w:szCs w:val="24"/>
          <w:lang w:eastAsia="en-US"/>
        </w:rPr>
        <w:t xml:space="preserve">: CCOD’s Strategic Objectives and Targets for 2017/18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3822"/>
        <w:gridCol w:w="2885"/>
      </w:tblGrid>
      <w:tr w:rsidR="00CB47D6" w:rsidRPr="00714FB7" w:rsidTr="00030895">
        <w:tc>
          <w:tcPr>
            <w:tcW w:w="2658" w:type="dxa"/>
            <w:shd w:val="clear" w:color="auto" w:fill="auto"/>
          </w:tcPr>
          <w:p w:rsidR="00CB47D6" w:rsidRPr="00714FB7" w:rsidRDefault="00CB47D6" w:rsidP="00CB47D6">
            <w:pPr>
              <w:spacing w:line="280" w:lineRule="exact"/>
              <w:jc w:val="both"/>
              <w:rPr>
                <w:rFonts w:ascii="Times New Roman" w:hAnsi="Times New Roman"/>
                <w:b/>
                <w:color w:val="auto"/>
                <w:spacing w:val="0"/>
                <w:sz w:val="24"/>
                <w:szCs w:val="24"/>
                <w:lang w:eastAsia="en-US"/>
              </w:rPr>
            </w:pPr>
            <w:r w:rsidRPr="00714FB7">
              <w:rPr>
                <w:rFonts w:ascii="Times New Roman" w:hAnsi="Times New Roman"/>
                <w:b/>
                <w:color w:val="auto"/>
                <w:spacing w:val="0"/>
                <w:sz w:val="24"/>
                <w:szCs w:val="24"/>
                <w:lang w:eastAsia="en-US"/>
              </w:rPr>
              <w:t>STRATEGIC OBJECTIVES</w:t>
            </w:r>
          </w:p>
        </w:tc>
        <w:tc>
          <w:tcPr>
            <w:tcW w:w="4113" w:type="dxa"/>
            <w:shd w:val="clear" w:color="auto" w:fill="auto"/>
          </w:tcPr>
          <w:p w:rsidR="00CB47D6" w:rsidRPr="00714FB7" w:rsidRDefault="00CB47D6" w:rsidP="00CB47D6">
            <w:pPr>
              <w:spacing w:line="280" w:lineRule="exact"/>
              <w:jc w:val="both"/>
              <w:rPr>
                <w:rFonts w:ascii="Times New Roman" w:hAnsi="Times New Roman"/>
                <w:b/>
                <w:color w:val="auto"/>
                <w:spacing w:val="0"/>
                <w:sz w:val="24"/>
                <w:szCs w:val="24"/>
                <w:lang w:eastAsia="en-US"/>
              </w:rPr>
            </w:pPr>
            <w:r w:rsidRPr="00714FB7">
              <w:rPr>
                <w:rFonts w:ascii="Times New Roman" w:hAnsi="Times New Roman"/>
                <w:b/>
                <w:color w:val="auto"/>
                <w:spacing w:val="0"/>
                <w:sz w:val="24"/>
                <w:szCs w:val="24"/>
                <w:lang w:eastAsia="en-US"/>
              </w:rPr>
              <w:t>PERFOMANCE INDICATORS</w:t>
            </w:r>
          </w:p>
        </w:tc>
        <w:tc>
          <w:tcPr>
            <w:tcW w:w="3083" w:type="dxa"/>
            <w:shd w:val="clear" w:color="auto" w:fill="auto"/>
          </w:tcPr>
          <w:p w:rsidR="00CB47D6" w:rsidRPr="00714FB7" w:rsidRDefault="00CB47D6" w:rsidP="00CB47D6">
            <w:pPr>
              <w:spacing w:line="280" w:lineRule="exact"/>
              <w:jc w:val="both"/>
              <w:rPr>
                <w:rFonts w:ascii="Times New Roman" w:hAnsi="Times New Roman"/>
                <w:b/>
                <w:color w:val="auto"/>
                <w:spacing w:val="0"/>
                <w:sz w:val="24"/>
                <w:szCs w:val="24"/>
                <w:lang w:eastAsia="en-US"/>
              </w:rPr>
            </w:pPr>
            <w:r w:rsidRPr="00714FB7">
              <w:rPr>
                <w:rFonts w:ascii="Times New Roman" w:hAnsi="Times New Roman"/>
                <w:b/>
                <w:color w:val="auto"/>
                <w:spacing w:val="0"/>
                <w:sz w:val="24"/>
                <w:szCs w:val="24"/>
                <w:lang w:eastAsia="en-US"/>
              </w:rPr>
              <w:t>2017/18</w:t>
            </w:r>
          </w:p>
          <w:p w:rsidR="00CB47D6" w:rsidRPr="00714FB7" w:rsidRDefault="00CB47D6" w:rsidP="00CB47D6">
            <w:pPr>
              <w:spacing w:line="280" w:lineRule="exact"/>
              <w:jc w:val="both"/>
              <w:rPr>
                <w:rFonts w:ascii="Times New Roman" w:hAnsi="Times New Roman"/>
                <w:b/>
                <w:color w:val="auto"/>
                <w:spacing w:val="0"/>
                <w:sz w:val="24"/>
                <w:szCs w:val="24"/>
                <w:lang w:eastAsia="en-US"/>
              </w:rPr>
            </w:pPr>
            <w:r w:rsidRPr="00714FB7">
              <w:rPr>
                <w:rFonts w:ascii="Times New Roman" w:hAnsi="Times New Roman"/>
                <w:b/>
                <w:color w:val="auto"/>
                <w:spacing w:val="0"/>
                <w:sz w:val="24"/>
                <w:szCs w:val="24"/>
                <w:lang w:eastAsia="en-US"/>
              </w:rPr>
              <w:t>TARGETS</w:t>
            </w:r>
          </w:p>
        </w:tc>
      </w:tr>
      <w:tr w:rsidR="00CB47D6" w:rsidRPr="00714FB7" w:rsidTr="00030895">
        <w:trPr>
          <w:trHeight w:val="993"/>
        </w:trPr>
        <w:tc>
          <w:tcPr>
            <w:tcW w:w="2658"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Policy and legislative changes </w:t>
            </w:r>
          </w:p>
        </w:tc>
        <w:tc>
          <w:tcPr>
            <w:tcW w:w="4113"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Develop and implement the policy and legislative framework for occupational health and compensation</w:t>
            </w:r>
          </w:p>
        </w:tc>
        <w:tc>
          <w:tcPr>
            <w:tcW w:w="3083"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Submission of legal, management, organisational and service delivery framework for amendments to ODMWA</w:t>
            </w:r>
          </w:p>
        </w:tc>
      </w:tr>
      <w:tr w:rsidR="00CB47D6" w:rsidRPr="00714FB7" w:rsidTr="00030895">
        <w:trPr>
          <w:trHeight w:val="1138"/>
        </w:trPr>
        <w:tc>
          <w:tcPr>
            <w:tcW w:w="2658"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Enhance the  governance and management of the CCOD</w:t>
            </w:r>
          </w:p>
        </w:tc>
        <w:tc>
          <w:tcPr>
            <w:tcW w:w="4113"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Number of meetings of the Audit and Risk Committee, the Advisory Committee and the Management Committee</w:t>
            </w:r>
          </w:p>
        </w:tc>
        <w:tc>
          <w:tcPr>
            <w:tcW w:w="3083"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 04 meetings</w:t>
            </w:r>
          </w:p>
        </w:tc>
      </w:tr>
      <w:tr w:rsidR="00CB47D6" w:rsidRPr="00714FB7" w:rsidTr="00030895">
        <w:tc>
          <w:tcPr>
            <w:tcW w:w="2658"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Establishment of the One Stop Service Centres in provinces</w:t>
            </w:r>
          </w:p>
        </w:tc>
        <w:tc>
          <w:tcPr>
            <w:tcW w:w="4113"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Number of provinces with One Stop Service Centres</w:t>
            </w:r>
          </w:p>
        </w:tc>
        <w:tc>
          <w:tcPr>
            <w:tcW w:w="3083"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2 provinces (Kuruman and Burgersfort) and one centre each in Botswana, Lesotho, Mozambique and Swaziland by Global Fund</w:t>
            </w:r>
          </w:p>
        </w:tc>
      </w:tr>
      <w:tr w:rsidR="00CB47D6" w:rsidRPr="00714FB7" w:rsidTr="00030895">
        <w:tc>
          <w:tcPr>
            <w:tcW w:w="2658"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Develop the database of current and ex-workers in controlled mines and works</w:t>
            </w:r>
          </w:p>
        </w:tc>
        <w:tc>
          <w:tcPr>
            <w:tcW w:w="4113"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Development of the database of current and ex-workers</w:t>
            </w:r>
          </w:p>
        </w:tc>
        <w:tc>
          <w:tcPr>
            <w:tcW w:w="3083"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Extension of database to incorporate current workers and to the One Stop Service Centres</w:t>
            </w:r>
          </w:p>
        </w:tc>
      </w:tr>
      <w:tr w:rsidR="00CB47D6" w:rsidRPr="00714FB7" w:rsidTr="00030895">
        <w:tc>
          <w:tcPr>
            <w:tcW w:w="2658"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Clear the backlog in the payment of unpaid compensable claims </w:t>
            </w:r>
          </w:p>
        </w:tc>
        <w:tc>
          <w:tcPr>
            <w:tcW w:w="4113"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of unpaid compensable claims paid by the CCOD</w:t>
            </w:r>
          </w:p>
        </w:tc>
        <w:tc>
          <w:tcPr>
            <w:tcW w:w="3083"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5% of unpaid compensable claims paid by the CCOD</w:t>
            </w:r>
          </w:p>
        </w:tc>
      </w:tr>
      <w:tr w:rsidR="00CB47D6" w:rsidRPr="00714FB7" w:rsidTr="00030895">
        <w:tc>
          <w:tcPr>
            <w:tcW w:w="2658"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Ensure that all new compensable disease claims are paid within 3 months of receipt </w:t>
            </w:r>
          </w:p>
        </w:tc>
        <w:tc>
          <w:tcPr>
            <w:tcW w:w="4113"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of new compensable disease claims are paid within 3 months of receipt of completed documents in the claimant file</w:t>
            </w:r>
          </w:p>
        </w:tc>
        <w:tc>
          <w:tcPr>
            <w:tcW w:w="3083"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20% of new compensable disease claims are paid within 3 months of receipt of completed documents in the claimant file</w:t>
            </w:r>
          </w:p>
        </w:tc>
      </w:tr>
      <w:tr w:rsidR="00CB47D6" w:rsidRPr="00714FB7" w:rsidTr="00030895">
        <w:trPr>
          <w:trHeight w:val="855"/>
        </w:trPr>
        <w:tc>
          <w:tcPr>
            <w:tcW w:w="2658"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Ensure collection of levies from all controlled mines and works</w:t>
            </w:r>
          </w:p>
          <w:p w:rsidR="00CB47D6" w:rsidRPr="00714FB7" w:rsidRDefault="00CB47D6" w:rsidP="00CB47D6">
            <w:pPr>
              <w:spacing w:line="280" w:lineRule="exact"/>
              <w:rPr>
                <w:rFonts w:ascii="Times New Roman" w:hAnsi="Times New Roman"/>
                <w:color w:val="auto"/>
                <w:spacing w:val="0"/>
                <w:sz w:val="24"/>
                <w:szCs w:val="24"/>
                <w:lang w:eastAsia="en-US"/>
              </w:rPr>
            </w:pPr>
          </w:p>
        </w:tc>
        <w:tc>
          <w:tcPr>
            <w:tcW w:w="4113"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of controlled mines and works paying levies to the Compensation Fund</w:t>
            </w:r>
          </w:p>
        </w:tc>
        <w:tc>
          <w:tcPr>
            <w:tcW w:w="3083"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70% of controlled mines and works paying levies to the Compensation Fund</w:t>
            </w:r>
          </w:p>
        </w:tc>
      </w:tr>
      <w:tr w:rsidR="00CB47D6" w:rsidRPr="00714FB7" w:rsidTr="00030895">
        <w:tc>
          <w:tcPr>
            <w:tcW w:w="2658"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Conduct an Actuarial Valuation of the Compensation Fund</w:t>
            </w:r>
          </w:p>
        </w:tc>
        <w:tc>
          <w:tcPr>
            <w:tcW w:w="4113"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Report of  the Actuarial Valuation of the Compensation Fund</w:t>
            </w:r>
          </w:p>
        </w:tc>
        <w:tc>
          <w:tcPr>
            <w:tcW w:w="3083"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1 Actuarial Valuation Report of the Compensation Fund</w:t>
            </w:r>
          </w:p>
        </w:tc>
      </w:tr>
      <w:tr w:rsidR="00CB47D6" w:rsidRPr="00714FB7" w:rsidTr="00030895">
        <w:tc>
          <w:tcPr>
            <w:tcW w:w="2658"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Submit annual reports including financial statements to the Auditor General of South Africa</w:t>
            </w:r>
          </w:p>
        </w:tc>
        <w:tc>
          <w:tcPr>
            <w:tcW w:w="4113"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Number of annual reports including financial statements to the Auditor General of South Africa</w:t>
            </w:r>
          </w:p>
        </w:tc>
        <w:tc>
          <w:tcPr>
            <w:tcW w:w="3083" w:type="dxa"/>
            <w:shd w:val="clear" w:color="auto" w:fill="auto"/>
          </w:tcPr>
          <w:p w:rsidR="00CB47D6" w:rsidRPr="00714FB7" w:rsidRDefault="00CB47D6" w:rsidP="00CB47D6">
            <w:pPr>
              <w:spacing w:line="280" w:lineRule="exact"/>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2012/13 and 2013/14 annual reports including the financial statements</w:t>
            </w:r>
          </w:p>
        </w:tc>
      </w:tr>
    </w:tbl>
    <w:p w:rsidR="00CB47D6" w:rsidRPr="00714FB7" w:rsidRDefault="00CB47D6" w:rsidP="00CB47D6">
      <w:pPr>
        <w:spacing w:line="280" w:lineRule="exact"/>
        <w:jc w:val="both"/>
        <w:rPr>
          <w:rFonts w:ascii="Times New Roman" w:hAnsi="Times New Roman"/>
          <w:color w:val="auto"/>
          <w:spacing w:val="0"/>
          <w:sz w:val="24"/>
          <w:szCs w:val="24"/>
          <w:lang w:eastAsia="en-US"/>
        </w:rPr>
      </w:pPr>
    </w:p>
    <w:p w:rsidR="005E6E02" w:rsidRPr="00714FB7" w:rsidRDefault="005E6E02" w:rsidP="00CB47D6">
      <w:pPr>
        <w:spacing w:line="280" w:lineRule="exact"/>
        <w:jc w:val="both"/>
        <w:rPr>
          <w:rFonts w:ascii="Times New Roman" w:hAnsi="Times New Roman"/>
          <w:color w:val="auto"/>
          <w:spacing w:val="0"/>
          <w:sz w:val="24"/>
          <w:szCs w:val="24"/>
          <w:lang w:eastAsia="en-US"/>
        </w:rPr>
      </w:pPr>
    </w:p>
    <w:p w:rsidR="005E6E02" w:rsidRPr="00714FB7" w:rsidRDefault="005E6E02" w:rsidP="00CB47D6">
      <w:pPr>
        <w:spacing w:line="280" w:lineRule="exact"/>
        <w:jc w:val="both"/>
        <w:rPr>
          <w:rFonts w:ascii="Times New Roman" w:hAnsi="Times New Roman"/>
          <w:color w:val="auto"/>
          <w:spacing w:val="0"/>
          <w:sz w:val="24"/>
          <w:szCs w:val="24"/>
          <w:lang w:eastAsia="en-US"/>
        </w:rPr>
      </w:pPr>
    </w:p>
    <w:p w:rsidR="005E6E02" w:rsidRPr="00714FB7" w:rsidRDefault="005E6E02" w:rsidP="00CB47D6">
      <w:pPr>
        <w:spacing w:line="280" w:lineRule="exact"/>
        <w:jc w:val="both"/>
        <w:rPr>
          <w:rFonts w:ascii="Times New Roman" w:hAnsi="Times New Roman"/>
          <w:color w:val="auto"/>
          <w:spacing w:val="0"/>
          <w:sz w:val="24"/>
          <w:szCs w:val="24"/>
          <w:lang w:eastAsia="en-US"/>
        </w:rPr>
      </w:pPr>
    </w:p>
    <w:p w:rsidR="005E6E02" w:rsidRPr="00714FB7" w:rsidRDefault="005E6E02" w:rsidP="00CB47D6">
      <w:pPr>
        <w:spacing w:line="280" w:lineRule="exact"/>
        <w:jc w:val="both"/>
        <w:rPr>
          <w:rFonts w:ascii="Times New Roman" w:hAnsi="Times New Roman"/>
          <w:color w:val="auto"/>
          <w:spacing w:val="0"/>
          <w:sz w:val="24"/>
          <w:szCs w:val="24"/>
          <w:lang w:eastAsia="en-US"/>
        </w:rPr>
      </w:pPr>
    </w:p>
    <w:p w:rsidR="005E6E02" w:rsidRPr="00714FB7" w:rsidRDefault="005E6E02" w:rsidP="00CB47D6">
      <w:pPr>
        <w:spacing w:line="280" w:lineRule="exact"/>
        <w:jc w:val="both"/>
        <w:rPr>
          <w:rFonts w:ascii="Times New Roman" w:hAnsi="Times New Roman"/>
          <w:color w:val="auto"/>
          <w:spacing w:val="0"/>
          <w:sz w:val="24"/>
          <w:szCs w:val="24"/>
          <w:lang w:eastAsia="en-US"/>
        </w:rPr>
      </w:pPr>
    </w:p>
    <w:p w:rsidR="005E6E02" w:rsidRPr="00714FB7" w:rsidRDefault="005E6E02" w:rsidP="00CB47D6">
      <w:pPr>
        <w:spacing w:line="280" w:lineRule="exact"/>
        <w:jc w:val="both"/>
        <w:rPr>
          <w:rFonts w:ascii="Times New Roman" w:hAnsi="Times New Roman"/>
          <w:color w:val="auto"/>
          <w:spacing w:val="0"/>
          <w:sz w:val="24"/>
          <w:szCs w:val="24"/>
          <w:lang w:eastAsia="en-US"/>
        </w:rPr>
      </w:pPr>
    </w:p>
    <w:p w:rsidR="00CB47D6" w:rsidRPr="00714FB7" w:rsidRDefault="00CB47D6" w:rsidP="00030895">
      <w:pPr>
        <w:pStyle w:val="ListParagraph"/>
        <w:keepNext/>
        <w:numPr>
          <w:ilvl w:val="2"/>
          <w:numId w:val="82"/>
        </w:numPr>
        <w:spacing w:before="240" w:after="60" w:line="280" w:lineRule="exact"/>
        <w:jc w:val="both"/>
        <w:outlineLvl w:val="0"/>
        <w:rPr>
          <w:rFonts w:ascii="Times New Roman" w:hAnsi="Times New Roman"/>
          <w:b/>
          <w:bCs/>
          <w:color w:val="auto"/>
          <w:spacing w:val="0"/>
          <w:kern w:val="32"/>
          <w:sz w:val="24"/>
          <w:szCs w:val="24"/>
          <w:lang w:eastAsia="en-US"/>
        </w:rPr>
      </w:pPr>
      <w:r w:rsidRPr="00714FB7">
        <w:rPr>
          <w:rFonts w:ascii="Times New Roman" w:hAnsi="Times New Roman"/>
          <w:b/>
          <w:bCs/>
          <w:color w:val="auto"/>
          <w:spacing w:val="0"/>
          <w:kern w:val="32"/>
          <w:sz w:val="24"/>
          <w:szCs w:val="24"/>
          <w:lang w:eastAsia="en-US"/>
        </w:rPr>
        <w:t>Annual Performance Plan 2017/18</w:t>
      </w:r>
    </w:p>
    <w:p w:rsidR="00CB47D6" w:rsidRPr="00714FB7" w:rsidRDefault="00CB47D6" w:rsidP="00CB47D6">
      <w:pPr>
        <w:spacing w:line="280" w:lineRule="exact"/>
        <w:jc w:val="both"/>
        <w:rPr>
          <w:rFonts w:ascii="Times New Roman" w:hAnsi="Times New Roman"/>
          <w:color w:val="auto"/>
          <w:spacing w:val="0"/>
          <w:sz w:val="24"/>
          <w:szCs w:val="24"/>
          <w:lang w:eastAsia="en-US"/>
        </w:rPr>
      </w:pPr>
    </w:p>
    <w:p w:rsidR="00CB47D6" w:rsidRPr="00714FB7" w:rsidRDefault="00CB47D6" w:rsidP="00030895">
      <w:p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The CCOD’s Annual Performance Plan identifies the strategic objectives and performance indicators linked to specific targets. In line with the</w:t>
      </w:r>
      <w:r w:rsidR="00467E50" w:rsidRPr="00714FB7">
        <w:rPr>
          <w:rFonts w:ascii="Times New Roman" w:hAnsi="Times New Roman"/>
          <w:color w:val="auto"/>
          <w:spacing w:val="0"/>
          <w:sz w:val="24"/>
          <w:szCs w:val="24"/>
          <w:lang w:eastAsia="en-US"/>
        </w:rPr>
        <w:t xml:space="preserve"> NDP</w:t>
      </w:r>
      <w:r w:rsidRPr="00714FB7">
        <w:rPr>
          <w:rFonts w:ascii="Times New Roman" w:hAnsi="Times New Roman"/>
          <w:color w:val="auto"/>
          <w:spacing w:val="0"/>
          <w:sz w:val="24"/>
          <w:szCs w:val="24"/>
          <w:lang w:eastAsia="en-US"/>
        </w:rPr>
        <w:t xml:space="preserve">, the Medium Term Strategic Framework (MTSF 2014-2019) and the National Department of Health’s 10 point plan, the CCOD has elevated five new initiatives for the current financial year (2017/18) namely: </w:t>
      </w:r>
    </w:p>
    <w:p w:rsidR="00CB47D6" w:rsidRPr="00714FB7" w:rsidRDefault="00CB47D6" w:rsidP="00030895">
      <w:pPr>
        <w:spacing w:line="360" w:lineRule="auto"/>
        <w:jc w:val="both"/>
        <w:rPr>
          <w:rFonts w:ascii="Times New Roman" w:hAnsi="Times New Roman"/>
          <w:color w:val="auto"/>
          <w:spacing w:val="0"/>
          <w:sz w:val="24"/>
          <w:szCs w:val="24"/>
          <w:lang w:eastAsia="en-US"/>
        </w:rPr>
      </w:pPr>
    </w:p>
    <w:p w:rsidR="00CB47D6" w:rsidRPr="00714FB7" w:rsidRDefault="00CB47D6" w:rsidP="00030895">
      <w:pPr>
        <w:numPr>
          <w:ilvl w:val="0"/>
          <w:numId w:val="66"/>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Participation in the process towards integration of the compensation systems;</w:t>
      </w:r>
    </w:p>
    <w:p w:rsidR="00CB47D6" w:rsidRPr="00714FB7" w:rsidRDefault="00CB47D6" w:rsidP="00030895">
      <w:pPr>
        <w:numPr>
          <w:ilvl w:val="0"/>
          <w:numId w:val="66"/>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Continued provision of decentralised service facilities for current and ex-workers in controlled mines and works at health facilities in provinces; </w:t>
      </w:r>
    </w:p>
    <w:p w:rsidR="00CB47D6" w:rsidRPr="00714FB7" w:rsidRDefault="00CB47D6" w:rsidP="00030895">
      <w:pPr>
        <w:numPr>
          <w:ilvl w:val="0"/>
          <w:numId w:val="66"/>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Ensuring the effective and efficient management of the Compensation Fund through training of the personnel on the use of the electronic database;</w:t>
      </w:r>
    </w:p>
    <w:p w:rsidR="00CB47D6" w:rsidRPr="00714FB7" w:rsidRDefault="00CB47D6" w:rsidP="00030895">
      <w:pPr>
        <w:numPr>
          <w:ilvl w:val="0"/>
          <w:numId w:val="66"/>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Increasing the number of paid claimants; and</w:t>
      </w:r>
    </w:p>
    <w:p w:rsidR="00CB47D6" w:rsidRPr="00714FB7" w:rsidRDefault="00CB47D6" w:rsidP="00030895">
      <w:pPr>
        <w:numPr>
          <w:ilvl w:val="0"/>
          <w:numId w:val="66"/>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Ensure the submission of annual reports and financial statements of the Compensation Fund.</w:t>
      </w:r>
    </w:p>
    <w:p w:rsidR="00CB47D6" w:rsidRPr="00714FB7" w:rsidRDefault="00CB47D6" w:rsidP="00030895">
      <w:pPr>
        <w:pStyle w:val="ListParagraph"/>
        <w:keepNext/>
        <w:numPr>
          <w:ilvl w:val="2"/>
          <w:numId w:val="82"/>
        </w:numPr>
        <w:spacing w:before="240" w:after="60"/>
        <w:jc w:val="both"/>
        <w:outlineLvl w:val="0"/>
        <w:rPr>
          <w:rFonts w:ascii="Times New Roman" w:hAnsi="Times New Roman"/>
          <w:b/>
          <w:bCs/>
          <w:color w:val="auto"/>
          <w:spacing w:val="0"/>
          <w:kern w:val="32"/>
          <w:sz w:val="24"/>
          <w:szCs w:val="24"/>
          <w:lang w:eastAsia="en-US"/>
        </w:rPr>
      </w:pPr>
      <w:r w:rsidRPr="00714FB7">
        <w:rPr>
          <w:rFonts w:ascii="Times New Roman" w:hAnsi="Times New Roman"/>
          <w:b/>
          <w:bCs/>
          <w:color w:val="auto"/>
          <w:spacing w:val="0"/>
          <w:kern w:val="32"/>
          <w:sz w:val="24"/>
          <w:szCs w:val="24"/>
          <w:lang w:eastAsia="en-US"/>
        </w:rPr>
        <w:t>Budget</w:t>
      </w:r>
      <w:r w:rsidR="001A365F" w:rsidRPr="00714FB7">
        <w:rPr>
          <w:rFonts w:ascii="Times New Roman" w:hAnsi="Times New Roman"/>
          <w:b/>
          <w:bCs/>
          <w:color w:val="auto"/>
          <w:spacing w:val="0"/>
          <w:kern w:val="32"/>
          <w:sz w:val="24"/>
          <w:szCs w:val="24"/>
          <w:lang w:eastAsia="en-US"/>
        </w:rPr>
        <w:t xml:space="preserve"> Overview for 2017/18</w:t>
      </w:r>
    </w:p>
    <w:p w:rsidR="00CB47D6" w:rsidRPr="00714FB7" w:rsidRDefault="00CB47D6" w:rsidP="00CB47D6">
      <w:pPr>
        <w:jc w:val="both"/>
        <w:rPr>
          <w:rFonts w:ascii="Times New Roman" w:hAnsi="Times New Roman"/>
          <w:color w:val="auto"/>
          <w:spacing w:val="0"/>
          <w:sz w:val="24"/>
          <w:szCs w:val="24"/>
          <w:lang w:eastAsia="en-US"/>
        </w:rPr>
      </w:pPr>
    </w:p>
    <w:p w:rsidR="00CB47D6" w:rsidRPr="00714FB7" w:rsidRDefault="00CB47D6" w:rsidP="00030895">
      <w:p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The budget increases by 11.4 percent from R175.3 million in 2016/17 to R195.2 million in 2017/18. In terms of economic classification, the bulk of the CCOD’s budget (R148 million or 77 percent) goes to the Compensation of ex-miners programme. R34.4 million (16.8 percent) is allocated to Compensation of tuberculosis. </w:t>
      </w:r>
      <w:r w:rsidR="007D7583" w:rsidRPr="00714FB7">
        <w:rPr>
          <w:rFonts w:ascii="Times New Roman" w:hAnsi="Times New Roman"/>
          <w:color w:val="auto"/>
          <w:spacing w:val="0"/>
          <w:sz w:val="24"/>
          <w:szCs w:val="24"/>
          <w:lang w:eastAsia="en-US"/>
        </w:rPr>
        <w:t>The Administration programme is allocated R8.</w:t>
      </w:r>
      <w:r w:rsidR="00F7172E" w:rsidRPr="00714FB7">
        <w:rPr>
          <w:rFonts w:ascii="Times New Roman" w:hAnsi="Times New Roman"/>
          <w:color w:val="auto"/>
          <w:spacing w:val="0"/>
          <w:sz w:val="24"/>
          <w:szCs w:val="24"/>
          <w:lang w:eastAsia="en-US"/>
        </w:rPr>
        <w:t>4</w:t>
      </w:r>
      <w:r w:rsidR="007D7583" w:rsidRPr="00714FB7">
        <w:rPr>
          <w:rFonts w:ascii="Times New Roman" w:hAnsi="Times New Roman"/>
          <w:color w:val="auto"/>
          <w:spacing w:val="0"/>
          <w:sz w:val="24"/>
          <w:szCs w:val="24"/>
          <w:lang w:eastAsia="en-US"/>
        </w:rPr>
        <w:t xml:space="preserve"> million; Compensation of Pensioners receives R3.</w:t>
      </w:r>
      <w:r w:rsidR="00F7172E" w:rsidRPr="00714FB7">
        <w:rPr>
          <w:rFonts w:ascii="Times New Roman" w:hAnsi="Times New Roman"/>
          <w:color w:val="auto"/>
          <w:spacing w:val="0"/>
          <w:sz w:val="24"/>
          <w:szCs w:val="24"/>
          <w:lang w:eastAsia="en-US"/>
        </w:rPr>
        <w:t>7</w:t>
      </w:r>
      <w:r w:rsidR="007D7583" w:rsidRPr="00714FB7">
        <w:rPr>
          <w:rFonts w:ascii="Times New Roman" w:hAnsi="Times New Roman"/>
          <w:color w:val="auto"/>
          <w:spacing w:val="0"/>
          <w:sz w:val="24"/>
          <w:szCs w:val="24"/>
          <w:lang w:eastAsia="en-US"/>
        </w:rPr>
        <w:t xml:space="preserve"> million and the Eastern Cape project</w:t>
      </w:r>
      <w:r w:rsidR="00F7172E" w:rsidRPr="00714FB7">
        <w:rPr>
          <w:rFonts w:ascii="Times New Roman" w:hAnsi="Times New Roman"/>
          <w:color w:val="auto"/>
          <w:spacing w:val="0"/>
          <w:sz w:val="24"/>
          <w:szCs w:val="24"/>
          <w:lang w:eastAsia="en-US"/>
        </w:rPr>
        <w:t xml:space="preserve"> receives R670 000. </w:t>
      </w:r>
    </w:p>
    <w:p w:rsidR="00CB47D6" w:rsidRPr="00714FB7" w:rsidRDefault="00CB47D6" w:rsidP="00030895">
      <w:pPr>
        <w:spacing w:line="360" w:lineRule="auto"/>
        <w:jc w:val="both"/>
        <w:rPr>
          <w:rFonts w:ascii="Times New Roman" w:hAnsi="Times New Roman"/>
          <w:color w:val="auto"/>
          <w:spacing w:val="0"/>
          <w:sz w:val="24"/>
          <w:szCs w:val="24"/>
          <w:lang w:eastAsia="en-US"/>
        </w:rPr>
      </w:pPr>
    </w:p>
    <w:p w:rsidR="00674018" w:rsidRPr="00714FB7" w:rsidRDefault="00674018" w:rsidP="00623217">
      <w:pPr>
        <w:autoSpaceDE w:val="0"/>
        <w:autoSpaceDN w:val="0"/>
        <w:adjustRightInd w:val="0"/>
        <w:spacing w:line="360" w:lineRule="auto"/>
        <w:ind w:firstLine="270"/>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Table 1</w:t>
      </w:r>
      <w:r w:rsidR="00623217" w:rsidRPr="00714FB7">
        <w:rPr>
          <w:rFonts w:ascii="Times New Roman" w:hAnsi="Times New Roman"/>
          <w:b/>
          <w:color w:val="auto"/>
          <w:spacing w:val="0"/>
          <w:sz w:val="24"/>
          <w:szCs w:val="24"/>
          <w:lang w:eastAsia="en-ZA"/>
        </w:rPr>
        <w:t>5</w:t>
      </w:r>
      <w:r w:rsidRPr="00714FB7">
        <w:rPr>
          <w:rFonts w:ascii="Times New Roman" w:hAnsi="Times New Roman"/>
          <w:b/>
          <w:color w:val="auto"/>
          <w:spacing w:val="0"/>
          <w:sz w:val="24"/>
          <w:szCs w:val="24"/>
          <w:lang w:eastAsia="en-ZA"/>
        </w:rPr>
        <w:t>: Summary of Budget per Program</w:t>
      </w:r>
    </w:p>
    <w:tbl>
      <w:tblPr>
        <w:tblStyle w:val="TableGrid"/>
        <w:tblW w:w="0" w:type="auto"/>
        <w:tblLook w:val="04A0" w:firstRow="1" w:lastRow="0" w:firstColumn="1" w:lastColumn="0" w:noHBand="0" w:noVBand="1"/>
      </w:tblPr>
      <w:tblGrid>
        <w:gridCol w:w="2744"/>
        <w:gridCol w:w="1114"/>
        <w:gridCol w:w="1335"/>
        <w:gridCol w:w="1335"/>
        <w:gridCol w:w="1190"/>
      </w:tblGrid>
      <w:tr w:rsidR="002D4630" w:rsidRPr="00714FB7" w:rsidTr="00DE344B">
        <w:tc>
          <w:tcPr>
            <w:tcW w:w="2744" w:type="dxa"/>
            <w:shd w:val="clear" w:color="auto" w:fill="auto"/>
          </w:tcPr>
          <w:p w:rsidR="00674018" w:rsidRPr="00714FB7" w:rsidRDefault="00674018" w:rsidP="00DE344B">
            <w:pPr>
              <w:autoSpaceDE w:val="0"/>
              <w:autoSpaceDN w:val="0"/>
              <w:adjustRightInd w:val="0"/>
              <w:spacing w:line="360" w:lineRule="auto"/>
              <w:jc w:val="both"/>
              <w:rPr>
                <w:rFonts w:ascii="Times New Roman" w:hAnsi="Times New Roman"/>
                <w:b/>
                <w:color w:val="auto"/>
                <w:spacing w:val="0"/>
                <w:sz w:val="24"/>
                <w:szCs w:val="24"/>
                <w:lang w:eastAsia="en-ZA"/>
              </w:rPr>
            </w:pPr>
          </w:p>
          <w:p w:rsidR="00674018" w:rsidRPr="00714FB7" w:rsidRDefault="00674018" w:rsidP="00DE344B">
            <w:pPr>
              <w:autoSpaceDE w:val="0"/>
              <w:autoSpaceDN w:val="0"/>
              <w:adjustRightInd w:val="0"/>
              <w:spacing w:line="360" w:lineRule="auto"/>
              <w:jc w:val="both"/>
              <w:rPr>
                <w:rFonts w:ascii="Times New Roman" w:hAnsi="Times New Roman"/>
                <w:b/>
                <w:color w:val="auto"/>
                <w:spacing w:val="0"/>
                <w:sz w:val="24"/>
                <w:szCs w:val="24"/>
                <w:lang w:eastAsia="en-ZA"/>
              </w:rPr>
            </w:pPr>
          </w:p>
          <w:p w:rsidR="00674018" w:rsidRPr="00714FB7" w:rsidRDefault="00674018" w:rsidP="00DE344B">
            <w:pPr>
              <w:autoSpaceDE w:val="0"/>
              <w:autoSpaceDN w:val="0"/>
              <w:adjustRightInd w:val="0"/>
              <w:spacing w:line="360" w:lineRule="auto"/>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PROGRAM</w:t>
            </w:r>
          </w:p>
          <w:p w:rsidR="00674018" w:rsidRPr="00714FB7" w:rsidRDefault="00674018" w:rsidP="00DE344B">
            <w:pPr>
              <w:autoSpaceDE w:val="0"/>
              <w:autoSpaceDN w:val="0"/>
              <w:adjustRightInd w:val="0"/>
              <w:spacing w:line="360" w:lineRule="auto"/>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R’000</w:t>
            </w:r>
          </w:p>
        </w:tc>
        <w:tc>
          <w:tcPr>
            <w:tcW w:w="1114" w:type="dxa"/>
            <w:shd w:val="clear" w:color="auto" w:fill="auto"/>
          </w:tcPr>
          <w:p w:rsidR="00674018" w:rsidRPr="00714FB7" w:rsidRDefault="00674018" w:rsidP="00DE344B">
            <w:pPr>
              <w:autoSpaceDE w:val="0"/>
              <w:autoSpaceDN w:val="0"/>
              <w:adjustRightInd w:val="0"/>
              <w:spacing w:line="360" w:lineRule="auto"/>
              <w:jc w:val="both"/>
              <w:rPr>
                <w:rFonts w:ascii="Times New Roman" w:hAnsi="Times New Roman"/>
                <w:b/>
                <w:color w:val="auto"/>
                <w:spacing w:val="0"/>
                <w:sz w:val="24"/>
                <w:szCs w:val="24"/>
                <w:lang w:eastAsia="en-ZA"/>
              </w:rPr>
            </w:pPr>
          </w:p>
          <w:p w:rsidR="00674018" w:rsidRPr="00714FB7" w:rsidRDefault="00674018" w:rsidP="00DE344B">
            <w:pPr>
              <w:autoSpaceDE w:val="0"/>
              <w:autoSpaceDN w:val="0"/>
              <w:adjustRightInd w:val="0"/>
              <w:spacing w:line="360" w:lineRule="auto"/>
              <w:jc w:val="both"/>
              <w:rPr>
                <w:rFonts w:ascii="Times New Roman" w:hAnsi="Times New Roman"/>
                <w:b/>
                <w:color w:val="auto"/>
                <w:spacing w:val="0"/>
                <w:sz w:val="24"/>
                <w:szCs w:val="24"/>
                <w:lang w:eastAsia="en-ZA"/>
              </w:rPr>
            </w:pPr>
          </w:p>
          <w:p w:rsidR="00674018" w:rsidRPr="00714FB7" w:rsidRDefault="00674018" w:rsidP="00DE344B">
            <w:pPr>
              <w:autoSpaceDE w:val="0"/>
              <w:autoSpaceDN w:val="0"/>
              <w:adjustRightInd w:val="0"/>
              <w:spacing w:line="360" w:lineRule="auto"/>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2016/17</w:t>
            </w:r>
          </w:p>
        </w:tc>
        <w:tc>
          <w:tcPr>
            <w:tcW w:w="1335" w:type="dxa"/>
            <w:shd w:val="clear" w:color="auto" w:fill="auto"/>
          </w:tcPr>
          <w:p w:rsidR="00674018" w:rsidRPr="00714FB7" w:rsidRDefault="00674018" w:rsidP="00DE344B">
            <w:pPr>
              <w:autoSpaceDE w:val="0"/>
              <w:autoSpaceDN w:val="0"/>
              <w:adjustRightInd w:val="0"/>
              <w:spacing w:line="360" w:lineRule="auto"/>
              <w:jc w:val="both"/>
              <w:rPr>
                <w:rFonts w:ascii="Times New Roman" w:hAnsi="Times New Roman"/>
                <w:b/>
                <w:color w:val="auto"/>
                <w:spacing w:val="0"/>
                <w:sz w:val="24"/>
                <w:szCs w:val="24"/>
                <w:lang w:eastAsia="en-ZA"/>
              </w:rPr>
            </w:pPr>
          </w:p>
          <w:p w:rsidR="00674018" w:rsidRPr="00714FB7" w:rsidRDefault="00674018" w:rsidP="00DE344B">
            <w:pPr>
              <w:autoSpaceDE w:val="0"/>
              <w:autoSpaceDN w:val="0"/>
              <w:adjustRightInd w:val="0"/>
              <w:spacing w:line="360" w:lineRule="auto"/>
              <w:jc w:val="both"/>
              <w:rPr>
                <w:rFonts w:ascii="Times New Roman" w:hAnsi="Times New Roman"/>
                <w:b/>
                <w:color w:val="auto"/>
                <w:spacing w:val="0"/>
                <w:sz w:val="24"/>
                <w:szCs w:val="24"/>
                <w:lang w:eastAsia="en-ZA"/>
              </w:rPr>
            </w:pPr>
          </w:p>
          <w:p w:rsidR="00674018" w:rsidRPr="00714FB7" w:rsidRDefault="00674018" w:rsidP="00DE344B">
            <w:pPr>
              <w:autoSpaceDE w:val="0"/>
              <w:autoSpaceDN w:val="0"/>
              <w:adjustRightInd w:val="0"/>
              <w:spacing w:line="360" w:lineRule="auto"/>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2017/18</w:t>
            </w:r>
          </w:p>
        </w:tc>
        <w:tc>
          <w:tcPr>
            <w:tcW w:w="1335" w:type="dxa"/>
            <w:shd w:val="clear" w:color="auto" w:fill="auto"/>
          </w:tcPr>
          <w:p w:rsidR="00674018" w:rsidRPr="00714FB7" w:rsidRDefault="00674018" w:rsidP="00DE344B">
            <w:pPr>
              <w:autoSpaceDE w:val="0"/>
              <w:autoSpaceDN w:val="0"/>
              <w:adjustRightInd w:val="0"/>
              <w:spacing w:line="360" w:lineRule="auto"/>
              <w:jc w:val="both"/>
              <w:rPr>
                <w:rFonts w:ascii="Times New Roman" w:hAnsi="Times New Roman"/>
                <w:b/>
                <w:color w:val="auto"/>
                <w:spacing w:val="0"/>
                <w:sz w:val="24"/>
                <w:szCs w:val="24"/>
                <w:lang w:eastAsia="en-ZA"/>
              </w:rPr>
            </w:pPr>
          </w:p>
          <w:p w:rsidR="00674018" w:rsidRPr="00714FB7" w:rsidRDefault="00674018" w:rsidP="00DE344B">
            <w:pPr>
              <w:autoSpaceDE w:val="0"/>
              <w:autoSpaceDN w:val="0"/>
              <w:adjustRightInd w:val="0"/>
              <w:spacing w:line="360" w:lineRule="auto"/>
              <w:jc w:val="both"/>
              <w:rPr>
                <w:rFonts w:ascii="Times New Roman" w:hAnsi="Times New Roman"/>
                <w:b/>
                <w:color w:val="auto"/>
                <w:spacing w:val="0"/>
                <w:sz w:val="24"/>
                <w:szCs w:val="24"/>
                <w:lang w:eastAsia="en-ZA"/>
              </w:rPr>
            </w:pPr>
          </w:p>
          <w:p w:rsidR="00674018" w:rsidRPr="00714FB7" w:rsidRDefault="00674018" w:rsidP="00DE344B">
            <w:pPr>
              <w:autoSpaceDE w:val="0"/>
              <w:autoSpaceDN w:val="0"/>
              <w:adjustRightInd w:val="0"/>
              <w:spacing w:line="360" w:lineRule="auto"/>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2018/19</w:t>
            </w:r>
          </w:p>
        </w:tc>
        <w:tc>
          <w:tcPr>
            <w:tcW w:w="1190" w:type="dxa"/>
            <w:shd w:val="clear" w:color="auto" w:fill="auto"/>
          </w:tcPr>
          <w:p w:rsidR="00674018" w:rsidRPr="00714FB7" w:rsidRDefault="00674018" w:rsidP="00DE344B">
            <w:pPr>
              <w:autoSpaceDE w:val="0"/>
              <w:autoSpaceDN w:val="0"/>
              <w:adjustRightInd w:val="0"/>
              <w:spacing w:line="360" w:lineRule="auto"/>
              <w:jc w:val="both"/>
              <w:rPr>
                <w:rFonts w:ascii="Times New Roman" w:hAnsi="Times New Roman"/>
                <w:b/>
                <w:color w:val="auto"/>
                <w:spacing w:val="0"/>
                <w:sz w:val="24"/>
                <w:szCs w:val="24"/>
                <w:lang w:eastAsia="en-ZA"/>
              </w:rPr>
            </w:pPr>
          </w:p>
          <w:p w:rsidR="00674018" w:rsidRPr="00714FB7" w:rsidRDefault="00674018" w:rsidP="00DE344B">
            <w:pPr>
              <w:autoSpaceDE w:val="0"/>
              <w:autoSpaceDN w:val="0"/>
              <w:adjustRightInd w:val="0"/>
              <w:spacing w:line="360" w:lineRule="auto"/>
              <w:jc w:val="both"/>
              <w:rPr>
                <w:rFonts w:ascii="Times New Roman" w:hAnsi="Times New Roman"/>
                <w:b/>
                <w:color w:val="auto"/>
                <w:spacing w:val="0"/>
                <w:sz w:val="24"/>
                <w:szCs w:val="24"/>
                <w:lang w:eastAsia="en-ZA"/>
              </w:rPr>
            </w:pPr>
          </w:p>
          <w:p w:rsidR="00674018" w:rsidRPr="00714FB7" w:rsidRDefault="00674018" w:rsidP="00DE344B">
            <w:pPr>
              <w:autoSpaceDE w:val="0"/>
              <w:autoSpaceDN w:val="0"/>
              <w:adjustRightInd w:val="0"/>
              <w:spacing w:line="360" w:lineRule="auto"/>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2019/20</w:t>
            </w:r>
          </w:p>
        </w:tc>
      </w:tr>
      <w:tr w:rsidR="002D4630" w:rsidRPr="00714FB7" w:rsidTr="00DE344B">
        <w:tc>
          <w:tcPr>
            <w:tcW w:w="2744" w:type="dxa"/>
            <w:shd w:val="clear" w:color="auto" w:fill="auto"/>
          </w:tcPr>
          <w:p w:rsidR="00674018" w:rsidRPr="00714FB7" w:rsidRDefault="00674018" w:rsidP="00DE344B">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ADMINISTRATION</w:t>
            </w:r>
          </w:p>
        </w:tc>
        <w:tc>
          <w:tcPr>
            <w:tcW w:w="1114" w:type="dxa"/>
            <w:shd w:val="clear" w:color="auto" w:fill="auto"/>
          </w:tcPr>
          <w:p w:rsidR="00674018" w:rsidRPr="00714FB7" w:rsidRDefault="00674018" w:rsidP="00DE344B">
            <w:pPr>
              <w:autoSpaceDE w:val="0"/>
              <w:autoSpaceDN w:val="0"/>
              <w:adjustRightInd w:val="0"/>
              <w:jc w:val="right"/>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8 127</w:t>
            </w:r>
          </w:p>
        </w:tc>
        <w:tc>
          <w:tcPr>
            <w:tcW w:w="1335" w:type="dxa"/>
            <w:shd w:val="clear" w:color="auto" w:fill="auto"/>
          </w:tcPr>
          <w:p w:rsidR="00674018" w:rsidRPr="00714FB7" w:rsidRDefault="00674018" w:rsidP="00DE344B">
            <w:pPr>
              <w:autoSpaceDE w:val="0"/>
              <w:autoSpaceDN w:val="0"/>
              <w:adjustRightInd w:val="0"/>
              <w:jc w:val="right"/>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8 393</w:t>
            </w:r>
          </w:p>
        </w:tc>
        <w:tc>
          <w:tcPr>
            <w:tcW w:w="1335" w:type="dxa"/>
            <w:shd w:val="clear" w:color="auto" w:fill="auto"/>
          </w:tcPr>
          <w:p w:rsidR="00674018" w:rsidRPr="00714FB7" w:rsidRDefault="00674018" w:rsidP="00DE344B">
            <w:pPr>
              <w:autoSpaceDE w:val="0"/>
              <w:autoSpaceDN w:val="0"/>
              <w:adjustRightInd w:val="0"/>
              <w:jc w:val="right"/>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7 360</w:t>
            </w:r>
          </w:p>
        </w:tc>
        <w:tc>
          <w:tcPr>
            <w:tcW w:w="1190" w:type="dxa"/>
            <w:shd w:val="clear" w:color="auto" w:fill="auto"/>
          </w:tcPr>
          <w:p w:rsidR="00674018" w:rsidRPr="00714FB7" w:rsidRDefault="00674018" w:rsidP="00DE344B">
            <w:pPr>
              <w:autoSpaceDE w:val="0"/>
              <w:autoSpaceDN w:val="0"/>
              <w:adjustRightInd w:val="0"/>
              <w:jc w:val="right"/>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7 772</w:t>
            </w:r>
          </w:p>
        </w:tc>
      </w:tr>
      <w:tr w:rsidR="002D4630" w:rsidRPr="00714FB7" w:rsidTr="00DE344B">
        <w:tc>
          <w:tcPr>
            <w:tcW w:w="2744" w:type="dxa"/>
            <w:shd w:val="clear" w:color="auto" w:fill="auto"/>
          </w:tcPr>
          <w:p w:rsidR="00674018" w:rsidRPr="00714FB7" w:rsidRDefault="00674018" w:rsidP="00DE344B">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PENSIONERS</w:t>
            </w:r>
          </w:p>
        </w:tc>
        <w:tc>
          <w:tcPr>
            <w:tcW w:w="1114" w:type="dxa"/>
            <w:shd w:val="clear" w:color="auto" w:fill="auto"/>
          </w:tcPr>
          <w:p w:rsidR="00674018" w:rsidRPr="00714FB7" w:rsidRDefault="00674018" w:rsidP="00DE344B">
            <w:pPr>
              <w:autoSpaceDE w:val="0"/>
              <w:autoSpaceDN w:val="0"/>
              <w:adjustRightInd w:val="0"/>
              <w:jc w:val="right"/>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3 215</w:t>
            </w:r>
          </w:p>
        </w:tc>
        <w:tc>
          <w:tcPr>
            <w:tcW w:w="1335" w:type="dxa"/>
            <w:shd w:val="clear" w:color="auto" w:fill="auto"/>
          </w:tcPr>
          <w:p w:rsidR="00674018" w:rsidRPr="00714FB7" w:rsidRDefault="00674018" w:rsidP="00DE344B">
            <w:pPr>
              <w:autoSpaceDE w:val="0"/>
              <w:autoSpaceDN w:val="0"/>
              <w:adjustRightInd w:val="0"/>
              <w:jc w:val="right"/>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3 718</w:t>
            </w:r>
          </w:p>
        </w:tc>
        <w:tc>
          <w:tcPr>
            <w:tcW w:w="1335" w:type="dxa"/>
            <w:shd w:val="clear" w:color="auto" w:fill="auto"/>
          </w:tcPr>
          <w:p w:rsidR="00674018" w:rsidRPr="00714FB7" w:rsidRDefault="00674018" w:rsidP="00DE344B">
            <w:pPr>
              <w:autoSpaceDE w:val="0"/>
              <w:autoSpaceDN w:val="0"/>
              <w:adjustRightInd w:val="0"/>
              <w:jc w:val="right"/>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3 904</w:t>
            </w:r>
          </w:p>
        </w:tc>
        <w:tc>
          <w:tcPr>
            <w:tcW w:w="1190" w:type="dxa"/>
            <w:shd w:val="clear" w:color="auto" w:fill="auto"/>
          </w:tcPr>
          <w:p w:rsidR="00674018" w:rsidRPr="00714FB7" w:rsidRDefault="00674018" w:rsidP="00DE344B">
            <w:pPr>
              <w:autoSpaceDE w:val="0"/>
              <w:autoSpaceDN w:val="0"/>
              <w:adjustRightInd w:val="0"/>
              <w:jc w:val="right"/>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4 154</w:t>
            </w:r>
          </w:p>
        </w:tc>
      </w:tr>
      <w:tr w:rsidR="002D4630" w:rsidRPr="00714FB7" w:rsidTr="00DE344B">
        <w:tc>
          <w:tcPr>
            <w:tcW w:w="2744" w:type="dxa"/>
            <w:shd w:val="clear" w:color="auto" w:fill="auto"/>
          </w:tcPr>
          <w:p w:rsidR="00674018" w:rsidRPr="00714FB7" w:rsidRDefault="00674018" w:rsidP="00DE344B">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EX-MINERS</w:t>
            </w:r>
          </w:p>
        </w:tc>
        <w:tc>
          <w:tcPr>
            <w:tcW w:w="1114" w:type="dxa"/>
            <w:shd w:val="clear" w:color="auto" w:fill="auto"/>
          </w:tcPr>
          <w:p w:rsidR="00674018" w:rsidRPr="00714FB7" w:rsidRDefault="00674018" w:rsidP="00DE344B">
            <w:pPr>
              <w:autoSpaceDE w:val="0"/>
              <w:autoSpaceDN w:val="0"/>
              <w:adjustRightInd w:val="0"/>
              <w:jc w:val="right"/>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140 956</w:t>
            </w:r>
          </w:p>
        </w:tc>
        <w:tc>
          <w:tcPr>
            <w:tcW w:w="1335" w:type="dxa"/>
            <w:shd w:val="clear" w:color="auto" w:fill="auto"/>
          </w:tcPr>
          <w:p w:rsidR="00674018" w:rsidRPr="00714FB7" w:rsidRDefault="00674018" w:rsidP="00DE344B">
            <w:pPr>
              <w:autoSpaceDE w:val="0"/>
              <w:autoSpaceDN w:val="0"/>
              <w:adjustRightInd w:val="0"/>
              <w:jc w:val="right"/>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148 003</w:t>
            </w:r>
          </w:p>
        </w:tc>
        <w:tc>
          <w:tcPr>
            <w:tcW w:w="1335" w:type="dxa"/>
            <w:shd w:val="clear" w:color="auto" w:fill="auto"/>
          </w:tcPr>
          <w:p w:rsidR="00674018" w:rsidRPr="00714FB7" w:rsidRDefault="00674018" w:rsidP="00DE344B">
            <w:pPr>
              <w:autoSpaceDE w:val="0"/>
              <w:autoSpaceDN w:val="0"/>
              <w:adjustRightInd w:val="0"/>
              <w:jc w:val="right"/>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151 300</w:t>
            </w:r>
          </w:p>
        </w:tc>
        <w:tc>
          <w:tcPr>
            <w:tcW w:w="1190" w:type="dxa"/>
            <w:shd w:val="clear" w:color="auto" w:fill="auto"/>
          </w:tcPr>
          <w:p w:rsidR="00674018" w:rsidRPr="00714FB7" w:rsidRDefault="00674018" w:rsidP="00DE344B">
            <w:pPr>
              <w:autoSpaceDE w:val="0"/>
              <w:autoSpaceDN w:val="0"/>
              <w:adjustRightInd w:val="0"/>
              <w:jc w:val="right"/>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159 773</w:t>
            </w:r>
          </w:p>
        </w:tc>
      </w:tr>
      <w:tr w:rsidR="002D4630" w:rsidRPr="00714FB7" w:rsidTr="00DE344B">
        <w:tc>
          <w:tcPr>
            <w:tcW w:w="2744" w:type="dxa"/>
            <w:shd w:val="clear" w:color="auto" w:fill="auto"/>
          </w:tcPr>
          <w:p w:rsidR="00674018" w:rsidRPr="00714FB7" w:rsidRDefault="00674018" w:rsidP="00DE344B">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TUBERCULOSIS</w:t>
            </w:r>
          </w:p>
        </w:tc>
        <w:tc>
          <w:tcPr>
            <w:tcW w:w="1114" w:type="dxa"/>
            <w:shd w:val="clear" w:color="auto" w:fill="auto"/>
          </w:tcPr>
          <w:p w:rsidR="00674018" w:rsidRPr="00714FB7" w:rsidRDefault="00674018" w:rsidP="00DE344B">
            <w:pPr>
              <w:autoSpaceDE w:val="0"/>
              <w:autoSpaceDN w:val="0"/>
              <w:adjustRightInd w:val="0"/>
              <w:jc w:val="right"/>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22 068</w:t>
            </w:r>
          </w:p>
        </w:tc>
        <w:tc>
          <w:tcPr>
            <w:tcW w:w="1335" w:type="dxa"/>
            <w:shd w:val="clear" w:color="auto" w:fill="auto"/>
          </w:tcPr>
          <w:p w:rsidR="00674018" w:rsidRPr="00714FB7" w:rsidRDefault="00674018" w:rsidP="00DE344B">
            <w:pPr>
              <w:autoSpaceDE w:val="0"/>
              <w:autoSpaceDN w:val="0"/>
              <w:adjustRightInd w:val="0"/>
              <w:jc w:val="right"/>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34 445</w:t>
            </w:r>
          </w:p>
        </w:tc>
        <w:tc>
          <w:tcPr>
            <w:tcW w:w="1335" w:type="dxa"/>
            <w:shd w:val="clear" w:color="auto" w:fill="auto"/>
          </w:tcPr>
          <w:p w:rsidR="00674018" w:rsidRPr="00714FB7" w:rsidRDefault="00674018" w:rsidP="00DE344B">
            <w:pPr>
              <w:autoSpaceDE w:val="0"/>
              <w:autoSpaceDN w:val="0"/>
              <w:adjustRightInd w:val="0"/>
              <w:jc w:val="right"/>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36 650</w:t>
            </w:r>
          </w:p>
        </w:tc>
        <w:tc>
          <w:tcPr>
            <w:tcW w:w="1190" w:type="dxa"/>
            <w:shd w:val="clear" w:color="auto" w:fill="auto"/>
          </w:tcPr>
          <w:p w:rsidR="00674018" w:rsidRPr="00714FB7" w:rsidRDefault="00674018" w:rsidP="00DE344B">
            <w:pPr>
              <w:autoSpaceDE w:val="0"/>
              <w:autoSpaceDN w:val="0"/>
              <w:adjustRightInd w:val="0"/>
              <w:jc w:val="right"/>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38 702</w:t>
            </w:r>
          </w:p>
        </w:tc>
      </w:tr>
      <w:tr w:rsidR="002D4630" w:rsidRPr="00714FB7" w:rsidTr="00DE344B">
        <w:tc>
          <w:tcPr>
            <w:tcW w:w="2744" w:type="dxa"/>
            <w:shd w:val="clear" w:color="auto" w:fill="auto"/>
          </w:tcPr>
          <w:p w:rsidR="00674018" w:rsidRPr="00714FB7" w:rsidRDefault="00674018" w:rsidP="00DE344B">
            <w:pPr>
              <w:autoSpaceDE w:val="0"/>
              <w:autoSpaceDN w:val="0"/>
              <w:adjustRightInd w:val="0"/>
              <w:jc w:val="both"/>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EASTERN CAPE</w:t>
            </w:r>
          </w:p>
        </w:tc>
        <w:tc>
          <w:tcPr>
            <w:tcW w:w="1114" w:type="dxa"/>
            <w:shd w:val="clear" w:color="auto" w:fill="auto"/>
          </w:tcPr>
          <w:p w:rsidR="00674018" w:rsidRPr="00714FB7" w:rsidRDefault="00674018" w:rsidP="00DE344B">
            <w:pPr>
              <w:autoSpaceDE w:val="0"/>
              <w:autoSpaceDN w:val="0"/>
              <w:adjustRightInd w:val="0"/>
              <w:jc w:val="right"/>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981</w:t>
            </w:r>
          </w:p>
        </w:tc>
        <w:tc>
          <w:tcPr>
            <w:tcW w:w="1335" w:type="dxa"/>
            <w:shd w:val="clear" w:color="auto" w:fill="auto"/>
          </w:tcPr>
          <w:p w:rsidR="00674018" w:rsidRPr="00714FB7" w:rsidRDefault="00674018" w:rsidP="00DE344B">
            <w:pPr>
              <w:autoSpaceDE w:val="0"/>
              <w:autoSpaceDN w:val="0"/>
              <w:adjustRightInd w:val="0"/>
              <w:jc w:val="right"/>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670</w:t>
            </w:r>
          </w:p>
        </w:tc>
        <w:tc>
          <w:tcPr>
            <w:tcW w:w="1335" w:type="dxa"/>
            <w:shd w:val="clear" w:color="auto" w:fill="auto"/>
          </w:tcPr>
          <w:p w:rsidR="00674018" w:rsidRPr="00714FB7" w:rsidRDefault="00674018" w:rsidP="00DE344B">
            <w:pPr>
              <w:autoSpaceDE w:val="0"/>
              <w:autoSpaceDN w:val="0"/>
              <w:adjustRightInd w:val="0"/>
              <w:jc w:val="right"/>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75</w:t>
            </w:r>
          </w:p>
        </w:tc>
        <w:tc>
          <w:tcPr>
            <w:tcW w:w="1190" w:type="dxa"/>
            <w:shd w:val="clear" w:color="auto" w:fill="auto"/>
          </w:tcPr>
          <w:p w:rsidR="00674018" w:rsidRPr="00714FB7" w:rsidRDefault="00674018" w:rsidP="00DE344B">
            <w:pPr>
              <w:autoSpaceDE w:val="0"/>
              <w:autoSpaceDN w:val="0"/>
              <w:adjustRightInd w:val="0"/>
              <w:jc w:val="right"/>
              <w:rPr>
                <w:rFonts w:ascii="Times New Roman" w:hAnsi="Times New Roman"/>
                <w:color w:val="auto"/>
                <w:spacing w:val="0"/>
                <w:sz w:val="24"/>
                <w:szCs w:val="24"/>
                <w:lang w:eastAsia="en-ZA"/>
              </w:rPr>
            </w:pPr>
            <w:r w:rsidRPr="00714FB7">
              <w:rPr>
                <w:rFonts w:ascii="Times New Roman" w:hAnsi="Times New Roman"/>
                <w:color w:val="auto"/>
                <w:spacing w:val="0"/>
                <w:sz w:val="24"/>
                <w:szCs w:val="24"/>
                <w:lang w:eastAsia="en-ZA"/>
              </w:rPr>
              <w:t>79</w:t>
            </w:r>
          </w:p>
        </w:tc>
      </w:tr>
      <w:tr w:rsidR="002D4630" w:rsidRPr="00714FB7" w:rsidTr="00DE344B">
        <w:tc>
          <w:tcPr>
            <w:tcW w:w="2744" w:type="dxa"/>
            <w:shd w:val="clear" w:color="auto" w:fill="auto"/>
          </w:tcPr>
          <w:p w:rsidR="00674018" w:rsidRPr="00714FB7" w:rsidRDefault="00674018" w:rsidP="00DE344B">
            <w:pPr>
              <w:autoSpaceDE w:val="0"/>
              <w:autoSpaceDN w:val="0"/>
              <w:adjustRightInd w:val="0"/>
              <w:jc w:val="both"/>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TOTAL</w:t>
            </w:r>
          </w:p>
        </w:tc>
        <w:tc>
          <w:tcPr>
            <w:tcW w:w="1114" w:type="dxa"/>
            <w:shd w:val="clear" w:color="auto" w:fill="auto"/>
          </w:tcPr>
          <w:p w:rsidR="00674018" w:rsidRPr="00714FB7" w:rsidRDefault="00674018" w:rsidP="00DE344B">
            <w:pPr>
              <w:autoSpaceDE w:val="0"/>
              <w:autoSpaceDN w:val="0"/>
              <w:adjustRightInd w:val="0"/>
              <w:jc w:val="right"/>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175 347</w:t>
            </w:r>
          </w:p>
        </w:tc>
        <w:tc>
          <w:tcPr>
            <w:tcW w:w="1335" w:type="dxa"/>
            <w:shd w:val="clear" w:color="auto" w:fill="auto"/>
          </w:tcPr>
          <w:p w:rsidR="00674018" w:rsidRPr="00714FB7" w:rsidRDefault="00674018" w:rsidP="00DE344B">
            <w:pPr>
              <w:autoSpaceDE w:val="0"/>
              <w:autoSpaceDN w:val="0"/>
              <w:adjustRightInd w:val="0"/>
              <w:jc w:val="right"/>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195 229</w:t>
            </w:r>
          </w:p>
        </w:tc>
        <w:tc>
          <w:tcPr>
            <w:tcW w:w="1335" w:type="dxa"/>
            <w:shd w:val="clear" w:color="auto" w:fill="auto"/>
          </w:tcPr>
          <w:p w:rsidR="00674018" w:rsidRPr="00714FB7" w:rsidRDefault="00674018" w:rsidP="00DE344B">
            <w:pPr>
              <w:autoSpaceDE w:val="0"/>
              <w:autoSpaceDN w:val="0"/>
              <w:adjustRightInd w:val="0"/>
              <w:jc w:val="right"/>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199 289</w:t>
            </w:r>
          </w:p>
        </w:tc>
        <w:tc>
          <w:tcPr>
            <w:tcW w:w="1190" w:type="dxa"/>
            <w:shd w:val="clear" w:color="auto" w:fill="auto"/>
          </w:tcPr>
          <w:p w:rsidR="00674018" w:rsidRPr="00714FB7" w:rsidRDefault="00674018" w:rsidP="00DE344B">
            <w:pPr>
              <w:autoSpaceDE w:val="0"/>
              <w:autoSpaceDN w:val="0"/>
              <w:adjustRightInd w:val="0"/>
              <w:jc w:val="right"/>
              <w:rPr>
                <w:rFonts w:ascii="Times New Roman" w:hAnsi="Times New Roman"/>
                <w:b/>
                <w:color w:val="auto"/>
                <w:spacing w:val="0"/>
                <w:sz w:val="24"/>
                <w:szCs w:val="24"/>
                <w:lang w:eastAsia="en-ZA"/>
              </w:rPr>
            </w:pPr>
            <w:r w:rsidRPr="00714FB7">
              <w:rPr>
                <w:rFonts w:ascii="Times New Roman" w:hAnsi="Times New Roman"/>
                <w:b/>
                <w:color w:val="auto"/>
                <w:spacing w:val="0"/>
                <w:sz w:val="24"/>
                <w:szCs w:val="24"/>
                <w:lang w:eastAsia="en-ZA"/>
              </w:rPr>
              <w:t>210 481</w:t>
            </w:r>
          </w:p>
        </w:tc>
      </w:tr>
    </w:tbl>
    <w:p w:rsidR="00585E17" w:rsidRPr="00714FB7" w:rsidRDefault="00585E17" w:rsidP="00030895">
      <w:pPr>
        <w:spacing w:line="360" w:lineRule="auto"/>
        <w:jc w:val="both"/>
        <w:rPr>
          <w:rFonts w:ascii="Times New Roman" w:hAnsi="Times New Roman"/>
          <w:color w:val="auto"/>
          <w:spacing w:val="0"/>
          <w:sz w:val="24"/>
          <w:szCs w:val="24"/>
          <w:lang w:eastAsia="en-US"/>
        </w:rPr>
      </w:pPr>
    </w:p>
    <w:p w:rsidR="005E6E02" w:rsidRPr="00714FB7" w:rsidRDefault="005E6E02" w:rsidP="00030895">
      <w:pPr>
        <w:spacing w:line="360" w:lineRule="auto"/>
        <w:jc w:val="both"/>
        <w:rPr>
          <w:rFonts w:ascii="Times New Roman" w:hAnsi="Times New Roman"/>
          <w:color w:val="auto"/>
          <w:spacing w:val="0"/>
          <w:sz w:val="24"/>
          <w:szCs w:val="24"/>
          <w:lang w:eastAsia="en-US"/>
        </w:rPr>
      </w:pPr>
    </w:p>
    <w:p w:rsidR="00CB47D6" w:rsidRPr="00714FB7" w:rsidRDefault="00CB47D6" w:rsidP="00030895">
      <w:p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Expenditure Trends</w:t>
      </w:r>
    </w:p>
    <w:p w:rsidR="00CB47D6" w:rsidRPr="00714FB7" w:rsidRDefault="00CB47D6" w:rsidP="00C90320">
      <w:pPr>
        <w:jc w:val="both"/>
        <w:rPr>
          <w:rFonts w:ascii="Times New Roman" w:hAnsi="Times New Roman"/>
          <w:color w:val="auto"/>
          <w:spacing w:val="0"/>
          <w:sz w:val="24"/>
          <w:szCs w:val="24"/>
          <w:lang w:eastAsia="en-US"/>
        </w:rPr>
      </w:pPr>
    </w:p>
    <w:p w:rsidR="00CB47D6" w:rsidRPr="00714FB7" w:rsidRDefault="00CB47D6" w:rsidP="00030895">
      <w:pPr>
        <w:numPr>
          <w:ilvl w:val="0"/>
          <w:numId w:val="13"/>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Over the medium-term the CCOD’s focus will be on increasing the number of claims paid out in line with the NDP’s vision. To increase the number of claims paid, the CCOD will work with its development partners who are supporting track and trace activities, certifications of claims and provision of BMEs through decentralised services;</w:t>
      </w:r>
    </w:p>
    <w:p w:rsidR="00CB47D6" w:rsidRPr="00714FB7" w:rsidRDefault="00CB47D6" w:rsidP="00030895">
      <w:pPr>
        <w:numPr>
          <w:ilvl w:val="0"/>
          <w:numId w:val="13"/>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The initiatives of fast-tracking the claims payment processes over the MTEF period will result in the expenditure increasing by R16 million by the 2019/20 FY. This makes up 95.9% of the entity’s expenditure over the MTEF.</w:t>
      </w:r>
    </w:p>
    <w:p w:rsidR="00CB47D6" w:rsidRPr="00714FB7" w:rsidRDefault="00CB47D6" w:rsidP="00030895">
      <w:pPr>
        <w:numPr>
          <w:ilvl w:val="0"/>
          <w:numId w:val="13"/>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The initial capital outlay for the establishment of the two One Stop Service Centres is R14 million for both sites. </w:t>
      </w:r>
    </w:p>
    <w:p w:rsidR="00CB47D6" w:rsidRPr="00714FB7" w:rsidRDefault="00CB47D6" w:rsidP="00030895">
      <w:pPr>
        <w:numPr>
          <w:ilvl w:val="0"/>
          <w:numId w:val="13"/>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The Global Fund will provide One Stop Service Centres in Botswana, Lesotho, Mozambique and Swaziland.</w:t>
      </w:r>
    </w:p>
    <w:p w:rsidR="00CB47D6" w:rsidRPr="00714FB7" w:rsidRDefault="00CB47D6" w:rsidP="00030895">
      <w:pPr>
        <w:numPr>
          <w:ilvl w:val="0"/>
          <w:numId w:val="13"/>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There will be an increase in the number of people accessing BMEs from 15 318 in 2015/16 to 22 000 in 2019/20. </w:t>
      </w:r>
    </w:p>
    <w:p w:rsidR="00CB47D6" w:rsidRPr="00714FB7" w:rsidRDefault="00CB47D6" w:rsidP="00030895">
      <w:pPr>
        <w:numPr>
          <w:ilvl w:val="0"/>
          <w:numId w:val="13"/>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Funding for the compensation of pensioners is expected to grow at an average annual rate of 8.9% over the medium-terms from R3.2 million in 2016/17 to R4.2 million in 2019/20.</w:t>
      </w:r>
    </w:p>
    <w:p w:rsidR="00CB47D6" w:rsidRPr="00714FB7" w:rsidRDefault="00CB47D6" w:rsidP="00030895">
      <w:pPr>
        <w:numPr>
          <w:ilvl w:val="0"/>
          <w:numId w:val="13"/>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The CCOD plans to stabilise these inspections at a target of 77 per year in 2019/20.</w:t>
      </w:r>
    </w:p>
    <w:p w:rsidR="006C63CA" w:rsidRPr="00714FB7" w:rsidRDefault="00CB47D6" w:rsidP="00030895">
      <w:pPr>
        <w:numPr>
          <w:ilvl w:val="0"/>
          <w:numId w:val="13"/>
        </w:numPr>
        <w:spacing w:line="360" w:lineRule="auto"/>
        <w:jc w:val="both"/>
        <w:rPr>
          <w:rFonts w:ascii="Times New Roman" w:hAnsi="Times New Roman"/>
          <w:color w:val="auto"/>
          <w:spacing w:val="0"/>
          <w:sz w:val="24"/>
          <w:szCs w:val="24"/>
          <w:lang w:eastAsia="en-US"/>
        </w:rPr>
      </w:pPr>
      <w:r w:rsidRPr="00714FB7">
        <w:rPr>
          <w:rFonts w:ascii="Times New Roman" w:hAnsi="Times New Roman"/>
          <w:color w:val="auto"/>
          <w:spacing w:val="0"/>
          <w:sz w:val="24"/>
          <w:szCs w:val="24"/>
          <w:lang w:eastAsia="en-US"/>
        </w:rPr>
        <w:t xml:space="preserve">The CCOD will gradually increase inspections in controlled mines and works from 58 in 2014/15 to 77 by 2019/20. These inspections will ensure that revenue generated from levies increase at an estimated average annual rate of 5.5 per cent over the medium-term. </w:t>
      </w:r>
    </w:p>
    <w:p w:rsidR="00822128" w:rsidRPr="00714FB7" w:rsidRDefault="00822128" w:rsidP="00C44D68">
      <w:pPr>
        <w:spacing w:line="280" w:lineRule="exact"/>
        <w:jc w:val="both"/>
        <w:rPr>
          <w:rFonts w:ascii="Times New Roman" w:hAnsi="Times New Roman"/>
          <w:color w:val="auto"/>
          <w:spacing w:val="0"/>
          <w:sz w:val="24"/>
          <w:szCs w:val="24"/>
          <w:lang w:eastAsia="en-US"/>
        </w:rPr>
      </w:pPr>
    </w:p>
    <w:p w:rsidR="00822128" w:rsidRPr="00714FB7" w:rsidRDefault="00822128" w:rsidP="00030895">
      <w:pPr>
        <w:pStyle w:val="Heading1"/>
        <w:numPr>
          <w:ilvl w:val="0"/>
          <w:numId w:val="82"/>
        </w:numPr>
        <w:spacing w:line="360" w:lineRule="auto"/>
        <w:jc w:val="both"/>
        <w:rPr>
          <w:rFonts w:ascii="Times New Roman" w:hAnsi="Times New Roman" w:cs="Times New Roman"/>
          <w:color w:val="auto"/>
          <w:sz w:val="24"/>
          <w:szCs w:val="24"/>
          <w:lang w:val="en-US"/>
        </w:rPr>
      </w:pPr>
      <w:r w:rsidRPr="00714FB7">
        <w:rPr>
          <w:rFonts w:ascii="Times New Roman" w:hAnsi="Times New Roman" w:cs="Times New Roman"/>
          <w:color w:val="auto"/>
          <w:sz w:val="24"/>
          <w:szCs w:val="24"/>
          <w:lang w:val="en-US"/>
        </w:rPr>
        <w:t>AUDITOR GENERAL SOUTH AFRICA</w:t>
      </w:r>
      <w:r w:rsidR="00EB2AFA" w:rsidRPr="00714FB7">
        <w:rPr>
          <w:rFonts w:ascii="Times New Roman" w:hAnsi="Times New Roman" w:cs="Times New Roman"/>
          <w:color w:val="auto"/>
          <w:sz w:val="24"/>
          <w:szCs w:val="24"/>
          <w:lang w:val="en-US"/>
        </w:rPr>
        <w:t xml:space="preserve"> </w:t>
      </w:r>
      <w:r w:rsidR="002E0389" w:rsidRPr="00714FB7">
        <w:rPr>
          <w:rFonts w:ascii="Times New Roman" w:hAnsi="Times New Roman" w:cs="Times New Roman"/>
          <w:color w:val="auto"/>
          <w:sz w:val="24"/>
          <w:szCs w:val="24"/>
          <w:lang w:val="en-US"/>
        </w:rPr>
        <w:t>REVIEW OF</w:t>
      </w:r>
      <w:r w:rsidR="00EB2AFA" w:rsidRPr="00714FB7">
        <w:rPr>
          <w:rFonts w:ascii="Times New Roman" w:hAnsi="Times New Roman" w:cs="Times New Roman"/>
          <w:color w:val="auto"/>
          <w:sz w:val="24"/>
          <w:szCs w:val="24"/>
          <w:lang w:val="en-US"/>
        </w:rPr>
        <w:t xml:space="preserve"> THE 201</w:t>
      </w:r>
      <w:r w:rsidRPr="00714FB7">
        <w:rPr>
          <w:rFonts w:ascii="Times New Roman" w:hAnsi="Times New Roman" w:cs="Times New Roman"/>
          <w:color w:val="auto"/>
          <w:sz w:val="24"/>
          <w:szCs w:val="24"/>
          <w:lang w:val="en-US"/>
        </w:rPr>
        <w:t>7</w:t>
      </w:r>
      <w:r w:rsidR="00EB2AFA" w:rsidRPr="00714FB7">
        <w:rPr>
          <w:rFonts w:ascii="Times New Roman" w:hAnsi="Times New Roman" w:cs="Times New Roman"/>
          <w:color w:val="auto"/>
          <w:sz w:val="24"/>
          <w:szCs w:val="24"/>
          <w:lang w:val="en-US"/>
        </w:rPr>
        <w:t>/1</w:t>
      </w:r>
      <w:r w:rsidRPr="00714FB7">
        <w:rPr>
          <w:rFonts w:ascii="Times New Roman" w:hAnsi="Times New Roman" w:cs="Times New Roman"/>
          <w:color w:val="auto"/>
          <w:sz w:val="24"/>
          <w:szCs w:val="24"/>
          <w:lang w:val="en-US"/>
        </w:rPr>
        <w:t xml:space="preserve">8 </w:t>
      </w:r>
      <w:r w:rsidR="00EB2AFA" w:rsidRPr="00714FB7">
        <w:rPr>
          <w:rFonts w:ascii="Times New Roman" w:hAnsi="Times New Roman" w:cs="Times New Roman"/>
          <w:color w:val="auto"/>
          <w:sz w:val="24"/>
          <w:szCs w:val="24"/>
          <w:lang w:val="en-US"/>
        </w:rPr>
        <w:t>ANNUAL PERFORMANCE PLAN OF THE DEPARTMENT</w:t>
      </w:r>
    </w:p>
    <w:p w:rsidR="00822128" w:rsidRPr="00714FB7" w:rsidRDefault="00822128" w:rsidP="00C44D68">
      <w:pPr>
        <w:pStyle w:val="Heading1"/>
        <w:spacing w:line="360" w:lineRule="auto"/>
        <w:jc w:val="both"/>
        <w:rPr>
          <w:rFonts w:ascii="Times New Roman" w:hAnsi="Times New Roman" w:cs="Times New Roman"/>
          <w:color w:val="auto"/>
          <w:sz w:val="24"/>
          <w:szCs w:val="24"/>
          <w:lang w:val="en-US"/>
        </w:rPr>
      </w:pPr>
    </w:p>
    <w:p w:rsidR="00822128" w:rsidRPr="00714FB7" w:rsidRDefault="00822128" w:rsidP="00CE5650">
      <w:pPr>
        <w:pStyle w:val="Heading1"/>
        <w:spacing w:line="360" w:lineRule="auto"/>
        <w:jc w:val="both"/>
        <w:rPr>
          <w:rFonts w:ascii="Times New Roman" w:hAnsi="Times New Roman" w:cs="Times New Roman"/>
          <w:b w:val="0"/>
          <w:color w:val="auto"/>
          <w:sz w:val="24"/>
          <w:szCs w:val="24"/>
          <w:lang w:val="en-US"/>
        </w:rPr>
      </w:pPr>
      <w:r w:rsidRPr="00714FB7">
        <w:rPr>
          <w:rFonts w:ascii="Times New Roman" w:hAnsi="Times New Roman" w:cs="Times New Roman"/>
          <w:b w:val="0"/>
          <w:color w:val="auto"/>
          <w:sz w:val="24"/>
          <w:szCs w:val="24"/>
          <w:lang w:val="en-US"/>
        </w:rPr>
        <w:t>According to the A</w:t>
      </w:r>
      <w:r w:rsidR="002E0389" w:rsidRPr="00714FB7">
        <w:rPr>
          <w:rFonts w:ascii="Times New Roman" w:hAnsi="Times New Roman" w:cs="Times New Roman"/>
          <w:b w:val="0"/>
          <w:color w:val="auto"/>
          <w:sz w:val="24"/>
          <w:szCs w:val="24"/>
          <w:lang w:val="en-US"/>
        </w:rPr>
        <w:t xml:space="preserve">uditor </w:t>
      </w:r>
      <w:r w:rsidRPr="00714FB7">
        <w:rPr>
          <w:rFonts w:ascii="Times New Roman" w:hAnsi="Times New Roman" w:cs="Times New Roman"/>
          <w:b w:val="0"/>
          <w:color w:val="auto"/>
          <w:sz w:val="24"/>
          <w:szCs w:val="24"/>
          <w:lang w:val="en-US"/>
        </w:rPr>
        <w:t>G</w:t>
      </w:r>
      <w:r w:rsidR="002E0389" w:rsidRPr="00714FB7">
        <w:rPr>
          <w:rFonts w:ascii="Times New Roman" w:hAnsi="Times New Roman" w:cs="Times New Roman"/>
          <w:b w:val="0"/>
          <w:color w:val="auto"/>
          <w:sz w:val="24"/>
          <w:szCs w:val="24"/>
          <w:lang w:val="en-US"/>
        </w:rPr>
        <w:t>eneral (AG)</w:t>
      </w:r>
      <w:r w:rsidRPr="00714FB7">
        <w:rPr>
          <w:rFonts w:ascii="Times New Roman" w:hAnsi="Times New Roman" w:cs="Times New Roman"/>
          <w:b w:val="0"/>
          <w:color w:val="auto"/>
          <w:sz w:val="24"/>
          <w:szCs w:val="24"/>
          <w:lang w:val="en-US"/>
        </w:rPr>
        <w:t xml:space="preserve"> </w:t>
      </w:r>
      <w:r w:rsidR="001C2246" w:rsidRPr="00714FB7">
        <w:rPr>
          <w:rFonts w:ascii="Times New Roman" w:hAnsi="Times New Roman" w:cs="Times New Roman"/>
          <w:b w:val="0"/>
          <w:color w:val="auto"/>
          <w:sz w:val="24"/>
          <w:szCs w:val="24"/>
          <w:lang w:val="en-US"/>
        </w:rPr>
        <w:t>new</w:t>
      </w:r>
      <w:r w:rsidRPr="00714FB7">
        <w:rPr>
          <w:rFonts w:ascii="Times New Roman" w:hAnsi="Times New Roman" w:cs="Times New Roman"/>
          <w:b w:val="0"/>
          <w:color w:val="auto"/>
          <w:sz w:val="24"/>
          <w:szCs w:val="24"/>
          <w:lang w:val="en-US"/>
        </w:rPr>
        <w:t xml:space="preserve"> indicators were included in the APP as follows: </w:t>
      </w:r>
    </w:p>
    <w:p w:rsidR="00822128" w:rsidRPr="00714FB7" w:rsidRDefault="00822128">
      <w:pPr>
        <w:pStyle w:val="Heading1"/>
        <w:numPr>
          <w:ilvl w:val="0"/>
          <w:numId w:val="69"/>
        </w:numPr>
        <w:spacing w:line="360" w:lineRule="auto"/>
        <w:jc w:val="both"/>
        <w:rPr>
          <w:rFonts w:ascii="Times New Roman" w:hAnsi="Times New Roman" w:cs="Times New Roman"/>
          <w:b w:val="0"/>
          <w:color w:val="auto"/>
          <w:sz w:val="24"/>
          <w:szCs w:val="24"/>
          <w:lang w:val="en-US"/>
        </w:rPr>
      </w:pPr>
      <w:r w:rsidRPr="00714FB7">
        <w:rPr>
          <w:rFonts w:ascii="Times New Roman" w:hAnsi="Times New Roman" w:cs="Times New Roman"/>
          <w:b w:val="0"/>
          <w:color w:val="auto"/>
          <w:sz w:val="24"/>
          <w:szCs w:val="24"/>
          <w:lang w:val="en-US"/>
        </w:rPr>
        <w:t>Programme 3</w:t>
      </w:r>
      <w:r w:rsidR="001C2246" w:rsidRPr="00714FB7">
        <w:rPr>
          <w:rFonts w:ascii="Times New Roman" w:hAnsi="Times New Roman" w:cs="Times New Roman"/>
          <w:b w:val="0"/>
          <w:color w:val="auto"/>
          <w:sz w:val="24"/>
          <w:szCs w:val="24"/>
          <w:lang w:val="en-US"/>
        </w:rPr>
        <w:t>:</w:t>
      </w:r>
      <w:r w:rsidRPr="00714FB7">
        <w:rPr>
          <w:rFonts w:ascii="Times New Roman" w:hAnsi="Times New Roman" w:cs="Times New Roman"/>
          <w:b w:val="0"/>
          <w:color w:val="auto"/>
          <w:sz w:val="24"/>
          <w:szCs w:val="24"/>
          <w:lang w:val="en-US"/>
        </w:rPr>
        <w:t xml:space="preserve"> HIV/AIDS and Maternal Child Health</w:t>
      </w:r>
      <w:r w:rsidR="001C2246" w:rsidRPr="00714FB7">
        <w:rPr>
          <w:rFonts w:ascii="Times New Roman" w:hAnsi="Times New Roman" w:cs="Times New Roman"/>
          <w:b w:val="0"/>
          <w:color w:val="auto"/>
          <w:sz w:val="24"/>
          <w:szCs w:val="24"/>
          <w:lang w:val="en-US"/>
        </w:rPr>
        <w:t xml:space="preserve">, </w:t>
      </w:r>
      <w:r w:rsidRPr="00714FB7">
        <w:rPr>
          <w:rFonts w:ascii="Times New Roman" w:hAnsi="Times New Roman" w:cs="Times New Roman"/>
          <w:b w:val="0"/>
          <w:color w:val="auto"/>
          <w:sz w:val="24"/>
          <w:szCs w:val="24"/>
          <w:lang w:val="en-US"/>
        </w:rPr>
        <w:t>11 indicators and targets.</w:t>
      </w:r>
    </w:p>
    <w:p w:rsidR="00822128" w:rsidRPr="00714FB7" w:rsidRDefault="00822128" w:rsidP="00030895">
      <w:pPr>
        <w:pStyle w:val="ListParagraph"/>
        <w:numPr>
          <w:ilvl w:val="0"/>
          <w:numId w:val="69"/>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Programme 5</w:t>
      </w:r>
      <w:r w:rsidR="001C2246" w:rsidRPr="00714FB7">
        <w:rPr>
          <w:rFonts w:ascii="Times New Roman" w:hAnsi="Times New Roman"/>
          <w:color w:val="auto"/>
          <w:sz w:val="24"/>
          <w:szCs w:val="24"/>
          <w:lang w:val="en-US"/>
        </w:rPr>
        <w:t xml:space="preserve">: </w:t>
      </w:r>
      <w:r w:rsidRPr="00714FB7">
        <w:rPr>
          <w:rFonts w:ascii="Times New Roman" w:hAnsi="Times New Roman"/>
          <w:color w:val="auto"/>
          <w:sz w:val="24"/>
          <w:szCs w:val="24"/>
          <w:lang w:val="en-US"/>
        </w:rPr>
        <w:t>Hospital, tertiary health services and human resource development</w:t>
      </w:r>
      <w:r w:rsidR="001C2246" w:rsidRPr="00714FB7">
        <w:rPr>
          <w:rFonts w:ascii="Times New Roman" w:hAnsi="Times New Roman"/>
          <w:color w:val="auto"/>
          <w:sz w:val="24"/>
          <w:szCs w:val="24"/>
          <w:lang w:val="en-US"/>
        </w:rPr>
        <w:t xml:space="preserve">, </w:t>
      </w:r>
      <w:r w:rsidR="000D1E7C" w:rsidRPr="00714FB7">
        <w:rPr>
          <w:rFonts w:ascii="Times New Roman" w:hAnsi="Times New Roman"/>
          <w:color w:val="auto"/>
          <w:sz w:val="24"/>
          <w:szCs w:val="24"/>
          <w:lang w:val="en-US"/>
        </w:rPr>
        <w:t xml:space="preserve">six </w:t>
      </w:r>
      <w:r w:rsidRPr="00714FB7">
        <w:rPr>
          <w:rFonts w:ascii="Times New Roman" w:hAnsi="Times New Roman"/>
          <w:color w:val="auto"/>
          <w:sz w:val="24"/>
          <w:szCs w:val="24"/>
          <w:lang w:val="en-US"/>
        </w:rPr>
        <w:t>indicators and targets.</w:t>
      </w:r>
    </w:p>
    <w:p w:rsidR="00822128" w:rsidRPr="00714FB7" w:rsidRDefault="00822128" w:rsidP="00030895">
      <w:pPr>
        <w:spacing w:line="360" w:lineRule="auto"/>
        <w:jc w:val="both"/>
        <w:rPr>
          <w:rFonts w:ascii="Times New Roman" w:hAnsi="Times New Roman"/>
          <w:color w:val="auto"/>
          <w:sz w:val="24"/>
          <w:szCs w:val="24"/>
          <w:lang w:val="en-US"/>
        </w:rPr>
      </w:pPr>
    </w:p>
    <w:p w:rsidR="00822128" w:rsidRPr="00714FB7" w:rsidRDefault="00822128" w:rsidP="00030895">
      <w:p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health sector has customized indicators</w:t>
      </w:r>
      <w:r w:rsidR="00B25704" w:rsidRPr="00714FB7">
        <w:rPr>
          <w:rFonts w:ascii="Times New Roman" w:hAnsi="Times New Roman"/>
          <w:color w:val="auto"/>
          <w:sz w:val="24"/>
          <w:szCs w:val="24"/>
          <w:lang w:val="en-US"/>
        </w:rPr>
        <w:t xml:space="preserve"> (</w:t>
      </w:r>
      <w:r w:rsidRPr="00714FB7">
        <w:rPr>
          <w:rFonts w:ascii="Times New Roman" w:hAnsi="Times New Roman"/>
          <w:color w:val="auto"/>
          <w:sz w:val="24"/>
          <w:szCs w:val="24"/>
          <w:lang w:val="en-US"/>
        </w:rPr>
        <w:t>27 indicators</w:t>
      </w:r>
      <w:r w:rsidR="00B25704" w:rsidRPr="00714FB7">
        <w:rPr>
          <w:rFonts w:ascii="Times New Roman" w:hAnsi="Times New Roman"/>
          <w:color w:val="auto"/>
          <w:sz w:val="24"/>
          <w:szCs w:val="24"/>
          <w:lang w:val="en-US"/>
        </w:rPr>
        <w:t>)</w:t>
      </w:r>
      <w:r w:rsidRPr="00714FB7">
        <w:rPr>
          <w:rFonts w:ascii="Times New Roman" w:hAnsi="Times New Roman"/>
          <w:color w:val="auto"/>
          <w:sz w:val="24"/>
          <w:szCs w:val="24"/>
          <w:lang w:val="en-US"/>
        </w:rPr>
        <w:t xml:space="preserve"> were removed from </w:t>
      </w:r>
      <w:r w:rsidR="005F7A0E" w:rsidRPr="00714FB7">
        <w:rPr>
          <w:rFonts w:ascii="Times New Roman" w:hAnsi="Times New Roman"/>
          <w:color w:val="auto"/>
          <w:sz w:val="24"/>
          <w:szCs w:val="24"/>
          <w:lang w:val="en-US"/>
        </w:rPr>
        <w:t xml:space="preserve">Programme </w:t>
      </w:r>
      <w:r w:rsidRPr="00714FB7">
        <w:rPr>
          <w:rFonts w:ascii="Times New Roman" w:hAnsi="Times New Roman"/>
          <w:color w:val="auto"/>
          <w:sz w:val="24"/>
          <w:szCs w:val="24"/>
          <w:lang w:val="en-US"/>
        </w:rPr>
        <w:t>3 and included in Annexure to the APP to track the performance of health services.</w:t>
      </w:r>
      <w:r w:rsidR="00494815" w:rsidRPr="00714FB7">
        <w:rPr>
          <w:rFonts w:ascii="Times New Roman" w:hAnsi="Times New Roman"/>
          <w:color w:val="auto"/>
          <w:sz w:val="24"/>
          <w:szCs w:val="24"/>
          <w:lang w:val="en-US"/>
        </w:rPr>
        <w:t xml:space="preserve">  These indicators are included in </w:t>
      </w:r>
      <w:r w:rsidR="005F7A0E" w:rsidRPr="00714FB7">
        <w:rPr>
          <w:rFonts w:ascii="Times New Roman" w:hAnsi="Times New Roman"/>
          <w:color w:val="auto"/>
          <w:sz w:val="24"/>
          <w:szCs w:val="24"/>
          <w:lang w:val="en-US"/>
        </w:rPr>
        <w:t>P</w:t>
      </w:r>
      <w:r w:rsidR="00494815" w:rsidRPr="00714FB7">
        <w:rPr>
          <w:rFonts w:ascii="Times New Roman" w:hAnsi="Times New Roman"/>
          <w:color w:val="auto"/>
          <w:sz w:val="24"/>
          <w:szCs w:val="24"/>
          <w:lang w:val="en-US"/>
        </w:rPr>
        <w:t>rogramme 1 and 2 of the provincial APP.</w:t>
      </w:r>
      <w:r w:rsidR="004044A9" w:rsidRPr="00714FB7">
        <w:rPr>
          <w:rFonts w:ascii="Times New Roman" w:hAnsi="Times New Roman"/>
          <w:color w:val="auto"/>
          <w:sz w:val="24"/>
          <w:szCs w:val="24"/>
          <w:lang w:val="en-US"/>
        </w:rPr>
        <w:t xml:space="preserve"> The AG recommends</w:t>
      </w:r>
      <w:r w:rsidR="00B25704" w:rsidRPr="00714FB7">
        <w:rPr>
          <w:rFonts w:ascii="Times New Roman" w:hAnsi="Times New Roman"/>
          <w:color w:val="auto"/>
          <w:sz w:val="24"/>
          <w:szCs w:val="24"/>
          <w:lang w:val="en-US"/>
        </w:rPr>
        <w:t xml:space="preserve"> that the Committee establishes a process to enable the tracking of performance of the indicators that have been removed from the </w:t>
      </w:r>
      <w:r w:rsidR="004044A9" w:rsidRPr="00714FB7">
        <w:rPr>
          <w:rFonts w:ascii="Times New Roman" w:hAnsi="Times New Roman"/>
          <w:color w:val="auto"/>
          <w:sz w:val="24"/>
          <w:szCs w:val="24"/>
          <w:lang w:val="en-US"/>
        </w:rPr>
        <w:t>20</w:t>
      </w:r>
      <w:r w:rsidR="00B25704" w:rsidRPr="00714FB7">
        <w:rPr>
          <w:rFonts w:ascii="Times New Roman" w:hAnsi="Times New Roman"/>
          <w:color w:val="auto"/>
          <w:sz w:val="24"/>
          <w:szCs w:val="24"/>
          <w:lang w:val="en-US"/>
        </w:rPr>
        <w:t>17/18 APP</w:t>
      </w:r>
      <w:r w:rsidR="004044A9" w:rsidRPr="00714FB7">
        <w:rPr>
          <w:rFonts w:ascii="Times New Roman" w:hAnsi="Times New Roman"/>
          <w:color w:val="auto"/>
          <w:sz w:val="24"/>
          <w:szCs w:val="24"/>
          <w:lang w:val="en-US"/>
        </w:rPr>
        <w:t xml:space="preserve"> to ensure accountability of their performance.</w:t>
      </w:r>
    </w:p>
    <w:p w:rsidR="00494815" w:rsidRPr="00714FB7" w:rsidRDefault="00494815" w:rsidP="00C44D68">
      <w:pPr>
        <w:jc w:val="both"/>
        <w:rPr>
          <w:rFonts w:ascii="Times New Roman" w:hAnsi="Times New Roman"/>
          <w:color w:val="auto"/>
          <w:sz w:val="24"/>
          <w:szCs w:val="24"/>
          <w:lang w:val="en-US"/>
        </w:rPr>
      </w:pPr>
    </w:p>
    <w:p w:rsidR="00895960" w:rsidRPr="00714FB7" w:rsidRDefault="00895960" w:rsidP="00C44D68">
      <w:pPr>
        <w:jc w:val="both"/>
        <w:rPr>
          <w:rFonts w:ascii="Times New Roman" w:hAnsi="Times New Roman"/>
          <w:color w:val="auto"/>
          <w:sz w:val="24"/>
          <w:szCs w:val="24"/>
          <w:lang w:val="en-US"/>
        </w:rPr>
      </w:pPr>
    </w:p>
    <w:p w:rsidR="00494815" w:rsidRPr="00714FB7" w:rsidRDefault="00494815" w:rsidP="00030895">
      <w:pPr>
        <w:pStyle w:val="ListParagraph"/>
        <w:numPr>
          <w:ilvl w:val="0"/>
          <w:numId w:val="82"/>
        </w:numPr>
        <w:ind w:left="540" w:hanging="540"/>
        <w:jc w:val="both"/>
        <w:rPr>
          <w:rFonts w:ascii="Times New Roman" w:hAnsi="Times New Roman"/>
          <w:b/>
          <w:color w:val="auto"/>
          <w:sz w:val="24"/>
          <w:szCs w:val="24"/>
          <w:lang w:val="en-US"/>
        </w:rPr>
      </w:pPr>
      <w:r w:rsidRPr="00714FB7">
        <w:rPr>
          <w:rFonts w:ascii="Times New Roman" w:hAnsi="Times New Roman"/>
          <w:b/>
          <w:color w:val="auto"/>
          <w:sz w:val="24"/>
          <w:szCs w:val="24"/>
          <w:lang w:val="en-US"/>
        </w:rPr>
        <w:t xml:space="preserve">FINANCIAL AND FISCAL COMMISSION (FFC) ASSESSMENT OF THE HEALTH SECTOR APP AND BUDGET </w:t>
      </w:r>
    </w:p>
    <w:p w:rsidR="00494815" w:rsidRPr="00714FB7" w:rsidRDefault="00494815" w:rsidP="00C44D68">
      <w:pPr>
        <w:jc w:val="both"/>
        <w:rPr>
          <w:rFonts w:ascii="Times New Roman" w:hAnsi="Times New Roman"/>
          <w:b/>
          <w:color w:val="auto"/>
          <w:sz w:val="24"/>
          <w:szCs w:val="24"/>
          <w:lang w:val="en-US"/>
        </w:rPr>
      </w:pPr>
    </w:p>
    <w:p w:rsidR="00494815" w:rsidRPr="00714FB7" w:rsidRDefault="00494815" w:rsidP="00030895">
      <w:p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According to the FFC</w:t>
      </w:r>
      <w:r w:rsidR="008E5D18" w:rsidRPr="00714FB7">
        <w:rPr>
          <w:rFonts w:ascii="Times New Roman" w:hAnsi="Times New Roman"/>
          <w:color w:val="auto"/>
          <w:sz w:val="24"/>
          <w:szCs w:val="24"/>
          <w:lang w:val="en-US"/>
        </w:rPr>
        <w:t xml:space="preserve">, there are issues that affect the health </w:t>
      </w:r>
      <w:r w:rsidR="002E0389" w:rsidRPr="00714FB7">
        <w:rPr>
          <w:rFonts w:ascii="Times New Roman" w:hAnsi="Times New Roman"/>
          <w:color w:val="auto"/>
          <w:sz w:val="24"/>
          <w:szCs w:val="24"/>
          <w:lang w:val="en-US"/>
        </w:rPr>
        <w:t xml:space="preserve">sector </w:t>
      </w:r>
      <w:r w:rsidR="008E5D18" w:rsidRPr="00714FB7">
        <w:rPr>
          <w:rFonts w:ascii="Times New Roman" w:hAnsi="Times New Roman"/>
          <w:color w:val="auto"/>
          <w:sz w:val="24"/>
          <w:szCs w:val="24"/>
          <w:lang w:val="en-US"/>
        </w:rPr>
        <w:t xml:space="preserve">performance.  These include: </w:t>
      </w:r>
    </w:p>
    <w:p w:rsidR="008E5D18" w:rsidRPr="00714FB7" w:rsidRDefault="008E5D18" w:rsidP="00030895">
      <w:pPr>
        <w:pStyle w:val="ListParagraph"/>
        <w:numPr>
          <w:ilvl w:val="0"/>
          <w:numId w:val="70"/>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Coordinated planning within and across health departments and entities.</w:t>
      </w:r>
    </w:p>
    <w:p w:rsidR="008E5D18" w:rsidRPr="00714FB7" w:rsidRDefault="008E5D18" w:rsidP="00030895">
      <w:pPr>
        <w:pStyle w:val="ListParagraph"/>
        <w:numPr>
          <w:ilvl w:val="0"/>
          <w:numId w:val="70"/>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Decentralization of funding to hospitals.</w:t>
      </w:r>
    </w:p>
    <w:p w:rsidR="008E5D18" w:rsidRPr="00714FB7" w:rsidRDefault="008E5D18" w:rsidP="00030895">
      <w:pPr>
        <w:pStyle w:val="ListParagraph"/>
        <w:numPr>
          <w:ilvl w:val="0"/>
          <w:numId w:val="70"/>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Alignment of health facility allocations to health needs, plans and priorities.</w:t>
      </w:r>
    </w:p>
    <w:p w:rsidR="008E5D18" w:rsidRPr="00714FB7" w:rsidRDefault="008E5D18" w:rsidP="00030895">
      <w:pPr>
        <w:pStyle w:val="ListParagraph"/>
        <w:numPr>
          <w:ilvl w:val="0"/>
          <w:numId w:val="70"/>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Multiple grant funding streams for the same budget line item.</w:t>
      </w:r>
    </w:p>
    <w:p w:rsidR="008E5D18" w:rsidRPr="00714FB7" w:rsidRDefault="008E5D18" w:rsidP="00030895">
      <w:pPr>
        <w:pStyle w:val="ListParagraph"/>
        <w:numPr>
          <w:ilvl w:val="0"/>
          <w:numId w:val="70"/>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Skewed distribution of health facilities (across provinces and within districts)</w:t>
      </w:r>
    </w:p>
    <w:p w:rsidR="005344D9" w:rsidRPr="00714FB7" w:rsidRDefault="005344D9" w:rsidP="00030895">
      <w:pPr>
        <w:spacing w:line="360" w:lineRule="auto"/>
        <w:jc w:val="both"/>
        <w:rPr>
          <w:rFonts w:ascii="Times New Roman" w:hAnsi="Times New Roman"/>
          <w:color w:val="auto"/>
          <w:sz w:val="24"/>
          <w:szCs w:val="24"/>
          <w:lang w:val="en-US"/>
        </w:rPr>
      </w:pPr>
    </w:p>
    <w:p w:rsidR="00F022AC" w:rsidRPr="00714FB7" w:rsidRDefault="005344D9" w:rsidP="00030895">
      <w:p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FFC highlighted that consolidated health spending has grown from R171 billion in 2016/17 to R217 billion in 2019/20.  Real growth in health budget is lower at 2% given weak economic environment. </w:t>
      </w:r>
      <w:r w:rsidR="002203BF" w:rsidRPr="00714FB7">
        <w:rPr>
          <w:rFonts w:ascii="Times New Roman" w:hAnsi="Times New Roman"/>
          <w:color w:val="auto"/>
          <w:sz w:val="24"/>
          <w:szCs w:val="24"/>
          <w:lang w:val="en-US"/>
        </w:rPr>
        <w:t>In 2017</w:t>
      </w:r>
      <w:r w:rsidRPr="00714FB7">
        <w:rPr>
          <w:rFonts w:ascii="Times New Roman" w:hAnsi="Times New Roman"/>
          <w:color w:val="auto"/>
          <w:sz w:val="24"/>
          <w:szCs w:val="24"/>
          <w:lang w:val="en-US"/>
        </w:rPr>
        <w:t xml:space="preserve"> growth in spending is driven by expanded provision of antiretroviral and establishment of the </w:t>
      </w:r>
      <w:r w:rsidR="0007094D" w:rsidRPr="00714FB7">
        <w:rPr>
          <w:rFonts w:ascii="Times New Roman" w:hAnsi="Times New Roman"/>
          <w:color w:val="auto"/>
          <w:sz w:val="24"/>
          <w:szCs w:val="24"/>
          <w:lang w:val="en-US"/>
        </w:rPr>
        <w:t>SAHPRA</w:t>
      </w:r>
      <w:r w:rsidR="00F022AC" w:rsidRPr="00714FB7">
        <w:rPr>
          <w:rFonts w:ascii="Times New Roman" w:hAnsi="Times New Roman"/>
          <w:color w:val="auto"/>
          <w:sz w:val="24"/>
          <w:szCs w:val="24"/>
          <w:lang w:val="en-US"/>
        </w:rPr>
        <w:t>.</w:t>
      </w:r>
    </w:p>
    <w:p w:rsidR="00F022AC" w:rsidRPr="00714FB7" w:rsidRDefault="00F022AC" w:rsidP="00030895">
      <w:pPr>
        <w:spacing w:line="360" w:lineRule="auto"/>
        <w:jc w:val="both"/>
        <w:rPr>
          <w:rFonts w:ascii="Times New Roman" w:hAnsi="Times New Roman"/>
          <w:color w:val="auto"/>
          <w:sz w:val="24"/>
          <w:szCs w:val="24"/>
          <w:lang w:val="en-US"/>
        </w:rPr>
      </w:pPr>
    </w:p>
    <w:p w:rsidR="00F022AC" w:rsidRPr="00714FB7" w:rsidRDefault="00F022AC" w:rsidP="00030895">
      <w:p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Conditional grants constitute 20% of consolidated health budget</w:t>
      </w:r>
      <w:r w:rsidR="002203BF" w:rsidRPr="00714FB7">
        <w:rPr>
          <w:rFonts w:ascii="Times New Roman" w:hAnsi="Times New Roman"/>
          <w:color w:val="auto"/>
          <w:sz w:val="24"/>
          <w:szCs w:val="24"/>
          <w:lang w:val="en-US"/>
        </w:rPr>
        <w:t xml:space="preserve"> with an</w:t>
      </w:r>
      <w:r w:rsidRPr="00714FB7">
        <w:rPr>
          <w:rFonts w:ascii="Times New Roman" w:hAnsi="Times New Roman"/>
          <w:color w:val="auto"/>
          <w:sz w:val="24"/>
          <w:szCs w:val="24"/>
          <w:lang w:val="en-US"/>
        </w:rPr>
        <w:t xml:space="preserve"> average nominal </w:t>
      </w:r>
      <w:r w:rsidR="002203BF" w:rsidRPr="00714FB7">
        <w:rPr>
          <w:rFonts w:ascii="Times New Roman" w:hAnsi="Times New Roman"/>
          <w:color w:val="auto"/>
          <w:sz w:val="24"/>
          <w:szCs w:val="24"/>
          <w:lang w:val="en-US"/>
        </w:rPr>
        <w:t xml:space="preserve">growth </w:t>
      </w:r>
      <w:r w:rsidRPr="00714FB7">
        <w:rPr>
          <w:rFonts w:ascii="Times New Roman" w:hAnsi="Times New Roman"/>
          <w:color w:val="auto"/>
          <w:sz w:val="24"/>
          <w:szCs w:val="24"/>
          <w:lang w:val="en-US"/>
        </w:rPr>
        <w:t>rate</w:t>
      </w:r>
      <w:r w:rsidR="002203BF" w:rsidRPr="00714FB7">
        <w:rPr>
          <w:rFonts w:ascii="Times New Roman" w:hAnsi="Times New Roman"/>
          <w:color w:val="auto"/>
          <w:sz w:val="24"/>
          <w:szCs w:val="24"/>
          <w:lang w:val="en-US"/>
        </w:rPr>
        <w:t xml:space="preserve"> of</w:t>
      </w:r>
      <w:r w:rsidRPr="00714FB7">
        <w:rPr>
          <w:rFonts w:ascii="Times New Roman" w:hAnsi="Times New Roman"/>
          <w:color w:val="auto"/>
          <w:sz w:val="24"/>
          <w:szCs w:val="24"/>
          <w:lang w:val="en-US"/>
        </w:rPr>
        <w:t xml:space="preserve"> 6%.  Inflationary growth adjustment will only be sufficient to maintain current service levels.</w:t>
      </w:r>
    </w:p>
    <w:p w:rsidR="00B027FF" w:rsidRPr="00714FB7" w:rsidRDefault="00B027FF" w:rsidP="00030895">
      <w:pPr>
        <w:spacing w:line="360" w:lineRule="auto"/>
        <w:jc w:val="both"/>
        <w:rPr>
          <w:rFonts w:ascii="Times New Roman" w:hAnsi="Times New Roman"/>
          <w:color w:val="auto"/>
          <w:sz w:val="24"/>
          <w:szCs w:val="24"/>
          <w:lang w:val="en-US"/>
        </w:rPr>
      </w:pPr>
    </w:p>
    <w:p w:rsidR="00C52278" w:rsidRPr="00714FB7" w:rsidRDefault="00887C57" w:rsidP="00030895">
      <w:p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A </w:t>
      </w:r>
      <w:r w:rsidR="00B027FF" w:rsidRPr="00714FB7">
        <w:rPr>
          <w:rFonts w:ascii="Times New Roman" w:hAnsi="Times New Roman"/>
          <w:color w:val="auto"/>
          <w:sz w:val="24"/>
          <w:szCs w:val="24"/>
          <w:lang w:val="en-US"/>
        </w:rPr>
        <w:t>significant proportion (44%) of provincial budget</w:t>
      </w:r>
      <w:r w:rsidRPr="00714FB7">
        <w:rPr>
          <w:rFonts w:ascii="Times New Roman" w:hAnsi="Times New Roman"/>
          <w:color w:val="auto"/>
          <w:sz w:val="24"/>
          <w:szCs w:val="24"/>
          <w:lang w:val="en-US"/>
        </w:rPr>
        <w:t>s</w:t>
      </w:r>
      <w:r w:rsidR="00B027FF" w:rsidRPr="00714FB7">
        <w:rPr>
          <w:rFonts w:ascii="Times New Roman" w:hAnsi="Times New Roman"/>
          <w:color w:val="auto"/>
          <w:sz w:val="24"/>
          <w:szCs w:val="24"/>
          <w:lang w:val="en-US"/>
        </w:rPr>
        <w:t xml:space="preserve"> is allocated to the District Health Service programme.  This programme is responsible for addressing healthcare services identified within various strategic plans.  Provincial APP performance indicators are service delivery oriented and more attuned to broader health strategic goals.</w:t>
      </w:r>
      <w:r w:rsidR="00C52278" w:rsidRPr="00714FB7">
        <w:rPr>
          <w:rFonts w:ascii="Times New Roman" w:hAnsi="Times New Roman"/>
          <w:color w:val="auto"/>
          <w:sz w:val="24"/>
          <w:szCs w:val="24"/>
          <w:lang w:val="en-US"/>
        </w:rPr>
        <w:t xml:space="preserve">  The FFC further noted that there is an evident lack of performance information to monitor progress on delivery.</w:t>
      </w:r>
    </w:p>
    <w:p w:rsidR="00B027FF" w:rsidRPr="00714FB7" w:rsidRDefault="00B027FF" w:rsidP="00030895">
      <w:pPr>
        <w:spacing w:line="360" w:lineRule="auto"/>
        <w:jc w:val="both"/>
        <w:rPr>
          <w:rFonts w:ascii="Times New Roman" w:hAnsi="Times New Roman"/>
          <w:color w:val="auto"/>
          <w:sz w:val="24"/>
          <w:szCs w:val="24"/>
          <w:lang w:val="en-US"/>
        </w:rPr>
      </w:pPr>
    </w:p>
    <w:p w:rsidR="00B027FF" w:rsidRPr="00714FB7" w:rsidRDefault="00B027FF" w:rsidP="00030895">
      <w:p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FFC highlighted that there is a need to review performance indicators/targets which have consistently not been met.  Indicators must clearly indicate activities associated with improving performance targets.</w:t>
      </w:r>
    </w:p>
    <w:p w:rsidR="00822128" w:rsidRPr="00714FB7" w:rsidRDefault="00822128" w:rsidP="00030895">
      <w:pPr>
        <w:spacing w:line="360" w:lineRule="auto"/>
        <w:jc w:val="both"/>
        <w:rPr>
          <w:rFonts w:ascii="Times New Roman" w:hAnsi="Times New Roman"/>
          <w:color w:val="auto"/>
          <w:sz w:val="24"/>
          <w:szCs w:val="24"/>
          <w:lang w:val="en-US"/>
        </w:rPr>
      </w:pPr>
    </w:p>
    <w:p w:rsidR="000A2BE2" w:rsidRPr="00714FB7" w:rsidRDefault="00C52278" w:rsidP="00030895">
      <w:p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On health entities,</w:t>
      </w:r>
      <w:r w:rsidR="00887C57" w:rsidRPr="00714FB7">
        <w:rPr>
          <w:rFonts w:ascii="Times New Roman" w:hAnsi="Times New Roman"/>
          <w:color w:val="auto"/>
          <w:sz w:val="24"/>
          <w:szCs w:val="24"/>
          <w:lang w:val="en-US"/>
        </w:rPr>
        <w:t xml:space="preserve"> FFC</w:t>
      </w:r>
      <w:r w:rsidRPr="00714FB7">
        <w:rPr>
          <w:rFonts w:ascii="Times New Roman" w:hAnsi="Times New Roman"/>
          <w:color w:val="auto"/>
          <w:sz w:val="24"/>
          <w:szCs w:val="24"/>
          <w:lang w:val="en-US"/>
        </w:rPr>
        <w:t xml:space="preserve"> informed the Committee that they account for 1% of National Health budget and 94% of </w:t>
      </w:r>
      <w:r w:rsidR="005F7A0E" w:rsidRPr="00714FB7">
        <w:rPr>
          <w:rFonts w:ascii="Times New Roman" w:hAnsi="Times New Roman"/>
          <w:color w:val="auto"/>
          <w:sz w:val="24"/>
          <w:szCs w:val="24"/>
          <w:lang w:val="en-US"/>
        </w:rPr>
        <w:t>P</w:t>
      </w:r>
      <w:r w:rsidRPr="00714FB7">
        <w:rPr>
          <w:rFonts w:ascii="Times New Roman" w:hAnsi="Times New Roman"/>
          <w:color w:val="auto"/>
          <w:sz w:val="24"/>
          <w:szCs w:val="24"/>
          <w:lang w:val="en-US"/>
        </w:rPr>
        <w:t xml:space="preserve">rogramme 6 budget.  </w:t>
      </w:r>
    </w:p>
    <w:p w:rsidR="00C52278" w:rsidRPr="00714FB7" w:rsidRDefault="00C52278" w:rsidP="00030895">
      <w:pPr>
        <w:spacing w:line="360" w:lineRule="auto"/>
        <w:jc w:val="both"/>
        <w:rPr>
          <w:rFonts w:ascii="Times New Roman" w:hAnsi="Times New Roman"/>
          <w:color w:val="auto"/>
          <w:sz w:val="24"/>
          <w:szCs w:val="24"/>
          <w:lang w:val="en-US"/>
        </w:rPr>
      </w:pPr>
    </w:p>
    <w:p w:rsidR="003A6E85" w:rsidRPr="00714FB7" w:rsidRDefault="002E0389" w:rsidP="00030895">
      <w:pPr>
        <w:pStyle w:val="ListParagraph"/>
        <w:numPr>
          <w:ilvl w:val="0"/>
          <w:numId w:val="82"/>
        </w:numPr>
        <w:spacing w:line="360" w:lineRule="auto"/>
        <w:ind w:left="450" w:hanging="450"/>
        <w:jc w:val="both"/>
        <w:rPr>
          <w:rFonts w:ascii="Times New Roman" w:hAnsi="Times New Roman"/>
          <w:b/>
          <w:color w:val="auto"/>
          <w:sz w:val="24"/>
          <w:szCs w:val="24"/>
          <w:lang w:val="en-US"/>
        </w:rPr>
      </w:pPr>
      <w:r w:rsidRPr="00714FB7">
        <w:rPr>
          <w:rFonts w:ascii="Times New Roman" w:hAnsi="Times New Roman"/>
          <w:b/>
          <w:color w:val="auto"/>
          <w:sz w:val="24"/>
          <w:szCs w:val="24"/>
          <w:lang w:val="en-US"/>
        </w:rPr>
        <w:t>OVERVIEW OF THE HEALTH SECTOR BY STATISTICS SOUTH AFRICA (STATS SA)</w:t>
      </w:r>
    </w:p>
    <w:p w:rsidR="003A6E85" w:rsidRPr="00714FB7" w:rsidRDefault="003A6E85" w:rsidP="00030895">
      <w:pPr>
        <w:spacing w:line="360" w:lineRule="auto"/>
        <w:jc w:val="both"/>
        <w:rPr>
          <w:rFonts w:ascii="Times New Roman" w:hAnsi="Times New Roman"/>
          <w:b/>
          <w:color w:val="auto"/>
          <w:sz w:val="24"/>
          <w:szCs w:val="24"/>
          <w:lang w:val="en-US"/>
        </w:rPr>
      </w:pPr>
    </w:p>
    <w:p w:rsidR="003A6E85" w:rsidRPr="00714FB7" w:rsidRDefault="00575DF6" w:rsidP="00030895">
      <w:p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According to </w:t>
      </w:r>
      <w:r w:rsidR="003A6E85" w:rsidRPr="00714FB7">
        <w:rPr>
          <w:rFonts w:ascii="Times New Roman" w:hAnsi="Times New Roman"/>
          <w:color w:val="auto"/>
          <w:sz w:val="24"/>
          <w:szCs w:val="24"/>
          <w:lang w:val="en-US"/>
        </w:rPr>
        <w:t xml:space="preserve">Stats SA </w:t>
      </w:r>
      <w:r w:rsidRPr="00714FB7">
        <w:rPr>
          <w:rFonts w:ascii="Times New Roman" w:hAnsi="Times New Roman"/>
          <w:color w:val="auto"/>
          <w:sz w:val="24"/>
          <w:szCs w:val="24"/>
          <w:lang w:val="en-US"/>
        </w:rPr>
        <w:t>l</w:t>
      </w:r>
      <w:r w:rsidR="003A6E85" w:rsidRPr="00714FB7">
        <w:rPr>
          <w:rFonts w:ascii="Times New Roman" w:hAnsi="Times New Roman"/>
          <w:color w:val="auto"/>
          <w:sz w:val="24"/>
          <w:szCs w:val="24"/>
          <w:lang w:val="en-US"/>
        </w:rPr>
        <w:t xml:space="preserve">ife </w:t>
      </w:r>
      <w:r w:rsidRPr="00714FB7">
        <w:rPr>
          <w:rFonts w:ascii="Times New Roman" w:hAnsi="Times New Roman"/>
          <w:color w:val="auto"/>
          <w:sz w:val="24"/>
          <w:szCs w:val="24"/>
          <w:lang w:val="en-US"/>
        </w:rPr>
        <w:t xml:space="preserve">expectancy </w:t>
      </w:r>
      <w:r w:rsidR="003A6E85" w:rsidRPr="00714FB7">
        <w:rPr>
          <w:rFonts w:ascii="Times New Roman" w:hAnsi="Times New Roman"/>
          <w:color w:val="auto"/>
          <w:sz w:val="24"/>
          <w:szCs w:val="24"/>
          <w:lang w:val="en-US"/>
        </w:rPr>
        <w:t>has increased with females at 67</w:t>
      </w:r>
      <w:r w:rsidRPr="00714FB7">
        <w:rPr>
          <w:rFonts w:ascii="Times New Roman" w:hAnsi="Times New Roman"/>
          <w:color w:val="auto"/>
          <w:sz w:val="24"/>
          <w:szCs w:val="24"/>
          <w:lang w:val="en-US"/>
        </w:rPr>
        <w:t>.</w:t>
      </w:r>
      <w:r w:rsidR="003A6E85" w:rsidRPr="00714FB7">
        <w:rPr>
          <w:rFonts w:ascii="Times New Roman" w:hAnsi="Times New Roman"/>
          <w:color w:val="auto"/>
          <w:sz w:val="24"/>
          <w:szCs w:val="24"/>
          <w:lang w:val="en-US"/>
        </w:rPr>
        <w:t>7 years and males at 61.9 years.  Infant mortality has declined from 48.2 infant deaths per 1 000 live birth</w:t>
      </w:r>
      <w:r w:rsidR="00CB596B" w:rsidRPr="00714FB7">
        <w:rPr>
          <w:rFonts w:ascii="Times New Roman" w:hAnsi="Times New Roman"/>
          <w:color w:val="auto"/>
          <w:sz w:val="24"/>
          <w:szCs w:val="24"/>
          <w:lang w:val="en-US"/>
        </w:rPr>
        <w:t>s in 2002 to 33</w:t>
      </w:r>
      <w:r w:rsidRPr="00714FB7">
        <w:rPr>
          <w:rFonts w:ascii="Times New Roman" w:hAnsi="Times New Roman"/>
          <w:color w:val="auto"/>
          <w:sz w:val="24"/>
          <w:szCs w:val="24"/>
          <w:lang w:val="en-US"/>
        </w:rPr>
        <w:t>.</w:t>
      </w:r>
      <w:r w:rsidR="00CB596B" w:rsidRPr="00714FB7">
        <w:rPr>
          <w:rFonts w:ascii="Times New Roman" w:hAnsi="Times New Roman"/>
          <w:color w:val="auto"/>
          <w:sz w:val="24"/>
          <w:szCs w:val="24"/>
          <w:lang w:val="en-US"/>
        </w:rPr>
        <w:t>7 infant deaths per 1 000 live births in 2016.  The crude death rate is down from 12</w:t>
      </w:r>
      <w:r w:rsidRPr="00714FB7">
        <w:rPr>
          <w:rFonts w:ascii="Times New Roman" w:hAnsi="Times New Roman"/>
          <w:color w:val="auto"/>
          <w:sz w:val="24"/>
          <w:szCs w:val="24"/>
          <w:lang w:val="en-US"/>
        </w:rPr>
        <w:t>.</w:t>
      </w:r>
      <w:r w:rsidR="00CB596B" w:rsidRPr="00714FB7">
        <w:rPr>
          <w:rFonts w:ascii="Times New Roman" w:hAnsi="Times New Roman"/>
          <w:color w:val="auto"/>
          <w:sz w:val="24"/>
          <w:szCs w:val="24"/>
          <w:lang w:val="en-US"/>
        </w:rPr>
        <w:t>9 deaths per 1 000 people in 2002 to 9</w:t>
      </w:r>
      <w:r w:rsidRPr="00714FB7">
        <w:rPr>
          <w:rFonts w:ascii="Times New Roman" w:hAnsi="Times New Roman"/>
          <w:color w:val="auto"/>
          <w:sz w:val="24"/>
          <w:szCs w:val="24"/>
          <w:lang w:val="en-US"/>
        </w:rPr>
        <w:t>.</w:t>
      </w:r>
      <w:r w:rsidR="00CB596B" w:rsidRPr="00714FB7">
        <w:rPr>
          <w:rFonts w:ascii="Times New Roman" w:hAnsi="Times New Roman"/>
          <w:color w:val="auto"/>
          <w:sz w:val="24"/>
          <w:szCs w:val="24"/>
          <w:lang w:val="en-US"/>
        </w:rPr>
        <w:t>7 deaths per 1 000 people in 2016.</w:t>
      </w:r>
    </w:p>
    <w:p w:rsidR="00CB596B" w:rsidRPr="00714FB7" w:rsidRDefault="00CB596B" w:rsidP="00030895">
      <w:pPr>
        <w:spacing w:line="360" w:lineRule="auto"/>
        <w:jc w:val="both"/>
        <w:rPr>
          <w:rFonts w:ascii="Times New Roman" w:hAnsi="Times New Roman"/>
          <w:color w:val="auto"/>
          <w:sz w:val="24"/>
          <w:szCs w:val="24"/>
          <w:lang w:val="en-US"/>
        </w:rPr>
      </w:pPr>
    </w:p>
    <w:p w:rsidR="00CB596B" w:rsidRPr="00714FB7" w:rsidRDefault="00CB596B" w:rsidP="00030895">
      <w:p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top five causes of death for the elderly were noted as natural causes, circulatory system, disease of the respiratory system, neoplasms and endocrine, nut</w:t>
      </w:r>
      <w:r w:rsidR="00D91E35" w:rsidRPr="00714FB7">
        <w:rPr>
          <w:rFonts w:ascii="Times New Roman" w:hAnsi="Times New Roman"/>
          <w:color w:val="auto"/>
          <w:sz w:val="24"/>
          <w:szCs w:val="24"/>
          <w:lang w:val="en-US"/>
        </w:rPr>
        <w:t xml:space="preserve">ritional and metabolic diseases.  </w:t>
      </w:r>
    </w:p>
    <w:p w:rsidR="00803985" w:rsidRPr="00714FB7" w:rsidRDefault="00803985" w:rsidP="00030895">
      <w:pPr>
        <w:spacing w:line="360" w:lineRule="auto"/>
        <w:jc w:val="both"/>
        <w:rPr>
          <w:rFonts w:ascii="Times New Roman" w:hAnsi="Times New Roman"/>
          <w:color w:val="auto"/>
          <w:sz w:val="24"/>
          <w:szCs w:val="24"/>
          <w:lang w:val="en-US"/>
        </w:rPr>
      </w:pPr>
    </w:p>
    <w:p w:rsidR="00803985" w:rsidRPr="00714FB7" w:rsidRDefault="00803985" w:rsidP="00030895">
      <w:p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Stats SA further noted that there is a decline in injuries as from 1997- 2015 while there was an increase in communicable disease</w:t>
      </w:r>
      <w:r w:rsidR="00EC77EA" w:rsidRPr="00714FB7">
        <w:rPr>
          <w:rFonts w:ascii="Times New Roman" w:hAnsi="Times New Roman"/>
          <w:color w:val="auto"/>
          <w:sz w:val="24"/>
          <w:szCs w:val="24"/>
          <w:lang w:val="en-US"/>
        </w:rPr>
        <w:t>s</w:t>
      </w:r>
      <w:r w:rsidRPr="00714FB7">
        <w:rPr>
          <w:rFonts w:ascii="Times New Roman" w:hAnsi="Times New Roman"/>
          <w:color w:val="auto"/>
          <w:sz w:val="24"/>
          <w:szCs w:val="24"/>
          <w:lang w:val="en-US"/>
        </w:rPr>
        <w:t>.</w:t>
      </w:r>
      <w:r w:rsidR="00D91E35" w:rsidRPr="00714FB7">
        <w:rPr>
          <w:rFonts w:ascii="Times New Roman" w:hAnsi="Times New Roman"/>
          <w:color w:val="auto"/>
          <w:sz w:val="24"/>
          <w:szCs w:val="24"/>
          <w:lang w:val="en-US"/>
        </w:rPr>
        <w:t xml:space="preserve">  There were more females dying from communicable diseases as opposed to males. Stats SA reported that more males were dying from injuries as opposed to females.  </w:t>
      </w:r>
    </w:p>
    <w:p w:rsidR="00803985" w:rsidRPr="00714FB7" w:rsidRDefault="00803985" w:rsidP="00030895">
      <w:pPr>
        <w:spacing w:line="360" w:lineRule="auto"/>
        <w:jc w:val="both"/>
        <w:rPr>
          <w:rFonts w:ascii="Times New Roman" w:hAnsi="Times New Roman"/>
          <w:color w:val="auto"/>
          <w:sz w:val="24"/>
          <w:szCs w:val="24"/>
          <w:lang w:val="en-US"/>
        </w:rPr>
      </w:pPr>
    </w:p>
    <w:p w:rsidR="00803985" w:rsidRPr="00714FB7" w:rsidRDefault="00803985" w:rsidP="00030895">
      <w:p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Stats SA highlighted that persons</w:t>
      </w:r>
      <w:r w:rsidR="00EC77EA" w:rsidRPr="00714FB7">
        <w:rPr>
          <w:rFonts w:ascii="Times New Roman" w:hAnsi="Times New Roman"/>
          <w:color w:val="auto"/>
          <w:sz w:val="24"/>
          <w:szCs w:val="24"/>
          <w:lang w:val="en-US"/>
        </w:rPr>
        <w:t xml:space="preserve"> of</w:t>
      </w:r>
      <w:r w:rsidRPr="00714FB7">
        <w:rPr>
          <w:rFonts w:ascii="Times New Roman" w:hAnsi="Times New Roman"/>
          <w:color w:val="auto"/>
          <w:sz w:val="24"/>
          <w:szCs w:val="24"/>
          <w:lang w:val="en-US"/>
        </w:rPr>
        <w:t xml:space="preserve"> 60 years and older who are covered by a medical aid or medical benefit scheme or other private health insurance are highest amongst whit</w:t>
      </w:r>
      <w:r w:rsidR="00EC77EA" w:rsidRPr="00714FB7">
        <w:rPr>
          <w:rFonts w:ascii="Times New Roman" w:hAnsi="Times New Roman"/>
          <w:color w:val="auto"/>
          <w:sz w:val="24"/>
          <w:szCs w:val="24"/>
          <w:lang w:val="en-US"/>
        </w:rPr>
        <w:t>e</w:t>
      </w:r>
      <w:r w:rsidRPr="00714FB7">
        <w:rPr>
          <w:rFonts w:ascii="Times New Roman" w:hAnsi="Times New Roman"/>
          <w:color w:val="auto"/>
          <w:sz w:val="24"/>
          <w:szCs w:val="24"/>
          <w:lang w:val="en-US"/>
        </w:rPr>
        <w:t xml:space="preserve"> elderly and Indians/Asians.  The majority of elderly in all provinces, except Western Cape and Gauteng Provinces make use of public clinics for their health care needs.</w:t>
      </w:r>
    </w:p>
    <w:p w:rsidR="00D41F18" w:rsidRPr="00714FB7" w:rsidRDefault="00D41F18" w:rsidP="00030895">
      <w:pPr>
        <w:spacing w:line="360" w:lineRule="auto"/>
        <w:jc w:val="both"/>
        <w:rPr>
          <w:rFonts w:ascii="Times New Roman" w:hAnsi="Times New Roman"/>
          <w:color w:val="auto"/>
          <w:sz w:val="24"/>
          <w:szCs w:val="24"/>
          <w:lang w:val="en-US"/>
        </w:rPr>
      </w:pPr>
    </w:p>
    <w:p w:rsidR="00D41F18" w:rsidRPr="00714FB7" w:rsidRDefault="00EC77EA" w:rsidP="00030895">
      <w:p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A</w:t>
      </w:r>
      <w:r w:rsidR="00D41F18" w:rsidRPr="00714FB7">
        <w:rPr>
          <w:rFonts w:ascii="Times New Roman" w:hAnsi="Times New Roman"/>
          <w:color w:val="auto"/>
          <w:sz w:val="24"/>
          <w:szCs w:val="24"/>
          <w:lang w:val="en-US"/>
        </w:rPr>
        <w:t xml:space="preserve">chievements </w:t>
      </w:r>
      <w:r w:rsidRPr="00714FB7">
        <w:rPr>
          <w:rFonts w:ascii="Times New Roman" w:hAnsi="Times New Roman"/>
          <w:color w:val="auto"/>
          <w:sz w:val="24"/>
          <w:szCs w:val="24"/>
          <w:lang w:val="en-US"/>
        </w:rPr>
        <w:t xml:space="preserve">in </w:t>
      </w:r>
      <w:r w:rsidR="00D41F18" w:rsidRPr="00714FB7">
        <w:rPr>
          <w:rFonts w:ascii="Times New Roman" w:hAnsi="Times New Roman"/>
          <w:color w:val="auto"/>
          <w:sz w:val="24"/>
          <w:szCs w:val="24"/>
          <w:lang w:val="en-US"/>
        </w:rPr>
        <w:t xml:space="preserve">the health sector were </w:t>
      </w:r>
      <w:r w:rsidRPr="00714FB7">
        <w:rPr>
          <w:rFonts w:ascii="Times New Roman" w:hAnsi="Times New Roman"/>
          <w:color w:val="auto"/>
          <w:sz w:val="24"/>
          <w:szCs w:val="24"/>
          <w:lang w:val="en-US"/>
        </w:rPr>
        <w:t xml:space="preserve">related to </w:t>
      </w:r>
      <w:r w:rsidR="00D41F18" w:rsidRPr="00714FB7">
        <w:rPr>
          <w:rFonts w:ascii="Times New Roman" w:hAnsi="Times New Roman"/>
          <w:color w:val="auto"/>
          <w:sz w:val="24"/>
          <w:szCs w:val="24"/>
          <w:lang w:val="en-US"/>
        </w:rPr>
        <w:t>increasing life expectancy</w:t>
      </w:r>
      <w:r w:rsidRPr="00714FB7">
        <w:rPr>
          <w:rFonts w:ascii="Times New Roman" w:hAnsi="Times New Roman"/>
          <w:color w:val="auto"/>
          <w:sz w:val="24"/>
          <w:szCs w:val="24"/>
          <w:lang w:val="en-US"/>
        </w:rPr>
        <w:t>,</w:t>
      </w:r>
      <w:r w:rsidR="00D41F18" w:rsidRPr="00714FB7">
        <w:rPr>
          <w:rFonts w:ascii="Times New Roman" w:hAnsi="Times New Roman"/>
          <w:color w:val="auto"/>
          <w:sz w:val="24"/>
          <w:szCs w:val="24"/>
          <w:lang w:val="en-US"/>
        </w:rPr>
        <w:t xml:space="preserve"> and infant and child mortality that has decrease</w:t>
      </w:r>
      <w:r w:rsidRPr="00714FB7">
        <w:rPr>
          <w:rFonts w:ascii="Times New Roman" w:hAnsi="Times New Roman"/>
          <w:color w:val="auto"/>
          <w:sz w:val="24"/>
          <w:szCs w:val="24"/>
          <w:lang w:val="en-US"/>
        </w:rPr>
        <w:t>d</w:t>
      </w:r>
      <w:r w:rsidR="00D41F18" w:rsidRPr="00714FB7">
        <w:rPr>
          <w:rFonts w:ascii="Times New Roman" w:hAnsi="Times New Roman"/>
          <w:color w:val="auto"/>
          <w:sz w:val="24"/>
          <w:szCs w:val="24"/>
          <w:lang w:val="en-US"/>
        </w:rPr>
        <w:t>.  On challenges facing the sector, Stats SA noted that these were</w:t>
      </w:r>
      <w:r w:rsidRPr="00714FB7">
        <w:rPr>
          <w:rFonts w:ascii="Times New Roman" w:hAnsi="Times New Roman"/>
          <w:color w:val="auto"/>
          <w:sz w:val="24"/>
          <w:szCs w:val="24"/>
          <w:lang w:val="en-US"/>
        </w:rPr>
        <w:t>:</w:t>
      </w:r>
      <w:r w:rsidR="00D41F18" w:rsidRPr="00714FB7">
        <w:rPr>
          <w:rFonts w:ascii="Times New Roman" w:hAnsi="Times New Roman"/>
          <w:color w:val="auto"/>
          <w:sz w:val="24"/>
          <w:szCs w:val="24"/>
          <w:lang w:val="en-US"/>
        </w:rPr>
        <w:t xml:space="preserve"> non-communicable diseases </w:t>
      </w:r>
      <w:r w:rsidRPr="00714FB7">
        <w:rPr>
          <w:rFonts w:ascii="Times New Roman" w:hAnsi="Times New Roman"/>
          <w:color w:val="auto"/>
          <w:sz w:val="24"/>
          <w:szCs w:val="24"/>
          <w:lang w:val="en-US"/>
        </w:rPr>
        <w:t>are</w:t>
      </w:r>
      <w:r w:rsidR="00D41F18" w:rsidRPr="00714FB7">
        <w:rPr>
          <w:rFonts w:ascii="Times New Roman" w:hAnsi="Times New Roman"/>
          <w:color w:val="auto"/>
          <w:sz w:val="24"/>
          <w:szCs w:val="24"/>
          <w:lang w:val="en-US"/>
        </w:rPr>
        <w:t xml:space="preserve"> on the increase</w:t>
      </w:r>
      <w:r w:rsidRPr="00714FB7">
        <w:rPr>
          <w:rFonts w:ascii="Times New Roman" w:hAnsi="Times New Roman"/>
          <w:color w:val="auto"/>
          <w:sz w:val="24"/>
          <w:szCs w:val="24"/>
          <w:lang w:val="en-US"/>
        </w:rPr>
        <w:t xml:space="preserve">, </w:t>
      </w:r>
      <w:r w:rsidR="00D41F18" w:rsidRPr="00714FB7">
        <w:rPr>
          <w:rFonts w:ascii="Times New Roman" w:hAnsi="Times New Roman"/>
          <w:color w:val="auto"/>
          <w:sz w:val="24"/>
          <w:szCs w:val="24"/>
          <w:lang w:val="en-US"/>
        </w:rPr>
        <w:t>particularly diabetes mellitus</w:t>
      </w:r>
      <w:r w:rsidRPr="00714FB7">
        <w:rPr>
          <w:rFonts w:ascii="Times New Roman" w:hAnsi="Times New Roman"/>
          <w:color w:val="auto"/>
          <w:sz w:val="24"/>
          <w:szCs w:val="24"/>
          <w:lang w:val="en-US"/>
        </w:rPr>
        <w:t>;</w:t>
      </w:r>
      <w:r w:rsidR="00D41F18" w:rsidRPr="00714FB7">
        <w:rPr>
          <w:rFonts w:ascii="Times New Roman" w:hAnsi="Times New Roman"/>
          <w:color w:val="auto"/>
          <w:sz w:val="24"/>
          <w:szCs w:val="24"/>
          <w:lang w:val="en-US"/>
        </w:rPr>
        <w:t xml:space="preserve"> health coverage that still reflects historical imbalances</w:t>
      </w:r>
      <w:r w:rsidRPr="00714FB7">
        <w:rPr>
          <w:rFonts w:ascii="Times New Roman" w:hAnsi="Times New Roman"/>
          <w:color w:val="auto"/>
          <w:sz w:val="24"/>
          <w:szCs w:val="24"/>
          <w:lang w:val="en-US"/>
        </w:rPr>
        <w:t>;</w:t>
      </w:r>
      <w:r w:rsidR="00D41F18" w:rsidRPr="00714FB7">
        <w:rPr>
          <w:rFonts w:ascii="Times New Roman" w:hAnsi="Times New Roman"/>
          <w:color w:val="auto"/>
          <w:sz w:val="24"/>
          <w:szCs w:val="24"/>
          <w:lang w:val="en-US"/>
        </w:rPr>
        <w:t xml:space="preserve"> and true profile of diseases.</w:t>
      </w:r>
    </w:p>
    <w:p w:rsidR="00D41F18" w:rsidRPr="00714FB7" w:rsidRDefault="00D41F18" w:rsidP="00030895">
      <w:pPr>
        <w:spacing w:line="360" w:lineRule="auto"/>
        <w:jc w:val="both"/>
        <w:rPr>
          <w:rFonts w:ascii="Times New Roman" w:hAnsi="Times New Roman"/>
          <w:color w:val="auto"/>
          <w:sz w:val="24"/>
          <w:szCs w:val="24"/>
          <w:lang w:val="en-US"/>
        </w:rPr>
      </w:pPr>
    </w:p>
    <w:p w:rsidR="00D41F18" w:rsidRPr="00714FB7" w:rsidRDefault="00D41F18" w:rsidP="00030895">
      <w:p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Stats SA recommend</w:t>
      </w:r>
      <w:r w:rsidR="00714399" w:rsidRPr="00714FB7">
        <w:rPr>
          <w:rFonts w:ascii="Times New Roman" w:hAnsi="Times New Roman"/>
          <w:color w:val="auto"/>
          <w:sz w:val="24"/>
          <w:szCs w:val="24"/>
          <w:lang w:val="en-US"/>
        </w:rPr>
        <w:t>s</w:t>
      </w:r>
      <w:r w:rsidRPr="00714FB7">
        <w:rPr>
          <w:rFonts w:ascii="Times New Roman" w:hAnsi="Times New Roman"/>
          <w:color w:val="auto"/>
          <w:sz w:val="24"/>
          <w:szCs w:val="24"/>
          <w:lang w:val="en-US"/>
        </w:rPr>
        <w:t xml:space="preserve"> that there is a need for a preventative approach in health and a dedicated morbidity survey to inform health plans.</w:t>
      </w:r>
    </w:p>
    <w:p w:rsidR="00EC77EA" w:rsidRPr="00714FB7" w:rsidRDefault="00EC77EA" w:rsidP="003A6E85">
      <w:pPr>
        <w:jc w:val="both"/>
        <w:rPr>
          <w:rFonts w:ascii="Times New Roman" w:hAnsi="Times New Roman"/>
          <w:color w:val="auto"/>
          <w:sz w:val="24"/>
          <w:szCs w:val="24"/>
          <w:lang w:val="en-US"/>
        </w:rPr>
      </w:pPr>
    </w:p>
    <w:p w:rsidR="00AF547A" w:rsidRPr="00714FB7" w:rsidRDefault="00B43B26" w:rsidP="00030895">
      <w:pPr>
        <w:pStyle w:val="ListParagraph"/>
        <w:numPr>
          <w:ilvl w:val="0"/>
          <w:numId w:val="82"/>
        </w:numPr>
        <w:spacing w:line="360" w:lineRule="auto"/>
        <w:jc w:val="both"/>
        <w:rPr>
          <w:rFonts w:ascii="Times New Roman" w:hAnsi="Times New Roman"/>
          <w:b/>
          <w:color w:val="auto"/>
          <w:sz w:val="24"/>
          <w:szCs w:val="24"/>
          <w:lang w:val="en-US"/>
        </w:rPr>
      </w:pPr>
      <w:r w:rsidRPr="00714FB7">
        <w:rPr>
          <w:rFonts w:ascii="Times New Roman" w:hAnsi="Times New Roman"/>
          <w:b/>
          <w:color w:val="auto"/>
          <w:sz w:val="24"/>
          <w:szCs w:val="24"/>
          <w:lang w:val="en-US"/>
        </w:rPr>
        <w:t xml:space="preserve">COMMITTEE OBSERVATIONS AND FINDINGS </w:t>
      </w:r>
    </w:p>
    <w:p w:rsidR="00AF547A" w:rsidRPr="00714FB7" w:rsidRDefault="00AF547A" w:rsidP="00F23A6A">
      <w:pPr>
        <w:spacing w:line="360" w:lineRule="auto"/>
        <w:jc w:val="both"/>
        <w:rPr>
          <w:rFonts w:ascii="Times New Roman" w:hAnsi="Times New Roman"/>
          <w:b/>
          <w:color w:val="auto"/>
          <w:sz w:val="24"/>
          <w:szCs w:val="24"/>
          <w:lang w:val="en-US"/>
        </w:rPr>
      </w:pPr>
    </w:p>
    <w:p w:rsidR="00AF547A" w:rsidRPr="00714FB7" w:rsidRDefault="00AF547A" w:rsidP="00F23A6A">
      <w:p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Having considered the </w:t>
      </w:r>
      <w:r w:rsidR="00C37150" w:rsidRPr="00714FB7">
        <w:rPr>
          <w:rFonts w:ascii="Times New Roman" w:hAnsi="Times New Roman"/>
          <w:color w:val="auto"/>
          <w:sz w:val="24"/>
          <w:szCs w:val="24"/>
          <w:lang w:val="en-US"/>
        </w:rPr>
        <w:t>APP</w:t>
      </w:r>
      <w:r w:rsidRPr="00714FB7">
        <w:rPr>
          <w:rFonts w:ascii="Times New Roman" w:hAnsi="Times New Roman"/>
          <w:color w:val="auto"/>
          <w:sz w:val="24"/>
          <w:szCs w:val="24"/>
          <w:lang w:val="en-US"/>
        </w:rPr>
        <w:t xml:space="preserve"> and the budget of the Department</w:t>
      </w:r>
      <w:r w:rsidR="005A162A" w:rsidRPr="00714FB7">
        <w:rPr>
          <w:rFonts w:ascii="Times New Roman" w:hAnsi="Times New Roman"/>
          <w:color w:val="auto"/>
          <w:sz w:val="24"/>
          <w:szCs w:val="24"/>
          <w:lang w:val="en-US"/>
        </w:rPr>
        <w:t xml:space="preserve"> and its entities</w:t>
      </w:r>
      <w:r w:rsidRPr="00714FB7">
        <w:rPr>
          <w:rFonts w:ascii="Times New Roman" w:hAnsi="Times New Roman"/>
          <w:color w:val="auto"/>
          <w:sz w:val="24"/>
          <w:szCs w:val="24"/>
          <w:lang w:val="en-US"/>
        </w:rPr>
        <w:t>,</w:t>
      </w:r>
      <w:r w:rsidR="002B0DF6" w:rsidRPr="00714FB7">
        <w:rPr>
          <w:rFonts w:ascii="Times New Roman" w:hAnsi="Times New Roman"/>
          <w:color w:val="auto"/>
          <w:sz w:val="24"/>
          <w:szCs w:val="24"/>
          <w:lang w:val="en-US"/>
        </w:rPr>
        <w:t xml:space="preserve"> and </w:t>
      </w:r>
      <w:r w:rsidR="00301951" w:rsidRPr="00714FB7">
        <w:rPr>
          <w:rFonts w:ascii="Times New Roman" w:hAnsi="Times New Roman"/>
          <w:color w:val="auto"/>
          <w:sz w:val="24"/>
          <w:szCs w:val="24"/>
          <w:lang w:val="en-US"/>
        </w:rPr>
        <w:t>analyses of relevant institutions</w:t>
      </w:r>
      <w:r w:rsidRPr="00714FB7">
        <w:rPr>
          <w:rFonts w:ascii="Times New Roman" w:hAnsi="Times New Roman"/>
          <w:color w:val="auto"/>
          <w:sz w:val="24"/>
          <w:szCs w:val="24"/>
          <w:lang w:val="en-US"/>
        </w:rPr>
        <w:t xml:space="preserve"> this section summarizes the Committee’s </w:t>
      </w:r>
      <w:r w:rsidR="00AD6611" w:rsidRPr="00714FB7">
        <w:rPr>
          <w:rFonts w:ascii="Times New Roman" w:hAnsi="Times New Roman"/>
          <w:color w:val="auto"/>
          <w:sz w:val="24"/>
          <w:szCs w:val="24"/>
          <w:lang w:val="en-US"/>
        </w:rPr>
        <w:t xml:space="preserve">findings and </w:t>
      </w:r>
      <w:r w:rsidRPr="00714FB7">
        <w:rPr>
          <w:rFonts w:ascii="Times New Roman" w:hAnsi="Times New Roman"/>
          <w:color w:val="auto"/>
          <w:sz w:val="24"/>
          <w:szCs w:val="24"/>
          <w:lang w:val="en-US"/>
        </w:rPr>
        <w:t xml:space="preserve">observations:  </w:t>
      </w:r>
    </w:p>
    <w:p w:rsidR="006E7667" w:rsidRPr="00714FB7" w:rsidRDefault="006E7667" w:rsidP="00F23A6A">
      <w:pPr>
        <w:spacing w:line="360" w:lineRule="auto"/>
        <w:jc w:val="both"/>
        <w:rPr>
          <w:rFonts w:ascii="Times New Roman" w:hAnsi="Times New Roman"/>
          <w:color w:val="auto"/>
          <w:sz w:val="24"/>
          <w:szCs w:val="24"/>
          <w:lang w:val="en-US"/>
        </w:rPr>
      </w:pPr>
    </w:p>
    <w:p w:rsidR="007B3649" w:rsidRPr="00714FB7" w:rsidRDefault="007B3649" w:rsidP="00030895">
      <w:pPr>
        <w:pStyle w:val="ListParagraph"/>
        <w:numPr>
          <w:ilvl w:val="1"/>
          <w:numId w:val="87"/>
        </w:numPr>
        <w:spacing w:line="360" w:lineRule="auto"/>
        <w:jc w:val="both"/>
        <w:rPr>
          <w:rFonts w:ascii="Times New Roman" w:hAnsi="Times New Roman"/>
          <w:b/>
          <w:color w:val="auto"/>
          <w:sz w:val="24"/>
          <w:szCs w:val="24"/>
          <w:lang w:val="en-US"/>
        </w:rPr>
      </w:pPr>
      <w:r w:rsidRPr="00714FB7">
        <w:rPr>
          <w:rFonts w:ascii="Times New Roman" w:hAnsi="Times New Roman"/>
          <w:b/>
          <w:color w:val="auto"/>
          <w:sz w:val="24"/>
          <w:szCs w:val="24"/>
          <w:lang w:val="en-US"/>
        </w:rPr>
        <w:t>Findings</w:t>
      </w:r>
      <w:r w:rsidR="0024108A" w:rsidRPr="00714FB7">
        <w:rPr>
          <w:rFonts w:ascii="Times New Roman" w:hAnsi="Times New Roman"/>
          <w:b/>
          <w:color w:val="auto"/>
          <w:sz w:val="24"/>
          <w:szCs w:val="24"/>
          <w:lang w:val="en-US"/>
        </w:rPr>
        <w:t xml:space="preserve"> and observations</w:t>
      </w:r>
      <w:r w:rsidRPr="00714FB7">
        <w:rPr>
          <w:rFonts w:ascii="Times New Roman" w:hAnsi="Times New Roman"/>
          <w:b/>
          <w:color w:val="auto"/>
          <w:sz w:val="24"/>
          <w:szCs w:val="24"/>
          <w:lang w:val="en-US"/>
        </w:rPr>
        <w:t xml:space="preserve"> on the Department </w:t>
      </w:r>
    </w:p>
    <w:p w:rsidR="007B3649" w:rsidRPr="00714FB7" w:rsidRDefault="007B3649" w:rsidP="00F23A6A">
      <w:pPr>
        <w:spacing w:line="360" w:lineRule="auto"/>
        <w:jc w:val="both"/>
        <w:rPr>
          <w:rFonts w:ascii="Times New Roman" w:hAnsi="Times New Roman"/>
          <w:color w:val="auto"/>
          <w:sz w:val="24"/>
          <w:szCs w:val="24"/>
          <w:lang w:val="en-US"/>
        </w:rPr>
      </w:pPr>
    </w:p>
    <w:p w:rsidR="00E707F4" w:rsidRPr="00714FB7" w:rsidRDefault="009D5360">
      <w:pPr>
        <w:pStyle w:val="ListParagraph"/>
        <w:numPr>
          <w:ilvl w:val="0"/>
          <w:numId w:val="14"/>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Committee commended</w:t>
      </w:r>
      <w:r w:rsidR="006E48F5" w:rsidRPr="00714FB7">
        <w:rPr>
          <w:rFonts w:ascii="Times New Roman" w:hAnsi="Times New Roman"/>
          <w:color w:val="auto"/>
          <w:sz w:val="24"/>
          <w:szCs w:val="24"/>
          <w:lang w:val="en-US"/>
        </w:rPr>
        <w:t xml:space="preserve"> the </w:t>
      </w:r>
      <w:r w:rsidRPr="00714FB7">
        <w:rPr>
          <w:rFonts w:ascii="Times New Roman" w:hAnsi="Times New Roman"/>
          <w:color w:val="auto"/>
          <w:sz w:val="24"/>
          <w:szCs w:val="24"/>
          <w:lang w:val="en-US"/>
        </w:rPr>
        <w:t xml:space="preserve">Department </w:t>
      </w:r>
      <w:r w:rsidR="005314C9" w:rsidRPr="00714FB7">
        <w:rPr>
          <w:rFonts w:ascii="Times New Roman" w:hAnsi="Times New Roman"/>
          <w:color w:val="auto"/>
          <w:sz w:val="24"/>
          <w:szCs w:val="24"/>
          <w:lang w:val="en-US"/>
        </w:rPr>
        <w:t>on</w:t>
      </w:r>
      <w:r w:rsidRPr="00714FB7">
        <w:rPr>
          <w:rFonts w:ascii="Times New Roman" w:hAnsi="Times New Roman"/>
          <w:color w:val="auto"/>
          <w:sz w:val="24"/>
          <w:szCs w:val="24"/>
          <w:lang w:val="en-US"/>
        </w:rPr>
        <w:t xml:space="preserve"> ensuring that 8</w:t>
      </w:r>
      <w:r w:rsidR="00802932" w:rsidRPr="00714FB7">
        <w:rPr>
          <w:rFonts w:ascii="Times New Roman" w:hAnsi="Times New Roman"/>
          <w:color w:val="auto"/>
          <w:sz w:val="24"/>
          <w:szCs w:val="24"/>
          <w:lang w:val="en-US"/>
        </w:rPr>
        <w:t>3</w:t>
      </w:r>
      <w:r w:rsidRPr="00714FB7">
        <w:rPr>
          <w:rFonts w:ascii="Times New Roman" w:hAnsi="Times New Roman"/>
          <w:color w:val="auto"/>
          <w:sz w:val="24"/>
          <w:szCs w:val="24"/>
          <w:lang w:val="en-US"/>
        </w:rPr>
        <w:t>% of its performance indicators have quarterly targets</w:t>
      </w:r>
      <w:r w:rsidR="00155F4A" w:rsidRPr="00714FB7">
        <w:rPr>
          <w:rFonts w:ascii="Times New Roman" w:hAnsi="Times New Roman"/>
          <w:color w:val="auto"/>
          <w:sz w:val="24"/>
          <w:szCs w:val="24"/>
          <w:lang w:val="en-US"/>
        </w:rPr>
        <w:t>.</w:t>
      </w:r>
      <w:r w:rsidR="00E707F4" w:rsidRPr="00714FB7">
        <w:rPr>
          <w:rFonts w:ascii="Times New Roman" w:hAnsi="Times New Roman"/>
          <w:color w:val="auto"/>
          <w:sz w:val="24"/>
          <w:szCs w:val="24"/>
          <w:lang w:val="en-US"/>
        </w:rPr>
        <w:t xml:space="preserve"> </w:t>
      </w:r>
    </w:p>
    <w:p w:rsidR="00C21E2A" w:rsidRPr="00714FB7" w:rsidRDefault="00A5709A">
      <w:pPr>
        <w:pStyle w:val="ListParagraph"/>
        <w:numPr>
          <w:ilvl w:val="0"/>
          <w:numId w:val="14"/>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Committee</w:t>
      </w:r>
      <w:r w:rsidR="00C85A4B" w:rsidRPr="00714FB7">
        <w:rPr>
          <w:rFonts w:ascii="Times New Roman" w:hAnsi="Times New Roman"/>
          <w:color w:val="auto"/>
          <w:sz w:val="24"/>
          <w:szCs w:val="24"/>
          <w:lang w:val="en-US"/>
        </w:rPr>
        <w:t xml:space="preserve"> </w:t>
      </w:r>
      <w:r w:rsidR="00BB7ED8" w:rsidRPr="00714FB7">
        <w:rPr>
          <w:rFonts w:ascii="Times New Roman" w:hAnsi="Times New Roman"/>
          <w:color w:val="auto"/>
          <w:sz w:val="24"/>
          <w:szCs w:val="24"/>
          <w:lang w:val="en-US"/>
        </w:rPr>
        <w:t>noted with concern</w:t>
      </w:r>
      <w:r w:rsidR="00E707F4" w:rsidRPr="00714FB7">
        <w:rPr>
          <w:rFonts w:ascii="Times New Roman" w:hAnsi="Times New Roman"/>
          <w:color w:val="auto"/>
          <w:sz w:val="24"/>
          <w:szCs w:val="24"/>
          <w:lang w:val="en-US"/>
        </w:rPr>
        <w:t xml:space="preserve"> a report by the AG noting</w:t>
      </w:r>
      <w:r w:rsidR="00C85A4B" w:rsidRPr="00714FB7">
        <w:rPr>
          <w:rFonts w:ascii="Times New Roman" w:hAnsi="Times New Roman"/>
          <w:color w:val="auto"/>
          <w:sz w:val="24"/>
          <w:szCs w:val="24"/>
          <w:lang w:val="en-US"/>
        </w:rPr>
        <w:t xml:space="preserve"> the removal of </w:t>
      </w:r>
      <w:r w:rsidR="00802932" w:rsidRPr="00714FB7">
        <w:rPr>
          <w:rFonts w:ascii="Times New Roman" w:hAnsi="Times New Roman"/>
          <w:color w:val="auto"/>
          <w:sz w:val="24"/>
          <w:szCs w:val="24"/>
          <w:lang w:val="en-US"/>
        </w:rPr>
        <w:t>certain</w:t>
      </w:r>
      <w:r w:rsidR="00C85A4B" w:rsidRPr="00714FB7">
        <w:rPr>
          <w:rFonts w:ascii="Times New Roman" w:hAnsi="Times New Roman"/>
          <w:color w:val="auto"/>
          <w:sz w:val="24"/>
          <w:szCs w:val="24"/>
          <w:lang w:val="en-US"/>
        </w:rPr>
        <w:t xml:space="preserve"> performance indicators</w:t>
      </w:r>
      <w:r w:rsidRPr="00714FB7">
        <w:rPr>
          <w:rFonts w:ascii="Times New Roman" w:hAnsi="Times New Roman"/>
          <w:color w:val="auto"/>
          <w:sz w:val="24"/>
          <w:szCs w:val="24"/>
          <w:lang w:val="en-US"/>
        </w:rPr>
        <w:t xml:space="preserve"> (27 indicators from Programme </w:t>
      </w:r>
      <w:r w:rsidR="006D419B" w:rsidRPr="00714FB7">
        <w:rPr>
          <w:rFonts w:ascii="Times New Roman" w:hAnsi="Times New Roman"/>
          <w:color w:val="auto"/>
          <w:sz w:val="24"/>
          <w:szCs w:val="24"/>
          <w:lang w:val="en-US"/>
        </w:rPr>
        <w:t>3</w:t>
      </w:r>
      <w:r w:rsidRPr="00714FB7">
        <w:rPr>
          <w:rFonts w:ascii="Times New Roman" w:hAnsi="Times New Roman"/>
          <w:color w:val="auto"/>
          <w:sz w:val="24"/>
          <w:szCs w:val="24"/>
          <w:lang w:val="en-US"/>
        </w:rPr>
        <w:t>)</w:t>
      </w:r>
      <w:r w:rsidR="00C85A4B" w:rsidRPr="00714FB7">
        <w:rPr>
          <w:rFonts w:ascii="Times New Roman" w:hAnsi="Times New Roman"/>
          <w:color w:val="auto"/>
          <w:sz w:val="24"/>
          <w:szCs w:val="24"/>
          <w:lang w:val="en-US"/>
        </w:rPr>
        <w:t xml:space="preserve"> from the Department’s </w:t>
      </w:r>
      <w:r w:rsidR="00E707F4" w:rsidRPr="00714FB7">
        <w:rPr>
          <w:rFonts w:ascii="Times New Roman" w:hAnsi="Times New Roman"/>
          <w:color w:val="auto"/>
          <w:sz w:val="24"/>
          <w:szCs w:val="24"/>
          <w:lang w:val="en-US"/>
        </w:rPr>
        <w:t xml:space="preserve">2017/18 </w:t>
      </w:r>
      <w:r w:rsidR="00C85A4B" w:rsidRPr="00714FB7">
        <w:rPr>
          <w:rFonts w:ascii="Times New Roman" w:hAnsi="Times New Roman"/>
          <w:color w:val="auto"/>
          <w:sz w:val="24"/>
          <w:szCs w:val="24"/>
          <w:lang w:val="en-US"/>
        </w:rPr>
        <w:t xml:space="preserve">APP. </w:t>
      </w:r>
      <w:r w:rsidR="006D419B" w:rsidRPr="00714FB7">
        <w:rPr>
          <w:rFonts w:ascii="Times New Roman" w:hAnsi="Times New Roman"/>
          <w:color w:val="auto"/>
          <w:sz w:val="24"/>
          <w:szCs w:val="24"/>
          <w:lang w:val="en-US"/>
        </w:rPr>
        <w:t>Furthermore,</w:t>
      </w:r>
      <w:r w:rsidR="00C21E2A" w:rsidRPr="00714FB7">
        <w:rPr>
          <w:rFonts w:ascii="Times New Roman" w:hAnsi="Times New Roman"/>
          <w:color w:val="auto"/>
          <w:sz w:val="24"/>
          <w:szCs w:val="24"/>
          <w:lang w:val="en-US"/>
        </w:rPr>
        <w:t xml:space="preserve"> </w:t>
      </w:r>
      <w:r w:rsidR="006D419B" w:rsidRPr="00714FB7">
        <w:rPr>
          <w:rFonts w:ascii="Times New Roman" w:hAnsi="Times New Roman"/>
          <w:color w:val="auto"/>
          <w:sz w:val="24"/>
          <w:szCs w:val="24"/>
          <w:lang w:val="en-US"/>
        </w:rPr>
        <w:t xml:space="preserve">the Committee was </w:t>
      </w:r>
      <w:r w:rsidR="00C21E2A" w:rsidRPr="00714FB7">
        <w:rPr>
          <w:rFonts w:ascii="Times New Roman" w:hAnsi="Times New Roman"/>
          <w:color w:val="auto"/>
          <w:sz w:val="24"/>
          <w:szCs w:val="24"/>
          <w:lang w:val="en-US"/>
        </w:rPr>
        <w:t>concern</w:t>
      </w:r>
      <w:r w:rsidR="006D419B" w:rsidRPr="00714FB7">
        <w:rPr>
          <w:rFonts w:ascii="Times New Roman" w:hAnsi="Times New Roman"/>
          <w:color w:val="auto"/>
          <w:sz w:val="24"/>
          <w:szCs w:val="24"/>
          <w:lang w:val="en-US"/>
        </w:rPr>
        <w:t>ed</w:t>
      </w:r>
      <w:r w:rsidR="00C21E2A" w:rsidRPr="00714FB7">
        <w:rPr>
          <w:rFonts w:ascii="Times New Roman" w:hAnsi="Times New Roman"/>
          <w:color w:val="auto"/>
          <w:sz w:val="24"/>
          <w:szCs w:val="24"/>
          <w:lang w:val="en-US"/>
        </w:rPr>
        <w:t xml:space="preserve"> that </w:t>
      </w:r>
      <w:r w:rsidR="00E707F4" w:rsidRPr="00714FB7">
        <w:rPr>
          <w:rFonts w:ascii="Times New Roman" w:hAnsi="Times New Roman"/>
          <w:color w:val="auto"/>
          <w:sz w:val="24"/>
          <w:szCs w:val="24"/>
          <w:lang w:val="en-US"/>
        </w:rPr>
        <w:t xml:space="preserve">whilst </w:t>
      </w:r>
      <w:r w:rsidR="00C21E2A" w:rsidRPr="00714FB7">
        <w:rPr>
          <w:rFonts w:ascii="Times New Roman" w:hAnsi="Times New Roman"/>
          <w:color w:val="auto"/>
          <w:sz w:val="24"/>
          <w:szCs w:val="24"/>
          <w:lang w:val="en-US"/>
        </w:rPr>
        <w:t xml:space="preserve">Programme 3 receives the biggest budget allocation, </w:t>
      </w:r>
      <w:r w:rsidR="00E707F4" w:rsidRPr="00714FB7">
        <w:rPr>
          <w:rFonts w:ascii="Times New Roman" w:hAnsi="Times New Roman"/>
          <w:color w:val="auto"/>
          <w:sz w:val="24"/>
          <w:szCs w:val="24"/>
          <w:lang w:val="en-US"/>
        </w:rPr>
        <w:t>there</w:t>
      </w:r>
      <w:r w:rsidR="001A365F" w:rsidRPr="00714FB7">
        <w:rPr>
          <w:rFonts w:ascii="Times New Roman" w:hAnsi="Times New Roman"/>
          <w:color w:val="auto"/>
          <w:sz w:val="24"/>
          <w:szCs w:val="24"/>
          <w:lang w:val="en-US"/>
        </w:rPr>
        <w:t xml:space="preserve"> are</w:t>
      </w:r>
      <w:r w:rsidR="00E707F4" w:rsidRPr="00714FB7">
        <w:rPr>
          <w:rFonts w:ascii="Times New Roman" w:hAnsi="Times New Roman"/>
          <w:color w:val="auto"/>
          <w:sz w:val="24"/>
          <w:szCs w:val="24"/>
          <w:lang w:val="en-US"/>
        </w:rPr>
        <w:t xml:space="preserve"> </w:t>
      </w:r>
      <w:r w:rsidR="00C21E2A" w:rsidRPr="00714FB7">
        <w:rPr>
          <w:rFonts w:ascii="Times New Roman" w:hAnsi="Times New Roman"/>
          <w:color w:val="auto"/>
          <w:sz w:val="24"/>
          <w:szCs w:val="24"/>
          <w:lang w:val="en-US"/>
        </w:rPr>
        <w:t xml:space="preserve">few </w:t>
      </w:r>
      <w:r w:rsidR="00E707F4" w:rsidRPr="00714FB7">
        <w:rPr>
          <w:rFonts w:ascii="Times New Roman" w:hAnsi="Times New Roman"/>
          <w:color w:val="auto"/>
          <w:sz w:val="24"/>
          <w:szCs w:val="24"/>
          <w:lang w:val="en-US"/>
        </w:rPr>
        <w:t xml:space="preserve">related </w:t>
      </w:r>
      <w:r w:rsidR="00C21E2A" w:rsidRPr="00714FB7">
        <w:rPr>
          <w:rFonts w:ascii="Times New Roman" w:hAnsi="Times New Roman"/>
          <w:color w:val="auto"/>
          <w:sz w:val="24"/>
          <w:szCs w:val="24"/>
          <w:lang w:val="en-US"/>
        </w:rPr>
        <w:t>performance indicators</w:t>
      </w:r>
      <w:r w:rsidR="00E707F4" w:rsidRPr="00714FB7">
        <w:rPr>
          <w:rFonts w:ascii="Times New Roman" w:hAnsi="Times New Roman"/>
          <w:color w:val="auto"/>
          <w:sz w:val="24"/>
          <w:szCs w:val="24"/>
          <w:lang w:val="en-US"/>
        </w:rPr>
        <w:t>.</w:t>
      </w:r>
      <w:r w:rsidR="00055CF1" w:rsidRPr="00714FB7">
        <w:rPr>
          <w:rFonts w:ascii="Times New Roman" w:hAnsi="Times New Roman"/>
          <w:color w:val="auto"/>
          <w:sz w:val="24"/>
          <w:szCs w:val="24"/>
          <w:lang w:val="en-US"/>
        </w:rPr>
        <w:t xml:space="preserve"> </w:t>
      </w:r>
      <w:r w:rsidR="00E707F4" w:rsidRPr="00714FB7">
        <w:rPr>
          <w:rFonts w:ascii="Times New Roman" w:hAnsi="Times New Roman"/>
          <w:color w:val="auto"/>
          <w:sz w:val="24"/>
          <w:szCs w:val="24"/>
          <w:lang w:val="en-US"/>
        </w:rPr>
        <w:t>The Committee</w:t>
      </w:r>
      <w:r w:rsidR="00055CF1" w:rsidRPr="00714FB7">
        <w:rPr>
          <w:rFonts w:ascii="Times New Roman" w:hAnsi="Times New Roman"/>
          <w:color w:val="auto"/>
          <w:sz w:val="24"/>
          <w:szCs w:val="24"/>
          <w:lang w:val="en-US"/>
        </w:rPr>
        <w:t xml:space="preserve"> t</w:t>
      </w:r>
      <w:r w:rsidR="00802932" w:rsidRPr="00714FB7">
        <w:rPr>
          <w:rFonts w:ascii="Times New Roman" w:hAnsi="Times New Roman"/>
          <w:color w:val="auto"/>
          <w:sz w:val="24"/>
          <w:szCs w:val="24"/>
          <w:lang w:val="en-US"/>
        </w:rPr>
        <w:t>hus questions the alignment of the budget to performance</w:t>
      </w:r>
      <w:r w:rsidR="000D5FFB" w:rsidRPr="00714FB7">
        <w:rPr>
          <w:rFonts w:ascii="Times New Roman" w:hAnsi="Times New Roman"/>
          <w:color w:val="auto"/>
          <w:sz w:val="24"/>
          <w:szCs w:val="24"/>
          <w:lang w:val="en-US"/>
        </w:rPr>
        <w:t xml:space="preserve"> against set targets</w:t>
      </w:r>
      <w:r w:rsidR="00802932" w:rsidRPr="00714FB7">
        <w:rPr>
          <w:rFonts w:ascii="Times New Roman" w:hAnsi="Times New Roman"/>
          <w:color w:val="auto"/>
          <w:sz w:val="24"/>
          <w:szCs w:val="24"/>
          <w:lang w:val="en-US"/>
        </w:rPr>
        <w:t xml:space="preserve">. </w:t>
      </w:r>
    </w:p>
    <w:p w:rsidR="00A5709A" w:rsidRPr="00714FB7" w:rsidRDefault="00A5709A" w:rsidP="00BA17D2">
      <w:pPr>
        <w:pStyle w:val="ListParagraph"/>
        <w:numPr>
          <w:ilvl w:val="0"/>
          <w:numId w:val="14"/>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Committee was concerned about the removal of the performance indicator related to the CCOD </w:t>
      </w:r>
      <w:r w:rsidR="00A44978" w:rsidRPr="00714FB7">
        <w:rPr>
          <w:rFonts w:ascii="Times New Roman" w:hAnsi="Times New Roman"/>
          <w:color w:val="auto"/>
          <w:sz w:val="24"/>
          <w:szCs w:val="24"/>
          <w:lang w:val="en-US"/>
        </w:rPr>
        <w:t xml:space="preserve">from Programme 6 </w:t>
      </w:r>
      <w:r w:rsidRPr="00714FB7">
        <w:rPr>
          <w:rFonts w:ascii="Times New Roman" w:hAnsi="Times New Roman"/>
          <w:color w:val="auto"/>
          <w:sz w:val="24"/>
          <w:szCs w:val="24"/>
          <w:lang w:val="en-US"/>
        </w:rPr>
        <w:t>(ensure that the compensation commissioner eliminates the backlog of audited annual financial statements by 2019/20 by external actuarial and financial experts to support this process)</w:t>
      </w:r>
      <w:r w:rsidR="006D419B" w:rsidRPr="00714FB7">
        <w:rPr>
          <w:rFonts w:ascii="Times New Roman" w:hAnsi="Times New Roman"/>
          <w:color w:val="auto"/>
          <w:sz w:val="24"/>
          <w:szCs w:val="24"/>
          <w:lang w:val="en-US"/>
        </w:rPr>
        <w:t>.</w:t>
      </w:r>
    </w:p>
    <w:p w:rsidR="00207966" w:rsidRPr="00714FB7" w:rsidRDefault="009D1BE2" w:rsidP="00207966">
      <w:pPr>
        <w:pStyle w:val="ListParagraph"/>
        <w:numPr>
          <w:ilvl w:val="0"/>
          <w:numId w:val="14"/>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C</w:t>
      </w:r>
      <w:r w:rsidR="00207966" w:rsidRPr="00714FB7">
        <w:rPr>
          <w:rFonts w:ascii="Times New Roman" w:hAnsi="Times New Roman"/>
          <w:color w:val="auto"/>
          <w:sz w:val="24"/>
          <w:szCs w:val="24"/>
          <w:lang w:val="en-US"/>
        </w:rPr>
        <w:t xml:space="preserve">oncern was raised </w:t>
      </w:r>
      <w:r w:rsidRPr="00714FB7">
        <w:rPr>
          <w:rFonts w:ascii="Times New Roman" w:hAnsi="Times New Roman"/>
          <w:color w:val="auto"/>
          <w:sz w:val="24"/>
          <w:szCs w:val="24"/>
          <w:lang w:val="en-US"/>
        </w:rPr>
        <w:t>with</w:t>
      </w:r>
      <w:r w:rsidR="00207966" w:rsidRPr="00714FB7">
        <w:rPr>
          <w:rFonts w:ascii="Times New Roman" w:hAnsi="Times New Roman"/>
          <w:color w:val="auto"/>
          <w:sz w:val="24"/>
          <w:szCs w:val="24"/>
          <w:lang w:val="en-US"/>
        </w:rPr>
        <w:t xml:space="preserve"> the targets of infrastructure projects </w:t>
      </w:r>
      <w:r w:rsidRPr="00714FB7">
        <w:rPr>
          <w:rFonts w:ascii="Times New Roman" w:hAnsi="Times New Roman"/>
          <w:color w:val="auto"/>
          <w:sz w:val="24"/>
          <w:szCs w:val="24"/>
          <w:lang w:val="en-US"/>
        </w:rPr>
        <w:t>being annual and</w:t>
      </w:r>
      <w:r w:rsidR="00207966" w:rsidRPr="00714FB7">
        <w:rPr>
          <w:rFonts w:ascii="Times New Roman" w:hAnsi="Times New Roman"/>
          <w:color w:val="auto"/>
          <w:sz w:val="24"/>
          <w:szCs w:val="24"/>
          <w:lang w:val="en-US"/>
        </w:rPr>
        <w:t xml:space="preserve"> not quarterly, </w:t>
      </w:r>
      <w:r w:rsidRPr="00714FB7">
        <w:rPr>
          <w:rFonts w:ascii="Times New Roman" w:hAnsi="Times New Roman"/>
          <w:color w:val="auto"/>
          <w:sz w:val="24"/>
          <w:szCs w:val="24"/>
          <w:lang w:val="en-US"/>
        </w:rPr>
        <w:t xml:space="preserve">thus </w:t>
      </w:r>
      <w:r w:rsidR="006D18B1" w:rsidRPr="00714FB7">
        <w:rPr>
          <w:rFonts w:ascii="Times New Roman" w:hAnsi="Times New Roman"/>
          <w:color w:val="auto"/>
          <w:sz w:val="24"/>
          <w:szCs w:val="24"/>
          <w:lang w:val="en-US"/>
        </w:rPr>
        <w:t>making</w:t>
      </w:r>
      <w:r w:rsidR="00207966" w:rsidRPr="00714FB7">
        <w:rPr>
          <w:rFonts w:ascii="Times New Roman" w:hAnsi="Times New Roman"/>
          <w:color w:val="auto"/>
          <w:sz w:val="24"/>
          <w:szCs w:val="24"/>
          <w:lang w:val="en-US"/>
        </w:rPr>
        <w:t xml:space="preserve"> it difficult for the Committee to trac</w:t>
      </w:r>
      <w:r w:rsidRPr="00714FB7">
        <w:rPr>
          <w:rFonts w:ascii="Times New Roman" w:hAnsi="Times New Roman"/>
          <w:color w:val="auto"/>
          <w:sz w:val="24"/>
          <w:szCs w:val="24"/>
          <w:lang w:val="en-US"/>
        </w:rPr>
        <w:t>k</w:t>
      </w:r>
      <w:r w:rsidR="00207966" w:rsidRPr="00714FB7">
        <w:rPr>
          <w:rFonts w:ascii="Times New Roman" w:hAnsi="Times New Roman"/>
          <w:color w:val="auto"/>
          <w:sz w:val="24"/>
          <w:szCs w:val="24"/>
          <w:lang w:val="en-US"/>
        </w:rPr>
        <w:t xml:space="preserve"> performance over the course of the financial year.</w:t>
      </w:r>
    </w:p>
    <w:p w:rsidR="00E97C2F" w:rsidRPr="00714FB7" w:rsidRDefault="00E97C2F" w:rsidP="00E97C2F">
      <w:pPr>
        <w:pStyle w:val="ListParagraph"/>
        <w:numPr>
          <w:ilvl w:val="0"/>
          <w:numId w:val="14"/>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Committee was concerned that the APP does not elevate the concerning rise in non-communicable disease burden, </w:t>
      </w:r>
      <w:r w:rsidR="000C665A" w:rsidRPr="00714FB7">
        <w:rPr>
          <w:rFonts w:ascii="Times New Roman" w:hAnsi="Times New Roman"/>
          <w:color w:val="auto"/>
          <w:sz w:val="24"/>
          <w:szCs w:val="24"/>
          <w:lang w:val="en-US"/>
        </w:rPr>
        <w:t xml:space="preserve">with only </w:t>
      </w:r>
      <w:r w:rsidRPr="00714FB7">
        <w:rPr>
          <w:rFonts w:ascii="Times New Roman" w:hAnsi="Times New Roman"/>
          <w:color w:val="auto"/>
          <w:sz w:val="24"/>
          <w:szCs w:val="24"/>
          <w:lang w:val="en-US"/>
        </w:rPr>
        <w:t>a few</w:t>
      </w:r>
      <w:r w:rsidR="000C665A" w:rsidRPr="00714FB7">
        <w:rPr>
          <w:rFonts w:ascii="Times New Roman" w:hAnsi="Times New Roman"/>
          <w:color w:val="auto"/>
          <w:sz w:val="24"/>
          <w:szCs w:val="24"/>
          <w:lang w:val="en-US"/>
        </w:rPr>
        <w:t xml:space="preserve"> performance indicators pertaining</w:t>
      </w:r>
      <w:r w:rsidRPr="00714FB7">
        <w:rPr>
          <w:rFonts w:ascii="Times New Roman" w:hAnsi="Times New Roman"/>
          <w:color w:val="auto"/>
          <w:sz w:val="24"/>
          <w:szCs w:val="24"/>
          <w:lang w:val="en-US"/>
        </w:rPr>
        <w:t xml:space="preserve"> to NCDs. </w:t>
      </w:r>
    </w:p>
    <w:p w:rsidR="00E97C2F" w:rsidRPr="00714FB7" w:rsidRDefault="00E97C2F" w:rsidP="00E97C2F">
      <w:pPr>
        <w:numPr>
          <w:ilvl w:val="0"/>
          <w:numId w:val="14"/>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There is no indication in the strategic plan and APP on how the Department will integrate its activities with other departments with regards to tackling the social determinants of health as outlined in the NDP.</w:t>
      </w:r>
    </w:p>
    <w:p w:rsidR="00AD4473" w:rsidRPr="00714FB7" w:rsidRDefault="00233027" w:rsidP="00AD4473">
      <w:pPr>
        <w:pStyle w:val="ListParagraph"/>
        <w:numPr>
          <w:ilvl w:val="0"/>
          <w:numId w:val="14"/>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Committee </w:t>
      </w:r>
      <w:r w:rsidR="00207966" w:rsidRPr="00714FB7">
        <w:rPr>
          <w:rFonts w:ascii="Times New Roman" w:hAnsi="Times New Roman"/>
          <w:color w:val="auto"/>
          <w:sz w:val="24"/>
          <w:szCs w:val="24"/>
          <w:lang w:val="en-US"/>
        </w:rPr>
        <w:t>was</w:t>
      </w:r>
      <w:r w:rsidR="005314C9" w:rsidRPr="00714FB7">
        <w:rPr>
          <w:rFonts w:ascii="Times New Roman" w:hAnsi="Times New Roman"/>
          <w:color w:val="auto"/>
          <w:sz w:val="24"/>
          <w:szCs w:val="24"/>
          <w:lang w:val="en-US"/>
        </w:rPr>
        <w:t xml:space="preserve"> concern</w:t>
      </w:r>
      <w:r w:rsidR="00207966" w:rsidRPr="00714FB7">
        <w:rPr>
          <w:rFonts w:ascii="Times New Roman" w:hAnsi="Times New Roman"/>
          <w:color w:val="auto"/>
          <w:sz w:val="24"/>
          <w:szCs w:val="24"/>
          <w:lang w:val="en-US"/>
        </w:rPr>
        <w:t>ed about</w:t>
      </w:r>
      <w:r w:rsidR="005314C9" w:rsidRPr="00714FB7">
        <w:rPr>
          <w:rFonts w:ascii="Times New Roman" w:hAnsi="Times New Roman"/>
          <w:color w:val="auto"/>
          <w:sz w:val="24"/>
          <w:szCs w:val="24"/>
          <w:lang w:val="en-US"/>
        </w:rPr>
        <w:t xml:space="preserve"> the lack </w:t>
      </w:r>
      <w:r w:rsidR="00B6211B" w:rsidRPr="00714FB7">
        <w:rPr>
          <w:rFonts w:ascii="Times New Roman" w:hAnsi="Times New Roman"/>
          <w:color w:val="auto"/>
          <w:sz w:val="24"/>
          <w:szCs w:val="24"/>
          <w:lang w:val="en-US"/>
        </w:rPr>
        <w:t xml:space="preserve">of </w:t>
      </w:r>
      <w:r w:rsidR="000C665A" w:rsidRPr="00714FB7">
        <w:rPr>
          <w:rFonts w:ascii="Times New Roman" w:hAnsi="Times New Roman"/>
          <w:color w:val="auto"/>
          <w:sz w:val="24"/>
          <w:szCs w:val="24"/>
          <w:lang w:val="en-US"/>
        </w:rPr>
        <w:t>indicators for</w:t>
      </w:r>
      <w:r w:rsidRPr="00714FB7">
        <w:rPr>
          <w:rFonts w:ascii="Times New Roman" w:hAnsi="Times New Roman"/>
          <w:color w:val="auto"/>
          <w:sz w:val="24"/>
          <w:szCs w:val="24"/>
          <w:lang w:val="en-US"/>
        </w:rPr>
        <w:t xml:space="preserve"> the integrated school health programme, particularly </w:t>
      </w:r>
      <w:r w:rsidR="005314C9" w:rsidRPr="00714FB7">
        <w:rPr>
          <w:rFonts w:ascii="Times New Roman" w:hAnsi="Times New Roman"/>
          <w:color w:val="auto"/>
          <w:sz w:val="24"/>
          <w:szCs w:val="24"/>
          <w:lang w:val="en-US"/>
        </w:rPr>
        <w:t xml:space="preserve">on </w:t>
      </w:r>
      <w:r w:rsidR="00DB6B10" w:rsidRPr="00714FB7">
        <w:rPr>
          <w:rFonts w:ascii="Times New Roman" w:hAnsi="Times New Roman"/>
          <w:color w:val="auto"/>
          <w:sz w:val="24"/>
          <w:szCs w:val="24"/>
          <w:lang w:val="en-US"/>
        </w:rPr>
        <w:t>education</w:t>
      </w:r>
      <w:r w:rsidR="009D5360" w:rsidRPr="00714FB7">
        <w:rPr>
          <w:rFonts w:ascii="Times New Roman" w:hAnsi="Times New Roman"/>
          <w:color w:val="auto"/>
          <w:sz w:val="24"/>
          <w:szCs w:val="24"/>
          <w:lang w:val="en-US"/>
        </w:rPr>
        <w:t xml:space="preserve"> programme</w:t>
      </w:r>
      <w:r w:rsidR="00000E3E" w:rsidRPr="00714FB7">
        <w:rPr>
          <w:rFonts w:ascii="Times New Roman" w:hAnsi="Times New Roman"/>
          <w:color w:val="auto"/>
          <w:sz w:val="24"/>
          <w:szCs w:val="24"/>
          <w:lang w:val="en-US"/>
        </w:rPr>
        <w:t>s</w:t>
      </w:r>
      <w:r w:rsidR="00AD4473" w:rsidRPr="00714FB7">
        <w:rPr>
          <w:rFonts w:ascii="Times New Roman" w:hAnsi="Times New Roman"/>
          <w:color w:val="auto"/>
          <w:sz w:val="24"/>
          <w:szCs w:val="24"/>
          <w:lang w:val="en-US"/>
        </w:rPr>
        <w:t>.</w:t>
      </w:r>
      <w:r w:rsidR="009D5360" w:rsidRPr="00714FB7">
        <w:rPr>
          <w:rFonts w:ascii="Times New Roman" w:hAnsi="Times New Roman"/>
          <w:color w:val="auto"/>
          <w:sz w:val="24"/>
          <w:szCs w:val="24"/>
          <w:lang w:val="en-US"/>
        </w:rPr>
        <w:t xml:space="preserve"> </w:t>
      </w:r>
      <w:r w:rsidR="00F51F5D" w:rsidRPr="00714FB7">
        <w:rPr>
          <w:rFonts w:ascii="Times New Roman" w:hAnsi="Times New Roman"/>
          <w:color w:val="auto"/>
          <w:sz w:val="24"/>
          <w:szCs w:val="24"/>
          <w:lang w:val="en-US"/>
        </w:rPr>
        <w:t xml:space="preserve"> </w:t>
      </w:r>
      <w:r w:rsidR="001625A9" w:rsidRPr="00714FB7">
        <w:rPr>
          <w:rFonts w:ascii="Times New Roman" w:hAnsi="Times New Roman"/>
          <w:color w:val="auto"/>
          <w:sz w:val="24"/>
          <w:szCs w:val="24"/>
          <w:lang w:val="en-US"/>
        </w:rPr>
        <w:t xml:space="preserve"> </w:t>
      </w:r>
    </w:p>
    <w:p w:rsidR="00000E3E" w:rsidRPr="00714FB7" w:rsidRDefault="00000E3E" w:rsidP="00AD4473">
      <w:pPr>
        <w:pStyle w:val="ListParagraph"/>
        <w:numPr>
          <w:ilvl w:val="0"/>
          <w:numId w:val="14"/>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Committee raised the need to strengthen strategies for the reduction of mortality due to injury</w:t>
      </w:r>
      <w:r w:rsidR="007233E3" w:rsidRPr="00714FB7">
        <w:rPr>
          <w:rFonts w:ascii="Times New Roman" w:hAnsi="Times New Roman"/>
          <w:color w:val="auto"/>
          <w:sz w:val="24"/>
          <w:szCs w:val="24"/>
          <w:lang w:val="en-US"/>
        </w:rPr>
        <w:t xml:space="preserve"> </w:t>
      </w:r>
      <w:r w:rsidR="00055CF1" w:rsidRPr="00714FB7">
        <w:rPr>
          <w:rFonts w:ascii="Times New Roman" w:hAnsi="Times New Roman"/>
          <w:color w:val="auto"/>
          <w:sz w:val="24"/>
          <w:szCs w:val="24"/>
          <w:lang w:val="en-US"/>
        </w:rPr>
        <w:t>by working</w:t>
      </w:r>
      <w:r w:rsidR="007233E3" w:rsidRPr="00714FB7">
        <w:rPr>
          <w:rFonts w:ascii="Times New Roman" w:hAnsi="Times New Roman"/>
          <w:color w:val="auto"/>
          <w:sz w:val="24"/>
          <w:szCs w:val="24"/>
          <w:lang w:val="en-US"/>
        </w:rPr>
        <w:t xml:space="preserve"> </w:t>
      </w:r>
      <w:r w:rsidR="003F58A7" w:rsidRPr="00714FB7">
        <w:rPr>
          <w:rFonts w:ascii="Times New Roman" w:hAnsi="Times New Roman"/>
          <w:color w:val="auto"/>
          <w:sz w:val="24"/>
          <w:szCs w:val="24"/>
          <w:lang w:val="en-US"/>
        </w:rPr>
        <w:t xml:space="preserve">together </w:t>
      </w:r>
      <w:r w:rsidR="007233E3" w:rsidRPr="00714FB7">
        <w:rPr>
          <w:rFonts w:ascii="Times New Roman" w:hAnsi="Times New Roman"/>
          <w:color w:val="auto"/>
          <w:sz w:val="24"/>
          <w:szCs w:val="24"/>
          <w:lang w:val="en-US"/>
        </w:rPr>
        <w:t xml:space="preserve">with the Department of Transport in reducing </w:t>
      </w:r>
      <w:r w:rsidR="00055CF1" w:rsidRPr="00714FB7">
        <w:rPr>
          <w:rFonts w:ascii="Times New Roman" w:hAnsi="Times New Roman"/>
          <w:color w:val="auto"/>
          <w:sz w:val="24"/>
          <w:szCs w:val="24"/>
          <w:lang w:val="en-US"/>
        </w:rPr>
        <w:t xml:space="preserve">road </w:t>
      </w:r>
      <w:r w:rsidR="007233E3" w:rsidRPr="00714FB7">
        <w:rPr>
          <w:rFonts w:ascii="Times New Roman" w:hAnsi="Times New Roman"/>
          <w:color w:val="auto"/>
          <w:sz w:val="24"/>
          <w:szCs w:val="24"/>
          <w:lang w:val="en-US"/>
        </w:rPr>
        <w:t>accident injuries and deaths</w:t>
      </w:r>
      <w:r w:rsidRPr="00714FB7">
        <w:rPr>
          <w:rFonts w:ascii="Times New Roman" w:hAnsi="Times New Roman"/>
          <w:color w:val="auto"/>
          <w:sz w:val="24"/>
          <w:szCs w:val="24"/>
          <w:lang w:val="en-US"/>
        </w:rPr>
        <w:t>.</w:t>
      </w:r>
    </w:p>
    <w:p w:rsidR="00DB6B10" w:rsidRPr="00714FB7" w:rsidRDefault="00DB6B10" w:rsidP="00BA17D2">
      <w:pPr>
        <w:pStyle w:val="ListParagraph"/>
        <w:numPr>
          <w:ilvl w:val="0"/>
          <w:numId w:val="14"/>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Committee </w:t>
      </w:r>
      <w:r w:rsidR="00207966" w:rsidRPr="00714FB7">
        <w:rPr>
          <w:rFonts w:ascii="Times New Roman" w:hAnsi="Times New Roman"/>
          <w:color w:val="auto"/>
          <w:sz w:val="24"/>
          <w:szCs w:val="24"/>
          <w:lang w:val="en-US"/>
        </w:rPr>
        <w:t xml:space="preserve">raised </w:t>
      </w:r>
      <w:r w:rsidR="000C665A" w:rsidRPr="00714FB7">
        <w:rPr>
          <w:rFonts w:ascii="Times New Roman" w:hAnsi="Times New Roman"/>
          <w:color w:val="auto"/>
          <w:sz w:val="24"/>
          <w:szCs w:val="24"/>
          <w:lang w:val="en-US"/>
        </w:rPr>
        <w:t>its</w:t>
      </w:r>
      <w:r w:rsidR="00207966" w:rsidRPr="00714FB7">
        <w:rPr>
          <w:rFonts w:ascii="Times New Roman" w:hAnsi="Times New Roman"/>
          <w:color w:val="auto"/>
          <w:sz w:val="24"/>
          <w:szCs w:val="24"/>
          <w:lang w:val="en-US"/>
        </w:rPr>
        <w:t xml:space="preserve"> </w:t>
      </w:r>
      <w:r w:rsidR="000C665A" w:rsidRPr="00714FB7">
        <w:rPr>
          <w:rFonts w:ascii="Times New Roman" w:hAnsi="Times New Roman"/>
          <w:color w:val="auto"/>
          <w:sz w:val="24"/>
          <w:szCs w:val="24"/>
          <w:lang w:val="en-US"/>
        </w:rPr>
        <w:t>concern</w:t>
      </w:r>
      <w:r w:rsidRPr="00714FB7">
        <w:rPr>
          <w:rFonts w:ascii="Times New Roman" w:hAnsi="Times New Roman"/>
          <w:color w:val="auto"/>
          <w:sz w:val="24"/>
          <w:szCs w:val="24"/>
          <w:lang w:val="en-US"/>
        </w:rPr>
        <w:t xml:space="preserve"> about the implementation of the </w:t>
      </w:r>
      <w:r w:rsidRPr="00714FB7">
        <w:rPr>
          <w:rFonts w:ascii="Times New Roman" w:hAnsi="Times New Roman"/>
          <w:color w:val="auto"/>
          <w:sz w:val="24"/>
          <w:szCs w:val="24"/>
        </w:rPr>
        <w:t>Mental Health Policy Framework and Strategic Plan (2013-2020)</w:t>
      </w:r>
      <w:r w:rsidR="00AD4473" w:rsidRPr="00714FB7">
        <w:rPr>
          <w:rFonts w:ascii="Times New Roman" w:hAnsi="Times New Roman"/>
          <w:color w:val="auto"/>
          <w:sz w:val="24"/>
          <w:szCs w:val="24"/>
        </w:rPr>
        <w:t>,</w:t>
      </w:r>
      <w:r w:rsidR="00F51A67" w:rsidRPr="00714FB7">
        <w:rPr>
          <w:rFonts w:ascii="Times New Roman" w:hAnsi="Times New Roman"/>
          <w:color w:val="auto"/>
          <w:sz w:val="24"/>
          <w:szCs w:val="24"/>
        </w:rPr>
        <w:t xml:space="preserve"> related </w:t>
      </w:r>
      <w:r w:rsidR="000C665A" w:rsidRPr="00714FB7">
        <w:rPr>
          <w:rFonts w:ascii="Times New Roman" w:hAnsi="Times New Roman"/>
          <w:color w:val="auto"/>
          <w:sz w:val="24"/>
          <w:szCs w:val="24"/>
        </w:rPr>
        <w:t>to accountability and</w:t>
      </w:r>
      <w:r w:rsidR="00F51A67" w:rsidRPr="00714FB7">
        <w:rPr>
          <w:rFonts w:ascii="Times New Roman" w:hAnsi="Times New Roman"/>
          <w:color w:val="auto"/>
          <w:sz w:val="24"/>
          <w:szCs w:val="24"/>
        </w:rPr>
        <w:t xml:space="preserve"> resources required to implement the plan, governance, surveillance</w:t>
      </w:r>
      <w:r w:rsidR="0088580C" w:rsidRPr="00714FB7">
        <w:rPr>
          <w:rFonts w:ascii="Times New Roman" w:hAnsi="Times New Roman"/>
          <w:color w:val="auto"/>
          <w:sz w:val="24"/>
          <w:szCs w:val="24"/>
        </w:rPr>
        <w:t xml:space="preserve"> and monitoring system</w:t>
      </w:r>
      <w:r w:rsidR="003F58A7" w:rsidRPr="00714FB7">
        <w:rPr>
          <w:rFonts w:ascii="Times New Roman" w:hAnsi="Times New Roman"/>
          <w:color w:val="auto"/>
          <w:sz w:val="24"/>
          <w:szCs w:val="24"/>
        </w:rPr>
        <w:t>s</w:t>
      </w:r>
      <w:r w:rsidR="003701E7" w:rsidRPr="00714FB7">
        <w:rPr>
          <w:rFonts w:ascii="Times New Roman" w:hAnsi="Times New Roman"/>
          <w:color w:val="auto"/>
          <w:sz w:val="24"/>
          <w:szCs w:val="24"/>
        </w:rPr>
        <w:t>,</w:t>
      </w:r>
      <w:r w:rsidR="00F51A67" w:rsidRPr="00714FB7">
        <w:rPr>
          <w:rFonts w:ascii="Times New Roman" w:hAnsi="Times New Roman"/>
          <w:color w:val="auto"/>
          <w:sz w:val="24"/>
          <w:szCs w:val="24"/>
        </w:rPr>
        <w:t xml:space="preserve"> and infrastructure. </w:t>
      </w:r>
    </w:p>
    <w:p w:rsidR="00582C71" w:rsidRPr="00714FB7" w:rsidRDefault="00AD4473" w:rsidP="005314C9">
      <w:pPr>
        <w:pStyle w:val="ListParagraph"/>
        <w:numPr>
          <w:ilvl w:val="0"/>
          <w:numId w:val="14"/>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rPr>
        <w:t xml:space="preserve">The Committee </w:t>
      </w:r>
      <w:r w:rsidR="001A365F" w:rsidRPr="00714FB7">
        <w:rPr>
          <w:rFonts w:ascii="Times New Roman" w:hAnsi="Times New Roman"/>
          <w:color w:val="auto"/>
          <w:sz w:val="24"/>
          <w:szCs w:val="24"/>
        </w:rPr>
        <w:t xml:space="preserve">was concerned about the inadequate </w:t>
      </w:r>
      <w:r w:rsidR="00585E17" w:rsidRPr="00714FB7">
        <w:rPr>
          <w:rFonts w:ascii="Times New Roman" w:hAnsi="Times New Roman"/>
          <w:color w:val="auto"/>
          <w:sz w:val="24"/>
          <w:szCs w:val="24"/>
        </w:rPr>
        <w:t>maintenance</w:t>
      </w:r>
      <w:r w:rsidR="001A365F" w:rsidRPr="00714FB7">
        <w:rPr>
          <w:rFonts w:ascii="Times New Roman" w:hAnsi="Times New Roman"/>
          <w:color w:val="auto"/>
          <w:sz w:val="24"/>
          <w:szCs w:val="24"/>
        </w:rPr>
        <w:t xml:space="preserve"> budget for public health infrastructure and medical equipment.</w:t>
      </w:r>
      <w:r w:rsidR="00497C58" w:rsidRPr="00714FB7">
        <w:rPr>
          <w:rFonts w:ascii="Times New Roman" w:hAnsi="Times New Roman"/>
          <w:color w:val="auto"/>
          <w:sz w:val="24"/>
          <w:szCs w:val="24"/>
        </w:rPr>
        <w:t xml:space="preserve"> </w:t>
      </w:r>
    </w:p>
    <w:p w:rsidR="005314C9" w:rsidRPr="00714FB7" w:rsidRDefault="00582C71" w:rsidP="005314C9">
      <w:pPr>
        <w:pStyle w:val="ListParagraph"/>
        <w:numPr>
          <w:ilvl w:val="0"/>
          <w:numId w:val="14"/>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Committee </w:t>
      </w:r>
      <w:r w:rsidR="001A365F" w:rsidRPr="00714FB7">
        <w:rPr>
          <w:rFonts w:ascii="Times New Roman" w:hAnsi="Times New Roman"/>
          <w:color w:val="auto"/>
          <w:sz w:val="24"/>
          <w:szCs w:val="24"/>
          <w:lang w:val="en-US"/>
        </w:rPr>
        <w:t xml:space="preserve">raised a </w:t>
      </w:r>
      <w:r w:rsidRPr="00714FB7">
        <w:rPr>
          <w:rFonts w:ascii="Times New Roman" w:hAnsi="Times New Roman"/>
          <w:color w:val="auto"/>
          <w:sz w:val="24"/>
          <w:szCs w:val="24"/>
          <w:lang w:val="en-US"/>
        </w:rPr>
        <w:t>concern</w:t>
      </w:r>
      <w:r w:rsidR="00207966" w:rsidRPr="00714FB7">
        <w:rPr>
          <w:rFonts w:ascii="Times New Roman" w:hAnsi="Times New Roman"/>
          <w:color w:val="auto"/>
          <w:sz w:val="24"/>
          <w:szCs w:val="24"/>
          <w:lang w:val="en-US"/>
        </w:rPr>
        <w:t xml:space="preserve"> about</w:t>
      </w:r>
      <w:r w:rsidRPr="00714FB7">
        <w:rPr>
          <w:rFonts w:ascii="Times New Roman" w:hAnsi="Times New Roman"/>
          <w:color w:val="auto"/>
          <w:sz w:val="24"/>
          <w:szCs w:val="24"/>
          <w:lang w:val="en-US"/>
        </w:rPr>
        <w:t xml:space="preserve"> the effectiveness and efficienc</w:t>
      </w:r>
      <w:r w:rsidR="00802932" w:rsidRPr="00714FB7">
        <w:rPr>
          <w:rFonts w:ascii="Times New Roman" w:hAnsi="Times New Roman"/>
          <w:color w:val="auto"/>
          <w:sz w:val="24"/>
          <w:szCs w:val="24"/>
          <w:lang w:val="en-US"/>
        </w:rPr>
        <w:t xml:space="preserve">y of the district health system </w:t>
      </w:r>
      <w:r w:rsidR="003A0356" w:rsidRPr="00714FB7">
        <w:rPr>
          <w:rFonts w:ascii="Times New Roman" w:hAnsi="Times New Roman"/>
          <w:color w:val="auto"/>
          <w:sz w:val="24"/>
          <w:szCs w:val="24"/>
          <w:lang w:val="en-US"/>
        </w:rPr>
        <w:t xml:space="preserve">as a key health service delivery platform </w:t>
      </w:r>
      <w:r w:rsidR="00802932" w:rsidRPr="00714FB7">
        <w:rPr>
          <w:rFonts w:ascii="Times New Roman" w:hAnsi="Times New Roman"/>
          <w:color w:val="auto"/>
          <w:sz w:val="24"/>
          <w:szCs w:val="24"/>
          <w:lang w:val="en-US"/>
        </w:rPr>
        <w:t>and the lack of synergy</w:t>
      </w:r>
      <w:r w:rsidR="001A365F" w:rsidRPr="00714FB7">
        <w:rPr>
          <w:rFonts w:ascii="Times New Roman" w:hAnsi="Times New Roman"/>
          <w:color w:val="auto"/>
          <w:sz w:val="24"/>
          <w:szCs w:val="24"/>
          <w:lang w:val="en-US"/>
        </w:rPr>
        <w:t>.</w:t>
      </w:r>
      <w:r w:rsidR="00802932" w:rsidRPr="00714FB7">
        <w:rPr>
          <w:rFonts w:ascii="Times New Roman" w:hAnsi="Times New Roman"/>
          <w:color w:val="auto"/>
          <w:sz w:val="24"/>
          <w:szCs w:val="24"/>
          <w:lang w:val="en-US"/>
        </w:rPr>
        <w:t xml:space="preserve"> </w:t>
      </w:r>
    </w:p>
    <w:p w:rsidR="001A7660" w:rsidRPr="00714FB7" w:rsidRDefault="00FA48BD" w:rsidP="00BA17D2">
      <w:pPr>
        <w:pStyle w:val="ListParagraph"/>
        <w:numPr>
          <w:ilvl w:val="0"/>
          <w:numId w:val="14"/>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Committee </w:t>
      </w:r>
      <w:r w:rsidR="007D217A" w:rsidRPr="00714FB7">
        <w:rPr>
          <w:rFonts w:ascii="Times New Roman" w:hAnsi="Times New Roman"/>
          <w:color w:val="auto"/>
          <w:sz w:val="24"/>
          <w:szCs w:val="24"/>
          <w:lang w:val="en-US"/>
        </w:rPr>
        <w:t xml:space="preserve">expressed concern </w:t>
      </w:r>
      <w:r w:rsidR="001370A2" w:rsidRPr="00714FB7">
        <w:rPr>
          <w:rFonts w:ascii="Times New Roman" w:hAnsi="Times New Roman"/>
          <w:color w:val="auto"/>
          <w:sz w:val="24"/>
          <w:szCs w:val="24"/>
          <w:lang w:val="en-US"/>
        </w:rPr>
        <w:t>around</w:t>
      </w:r>
      <w:r w:rsidRPr="00714FB7">
        <w:rPr>
          <w:rFonts w:ascii="Times New Roman" w:hAnsi="Times New Roman"/>
          <w:color w:val="auto"/>
          <w:sz w:val="24"/>
          <w:szCs w:val="24"/>
          <w:lang w:val="en-US"/>
        </w:rPr>
        <w:t xml:space="preserve"> the sl</w:t>
      </w:r>
      <w:r w:rsidR="001A7660" w:rsidRPr="00714FB7">
        <w:rPr>
          <w:rFonts w:ascii="Times New Roman" w:hAnsi="Times New Roman"/>
          <w:color w:val="auto"/>
          <w:sz w:val="24"/>
          <w:szCs w:val="24"/>
          <w:lang w:val="en-US"/>
        </w:rPr>
        <w:t>ow progress in reducing maternal mortality and neonatal mortality</w:t>
      </w:r>
      <w:r w:rsidR="007D217A" w:rsidRPr="00714FB7">
        <w:rPr>
          <w:rFonts w:ascii="Times New Roman" w:hAnsi="Times New Roman"/>
          <w:color w:val="auto"/>
          <w:sz w:val="24"/>
          <w:szCs w:val="24"/>
          <w:lang w:val="en-US"/>
        </w:rPr>
        <w:t xml:space="preserve"> and questioned the success of programmes such as MomConnect</w:t>
      </w:r>
      <w:r w:rsidR="001A7660" w:rsidRPr="00714FB7">
        <w:rPr>
          <w:rFonts w:ascii="Times New Roman" w:hAnsi="Times New Roman"/>
          <w:color w:val="auto"/>
          <w:sz w:val="24"/>
          <w:szCs w:val="24"/>
          <w:lang w:val="en-US"/>
        </w:rPr>
        <w:t>.</w:t>
      </w:r>
    </w:p>
    <w:p w:rsidR="00AF547A" w:rsidRPr="00714FB7" w:rsidRDefault="001A7660" w:rsidP="00BA17D2">
      <w:pPr>
        <w:pStyle w:val="ListParagraph"/>
        <w:numPr>
          <w:ilvl w:val="0"/>
          <w:numId w:val="14"/>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Committee </w:t>
      </w:r>
      <w:r w:rsidR="00207966" w:rsidRPr="00714FB7">
        <w:rPr>
          <w:rFonts w:ascii="Times New Roman" w:hAnsi="Times New Roman"/>
          <w:color w:val="auto"/>
          <w:sz w:val="24"/>
          <w:szCs w:val="24"/>
          <w:lang w:val="en-US"/>
        </w:rPr>
        <w:t xml:space="preserve">noted with concern </w:t>
      </w:r>
      <w:r w:rsidRPr="00714FB7">
        <w:rPr>
          <w:rFonts w:ascii="Times New Roman" w:hAnsi="Times New Roman"/>
          <w:color w:val="auto"/>
          <w:sz w:val="24"/>
          <w:szCs w:val="24"/>
          <w:lang w:val="en-US"/>
        </w:rPr>
        <w:t xml:space="preserve">the slow progress in </w:t>
      </w:r>
      <w:r w:rsidR="001445A6" w:rsidRPr="00714FB7">
        <w:rPr>
          <w:rFonts w:ascii="Times New Roman" w:hAnsi="Times New Roman"/>
          <w:color w:val="auto"/>
          <w:sz w:val="24"/>
          <w:szCs w:val="24"/>
          <w:lang w:val="en-US"/>
        </w:rPr>
        <w:t xml:space="preserve">the </w:t>
      </w:r>
      <w:r w:rsidRPr="00714FB7">
        <w:rPr>
          <w:rFonts w:ascii="Times New Roman" w:hAnsi="Times New Roman"/>
          <w:color w:val="auto"/>
          <w:sz w:val="24"/>
          <w:szCs w:val="24"/>
          <w:lang w:val="en-US"/>
        </w:rPr>
        <w:t>implement</w:t>
      </w:r>
      <w:r w:rsidR="001445A6" w:rsidRPr="00714FB7">
        <w:rPr>
          <w:rFonts w:ascii="Times New Roman" w:hAnsi="Times New Roman"/>
          <w:color w:val="auto"/>
          <w:sz w:val="24"/>
          <w:szCs w:val="24"/>
          <w:lang w:val="en-US"/>
        </w:rPr>
        <w:t xml:space="preserve">ation of the </w:t>
      </w:r>
      <w:r w:rsidR="00BF2375" w:rsidRPr="00714FB7">
        <w:rPr>
          <w:rFonts w:ascii="Times New Roman" w:hAnsi="Times New Roman"/>
          <w:color w:val="auto"/>
          <w:sz w:val="24"/>
          <w:szCs w:val="24"/>
          <w:lang w:val="en-US"/>
        </w:rPr>
        <w:t xml:space="preserve">new </w:t>
      </w:r>
      <w:r w:rsidR="00DB75D9" w:rsidRPr="00714FB7">
        <w:rPr>
          <w:rFonts w:ascii="Times New Roman" w:hAnsi="Times New Roman"/>
          <w:color w:val="auto"/>
          <w:sz w:val="24"/>
          <w:szCs w:val="24"/>
          <w:lang w:val="en-US"/>
        </w:rPr>
        <w:t>nursing training</w:t>
      </w:r>
      <w:r w:rsidR="00BF2375" w:rsidRPr="00714FB7">
        <w:rPr>
          <w:rFonts w:ascii="Times New Roman" w:hAnsi="Times New Roman"/>
          <w:color w:val="auto"/>
          <w:sz w:val="24"/>
          <w:szCs w:val="24"/>
          <w:lang w:val="en-US"/>
        </w:rPr>
        <w:t xml:space="preserve"> programme</w:t>
      </w:r>
      <w:r w:rsidR="00DB75D9" w:rsidRPr="00714FB7">
        <w:rPr>
          <w:rFonts w:ascii="Times New Roman" w:hAnsi="Times New Roman"/>
          <w:color w:val="auto"/>
          <w:sz w:val="24"/>
          <w:szCs w:val="24"/>
          <w:lang w:val="en-US"/>
        </w:rPr>
        <w:t xml:space="preserve"> despite </w:t>
      </w:r>
      <w:r w:rsidR="00F17D86" w:rsidRPr="00714FB7">
        <w:rPr>
          <w:rFonts w:ascii="Times New Roman" w:hAnsi="Times New Roman"/>
          <w:color w:val="auto"/>
          <w:sz w:val="24"/>
          <w:szCs w:val="24"/>
          <w:lang w:val="en-US"/>
        </w:rPr>
        <w:t xml:space="preserve">having </w:t>
      </w:r>
      <w:r w:rsidR="00DB75D9" w:rsidRPr="00714FB7">
        <w:rPr>
          <w:rFonts w:ascii="Times New Roman" w:hAnsi="Times New Roman"/>
          <w:color w:val="auto"/>
          <w:sz w:val="24"/>
          <w:szCs w:val="24"/>
          <w:lang w:val="en-US"/>
        </w:rPr>
        <w:t>receiv</w:t>
      </w:r>
      <w:r w:rsidR="00F17D86" w:rsidRPr="00714FB7">
        <w:rPr>
          <w:rFonts w:ascii="Times New Roman" w:hAnsi="Times New Roman"/>
          <w:color w:val="auto"/>
          <w:sz w:val="24"/>
          <w:szCs w:val="24"/>
          <w:lang w:val="en-US"/>
        </w:rPr>
        <w:t>ed</w:t>
      </w:r>
      <w:r w:rsidR="00DB75D9" w:rsidRPr="00714FB7">
        <w:rPr>
          <w:rFonts w:ascii="Times New Roman" w:hAnsi="Times New Roman"/>
          <w:color w:val="auto"/>
          <w:sz w:val="24"/>
          <w:szCs w:val="24"/>
          <w:lang w:val="en-US"/>
        </w:rPr>
        <w:t xml:space="preserve"> a progress report from South African Nursing Council</w:t>
      </w:r>
      <w:r w:rsidR="00AD4473" w:rsidRPr="00714FB7">
        <w:rPr>
          <w:rFonts w:ascii="Times New Roman" w:hAnsi="Times New Roman"/>
          <w:color w:val="auto"/>
          <w:sz w:val="24"/>
          <w:szCs w:val="24"/>
          <w:lang w:val="en-US"/>
        </w:rPr>
        <w:t xml:space="preserve"> and the Chief Nursing Officer</w:t>
      </w:r>
      <w:r w:rsidR="001445A6" w:rsidRPr="00714FB7">
        <w:rPr>
          <w:rFonts w:ascii="Times New Roman" w:hAnsi="Times New Roman"/>
          <w:color w:val="auto"/>
          <w:sz w:val="24"/>
          <w:szCs w:val="24"/>
          <w:lang w:val="en-US"/>
        </w:rPr>
        <w:t>.</w:t>
      </w:r>
    </w:p>
    <w:p w:rsidR="00116A7E" w:rsidRPr="00714FB7" w:rsidRDefault="00B93FFD" w:rsidP="00BA17D2">
      <w:pPr>
        <w:pStyle w:val="ListParagraph"/>
        <w:numPr>
          <w:ilvl w:val="0"/>
          <w:numId w:val="14"/>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Committee noted the </w:t>
      </w:r>
      <w:r w:rsidR="00E97C2F" w:rsidRPr="00714FB7">
        <w:rPr>
          <w:rFonts w:ascii="Times New Roman" w:hAnsi="Times New Roman"/>
          <w:color w:val="auto"/>
          <w:sz w:val="24"/>
          <w:szCs w:val="24"/>
          <w:lang w:val="en-US"/>
        </w:rPr>
        <w:t xml:space="preserve">positive </w:t>
      </w:r>
      <w:r w:rsidRPr="00714FB7">
        <w:rPr>
          <w:rFonts w:ascii="Times New Roman" w:hAnsi="Times New Roman"/>
          <w:color w:val="auto"/>
          <w:sz w:val="24"/>
          <w:szCs w:val="24"/>
          <w:lang w:val="en-US"/>
        </w:rPr>
        <w:t xml:space="preserve">progress </w:t>
      </w:r>
      <w:r w:rsidR="001A679B" w:rsidRPr="00714FB7">
        <w:rPr>
          <w:rFonts w:ascii="Times New Roman" w:hAnsi="Times New Roman"/>
          <w:color w:val="auto"/>
          <w:sz w:val="24"/>
          <w:szCs w:val="24"/>
          <w:lang w:val="en-US"/>
        </w:rPr>
        <w:t>i</w:t>
      </w:r>
      <w:r w:rsidRPr="00714FB7">
        <w:rPr>
          <w:rFonts w:ascii="Times New Roman" w:hAnsi="Times New Roman"/>
          <w:color w:val="auto"/>
          <w:sz w:val="24"/>
          <w:szCs w:val="24"/>
          <w:lang w:val="en-US"/>
        </w:rPr>
        <w:t>n the implementation of the Ideal Clinic project</w:t>
      </w:r>
      <w:r w:rsidR="001A365F" w:rsidRPr="00714FB7">
        <w:rPr>
          <w:rFonts w:ascii="Times New Roman" w:hAnsi="Times New Roman"/>
          <w:color w:val="auto"/>
          <w:sz w:val="24"/>
          <w:szCs w:val="24"/>
          <w:lang w:val="en-US"/>
        </w:rPr>
        <w:t xml:space="preserve">, </w:t>
      </w:r>
      <w:r w:rsidR="004566A9" w:rsidRPr="00714FB7">
        <w:rPr>
          <w:rFonts w:ascii="Times New Roman" w:hAnsi="Times New Roman"/>
          <w:color w:val="auto"/>
          <w:sz w:val="24"/>
          <w:szCs w:val="24"/>
          <w:lang w:val="en-US"/>
        </w:rPr>
        <w:t>regardless</w:t>
      </w:r>
      <w:r w:rsidR="001A365F" w:rsidRPr="00714FB7">
        <w:rPr>
          <w:rFonts w:ascii="Times New Roman" w:hAnsi="Times New Roman"/>
          <w:color w:val="auto"/>
          <w:sz w:val="24"/>
          <w:szCs w:val="24"/>
          <w:lang w:val="en-US"/>
        </w:rPr>
        <w:t xml:space="preserve"> of the inadequate provincial budget allocation to implement the project.</w:t>
      </w:r>
    </w:p>
    <w:p w:rsidR="003B303D" w:rsidRPr="00714FB7" w:rsidRDefault="003B303D" w:rsidP="00BA17D2">
      <w:pPr>
        <w:pStyle w:val="ListParagraph"/>
        <w:numPr>
          <w:ilvl w:val="0"/>
          <w:numId w:val="14"/>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Committee was of the view that there is a need for a national approach to addressing malnutrition. </w:t>
      </w:r>
    </w:p>
    <w:p w:rsidR="00802932" w:rsidRPr="00714FB7" w:rsidRDefault="0076502E" w:rsidP="00BA17D2">
      <w:pPr>
        <w:pStyle w:val="ListParagraph"/>
        <w:numPr>
          <w:ilvl w:val="0"/>
          <w:numId w:val="14"/>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Committee </w:t>
      </w:r>
      <w:r w:rsidR="0024108A" w:rsidRPr="00714FB7">
        <w:rPr>
          <w:rFonts w:ascii="Times New Roman" w:hAnsi="Times New Roman"/>
          <w:color w:val="auto"/>
          <w:sz w:val="24"/>
          <w:szCs w:val="24"/>
          <w:lang w:val="en-US"/>
        </w:rPr>
        <w:t>sought clarity on</w:t>
      </w:r>
      <w:r w:rsidRPr="00714FB7">
        <w:rPr>
          <w:rFonts w:ascii="Times New Roman" w:hAnsi="Times New Roman"/>
          <w:color w:val="auto"/>
          <w:sz w:val="24"/>
          <w:szCs w:val="24"/>
          <w:lang w:val="en-US"/>
        </w:rPr>
        <w:t xml:space="preserve"> the functionality of the </w:t>
      </w:r>
      <w:r w:rsidR="00E97C2F" w:rsidRPr="00714FB7">
        <w:rPr>
          <w:rFonts w:ascii="Times New Roman" w:hAnsi="Times New Roman"/>
          <w:color w:val="auto"/>
          <w:sz w:val="24"/>
          <w:szCs w:val="24"/>
          <w:lang w:val="en-US"/>
        </w:rPr>
        <w:t>ward-based outreach teams</w:t>
      </w:r>
      <w:r w:rsidR="00802932" w:rsidRPr="00714FB7">
        <w:rPr>
          <w:rFonts w:ascii="Times New Roman" w:hAnsi="Times New Roman"/>
          <w:color w:val="auto"/>
          <w:sz w:val="24"/>
          <w:szCs w:val="24"/>
          <w:lang w:val="en-US"/>
        </w:rPr>
        <w:t xml:space="preserve"> </w:t>
      </w:r>
      <w:r w:rsidR="00E97C2F" w:rsidRPr="00714FB7">
        <w:rPr>
          <w:rFonts w:ascii="Times New Roman" w:hAnsi="Times New Roman"/>
          <w:color w:val="auto"/>
          <w:sz w:val="24"/>
          <w:szCs w:val="24"/>
          <w:lang w:val="en-US"/>
        </w:rPr>
        <w:t xml:space="preserve">(WBOTs) </w:t>
      </w:r>
      <w:r w:rsidR="00802932" w:rsidRPr="00714FB7">
        <w:rPr>
          <w:rFonts w:ascii="Times New Roman" w:hAnsi="Times New Roman"/>
          <w:color w:val="auto"/>
          <w:sz w:val="24"/>
          <w:szCs w:val="24"/>
          <w:lang w:val="en-US"/>
        </w:rPr>
        <w:t xml:space="preserve">and </w:t>
      </w:r>
      <w:r w:rsidR="003B66E2" w:rsidRPr="00714FB7">
        <w:rPr>
          <w:rFonts w:ascii="Times New Roman" w:hAnsi="Times New Roman"/>
          <w:color w:val="auto"/>
          <w:sz w:val="24"/>
          <w:szCs w:val="24"/>
          <w:lang w:val="en-US"/>
        </w:rPr>
        <w:t xml:space="preserve">integration of </w:t>
      </w:r>
      <w:r w:rsidR="00E97C2F" w:rsidRPr="00714FB7">
        <w:rPr>
          <w:rFonts w:ascii="Times New Roman" w:hAnsi="Times New Roman"/>
          <w:color w:val="auto"/>
          <w:sz w:val="24"/>
          <w:szCs w:val="24"/>
          <w:lang w:val="en-US"/>
        </w:rPr>
        <w:t>community health workers (CHWs)</w:t>
      </w:r>
      <w:r w:rsidR="009058CB" w:rsidRPr="00714FB7">
        <w:rPr>
          <w:rFonts w:ascii="Times New Roman" w:hAnsi="Times New Roman"/>
          <w:color w:val="auto"/>
          <w:sz w:val="24"/>
          <w:szCs w:val="24"/>
          <w:lang w:val="en-US"/>
        </w:rPr>
        <w:t>.</w:t>
      </w:r>
      <w:r w:rsidR="00DB13C7" w:rsidRPr="00714FB7">
        <w:rPr>
          <w:rFonts w:ascii="Times New Roman" w:hAnsi="Times New Roman"/>
          <w:color w:val="auto"/>
          <w:sz w:val="24"/>
          <w:szCs w:val="24"/>
          <w:lang w:val="en-US"/>
        </w:rPr>
        <w:t xml:space="preserve"> </w:t>
      </w:r>
      <w:r w:rsidR="00F61259" w:rsidRPr="00714FB7">
        <w:rPr>
          <w:rFonts w:ascii="Times New Roman" w:hAnsi="Times New Roman"/>
          <w:color w:val="auto"/>
          <w:sz w:val="24"/>
          <w:szCs w:val="24"/>
          <w:lang w:val="en-US"/>
        </w:rPr>
        <w:t>It noted that c</w:t>
      </w:r>
      <w:r w:rsidR="00DB13C7" w:rsidRPr="00714FB7">
        <w:rPr>
          <w:rFonts w:ascii="Times New Roman" w:hAnsi="Times New Roman"/>
          <w:color w:val="auto"/>
          <w:sz w:val="24"/>
          <w:szCs w:val="24"/>
          <w:lang w:val="en-US"/>
        </w:rPr>
        <w:t>lear integration of CHWs is lacking</w:t>
      </w:r>
      <w:r w:rsidR="00F61259" w:rsidRPr="00714FB7">
        <w:rPr>
          <w:rFonts w:ascii="Times New Roman" w:hAnsi="Times New Roman"/>
          <w:color w:val="auto"/>
          <w:sz w:val="24"/>
          <w:szCs w:val="24"/>
          <w:lang w:val="en-US"/>
        </w:rPr>
        <w:t xml:space="preserve"> and t</w:t>
      </w:r>
      <w:r w:rsidR="00DB13C7" w:rsidRPr="00714FB7">
        <w:rPr>
          <w:rFonts w:ascii="Times New Roman" w:hAnsi="Times New Roman"/>
          <w:color w:val="auto"/>
          <w:sz w:val="24"/>
          <w:szCs w:val="24"/>
          <w:lang w:val="en-US"/>
        </w:rPr>
        <w:t xml:space="preserve">here seem to be inconsistencies </w:t>
      </w:r>
      <w:r w:rsidR="00C27F72" w:rsidRPr="00714FB7">
        <w:rPr>
          <w:rFonts w:ascii="Times New Roman" w:hAnsi="Times New Roman"/>
          <w:color w:val="auto"/>
          <w:sz w:val="24"/>
          <w:szCs w:val="24"/>
          <w:lang w:val="en-US"/>
        </w:rPr>
        <w:t>between</w:t>
      </w:r>
      <w:r w:rsidR="00DB13C7" w:rsidRPr="00714FB7">
        <w:rPr>
          <w:rFonts w:ascii="Times New Roman" w:hAnsi="Times New Roman"/>
          <w:color w:val="auto"/>
          <w:sz w:val="24"/>
          <w:szCs w:val="24"/>
          <w:lang w:val="en-US"/>
        </w:rPr>
        <w:t xml:space="preserve"> provinces.</w:t>
      </w:r>
    </w:p>
    <w:p w:rsidR="001A365F" w:rsidRPr="00714FB7" w:rsidRDefault="00D044B1" w:rsidP="001E7CCF">
      <w:pPr>
        <w:pStyle w:val="ListParagraph"/>
        <w:numPr>
          <w:ilvl w:val="0"/>
          <w:numId w:val="14"/>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w:t>
      </w:r>
      <w:r w:rsidR="00105907" w:rsidRPr="00714FB7">
        <w:rPr>
          <w:rFonts w:ascii="Times New Roman" w:hAnsi="Times New Roman"/>
          <w:color w:val="auto"/>
          <w:sz w:val="24"/>
          <w:szCs w:val="24"/>
          <w:lang w:val="en-US"/>
        </w:rPr>
        <w:t xml:space="preserve"> Committee </w:t>
      </w:r>
      <w:r w:rsidR="00E97C2F" w:rsidRPr="00714FB7">
        <w:rPr>
          <w:rFonts w:ascii="Times New Roman" w:hAnsi="Times New Roman"/>
          <w:color w:val="auto"/>
          <w:sz w:val="24"/>
          <w:szCs w:val="24"/>
          <w:lang w:val="en-US"/>
        </w:rPr>
        <w:t>expressed concern</w:t>
      </w:r>
      <w:r w:rsidRPr="00714FB7">
        <w:rPr>
          <w:rFonts w:ascii="Times New Roman" w:hAnsi="Times New Roman"/>
          <w:color w:val="auto"/>
          <w:sz w:val="24"/>
          <w:szCs w:val="24"/>
          <w:lang w:val="en-US"/>
        </w:rPr>
        <w:t xml:space="preserve"> </w:t>
      </w:r>
      <w:r w:rsidR="00105907" w:rsidRPr="00714FB7">
        <w:rPr>
          <w:rFonts w:ascii="Times New Roman" w:hAnsi="Times New Roman"/>
          <w:color w:val="auto"/>
          <w:sz w:val="24"/>
          <w:szCs w:val="24"/>
          <w:lang w:val="en-US"/>
        </w:rPr>
        <w:t>that on its oversight visit</w:t>
      </w:r>
      <w:r w:rsidR="00C27F72" w:rsidRPr="00714FB7">
        <w:rPr>
          <w:rFonts w:ascii="Times New Roman" w:hAnsi="Times New Roman"/>
          <w:color w:val="auto"/>
          <w:sz w:val="24"/>
          <w:szCs w:val="24"/>
          <w:lang w:val="en-US"/>
        </w:rPr>
        <w:t>s</w:t>
      </w:r>
      <w:r w:rsidR="00105907" w:rsidRPr="00714FB7">
        <w:rPr>
          <w:rFonts w:ascii="Times New Roman" w:hAnsi="Times New Roman"/>
          <w:color w:val="auto"/>
          <w:sz w:val="24"/>
          <w:szCs w:val="24"/>
          <w:lang w:val="en-US"/>
        </w:rPr>
        <w:t xml:space="preserve"> to provinces</w:t>
      </w:r>
      <w:r w:rsidR="002E01B8" w:rsidRPr="00714FB7">
        <w:rPr>
          <w:rFonts w:ascii="Times New Roman" w:hAnsi="Times New Roman"/>
          <w:color w:val="auto"/>
          <w:sz w:val="24"/>
          <w:szCs w:val="24"/>
          <w:lang w:val="en-US"/>
        </w:rPr>
        <w:t>,</w:t>
      </w:r>
      <w:r w:rsidR="00105907" w:rsidRPr="00714FB7">
        <w:rPr>
          <w:rFonts w:ascii="Times New Roman" w:hAnsi="Times New Roman"/>
          <w:color w:val="auto"/>
          <w:sz w:val="24"/>
          <w:szCs w:val="24"/>
          <w:lang w:val="en-US"/>
        </w:rPr>
        <w:t xml:space="preserve"> </w:t>
      </w:r>
      <w:r w:rsidR="003B66E2" w:rsidRPr="00714FB7">
        <w:rPr>
          <w:rFonts w:ascii="Times New Roman" w:hAnsi="Times New Roman"/>
          <w:color w:val="auto"/>
          <w:sz w:val="24"/>
          <w:szCs w:val="24"/>
          <w:lang w:val="en-US"/>
        </w:rPr>
        <w:t>it observed</w:t>
      </w:r>
      <w:r w:rsidR="00E97C2F" w:rsidRPr="00714FB7">
        <w:rPr>
          <w:rFonts w:ascii="Times New Roman" w:hAnsi="Times New Roman"/>
          <w:color w:val="auto"/>
          <w:sz w:val="24"/>
          <w:szCs w:val="24"/>
          <w:lang w:val="en-US"/>
        </w:rPr>
        <w:t xml:space="preserve"> </w:t>
      </w:r>
      <w:r w:rsidR="00105907" w:rsidRPr="00714FB7">
        <w:rPr>
          <w:rFonts w:ascii="Times New Roman" w:hAnsi="Times New Roman"/>
          <w:color w:val="auto"/>
          <w:sz w:val="24"/>
          <w:szCs w:val="24"/>
          <w:lang w:val="en-US"/>
        </w:rPr>
        <w:t>vast shortage</w:t>
      </w:r>
      <w:r w:rsidR="00E97C2F" w:rsidRPr="00714FB7">
        <w:rPr>
          <w:rFonts w:ascii="Times New Roman" w:hAnsi="Times New Roman"/>
          <w:color w:val="auto"/>
          <w:sz w:val="24"/>
          <w:szCs w:val="24"/>
          <w:lang w:val="en-US"/>
        </w:rPr>
        <w:t>s</w:t>
      </w:r>
      <w:r w:rsidR="00105907" w:rsidRPr="00714FB7">
        <w:rPr>
          <w:rFonts w:ascii="Times New Roman" w:hAnsi="Times New Roman"/>
          <w:color w:val="auto"/>
          <w:sz w:val="24"/>
          <w:szCs w:val="24"/>
          <w:lang w:val="en-US"/>
        </w:rPr>
        <w:t xml:space="preserve"> of staff </w:t>
      </w:r>
      <w:r w:rsidR="002E01B8" w:rsidRPr="00714FB7">
        <w:rPr>
          <w:rFonts w:ascii="Times New Roman" w:hAnsi="Times New Roman"/>
          <w:color w:val="auto"/>
          <w:sz w:val="24"/>
          <w:szCs w:val="24"/>
          <w:lang w:val="en-US"/>
        </w:rPr>
        <w:t>across all categories in</w:t>
      </w:r>
      <w:r w:rsidR="00105907" w:rsidRPr="00714FB7">
        <w:rPr>
          <w:rFonts w:ascii="Times New Roman" w:hAnsi="Times New Roman"/>
          <w:color w:val="auto"/>
          <w:sz w:val="24"/>
          <w:szCs w:val="24"/>
          <w:lang w:val="en-US"/>
        </w:rPr>
        <w:t xml:space="preserve"> hospitals and clinics,</w:t>
      </w:r>
      <w:r w:rsidR="00C27F72" w:rsidRPr="00714FB7">
        <w:rPr>
          <w:rFonts w:ascii="Times New Roman" w:hAnsi="Times New Roman"/>
          <w:color w:val="auto"/>
          <w:sz w:val="24"/>
          <w:szCs w:val="24"/>
          <w:lang w:val="en-US"/>
        </w:rPr>
        <w:t xml:space="preserve"> </w:t>
      </w:r>
      <w:r w:rsidR="001C1C4A" w:rsidRPr="00714FB7">
        <w:rPr>
          <w:rFonts w:ascii="Times New Roman" w:hAnsi="Times New Roman"/>
          <w:color w:val="auto"/>
          <w:sz w:val="24"/>
          <w:szCs w:val="24"/>
          <w:lang w:val="en-US"/>
        </w:rPr>
        <w:t>and response</w:t>
      </w:r>
      <w:r w:rsidR="00105907" w:rsidRPr="00714FB7">
        <w:rPr>
          <w:rFonts w:ascii="Times New Roman" w:hAnsi="Times New Roman"/>
          <w:color w:val="auto"/>
          <w:sz w:val="24"/>
          <w:szCs w:val="24"/>
          <w:lang w:val="en-US"/>
        </w:rPr>
        <w:t xml:space="preserve"> was sought o</w:t>
      </w:r>
      <w:r w:rsidR="003B66E2" w:rsidRPr="00714FB7">
        <w:rPr>
          <w:rFonts w:ascii="Times New Roman" w:hAnsi="Times New Roman"/>
          <w:color w:val="auto"/>
          <w:sz w:val="24"/>
          <w:szCs w:val="24"/>
          <w:lang w:val="en-US"/>
        </w:rPr>
        <w:t xml:space="preserve">n the role of </w:t>
      </w:r>
      <w:r w:rsidR="00C27F72" w:rsidRPr="00714FB7">
        <w:rPr>
          <w:rFonts w:ascii="Times New Roman" w:hAnsi="Times New Roman"/>
          <w:color w:val="auto"/>
          <w:sz w:val="24"/>
          <w:szCs w:val="24"/>
          <w:lang w:val="en-US"/>
        </w:rPr>
        <w:t xml:space="preserve">the </w:t>
      </w:r>
      <w:r w:rsidR="003B66E2" w:rsidRPr="00714FB7">
        <w:rPr>
          <w:rFonts w:ascii="Times New Roman" w:hAnsi="Times New Roman"/>
          <w:color w:val="auto"/>
          <w:sz w:val="24"/>
          <w:szCs w:val="24"/>
          <w:lang w:val="en-US"/>
        </w:rPr>
        <w:t>Department in supporting provinces</w:t>
      </w:r>
      <w:r w:rsidR="00105907" w:rsidRPr="00714FB7">
        <w:rPr>
          <w:rFonts w:ascii="Times New Roman" w:hAnsi="Times New Roman"/>
          <w:color w:val="auto"/>
          <w:sz w:val="24"/>
          <w:szCs w:val="24"/>
          <w:lang w:val="en-US"/>
        </w:rPr>
        <w:t xml:space="preserve"> </w:t>
      </w:r>
      <w:r w:rsidR="00D63D1B" w:rsidRPr="00714FB7">
        <w:rPr>
          <w:rFonts w:ascii="Times New Roman" w:hAnsi="Times New Roman"/>
          <w:color w:val="auto"/>
          <w:sz w:val="24"/>
          <w:szCs w:val="24"/>
          <w:lang w:val="en-US"/>
        </w:rPr>
        <w:t>in addressing</w:t>
      </w:r>
      <w:r w:rsidR="00105907" w:rsidRPr="00714FB7">
        <w:rPr>
          <w:rFonts w:ascii="Times New Roman" w:hAnsi="Times New Roman"/>
          <w:color w:val="auto"/>
          <w:sz w:val="24"/>
          <w:szCs w:val="24"/>
          <w:lang w:val="en-US"/>
        </w:rPr>
        <w:t xml:space="preserve"> this challenge</w:t>
      </w:r>
      <w:r w:rsidRPr="00714FB7">
        <w:rPr>
          <w:rFonts w:ascii="Times New Roman" w:hAnsi="Times New Roman"/>
          <w:color w:val="auto"/>
          <w:sz w:val="24"/>
          <w:szCs w:val="24"/>
          <w:lang w:val="en-US"/>
        </w:rPr>
        <w:t>.</w:t>
      </w:r>
    </w:p>
    <w:p w:rsidR="00802932" w:rsidRPr="00714FB7" w:rsidRDefault="001A365F" w:rsidP="001E7CCF">
      <w:pPr>
        <w:pStyle w:val="ListParagraph"/>
        <w:numPr>
          <w:ilvl w:val="0"/>
          <w:numId w:val="14"/>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Committee raised a concern on the safety of EMS </w:t>
      </w:r>
      <w:r w:rsidR="00C813E5" w:rsidRPr="00714FB7">
        <w:rPr>
          <w:rFonts w:ascii="Times New Roman" w:hAnsi="Times New Roman"/>
          <w:color w:val="auto"/>
          <w:sz w:val="24"/>
          <w:szCs w:val="24"/>
          <w:lang w:val="en-US"/>
        </w:rPr>
        <w:t>personnel</w:t>
      </w:r>
      <w:r w:rsidRPr="00714FB7">
        <w:rPr>
          <w:rFonts w:ascii="Times New Roman" w:hAnsi="Times New Roman"/>
          <w:color w:val="auto"/>
          <w:sz w:val="24"/>
          <w:szCs w:val="24"/>
          <w:lang w:val="en-US"/>
        </w:rPr>
        <w:t>.</w:t>
      </w:r>
      <w:r w:rsidR="00D044B1" w:rsidRPr="00714FB7">
        <w:rPr>
          <w:rFonts w:ascii="Times New Roman" w:hAnsi="Times New Roman"/>
          <w:color w:val="auto"/>
          <w:sz w:val="24"/>
          <w:szCs w:val="24"/>
          <w:lang w:val="en-US"/>
        </w:rPr>
        <w:t xml:space="preserve"> </w:t>
      </w:r>
    </w:p>
    <w:p w:rsidR="00B30378" w:rsidRPr="00714FB7" w:rsidRDefault="00B30378" w:rsidP="00B30378">
      <w:pPr>
        <w:pStyle w:val="ListParagraph"/>
        <w:numPr>
          <w:ilvl w:val="0"/>
          <w:numId w:val="14"/>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Committee noted with concern that TB is a priority in the country and contributes to the </w:t>
      </w:r>
      <w:r w:rsidR="0045046C" w:rsidRPr="00714FB7">
        <w:rPr>
          <w:rFonts w:ascii="Times New Roman" w:hAnsi="Times New Roman"/>
          <w:color w:val="auto"/>
          <w:sz w:val="24"/>
          <w:szCs w:val="24"/>
          <w:lang w:val="en-US"/>
        </w:rPr>
        <w:t xml:space="preserve">high </w:t>
      </w:r>
      <w:r w:rsidRPr="00714FB7">
        <w:rPr>
          <w:rFonts w:ascii="Times New Roman" w:hAnsi="Times New Roman"/>
          <w:color w:val="auto"/>
          <w:sz w:val="24"/>
          <w:szCs w:val="24"/>
          <w:lang w:val="en-US"/>
        </w:rPr>
        <w:t xml:space="preserve">burden of disease, however </w:t>
      </w:r>
      <w:r w:rsidR="0045046C" w:rsidRPr="00714FB7">
        <w:rPr>
          <w:rFonts w:ascii="Times New Roman" w:hAnsi="Times New Roman"/>
          <w:color w:val="auto"/>
          <w:sz w:val="24"/>
          <w:szCs w:val="24"/>
          <w:lang w:val="en-US"/>
        </w:rPr>
        <w:t xml:space="preserve">its </w:t>
      </w:r>
      <w:r w:rsidRPr="00714FB7">
        <w:rPr>
          <w:rFonts w:ascii="Times New Roman" w:hAnsi="Times New Roman"/>
          <w:color w:val="auto"/>
          <w:sz w:val="24"/>
          <w:szCs w:val="24"/>
          <w:lang w:val="en-US"/>
        </w:rPr>
        <w:t>budget allocation</w:t>
      </w:r>
      <w:r w:rsidR="0045046C" w:rsidRPr="00714FB7">
        <w:rPr>
          <w:rFonts w:ascii="Times New Roman" w:hAnsi="Times New Roman"/>
          <w:color w:val="auto"/>
          <w:sz w:val="24"/>
          <w:szCs w:val="24"/>
          <w:lang w:val="en-US"/>
        </w:rPr>
        <w:t xml:space="preserve"> has decreased</w:t>
      </w:r>
      <w:r w:rsidRPr="00714FB7">
        <w:rPr>
          <w:rFonts w:ascii="Times New Roman" w:hAnsi="Times New Roman"/>
          <w:color w:val="auto"/>
          <w:sz w:val="24"/>
          <w:szCs w:val="24"/>
          <w:lang w:val="en-US"/>
        </w:rPr>
        <w:t>.</w:t>
      </w:r>
      <w:r w:rsidR="00906A98" w:rsidRPr="00714FB7">
        <w:rPr>
          <w:rFonts w:ascii="Times New Roman" w:hAnsi="Times New Roman"/>
          <w:color w:val="auto"/>
          <w:sz w:val="24"/>
          <w:szCs w:val="24"/>
          <w:lang w:val="en-US"/>
        </w:rPr>
        <w:t xml:space="preserve"> </w:t>
      </w:r>
    </w:p>
    <w:p w:rsidR="00906A98" w:rsidRPr="00714FB7" w:rsidRDefault="00B30378" w:rsidP="00906A98">
      <w:pPr>
        <w:pStyle w:val="ListParagraph"/>
        <w:numPr>
          <w:ilvl w:val="0"/>
          <w:numId w:val="14"/>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Committee expressed concern regarding the decreasing budget allocation to Women’s Maternal and Reproductive H</w:t>
      </w:r>
      <w:r w:rsidR="00906A98" w:rsidRPr="00714FB7">
        <w:rPr>
          <w:rFonts w:ascii="Times New Roman" w:hAnsi="Times New Roman"/>
          <w:color w:val="auto"/>
          <w:sz w:val="24"/>
          <w:szCs w:val="24"/>
          <w:lang w:val="en-US"/>
        </w:rPr>
        <w:t xml:space="preserve">ealth, when the </w:t>
      </w:r>
      <w:r w:rsidRPr="00714FB7">
        <w:rPr>
          <w:rFonts w:ascii="Times New Roman" w:hAnsi="Times New Roman"/>
          <w:color w:val="auto"/>
          <w:sz w:val="24"/>
          <w:szCs w:val="24"/>
          <w:lang w:val="en-US"/>
        </w:rPr>
        <w:t>focus should be on improving women’s health</w:t>
      </w:r>
      <w:r w:rsidR="00906A98" w:rsidRPr="00714FB7">
        <w:rPr>
          <w:rFonts w:ascii="Times New Roman" w:hAnsi="Times New Roman"/>
          <w:color w:val="auto"/>
          <w:sz w:val="24"/>
          <w:szCs w:val="24"/>
          <w:lang w:val="en-US"/>
        </w:rPr>
        <w:t xml:space="preserve">. </w:t>
      </w:r>
    </w:p>
    <w:p w:rsidR="00170217" w:rsidRPr="00714FB7" w:rsidRDefault="00170217" w:rsidP="001625A9">
      <w:pPr>
        <w:spacing w:line="360" w:lineRule="auto"/>
        <w:jc w:val="both"/>
        <w:rPr>
          <w:rFonts w:ascii="Times New Roman" w:hAnsi="Times New Roman"/>
          <w:color w:val="auto"/>
          <w:sz w:val="24"/>
          <w:szCs w:val="24"/>
          <w:lang w:val="en-US"/>
        </w:rPr>
      </w:pPr>
    </w:p>
    <w:p w:rsidR="007B3649" w:rsidRPr="00714FB7" w:rsidRDefault="007B3649" w:rsidP="00030895">
      <w:pPr>
        <w:pStyle w:val="Heading2"/>
        <w:numPr>
          <w:ilvl w:val="1"/>
          <w:numId w:val="87"/>
        </w:numPr>
        <w:spacing w:line="360" w:lineRule="auto"/>
        <w:rPr>
          <w:rFonts w:ascii="Times New Roman" w:hAnsi="Times New Roman" w:cs="Times New Roman"/>
          <w:color w:val="auto"/>
          <w:sz w:val="24"/>
          <w:szCs w:val="24"/>
          <w:lang w:val="en-US"/>
        </w:rPr>
      </w:pPr>
      <w:r w:rsidRPr="00714FB7">
        <w:rPr>
          <w:rFonts w:ascii="Times New Roman" w:hAnsi="Times New Roman" w:cs="Times New Roman"/>
          <w:color w:val="auto"/>
          <w:sz w:val="24"/>
          <w:szCs w:val="24"/>
          <w:lang w:val="en-US"/>
        </w:rPr>
        <w:t>Findings</w:t>
      </w:r>
      <w:r w:rsidR="0024108A" w:rsidRPr="00714FB7">
        <w:rPr>
          <w:rFonts w:ascii="Times New Roman" w:hAnsi="Times New Roman" w:cs="Times New Roman"/>
          <w:color w:val="auto"/>
          <w:sz w:val="24"/>
          <w:szCs w:val="24"/>
          <w:lang w:val="en-US"/>
        </w:rPr>
        <w:t xml:space="preserve"> and observations</w:t>
      </w:r>
      <w:r w:rsidRPr="00714FB7">
        <w:rPr>
          <w:rFonts w:ascii="Times New Roman" w:hAnsi="Times New Roman" w:cs="Times New Roman"/>
          <w:color w:val="auto"/>
          <w:sz w:val="24"/>
          <w:szCs w:val="24"/>
          <w:lang w:val="en-US"/>
        </w:rPr>
        <w:t xml:space="preserve"> on Entities</w:t>
      </w:r>
    </w:p>
    <w:p w:rsidR="000552BA" w:rsidRPr="00714FB7" w:rsidRDefault="000552BA" w:rsidP="000552BA">
      <w:pPr>
        <w:rPr>
          <w:rFonts w:ascii="Times New Roman" w:hAnsi="Times New Roman"/>
          <w:color w:val="auto"/>
          <w:sz w:val="24"/>
          <w:szCs w:val="24"/>
          <w:lang w:val="en-US"/>
        </w:rPr>
      </w:pPr>
    </w:p>
    <w:p w:rsidR="000552BA" w:rsidRPr="00714FB7" w:rsidRDefault="000552BA" w:rsidP="00030895">
      <w:pPr>
        <w:numPr>
          <w:ilvl w:val="2"/>
          <w:numId w:val="87"/>
        </w:numPr>
        <w:rPr>
          <w:rFonts w:ascii="Times New Roman" w:hAnsi="Times New Roman"/>
          <w:b/>
          <w:color w:val="auto"/>
          <w:sz w:val="24"/>
          <w:szCs w:val="24"/>
          <w:lang w:val="en-US"/>
        </w:rPr>
      </w:pPr>
      <w:r w:rsidRPr="00714FB7">
        <w:rPr>
          <w:rFonts w:ascii="Times New Roman" w:hAnsi="Times New Roman"/>
          <w:b/>
          <w:color w:val="auto"/>
          <w:sz w:val="24"/>
          <w:szCs w:val="24"/>
          <w:lang w:val="en-US"/>
        </w:rPr>
        <w:t>SAMRC</w:t>
      </w:r>
    </w:p>
    <w:p w:rsidR="007B3649" w:rsidRPr="00714FB7" w:rsidRDefault="007B3649" w:rsidP="00C52278">
      <w:pPr>
        <w:jc w:val="both"/>
        <w:rPr>
          <w:rFonts w:ascii="Times New Roman" w:hAnsi="Times New Roman"/>
          <w:color w:val="auto"/>
          <w:sz w:val="24"/>
          <w:szCs w:val="24"/>
          <w:lang w:val="en-US"/>
        </w:rPr>
      </w:pPr>
    </w:p>
    <w:p w:rsidR="000552BA" w:rsidRPr="00714FB7" w:rsidRDefault="000552BA" w:rsidP="00030895">
      <w:pPr>
        <w:numPr>
          <w:ilvl w:val="0"/>
          <w:numId w:val="1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Committee noted with concern the slow </w:t>
      </w:r>
      <w:r w:rsidR="003F15B3" w:rsidRPr="00714FB7">
        <w:rPr>
          <w:rFonts w:ascii="Times New Roman" w:hAnsi="Times New Roman"/>
          <w:color w:val="auto"/>
          <w:sz w:val="24"/>
          <w:szCs w:val="24"/>
          <w:lang w:val="en-US"/>
        </w:rPr>
        <w:t>progress in the</w:t>
      </w:r>
      <w:r w:rsidRPr="00714FB7">
        <w:rPr>
          <w:rFonts w:ascii="Times New Roman" w:hAnsi="Times New Roman"/>
          <w:color w:val="auto"/>
          <w:sz w:val="24"/>
          <w:szCs w:val="24"/>
          <w:lang w:val="en-US"/>
        </w:rPr>
        <w:t xml:space="preserve"> </w:t>
      </w:r>
      <w:r w:rsidR="002E0C1B" w:rsidRPr="00714FB7">
        <w:rPr>
          <w:rFonts w:ascii="Times New Roman" w:hAnsi="Times New Roman"/>
          <w:color w:val="auto"/>
          <w:sz w:val="24"/>
          <w:szCs w:val="24"/>
          <w:lang w:val="en-US"/>
        </w:rPr>
        <w:t xml:space="preserve">human resources </w:t>
      </w:r>
      <w:r w:rsidRPr="00714FB7">
        <w:rPr>
          <w:rFonts w:ascii="Times New Roman" w:hAnsi="Times New Roman"/>
          <w:color w:val="auto"/>
          <w:sz w:val="24"/>
          <w:szCs w:val="24"/>
          <w:lang w:val="en-US"/>
        </w:rPr>
        <w:t xml:space="preserve">transformation </w:t>
      </w:r>
      <w:r w:rsidR="003F15B3" w:rsidRPr="00714FB7">
        <w:rPr>
          <w:rFonts w:ascii="Times New Roman" w:hAnsi="Times New Roman"/>
          <w:color w:val="auto"/>
          <w:sz w:val="24"/>
          <w:szCs w:val="24"/>
          <w:lang w:val="en-US"/>
        </w:rPr>
        <w:t xml:space="preserve">agenda </w:t>
      </w:r>
      <w:r w:rsidR="00E2560C" w:rsidRPr="00714FB7">
        <w:rPr>
          <w:rFonts w:ascii="Times New Roman" w:hAnsi="Times New Roman"/>
          <w:color w:val="auto"/>
          <w:sz w:val="24"/>
          <w:szCs w:val="24"/>
          <w:lang w:val="en-US"/>
        </w:rPr>
        <w:t xml:space="preserve">in </w:t>
      </w:r>
      <w:r w:rsidR="003F15B3" w:rsidRPr="00714FB7">
        <w:rPr>
          <w:rFonts w:ascii="Times New Roman" w:hAnsi="Times New Roman"/>
          <w:color w:val="auto"/>
          <w:sz w:val="24"/>
          <w:szCs w:val="24"/>
          <w:lang w:val="en-US"/>
        </w:rPr>
        <w:t>the SAMRC</w:t>
      </w:r>
      <w:r w:rsidRPr="00714FB7">
        <w:rPr>
          <w:rFonts w:ascii="Times New Roman" w:hAnsi="Times New Roman"/>
          <w:color w:val="auto"/>
          <w:sz w:val="24"/>
          <w:szCs w:val="24"/>
          <w:lang w:val="en-US"/>
        </w:rPr>
        <w:t>.</w:t>
      </w:r>
    </w:p>
    <w:p w:rsidR="007B3649" w:rsidRPr="00714FB7" w:rsidRDefault="000552BA" w:rsidP="00030895">
      <w:pPr>
        <w:numPr>
          <w:ilvl w:val="0"/>
          <w:numId w:val="1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Budget cuts were raised as a concern by the Committee as this </w:t>
      </w:r>
      <w:r w:rsidR="001C1F02" w:rsidRPr="00714FB7">
        <w:rPr>
          <w:rFonts w:ascii="Times New Roman" w:hAnsi="Times New Roman"/>
          <w:color w:val="auto"/>
          <w:sz w:val="24"/>
          <w:szCs w:val="24"/>
          <w:lang w:val="en-US"/>
        </w:rPr>
        <w:t xml:space="preserve">will </w:t>
      </w:r>
      <w:r w:rsidR="00837006" w:rsidRPr="00714FB7">
        <w:rPr>
          <w:rFonts w:ascii="Times New Roman" w:hAnsi="Times New Roman"/>
          <w:color w:val="auto"/>
          <w:sz w:val="24"/>
          <w:szCs w:val="24"/>
          <w:lang w:val="en-US"/>
        </w:rPr>
        <w:t>have</w:t>
      </w:r>
      <w:r w:rsidR="00F959AA" w:rsidRPr="00714FB7">
        <w:rPr>
          <w:rFonts w:ascii="Times New Roman" w:hAnsi="Times New Roman"/>
          <w:color w:val="auto"/>
          <w:sz w:val="24"/>
          <w:szCs w:val="24"/>
          <w:lang w:val="en-US"/>
        </w:rPr>
        <w:t xml:space="preserve"> </w:t>
      </w:r>
      <w:r w:rsidR="001C1F02" w:rsidRPr="00714FB7">
        <w:rPr>
          <w:rFonts w:ascii="Times New Roman" w:hAnsi="Times New Roman"/>
          <w:color w:val="auto"/>
          <w:sz w:val="24"/>
          <w:szCs w:val="24"/>
          <w:lang w:val="en-US"/>
        </w:rPr>
        <w:t xml:space="preserve">a negative </w:t>
      </w:r>
      <w:r w:rsidRPr="00714FB7">
        <w:rPr>
          <w:rFonts w:ascii="Times New Roman" w:hAnsi="Times New Roman"/>
          <w:color w:val="auto"/>
          <w:sz w:val="24"/>
          <w:szCs w:val="24"/>
          <w:lang w:val="en-US"/>
        </w:rPr>
        <w:t xml:space="preserve">impact on the work of the MRC </w:t>
      </w:r>
      <w:r w:rsidR="0028523D" w:rsidRPr="00714FB7">
        <w:rPr>
          <w:rFonts w:ascii="Times New Roman" w:hAnsi="Times New Roman"/>
          <w:color w:val="auto"/>
          <w:sz w:val="24"/>
          <w:szCs w:val="24"/>
          <w:lang w:val="en-US"/>
        </w:rPr>
        <w:t>particularly</w:t>
      </w:r>
      <w:r w:rsidR="00837006" w:rsidRPr="00714FB7">
        <w:rPr>
          <w:rFonts w:ascii="Times New Roman" w:hAnsi="Times New Roman"/>
          <w:color w:val="auto"/>
          <w:sz w:val="24"/>
          <w:szCs w:val="24"/>
          <w:lang w:val="en-US"/>
        </w:rPr>
        <w:t xml:space="preserve"> </w:t>
      </w:r>
      <w:r w:rsidRPr="00714FB7">
        <w:rPr>
          <w:rFonts w:ascii="Times New Roman" w:hAnsi="Times New Roman"/>
          <w:color w:val="auto"/>
          <w:sz w:val="24"/>
          <w:szCs w:val="24"/>
          <w:lang w:val="en-US"/>
        </w:rPr>
        <w:t>on research and innovation</w:t>
      </w:r>
      <w:r w:rsidR="002E0C1B" w:rsidRPr="00714FB7">
        <w:rPr>
          <w:rFonts w:ascii="Times New Roman" w:hAnsi="Times New Roman"/>
          <w:color w:val="auto"/>
          <w:sz w:val="24"/>
          <w:szCs w:val="24"/>
          <w:lang w:val="en-US"/>
        </w:rPr>
        <w:t>.</w:t>
      </w:r>
    </w:p>
    <w:p w:rsidR="00D94CE6" w:rsidRPr="00714FB7" w:rsidRDefault="000552BA" w:rsidP="00030895">
      <w:pPr>
        <w:numPr>
          <w:ilvl w:val="0"/>
          <w:numId w:val="1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Committee </w:t>
      </w:r>
      <w:r w:rsidR="00153246" w:rsidRPr="00714FB7">
        <w:rPr>
          <w:rFonts w:ascii="Times New Roman" w:hAnsi="Times New Roman"/>
          <w:color w:val="auto"/>
          <w:sz w:val="24"/>
          <w:szCs w:val="24"/>
          <w:lang w:val="en-US"/>
        </w:rPr>
        <w:t>sought clarity on</w:t>
      </w:r>
      <w:r w:rsidRPr="00714FB7">
        <w:rPr>
          <w:rFonts w:ascii="Times New Roman" w:hAnsi="Times New Roman"/>
          <w:color w:val="auto"/>
          <w:sz w:val="24"/>
          <w:szCs w:val="24"/>
          <w:lang w:val="en-US"/>
        </w:rPr>
        <w:t xml:space="preserve"> timeframes for the review of the Medical Research </w:t>
      </w:r>
      <w:r w:rsidR="00901711" w:rsidRPr="00714FB7">
        <w:rPr>
          <w:rFonts w:ascii="Times New Roman" w:hAnsi="Times New Roman"/>
          <w:color w:val="auto"/>
          <w:sz w:val="24"/>
          <w:szCs w:val="24"/>
          <w:lang w:val="en-US"/>
        </w:rPr>
        <w:t xml:space="preserve">Council </w:t>
      </w:r>
      <w:r w:rsidRPr="00714FB7">
        <w:rPr>
          <w:rFonts w:ascii="Times New Roman" w:hAnsi="Times New Roman"/>
          <w:color w:val="auto"/>
          <w:sz w:val="24"/>
          <w:szCs w:val="24"/>
          <w:lang w:val="en-US"/>
        </w:rPr>
        <w:t>Act.</w:t>
      </w:r>
    </w:p>
    <w:p w:rsidR="00D032BF" w:rsidRPr="00714FB7" w:rsidRDefault="00D032BF" w:rsidP="00D032BF">
      <w:pPr>
        <w:spacing w:line="360" w:lineRule="auto"/>
        <w:ind w:left="786"/>
        <w:jc w:val="both"/>
        <w:rPr>
          <w:rFonts w:ascii="Times New Roman" w:hAnsi="Times New Roman"/>
          <w:color w:val="auto"/>
          <w:sz w:val="24"/>
          <w:szCs w:val="24"/>
          <w:lang w:val="en-US"/>
        </w:rPr>
      </w:pPr>
    </w:p>
    <w:p w:rsidR="000552BA" w:rsidRPr="00714FB7" w:rsidRDefault="000552BA" w:rsidP="00030895">
      <w:pPr>
        <w:numPr>
          <w:ilvl w:val="2"/>
          <w:numId w:val="87"/>
        </w:numPr>
        <w:spacing w:line="360" w:lineRule="auto"/>
        <w:rPr>
          <w:rFonts w:ascii="Times New Roman" w:hAnsi="Times New Roman"/>
          <w:b/>
          <w:color w:val="auto"/>
          <w:sz w:val="24"/>
          <w:szCs w:val="24"/>
          <w:lang w:val="en-US"/>
        </w:rPr>
      </w:pPr>
      <w:r w:rsidRPr="00714FB7">
        <w:rPr>
          <w:rFonts w:ascii="Times New Roman" w:hAnsi="Times New Roman"/>
          <w:b/>
          <w:color w:val="auto"/>
          <w:sz w:val="24"/>
          <w:szCs w:val="24"/>
          <w:lang w:val="en-US"/>
        </w:rPr>
        <w:t>NHLS</w:t>
      </w:r>
    </w:p>
    <w:p w:rsidR="000552BA" w:rsidRPr="00714FB7" w:rsidRDefault="000B2BF1" w:rsidP="00030895">
      <w:pPr>
        <w:pStyle w:val="ListParagraph"/>
        <w:numPr>
          <w:ilvl w:val="0"/>
          <w:numId w:val="89"/>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Committee again</w:t>
      </w:r>
      <w:r w:rsidR="00991F96" w:rsidRPr="00714FB7">
        <w:rPr>
          <w:rFonts w:ascii="Times New Roman" w:hAnsi="Times New Roman"/>
          <w:color w:val="auto"/>
          <w:sz w:val="24"/>
          <w:szCs w:val="24"/>
          <w:lang w:val="en-US"/>
        </w:rPr>
        <w:t xml:space="preserve"> noted that most of the NHLS</w:t>
      </w:r>
      <w:r w:rsidRPr="00714FB7">
        <w:rPr>
          <w:rFonts w:ascii="Times New Roman" w:hAnsi="Times New Roman"/>
          <w:color w:val="auto"/>
          <w:sz w:val="24"/>
          <w:szCs w:val="24"/>
          <w:lang w:val="en-US"/>
        </w:rPr>
        <w:t xml:space="preserve">’ performance indicators had annual targets and not quarterly targets as </w:t>
      </w:r>
      <w:r w:rsidR="00992CA4" w:rsidRPr="00714FB7">
        <w:rPr>
          <w:rFonts w:ascii="Times New Roman" w:hAnsi="Times New Roman"/>
          <w:color w:val="auto"/>
          <w:sz w:val="24"/>
          <w:szCs w:val="24"/>
          <w:lang w:val="en-US"/>
        </w:rPr>
        <w:t xml:space="preserve">required. Annual targets </w:t>
      </w:r>
      <w:r w:rsidRPr="00714FB7">
        <w:rPr>
          <w:rFonts w:ascii="Times New Roman" w:hAnsi="Times New Roman"/>
          <w:color w:val="auto"/>
          <w:sz w:val="24"/>
          <w:szCs w:val="24"/>
          <w:lang w:val="en-US"/>
        </w:rPr>
        <w:t>are not easy to measure in terms of tracking performance on a quarterly basis</w:t>
      </w:r>
      <w:r w:rsidR="00992CA4" w:rsidRPr="00714FB7">
        <w:rPr>
          <w:rFonts w:ascii="Times New Roman" w:hAnsi="Times New Roman"/>
          <w:color w:val="auto"/>
          <w:sz w:val="24"/>
          <w:szCs w:val="24"/>
          <w:lang w:val="en-US"/>
        </w:rPr>
        <w:t xml:space="preserve"> and make it difficult to know if a target will be met at the end of the financial year</w:t>
      </w:r>
      <w:r w:rsidRPr="00714FB7">
        <w:rPr>
          <w:rFonts w:ascii="Times New Roman" w:hAnsi="Times New Roman"/>
          <w:color w:val="auto"/>
          <w:sz w:val="24"/>
          <w:szCs w:val="24"/>
          <w:lang w:val="en-US"/>
        </w:rPr>
        <w:t xml:space="preserve">. </w:t>
      </w:r>
    </w:p>
    <w:p w:rsidR="00BA731D" w:rsidRPr="00714FB7" w:rsidRDefault="00BA731D" w:rsidP="00030895">
      <w:pPr>
        <w:pStyle w:val="ListParagraph"/>
        <w:numPr>
          <w:ilvl w:val="0"/>
          <w:numId w:val="89"/>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role of the NHLS in complementing the NHI programme</w:t>
      </w:r>
      <w:r w:rsidR="001F3577" w:rsidRPr="00714FB7">
        <w:rPr>
          <w:rFonts w:ascii="Times New Roman" w:hAnsi="Times New Roman"/>
          <w:color w:val="auto"/>
          <w:sz w:val="24"/>
          <w:szCs w:val="24"/>
          <w:lang w:val="en-US"/>
        </w:rPr>
        <w:t xml:space="preserve"> was raised by the Committee</w:t>
      </w:r>
      <w:r w:rsidR="00850886" w:rsidRPr="00714FB7">
        <w:rPr>
          <w:rFonts w:ascii="Times New Roman" w:hAnsi="Times New Roman"/>
          <w:color w:val="auto"/>
          <w:sz w:val="24"/>
          <w:szCs w:val="24"/>
          <w:lang w:val="en-US"/>
        </w:rPr>
        <w:t xml:space="preserve"> as the 2017/18 APP does not reflect indicators on NHI</w:t>
      </w:r>
      <w:r w:rsidRPr="00714FB7">
        <w:rPr>
          <w:rFonts w:ascii="Times New Roman" w:hAnsi="Times New Roman"/>
          <w:color w:val="auto"/>
          <w:sz w:val="24"/>
          <w:szCs w:val="24"/>
          <w:lang w:val="en-US"/>
        </w:rPr>
        <w:t>.</w:t>
      </w:r>
    </w:p>
    <w:p w:rsidR="00BA731D" w:rsidRPr="00714FB7" w:rsidRDefault="00BA731D" w:rsidP="00030895">
      <w:pPr>
        <w:pStyle w:val="ListParagraph"/>
        <w:numPr>
          <w:ilvl w:val="0"/>
          <w:numId w:val="89"/>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Committee </w:t>
      </w:r>
      <w:r w:rsidR="0024108A" w:rsidRPr="00714FB7">
        <w:rPr>
          <w:rFonts w:ascii="Times New Roman" w:hAnsi="Times New Roman"/>
          <w:color w:val="auto"/>
          <w:sz w:val="24"/>
          <w:szCs w:val="24"/>
          <w:lang w:val="en-US"/>
        </w:rPr>
        <w:t>sought clarity</w:t>
      </w:r>
      <w:r w:rsidR="00B1378C" w:rsidRPr="00714FB7">
        <w:rPr>
          <w:rFonts w:ascii="Times New Roman" w:hAnsi="Times New Roman"/>
          <w:color w:val="auto"/>
          <w:sz w:val="24"/>
          <w:szCs w:val="24"/>
          <w:lang w:val="en-US"/>
        </w:rPr>
        <w:t xml:space="preserve"> </w:t>
      </w:r>
      <w:r w:rsidR="00F24093" w:rsidRPr="00714FB7">
        <w:rPr>
          <w:rFonts w:ascii="Times New Roman" w:hAnsi="Times New Roman"/>
          <w:color w:val="auto"/>
          <w:sz w:val="24"/>
          <w:szCs w:val="24"/>
          <w:lang w:val="en-US"/>
        </w:rPr>
        <w:t>on</w:t>
      </w:r>
      <w:r w:rsidR="00B1378C" w:rsidRPr="00714FB7">
        <w:rPr>
          <w:rFonts w:ascii="Times New Roman" w:hAnsi="Times New Roman"/>
          <w:color w:val="auto"/>
          <w:sz w:val="24"/>
          <w:szCs w:val="24"/>
          <w:lang w:val="en-US"/>
        </w:rPr>
        <w:t xml:space="preserve"> </w:t>
      </w:r>
      <w:r w:rsidRPr="00714FB7">
        <w:rPr>
          <w:rFonts w:ascii="Times New Roman" w:hAnsi="Times New Roman"/>
          <w:color w:val="auto"/>
          <w:sz w:val="24"/>
          <w:szCs w:val="24"/>
          <w:lang w:val="en-US"/>
        </w:rPr>
        <w:t>the role of the NH</w:t>
      </w:r>
      <w:r w:rsidR="00B1378C" w:rsidRPr="00714FB7">
        <w:rPr>
          <w:rFonts w:ascii="Times New Roman" w:hAnsi="Times New Roman"/>
          <w:color w:val="auto"/>
          <w:sz w:val="24"/>
          <w:szCs w:val="24"/>
          <w:lang w:val="en-US"/>
        </w:rPr>
        <w:t>LS</w:t>
      </w:r>
      <w:r w:rsidRPr="00714FB7">
        <w:rPr>
          <w:rFonts w:ascii="Times New Roman" w:hAnsi="Times New Roman"/>
          <w:color w:val="auto"/>
          <w:sz w:val="24"/>
          <w:szCs w:val="24"/>
          <w:lang w:val="en-US"/>
        </w:rPr>
        <w:t xml:space="preserve"> in addressing non-communicable diseases.</w:t>
      </w:r>
    </w:p>
    <w:p w:rsidR="008B117F" w:rsidRPr="00714FB7" w:rsidRDefault="008B117F" w:rsidP="00030895">
      <w:pPr>
        <w:pStyle w:val="ListParagraph"/>
        <w:numPr>
          <w:ilvl w:val="0"/>
          <w:numId w:val="89"/>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Committee </w:t>
      </w:r>
      <w:r w:rsidR="00C90871" w:rsidRPr="00714FB7">
        <w:rPr>
          <w:rFonts w:ascii="Times New Roman" w:hAnsi="Times New Roman"/>
          <w:color w:val="auto"/>
          <w:sz w:val="24"/>
          <w:szCs w:val="24"/>
          <w:lang w:val="en-US"/>
        </w:rPr>
        <w:t>expressed concern</w:t>
      </w:r>
      <w:r w:rsidRPr="00714FB7">
        <w:rPr>
          <w:rFonts w:ascii="Times New Roman" w:hAnsi="Times New Roman"/>
          <w:color w:val="auto"/>
          <w:sz w:val="24"/>
          <w:szCs w:val="24"/>
          <w:lang w:val="en-US"/>
        </w:rPr>
        <w:t xml:space="preserve"> a</w:t>
      </w:r>
      <w:r w:rsidR="001B3675" w:rsidRPr="00714FB7">
        <w:rPr>
          <w:rFonts w:ascii="Times New Roman" w:hAnsi="Times New Roman"/>
          <w:color w:val="auto"/>
          <w:sz w:val="24"/>
          <w:szCs w:val="24"/>
          <w:lang w:val="en-US"/>
        </w:rPr>
        <w:t>round</w:t>
      </w:r>
      <w:r w:rsidRPr="00714FB7">
        <w:rPr>
          <w:rFonts w:ascii="Times New Roman" w:hAnsi="Times New Roman"/>
          <w:color w:val="auto"/>
          <w:sz w:val="24"/>
          <w:szCs w:val="24"/>
          <w:lang w:val="en-US"/>
        </w:rPr>
        <w:t xml:space="preserve"> turnaround time for test results </w:t>
      </w:r>
      <w:r w:rsidR="00F24093" w:rsidRPr="00714FB7">
        <w:rPr>
          <w:rFonts w:ascii="Times New Roman" w:hAnsi="Times New Roman"/>
          <w:color w:val="auto"/>
          <w:sz w:val="24"/>
          <w:szCs w:val="24"/>
          <w:lang w:val="en-US"/>
        </w:rPr>
        <w:t>for patients in</w:t>
      </w:r>
      <w:r w:rsidRPr="00714FB7">
        <w:rPr>
          <w:rFonts w:ascii="Times New Roman" w:hAnsi="Times New Roman"/>
          <w:color w:val="auto"/>
          <w:sz w:val="24"/>
          <w:szCs w:val="24"/>
          <w:lang w:val="en-US"/>
        </w:rPr>
        <w:t xml:space="preserve"> </w:t>
      </w:r>
      <w:r w:rsidR="00F42F88" w:rsidRPr="00714FB7">
        <w:rPr>
          <w:rFonts w:ascii="Times New Roman" w:hAnsi="Times New Roman"/>
          <w:color w:val="auto"/>
          <w:sz w:val="24"/>
          <w:szCs w:val="24"/>
          <w:lang w:val="en-US"/>
        </w:rPr>
        <w:t xml:space="preserve">public </w:t>
      </w:r>
      <w:r w:rsidR="00C123BD" w:rsidRPr="00714FB7">
        <w:rPr>
          <w:rFonts w:ascii="Times New Roman" w:hAnsi="Times New Roman"/>
          <w:color w:val="auto"/>
          <w:sz w:val="24"/>
          <w:szCs w:val="24"/>
          <w:lang w:val="en-US"/>
        </w:rPr>
        <w:t>health facilities</w:t>
      </w:r>
      <w:r w:rsidRPr="00714FB7">
        <w:rPr>
          <w:rFonts w:ascii="Times New Roman" w:hAnsi="Times New Roman"/>
          <w:color w:val="auto"/>
          <w:sz w:val="24"/>
          <w:szCs w:val="24"/>
          <w:lang w:val="en-US"/>
        </w:rPr>
        <w:t xml:space="preserve">. </w:t>
      </w:r>
    </w:p>
    <w:p w:rsidR="00E06829" w:rsidRPr="00714FB7" w:rsidRDefault="00E06829" w:rsidP="00030895">
      <w:pPr>
        <w:spacing w:line="360" w:lineRule="auto"/>
        <w:jc w:val="both"/>
        <w:rPr>
          <w:rFonts w:ascii="Times New Roman" w:hAnsi="Times New Roman"/>
          <w:color w:val="auto"/>
          <w:sz w:val="24"/>
          <w:szCs w:val="24"/>
          <w:lang w:val="en-US"/>
        </w:rPr>
      </w:pPr>
    </w:p>
    <w:p w:rsidR="0065773E" w:rsidRPr="00714FB7" w:rsidRDefault="00B21E76" w:rsidP="00030895">
      <w:pPr>
        <w:numPr>
          <w:ilvl w:val="2"/>
          <w:numId w:val="87"/>
        </w:numPr>
        <w:spacing w:line="360" w:lineRule="auto"/>
        <w:jc w:val="both"/>
        <w:rPr>
          <w:rFonts w:ascii="Times New Roman" w:hAnsi="Times New Roman"/>
          <w:b/>
          <w:color w:val="auto"/>
          <w:sz w:val="24"/>
          <w:szCs w:val="24"/>
          <w:lang w:val="en-US"/>
        </w:rPr>
      </w:pPr>
      <w:r w:rsidRPr="00714FB7">
        <w:rPr>
          <w:rFonts w:ascii="Times New Roman" w:hAnsi="Times New Roman"/>
          <w:color w:val="auto"/>
          <w:sz w:val="24"/>
          <w:szCs w:val="24"/>
          <w:lang w:val="en-US"/>
        </w:rPr>
        <w:tab/>
      </w:r>
      <w:r w:rsidR="0065773E" w:rsidRPr="00714FB7">
        <w:rPr>
          <w:rFonts w:ascii="Times New Roman" w:hAnsi="Times New Roman"/>
          <w:b/>
          <w:color w:val="auto"/>
          <w:sz w:val="24"/>
          <w:szCs w:val="24"/>
          <w:lang w:val="en-US"/>
        </w:rPr>
        <w:t>OHSC</w:t>
      </w:r>
    </w:p>
    <w:p w:rsidR="006B7324" w:rsidRPr="00714FB7" w:rsidRDefault="006B7324" w:rsidP="006B7324">
      <w:pPr>
        <w:pStyle w:val="ListParagraph"/>
        <w:numPr>
          <w:ilvl w:val="0"/>
          <w:numId w:val="1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Committee again noted that most of the </w:t>
      </w:r>
      <w:r w:rsidR="00397DAA" w:rsidRPr="00714FB7">
        <w:rPr>
          <w:rFonts w:ascii="Times New Roman" w:hAnsi="Times New Roman"/>
          <w:color w:val="auto"/>
          <w:sz w:val="24"/>
          <w:szCs w:val="24"/>
          <w:lang w:val="en-US"/>
        </w:rPr>
        <w:t>OHSC</w:t>
      </w:r>
      <w:r w:rsidRPr="00714FB7">
        <w:rPr>
          <w:rFonts w:ascii="Times New Roman" w:hAnsi="Times New Roman"/>
          <w:color w:val="auto"/>
          <w:sz w:val="24"/>
          <w:szCs w:val="24"/>
          <w:lang w:val="en-US"/>
        </w:rPr>
        <w:t xml:space="preserve"> performance indicators had annual targets and not quarterly targets</w:t>
      </w:r>
      <w:r w:rsidR="00992CA4" w:rsidRPr="00714FB7">
        <w:rPr>
          <w:rFonts w:ascii="Times New Roman" w:hAnsi="Times New Roman"/>
          <w:color w:val="auto"/>
          <w:sz w:val="24"/>
          <w:szCs w:val="24"/>
          <w:lang w:val="en-US"/>
        </w:rPr>
        <w:t>. T</w:t>
      </w:r>
      <w:r w:rsidRPr="00714FB7">
        <w:rPr>
          <w:rFonts w:ascii="Times New Roman" w:hAnsi="Times New Roman"/>
          <w:color w:val="auto"/>
          <w:sz w:val="24"/>
          <w:szCs w:val="24"/>
          <w:lang w:val="en-US"/>
        </w:rPr>
        <w:t>hese are not easy to measure in terms of tracking p</w:t>
      </w:r>
      <w:r w:rsidR="00992CA4" w:rsidRPr="00714FB7">
        <w:rPr>
          <w:rFonts w:ascii="Times New Roman" w:hAnsi="Times New Roman"/>
          <w:color w:val="auto"/>
          <w:sz w:val="24"/>
          <w:szCs w:val="24"/>
          <w:lang w:val="en-US"/>
        </w:rPr>
        <w:t>erformance on a quarterly basis and make it difficult to know if target will be met at the end of the financial year.</w:t>
      </w:r>
      <w:r w:rsidRPr="00714FB7">
        <w:rPr>
          <w:rFonts w:ascii="Times New Roman" w:hAnsi="Times New Roman"/>
          <w:color w:val="auto"/>
          <w:sz w:val="24"/>
          <w:szCs w:val="24"/>
          <w:lang w:val="en-US"/>
        </w:rPr>
        <w:t xml:space="preserve"> </w:t>
      </w:r>
    </w:p>
    <w:p w:rsidR="006967DB" w:rsidRPr="00714FB7" w:rsidRDefault="006967DB" w:rsidP="00030895">
      <w:pPr>
        <w:numPr>
          <w:ilvl w:val="0"/>
          <w:numId w:val="1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Committee was concerned about the</w:t>
      </w:r>
      <w:r w:rsidR="0024108A" w:rsidRPr="00714FB7">
        <w:rPr>
          <w:rFonts w:ascii="Times New Roman" w:hAnsi="Times New Roman"/>
          <w:color w:val="auto"/>
          <w:sz w:val="24"/>
          <w:szCs w:val="24"/>
          <w:lang w:val="en-US"/>
        </w:rPr>
        <w:t xml:space="preserve"> lack of</w:t>
      </w:r>
      <w:r w:rsidRPr="00714FB7">
        <w:rPr>
          <w:rFonts w:ascii="Times New Roman" w:hAnsi="Times New Roman"/>
          <w:color w:val="auto"/>
          <w:sz w:val="24"/>
          <w:szCs w:val="24"/>
          <w:lang w:val="en-US"/>
        </w:rPr>
        <w:t xml:space="preserve"> timeframe</w:t>
      </w:r>
      <w:r w:rsidR="0024108A" w:rsidRPr="00714FB7">
        <w:rPr>
          <w:rFonts w:ascii="Times New Roman" w:hAnsi="Times New Roman"/>
          <w:color w:val="auto"/>
          <w:sz w:val="24"/>
          <w:szCs w:val="24"/>
          <w:lang w:val="en-US"/>
        </w:rPr>
        <w:t>s</w:t>
      </w:r>
      <w:r w:rsidRPr="00714FB7">
        <w:rPr>
          <w:rFonts w:ascii="Times New Roman" w:hAnsi="Times New Roman"/>
          <w:color w:val="auto"/>
          <w:sz w:val="24"/>
          <w:szCs w:val="24"/>
          <w:lang w:val="en-US"/>
        </w:rPr>
        <w:t xml:space="preserve"> </w:t>
      </w:r>
      <w:r w:rsidR="00107B73" w:rsidRPr="00714FB7">
        <w:rPr>
          <w:rFonts w:ascii="Times New Roman" w:hAnsi="Times New Roman"/>
          <w:color w:val="auto"/>
          <w:sz w:val="24"/>
          <w:szCs w:val="24"/>
          <w:lang w:val="en-US"/>
        </w:rPr>
        <w:t>related to</w:t>
      </w:r>
      <w:r w:rsidRPr="00714FB7">
        <w:rPr>
          <w:rFonts w:ascii="Times New Roman" w:hAnsi="Times New Roman"/>
          <w:color w:val="auto"/>
          <w:sz w:val="24"/>
          <w:szCs w:val="24"/>
          <w:lang w:val="en-US"/>
        </w:rPr>
        <w:t xml:space="preserve"> the promulgation of the norms and standards.</w:t>
      </w:r>
    </w:p>
    <w:p w:rsidR="00E91F86" w:rsidRPr="00714FB7" w:rsidRDefault="00E91F86" w:rsidP="00E91F86">
      <w:pPr>
        <w:pStyle w:val="ListParagraph"/>
        <w:numPr>
          <w:ilvl w:val="0"/>
          <w:numId w:val="1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delays in the appointment of the CEO was a concern for the Committee.</w:t>
      </w:r>
    </w:p>
    <w:p w:rsidR="006967DB" w:rsidRPr="00714FB7" w:rsidRDefault="00D76D34" w:rsidP="00030895">
      <w:pPr>
        <w:numPr>
          <w:ilvl w:val="0"/>
          <w:numId w:val="1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Committee </w:t>
      </w:r>
      <w:r w:rsidR="00992CA4" w:rsidRPr="00714FB7">
        <w:rPr>
          <w:rFonts w:ascii="Times New Roman" w:hAnsi="Times New Roman"/>
          <w:color w:val="auto"/>
          <w:sz w:val="24"/>
          <w:szCs w:val="24"/>
          <w:lang w:val="en-US"/>
        </w:rPr>
        <w:t xml:space="preserve">also </w:t>
      </w:r>
      <w:r w:rsidR="004D01EF" w:rsidRPr="00714FB7">
        <w:rPr>
          <w:rFonts w:ascii="Times New Roman" w:hAnsi="Times New Roman"/>
          <w:color w:val="auto"/>
          <w:sz w:val="24"/>
          <w:szCs w:val="24"/>
          <w:lang w:val="en-US"/>
        </w:rPr>
        <w:t xml:space="preserve">raised </w:t>
      </w:r>
      <w:r w:rsidR="00992CA4" w:rsidRPr="00714FB7">
        <w:rPr>
          <w:rFonts w:ascii="Times New Roman" w:hAnsi="Times New Roman"/>
          <w:color w:val="auto"/>
          <w:sz w:val="24"/>
          <w:szCs w:val="24"/>
          <w:lang w:val="en-US"/>
        </w:rPr>
        <w:t>its</w:t>
      </w:r>
      <w:r w:rsidR="004D01EF" w:rsidRPr="00714FB7">
        <w:rPr>
          <w:rFonts w:ascii="Times New Roman" w:hAnsi="Times New Roman"/>
          <w:color w:val="auto"/>
          <w:sz w:val="24"/>
          <w:szCs w:val="24"/>
          <w:lang w:val="en-US"/>
        </w:rPr>
        <w:t xml:space="preserve"> concern around the </w:t>
      </w:r>
      <w:r w:rsidR="0024108A" w:rsidRPr="00714FB7">
        <w:rPr>
          <w:rFonts w:ascii="Times New Roman" w:hAnsi="Times New Roman"/>
          <w:color w:val="auto"/>
          <w:sz w:val="24"/>
          <w:szCs w:val="24"/>
          <w:lang w:val="en-US"/>
        </w:rPr>
        <w:t xml:space="preserve">OHSC </w:t>
      </w:r>
      <w:r w:rsidR="004D01EF" w:rsidRPr="00714FB7">
        <w:rPr>
          <w:rFonts w:ascii="Times New Roman" w:hAnsi="Times New Roman"/>
          <w:color w:val="auto"/>
          <w:sz w:val="24"/>
          <w:szCs w:val="24"/>
          <w:lang w:val="en-US"/>
        </w:rPr>
        <w:t xml:space="preserve">complaints procedures, that there seem to be </w:t>
      </w:r>
      <w:r w:rsidR="0024108A" w:rsidRPr="00714FB7">
        <w:rPr>
          <w:rFonts w:ascii="Times New Roman" w:hAnsi="Times New Roman"/>
          <w:color w:val="auto"/>
          <w:sz w:val="24"/>
          <w:szCs w:val="24"/>
          <w:lang w:val="en-US"/>
        </w:rPr>
        <w:t>uncertainty</w:t>
      </w:r>
      <w:r w:rsidR="004D01EF" w:rsidRPr="00714FB7">
        <w:rPr>
          <w:rFonts w:ascii="Times New Roman" w:hAnsi="Times New Roman"/>
          <w:color w:val="auto"/>
          <w:sz w:val="24"/>
          <w:szCs w:val="24"/>
          <w:lang w:val="en-US"/>
        </w:rPr>
        <w:t xml:space="preserve"> </w:t>
      </w:r>
      <w:r w:rsidR="0024108A" w:rsidRPr="00714FB7">
        <w:rPr>
          <w:rFonts w:ascii="Times New Roman" w:hAnsi="Times New Roman"/>
          <w:color w:val="auto"/>
          <w:sz w:val="24"/>
          <w:szCs w:val="24"/>
          <w:lang w:val="en-US"/>
        </w:rPr>
        <w:t>by</w:t>
      </w:r>
      <w:r w:rsidR="004D01EF" w:rsidRPr="00714FB7">
        <w:rPr>
          <w:rFonts w:ascii="Times New Roman" w:hAnsi="Times New Roman"/>
          <w:color w:val="auto"/>
          <w:sz w:val="24"/>
          <w:szCs w:val="24"/>
          <w:lang w:val="en-US"/>
        </w:rPr>
        <w:t xml:space="preserve"> health care users </w:t>
      </w:r>
      <w:r w:rsidR="0024108A" w:rsidRPr="00714FB7">
        <w:rPr>
          <w:rFonts w:ascii="Times New Roman" w:hAnsi="Times New Roman"/>
          <w:color w:val="auto"/>
          <w:sz w:val="24"/>
          <w:szCs w:val="24"/>
          <w:lang w:val="en-US"/>
        </w:rPr>
        <w:t>on</w:t>
      </w:r>
      <w:r w:rsidR="004D01EF" w:rsidRPr="00714FB7">
        <w:rPr>
          <w:rFonts w:ascii="Times New Roman" w:hAnsi="Times New Roman"/>
          <w:color w:val="auto"/>
          <w:sz w:val="24"/>
          <w:szCs w:val="24"/>
          <w:lang w:val="en-US"/>
        </w:rPr>
        <w:t xml:space="preserve"> lodg</w:t>
      </w:r>
      <w:r w:rsidR="0024108A" w:rsidRPr="00714FB7">
        <w:rPr>
          <w:rFonts w:ascii="Times New Roman" w:hAnsi="Times New Roman"/>
          <w:color w:val="auto"/>
          <w:sz w:val="24"/>
          <w:szCs w:val="24"/>
          <w:lang w:val="en-US"/>
        </w:rPr>
        <w:t>ing</w:t>
      </w:r>
      <w:r w:rsidR="004D01EF" w:rsidRPr="00714FB7">
        <w:rPr>
          <w:rFonts w:ascii="Times New Roman" w:hAnsi="Times New Roman"/>
          <w:color w:val="auto"/>
          <w:sz w:val="24"/>
          <w:szCs w:val="24"/>
          <w:lang w:val="en-US"/>
        </w:rPr>
        <w:t xml:space="preserve"> complaints via the </w:t>
      </w:r>
      <w:r w:rsidR="0024108A" w:rsidRPr="00714FB7">
        <w:rPr>
          <w:rFonts w:ascii="Times New Roman" w:hAnsi="Times New Roman"/>
          <w:color w:val="auto"/>
          <w:sz w:val="24"/>
          <w:szCs w:val="24"/>
          <w:lang w:val="en-US"/>
        </w:rPr>
        <w:t xml:space="preserve">OHSC </w:t>
      </w:r>
      <w:r w:rsidR="004D01EF" w:rsidRPr="00714FB7">
        <w:rPr>
          <w:rFonts w:ascii="Times New Roman" w:hAnsi="Times New Roman"/>
          <w:color w:val="auto"/>
          <w:sz w:val="24"/>
          <w:szCs w:val="24"/>
          <w:lang w:val="en-US"/>
        </w:rPr>
        <w:t>Call Centre.</w:t>
      </w:r>
    </w:p>
    <w:p w:rsidR="00107B73" w:rsidRPr="00714FB7" w:rsidRDefault="00107B73" w:rsidP="00030895">
      <w:pPr>
        <w:spacing w:line="360" w:lineRule="auto"/>
        <w:jc w:val="both"/>
        <w:rPr>
          <w:rFonts w:ascii="Times New Roman" w:hAnsi="Times New Roman"/>
          <w:color w:val="auto"/>
          <w:sz w:val="24"/>
          <w:szCs w:val="24"/>
          <w:lang w:val="en-US"/>
        </w:rPr>
      </w:pPr>
    </w:p>
    <w:p w:rsidR="0065773E" w:rsidRPr="00714FB7" w:rsidRDefault="0065773E" w:rsidP="00030895">
      <w:pPr>
        <w:numPr>
          <w:ilvl w:val="2"/>
          <w:numId w:val="87"/>
        </w:numPr>
        <w:spacing w:line="360" w:lineRule="auto"/>
        <w:rPr>
          <w:rFonts w:ascii="Times New Roman" w:hAnsi="Times New Roman"/>
          <w:b/>
          <w:color w:val="auto"/>
          <w:sz w:val="24"/>
          <w:szCs w:val="24"/>
          <w:lang w:val="en-US"/>
        </w:rPr>
      </w:pPr>
      <w:r w:rsidRPr="00714FB7">
        <w:rPr>
          <w:rFonts w:ascii="Times New Roman" w:hAnsi="Times New Roman"/>
          <w:b/>
          <w:color w:val="auto"/>
          <w:sz w:val="24"/>
          <w:szCs w:val="24"/>
          <w:lang w:val="en-US"/>
        </w:rPr>
        <w:t>CMS</w:t>
      </w:r>
    </w:p>
    <w:p w:rsidR="0065773E" w:rsidRPr="00714FB7" w:rsidRDefault="0065773E" w:rsidP="00030895">
      <w:pPr>
        <w:numPr>
          <w:ilvl w:val="0"/>
          <w:numId w:val="19"/>
        </w:numPr>
        <w:spacing w:line="360" w:lineRule="auto"/>
        <w:rPr>
          <w:rFonts w:ascii="Times New Roman" w:hAnsi="Times New Roman"/>
          <w:b/>
          <w:color w:val="auto"/>
          <w:sz w:val="24"/>
          <w:szCs w:val="24"/>
          <w:lang w:val="en-US"/>
        </w:rPr>
      </w:pPr>
      <w:r w:rsidRPr="00714FB7">
        <w:rPr>
          <w:rFonts w:ascii="Times New Roman" w:hAnsi="Times New Roman"/>
          <w:color w:val="auto"/>
          <w:sz w:val="24"/>
          <w:szCs w:val="24"/>
          <w:lang w:val="en-US"/>
        </w:rPr>
        <w:t xml:space="preserve">An </w:t>
      </w:r>
      <w:r w:rsidR="00461BA0" w:rsidRPr="00714FB7">
        <w:rPr>
          <w:rFonts w:ascii="Times New Roman" w:hAnsi="Times New Roman"/>
          <w:color w:val="auto"/>
          <w:sz w:val="24"/>
          <w:szCs w:val="24"/>
          <w:lang w:val="en-US"/>
        </w:rPr>
        <w:t xml:space="preserve">on-going concern </w:t>
      </w:r>
      <w:r w:rsidR="002C2EE2" w:rsidRPr="00714FB7">
        <w:rPr>
          <w:rFonts w:ascii="Times New Roman" w:hAnsi="Times New Roman"/>
          <w:color w:val="auto"/>
          <w:sz w:val="24"/>
          <w:szCs w:val="24"/>
          <w:lang w:val="en-US"/>
        </w:rPr>
        <w:t>for the Committee is</w:t>
      </w:r>
      <w:r w:rsidRPr="00714FB7">
        <w:rPr>
          <w:rFonts w:ascii="Times New Roman" w:hAnsi="Times New Roman"/>
          <w:color w:val="auto"/>
          <w:sz w:val="24"/>
          <w:szCs w:val="24"/>
          <w:lang w:val="en-US"/>
        </w:rPr>
        <w:t xml:space="preserve"> that the CMS is currently leasing a building and is concerned that this is not a cheap option for the entity</w:t>
      </w:r>
      <w:r w:rsidR="009F3C5A" w:rsidRPr="00714FB7">
        <w:rPr>
          <w:rFonts w:ascii="Times New Roman" w:hAnsi="Times New Roman"/>
          <w:color w:val="auto"/>
          <w:sz w:val="24"/>
          <w:szCs w:val="24"/>
          <w:lang w:val="en-US"/>
        </w:rPr>
        <w:t>.</w:t>
      </w:r>
    </w:p>
    <w:p w:rsidR="009F3C5A" w:rsidRPr="00714FB7" w:rsidRDefault="009F3C5A" w:rsidP="00030895">
      <w:pPr>
        <w:numPr>
          <w:ilvl w:val="0"/>
          <w:numId w:val="19"/>
        </w:numPr>
        <w:spacing w:line="360" w:lineRule="auto"/>
        <w:rPr>
          <w:rFonts w:ascii="Times New Roman" w:hAnsi="Times New Roman"/>
          <w:b/>
          <w:color w:val="auto"/>
          <w:sz w:val="24"/>
          <w:szCs w:val="24"/>
          <w:lang w:val="en-US"/>
        </w:rPr>
      </w:pPr>
      <w:r w:rsidRPr="00714FB7">
        <w:rPr>
          <w:rFonts w:ascii="Times New Roman" w:hAnsi="Times New Roman"/>
          <w:color w:val="auto"/>
          <w:sz w:val="24"/>
          <w:szCs w:val="24"/>
          <w:lang w:val="en-US"/>
        </w:rPr>
        <w:t xml:space="preserve">The Committee </w:t>
      </w:r>
      <w:r w:rsidR="00576B84" w:rsidRPr="00714FB7">
        <w:rPr>
          <w:rFonts w:ascii="Times New Roman" w:hAnsi="Times New Roman"/>
          <w:color w:val="auto"/>
          <w:sz w:val="24"/>
          <w:szCs w:val="24"/>
          <w:lang w:val="en-US"/>
        </w:rPr>
        <w:t>probed</w:t>
      </w:r>
      <w:r w:rsidRPr="00714FB7">
        <w:rPr>
          <w:rFonts w:ascii="Times New Roman" w:hAnsi="Times New Roman"/>
          <w:color w:val="auto"/>
          <w:sz w:val="24"/>
          <w:szCs w:val="24"/>
          <w:lang w:val="en-US"/>
        </w:rPr>
        <w:t xml:space="preserve"> </w:t>
      </w:r>
      <w:r w:rsidR="00A029A8" w:rsidRPr="00714FB7">
        <w:rPr>
          <w:rFonts w:ascii="Times New Roman" w:hAnsi="Times New Roman"/>
          <w:color w:val="auto"/>
          <w:sz w:val="24"/>
          <w:szCs w:val="24"/>
          <w:lang w:val="en-US"/>
        </w:rPr>
        <w:t xml:space="preserve">on </w:t>
      </w:r>
      <w:r w:rsidR="00992CA4" w:rsidRPr="00714FB7">
        <w:rPr>
          <w:rFonts w:ascii="Times New Roman" w:hAnsi="Times New Roman"/>
          <w:color w:val="auto"/>
          <w:sz w:val="24"/>
          <w:szCs w:val="24"/>
          <w:lang w:val="en-US"/>
        </w:rPr>
        <w:t xml:space="preserve">how far </w:t>
      </w:r>
      <w:r w:rsidRPr="00714FB7">
        <w:rPr>
          <w:rFonts w:ascii="Times New Roman" w:hAnsi="Times New Roman"/>
          <w:color w:val="auto"/>
          <w:sz w:val="24"/>
          <w:szCs w:val="24"/>
          <w:lang w:val="en-US"/>
        </w:rPr>
        <w:t>the process of filling the Registrar position</w:t>
      </w:r>
      <w:r w:rsidR="00992CA4" w:rsidRPr="00714FB7">
        <w:rPr>
          <w:rFonts w:ascii="Times New Roman" w:hAnsi="Times New Roman"/>
          <w:color w:val="auto"/>
          <w:sz w:val="24"/>
          <w:szCs w:val="24"/>
          <w:lang w:val="en-US"/>
        </w:rPr>
        <w:t xml:space="preserve"> is</w:t>
      </w:r>
      <w:r w:rsidRPr="00714FB7">
        <w:rPr>
          <w:rFonts w:ascii="Times New Roman" w:hAnsi="Times New Roman"/>
          <w:color w:val="auto"/>
          <w:sz w:val="24"/>
          <w:szCs w:val="24"/>
          <w:lang w:val="en-US"/>
        </w:rPr>
        <w:t>.</w:t>
      </w:r>
    </w:p>
    <w:p w:rsidR="007B3649" w:rsidRPr="00714FB7" w:rsidRDefault="0065773E" w:rsidP="00575DF6">
      <w:pPr>
        <w:numPr>
          <w:ilvl w:val="0"/>
          <w:numId w:val="71"/>
        </w:numPr>
        <w:spacing w:line="360" w:lineRule="auto"/>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Committee was concerned that the </w:t>
      </w:r>
      <w:r w:rsidR="001A365F" w:rsidRPr="00714FB7">
        <w:rPr>
          <w:rFonts w:ascii="Times New Roman" w:hAnsi="Times New Roman"/>
          <w:color w:val="auto"/>
          <w:sz w:val="24"/>
          <w:szCs w:val="24"/>
          <w:lang w:val="en-US"/>
        </w:rPr>
        <w:t>CMS</w:t>
      </w:r>
      <w:r w:rsidR="00A029A8" w:rsidRPr="00714FB7">
        <w:rPr>
          <w:rFonts w:ascii="Times New Roman" w:hAnsi="Times New Roman"/>
          <w:color w:val="auto"/>
          <w:sz w:val="24"/>
          <w:szCs w:val="24"/>
          <w:lang w:val="en-US"/>
        </w:rPr>
        <w:t xml:space="preserve"> </w:t>
      </w:r>
      <w:r w:rsidRPr="00714FB7">
        <w:rPr>
          <w:rFonts w:ascii="Times New Roman" w:hAnsi="Times New Roman"/>
          <w:color w:val="auto"/>
          <w:sz w:val="24"/>
          <w:szCs w:val="24"/>
          <w:lang w:val="en-US"/>
        </w:rPr>
        <w:t>has annual targets as opposed to quarterly targets</w:t>
      </w:r>
      <w:r w:rsidR="003A0C21" w:rsidRPr="00714FB7">
        <w:rPr>
          <w:rFonts w:ascii="Times New Roman" w:hAnsi="Times New Roman"/>
          <w:color w:val="auto"/>
          <w:sz w:val="24"/>
          <w:szCs w:val="24"/>
          <w:lang w:val="en-US"/>
        </w:rPr>
        <w:t xml:space="preserve"> which makes it difficult to know if a target will be met at the end of the financial year</w:t>
      </w:r>
      <w:r w:rsidRPr="00714FB7">
        <w:rPr>
          <w:rFonts w:ascii="Times New Roman" w:hAnsi="Times New Roman"/>
          <w:color w:val="auto"/>
          <w:sz w:val="24"/>
          <w:szCs w:val="24"/>
          <w:lang w:val="en-US"/>
        </w:rPr>
        <w:t>.</w:t>
      </w:r>
    </w:p>
    <w:p w:rsidR="009F3C5A" w:rsidRPr="00714FB7" w:rsidRDefault="009F3C5A" w:rsidP="00575DF6">
      <w:pPr>
        <w:numPr>
          <w:ilvl w:val="0"/>
          <w:numId w:val="71"/>
        </w:numPr>
        <w:spacing w:line="360" w:lineRule="auto"/>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Committee noted </w:t>
      </w:r>
      <w:r w:rsidR="0024108A" w:rsidRPr="00714FB7">
        <w:rPr>
          <w:rFonts w:ascii="Times New Roman" w:hAnsi="Times New Roman"/>
          <w:color w:val="auto"/>
          <w:sz w:val="24"/>
          <w:szCs w:val="24"/>
          <w:lang w:val="en-US"/>
        </w:rPr>
        <w:t xml:space="preserve">with concern </w:t>
      </w:r>
      <w:r w:rsidRPr="00714FB7">
        <w:rPr>
          <w:rFonts w:ascii="Times New Roman" w:hAnsi="Times New Roman"/>
          <w:color w:val="auto"/>
          <w:sz w:val="24"/>
          <w:szCs w:val="24"/>
          <w:lang w:val="en-US"/>
        </w:rPr>
        <w:t xml:space="preserve">that some </w:t>
      </w:r>
      <w:r w:rsidR="00F21D71" w:rsidRPr="00714FB7">
        <w:rPr>
          <w:rFonts w:ascii="Times New Roman" w:hAnsi="Times New Roman"/>
          <w:color w:val="auto"/>
          <w:sz w:val="24"/>
          <w:szCs w:val="24"/>
          <w:lang w:val="en-US"/>
        </w:rPr>
        <w:t>medical claim</w:t>
      </w:r>
      <w:r w:rsidR="007B3BC7" w:rsidRPr="00714FB7">
        <w:rPr>
          <w:rFonts w:ascii="Times New Roman" w:hAnsi="Times New Roman"/>
          <w:color w:val="auto"/>
          <w:sz w:val="24"/>
          <w:szCs w:val="24"/>
          <w:lang w:val="en-US"/>
        </w:rPr>
        <w:t xml:space="preserve"> </w:t>
      </w:r>
      <w:r w:rsidRPr="00714FB7">
        <w:rPr>
          <w:rFonts w:ascii="Times New Roman" w:hAnsi="Times New Roman"/>
          <w:color w:val="auto"/>
          <w:sz w:val="24"/>
          <w:szCs w:val="24"/>
          <w:lang w:val="en-US"/>
        </w:rPr>
        <w:t xml:space="preserve">complaints lodged with the </w:t>
      </w:r>
      <w:r w:rsidR="00A029A8" w:rsidRPr="00714FB7">
        <w:rPr>
          <w:rFonts w:ascii="Times New Roman" w:hAnsi="Times New Roman"/>
          <w:color w:val="auto"/>
          <w:sz w:val="24"/>
          <w:szCs w:val="24"/>
          <w:lang w:val="en-US"/>
        </w:rPr>
        <w:t>CMS</w:t>
      </w:r>
      <w:r w:rsidRPr="00714FB7">
        <w:rPr>
          <w:rFonts w:ascii="Times New Roman" w:hAnsi="Times New Roman"/>
          <w:color w:val="auto"/>
          <w:sz w:val="24"/>
          <w:szCs w:val="24"/>
          <w:lang w:val="en-US"/>
        </w:rPr>
        <w:t xml:space="preserve"> may require </w:t>
      </w:r>
      <w:r w:rsidR="007B3BC7" w:rsidRPr="00714FB7">
        <w:rPr>
          <w:rFonts w:ascii="Times New Roman" w:hAnsi="Times New Roman"/>
          <w:color w:val="auto"/>
          <w:sz w:val="24"/>
          <w:szCs w:val="24"/>
          <w:lang w:val="en-US"/>
        </w:rPr>
        <w:t xml:space="preserve">new </w:t>
      </w:r>
      <w:r w:rsidRPr="00714FB7">
        <w:rPr>
          <w:rFonts w:ascii="Times New Roman" w:hAnsi="Times New Roman"/>
          <w:color w:val="auto"/>
          <w:sz w:val="24"/>
          <w:szCs w:val="24"/>
          <w:lang w:val="en-US"/>
        </w:rPr>
        <w:t>regulations.</w:t>
      </w:r>
    </w:p>
    <w:p w:rsidR="009F3C5A" w:rsidRPr="00714FB7" w:rsidRDefault="009F3C5A" w:rsidP="00575DF6">
      <w:pPr>
        <w:numPr>
          <w:ilvl w:val="0"/>
          <w:numId w:val="71"/>
        </w:numPr>
        <w:spacing w:line="360" w:lineRule="auto"/>
        <w:rPr>
          <w:rFonts w:ascii="Times New Roman" w:hAnsi="Times New Roman"/>
          <w:color w:val="auto"/>
          <w:sz w:val="24"/>
          <w:szCs w:val="24"/>
          <w:lang w:val="en-US"/>
        </w:rPr>
      </w:pPr>
      <w:r w:rsidRPr="00714FB7">
        <w:rPr>
          <w:rFonts w:ascii="Times New Roman" w:hAnsi="Times New Roman"/>
          <w:color w:val="auto"/>
          <w:sz w:val="24"/>
          <w:szCs w:val="24"/>
          <w:lang w:val="en-US"/>
        </w:rPr>
        <w:t>The Committee noted with concern that awareness campaigns o</w:t>
      </w:r>
      <w:r w:rsidR="0024108A" w:rsidRPr="00714FB7">
        <w:rPr>
          <w:rFonts w:ascii="Times New Roman" w:hAnsi="Times New Roman"/>
          <w:color w:val="auto"/>
          <w:sz w:val="24"/>
          <w:szCs w:val="24"/>
          <w:lang w:val="en-US"/>
        </w:rPr>
        <w:t>f</w:t>
      </w:r>
      <w:r w:rsidRPr="00714FB7">
        <w:rPr>
          <w:rFonts w:ascii="Times New Roman" w:hAnsi="Times New Roman"/>
          <w:color w:val="auto"/>
          <w:sz w:val="24"/>
          <w:szCs w:val="24"/>
          <w:lang w:val="en-US"/>
        </w:rPr>
        <w:t xml:space="preserve"> the CMS are not visible.</w:t>
      </w:r>
    </w:p>
    <w:p w:rsidR="001A365F" w:rsidRPr="00714FB7" w:rsidRDefault="001A365F" w:rsidP="00575DF6">
      <w:pPr>
        <w:numPr>
          <w:ilvl w:val="0"/>
          <w:numId w:val="71"/>
        </w:numPr>
        <w:spacing w:line="360" w:lineRule="auto"/>
        <w:rPr>
          <w:rFonts w:ascii="Times New Roman" w:hAnsi="Times New Roman"/>
          <w:color w:val="auto"/>
          <w:sz w:val="24"/>
          <w:szCs w:val="24"/>
          <w:lang w:val="en-US"/>
        </w:rPr>
      </w:pPr>
      <w:r w:rsidRPr="00714FB7">
        <w:rPr>
          <w:rFonts w:ascii="Times New Roman" w:hAnsi="Times New Roman"/>
          <w:color w:val="auto"/>
          <w:sz w:val="24"/>
          <w:szCs w:val="24"/>
          <w:lang w:val="en-US"/>
        </w:rPr>
        <w:t>The Committee noted that there were policy gaps in the entity that need to be addressed.</w:t>
      </w:r>
    </w:p>
    <w:p w:rsidR="00155F4A" w:rsidRPr="00714FB7" w:rsidRDefault="00155F4A" w:rsidP="00B91A91">
      <w:pPr>
        <w:spacing w:line="360" w:lineRule="auto"/>
        <w:rPr>
          <w:rFonts w:ascii="Times New Roman" w:hAnsi="Times New Roman"/>
          <w:color w:val="auto"/>
          <w:sz w:val="24"/>
          <w:szCs w:val="24"/>
          <w:lang w:val="en-US"/>
        </w:rPr>
      </w:pPr>
    </w:p>
    <w:p w:rsidR="007B3649" w:rsidRPr="00714FB7" w:rsidRDefault="007B3649" w:rsidP="00030895">
      <w:pPr>
        <w:pStyle w:val="ListParagraph"/>
        <w:numPr>
          <w:ilvl w:val="2"/>
          <w:numId w:val="87"/>
        </w:numPr>
        <w:spacing w:line="360" w:lineRule="auto"/>
        <w:jc w:val="both"/>
        <w:rPr>
          <w:rFonts w:ascii="Times New Roman" w:hAnsi="Times New Roman"/>
          <w:b/>
          <w:color w:val="auto"/>
          <w:sz w:val="24"/>
          <w:szCs w:val="24"/>
          <w:lang w:val="en-US"/>
        </w:rPr>
      </w:pPr>
      <w:r w:rsidRPr="00714FB7">
        <w:rPr>
          <w:rFonts w:ascii="Times New Roman" w:hAnsi="Times New Roman"/>
          <w:b/>
          <w:color w:val="auto"/>
          <w:sz w:val="24"/>
          <w:szCs w:val="24"/>
          <w:lang w:val="en-US"/>
        </w:rPr>
        <w:t>CCOD</w:t>
      </w:r>
    </w:p>
    <w:p w:rsidR="007B3649" w:rsidRPr="00714FB7" w:rsidRDefault="007B3649" w:rsidP="00B91A91">
      <w:pPr>
        <w:pStyle w:val="ListParagraph"/>
        <w:numPr>
          <w:ilvl w:val="0"/>
          <w:numId w:val="1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Committee </w:t>
      </w:r>
      <w:r w:rsidR="00D76D34" w:rsidRPr="00714FB7">
        <w:rPr>
          <w:rFonts w:ascii="Times New Roman" w:hAnsi="Times New Roman"/>
          <w:color w:val="auto"/>
          <w:sz w:val="24"/>
          <w:szCs w:val="24"/>
          <w:lang w:val="en-US"/>
        </w:rPr>
        <w:t>commended the CCOD for attending to the backlog o</w:t>
      </w:r>
      <w:r w:rsidR="00A029A8" w:rsidRPr="00714FB7">
        <w:rPr>
          <w:rFonts w:ascii="Times New Roman" w:hAnsi="Times New Roman"/>
          <w:color w:val="auto"/>
          <w:sz w:val="24"/>
          <w:szCs w:val="24"/>
          <w:lang w:val="en-US"/>
        </w:rPr>
        <w:t>f audited financial statements, h</w:t>
      </w:r>
      <w:r w:rsidR="00283292" w:rsidRPr="00714FB7">
        <w:rPr>
          <w:rFonts w:ascii="Times New Roman" w:hAnsi="Times New Roman"/>
          <w:color w:val="auto"/>
          <w:sz w:val="24"/>
          <w:szCs w:val="24"/>
          <w:lang w:val="en-US"/>
        </w:rPr>
        <w:t xml:space="preserve">owever, concerned </w:t>
      </w:r>
      <w:r w:rsidR="00A029A8" w:rsidRPr="00714FB7">
        <w:rPr>
          <w:rFonts w:ascii="Times New Roman" w:hAnsi="Times New Roman"/>
          <w:color w:val="auto"/>
          <w:sz w:val="24"/>
          <w:szCs w:val="24"/>
          <w:lang w:val="en-US"/>
        </w:rPr>
        <w:t xml:space="preserve">on </w:t>
      </w:r>
      <w:r w:rsidR="00B615A1" w:rsidRPr="00714FB7">
        <w:rPr>
          <w:rFonts w:ascii="Times New Roman" w:hAnsi="Times New Roman"/>
          <w:color w:val="auto"/>
          <w:sz w:val="24"/>
          <w:szCs w:val="24"/>
          <w:lang w:val="en-US"/>
        </w:rPr>
        <w:t>whether the CCOD has</w:t>
      </w:r>
      <w:r w:rsidR="00283292" w:rsidRPr="00714FB7">
        <w:rPr>
          <w:rFonts w:ascii="Times New Roman" w:hAnsi="Times New Roman"/>
          <w:color w:val="auto"/>
          <w:sz w:val="24"/>
          <w:szCs w:val="24"/>
          <w:lang w:val="en-US"/>
        </w:rPr>
        <w:t xml:space="preserve"> an action plan to redress the findings of the AG.</w:t>
      </w:r>
    </w:p>
    <w:p w:rsidR="001A365F" w:rsidRPr="00714FB7" w:rsidRDefault="000B2BF1" w:rsidP="00651B61">
      <w:pPr>
        <w:pStyle w:val="ListParagraph"/>
        <w:numPr>
          <w:ilvl w:val="0"/>
          <w:numId w:val="1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Committee noted that there are no timeframes</w:t>
      </w:r>
      <w:r w:rsidR="00B96724" w:rsidRPr="00714FB7">
        <w:rPr>
          <w:rFonts w:ascii="Times New Roman" w:hAnsi="Times New Roman"/>
          <w:color w:val="auto"/>
          <w:sz w:val="24"/>
          <w:szCs w:val="24"/>
          <w:lang w:val="en-US"/>
        </w:rPr>
        <w:t xml:space="preserve"> </w:t>
      </w:r>
      <w:r w:rsidR="003A0C21" w:rsidRPr="00714FB7">
        <w:rPr>
          <w:rFonts w:ascii="Times New Roman" w:hAnsi="Times New Roman"/>
          <w:color w:val="auto"/>
          <w:sz w:val="24"/>
          <w:szCs w:val="24"/>
          <w:lang w:val="en-US"/>
        </w:rPr>
        <w:t xml:space="preserve">for </w:t>
      </w:r>
      <w:r w:rsidR="00110067" w:rsidRPr="00714FB7">
        <w:rPr>
          <w:rFonts w:ascii="Times New Roman" w:hAnsi="Times New Roman"/>
          <w:color w:val="auto"/>
          <w:sz w:val="24"/>
          <w:szCs w:val="24"/>
          <w:lang w:val="en-US"/>
        </w:rPr>
        <w:t>th</w:t>
      </w:r>
      <w:r w:rsidRPr="00714FB7">
        <w:rPr>
          <w:rFonts w:ascii="Times New Roman" w:hAnsi="Times New Roman"/>
          <w:color w:val="auto"/>
          <w:sz w:val="24"/>
          <w:szCs w:val="24"/>
          <w:lang w:val="en-US"/>
        </w:rPr>
        <w:t>e</w:t>
      </w:r>
      <w:r w:rsidR="003A0C21" w:rsidRPr="00714FB7">
        <w:rPr>
          <w:rFonts w:ascii="Times New Roman" w:hAnsi="Times New Roman"/>
          <w:color w:val="auto"/>
          <w:sz w:val="24"/>
          <w:szCs w:val="24"/>
          <w:lang w:val="en-US"/>
        </w:rPr>
        <w:t xml:space="preserve"> integrated compensation legislation</w:t>
      </w:r>
      <w:r w:rsidRPr="00714FB7">
        <w:rPr>
          <w:rFonts w:ascii="Times New Roman" w:hAnsi="Times New Roman"/>
          <w:color w:val="auto"/>
          <w:sz w:val="24"/>
          <w:szCs w:val="24"/>
          <w:lang w:val="en-US"/>
        </w:rPr>
        <w:t>.</w:t>
      </w:r>
    </w:p>
    <w:p w:rsidR="000B2BF1" w:rsidRPr="00714FB7" w:rsidRDefault="001A365F" w:rsidP="00651B61">
      <w:pPr>
        <w:pStyle w:val="ListParagraph"/>
        <w:numPr>
          <w:ilvl w:val="0"/>
          <w:numId w:val="1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Committee noted that awareness campaigns undertaken by CCOD are </w:t>
      </w:r>
      <w:r w:rsidR="002A4C5B" w:rsidRPr="00714FB7">
        <w:rPr>
          <w:rFonts w:ascii="Times New Roman" w:hAnsi="Times New Roman"/>
          <w:color w:val="auto"/>
          <w:sz w:val="24"/>
          <w:szCs w:val="24"/>
          <w:lang w:val="en-US"/>
        </w:rPr>
        <w:t>not adequately visible.</w:t>
      </w:r>
      <w:r w:rsidR="000B2BF1" w:rsidRPr="00714FB7">
        <w:rPr>
          <w:rFonts w:ascii="Times New Roman" w:hAnsi="Times New Roman"/>
          <w:color w:val="auto"/>
          <w:sz w:val="24"/>
          <w:szCs w:val="24"/>
          <w:lang w:val="en-US"/>
        </w:rPr>
        <w:t xml:space="preserve"> </w:t>
      </w:r>
    </w:p>
    <w:p w:rsidR="00A65A31" w:rsidRPr="00714FB7" w:rsidRDefault="00A65A31" w:rsidP="00592774">
      <w:pPr>
        <w:spacing w:line="360" w:lineRule="auto"/>
        <w:jc w:val="both"/>
        <w:rPr>
          <w:rFonts w:ascii="Times New Roman" w:hAnsi="Times New Roman"/>
          <w:color w:val="auto"/>
          <w:sz w:val="24"/>
          <w:szCs w:val="24"/>
          <w:lang w:val="en-US"/>
        </w:rPr>
      </w:pPr>
    </w:p>
    <w:p w:rsidR="00F418C6" w:rsidRPr="00714FB7" w:rsidRDefault="00F418C6" w:rsidP="00592774">
      <w:pPr>
        <w:spacing w:line="360" w:lineRule="auto"/>
        <w:jc w:val="both"/>
        <w:rPr>
          <w:rFonts w:ascii="Times New Roman" w:hAnsi="Times New Roman"/>
          <w:color w:val="auto"/>
          <w:sz w:val="24"/>
          <w:szCs w:val="24"/>
          <w:lang w:val="en-US"/>
        </w:rPr>
      </w:pPr>
    </w:p>
    <w:p w:rsidR="00612B8A" w:rsidRPr="00714FB7" w:rsidRDefault="00575DF6" w:rsidP="00030895">
      <w:pPr>
        <w:pStyle w:val="ListParagraph"/>
        <w:numPr>
          <w:ilvl w:val="0"/>
          <w:numId w:val="87"/>
        </w:numPr>
        <w:spacing w:line="360" w:lineRule="auto"/>
        <w:jc w:val="both"/>
        <w:rPr>
          <w:rFonts w:ascii="Times New Roman" w:hAnsi="Times New Roman"/>
          <w:b/>
          <w:color w:val="auto"/>
          <w:sz w:val="24"/>
          <w:szCs w:val="24"/>
          <w:lang w:val="en-US"/>
        </w:rPr>
      </w:pPr>
      <w:r w:rsidRPr="00714FB7">
        <w:rPr>
          <w:rFonts w:ascii="Times New Roman" w:hAnsi="Times New Roman"/>
          <w:b/>
          <w:color w:val="auto"/>
          <w:sz w:val="24"/>
          <w:szCs w:val="24"/>
          <w:lang w:val="en-US"/>
        </w:rPr>
        <w:t xml:space="preserve">RECOMMENDATIONS </w:t>
      </w:r>
    </w:p>
    <w:p w:rsidR="00590C29" w:rsidRPr="00714FB7" w:rsidRDefault="00590C29" w:rsidP="00B91A91">
      <w:pPr>
        <w:spacing w:line="360" w:lineRule="auto"/>
        <w:jc w:val="both"/>
        <w:rPr>
          <w:rFonts w:ascii="Times New Roman" w:hAnsi="Times New Roman"/>
          <w:color w:val="auto"/>
          <w:sz w:val="24"/>
          <w:szCs w:val="24"/>
          <w:lang w:val="en-US"/>
        </w:rPr>
      </w:pPr>
    </w:p>
    <w:p w:rsidR="00612B8A" w:rsidRPr="00714FB7" w:rsidRDefault="00C37150" w:rsidP="00B91A91">
      <w:p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w:t>
      </w:r>
      <w:r w:rsidR="00B21E76" w:rsidRPr="00714FB7">
        <w:rPr>
          <w:rFonts w:ascii="Times New Roman" w:hAnsi="Times New Roman"/>
          <w:color w:val="auto"/>
          <w:sz w:val="24"/>
          <w:szCs w:val="24"/>
          <w:lang w:val="en-US"/>
        </w:rPr>
        <w:t>Committee recommends as follows:</w:t>
      </w:r>
    </w:p>
    <w:p w:rsidR="00CA19A7" w:rsidRPr="00714FB7" w:rsidRDefault="00CA19A7" w:rsidP="00B91A91">
      <w:pPr>
        <w:spacing w:line="360" w:lineRule="auto"/>
        <w:jc w:val="both"/>
        <w:rPr>
          <w:rFonts w:ascii="Times New Roman" w:hAnsi="Times New Roman"/>
          <w:color w:val="auto"/>
          <w:sz w:val="24"/>
          <w:szCs w:val="24"/>
          <w:lang w:val="en-US"/>
        </w:rPr>
      </w:pPr>
    </w:p>
    <w:p w:rsidR="00CA19A7" w:rsidRPr="00714FB7" w:rsidRDefault="00CA19A7" w:rsidP="00C90320">
      <w:pPr>
        <w:pStyle w:val="ListParagraph"/>
        <w:numPr>
          <w:ilvl w:val="1"/>
          <w:numId w:val="87"/>
        </w:numPr>
        <w:spacing w:line="360" w:lineRule="auto"/>
        <w:jc w:val="both"/>
        <w:rPr>
          <w:rFonts w:ascii="Times New Roman" w:hAnsi="Times New Roman"/>
          <w:b/>
          <w:color w:val="auto"/>
          <w:sz w:val="24"/>
          <w:szCs w:val="24"/>
          <w:lang w:val="en-US"/>
        </w:rPr>
      </w:pPr>
      <w:r w:rsidRPr="00714FB7">
        <w:rPr>
          <w:rFonts w:ascii="Times New Roman" w:hAnsi="Times New Roman"/>
          <w:b/>
          <w:color w:val="auto"/>
          <w:sz w:val="24"/>
          <w:szCs w:val="24"/>
          <w:lang w:val="en-US"/>
        </w:rPr>
        <w:t>Department</w:t>
      </w:r>
    </w:p>
    <w:p w:rsidR="00E42527" w:rsidRPr="00714FB7" w:rsidRDefault="00E42527" w:rsidP="006D419B">
      <w:pPr>
        <w:pStyle w:val="ListParagraph"/>
        <w:numPr>
          <w:ilvl w:val="0"/>
          <w:numId w:val="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Department is encouraged that a greater number of targets should be quarterly in future.</w:t>
      </w:r>
    </w:p>
    <w:p w:rsidR="006D419B" w:rsidRPr="00714FB7" w:rsidRDefault="006D419B" w:rsidP="006D419B">
      <w:pPr>
        <w:pStyle w:val="ListParagraph"/>
        <w:numPr>
          <w:ilvl w:val="0"/>
          <w:numId w:val="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Department should ensure the alignment of budget to performance</w:t>
      </w:r>
      <w:r w:rsidR="00F32295" w:rsidRPr="00714FB7">
        <w:rPr>
          <w:rFonts w:ascii="Times New Roman" w:hAnsi="Times New Roman"/>
          <w:color w:val="auto"/>
          <w:sz w:val="24"/>
          <w:szCs w:val="24"/>
          <w:lang w:val="en-US"/>
        </w:rPr>
        <w:t xml:space="preserve"> against set targets</w:t>
      </w:r>
      <w:r w:rsidR="00885628" w:rsidRPr="00714FB7">
        <w:rPr>
          <w:rFonts w:ascii="Times New Roman" w:hAnsi="Times New Roman"/>
          <w:color w:val="auto"/>
          <w:sz w:val="24"/>
          <w:szCs w:val="24"/>
          <w:lang w:val="en-US"/>
        </w:rPr>
        <w:t>.</w:t>
      </w:r>
      <w:r w:rsidR="008F4865" w:rsidRPr="00714FB7">
        <w:rPr>
          <w:rFonts w:ascii="Times New Roman" w:hAnsi="Times New Roman"/>
          <w:color w:val="auto"/>
          <w:sz w:val="24"/>
          <w:szCs w:val="24"/>
          <w:lang w:val="en-US"/>
        </w:rPr>
        <w:t xml:space="preserve"> </w:t>
      </w:r>
      <w:r w:rsidR="00885628" w:rsidRPr="00714FB7">
        <w:rPr>
          <w:rFonts w:ascii="Times New Roman" w:hAnsi="Times New Roman"/>
          <w:color w:val="auto"/>
          <w:sz w:val="24"/>
          <w:szCs w:val="24"/>
          <w:lang w:val="en-US"/>
        </w:rPr>
        <w:t>This</w:t>
      </w:r>
      <w:r w:rsidR="008F4865" w:rsidRPr="00714FB7">
        <w:rPr>
          <w:rFonts w:ascii="Times New Roman" w:hAnsi="Times New Roman"/>
          <w:color w:val="auto"/>
          <w:sz w:val="24"/>
          <w:szCs w:val="24"/>
          <w:lang w:val="en-US"/>
        </w:rPr>
        <w:t xml:space="preserve"> is </w:t>
      </w:r>
      <w:r w:rsidR="00885628" w:rsidRPr="00714FB7">
        <w:rPr>
          <w:rFonts w:ascii="Times New Roman" w:hAnsi="Times New Roman"/>
          <w:color w:val="auto"/>
          <w:sz w:val="24"/>
          <w:szCs w:val="24"/>
          <w:lang w:val="en-US"/>
        </w:rPr>
        <w:t xml:space="preserve">particularly </w:t>
      </w:r>
      <w:r w:rsidR="008F4865" w:rsidRPr="00714FB7">
        <w:rPr>
          <w:rFonts w:ascii="Times New Roman" w:hAnsi="Times New Roman"/>
          <w:color w:val="auto"/>
          <w:sz w:val="24"/>
          <w:szCs w:val="24"/>
          <w:lang w:val="en-US"/>
        </w:rPr>
        <w:t xml:space="preserve">in relation to </w:t>
      </w:r>
      <w:r w:rsidRPr="00714FB7">
        <w:rPr>
          <w:rFonts w:ascii="Times New Roman" w:hAnsi="Times New Roman"/>
          <w:color w:val="auto"/>
          <w:sz w:val="24"/>
          <w:szCs w:val="24"/>
          <w:lang w:val="en-US"/>
        </w:rPr>
        <w:t>Programme 3</w:t>
      </w:r>
      <w:r w:rsidR="00AD02EB" w:rsidRPr="00714FB7">
        <w:rPr>
          <w:rFonts w:ascii="Times New Roman" w:hAnsi="Times New Roman"/>
          <w:color w:val="auto"/>
          <w:sz w:val="24"/>
          <w:szCs w:val="24"/>
          <w:lang w:val="en-US"/>
        </w:rPr>
        <w:t xml:space="preserve"> whereby a sizeable number of performance indicators were removed</w:t>
      </w:r>
      <w:r w:rsidR="00F443A8" w:rsidRPr="00714FB7">
        <w:rPr>
          <w:rFonts w:ascii="Times New Roman" w:hAnsi="Times New Roman"/>
          <w:color w:val="auto"/>
          <w:sz w:val="24"/>
          <w:szCs w:val="24"/>
          <w:lang w:val="en-US"/>
        </w:rPr>
        <w:t xml:space="preserve"> from the 2017/18 APP whilst the budget remains unchanged</w:t>
      </w:r>
      <w:r w:rsidRPr="00714FB7">
        <w:rPr>
          <w:rFonts w:ascii="Times New Roman" w:hAnsi="Times New Roman"/>
          <w:color w:val="auto"/>
          <w:sz w:val="24"/>
          <w:szCs w:val="24"/>
          <w:lang w:val="en-US"/>
        </w:rPr>
        <w:t xml:space="preserve">. </w:t>
      </w:r>
    </w:p>
    <w:p w:rsidR="006D419B" w:rsidRPr="00714FB7" w:rsidRDefault="006D419B" w:rsidP="006D419B">
      <w:pPr>
        <w:pStyle w:val="ListParagraph"/>
        <w:numPr>
          <w:ilvl w:val="0"/>
          <w:numId w:val="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Department should retain the performance indicator on CCOD to ensure effective tracking of progress on the submission of financial statements for auditing.</w:t>
      </w:r>
    </w:p>
    <w:p w:rsidR="009D6483" w:rsidRPr="00714FB7" w:rsidRDefault="009D6483" w:rsidP="00CE5650">
      <w:pPr>
        <w:numPr>
          <w:ilvl w:val="0"/>
          <w:numId w:val="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rPr>
        <w:t>The Department should ensure that the APP reflects quarterly targets for infrastructure projects as opposed to annual targets to enable the Committee to perform effective oversight.</w:t>
      </w:r>
    </w:p>
    <w:p w:rsidR="00463961" w:rsidRPr="00714FB7" w:rsidRDefault="00463961" w:rsidP="00463961">
      <w:pPr>
        <w:numPr>
          <w:ilvl w:val="0"/>
          <w:numId w:val="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Department should table to the Committee its plan towards the implementation of the </w:t>
      </w:r>
      <w:r w:rsidRPr="00714FB7">
        <w:rPr>
          <w:rFonts w:ascii="Times New Roman" w:hAnsi="Times New Roman"/>
          <w:color w:val="auto"/>
          <w:sz w:val="24"/>
          <w:szCs w:val="24"/>
          <w:lang w:val="en-ZA"/>
        </w:rPr>
        <w:t>NCD Strategy and the Strategy for the Prevention and Control of Obesity</w:t>
      </w:r>
      <w:r w:rsidRPr="00714FB7">
        <w:rPr>
          <w:rFonts w:ascii="Times New Roman" w:hAnsi="Times New Roman"/>
          <w:color w:val="auto"/>
          <w:sz w:val="24"/>
          <w:szCs w:val="24"/>
          <w:lang w:val="en-US"/>
        </w:rPr>
        <w:t>.</w:t>
      </w:r>
    </w:p>
    <w:p w:rsidR="00741897" w:rsidRPr="00714FB7" w:rsidRDefault="00741897" w:rsidP="00030895">
      <w:pPr>
        <w:numPr>
          <w:ilvl w:val="0"/>
          <w:numId w:val="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w:t>
      </w:r>
      <w:r w:rsidR="0074547C" w:rsidRPr="00714FB7">
        <w:rPr>
          <w:rFonts w:ascii="Times New Roman" w:hAnsi="Times New Roman"/>
          <w:color w:val="auto"/>
          <w:sz w:val="24"/>
          <w:szCs w:val="24"/>
          <w:lang w:val="en-US"/>
        </w:rPr>
        <w:t>D</w:t>
      </w:r>
      <w:r w:rsidRPr="00714FB7">
        <w:rPr>
          <w:rFonts w:ascii="Times New Roman" w:hAnsi="Times New Roman"/>
          <w:color w:val="auto"/>
          <w:sz w:val="24"/>
          <w:szCs w:val="24"/>
          <w:lang w:val="en-US"/>
        </w:rPr>
        <w:t xml:space="preserve">epartment should present plans </w:t>
      </w:r>
      <w:r w:rsidR="00F21D71" w:rsidRPr="00714FB7">
        <w:rPr>
          <w:rFonts w:ascii="Times New Roman" w:hAnsi="Times New Roman"/>
          <w:color w:val="auto"/>
          <w:sz w:val="24"/>
          <w:szCs w:val="24"/>
          <w:lang w:val="en-US"/>
        </w:rPr>
        <w:t xml:space="preserve">developed </w:t>
      </w:r>
      <w:r w:rsidRPr="00714FB7">
        <w:rPr>
          <w:rFonts w:ascii="Times New Roman" w:hAnsi="Times New Roman"/>
          <w:color w:val="auto"/>
          <w:sz w:val="24"/>
          <w:szCs w:val="24"/>
          <w:lang w:val="en-US"/>
        </w:rPr>
        <w:t>on collaborations with other government departments in tackl</w:t>
      </w:r>
      <w:r w:rsidR="003628A1" w:rsidRPr="00714FB7">
        <w:rPr>
          <w:rFonts w:ascii="Times New Roman" w:hAnsi="Times New Roman"/>
          <w:color w:val="auto"/>
          <w:sz w:val="24"/>
          <w:szCs w:val="24"/>
          <w:lang w:val="en-US"/>
        </w:rPr>
        <w:t>ing</w:t>
      </w:r>
      <w:r w:rsidRPr="00714FB7">
        <w:rPr>
          <w:rFonts w:ascii="Times New Roman" w:hAnsi="Times New Roman"/>
          <w:color w:val="auto"/>
          <w:sz w:val="24"/>
          <w:szCs w:val="24"/>
          <w:lang w:val="en-US"/>
        </w:rPr>
        <w:t xml:space="preserve"> th</w:t>
      </w:r>
      <w:r w:rsidR="006D199A" w:rsidRPr="00714FB7">
        <w:rPr>
          <w:rFonts w:ascii="Times New Roman" w:hAnsi="Times New Roman"/>
          <w:color w:val="auto"/>
          <w:sz w:val="24"/>
          <w:szCs w:val="24"/>
          <w:lang w:val="en-US"/>
        </w:rPr>
        <w:t>e social determinants of health</w:t>
      </w:r>
      <w:r w:rsidRPr="00714FB7">
        <w:rPr>
          <w:rFonts w:ascii="Times New Roman" w:hAnsi="Times New Roman"/>
          <w:color w:val="auto"/>
          <w:sz w:val="24"/>
          <w:szCs w:val="24"/>
          <w:lang w:val="en-US"/>
        </w:rPr>
        <w:t xml:space="preserve">. </w:t>
      </w:r>
    </w:p>
    <w:p w:rsidR="00741897" w:rsidRPr="00714FB7" w:rsidRDefault="00885628" w:rsidP="00030895">
      <w:pPr>
        <w:numPr>
          <w:ilvl w:val="0"/>
          <w:numId w:val="5"/>
        </w:numPr>
        <w:spacing w:line="360" w:lineRule="auto"/>
        <w:jc w:val="both"/>
        <w:rPr>
          <w:rFonts w:ascii="Times New Roman" w:hAnsi="Times New Roman"/>
          <w:color w:val="auto"/>
          <w:sz w:val="24"/>
          <w:szCs w:val="24"/>
        </w:rPr>
      </w:pPr>
      <w:r w:rsidRPr="00714FB7">
        <w:rPr>
          <w:rFonts w:ascii="Times New Roman" w:hAnsi="Times New Roman"/>
          <w:color w:val="auto"/>
          <w:sz w:val="24"/>
          <w:szCs w:val="24"/>
        </w:rPr>
        <w:t>T</w:t>
      </w:r>
      <w:r w:rsidR="00741897" w:rsidRPr="00714FB7">
        <w:rPr>
          <w:rFonts w:ascii="Times New Roman" w:hAnsi="Times New Roman"/>
          <w:color w:val="auto"/>
          <w:sz w:val="24"/>
          <w:szCs w:val="24"/>
        </w:rPr>
        <w:t>he Department</w:t>
      </w:r>
      <w:r w:rsidRPr="00714FB7">
        <w:rPr>
          <w:rFonts w:ascii="Times New Roman" w:hAnsi="Times New Roman"/>
          <w:color w:val="auto"/>
          <w:sz w:val="24"/>
          <w:szCs w:val="24"/>
        </w:rPr>
        <w:t xml:space="preserve"> should</w:t>
      </w:r>
      <w:r w:rsidR="00741897" w:rsidRPr="00714FB7">
        <w:rPr>
          <w:rFonts w:ascii="Times New Roman" w:hAnsi="Times New Roman"/>
          <w:color w:val="auto"/>
          <w:sz w:val="24"/>
          <w:szCs w:val="24"/>
        </w:rPr>
        <w:t xml:space="preserve"> </w:t>
      </w:r>
      <w:r w:rsidRPr="00714FB7">
        <w:rPr>
          <w:rFonts w:ascii="Times New Roman" w:hAnsi="Times New Roman"/>
          <w:color w:val="auto"/>
          <w:sz w:val="24"/>
          <w:szCs w:val="24"/>
        </w:rPr>
        <w:t xml:space="preserve">ensure it </w:t>
      </w:r>
      <w:r w:rsidR="00D67BEF" w:rsidRPr="00714FB7">
        <w:rPr>
          <w:rFonts w:ascii="Times New Roman" w:hAnsi="Times New Roman"/>
          <w:color w:val="auto"/>
          <w:sz w:val="24"/>
          <w:szCs w:val="24"/>
        </w:rPr>
        <w:t>assist</w:t>
      </w:r>
      <w:r w:rsidRPr="00714FB7">
        <w:rPr>
          <w:rFonts w:ascii="Times New Roman" w:hAnsi="Times New Roman"/>
          <w:color w:val="auto"/>
          <w:sz w:val="24"/>
          <w:szCs w:val="24"/>
        </w:rPr>
        <w:t>s</w:t>
      </w:r>
      <w:r w:rsidR="00D67BEF" w:rsidRPr="00714FB7">
        <w:rPr>
          <w:rFonts w:ascii="Times New Roman" w:hAnsi="Times New Roman"/>
          <w:color w:val="auto"/>
          <w:sz w:val="24"/>
          <w:szCs w:val="24"/>
        </w:rPr>
        <w:t xml:space="preserve"> provinces </w:t>
      </w:r>
      <w:r w:rsidR="0028523D" w:rsidRPr="00714FB7">
        <w:rPr>
          <w:rFonts w:ascii="Times New Roman" w:hAnsi="Times New Roman"/>
          <w:color w:val="auto"/>
          <w:sz w:val="24"/>
          <w:szCs w:val="24"/>
        </w:rPr>
        <w:t>in</w:t>
      </w:r>
      <w:r w:rsidR="00741897" w:rsidRPr="00714FB7">
        <w:rPr>
          <w:rFonts w:ascii="Times New Roman" w:hAnsi="Times New Roman"/>
          <w:color w:val="auto"/>
          <w:sz w:val="24"/>
          <w:szCs w:val="24"/>
        </w:rPr>
        <w:t xml:space="preserve"> the implementation of the Mental Health </w:t>
      </w:r>
      <w:r w:rsidR="00785988" w:rsidRPr="00714FB7">
        <w:rPr>
          <w:rFonts w:ascii="Times New Roman" w:hAnsi="Times New Roman"/>
          <w:color w:val="auto"/>
          <w:sz w:val="24"/>
          <w:szCs w:val="24"/>
        </w:rPr>
        <w:t>Policy Framework and Strategic Plan (2013-2020)</w:t>
      </w:r>
      <w:r w:rsidR="009D61D6" w:rsidRPr="00714FB7">
        <w:rPr>
          <w:rFonts w:ascii="Times New Roman" w:hAnsi="Times New Roman"/>
          <w:color w:val="auto"/>
          <w:sz w:val="24"/>
          <w:szCs w:val="24"/>
        </w:rPr>
        <w:t xml:space="preserve"> to ensure effective </w:t>
      </w:r>
      <w:r w:rsidRPr="00714FB7">
        <w:rPr>
          <w:rFonts w:ascii="Times New Roman" w:hAnsi="Times New Roman"/>
          <w:color w:val="auto"/>
          <w:sz w:val="24"/>
          <w:szCs w:val="24"/>
        </w:rPr>
        <w:t>provision</w:t>
      </w:r>
      <w:r w:rsidR="009D61D6" w:rsidRPr="00714FB7">
        <w:rPr>
          <w:rFonts w:ascii="Times New Roman" w:hAnsi="Times New Roman"/>
          <w:color w:val="auto"/>
          <w:sz w:val="24"/>
          <w:szCs w:val="24"/>
        </w:rPr>
        <w:t xml:space="preserve"> of mental health care services</w:t>
      </w:r>
      <w:r w:rsidR="00741897" w:rsidRPr="00714FB7">
        <w:rPr>
          <w:rFonts w:ascii="Times New Roman" w:hAnsi="Times New Roman"/>
          <w:color w:val="auto"/>
          <w:sz w:val="24"/>
          <w:szCs w:val="24"/>
        </w:rPr>
        <w:t>.</w:t>
      </w:r>
    </w:p>
    <w:p w:rsidR="005D05DD" w:rsidRPr="00714FB7" w:rsidRDefault="005D05DD" w:rsidP="005D05DD">
      <w:pPr>
        <w:numPr>
          <w:ilvl w:val="0"/>
          <w:numId w:val="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Department should table measures and systems as well as its action plan into the implementation of the </w:t>
      </w:r>
      <w:r w:rsidRPr="00714FB7">
        <w:rPr>
          <w:rFonts w:ascii="Times New Roman" w:hAnsi="Times New Roman"/>
          <w:color w:val="auto"/>
          <w:sz w:val="24"/>
          <w:szCs w:val="24"/>
        </w:rPr>
        <w:t>Mental Health Policy Framework and Strategic Plan (2013-2020)</w:t>
      </w:r>
      <w:r w:rsidRPr="00714FB7">
        <w:rPr>
          <w:rFonts w:ascii="Times New Roman" w:hAnsi="Times New Roman"/>
          <w:color w:val="auto"/>
          <w:sz w:val="24"/>
          <w:szCs w:val="24"/>
          <w:lang w:val="en-US"/>
        </w:rPr>
        <w:t>.</w:t>
      </w:r>
    </w:p>
    <w:p w:rsidR="00FD1641" w:rsidRPr="00714FB7" w:rsidRDefault="007F712D" w:rsidP="00030895">
      <w:pPr>
        <w:pStyle w:val="ListParagraph"/>
        <w:numPr>
          <w:ilvl w:val="0"/>
          <w:numId w:val="5"/>
        </w:numPr>
        <w:autoSpaceDE w:val="0"/>
        <w:autoSpaceDN w:val="0"/>
        <w:adjustRightInd w:val="0"/>
        <w:spacing w:line="360" w:lineRule="auto"/>
        <w:jc w:val="both"/>
        <w:rPr>
          <w:rFonts w:ascii="Times New Roman" w:hAnsi="Times New Roman"/>
          <w:color w:val="auto"/>
          <w:sz w:val="24"/>
          <w:szCs w:val="24"/>
          <w:lang w:eastAsia="en-ZA"/>
        </w:rPr>
      </w:pPr>
      <w:r w:rsidRPr="00714FB7">
        <w:rPr>
          <w:rFonts w:ascii="Times New Roman" w:hAnsi="Times New Roman"/>
          <w:color w:val="auto"/>
          <w:sz w:val="24"/>
          <w:szCs w:val="24"/>
          <w:lang w:val="en-US"/>
        </w:rPr>
        <w:t>The Department should f</w:t>
      </w:r>
      <w:r w:rsidR="00741897" w:rsidRPr="00714FB7">
        <w:rPr>
          <w:rFonts w:ascii="Times New Roman" w:hAnsi="Times New Roman"/>
          <w:color w:val="auto"/>
          <w:sz w:val="24"/>
          <w:szCs w:val="24"/>
          <w:lang w:val="en-US"/>
        </w:rPr>
        <w:t>inalize</w:t>
      </w:r>
      <w:r w:rsidR="00741897" w:rsidRPr="00714FB7">
        <w:rPr>
          <w:rFonts w:ascii="Times New Roman" w:hAnsi="Times New Roman"/>
          <w:color w:val="auto"/>
          <w:sz w:val="24"/>
          <w:szCs w:val="24"/>
          <w:lang w:eastAsia="en-ZA"/>
        </w:rPr>
        <w:t xml:space="preserve"> the National Community Health Care Worker Policy to address uncertainties regarding recruitment of CHWs, integration into the public sector health workforce, remuneration in line with the scope of work performed and, access to training and skills development programmes.</w:t>
      </w:r>
    </w:p>
    <w:p w:rsidR="00FD1641" w:rsidRPr="00714FB7" w:rsidRDefault="00E837DC" w:rsidP="000778B0">
      <w:pPr>
        <w:pStyle w:val="ListParagraph"/>
        <w:numPr>
          <w:ilvl w:val="0"/>
          <w:numId w:val="5"/>
        </w:numPr>
        <w:autoSpaceDE w:val="0"/>
        <w:autoSpaceDN w:val="0"/>
        <w:adjustRightInd w:val="0"/>
        <w:spacing w:line="360" w:lineRule="auto"/>
        <w:jc w:val="both"/>
        <w:rPr>
          <w:rFonts w:ascii="Times New Roman" w:hAnsi="Times New Roman"/>
          <w:color w:val="auto"/>
          <w:sz w:val="24"/>
          <w:szCs w:val="24"/>
          <w:lang w:eastAsia="en-ZA"/>
        </w:rPr>
      </w:pPr>
      <w:r w:rsidRPr="00714FB7">
        <w:rPr>
          <w:rFonts w:ascii="Times New Roman" w:hAnsi="Times New Roman"/>
          <w:color w:val="auto"/>
          <w:sz w:val="24"/>
          <w:szCs w:val="24"/>
          <w:lang w:val="en-ZA"/>
        </w:rPr>
        <w:t xml:space="preserve">The Department should assist provinces </w:t>
      </w:r>
      <w:r w:rsidR="009C066C" w:rsidRPr="00714FB7">
        <w:rPr>
          <w:rFonts w:ascii="Times New Roman" w:hAnsi="Times New Roman"/>
          <w:color w:val="auto"/>
          <w:sz w:val="24"/>
          <w:szCs w:val="24"/>
          <w:lang w:val="en-ZA"/>
        </w:rPr>
        <w:t>in ensuring that planning and budgeting</w:t>
      </w:r>
      <w:r w:rsidR="00583FD1" w:rsidRPr="00714FB7">
        <w:rPr>
          <w:rFonts w:ascii="Times New Roman" w:hAnsi="Times New Roman"/>
          <w:color w:val="auto"/>
          <w:sz w:val="24"/>
          <w:szCs w:val="24"/>
          <w:lang w:val="en-ZA"/>
        </w:rPr>
        <w:t xml:space="preserve"> processes for infrastructure</w:t>
      </w:r>
      <w:r w:rsidR="00F21D71" w:rsidRPr="00714FB7">
        <w:rPr>
          <w:rFonts w:ascii="Times New Roman" w:hAnsi="Times New Roman"/>
          <w:color w:val="auto"/>
          <w:sz w:val="24"/>
          <w:szCs w:val="24"/>
          <w:lang w:val="en-ZA"/>
        </w:rPr>
        <w:t xml:space="preserve"> and medical equipment</w:t>
      </w:r>
      <w:r w:rsidR="00583FD1" w:rsidRPr="00714FB7">
        <w:rPr>
          <w:rFonts w:ascii="Times New Roman" w:hAnsi="Times New Roman"/>
          <w:color w:val="auto"/>
          <w:sz w:val="24"/>
          <w:szCs w:val="24"/>
          <w:lang w:val="en-ZA"/>
        </w:rPr>
        <w:t xml:space="preserve"> </w:t>
      </w:r>
      <w:r w:rsidR="009C066C" w:rsidRPr="00714FB7">
        <w:rPr>
          <w:rFonts w:ascii="Times New Roman" w:hAnsi="Times New Roman"/>
          <w:color w:val="auto"/>
          <w:sz w:val="24"/>
          <w:szCs w:val="24"/>
          <w:lang w:val="en-ZA"/>
        </w:rPr>
        <w:t>take</w:t>
      </w:r>
      <w:r w:rsidR="00583FD1" w:rsidRPr="00714FB7">
        <w:rPr>
          <w:rFonts w:ascii="Times New Roman" w:hAnsi="Times New Roman"/>
          <w:color w:val="auto"/>
          <w:sz w:val="24"/>
          <w:szCs w:val="24"/>
          <w:lang w:val="en-ZA"/>
        </w:rPr>
        <w:t>s</w:t>
      </w:r>
      <w:r w:rsidR="009C066C" w:rsidRPr="00714FB7">
        <w:rPr>
          <w:rFonts w:ascii="Times New Roman" w:hAnsi="Times New Roman"/>
          <w:color w:val="auto"/>
          <w:sz w:val="24"/>
          <w:szCs w:val="24"/>
          <w:lang w:val="en-ZA"/>
        </w:rPr>
        <w:t xml:space="preserve"> into account operations and maintenance. </w:t>
      </w:r>
    </w:p>
    <w:p w:rsidR="00E837DC" w:rsidRPr="00714FB7" w:rsidRDefault="007F712D" w:rsidP="00785988">
      <w:pPr>
        <w:numPr>
          <w:ilvl w:val="0"/>
          <w:numId w:val="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Department should e</w:t>
      </w:r>
      <w:r w:rsidR="00E837DC" w:rsidRPr="00714FB7">
        <w:rPr>
          <w:rFonts w:ascii="Times New Roman" w:hAnsi="Times New Roman"/>
          <w:color w:val="auto"/>
          <w:sz w:val="24"/>
          <w:szCs w:val="24"/>
          <w:lang w:val="en-US"/>
        </w:rPr>
        <w:t xml:space="preserve">mbark on a process to overhaul district health services to emphasize </w:t>
      </w:r>
      <w:r w:rsidR="00E837DC" w:rsidRPr="00714FB7">
        <w:rPr>
          <w:rFonts w:ascii="Times New Roman" w:hAnsi="Times New Roman"/>
          <w:color w:val="auto"/>
          <w:sz w:val="24"/>
          <w:szCs w:val="24"/>
        </w:rPr>
        <w:t>the critical role of districts in attaining an equitable, efficient and effective health system.</w:t>
      </w:r>
    </w:p>
    <w:p w:rsidR="00785988" w:rsidRPr="00714FB7" w:rsidRDefault="00785988" w:rsidP="00785988">
      <w:pPr>
        <w:numPr>
          <w:ilvl w:val="0"/>
          <w:numId w:val="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In order to address human resource shortages, the </w:t>
      </w:r>
      <w:r w:rsidR="0074547C" w:rsidRPr="00714FB7">
        <w:rPr>
          <w:rFonts w:ascii="Times New Roman" w:hAnsi="Times New Roman"/>
          <w:color w:val="auto"/>
          <w:sz w:val="24"/>
          <w:szCs w:val="24"/>
          <w:lang w:val="en-US"/>
        </w:rPr>
        <w:t>D</w:t>
      </w:r>
      <w:r w:rsidR="007F712D" w:rsidRPr="00714FB7">
        <w:rPr>
          <w:rFonts w:ascii="Times New Roman" w:hAnsi="Times New Roman"/>
          <w:color w:val="auto"/>
          <w:sz w:val="24"/>
          <w:szCs w:val="24"/>
          <w:lang w:val="en-US"/>
        </w:rPr>
        <w:t>epartment in collaboration with the Department of Higher Education and Training should increase the output of doctors and other health professionals</w:t>
      </w:r>
      <w:r w:rsidRPr="00714FB7">
        <w:rPr>
          <w:rFonts w:ascii="Times New Roman" w:hAnsi="Times New Roman"/>
          <w:color w:val="auto"/>
          <w:sz w:val="24"/>
          <w:szCs w:val="24"/>
          <w:lang w:val="en-US"/>
        </w:rPr>
        <w:t xml:space="preserve">. </w:t>
      </w:r>
    </w:p>
    <w:p w:rsidR="00741897" w:rsidRPr="00714FB7" w:rsidRDefault="00741897" w:rsidP="00CE5650">
      <w:pPr>
        <w:numPr>
          <w:ilvl w:val="0"/>
          <w:numId w:val="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Department should accelerate the i</w:t>
      </w:r>
      <w:r w:rsidR="00E32C56" w:rsidRPr="00714FB7">
        <w:rPr>
          <w:rFonts w:ascii="Times New Roman" w:hAnsi="Times New Roman"/>
          <w:color w:val="auto"/>
          <w:sz w:val="24"/>
          <w:szCs w:val="24"/>
          <w:lang w:val="en-US"/>
        </w:rPr>
        <w:t>mplementation of the new nursing training</w:t>
      </w:r>
      <w:r w:rsidRPr="00714FB7">
        <w:rPr>
          <w:rFonts w:ascii="Times New Roman" w:hAnsi="Times New Roman"/>
          <w:color w:val="auto"/>
          <w:sz w:val="24"/>
          <w:szCs w:val="24"/>
          <w:lang w:val="en-US"/>
        </w:rPr>
        <w:t>.</w:t>
      </w:r>
    </w:p>
    <w:p w:rsidR="002A4C5B" w:rsidRPr="00714FB7" w:rsidRDefault="002A4C5B" w:rsidP="00CE5650">
      <w:pPr>
        <w:numPr>
          <w:ilvl w:val="0"/>
          <w:numId w:val="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w:t>
      </w:r>
      <w:r w:rsidR="00B25C6C" w:rsidRPr="00714FB7">
        <w:rPr>
          <w:rFonts w:ascii="Times New Roman" w:hAnsi="Times New Roman"/>
          <w:color w:val="auto"/>
          <w:sz w:val="24"/>
          <w:szCs w:val="24"/>
          <w:lang w:val="en-US"/>
        </w:rPr>
        <w:t xml:space="preserve">Department </w:t>
      </w:r>
      <w:r w:rsidRPr="00714FB7">
        <w:rPr>
          <w:rFonts w:ascii="Times New Roman" w:hAnsi="Times New Roman"/>
          <w:color w:val="auto"/>
          <w:sz w:val="24"/>
          <w:szCs w:val="24"/>
          <w:lang w:val="en-US"/>
        </w:rPr>
        <w:t>should look at possible collaborations with the South African Police Services, community policing and other civil society organization</w:t>
      </w:r>
      <w:r w:rsidR="00B25C6C" w:rsidRPr="00714FB7">
        <w:rPr>
          <w:rFonts w:ascii="Times New Roman" w:hAnsi="Times New Roman"/>
          <w:color w:val="auto"/>
          <w:sz w:val="24"/>
          <w:szCs w:val="24"/>
          <w:lang w:val="en-US"/>
        </w:rPr>
        <w:t>s</w:t>
      </w:r>
      <w:r w:rsidRPr="00714FB7">
        <w:rPr>
          <w:rFonts w:ascii="Times New Roman" w:hAnsi="Times New Roman"/>
          <w:color w:val="auto"/>
          <w:sz w:val="24"/>
          <w:szCs w:val="24"/>
          <w:lang w:val="en-US"/>
        </w:rPr>
        <w:t xml:space="preserve"> to ensure the safety and security of EMS personnel</w:t>
      </w:r>
      <w:r w:rsidR="00381983" w:rsidRPr="00714FB7">
        <w:rPr>
          <w:rFonts w:ascii="Times New Roman" w:hAnsi="Times New Roman"/>
          <w:color w:val="auto"/>
          <w:sz w:val="24"/>
          <w:szCs w:val="24"/>
          <w:lang w:val="en-US"/>
        </w:rPr>
        <w:t>.</w:t>
      </w:r>
      <w:r w:rsidRPr="00714FB7">
        <w:rPr>
          <w:rFonts w:ascii="Times New Roman" w:hAnsi="Times New Roman"/>
          <w:color w:val="auto"/>
          <w:sz w:val="24"/>
          <w:szCs w:val="24"/>
          <w:lang w:val="en-US"/>
        </w:rPr>
        <w:t xml:space="preserve"> </w:t>
      </w:r>
    </w:p>
    <w:p w:rsidR="002A4C5B" w:rsidRPr="00714FB7" w:rsidRDefault="002A4C5B" w:rsidP="00CE5650">
      <w:pPr>
        <w:numPr>
          <w:ilvl w:val="0"/>
          <w:numId w:val="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Department should integrate its activities with other departments with regards to tackling the social determinants of health as </w:t>
      </w:r>
      <w:r w:rsidR="00585E17" w:rsidRPr="00714FB7">
        <w:rPr>
          <w:rFonts w:ascii="Times New Roman" w:hAnsi="Times New Roman"/>
          <w:color w:val="auto"/>
          <w:sz w:val="24"/>
          <w:szCs w:val="24"/>
          <w:lang w:val="en-US"/>
        </w:rPr>
        <w:t>outlined</w:t>
      </w:r>
      <w:r w:rsidRPr="00714FB7">
        <w:rPr>
          <w:rFonts w:ascii="Times New Roman" w:hAnsi="Times New Roman"/>
          <w:color w:val="auto"/>
          <w:sz w:val="24"/>
          <w:szCs w:val="24"/>
          <w:lang w:val="en-US"/>
        </w:rPr>
        <w:t xml:space="preserve"> in the NDP.</w:t>
      </w:r>
    </w:p>
    <w:p w:rsidR="002A4C5B" w:rsidRPr="00714FB7" w:rsidRDefault="002A4C5B" w:rsidP="00CE5650">
      <w:pPr>
        <w:numPr>
          <w:ilvl w:val="0"/>
          <w:numId w:val="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Department should provide the Committee with its action plan for the integrated school health programme.</w:t>
      </w:r>
    </w:p>
    <w:p w:rsidR="002A4C5B" w:rsidRPr="00714FB7" w:rsidRDefault="00EE44A0" w:rsidP="00CE5650">
      <w:pPr>
        <w:numPr>
          <w:ilvl w:val="0"/>
          <w:numId w:val="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Department should provide the Committee with an action plan geared towards reducing maternal mortality and neonatal mortality as well as the success of programmes such as </w:t>
      </w:r>
      <w:r w:rsidR="00585E17" w:rsidRPr="00714FB7">
        <w:rPr>
          <w:rFonts w:ascii="Times New Roman" w:hAnsi="Times New Roman"/>
          <w:color w:val="auto"/>
          <w:sz w:val="24"/>
          <w:szCs w:val="24"/>
          <w:lang w:val="en-US"/>
        </w:rPr>
        <w:t>MomConnect</w:t>
      </w:r>
      <w:r w:rsidRPr="00714FB7">
        <w:rPr>
          <w:rFonts w:ascii="Times New Roman" w:hAnsi="Times New Roman"/>
          <w:color w:val="auto"/>
          <w:sz w:val="24"/>
          <w:szCs w:val="24"/>
          <w:lang w:val="en-US"/>
        </w:rPr>
        <w:t>.</w:t>
      </w:r>
    </w:p>
    <w:p w:rsidR="00786F4D" w:rsidRPr="00714FB7" w:rsidRDefault="002A4C5B" w:rsidP="00786F4D">
      <w:pPr>
        <w:pStyle w:val="ListParagraph"/>
        <w:numPr>
          <w:ilvl w:val="0"/>
          <w:numId w:val="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w:t>
      </w:r>
      <w:r w:rsidR="008834C8" w:rsidRPr="00714FB7">
        <w:rPr>
          <w:rFonts w:ascii="Times New Roman" w:hAnsi="Times New Roman"/>
          <w:color w:val="auto"/>
          <w:sz w:val="24"/>
          <w:szCs w:val="24"/>
          <w:lang w:val="en-US"/>
        </w:rPr>
        <w:t xml:space="preserve">Department </w:t>
      </w:r>
      <w:r w:rsidRPr="00714FB7">
        <w:rPr>
          <w:rFonts w:ascii="Times New Roman" w:hAnsi="Times New Roman"/>
          <w:color w:val="auto"/>
          <w:sz w:val="24"/>
          <w:szCs w:val="24"/>
          <w:lang w:val="en-US"/>
        </w:rPr>
        <w:t xml:space="preserve">in </w:t>
      </w:r>
      <w:r w:rsidR="00786F4D" w:rsidRPr="00714FB7">
        <w:rPr>
          <w:rFonts w:ascii="Times New Roman" w:hAnsi="Times New Roman"/>
          <w:color w:val="auto"/>
          <w:sz w:val="24"/>
          <w:szCs w:val="24"/>
          <w:lang w:val="en-US"/>
        </w:rPr>
        <w:t>collaboration with National Treasury</w:t>
      </w:r>
      <w:r w:rsidR="007F712D" w:rsidRPr="00714FB7">
        <w:rPr>
          <w:rFonts w:ascii="Times New Roman" w:hAnsi="Times New Roman"/>
          <w:color w:val="auto"/>
          <w:sz w:val="24"/>
          <w:szCs w:val="24"/>
          <w:lang w:val="en-US"/>
        </w:rPr>
        <w:t xml:space="preserve">, </w:t>
      </w:r>
      <w:r w:rsidR="00786F4D" w:rsidRPr="00714FB7">
        <w:rPr>
          <w:rFonts w:ascii="Times New Roman" w:hAnsi="Times New Roman"/>
          <w:color w:val="auto"/>
          <w:sz w:val="24"/>
          <w:szCs w:val="24"/>
          <w:lang w:val="en-US"/>
        </w:rPr>
        <w:t xml:space="preserve">should establish measures to ensure increased funding </w:t>
      </w:r>
      <w:r w:rsidRPr="00714FB7">
        <w:rPr>
          <w:rFonts w:ascii="Times New Roman" w:hAnsi="Times New Roman"/>
          <w:color w:val="auto"/>
          <w:sz w:val="24"/>
          <w:szCs w:val="24"/>
          <w:lang w:val="en-US"/>
        </w:rPr>
        <w:t xml:space="preserve">in future </w:t>
      </w:r>
      <w:r w:rsidR="00786F4D" w:rsidRPr="00714FB7">
        <w:rPr>
          <w:rFonts w:ascii="Times New Roman" w:hAnsi="Times New Roman"/>
          <w:color w:val="auto"/>
          <w:sz w:val="24"/>
          <w:szCs w:val="24"/>
          <w:lang w:val="en-US"/>
        </w:rPr>
        <w:t>for the SAMRC.</w:t>
      </w:r>
    </w:p>
    <w:p w:rsidR="00906A98" w:rsidRPr="00714FB7" w:rsidRDefault="00906A98" w:rsidP="00A43F60">
      <w:pPr>
        <w:pStyle w:val="ListParagraph"/>
        <w:numPr>
          <w:ilvl w:val="0"/>
          <w:numId w:val="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Department should e</w:t>
      </w:r>
      <w:r w:rsidR="00A43F60" w:rsidRPr="00714FB7">
        <w:rPr>
          <w:rFonts w:ascii="Times New Roman" w:hAnsi="Times New Roman"/>
          <w:color w:val="auto"/>
          <w:sz w:val="24"/>
          <w:szCs w:val="24"/>
          <w:lang w:val="en-US"/>
        </w:rPr>
        <w:t xml:space="preserve">xplore the possibility of increasing the budget allocation to </w:t>
      </w:r>
      <w:r w:rsidR="005E6E02" w:rsidRPr="00714FB7">
        <w:rPr>
          <w:rFonts w:ascii="Times New Roman" w:hAnsi="Times New Roman"/>
          <w:color w:val="auto"/>
          <w:sz w:val="24"/>
          <w:szCs w:val="24"/>
          <w:lang w:val="en-US"/>
        </w:rPr>
        <w:t xml:space="preserve">the TB sub-programme during </w:t>
      </w:r>
      <w:r w:rsidR="00A43F60" w:rsidRPr="00714FB7">
        <w:rPr>
          <w:rFonts w:ascii="Times New Roman" w:hAnsi="Times New Roman"/>
          <w:color w:val="auto"/>
          <w:sz w:val="24"/>
          <w:szCs w:val="24"/>
          <w:lang w:val="en-US"/>
        </w:rPr>
        <w:t>adjustment appropriation.</w:t>
      </w:r>
    </w:p>
    <w:p w:rsidR="00906A98" w:rsidRPr="00714FB7" w:rsidRDefault="00906A98" w:rsidP="00906A98">
      <w:pPr>
        <w:pStyle w:val="ListParagraph"/>
        <w:numPr>
          <w:ilvl w:val="0"/>
          <w:numId w:val="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Department should </w:t>
      </w:r>
      <w:r w:rsidR="00A43F60" w:rsidRPr="00714FB7">
        <w:rPr>
          <w:rFonts w:ascii="Times New Roman" w:hAnsi="Times New Roman"/>
          <w:color w:val="auto"/>
          <w:sz w:val="24"/>
          <w:szCs w:val="24"/>
          <w:lang w:val="en-US"/>
        </w:rPr>
        <w:t xml:space="preserve">explore the possibility of increasing the budget allocation to the </w:t>
      </w:r>
      <w:r w:rsidRPr="00714FB7">
        <w:rPr>
          <w:rFonts w:ascii="Times New Roman" w:hAnsi="Times New Roman"/>
          <w:color w:val="auto"/>
          <w:sz w:val="24"/>
          <w:szCs w:val="24"/>
          <w:lang w:val="en-US"/>
        </w:rPr>
        <w:t>Women’s Maternal and Re</w:t>
      </w:r>
      <w:r w:rsidR="00A43F60" w:rsidRPr="00714FB7">
        <w:rPr>
          <w:rFonts w:ascii="Times New Roman" w:hAnsi="Times New Roman"/>
          <w:color w:val="auto"/>
          <w:sz w:val="24"/>
          <w:szCs w:val="24"/>
          <w:lang w:val="en-US"/>
        </w:rPr>
        <w:t>productive Health sub-programme during adjustment appropriation.</w:t>
      </w:r>
    </w:p>
    <w:p w:rsidR="00906A98" w:rsidRPr="00714FB7" w:rsidRDefault="00906A98" w:rsidP="00906A98">
      <w:pPr>
        <w:pStyle w:val="ListParagraph"/>
        <w:spacing w:line="360" w:lineRule="auto"/>
        <w:jc w:val="both"/>
        <w:rPr>
          <w:rFonts w:ascii="Times New Roman" w:hAnsi="Times New Roman"/>
          <w:color w:val="auto"/>
          <w:sz w:val="24"/>
          <w:szCs w:val="24"/>
          <w:lang w:val="en-US"/>
        </w:rPr>
      </w:pPr>
    </w:p>
    <w:p w:rsidR="00CE5650" w:rsidRPr="00714FB7" w:rsidRDefault="00CE5650" w:rsidP="00C90320">
      <w:pPr>
        <w:pStyle w:val="ListParagraph"/>
        <w:numPr>
          <w:ilvl w:val="1"/>
          <w:numId w:val="87"/>
        </w:numPr>
        <w:spacing w:line="360" w:lineRule="auto"/>
        <w:jc w:val="both"/>
        <w:rPr>
          <w:rFonts w:ascii="Times New Roman" w:hAnsi="Times New Roman"/>
          <w:b/>
          <w:color w:val="auto"/>
          <w:sz w:val="24"/>
          <w:szCs w:val="24"/>
          <w:lang w:val="en-US"/>
        </w:rPr>
      </w:pPr>
      <w:r w:rsidRPr="00714FB7">
        <w:rPr>
          <w:rFonts w:ascii="Times New Roman" w:hAnsi="Times New Roman"/>
          <w:b/>
          <w:color w:val="auto"/>
          <w:sz w:val="24"/>
          <w:szCs w:val="24"/>
          <w:lang w:val="en-US"/>
        </w:rPr>
        <w:t>SAMRC</w:t>
      </w:r>
    </w:p>
    <w:p w:rsidR="00F52302" w:rsidRPr="00714FB7" w:rsidRDefault="00F52302">
      <w:pPr>
        <w:pStyle w:val="ListParagraph"/>
        <w:numPr>
          <w:ilvl w:val="0"/>
          <w:numId w:val="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rPr>
        <w:t xml:space="preserve">The SAMRC </w:t>
      </w:r>
      <w:r w:rsidR="009F33B2" w:rsidRPr="00714FB7">
        <w:rPr>
          <w:rFonts w:ascii="Times New Roman" w:hAnsi="Times New Roman"/>
          <w:color w:val="auto"/>
          <w:sz w:val="24"/>
          <w:szCs w:val="24"/>
        </w:rPr>
        <w:t xml:space="preserve">is encouraged </w:t>
      </w:r>
      <w:r w:rsidRPr="00714FB7">
        <w:rPr>
          <w:rFonts w:ascii="Times New Roman" w:hAnsi="Times New Roman"/>
          <w:color w:val="auto"/>
          <w:sz w:val="24"/>
          <w:szCs w:val="24"/>
        </w:rPr>
        <w:t>to conduct research on children malnutrition</w:t>
      </w:r>
      <w:r w:rsidR="006A41D6" w:rsidRPr="00714FB7">
        <w:rPr>
          <w:rFonts w:ascii="Times New Roman" w:hAnsi="Times New Roman"/>
          <w:color w:val="auto"/>
          <w:sz w:val="24"/>
          <w:szCs w:val="24"/>
        </w:rPr>
        <w:t xml:space="preserve"> and non-communicable diseases</w:t>
      </w:r>
      <w:r w:rsidRPr="00714FB7">
        <w:rPr>
          <w:rFonts w:ascii="Times New Roman" w:hAnsi="Times New Roman"/>
          <w:color w:val="auto"/>
          <w:sz w:val="24"/>
          <w:szCs w:val="24"/>
        </w:rPr>
        <w:t xml:space="preserve">. </w:t>
      </w:r>
    </w:p>
    <w:p w:rsidR="00EE44A0" w:rsidRPr="00714FB7" w:rsidRDefault="00EE44A0">
      <w:pPr>
        <w:pStyle w:val="ListParagraph"/>
        <w:numPr>
          <w:ilvl w:val="0"/>
          <w:numId w:val="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rPr>
        <w:t>The SAM</w:t>
      </w:r>
      <w:r w:rsidR="00D032BF" w:rsidRPr="00714FB7">
        <w:rPr>
          <w:rFonts w:ascii="Times New Roman" w:hAnsi="Times New Roman"/>
          <w:color w:val="auto"/>
          <w:sz w:val="24"/>
          <w:szCs w:val="24"/>
        </w:rPr>
        <w:t xml:space="preserve">RC is encouraged to conduct </w:t>
      </w:r>
      <w:r w:rsidRPr="00714FB7">
        <w:rPr>
          <w:rFonts w:ascii="Times New Roman" w:hAnsi="Times New Roman"/>
          <w:color w:val="auto"/>
          <w:sz w:val="24"/>
          <w:szCs w:val="24"/>
        </w:rPr>
        <w:t>research and development that focus</w:t>
      </w:r>
      <w:r w:rsidR="00C31313" w:rsidRPr="00714FB7">
        <w:rPr>
          <w:rFonts w:ascii="Times New Roman" w:hAnsi="Times New Roman"/>
          <w:color w:val="auto"/>
          <w:sz w:val="24"/>
          <w:szCs w:val="24"/>
        </w:rPr>
        <w:t>es</w:t>
      </w:r>
      <w:r w:rsidRPr="00714FB7">
        <w:rPr>
          <w:rFonts w:ascii="Times New Roman" w:hAnsi="Times New Roman"/>
          <w:color w:val="auto"/>
          <w:sz w:val="24"/>
          <w:szCs w:val="24"/>
        </w:rPr>
        <w:t xml:space="preserve"> more on Africa.</w:t>
      </w:r>
    </w:p>
    <w:p w:rsidR="00EE44A0" w:rsidRPr="00714FB7" w:rsidRDefault="00EE44A0">
      <w:pPr>
        <w:pStyle w:val="ListParagraph"/>
        <w:numPr>
          <w:ilvl w:val="0"/>
          <w:numId w:val="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rPr>
        <w:t xml:space="preserve">The SAMRC </w:t>
      </w:r>
      <w:r w:rsidR="008539FA" w:rsidRPr="00714FB7">
        <w:rPr>
          <w:rFonts w:ascii="Times New Roman" w:hAnsi="Times New Roman"/>
          <w:color w:val="auto"/>
          <w:sz w:val="24"/>
          <w:szCs w:val="24"/>
        </w:rPr>
        <w:t xml:space="preserve">should fast-track </w:t>
      </w:r>
      <w:r w:rsidRPr="00714FB7">
        <w:rPr>
          <w:rFonts w:ascii="Times New Roman" w:hAnsi="Times New Roman"/>
          <w:color w:val="auto"/>
          <w:sz w:val="24"/>
          <w:szCs w:val="24"/>
        </w:rPr>
        <w:t xml:space="preserve">transformation in order to </w:t>
      </w:r>
      <w:r w:rsidR="008C271C" w:rsidRPr="00714FB7">
        <w:rPr>
          <w:rFonts w:ascii="Times New Roman" w:hAnsi="Times New Roman"/>
          <w:color w:val="auto"/>
          <w:sz w:val="24"/>
          <w:szCs w:val="24"/>
        </w:rPr>
        <w:t>inclusively</w:t>
      </w:r>
      <w:r w:rsidR="00C31313" w:rsidRPr="00714FB7">
        <w:rPr>
          <w:rFonts w:ascii="Times New Roman" w:hAnsi="Times New Roman"/>
          <w:color w:val="auto"/>
          <w:sz w:val="24"/>
          <w:szCs w:val="24"/>
        </w:rPr>
        <w:t xml:space="preserve"> </w:t>
      </w:r>
      <w:r w:rsidRPr="00714FB7">
        <w:rPr>
          <w:rFonts w:ascii="Times New Roman" w:hAnsi="Times New Roman"/>
          <w:color w:val="auto"/>
          <w:sz w:val="24"/>
          <w:szCs w:val="24"/>
        </w:rPr>
        <w:t xml:space="preserve">reflect the </w:t>
      </w:r>
      <w:r w:rsidR="00D85BF9" w:rsidRPr="00714FB7">
        <w:rPr>
          <w:rFonts w:ascii="Times New Roman" w:hAnsi="Times New Roman"/>
          <w:color w:val="auto"/>
          <w:sz w:val="24"/>
          <w:szCs w:val="24"/>
        </w:rPr>
        <w:t xml:space="preserve">demography </w:t>
      </w:r>
      <w:r w:rsidRPr="00714FB7">
        <w:rPr>
          <w:rFonts w:ascii="Times New Roman" w:hAnsi="Times New Roman"/>
          <w:color w:val="auto"/>
          <w:sz w:val="24"/>
          <w:szCs w:val="24"/>
        </w:rPr>
        <w:t>of South Africa in senior management</w:t>
      </w:r>
      <w:r w:rsidR="00D85BF9" w:rsidRPr="00714FB7">
        <w:rPr>
          <w:rFonts w:ascii="Times New Roman" w:hAnsi="Times New Roman"/>
          <w:color w:val="auto"/>
          <w:sz w:val="24"/>
          <w:szCs w:val="24"/>
        </w:rPr>
        <w:t xml:space="preserve"> positions</w:t>
      </w:r>
      <w:r w:rsidRPr="00714FB7">
        <w:rPr>
          <w:rFonts w:ascii="Times New Roman" w:hAnsi="Times New Roman"/>
          <w:color w:val="auto"/>
          <w:sz w:val="24"/>
          <w:szCs w:val="24"/>
        </w:rPr>
        <w:t>.</w:t>
      </w:r>
    </w:p>
    <w:p w:rsidR="00D032BF" w:rsidRPr="00714FB7" w:rsidRDefault="00D032BF">
      <w:pPr>
        <w:pStyle w:val="ListParagraph"/>
        <w:numPr>
          <w:ilvl w:val="0"/>
          <w:numId w:val="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rPr>
        <w:t>The Committee would like to see faster progress in the human resources transformation agenda in the SAMRC.</w:t>
      </w:r>
    </w:p>
    <w:p w:rsidR="00D032BF" w:rsidRPr="00714FB7" w:rsidRDefault="00D032BF" w:rsidP="00D032BF">
      <w:pPr>
        <w:pStyle w:val="ListParagraph"/>
        <w:spacing w:line="360" w:lineRule="auto"/>
        <w:jc w:val="both"/>
        <w:rPr>
          <w:rFonts w:ascii="Times New Roman" w:hAnsi="Times New Roman"/>
          <w:color w:val="auto"/>
          <w:sz w:val="24"/>
          <w:szCs w:val="24"/>
          <w:lang w:val="en-US"/>
        </w:rPr>
      </w:pPr>
    </w:p>
    <w:p w:rsidR="00CE5650" w:rsidRPr="00714FB7" w:rsidRDefault="00CE5650" w:rsidP="00C90320">
      <w:pPr>
        <w:pStyle w:val="ListParagraph"/>
        <w:numPr>
          <w:ilvl w:val="1"/>
          <w:numId w:val="87"/>
        </w:numPr>
        <w:spacing w:line="360" w:lineRule="auto"/>
        <w:jc w:val="both"/>
        <w:rPr>
          <w:rFonts w:ascii="Times New Roman" w:hAnsi="Times New Roman"/>
          <w:b/>
          <w:color w:val="auto"/>
          <w:sz w:val="24"/>
          <w:szCs w:val="24"/>
          <w:lang w:val="en-US"/>
        </w:rPr>
      </w:pPr>
      <w:r w:rsidRPr="00714FB7">
        <w:rPr>
          <w:rFonts w:ascii="Times New Roman" w:hAnsi="Times New Roman"/>
          <w:b/>
          <w:color w:val="auto"/>
          <w:sz w:val="24"/>
          <w:szCs w:val="24"/>
          <w:lang w:val="en-US"/>
        </w:rPr>
        <w:t>NHLS</w:t>
      </w:r>
    </w:p>
    <w:p w:rsidR="00CE5650" w:rsidRPr="00714FB7" w:rsidRDefault="00CE5650" w:rsidP="00CE5650">
      <w:pPr>
        <w:pStyle w:val="ListParagraph"/>
        <w:numPr>
          <w:ilvl w:val="0"/>
          <w:numId w:val="89"/>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NHLS should ensure that targets are quarterly to ensure efficient tracking of performance on a quarterly basis. </w:t>
      </w:r>
    </w:p>
    <w:p w:rsidR="00CE5650" w:rsidRPr="00714FB7" w:rsidRDefault="00CE5650" w:rsidP="00CE5650">
      <w:pPr>
        <w:pStyle w:val="ListParagraph"/>
        <w:numPr>
          <w:ilvl w:val="0"/>
          <w:numId w:val="89"/>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NHLS should improve on turnaround tim</w:t>
      </w:r>
      <w:r w:rsidR="00DA649A" w:rsidRPr="00714FB7">
        <w:rPr>
          <w:rFonts w:ascii="Times New Roman" w:hAnsi="Times New Roman"/>
          <w:color w:val="auto"/>
          <w:sz w:val="24"/>
          <w:szCs w:val="24"/>
          <w:lang w:val="en-US"/>
        </w:rPr>
        <w:t>e for test results</w:t>
      </w:r>
      <w:r w:rsidRPr="00714FB7">
        <w:rPr>
          <w:rFonts w:ascii="Times New Roman" w:hAnsi="Times New Roman"/>
          <w:color w:val="auto"/>
          <w:sz w:val="24"/>
          <w:szCs w:val="24"/>
          <w:lang w:val="en-US"/>
        </w:rPr>
        <w:t xml:space="preserve">. </w:t>
      </w:r>
    </w:p>
    <w:p w:rsidR="00EE44A0" w:rsidRPr="00714FB7" w:rsidRDefault="00EE44A0" w:rsidP="00CE5650">
      <w:pPr>
        <w:pStyle w:val="ListParagraph"/>
        <w:numPr>
          <w:ilvl w:val="0"/>
          <w:numId w:val="89"/>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NHLS should speedily resolve the challenge it faces in its senior management structures to bring stability to the institution.</w:t>
      </w:r>
    </w:p>
    <w:p w:rsidR="00EE44A0" w:rsidRPr="00714FB7" w:rsidRDefault="00EE44A0" w:rsidP="00CE5650">
      <w:pPr>
        <w:pStyle w:val="ListParagraph"/>
        <w:numPr>
          <w:ilvl w:val="0"/>
          <w:numId w:val="89"/>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NHLS should provide </w:t>
      </w:r>
      <w:r w:rsidR="00696C68" w:rsidRPr="00714FB7">
        <w:rPr>
          <w:rFonts w:ascii="Times New Roman" w:hAnsi="Times New Roman"/>
          <w:color w:val="auto"/>
          <w:sz w:val="24"/>
          <w:szCs w:val="24"/>
          <w:lang w:val="en-US"/>
        </w:rPr>
        <w:t xml:space="preserve">a </w:t>
      </w:r>
      <w:r w:rsidRPr="00714FB7">
        <w:rPr>
          <w:rFonts w:ascii="Times New Roman" w:hAnsi="Times New Roman"/>
          <w:color w:val="auto"/>
          <w:sz w:val="24"/>
          <w:szCs w:val="24"/>
          <w:lang w:val="en-US"/>
        </w:rPr>
        <w:t>progress</w:t>
      </w:r>
      <w:r w:rsidR="00696C68" w:rsidRPr="00714FB7">
        <w:rPr>
          <w:rFonts w:ascii="Times New Roman" w:hAnsi="Times New Roman"/>
          <w:color w:val="auto"/>
          <w:sz w:val="24"/>
          <w:szCs w:val="24"/>
          <w:lang w:val="en-US"/>
        </w:rPr>
        <w:t xml:space="preserve"> report</w:t>
      </w:r>
      <w:r w:rsidRPr="00714FB7">
        <w:rPr>
          <w:rFonts w:ascii="Times New Roman" w:hAnsi="Times New Roman"/>
          <w:color w:val="auto"/>
          <w:sz w:val="24"/>
          <w:szCs w:val="24"/>
          <w:lang w:val="en-US"/>
        </w:rPr>
        <w:t xml:space="preserve"> </w:t>
      </w:r>
      <w:r w:rsidR="00696C68" w:rsidRPr="00714FB7">
        <w:rPr>
          <w:rFonts w:ascii="Times New Roman" w:hAnsi="Times New Roman"/>
          <w:color w:val="auto"/>
          <w:sz w:val="24"/>
          <w:szCs w:val="24"/>
          <w:lang w:val="en-US"/>
        </w:rPr>
        <w:t xml:space="preserve">on the </w:t>
      </w:r>
      <w:r w:rsidRPr="00714FB7">
        <w:rPr>
          <w:rFonts w:ascii="Times New Roman" w:hAnsi="Times New Roman"/>
          <w:color w:val="auto"/>
          <w:sz w:val="24"/>
          <w:szCs w:val="24"/>
          <w:lang w:val="en-US"/>
        </w:rPr>
        <w:t>high failure rate of the medical technicians.</w:t>
      </w:r>
    </w:p>
    <w:p w:rsidR="00CE5650" w:rsidRPr="00714FB7" w:rsidRDefault="00CE5650" w:rsidP="00CE5650">
      <w:pPr>
        <w:spacing w:line="360" w:lineRule="auto"/>
        <w:jc w:val="both"/>
        <w:rPr>
          <w:rFonts w:ascii="Times New Roman" w:hAnsi="Times New Roman"/>
          <w:color w:val="auto"/>
          <w:sz w:val="24"/>
          <w:szCs w:val="24"/>
          <w:lang w:val="en-US"/>
        </w:rPr>
      </w:pPr>
    </w:p>
    <w:p w:rsidR="00CE5650" w:rsidRPr="00714FB7" w:rsidRDefault="00CE5650" w:rsidP="00C90320">
      <w:pPr>
        <w:pStyle w:val="ListParagraph"/>
        <w:numPr>
          <w:ilvl w:val="1"/>
          <w:numId w:val="87"/>
        </w:numPr>
        <w:spacing w:line="360" w:lineRule="auto"/>
        <w:jc w:val="both"/>
        <w:rPr>
          <w:rFonts w:ascii="Times New Roman" w:hAnsi="Times New Roman"/>
          <w:b/>
          <w:color w:val="auto"/>
          <w:sz w:val="24"/>
          <w:szCs w:val="24"/>
          <w:lang w:val="en-US"/>
        </w:rPr>
      </w:pPr>
      <w:r w:rsidRPr="00714FB7">
        <w:rPr>
          <w:rFonts w:ascii="Times New Roman" w:hAnsi="Times New Roman"/>
          <w:b/>
          <w:color w:val="auto"/>
          <w:sz w:val="24"/>
          <w:szCs w:val="24"/>
          <w:lang w:val="en-US"/>
        </w:rPr>
        <w:t>OHSC</w:t>
      </w:r>
    </w:p>
    <w:p w:rsidR="004047C5" w:rsidRPr="00714FB7" w:rsidRDefault="004047C5" w:rsidP="004047C5">
      <w:pPr>
        <w:pStyle w:val="ListParagraph"/>
        <w:numPr>
          <w:ilvl w:val="0"/>
          <w:numId w:val="1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OHSC should ensure that targets are quarterly to ensure efficient tracking of performance on a quarterly basis. </w:t>
      </w:r>
    </w:p>
    <w:p w:rsidR="00CE5650" w:rsidRPr="00714FB7" w:rsidRDefault="007F712D" w:rsidP="00CE5650">
      <w:pPr>
        <w:pStyle w:val="ListParagraph"/>
        <w:numPr>
          <w:ilvl w:val="0"/>
          <w:numId w:val="1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OHSC should a</w:t>
      </w:r>
      <w:r w:rsidR="004047C5" w:rsidRPr="00714FB7">
        <w:rPr>
          <w:rFonts w:ascii="Times New Roman" w:hAnsi="Times New Roman"/>
          <w:color w:val="auto"/>
          <w:sz w:val="24"/>
          <w:szCs w:val="24"/>
          <w:lang w:val="en-US"/>
        </w:rPr>
        <w:t>ccelerate the appointment of the CEO.</w:t>
      </w:r>
    </w:p>
    <w:p w:rsidR="00CE5650" w:rsidRPr="00714FB7" w:rsidRDefault="004047C5" w:rsidP="00CE5650">
      <w:pPr>
        <w:numPr>
          <w:ilvl w:val="0"/>
          <w:numId w:val="1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Ensure improved </w:t>
      </w:r>
      <w:r w:rsidR="006830BA" w:rsidRPr="00714FB7">
        <w:rPr>
          <w:rFonts w:ascii="Times New Roman" w:hAnsi="Times New Roman"/>
          <w:color w:val="auto"/>
          <w:sz w:val="24"/>
          <w:szCs w:val="24"/>
          <w:lang w:val="en-US"/>
        </w:rPr>
        <w:t xml:space="preserve">public </w:t>
      </w:r>
      <w:r w:rsidRPr="00714FB7">
        <w:rPr>
          <w:rFonts w:ascii="Times New Roman" w:hAnsi="Times New Roman"/>
          <w:color w:val="auto"/>
          <w:sz w:val="24"/>
          <w:szCs w:val="24"/>
          <w:lang w:val="en-US"/>
        </w:rPr>
        <w:t>awareness o</w:t>
      </w:r>
      <w:r w:rsidR="006830BA" w:rsidRPr="00714FB7">
        <w:rPr>
          <w:rFonts w:ascii="Times New Roman" w:hAnsi="Times New Roman"/>
          <w:color w:val="auto"/>
          <w:sz w:val="24"/>
          <w:szCs w:val="24"/>
          <w:lang w:val="en-US"/>
        </w:rPr>
        <w:t>f</w:t>
      </w:r>
      <w:r w:rsidRPr="00714FB7">
        <w:rPr>
          <w:rFonts w:ascii="Times New Roman" w:hAnsi="Times New Roman"/>
          <w:color w:val="auto"/>
          <w:sz w:val="24"/>
          <w:szCs w:val="24"/>
          <w:lang w:val="en-US"/>
        </w:rPr>
        <w:t xml:space="preserve"> the </w:t>
      </w:r>
      <w:r w:rsidR="00DA649A" w:rsidRPr="00714FB7">
        <w:rPr>
          <w:rFonts w:ascii="Times New Roman" w:hAnsi="Times New Roman"/>
          <w:color w:val="auto"/>
          <w:sz w:val="24"/>
          <w:szCs w:val="24"/>
          <w:lang w:val="en-US"/>
        </w:rPr>
        <w:t xml:space="preserve">complaints </w:t>
      </w:r>
      <w:r w:rsidR="00CE5650" w:rsidRPr="00714FB7">
        <w:rPr>
          <w:rFonts w:ascii="Times New Roman" w:hAnsi="Times New Roman"/>
          <w:color w:val="auto"/>
          <w:sz w:val="24"/>
          <w:szCs w:val="24"/>
          <w:lang w:val="en-US"/>
        </w:rPr>
        <w:t>Call Centre.</w:t>
      </w:r>
    </w:p>
    <w:p w:rsidR="00EA1D8E" w:rsidRPr="00714FB7" w:rsidRDefault="00EA1D8E" w:rsidP="00CE5650">
      <w:pPr>
        <w:numPr>
          <w:ilvl w:val="0"/>
          <w:numId w:val="1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Ensure that norms and standards for public and private health facilities are promulgated.</w:t>
      </w:r>
    </w:p>
    <w:p w:rsidR="009F33B2" w:rsidRPr="00714FB7" w:rsidRDefault="009F33B2" w:rsidP="00CE5650">
      <w:pPr>
        <w:spacing w:line="360" w:lineRule="auto"/>
        <w:jc w:val="both"/>
        <w:rPr>
          <w:rFonts w:ascii="Times New Roman" w:hAnsi="Times New Roman"/>
          <w:color w:val="auto"/>
          <w:sz w:val="24"/>
          <w:szCs w:val="24"/>
          <w:lang w:val="en-US"/>
        </w:rPr>
      </w:pPr>
    </w:p>
    <w:p w:rsidR="00CE5650" w:rsidRPr="00714FB7" w:rsidRDefault="00CE5650" w:rsidP="00C90320">
      <w:pPr>
        <w:pStyle w:val="ListParagraph"/>
        <w:numPr>
          <w:ilvl w:val="1"/>
          <w:numId w:val="87"/>
        </w:numPr>
        <w:spacing w:line="360" w:lineRule="auto"/>
        <w:rPr>
          <w:rFonts w:ascii="Times New Roman" w:hAnsi="Times New Roman"/>
          <w:b/>
          <w:color w:val="auto"/>
          <w:sz w:val="24"/>
          <w:szCs w:val="24"/>
          <w:lang w:val="en-US"/>
        </w:rPr>
      </w:pPr>
      <w:r w:rsidRPr="00714FB7">
        <w:rPr>
          <w:rFonts w:ascii="Times New Roman" w:hAnsi="Times New Roman"/>
          <w:b/>
          <w:color w:val="auto"/>
          <w:sz w:val="24"/>
          <w:szCs w:val="24"/>
          <w:lang w:val="en-US"/>
        </w:rPr>
        <w:t>CMS</w:t>
      </w:r>
    </w:p>
    <w:p w:rsidR="00C46B64" w:rsidRPr="00714FB7" w:rsidRDefault="00C46B64" w:rsidP="00C46B64">
      <w:pPr>
        <w:pStyle w:val="ListParagraph"/>
        <w:numPr>
          <w:ilvl w:val="0"/>
          <w:numId w:val="19"/>
        </w:numPr>
        <w:spacing w:line="360" w:lineRule="auto"/>
        <w:jc w:val="both"/>
        <w:rPr>
          <w:rFonts w:ascii="Times New Roman" w:hAnsi="Times New Roman"/>
          <w:b/>
          <w:color w:val="auto"/>
          <w:sz w:val="24"/>
          <w:szCs w:val="24"/>
          <w:lang w:val="en-US"/>
        </w:rPr>
      </w:pPr>
      <w:r w:rsidRPr="00714FB7">
        <w:rPr>
          <w:rFonts w:ascii="Times New Roman" w:hAnsi="Times New Roman"/>
          <w:color w:val="auto"/>
          <w:sz w:val="24"/>
          <w:szCs w:val="24"/>
          <w:lang w:val="en-US"/>
        </w:rPr>
        <w:t>The CMS should accelerate the appointment of the Registrar.</w:t>
      </w:r>
    </w:p>
    <w:p w:rsidR="0062331F" w:rsidRPr="00714FB7" w:rsidRDefault="00EA1D8E" w:rsidP="00030895">
      <w:pPr>
        <w:pStyle w:val="ListParagraph"/>
        <w:numPr>
          <w:ilvl w:val="0"/>
          <w:numId w:val="19"/>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CMS should e</w:t>
      </w:r>
      <w:r w:rsidR="00C46B64" w:rsidRPr="00714FB7">
        <w:rPr>
          <w:rFonts w:ascii="Times New Roman" w:hAnsi="Times New Roman"/>
          <w:color w:val="auto"/>
          <w:sz w:val="24"/>
          <w:szCs w:val="24"/>
          <w:lang w:val="en-US"/>
        </w:rPr>
        <w:t>nsure that performance indicators have quarterly targets.</w:t>
      </w:r>
    </w:p>
    <w:p w:rsidR="00CE5650" w:rsidRPr="00714FB7" w:rsidRDefault="0062331F" w:rsidP="00030895">
      <w:pPr>
        <w:pStyle w:val="ListParagraph"/>
        <w:numPr>
          <w:ilvl w:val="0"/>
          <w:numId w:val="19"/>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CMS should enhance education and awareness on the process of lodging complaints.</w:t>
      </w:r>
    </w:p>
    <w:p w:rsidR="0062331F" w:rsidRPr="00714FB7" w:rsidRDefault="0062331F" w:rsidP="00030895">
      <w:pPr>
        <w:pStyle w:val="ListParagraph"/>
        <w:spacing w:line="360" w:lineRule="auto"/>
        <w:jc w:val="both"/>
        <w:rPr>
          <w:rFonts w:ascii="Times New Roman" w:hAnsi="Times New Roman"/>
          <w:color w:val="auto"/>
          <w:sz w:val="24"/>
          <w:szCs w:val="24"/>
          <w:lang w:val="en-US"/>
        </w:rPr>
      </w:pPr>
    </w:p>
    <w:p w:rsidR="00CE5650" w:rsidRPr="00714FB7" w:rsidRDefault="00CE5650" w:rsidP="00C90320">
      <w:pPr>
        <w:pStyle w:val="ListParagraph"/>
        <w:numPr>
          <w:ilvl w:val="1"/>
          <w:numId w:val="87"/>
        </w:numPr>
        <w:spacing w:line="360" w:lineRule="auto"/>
        <w:jc w:val="both"/>
        <w:rPr>
          <w:rFonts w:ascii="Times New Roman" w:hAnsi="Times New Roman"/>
          <w:b/>
          <w:color w:val="auto"/>
          <w:sz w:val="24"/>
          <w:szCs w:val="24"/>
          <w:lang w:val="en-US"/>
        </w:rPr>
      </w:pPr>
      <w:r w:rsidRPr="00714FB7">
        <w:rPr>
          <w:rFonts w:ascii="Times New Roman" w:hAnsi="Times New Roman"/>
          <w:b/>
          <w:color w:val="auto"/>
          <w:sz w:val="24"/>
          <w:szCs w:val="24"/>
          <w:lang w:val="en-US"/>
        </w:rPr>
        <w:t>CCOD</w:t>
      </w:r>
    </w:p>
    <w:p w:rsidR="00CE5650" w:rsidRPr="00714FB7" w:rsidRDefault="0062331F">
      <w:pPr>
        <w:pStyle w:val="ListParagraph"/>
        <w:numPr>
          <w:ilvl w:val="0"/>
          <w:numId w:val="1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CCOD should accelerate the establishment of the two One Stop Service Centres </w:t>
      </w:r>
      <w:r w:rsidR="00CE5650" w:rsidRPr="00714FB7">
        <w:rPr>
          <w:rFonts w:ascii="Times New Roman" w:hAnsi="Times New Roman"/>
          <w:color w:val="auto"/>
          <w:sz w:val="24"/>
          <w:szCs w:val="24"/>
          <w:lang w:val="en-US"/>
        </w:rPr>
        <w:t>(in Northern Cape and Limpopo).</w:t>
      </w:r>
    </w:p>
    <w:p w:rsidR="0062331F" w:rsidRPr="00714FB7" w:rsidRDefault="0062331F">
      <w:pPr>
        <w:pStyle w:val="ListParagraph"/>
        <w:numPr>
          <w:ilvl w:val="0"/>
          <w:numId w:val="1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CCOD should furnish the Committee with a progress report on the compensation legislation.</w:t>
      </w:r>
    </w:p>
    <w:p w:rsidR="009320AE" w:rsidRPr="00714FB7" w:rsidRDefault="009320AE">
      <w:pPr>
        <w:pStyle w:val="ListParagraph"/>
        <w:numPr>
          <w:ilvl w:val="0"/>
          <w:numId w:val="1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The CCOD should ensure that the backlog of annual financial statements is cleared.</w:t>
      </w:r>
    </w:p>
    <w:p w:rsidR="00EE44A0" w:rsidRPr="00714FB7" w:rsidRDefault="00EE44A0">
      <w:pPr>
        <w:pStyle w:val="ListParagraph"/>
        <w:numPr>
          <w:ilvl w:val="0"/>
          <w:numId w:val="15"/>
        </w:num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 xml:space="preserve">The CCOD should further expand its campaign strategy to target local communities through the use of mobile services as well as various media platforms </w:t>
      </w:r>
      <w:r w:rsidR="00FE34FB" w:rsidRPr="00714FB7">
        <w:rPr>
          <w:rFonts w:ascii="Times New Roman" w:hAnsi="Times New Roman"/>
          <w:color w:val="auto"/>
          <w:sz w:val="24"/>
          <w:szCs w:val="24"/>
          <w:lang w:val="en-US"/>
        </w:rPr>
        <w:t xml:space="preserve">such as </w:t>
      </w:r>
      <w:r w:rsidRPr="00714FB7">
        <w:rPr>
          <w:rFonts w:ascii="Times New Roman" w:hAnsi="Times New Roman"/>
          <w:color w:val="auto"/>
          <w:sz w:val="24"/>
          <w:szCs w:val="24"/>
          <w:lang w:val="en-US"/>
        </w:rPr>
        <w:t>local radio stations.</w:t>
      </w:r>
    </w:p>
    <w:p w:rsidR="000C5C1E" w:rsidRPr="00714FB7" w:rsidRDefault="000C5C1E" w:rsidP="000C5C1E">
      <w:pPr>
        <w:spacing w:line="360" w:lineRule="auto"/>
        <w:jc w:val="both"/>
        <w:rPr>
          <w:rFonts w:ascii="Times New Roman" w:hAnsi="Times New Roman"/>
          <w:color w:val="auto"/>
          <w:sz w:val="24"/>
          <w:szCs w:val="24"/>
          <w:lang w:val="en-US"/>
        </w:rPr>
      </w:pPr>
    </w:p>
    <w:p w:rsidR="00AF547A" w:rsidRPr="00714FB7" w:rsidRDefault="00AF547A" w:rsidP="00F23A6A">
      <w:pPr>
        <w:spacing w:line="360" w:lineRule="auto"/>
        <w:jc w:val="both"/>
        <w:rPr>
          <w:rFonts w:ascii="Times New Roman" w:hAnsi="Times New Roman"/>
          <w:color w:val="auto"/>
          <w:sz w:val="24"/>
          <w:szCs w:val="24"/>
          <w:lang w:val="en-US"/>
        </w:rPr>
      </w:pPr>
      <w:r w:rsidRPr="00714FB7">
        <w:rPr>
          <w:rFonts w:ascii="Times New Roman" w:hAnsi="Times New Roman"/>
          <w:color w:val="auto"/>
          <w:sz w:val="24"/>
          <w:szCs w:val="24"/>
          <w:lang w:val="en-US"/>
        </w:rPr>
        <w:t>Unless otherwise indicated, the</w:t>
      </w:r>
      <w:r w:rsidR="0035670F" w:rsidRPr="00714FB7">
        <w:rPr>
          <w:rFonts w:ascii="Times New Roman" w:hAnsi="Times New Roman"/>
          <w:color w:val="auto"/>
          <w:sz w:val="24"/>
          <w:szCs w:val="24"/>
          <w:lang w:val="en-US"/>
        </w:rPr>
        <w:t xml:space="preserve"> </w:t>
      </w:r>
      <w:r w:rsidRPr="00714FB7">
        <w:rPr>
          <w:rFonts w:ascii="Times New Roman" w:hAnsi="Times New Roman"/>
          <w:color w:val="auto"/>
          <w:sz w:val="24"/>
          <w:szCs w:val="24"/>
          <w:lang w:val="en-US"/>
        </w:rPr>
        <w:t>Department</w:t>
      </w:r>
      <w:r w:rsidR="0035670F" w:rsidRPr="00714FB7">
        <w:rPr>
          <w:rFonts w:ascii="Times New Roman" w:hAnsi="Times New Roman"/>
          <w:color w:val="auto"/>
          <w:sz w:val="24"/>
          <w:szCs w:val="24"/>
          <w:lang w:val="en-US"/>
        </w:rPr>
        <w:t xml:space="preserve"> </w:t>
      </w:r>
      <w:r w:rsidRPr="00714FB7">
        <w:rPr>
          <w:rFonts w:ascii="Times New Roman" w:hAnsi="Times New Roman"/>
          <w:color w:val="auto"/>
          <w:sz w:val="24"/>
          <w:szCs w:val="24"/>
          <w:lang w:val="en-US"/>
        </w:rPr>
        <w:t>should respond to the recommendations in three months from the day the report is adopted by the House.</w:t>
      </w:r>
    </w:p>
    <w:p w:rsidR="00AF547A" w:rsidRPr="00714FB7" w:rsidRDefault="00AF547A" w:rsidP="00F23A6A">
      <w:pPr>
        <w:spacing w:line="360" w:lineRule="auto"/>
        <w:jc w:val="both"/>
        <w:rPr>
          <w:rFonts w:ascii="Times New Roman" w:hAnsi="Times New Roman"/>
          <w:b/>
          <w:color w:val="auto"/>
          <w:sz w:val="24"/>
          <w:szCs w:val="24"/>
          <w:lang w:val="en-ZA"/>
        </w:rPr>
      </w:pPr>
    </w:p>
    <w:p w:rsidR="00AF547A" w:rsidRPr="00714FB7" w:rsidRDefault="00AF547A" w:rsidP="00F23A6A">
      <w:pPr>
        <w:spacing w:line="360" w:lineRule="auto"/>
        <w:jc w:val="both"/>
        <w:rPr>
          <w:rFonts w:ascii="Times New Roman" w:hAnsi="Times New Roman"/>
          <w:color w:val="auto"/>
          <w:sz w:val="24"/>
          <w:szCs w:val="24"/>
          <w:lang w:val="en-US"/>
        </w:rPr>
      </w:pPr>
      <w:r w:rsidRPr="00714FB7">
        <w:rPr>
          <w:rFonts w:ascii="Times New Roman" w:hAnsi="Times New Roman"/>
          <w:b/>
          <w:color w:val="auto"/>
          <w:sz w:val="24"/>
          <w:szCs w:val="24"/>
          <w:lang w:val="en-ZA"/>
        </w:rPr>
        <w:t>Report to be considered</w:t>
      </w:r>
      <w:r w:rsidR="00B44EA4" w:rsidRPr="00714FB7">
        <w:rPr>
          <w:rFonts w:ascii="Times New Roman" w:hAnsi="Times New Roman"/>
          <w:b/>
          <w:color w:val="auto"/>
          <w:sz w:val="24"/>
          <w:szCs w:val="24"/>
          <w:lang w:val="en-ZA"/>
        </w:rPr>
        <w:t>.</w:t>
      </w:r>
      <w:r w:rsidRPr="00714FB7">
        <w:rPr>
          <w:rFonts w:ascii="Times New Roman" w:hAnsi="Times New Roman"/>
          <w:b/>
          <w:color w:val="auto"/>
          <w:sz w:val="24"/>
          <w:szCs w:val="24"/>
          <w:lang w:val="en-ZA"/>
        </w:rPr>
        <w:t xml:space="preserve">   </w:t>
      </w:r>
    </w:p>
    <w:p w:rsidR="009F33B2" w:rsidRPr="00714FB7" w:rsidRDefault="009F33B2" w:rsidP="009F33B2">
      <w:pPr>
        <w:spacing w:line="360" w:lineRule="auto"/>
        <w:jc w:val="both"/>
        <w:rPr>
          <w:rFonts w:ascii="Times New Roman" w:hAnsi="Times New Roman"/>
          <w:sz w:val="24"/>
          <w:szCs w:val="24"/>
          <w:lang w:val="en-US"/>
        </w:rPr>
      </w:pPr>
    </w:p>
    <w:sectPr w:rsidR="009F33B2" w:rsidRPr="00714FB7" w:rsidSect="00B43B26">
      <w:footerReference w:type="even" r:id="rId17"/>
      <w:footerReference w:type="default" r:id="rId18"/>
      <w:headerReference w:type="first" r:id="rId19"/>
      <w:pgSz w:w="11906" w:h="16838" w:code="9"/>
      <w:pgMar w:top="1440" w:right="1440" w:bottom="1440" w:left="1440"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EDA" w:rsidRDefault="00667EDA">
      <w:r>
        <w:separator/>
      </w:r>
    </w:p>
  </w:endnote>
  <w:endnote w:type="continuationSeparator" w:id="0">
    <w:p w:rsidR="00667EDA" w:rsidRDefault="0066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60" w:rsidRDefault="00A43F60" w:rsidP="00FA2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3F60" w:rsidRDefault="00A43F60" w:rsidP="008B1C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60" w:rsidRDefault="00A43F60" w:rsidP="00FA2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1E6B">
      <w:rPr>
        <w:rStyle w:val="PageNumber"/>
        <w:noProof/>
      </w:rPr>
      <w:t>5</w:t>
    </w:r>
    <w:r>
      <w:rPr>
        <w:rStyle w:val="PageNumber"/>
      </w:rPr>
      <w:fldChar w:fldCharType="end"/>
    </w:r>
  </w:p>
  <w:p w:rsidR="00A43F60" w:rsidRDefault="00A43F60" w:rsidP="008B1C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EDA" w:rsidRDefault="00667EDA">
      <w:r>
        <w:separator/>
      </w:r>
    </w:p>
  </w:footnote>
  <w:footnote w:type="continuationSeparator" w:id="0">
    <w:p w:rsidR="00667EDA" w:rsidRDefault="00667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60" w:rsidRDefault="00A43F60">
    <w:pPr>
      <w:pStyle w:val="Header"/>
    </w:pPr>
    <w:r>
      <w:rPr>
        <w:noProof/>
        <w:lang w:val="en-ZA" w:eastAsia="en-ZA"/>
      </w:rPr>
      <w:drawing>
        <wp:anchor distT="0" distB="0" distL="114300" distR="114300" simplePos="0" relativeHeight="251658240" behindDoc="0" locked="0" layoutInCell="1" allowOverlap="1" wp14:anchorId="07E8F088" wp14:editId="0E604E40">
          <wp:simplePos x="0" y="0"/>
          <wp:positionH relativeFrom="column">
            <wp:posOffset>3853180</wp:posOffset>
          </wp:positionH>
          <wp:positionV relativeFrom="paragraph">
            <wp:posOffset>5715</wp:posOffset>
          </wp:positionV>
          <wp:extent cx="2351405" cy="800100"/>
          <wp:effectExtent l="0" t="0" r="0" b="0"/>
          <wp:wrapNone/>
          <wp:docPr id="21" name="Picture 2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committe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140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7216" behindDoc="0" locked="0" layoutInCell="1" allowOverlap="1" wp14:anchorId="1FA6B39C" wp14:editId="594530A7">
          <wp:simplePos x="0" y="0"/>
          <wp:positionH relativeFrom="page">
            <wp:posOffset>720090</wp:posOffset>
          </wp:positionH>
          <wp:positionV relativeFrom="page">
            <wp:posOffset>720090</wp:posOffset>
          </wp:positionV>
          <wp:extent cx="2534285" cy="823595"/>
          <wp:effectExtent l="0" t="0" r="0" b="0"/>
          <wp:wrapNone/>
          <wp:docPr id="22" name="Picture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4285" cy="823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E65"/>
    <w:multiLevelType w:val="multilevel"/>
    <w:tmpl w:val="752EFEB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050168"/>
    <w:multiLevelType w:val="multilevel"/>
    <w:tmpl w:val="E22AFD42"/>
    <w:lvl w:ilvl="0">
      <w:start w:val="1"/>
      <w:numFmt w:val="decimal"/>
      <w:lvlText w:val="%1."/>
      <w:lvlJc w:val="left"/>
      <w:pPr>
        <w:ind w:left="360" w:hanging="360"/>
      </w:pPr>
      <w:rPr>
        <w:rFonts w:hint="default"/>
        <w:b/>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464321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AF2EEB"/>
    <w:multiLevelType w:val="hybridMultilevel"/>
    <w:tmpl w:val="6246A4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7894F76"/>
    <w:multiLevelType w:val="hybridMultilevel"/>
    <w:tmpl w:val="324626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7F56A91"/>
    <w:multiLevelType w:val="multilevel"/>
    <w:tmpl w:val="9628242C"/>
    <w:lvl w:ilvl="0">
      <w:start w:val="1"/>
      <w:numFmt w:val="decimal"/>
      <w:lvlText w:val="%1."/>
      <w:lvlJc w:val="left"/>
      <w:pPr>
        <w:ind w:left="360" w:hanging="360"/>
      </w:pPr>
      <w:rPr>
        <w:b/>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0A133743"/>
    <w:multiLevelType w:val="hybridMultilevel"/>
    <w:tmpl w:val="9A3096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B807084"/>
    <w:multiLevelType w:val="hybridMultilevel"/>
    <w:tmpl w:val="5EC41D9E"/>
    <w:lvl w:ilvl="0" w:tplc="1C090001">
      <w:start w:val="1"/>
      <w:numFmt w:val="bullet"/>
      <w:lvlText w:val=""/>
      <w:lvlJc w:val="left"/>
      <w:pPr>
        <w:ind w:left="720" w:hanging="360"/>
      </w:pPr>
      <w:rPr>
        <w:rFonts w:ascii="Symbol" w:hAnsi="Symbol" w:hint="default"/>
      </w:rPr>
    </w:lvl>
    <w:lvl w:ilvl="1" w:tplc="B7E0AB5A">
      <w:start w:val="5"/>
      <w:numFmt w:val="bullet"/>
      <w:lvlText w:val="•"/>
      <w:lvlJc w:val="left"/>
      <w:pPr>
        <w:ind w:left="1800" w:hanging="72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C9F4FBC"/>
    <w:multiLevelType w:val="hybridMultilevel"/>
    <w:tmpl w:val="1764AACA"/>
    <w:lvl w:ilvl="0" w:tplc="8A7E9716">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E661B5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F72596"/>
    <w:multiLevelType w:val="hybridMultilevel"/>
    <w:tmpl w:val="6054CE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21C631F"/>
    <w:multiLevelType w:val="hybridMultilevel"/>
    <w:tmpl w:val="BFDE23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4B75C2F"/>
    <w:multiLevelType w:val="hybridMultilevel"/>
    <w:tmpl w:val="956E47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4DA29E5"/>
    <w:multiLevelType w:val="hybridMultilevel"/>
    <w:tmpl w:val="E04440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4ED73D9"/>
    <w:multiLevelType w:val="hybridMultilevel"/>
    <w:tmpl w:val="534019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53C5B23"/>
    <w:multiLevelType w:val="hybridMultilevel"/>
    <w:tmpl w:val="18D06C4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16">
    <w:nsid w:val="17ED18B8"/>
    <w:multiLevelType w:val="multilevel"/>
    <w:tmpl w:val="1C09001D"/>
    <w:styleLink w:val="Style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8A40A0C"/>
    <w:multiLevelType w:val="hybridMultilevel"/>
    <w:tmpl w:val="9C1C66F6"/>
    <w:lvl w:ilvl="0" w:tplc="3B56DFF0">
      <w:start w:val="2"/>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190F1713"/>
    <w:multiLevelType w:val="hybridMultilevel"/>
    <w:tmpl w:val="F7A04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1CCB5B4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FA94B39"/>
    <w:multiLevelType w:val="hybridMultilevel"/>
    <w:tmpl w:val="284E7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25A0BB9"/>
    <w:multiLevelType w:val="multilevel"/>
    <w:tmpl w:val="C80AE08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3C912A5"/>
    <w:multiLevelType w:val="hybridMultilevel"/>
    <w:tmpl w:val="D7AECC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DD12A0"/>
    <w:multiLevelType w:val="hybridMultilevel"/>
    <w:tmpl w:val="673030C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4">
    <w:nsid w:val="24325806"/>
    <w:multiLevelType w:val="hybridMultilevel"/>
    <w:tmpl w:val="69DEEC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24335ECC"/>
    <w:multiLevelType w:val="multilevel"/>
    <w:tmpl w:val="DF24E310"/>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6542289"/>
    <w:multiLevelType w:val="hybridMultilevel"/>
    <w:tmpl w:val="1D2C79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278B26C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7E650CA"/>
    <w:multiLevelType w:val="hybridMultilevel"/>
    <w:tmpl w:val="EFC4F244"/>
    <w:lvl w:ilvl="0" w:tplc="87DA3B86">
      <w:start w:val="1"/>
      <w:numFmt w:val="bullet"/>
      <w:lvlText w:val=""/>
      <w:lvlJc w:val="left"/>
      <w:pPr>
        <w:ind w:left="644" w:hanging="360"/>
      </w:pPr>
      <w:rPr>
        <w:rFonts w:ascii="Symbol" w:hAnsi="Symbol" w:hint="default"/>
        <w:color w:val="auto"/>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8AA2AA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9CD54CA"/>
    <w:multiLevelType w:val="hybridMultilevel"/>
    <w:tmpl w:val="79C8790C"/>
    <w:lvl w:ilvl="0" w:tplc="51967EFC">
      <w:start w:val="1"/>
      <w:numFmt w:val="bullet"/>
      <w:lvlText w:val=""/>
      <w:lvlJc w:val="left"/>
      <w:pPr>
        <w:ind w:left="360" w:hanging="360"/>
      </w:pPr>
      <w:rPr>
        <w:rFonts w:ascii="Symbol" w:hAnsi="Symbol" w:hint="default"/>
        <w:sz w:val="22"/>
        <w:szCs w:val="22"/>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2A3B4DEE"/>
    <w:multiLevelType w:val="multilevel"/>
    <w:tmpl w:val="E40C2F9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2A681CAE"/>
    <w:multiLevelType w:val="hybridMultilevel"/>
    <w:tmpl w:val="03482A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2D154D7F"/>
    <w:multiLevelType w:val="hybridMultilevel"/>
    <w:tmpl w:val="6D4C99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2DD57456"/>
    <w:multiLevelType w:val="multilevel"/>
    <w:tmpl w:val="E37A782C"/>
    <w:styleLink w:val="Style1"/>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2E011416"/>
    <w:multiLevelType w:val="multilevel"/>
    <w:tmpl w:val="0E3C6D0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E746491"/>
    <w:multiLevelType w:val="multilevel"/>
    <w:tmpl w:val="2F22B51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2F0E6589"/>
    <w:multiLevelType w:val="hybridMultilevel"/>
    <w:tmpl w:val="7524470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2FCD7F5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0DB7EA9"/>
    <w:multiLevelType w:val="hybridMultilevel"/>
    <w:tmpl w:val="0A8C1390"/>
    <w:lvl w:ilvl="0" w:tplc="D6B0DBBE">
      <w:start w:val="1"/>
      <w:numFmt w:val="bullet"/>
      <w:lvlText w:val=""/>
      <w:lvlJc w:val="left"/>
      <w:pPr>
        <w:ind w:left="720" w:hanging="360"/>
      </w:pPr>
      <w:rPr>
        <w:rFonts w:ascii="Symbol" w:hAnsi="Symbol" w:hint="default"/>
        <w:color w:val="auto"/>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33B14385"/>
    <w:multiLevelType w:val="hybridMultilevel"/>
    <w:tmpl w:val="18747414"/>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1">
    <w:nsid w:val="3461395A"/>
    <w:multiLevelType w:val="hybridMultilevel"/>
    <w:tmpl w:val="EC88D9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34CF28BC"/>
    <w:multiLevelType w:val="hybridMultilevel"/>
    <w:tmpl w:val="C48E2B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36D11F7E"/>
    <w:multiLevelType w:val="hybridMultilevel"/>
    <w:tmpl w:val="C9F68C96"/>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44">
    <w:nsid w:val="37655018"/>
    <w:multiLevelType w:val="hybridMultilevel"/>
    <w:tmpl w:val="3B0A63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394834DD"/>
    <w:multiLevelType w:val="hybridMultilevel"/>
    <w:tmpl w:val="96D4A6F6"/>
    <w:lvl w:ilvl="0" w:tplc="1C090001">
      <w:start w:val="1"/>
      <w:numFmt w:val="bullet"/>
      <w:lvlText w:val=""/>
      <w:lvlJc w:val="left"/>
      <w:pPr>
        <w:ind w:left="630" w:hanging="360"/>
      </w:pPr>
      <w:rPr>
        <w:rFonts w:ascii="Symbol" w:hAnsi="Symbol" w:hint="default"/>
      </w:rPr>
    </w:lvl>
    <w:lvl w:ilvl="1" w:tplc="1C090003" w:tentative="1">
      <w:start w:val="1"/>
      <w:numFmt w:val="bullet"/>
      <w:lvlText w:val="o"/>
      <w:lvlJc w:val="left"/>
      <w:pPr>
        <w:ind w:left="636" w:hanging="360"/>
      </w:pPr>
      <w:rPr>
        <w:rFonts w:ascii="Courier New" w:hAnsi="Courier New" w:cs="Courier New" w:hint="default"/>
      </w:rPr>
    </w:lvl>
    <w:lvl w:ilvl="2" w:tplc="1C090005" w:tentative="1">
      <w:start w:val="1"/>
      <w:numFmt w:val="bullet"/>
      <w:lvlText w:val=""/>
      <w:lvlJc w:val="left"/>
      <w:pPr>
        <w:ind w:left="1356" w:hanging="360"/>
      </w:pPr>
      <w:rPr>
        <w:rFonts w:ascii="Wingdings" w:hAnsi="Wingdings" w:hint="default"/>
      </w:rPr>
    </w:lvl>
    <w:lvl w:ilvl="3" w:tplc="1C090001" w:tentative="1">
      <w:start w:val="1"/>
      <w:numFmt w:val="bullet"/>
      <w:lvlText w:val=""/>
      <w:lvlJc w:val="left"/>
      <w:pPr>
        <w:ind w:left="2076" w:hanging="360"/>
      </w:pPr>
      <w:rPr>
        <w:rFonts w:ascii="Symbol" w:hAnsi="Symbol" w:hint="default"/>
      </w:rPr>
    </w:lvl>
    <w:lvl w:ilvl="4" w:tplc="1C090003" w:tentative="1">
      <w:start w:val="1"/>
      <w:numFmt w:val="bullet"/>
      <w:lvlText w:val="o"/>
      <w:lvlJc w:val="left"/>
      <w:pPr>
        <w:ind w:left="2796" w:hanging="360"/>
      </w:pPr>
      <w:rPr>
        <w:rFonts w:ascii="Courier New" w:hAnsi="Courier New" w:cs="Courier New" w:hint="default"/>
      </w:rPr>
    </w:lvl>
    <w:lvl w:ilvl="5" w:tplc="1C090005" w:tentative="1">
      <w:start w:val="1"/>
      <w:numFmt w:val="bullet"/>
      <w:lvlText w:val=""/>
      <w:lvlJc w:val="left"/>
      <w:pPr>
        <w:ind w:left="3516" w:hanging="360"/>
      </w:pPr>
      <w:rPr>
        <w:rFonts w:ascii="Wingdings" w:hAnsi="Wingdings" w:hint="default"/>
      </w:rPr>
    </w:lvl>
    <w:lvl w:ilvl="6" w:tplc="1C090001" w:tentative="1">
      <w:start w:val="1"/>
      <w:numFmt w:val="bullet"/>
      <w:lvlText w:val=""/>
      <w:lvlJc w:val="left"/>
      <w:pPr>
        <w:ind w:left="4236" w:hanging="360"/>
      </w:pPr>
      <w:rPr>
        <w:rFonts w:ascii="Symbol" w:hAnsi="Symbol" w:hint="default"/>
      </w:rPr>
    </w:lvl>
    <w:lvl w:ilvl="7" w:tplc="1C090003" w:tentative="1">
      <w:start w:val="1"/>
      <w:numFmt w:val="bullet"/>
      <w:lvlText w:val="o"/>
      <w:lvlJc w:val="left"/>
      <w:pPr>
        <w:ind w:left="4956" w:hanging="360"/>
      </w:pPr>
      <w:rPr>
        <w:rFonts w:ascii="Courier New" w:hAnsi="Courier New" w:cs="Courier New" w:hint="default"/>
      </w:rPr>
    </w:lvl>
    <w:lvl w:ilvl="8" w:tplc="1C090005" w:tentative="1">
      <w:start w:val="1"/>
      <w:numFmt w:val="bullet"/>
      <w:lvlText w:val=""/>
      <w:lvlJc w:val="left"/>
      <w:pPr>
        <w:ind w:left="5676" w:hanging="360"/>
      </w:pPr>
      <w:rPr>
        <w:rFonts w:ascii="Wingdings" w:hAnsi="Wingdings" w:hint="default"/>
      </w:rPr>
    </w:lvl>
  </w:abstractNum>
  <w:abstractNum w:abstractNumId="46">
    <w:nsid w:val="3BA1415E"/>
    <w:multiLevelType w:val="hybridMultilevel"/>
    <w:tmpl w:val="D8BC46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3C234A2C"/>
    <w:multiLevelType w:val="hybridMultilevel"/>
    <w:tmpl w:val="0FD601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3C46001F"/>
    <w:multiLevelType w:val="hybridMultilevel"/>
    <w:tmpl w:val="24A08D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3DA408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4195228E"/>
    <w:multiLevelType w:val="multilevel"/>
    <w:tmpl w:val="CC10FAF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452A273B"/>
    <w:multiLevelType w:val="multilevel"/>
    <w:tmpl w:val="6548131A"/>
    <w:lvl w:ilvl="0">
      <w:start w:val="1"/>
      <w:numFmt w:val="bullet"/>
      <w:lvlText w:val=""/>
      <w:lvlJc w:val="left"/>
      <w:pPr>
        <w:ind w:left="1070" w:hanging="360"/>
      </w:pPr>
      <w:rPr>
        <w:rFonts w:ascii="Symbol" w:hAnsi="Symbol" w:hint="default"/>
      </w:rPr>
    </w:lvl>
    <w:lvl w:ilvl="1">
      <w:start w:val="1"/>
      <w:numFmt w:val="decimal"/>
      <w:isLgl/>
      <w:lvlText w:val="%1.%2"/>
      <w:lvlJc w:val="left"/>
      <w:pPr>
        <w:ind w:left="1070" w:hanging="360"/>
      </w:pPr>
      <w:rPr>
        <w:rFonts w:hint="default"/>
        <w:sz w:val="22"/>
      </w:rPr>
    </w:lvl>
    <w:lvl w:ilvl="2">
      <w:start w:val="1"/>
      <w:numFmt w:val="decimal"/>
      <w:isLgl/>
      <w:lvlText w:val="%1.%2.%3"/>
      <w:lvlJc w:val="left"/>
      <w:pPr>
        <w:ind w:left="1714" w:hanging="720"/>
      </w:pPr>
      <w:rPr>
        <w:rFonts w:hint="default"/>
        <w:color w:val="auto"/>
        <w:sz w:val="22"/>
        <w:szCs w:val="22"/>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2870" w:hanging="1800"/>
      </w:pPr>
      <w:rPr>
        <w:rFonts w:hint="default"/>
      </w:rPr>
    </w:lvl>
  </w:abstractNum>
  <w:abstractNum w:abstractNumId="52">
    <w:nsid w:val="47EC7547"/>
    <w:multiLevelType w:val="hybridMultilevel"/>
    <w:tmpl w:val="2FB45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487158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4AF72F31"/>
    <w:multiLevelType w:val="hybridMultilevel"/>
    <w:tmpl w:val="6EAAD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4B001221"/>
    <w:multiLevelType w:val="hybridMultilevel"/>
    <w:tmpl w:val="9FF609AA"/>
    <w:lvl w:ilvl="0" w:tplc="1C09000F">
      <w:start w:val="12"/>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6">
    <w:nsid w:val="4BB477DF"/>
    <w:multiLevelType w:val="multilevel"/>
    <w:tmpl w:val="441090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364" w:hanging="720"/>
      </w:pPr>
      <w:rPr>
        <w:rFonts w:hint="default"/>
        <w:sz w:val="22"/>
        <w:szCs w:val="22"/>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7">
    <w:nsid w:val="4C0C3B60"/>
    <w:multiLevelType w:val="hybridMultilevel"/>
    <w:tmpl w:val="4956BC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4C6D30EF"/>
    <w:multiLevelType w:val="hybridMultilevel"/>
    <w:tmpl w:val="A24A7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4C7A35BC"/>
    <w:multiLevelType w:val="multilevel"/>
    <w:tmpl w:val="37262B7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4E7F20D3"/>
    <w:multiLevelType w:val="hybridMultilevel"/>
    <w:tmpl w:val="4C000F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nsid w:val="4FB81B63"/>
    <w:multiLevelType w:val="hybridMultilevel"/>
    <w:tmpl w:val="5C988DB6"/>
    <w:lvl w:ilvl="0" w:tplc="0356700A">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51D52ACC"/>
    <w:multiLevelType w:val="hybridMultilevel"/>
    <w:tmpl w:val="873A1C1E"/>
    <w:lvl w:ilvl="0" w:tplc="1C090001">
      <w:start w:val="1"/>
      <w:numFmt w:val="bullet"/>
      <w:lvlText w:val=""/>
      <w:lvlJc w:val="left"/>
      <w:pPr>
        <w:ind w:left="720" w:hanging="360"/>
      </w:pPr>
      <w:rPr>
        <w:rFonts w:ascii="Symbol" w:hAnsi="Symbol" w:hint="default"/>
      </w:rPr>
    </w:lvl>
    <w:lvl w:ilvl="1" w:tplc="11B23ABE">
      <w:numFmt w:val="bullet"/>
      <w:lvlText w:val="•"/>
      <w:lvlJc w:val="left"/>
      <w:pPr>
        <w:ind w:left="1440" w:hanging="360"/>
      </w:pPr>
      <w:rPr>
        <w:rFonts w:ascii="Arial" w:eastAsiaTheme="minorHAnsi" w:hAnsi="Arial" w:cs="Arial" w:hint="default"/>
        <w:color w:val="595A5A"/>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52861AC5"/>
    <w:multiLevelType w:val="hybridMultilevel"/>
    <w:tmpl w:val="7AE649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nsid w:val="52E848F8"/>
    <w:multiLevelType w:val="hybridMultilevel"/>
    <w:tmpl w:val="44A020C4"/>
    <w:lvl w:ilvl="0" w:tplc="78FE4620">
      <w:start w:val="1"/>
      <w:numFmt w:val="bullet"/>
      <w:lvlText w:val=""/>
      <w:lvlJc w:val="left"/>
      <w:pPr>
        <w:ind w:left="786" w:hanging="360"/>
      </w:pPr>
      <w:rPr>
        <w:rFonts w:ascii="Symbol" w:hAnsi="Symbol" w:hint="default"/>
        <w:sz w:val="24"/>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65">
    <w:nsid w:val="53441E09"/>
    <w:multiLevelType w:val="hybridMultilevel"/>
    <w:tmpl w:val="F9248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nsid w:val="53DD1C53"/>
    <w:multiLevelType w:val="multilevel"/>
    <w:tmpl w:val="ABF8C8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4243485"/>
    <w:multiLevelType w:val="hybridMultilevel"/>
    <w:tmpl w:val="32A41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56CF1751"/>
    <w:multiLevelType w:val="multilevel"/>
    <w:tmpl w:val="8722C11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rPr>
    </w:lvl>
    <w:lvl w:ilvl="2">
      <w:start w:val="1"/>
      <w:numFmt w:val="decimal"/>
      <w:isLgl/>
      <w:lvlText w:val="%1.%2.%3"/>
      <w:lvlJc w:val="left"/>
      <w:pPr>
        <w:ind w:left="1004" w:hanging="720"/>
      </w:pPr>
      <w:rPr>
        <w:rFonts w:hint="default"/>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58657571"/>
    <w:multiLevelType w:val="hybridMultilevel"/>
    <w:tmpl w:val="837EF8F0"/>
    <w:lvl w:ilvl="0" w:tplc="AA74D8EE">
      <w:start w:val="1"/>
      <w:numFmt w:val="bullet"/>
      <w:lvlText w:val=""/>
      <w:lvlJc w:val="left"/>
      <w:pPr>
        <w:ind w:left="786" w:hanging="360"/>
      </w:pPr>
      <w:rPr>
        <w:rFonts w:ascii="Symbol" w:hAnsi="Symbol" w:hint="default"/>
        <w:color w:val="auto"/>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70">
    <w:nsid w:val="599628C0"/>
    <w:multiLevelType w:val="hybridMultilevel"/>
    <w:tmpl w:val="2DB270C0"/>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1">
    <w:nsid w:val="5AC15572"/>
    <w:multiLevelType w:val="hybridMultilevel"/>
    <w:tmpl w:val="9A4859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5AD450F1"/>
    <w:multiLevelType w:val="hybridMultilevel"/>
    <w:tmpl w:val="E908825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EEF529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5F5B750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60016467"/>
    <w:multiLevelType w:val="hybridMultilevel"/>
    <w:tmpl w:val="176CD2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635F769E"/>
    <w:multiLevelType w:val="hybridMultilevel"/>
    <w:tmpl w:val="E86E42BC"/>
    <w:lvl w:ilvl="0" w:tplc="ABD45320">
      <w:start w:val="1"/>
      <w:numFmt w:val="bullet"/>
      <w:lvlText w:val=""/>
      <w:lvlJc w:val="left"/>
      <w:pPr>
        <w:ind w:left="720" w:hanging="360"/>
      </w:pPr>
      <w:rPr>
        <w:rFonts w:ascii="Symbol" w:hAnsi="Symbol" w:hint="default"/>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637A78BA"/>
    <w:multiLevelType w:val="hybridMultilevel"/>
    <w:tmpl w:val="989AE6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642523AF"/>
    <w:multiLevelType w:val="hybridMultilevel"/>
    <w:tmpl w:val="33BE6D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nsid w:val="659B416F"/>
    <w:multiLevelType w:val="hybridMultilevel"/>
    <w:tmpl w:val="DF7885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67EF06BD"/>
    <w:multiLevelType w:val="hybridMultilevel"/>
    <w:tmpl w:val="74B6FF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nsid w:val="690D6A99"/>
    <w:multiLevelType w:val="hybridMultilevel"/>
    <w:tmpl w:val="770A31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6C5413E0"/>
    <w:multiLevelType w:val="hybridMultilevel"/>
    <w:tmpl w:val="5E347976"/>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84">
    <w:nsid w:val="6DFE7824"/>
    <w:multiLevelType w:val="multilevel"/>
    <w:tmpl w:val="7AE06E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nsid w:val="6E213F12"/>
    <w:multiLevelType w:val="multilevel"/>
    <w:tmpl w:val="C5608D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7366735C"/>
    <w:multiLevelType w:val="hybridMultilevel"/>
    <w:tmpl w:val="CA86EA36"/>
    <w:lvl w:ilvl="0" w:tplc="D72094D4">
      <w:start w:val="1"/>
      <w:numFmt w:val="bullet"/>
      <w:lvlText w:val=""/>
      <w:lvlJc w:val="left"/>
      <w:pPr>
        <w:ind w:left="644"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7">
    <w:nsid w:val="764E7326"/>
    <w:multiLevelType w:val="hybridMultilevel"/>
    <w:tmpl w:val="C64AB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8">
    <w:nsid w:val="769F7F45"/>
    <w:multiLevelType w:val="multilevel"/>
    <w:tmpl w:val="59047FEC"/>
    <w:lvl w:ilvl="0">
      <w:start w:val="1"/>
      <w:numFmt w:val="bullet"/>
      <w:lvlText w:val=""/>
      <w:lvlJc w:val="left"/>
      <w:pPr>
        <w:ind w:left="720" w:hanging="360"/>
      </w:pPr>
      <w:rPr>
        <w:rFonts w:ascii="Symbol" w:hAnsi="Symbol" w:hint="default"/>
        <w:color w:val="auto"/>
      </w:rPr>
    </w:lvl>
    <w:lvl w:ilvl="1">
      <w:start w:val="1"/>
      <w:numFmt w:val="decimal"/>
      <w:isLgl/>
      <w:lvlText w:val="%1.%2"/>
      <w:lvlJc w:val="left"/>
      <w:pPr>
        <w:ind w:left="720" w:hanging="360"/>
      </w:pPr>
      <w:rPr>
        <w:rFonts w:hint="default"/>
        <w:sz w:val="22"/>
      </w:rPr>
    </w:lvl>
    <w:lvl w:ilvl="2">
      <w:start w:val="1"/>
      <w:numFmt w:val="decimal"/>
      <w:isLgl/>
      <w:lvlText w:val="%1.%2.%3"/>
      <w:lvlJc w:val="left"/>
      <w:pPr>
        <w:ind w:left="1364" w:hanging="720"/>
      </w:pPr>
      <w:rPr>
        <w:rFonts w:hint="default"/>
        <w:sz w:val="22"/>
        <w:szCs w:val="22"/>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9">
    <w:nsid w:val="76CB1C9E"/>
    <w:multiLevelType w:val="hybridMultilevel"/>
    <w:tmpl w:val="0BAC33C8"/>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90">
    <w:nsid w:val="783A14D2"/>
    <w:multiLevelType w:val="multilevel"/>
    <w:tmpl w:val="57082A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B8E4E0F"/>
    <w:multiLevelType w:val="hybridMultilevel"/>
    <w:tmpl w:val="A7B2F394"/>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92">
    <w:nsid w:val="7CB5058E"/>
    <w:multiLevelType w:val="hybridMultilevel"/>
    <w:tmpl w:val="B36846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3">
    <w:nsid w:val="7D6300C0"/>
    <w:multiLevelType w:val="multilevel"/>
    <w:tmpl w:val="F75E6BA6"/>
    <w:lvl w:ilvl="0">
      <w:start w:val="1"/>
      <w:numFmt w:val="bullet"/>
      <w:lvlText w:val=""/>
      <w:lvlJc w:val="left"/>
      <w:pPr>
        <w:ind w:left="720" w:hanging="360"/>
      </w:pPr>
      <w:rPr>
        <w:rFonts w:ascii="Symbol" w:hAnsi="Symbol"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7F54057F"/>
    <w:multiLevelType w:val="hybridMultilevel"/>
    <w:tmpl w:val="1478A9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8"/>
  </w:num>
  <w:num w:numId="3">
    <w:abstractNumId w:val="34"/>
  </w:num>
  <w:num w:numId="4">
    <w:abstractNumId w:val="16"/>
  </w:num>
  <w:num w:numId="5">
    <w:abstractNumId w:val="8"/>
  </w:num>
  <w:num w:numId="6">
    <w:abstractNumId w:val="46"/>
  </w:num>
  <w:num w:numId="7">
    <w:abstractNumId w:val="28"/>
  </w:num>
  <w:num w:numId="8">
    <w:abstractNumId w:val="64"/>
  </w:num>
  <w:num w:numId="9">
    <w:abstractNumId w:val="54"/>
  </w:num>
  <w:num w:numId="10">
    <w:abstractNumId w:val="33"/>
  </w:num>
  <w:num w:numId="11">
    <w:abstractNumId w:val="45"/>
  </w:num>
  <w:num w:numId="12">
    <w:abstractNumId w:val="4"/>
  </w:num>
  <w:num w:numId="13">
    <w:abstractNumId w:val="26"/>
  </w:num>
  <w:num w:numId="14">
    <w:abstractNumId w:val="39"/>
  </w:num>
  <w:num w:numId="15">
    <w:abstractNumId w:val="69"/>
  </w:num>
  <w:num w:numId="16">
    <w:abstractNumId w:val="86"/>
  </w:num>
  <w:num w:numId="17">
    <w:abstractNumId w:val="63"/>
  </w:num>
  <w:num w:numId="18">
    <w:abstractNumId w:val="14"/>
  </w:num>
  <w:num w:numId="19">
    <w:abstractNumId w:val="65"/>
  </w:num>
  <w:num w:numId="20">
    <w:abstractNumId w:val="41"/>
  </w:num>
  <w:num w:numId="21">
    <w:abstractNumId w:val="12"/>
  </w:num>
  <w:num w:numId="22">
    <w:abstractNumId w:val="92"/>
  </w:num>
  <w:num w:numId="23">
    <w:abstractNumId w:val="88"/>
  </w:num>
  <w:num w:numId="24">
    <w:abstractNumId w:val="56"/>
  </w:num>
  <w:num w:numId="25">
    <w:abstractNumId w:val="93"/>
  </w:num>
  <w:num w:numId="26">
    <w:abstractNumId w:val="44"/>
  </w:num>
  <w:num w:numId="27">
    <w:abstractNumId w:val="76"/>
  </w:num>
  <w:num w:numId="28">
    <w:abstractNumId w:val="40"/>
  </w:num>
  <w:num w:numId="29">
    <w:abstractNumId w:val="91"/>
  </w:num>
  <w:num w:numId="30">
    <w:abstractNumId w:val="83"/>
  </w:num>
  <w:num w:numId="31">
    <w:abstractNumId w:val="79"/>
  </w:num>
  <w:num w:numId="32">
    <w:abstractNumId w:val="94"/>
  </w:num>
  <w:num w:numId="33">
    <w:abstractNumId w:val="11"/>
  </w:num>
  <w:num w:numId="34">
    <w:abstractNumId w:val="51"/>
  </w:num>
  <w:num w:numId="35">
    <w:abstractNumId w:val="61"/>
  </w:num>
  <w:num w:numId="36">
    <w:abstractNumId w:val="18"/>
  </w:num>
  <w:num w:numId="37">
    <w:abstractNumId w:val="82"/>
  </w:num>
  <w:num w:numId="38">
    <w:abstractNumId w:val="19"/>
  </w:num>
  <w:num w:numId="39">
    <w:abstractNumId w:val="74"/>
  </w:num>
  <w:num w:numId="40">
    <w:abstractNumId w:val="29"/>
  </w:num>
  <w:num w:numId="41">
    <w:abstractNumId w:val="38"/>
  </w:num>
  <w:num w:numId="42">
    <w:abstractNumId w:val="1"/>
  </w:num>
  <w:num w:numId="43">
    <w:abstractNumId w:val="62"/>
  </w:num>
  <w:num w:numId="44">
    <w:abstractNumId w:val="25"/>
  </w:num>
  <w:num w:numId="45">
    <w:abstractNumId w:val="78"/>
  </w:num>
  <w:num w:numId="46">
    <w:abstractNumId w:val="7"/>
  </w:num>
  <w:num w:numId="47">
    <w:abstractNumId w:val="35"/>
  </w:num>
  <w:num w:numId="48">
    <w:abstractNumId w:val="84"/>
  </w:num>
  <w:num w:numId="49">
    <w:abstractNumId w:val="13"/>
  </w:num>
  <w:num w:numId="50">
    <w:abstractNumId w:val="80"/>
  </w:num>
  <w:num w:numId="51">
    <w:abstractNumId w:val="77"/>
  </w:num>
  <w:num w:numId="52">
    <w:abstractNumId w:val="32"/>
  </w:num>
  <w:num w:numId="53">
    <w:abstractNumId w:val="70"/>
  </w:num>
  <w:num w:numId="54">
    <w:abstractNumId w:val="37"/>
  </w:num>
  <w:num w:numId="55">
    <w:abstractNumId w:val="72"/>
  </w:num>
  <w:num w:numId="56">
    <w:abstractNumId w:val="47"/>
  </w:num>
  <w:num w:numId="57">
    <w:abstractNumId w:val="22"/>
  </w:num>
  <w:num w:numId="58">
    <w:abstractNumId w:val="10"/>
  </w:num>
  <w:num w:numId="59">
    <w:abstractNumId w:val="20"/>
  </w:num>
  <w:num w:numId="60">
    <w:abstractNumId w:val="15"/>
  </w:num>
  <w:num w:numId="61">
    <w:abstractNumId w:val="60"/>
  </w:num>
  <w:num w:numId="62">
    <w:abstractNumId w:val="87"/>
  </w:num>
  <w:num w:numId="63">
    <w:abstractNumId w:val="30"/>
  </w:num>
  <w:num w:numId="64">
    <w:abstractNumId w:val="71"/>
  </w:num>
  <w:num w:numId="65">
    <w:abstractNumId w:val="58"/>
  </w:num>
  <w:num w:numId="66">
    <w:abstractNumId w:val="6"/>
  </w:num>
  <w:num w:numId="67">
    <w:abstractNumId w:val="3"/>
  </w:num>
  <w:num w:numId="68">
    <w:abstractNumId w:val="31"/>
  </w:num>
  <w:num w:numId="69">
    <w:abstractNumId w:val="23"/>
  </w:num>
  <w:num w:numId="70">
    <w:abstractNumId w:val="57"/>
  </w:num>
  <w:num w:numId="71">
    <w:abstractNumId w:val="67"/>
  </w:num>
  <w:num w:numId="72">
    <w:abstractNumId w:val="17"/>
  </w:num>
  <w:num w:numId="73">
    <w:abstractNumId w:val="89"/>
  </w:num>
  <w:num w:numId="74">
    <w:abstractNumId w:val="55"/>
  </w:num>
  <w:num w:numId="75">
    <w:abstractNumId w:val="21"/>
  </w:num>
  <w:num w:numId="76">
    <w:abstractNumId w:val="27"/>
  </w:num>
  <w:num w:numId="77">
    <w:abstractNumId w:val="52"/>
  </w:num>
  <w:num w:numId="78">
    <w:abstractNumId w:val="36"/>
  </w:num>
  <w:num w:numId="79">
    <w:abstractNumId w:val="59"/>
  </w:num>
  <w:num w:numId="80">
    <w:abstractNumId w:val="53"/>
  </w:num>
  <w:num w:numId="81">
    <w:abstractNumId w:val="73"/>
  </w:num>
  <w:num w:numId="82">
    <w:abstractNumId w:val="66"/>
  </w:num>
  <w:num w:numId="83">
    <w:abstractNumId w:val="85"/>
  </w:num>
  <w:num w:numId="84">
    <w:abstractNumId w:val="2"/>
  </w:num>
  <w:num w:numId="85">
    <w:abstractNumId w:val="9"/>
  </w:num>
  <w:num w:numId="86">
    <w:abstractNumId w:val="0"/>
  </w:num>
  <w:num w:numId="87">
    <w:abstractNumId w:val="50"/>
  </w:num>
  <w:num w:numId="88">
    <w:abstractNumId w:val="24"/>
  </w:num>
  <w:num w:numId="89">
    <w:abstractNumId w:val="43"/>
  </w:num>
  <w:num w:numId="90">
    <w:abstractNumId w:val="49"/>
  </w:num>
  <w:num w:numId="91">
    <w:abstractNumId w:val="75"/>
  </w:num>
  <w:num w:numId="92">
    <w:abstractNumId w:val="42"/>
  </w:num>
  <w:num w:numId="93">
    <w:abstractNumId w:val="90"/>
  </w:num>
  <w:num w:numId="94">
    <w:abstractNumId w:val="81"/>
  </w:num>
  <w:num w:numId="95">
    <w:abstractNumId w:val="48"/>
  </w:num>
  <w:num w:numId="96">
    <w:abstractNumId w:val="4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3"/>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B0"/>
    <w:rsid w:val="00000707"/>
    <w:rsid w:val="000007D0"/>
    <w:rsid w:val="00000E3E"/>
    <w:rsid w:val="00001B6A"/>
    <w:rsid w:val="00001C3B"/>
    <w:rsid w:val="0000213B"/>
    <w:rsid w:val="000024C4"/>
    <w:rsid w:val="00004DD1"/>
    <w:rsid w:val="000070B3"/>
    <w:rsid w:val="00010449"/>
    <w:rsid w:val="000123FF"/>
    <w:rsid w:val="00012C75"/>
    <w:rsid w:val="00014D6B"/>
    <w:rsid w:val="00015FED"/>
    <w:rsid w:val="0002086F"/>
    <w:rsid w:val="00020C7F"/>
    <w:rsid w:val="00022AF4"/>
    <w:rsid w:val="000237B6"/>
    <w:rsid w:val="000240DB"/>
    <w:rsid w:val="000250AF"/>
    <w:rsid w:val="00026AF9"/>
    <w:rsid w:val="00026CC3"/>
    <w:rsid w:val="00026FA7"/>
    <w:rsid w:val="00030895"/>
    <w:rsid w:val="00030A1C"/>
    <w:rsid w:val="0003122F"/>
    <w:rsid w:val="000322C6"/>
    <w:rsid w:val="000331B6"/>
    <w:rsid w:val="000337C3"/>
    <w:rsid w:val="00033DE3"/>
    <w:rsid w:val="00036334"/>
    <w:rsid w:val="0003670C"/>
    <w:rsid w:val="000400C9"/>
    <w:rsid w:val="0004044E"/>
    <w:rsid w:val="00041991"/>
    <w:rsid w:val="00041CAB"/>
    <w:rsid w:val="00042209"/>
    <w:rsid w:val="00042343"/>
    <w:rsid w:val="00044002"/>
    <w:rsid w:val="00044663"/>
    <w:rsid w:val="00044882"/>
    <w:rsid w:val="000458AB"/>
    <w:rsid w:val="00047509"/>
    <w:rsid w:val="00047ECB"/>
    <w:rsid w:val="00052C26"/>
    <w:rsid w:val="000530B0"/>
    <w:rsid w:val="00053E3D"/>
    <w:rsid w:val="0005529B"/>
    <w:rsid w:val="000552BA"/>
    <w:rsid w:val="0005599D"/>
    <w:rsid w:val="00055CF1"/>
    <w:rsid w:val="00057510"/>
    <w:rsid w:val="000577A2"/>
    <w:rsid w:val="000578CE"/>
    <w:rsid w:val="00057CC1"/>
    <w:rsid w:val="00060CC3"/>
    <w:rsid w:val="000614F9"/>
    <w:rsid w:val="0006182E"/>
    <w:rsid w:val="00061FE8"/>
    <w:rsid w:val="00062809"/>
    <w:rsid w:val="00063E4F"/>
    <w:rsid w:val="00064AEC"/>
    <w:rsid w:val="00065366"/>
    <w:rsid w:val="00066486"/>
    <w:rsid w:val="00066A81"/>
    <w:rsid w:val="00067664"/>
    <w:rsid w:val="000700AE"/>
    <w:rsid w:val="0007094D"/>
    <w:rsid w:val="00070E7C"/>
    <w:rsid w:val="00070E9C"/>
    <w:rsid w:val="000717D8"/>
    <w:rsid w:val="000725E2"/>
    <w:rsid w:val="00073240"/>
    <w:rsid w:val="0007369A"/>
    <w:rsid w:val="000739B8"/>
    <w:rsid w:val="00073F1C"/>
    <w:rsid w:val="00076315"/>
    <w:rsid w:val="000778B0"/>
    <w:rsid w:val="00080C1D"/>
    <w:rsid w:val="00081620"/>
    <w:rsid w:val="0008170D"/>
    <w:rsid w:val="00082526"/>
    <w:rsid w:val="00083B03"/>
    <w:rsid w:val="00083E0A"/>
    <w:rsid w:val="000844C7"/>
    <w:rsid w:val="0008522C"/>
    <w:rsid w:val="00085512"/>
    <w:rsid w:val="000867AE"/>
    <w:rsid w:val="0008739D"/>
    <w:rsid w:val="00092AAA"/>
    <w:rsid w:val="000934F5"/>
    <w:rsid w:val="0009447E"/>
    <w:rsid w:val="0009501B"/>
    <w:rsid w:val="000A0410"/>
    <w:rsid w:val="000A07C4"/>
    <w:rsid w:val="000A1AE3"/>
    <w:rsid w:val="000A2749"/>
    <w:rsid w:val="000A2BE2"/>
    <w:rsid w:val="000A3F94"/>
    <w:rsid w:val="000A4299"/>
    <w:rsid w:val="000A52D3"/>
    <w:rsid w:val="000A55DD"/>
    <w:rsid w:val="000A6240"/>
    <w:rsid w:val="000A7DE4"/>
    <w:rsid w:val="000B04F0"/>
    <w:rsid w:val="000B14A2"/>
    <w:rsid w:val="000B16B9"/>
    <w:rsid w:val="000B1A6C"/>
    <w:rsid w:val="000B1E74"/>
    <w:rsid w:val="000B296C"/>
    <w:rsid w:val="000B2BF1"/>
    <w:rsid w:val="000B2E6F"/>
    <w:rsid w:val="000B48B3"/>
    <w:rsid w:val="000B4B05"/>
    <w:rsid w:val="000B4CA4"/>
    <w:rsid w:val="000B4F08"/>
    <w:rsid w:val="000B523D"/>
    <w:rsid w:val="000C0F58"/>
    <w:rsid w:val="000C11C1"/>
    <w:rsid w:val="000C2736"/>
    <w:rsid w:val="000C2E70"/>
    <w:rsid w:val="000C551E"/>
    <w:rsid w:val="000C5C1E"/>
    <w:rsid w:val="000C665A"/>
    <w:rsid w:val="000C76F0"/>
    <w:rsid w:val="000C7982"/>
    <w:rsid w:val="000D15C3"/>
    <w:rsid w:val="000D1E7C"/>
    <w:rsid w:val="000D2CFD"/>
    <w:rsid w:val="000D3829"/>
    <w:rsid w:val="000D4718"/>
    <w:rsid w:val="000D50FA"/>
    <w:rsid w:val="000D5808"/>
    <w:rsid w:val="000D585A"/>
    <w:rsid w:val="000D5FFB"/>
    <w:rsid w:val="000D6EC1"/>
    <w:rsid w:val="000D706F"/>
    <w:rsid w:val="000D7574"/>
    <w:rsid w:val="000D7C5E"/>
    <w:rsid w:val="000E01CC"/>
    <w:rsid w:val="000E038D"/>
    <w:rsid w:val="000E0B58"/>
    <w:rsid w:val="000E0CE7"/>
    <w:rsid w:val="000E1187"/>
    <w:rsid w:val="000E63C2"/>
    <w:rsid w:val="000E78D4"/>
    <w:rsid w:val="000F3A05"/>
    <w:rsid w:val="000F3A68"/>
    <w:rsid w:val="000F4C35"/>
    <w:rsid w:val="000F5490"/>
    <w:rsid w:val="000F72FA"/>
    <w:rsid w:val="00100CB2"/>
    <w:rsid w:val="001014C3"/>
    <w:rsid w:val="0010187E"/>
    <w:rsid w:val="001019FC"/>
    <w:rsid w:val="00102A41"/>
    <w:rsid w:val="00102B81"/>
    <w:rsid w:val="00103B43"/>
    <w:rsid w:val="00103F05"/>
    <w:rsid w:val="00105907"/>
    <w:rsid w:val="00106B83"/>
    <w:rsid w:val="00107538"/>
    <w:rsid w:val="00107B73"/>
    <w:rsid w:val="00110067"/>
    <w:rsid w:val="00110A44"/>
    <w:rsid w:val="00111013"/>
    <w:rsid w:val="00112029"/>
    <w:rsid w:val="00112128"/>
    <w:rsid w:val="0011548D"/>
    <w:rsid w:val="001157FC"/>
    <w:rsid w:val="001163F5"/>
    <w:rsid w:val="0011660C"/>
    <w:rsid w:val="00116A7E"/>
    <w:rsid w:val="0011721E"/>
    <w:rsid w:val="0012012C"/>
    <w:rsid w:val="00122FC6"/>
    <w:rsid w:val="00123256"/>
    <w:rsid w:val="00123BA0"/>
    <w:rsid w:val="00124B85"/>
    <w:rsid w:val="00125849"/>
    <w:rsid w:val="00125A76"/>
    <w:rsid w:val="00125B49"/>
    <w:rsid w:val="00126230"/>
    <w:rsid w:val="0012649C"/>
    <w:rsid w:val="001274DE"/>
    <w:rsid w:val="00133DBD"/>
    <w:rsid w:val="00134CC9"/>
    <w:rsid w:val="001357EA"/>
    <w:rsid w:val="00136375"/>
    <w:rsid w:val="001370A2"/>
    <w:rsid w:val="00137CF7"/>
    <w:rsid w:val="001400B7"/>
    <w:rsid w:val="00140CA4"/>
    <w:rsid w:val="001410CD"/>
    <w:rsid w:val="00141E28"/>
    <w:rsid w:val="001445A6"/>
    <w:rsid w:val="001445B3"/>
    <w:rsid w:val="001447C9"/>
    <w:rsid w:val="0014549B"/>
    <w:rsid w:val="00145748"/>
    <w:rsid w:val="00145784"/>
    <w:rsid w:val="00146C67"/>
    <w:rsid w:val="001476EB"/>
    <w:rsid w:val="00150C96"/>
    <w:rsid w:val="0015138E"/>
    <w:rsid w:val="00151571"/>
    <w:rsid w:val="00151D9E"/>
    <w:rsid w:val="00152A0C"/>
    <w:rsid w:val="00153246"/>
    <w:rsid w:val="0015339B"/>
    <w:rsid w:val="0015388B"/>
    <w:rsid w:val="001548EA"/>
    <w:rsid w:val="0015563A"/>
    <w:rsid w:val="00155F4A"/>
    <w:rsid w:val="001608B5"/>
    <w:rsid w:val="001609DC"/>
    <w:rsid w:val="001614B7"/>
    <w:rsid w:val="00161BB6"/>
    <w:rsid w:val="00161C5E"/>
    <w:rsid w:val="00161E70"/>
    <w:rsid w:val="001625A9"/>
    <w:rsid w:val="00162648"/>
    <w:rsid w:val="00163942"/>
    <w:rsid w:val="0016420A"/>
    <w:rsid w:val="00167510"/>
    <w:rsid w:val="00170217"/>
    <w:rsid w:val="0017147D"/>
    <w:rsid w:val="00174835"/>
    <w:rsid w:val="00174BE6"/>
    <w:rsid w:val="001751B1"/>
    <w:rsid w:val="00175AFE"/>
    <w:rsid w:val="00176FE0"/>
    <w:rsid w:val="0017774C"/>
    <w:rsid w:val="00180240"/>
    <w:rsid w:val="0018119A"/>
    <w:rsid w:val="00186BFA"/>
    <w:rsid w:val="00186FF5"/>
    <w:rsid w:val="0019037E"/>
    <w:rsid w:val="001904A6"/>
    <w:rsid w:val="00190806"/>
    <w:rsid w:val="00191594"/>
    <w:rsid w:val="001917A7"/>
    <w:rsid w:val="00192C1D"/>
    <w:rsid w:val="001936DB"/>
    <w:rsid w:val="00195030"/>
    <w:rsid w:val="00196082"/>
    <w:rsid w:val="00197B0D"/>
    <w:rsid w:val="001A1D4D"/>
    <w:rsid w:val="001A3292"/>
    <w:rsid w:val="001A365F"/>
    <w:rsid w:val="001A3AC3"/>
    <w:rsid w:val="001A3BE2"/>
    <w:rsid w:val="001A4787"/>
    <w:rsid w:val="001A6630"/>
    <w:rsid w:val="001A66BB"/>
    <w:rsid w:val="001A679B"/>
    <w:rsid w:val="001A6DB4"/>
    <w:rsid w:val="001A7660"/>
    <w:rsid w:val="001A7F10"/>
    <w:rsid w:val="001B1667"/>
    <w:rsid w:val="001B3675"/>
    <w:rsid w:val="001B3F2D"/>
    <w:rsid w:val="001B49CE"/>
    <w:rsid w:val="001B5973"/>
    <w:rsid w:val="001B659E"/>
    <w:rsid w:val="001B6FF5"/>
    <w:rsid w:val="001C029E"/>
    <w:rsid w:val="001C09FC"/>
    <w:rsid w:val="001C1231"/>
    <w:rsid w:val="001C1C4A"/>
    <w:rsid w:val="001C1F02"/>
    <w:rsid w:val="001C1F69"/>
    <w:rsid w:val="001C2246"/>
    <w:rsid w:val="001C27A0"/>
    <w:rsid w:val="001C4C20"/>
    <w:rsid w:val="001C5699"/>
    <w:rsid w:val="001C5EDC"/>
    <w:rsid w:val="001C66FD"/>
    <w:rsid w:val="001C6F7A"/>
    <w:rsid w:val="001C7C51"/>
    <w:rsid w:val="001D0182"/>
    <w:rsid w:val="001D10A0"/>
    <w:rsid w:val="001D14AE"/>
    <w:rsid w:val="001D1719"/>
    <w:rsid w:val="001D2F61"/>
    <w:rsid w:val="001D4AF6"/>
    <w:rsid w:val="001D5DB8"/>
    <w:rsid w:val="001D76D7"/>
    <w:rsid w:val="001D7EB9"/>
    <w:rsid w:val="001D7FA9"/>
    <w:rsid w:val="001E0694"/>
    <w:rsid w:val="001E094F"/>
    <w:rsid w:val="001E1102"/>
    <w:rsid w:val="001E3243"/>
    <w:rsid w:val="001E3D07"/>
    <w:rsid w:val="001E4930"/>
    <w:rsid w:val="001E5733"/>
    <w:rsid w:val="001E7CCF"/>
    <w:rsid w:val="001F2E01"/>
    <w:rsid w:val="001F3577"/>
    <w:rsid w:val="001F44A6"/>
    <w:rsid w:val="001F49BE"/>
    <w:rsid w:val="001F6C9F"/>
    <w:rsid w:val="002007F1"/>
    <w:rsid w:val="002024BA"/>
    <w:rsid w:val="00203C07"/>
    <w:rsid w:val="00203FBB"/>
    <w:rsid w:val="00204424"/>
    <w:rsid w:val="0020466D"/>
    <w:rsid w:val="00204F6F"/>
    <w:rsid w:val="00207966"/>
    <w:rsid w:val="00210F2E"/>
    <w:rsid w:val="00211AE6"/>
    <w:rsid w:val="00212AC5"/>
    <w:rsid w:val="0021322A"/>
    <w:rsid w:val="0021421D"/>
    <w:rsid w:val="0021711E"/>
    <w:rsid w:val="00220374"/>
    <w:rsid w:val="002203BF"/>
    <w:rsid w:val="00220925"/>
    <w:rsid w:val="00221363"/>
    <w:rsid w:val="0022231F"/>
    <w:rsid w:val="00222B75"/>
    <w:rsid w:val="0022300A"/>
    <w:rsid w:val="00223CF0"/>
    <w:rsid w:val="00227387"/>
    <w:rsid w:val="0023021B"/>
    <w:rsid w:val="002321BA"/>
    <w:rsid w:val="00232719"/>
    <w:rsid w:val="00232B1B"/>
    <w:rsid w:val="00233027"/>
    <w:rsid w:val="0023316B"/>
    <w:rsid w:val="002344A9"/>
    <w:rsid w:val="002345F1"/>
    <w:rsid w:val="00234FBB"/>
    <w:rsid w:val="00235064"/>
    <w:rsid w:val="002362CF"/>
    <w:rsid w:val="00236E18"/>
    <w:rsid w:val="00240DD5"/>
    <w:rsid w:val="0024108A"/>
    <w:rsid w:val="00241661"/>
    <w:rsid w:val="002426FB"/>
    <w:rsid w:val="0024531D"/>
    <w:rsid w:val="00245D22"/>
    <w:rsid w:val="002465EB"/>
    <w:rsid w:val="00246B8D"/>
    <w:rsid w:val="00250CC8"/>
    <w:rsid w:val="00251186"/>
    <w:rsid w:val="0025122D"/>
    <w:rsid w:val="00251A9A"/>
    <w:rsid w:val="0025353E"/>
    <w:rsid w:val="002538AC"/>
    <w:rsid w:val="00254D81"/>
    <w:rsid w:val="002557B7"/>
    <w:rsid w:val="002568A2"/>
    <w:rsid w:val="0025717F"/>
    <w:rsid w:val="002604E3"/>
    <w:rsid w:val="00260776"/>
    <w:rsid w:val="00260ED6"/>
    <w:rsid w:val="00261242"/>
    <w:rsid w:val="002623B9"/>
    <w:rsid w:val="0026271A"/>
    <w:rsid w:val="00266654"/>
    <w:rsid w:val="00266942"/>
    <w:rsid w:val="00267BA8"/>
    <w:rsid w:val="00270590"/>
    <w:rsid w:val="00271DD0"/>
    <w:rsid w:val="00274A09"/>
    <w:rsid w:val="00274E39"/>
    <w:rsid w:val="002766EF"/>
    <w:rsid w:val="00277335"/>
    <w:rsid w:val="0027795B"/>
    <w:rsid w:val="00280D1D"/>
    <w:rsid w:val="00281257"/>
    <w:rsid w:val="0028168C"/>
    <w:rsid w:val="00281840"/>
    <w:rsid w:val="0028219B"/>
    <w:rsid w:val="00282793"/>
    <w:rsid w:val="00283292"/>
    <w:rsid w:val="00284334"/>
    <w:rsid w:val="0028523D"/>
    <w:rsid w:val="00285EC7"/>
    <w:rsid w:val="00285F1C"/>
    <w:rsid w:val="002908F6"/>
    <w:rsid w:val="0029265F"/>
    <w:rsid w:val="00292881"/>
    <w:rsid w:val="00292A75"/>
    <w:rsid w:val="00296337"/>
    <w:rsid w:val="00297E37"/>
    <w:rsid w:val="002A2453"/>
    <w:rsid w:val="002A297A"/>
    <w:rsid w:val="002A4773"/>
    <w:rsid w:val="002A4809"/>
    <w:rsid w:val="002A4C5B"/>
    <w:rsid w:val="002B0A1C"/>
    <w:rsid w:val="002B0DF6"/>
    <w:rsid w:val="002B365A"/>
    <w:rsid w:val="002B3902"/>
    <w:rsid w:val="002B3E77"/>
    <w:rsid w:val="002B4C33"/>
    <w:rsid w:val="002B5E19"/>
    <w:rsid w:val="002B5E8A"/>
    <w:rsid w:val="002B6AE7"/>
    <w:rsid w:val="002B6CF7"/>
    <w:rsid w:val="002B7CA4"/>
    <w:rsid w:val="002C1F72"/>
    <w:rsid w:val="002C26CD"/>
    <w:rsid w:val="002C2EE2"/>
    <w:rsid w:val="002C3AE8"/>
    <w:rsid w:val="002C45ED"/>
    <w:rsid w:val="002C4C03"/>
    <w:rsid w:val="002C6B47"/>
    <w:rsid w:val="002C7D16"/>
    <w:rsid w:val="002D0054"/>
    <w:rsid w:val="002D0659"/>
    <w:rsid w:val="002D1ECD"/>
    <w:rsid w:val="002D3444"/>
    <w:rsid w:val="002D43EF"/>
    <w:rsid w:val="002D4630"/>
    <w:rsid w:val="002D5D26"/>
    <w:rsid w:val="002E01B8"/>
    <w:rsid w:val="002E0389"/>
    <w:rsid w:val="002E0C12"/>
    <w:rsid w:val="002E0C1B"/>
    <w:rsid w:val="002E0CF3"/>
    <w:rsid w:val="002E18B4"/>
    <w:rsid w:val="002E31C8"/>
    <w:rsid w:val="002E39FA"/>
    <w:rsid w:val="002E4191"/>
    <w:rsid w:val="002E43CA"/>
    <w:rsid w:val="002E47BA"/>
    <w:rsid w:val="002E5B56"/>
    <w:rsid w:val="002E650F"/>
    <w:rsid w:val="002E6836"/>
    <w:rsid w:val="002E740B"/>
    <w:rsid w:val="002E7CE3"/>
    <w:rsid w:val="002F466B"/>
    <w:rsid w:val="002F4FCE"/>
    <w:rsid w:val="002F5186"/>
    <w:rsid w:val="002F5489"/>
    <w:rsid w:val="002F7126"/>
    <w:rsid w:val="002F75E2"/>
    <w:rsid w:val="002F7C62"/>
    <w:rsid w:val="002F7C8F"/>
    <w:rsid w:val="00301880"/>
    <w:rsid w:val="00301951"/>
    <w:rsid w:val="003022F9"/>
    <w:rsid w:val="00302A94"/>
    <w:rsid w:val="003043CE"/>
    <w:rsid w:val="003059FD"/>
    <w:rsid w:val="0030723F"/>
    <w:rsid w:val="003077A3"/>
    <w:rsid w:val="00312F2F"/>
    <w:rsid w:val="0031314D"/>
    <w:rsid w:val="003136D1"/>
    <w:rsid w:val="00316028"/>
    <w:rsid w:val="003165E4"/>
    <w:rsid w:val="00321312"/>
    <w:rsid w:val="003225C8"/>
    <w:rsid w:val="00323893"/>
    <w:rsid w:val="00324033"/>
    <w:rsid w:val="003244D0"/>
    <w:rsid w:val="00324FD0"/>
    <w:rsid w:val="00325665"/>
    <w:rsid w:val="00330A89"/>
    <w:rsid w:val="0033222E"/>
    <w:rsid w:val="0033443E"/>
    <w:rsid w:val="00334600"/>
    <w:rsid w:val="00334735"/>
    <w:rsid w:val="00334A3F"/>
    <w:rsid w:val="0033523B"/>
    <w:rsid w:val="003352CF"/>
    <w:rsid w:val="003358A6"/>
    <w:rsid w:val="0033660D"/>
    <w:rsid w:val="0033664A"/>
    <w:rsid w:val="00336753"/>
    <w:rsid w:val="003369EB"/>
    <w:rsid w:val="00336FC5"/>
    <w:rsid w:val="00337698"/>
    <w:rsid w:val="0034003F"/>
    <w:rsid w:val="00341C78"/>
    <w:rsid w:val="00344949"/>
    <w:rsid w:val="003452C8"/>
    <w:rsid w:val="003455A2"/>
    <w:rsid w:val="00346963"/>
    <w:rsid w:val="0035176B"/>
    <w:rsid w:val="00351EFD"/>
    <w:rsid w:val="0035315A"/>
    <w:rsid w:val="00354546"/>
    <w:rsid w:val="0035455F"/>
    <w:rsid w:val="0035670F"/>
    <w:rsid w:val="0035683D"/>
    <w:rsid w:val="003606DE"/>
    <w:rsid w:val="003608FF"/>
    <w:rsid w:val="0036144D"/>
    <w:rsid w:val="00361898"/>
    <w:rsid w:val="003628A1"/>
    <w:rsid w:val="00362970"/>
    <w:rsid w:val="003635D3"/>
    <w:rsid w:val="00364794"/>
    <w:rsid w:val="00364B4D"/>
    <w:rsid w:val="00365521"/>
    <w:rsid w:val="003659E5"/>
    <w:rsid w:val="003701E7"/>
    <w:rsid w:val="0037056F"/>
    <w:rsid w:val="00370F9D"/>
    <w:rsid w:val="003723E5"/>
    <w:rsid w:val="0037275E"/>
    <w:rsid w:val="00372D3E"/>
    <w:rsid w:val="00373742"/>
    <w:rsid w:val="00373EA6"/>
    <w:rsid w:val="00374939"/>
    <w:rsid w:val="00374BAB"/>
    <w:rsid w:val="003754F5"/>
    <w:rsid w:val="00375915"/>
    <w:rsid w:val="003765DA"/>
    <w:rsid w:val="00380662"/>
    <w:rsid w:val="00381983"/>
    <w:rsid w:val="00382681"/>
    <w:rsid w:val="003828AE"/>
    <w:rsid w:val="00384BA8"/>
    <w:rsid w:val="00384FBA"/>
    <w:rsid w:val="00386542"/>
    <w:rsid w:val="00386775"/>
    <w:rsid w:val="00386F52"/>
    <w:rsid w:val="0038722E"/>
    <w:rsid w:val="003876D6"/>
    <w:rsid w:val="003879BD"/>
    <w:rsid w:val="00390506"/>
    <w:rsid w:val="00391856"/>
    <w:rsid w:val="00391D13"/>
    <w:rsid w:val="00392B59"/>
    <w:rsid w:val="00393AAD"/>
    <w:rsid w:val="00393BE5"/>
    <w:rsid w:val="00394C11"/>
    <w:rsid w:val="00394C67"/>
    <w:rsid w:val="003952F5"/>
    <w:rsid w:val="00397DAA"/>
    <w:rsid w:val="003A0069"/>
    <w:rsid w:val="003A0356"/>
    <w:rsid w:val="003A0C21"/>
    <w:rsid w:val="003A135A"/>
    <w:rsid w:val="003A1C84"/>
    <w:rsid w:val="003A3190"/>
    <w:rsid w:val="003A5161"/>
    <w:rsid w:val="003A5E2F"/>
    <w:rsid w:val="003A6961"/>
    <w:rsid w:val="003A6D28"/>
    <w:rsid w:val="003A6E85"/>
    <w:rsid w:val="003A6FA1"/>
    <w:rsid w:val="003B0929"/>
    <w:rsid w:val="003B1021"/>
    <w:rsid w:val="003B2CBE"/>
    <w:rsid w:val="003B303D"/>
    <w:rsid w:val="003B4C8C"/>
    <w:rsid w:val="003B5AA2"/>
    <w:rsid w:val="003B66E2"/>
    <w:rsid w:val="003B77B8"/>
    <w:rsid w:val="003C0408"/>
    <w:rsid w:val="003C0E51"/>
    <w:rsid w:val="003C212C"/>
    <w:rsid w:val="003C2482"/>
    <w:rsid w:val="003C333D"/>
    <w:rsid w:val="003C34CC"/>
    <w:rsid w:val="003C5C52"/>
    <w:rsid w:val="003C5D2D"/>
    <w:rsid w:val="003C7AC9"/>
    <w:rsid w:val="003D191E"/>
    <w:rsid w:val="003D2880"/>
    <w:rsid w:val="003D46A4"/>
    <w:rsid w:val="003D48C8"/>
    <w:rsid w:val="003D4996"/>
    <w:rsid w:val="003D5989"/>
    <w:rsid w:val="003D651C"/>
    <w:rsid w:val="003D6BE5"/>
    <w:rsid w:val="003D7568"/>
    <w:rsid w:val="003D77DC"/>
    <w:rsid w:val="003E1134"/>
    <w:rsid w:val="003E1D1A"/>
    <w:rsid w:val="003E2D65"/>
    <w:rsid w:val="003E3481"/>
    <w:rsid w:val="003E3A3A"/>
    <w:rsid w:val="003E3EB4"/>
    <w:rsid w:val="003E4350"/>
    <w:rsid w:val="003E437B"/>
    <w:rsid w:val="003E6AAF"/>
    <w:rsid w:val="003E7B78"/>
    <w:rsid w:val="003F15B3"/>
    <w:rsid w:val="003F1711"/>
    <w:rsid w:val="003F1EAB"/>
    <w:rsid w:val="003F278B"/>
    <w:rsid w:val="003F55E9"/>
    <w:rsid w:val="003F58A7"/>
    <w:rsid w:val="003F5CF7"/>
    <w:rsid w:val="003F6375"/>
    <w:rsid w:val="003F6B5F"/>
    <w:rsid w:val="003F72B1"/>
    <w:rsid w:val="004008B6"/>
    <w:rsid w:val="00401231"/>
    <w:rsid w:val="00403470"/>
    <w:rsid w:val="004044A9"/>
    <w:rsid w:val="004046B3"/>
    <w:rsid w:val="004047C5"/>
    <w:rsid w:val="00404D21"/>
    <w:rsid w:val="00405A56"/>
    <w:rsid w:val="0040633C"/>
    <w:rsid w:val="004063C5"/>
    <w:rsid w:val="004069BD"/>
    <w:rsid w:val="004071C5"/>
    <w:rsid w:val="00407F8C"/>
    <w:rsid w:val="00410EE2"/>
    <w:rsid w:val="00412CF4"/>
    <w:rsid w:val="004160B9"/>
    <w:rsid w:val="0041668A"/>
    <w:rsid w:val="0041687F"/>
    <w:rsid w:val="00416FA7"/>
    <w:rsid w:val="004178EB"/>
    <w:rsid w:val="004203BE"/>
    <w:rsid w:val="00420FE4"/>
    <w:rsid w:val="00421991"/>
    <w:rsid w:val="00422649"/>
    <w:rsid w:val="00422827"/>
    <w:rsid w:val="00424476"/>
    <w:rsid w:val="00424720"/>
    <w:rsid w:val="00425C6B"/>
    <w:rsid w:val="004275E0"/>
    <w:rsid w:val="00427FDD"/>
    <w:rsid w:val="004303BF"/>
    <w:rsid w:val="004308E4"/>
    <w:rsid w:val="00430930"/>
    <w:rsid w:val="004316A4"/>
    <w:rsid w:val="00432726"/>
    <w:rsid w:val="0043407D"/>
    <w:rsid w:val="00434AE7"/>
    <w:rsid w:val="00435879"/>
    <w:rsid w:val="004369F0"/>
    <w:rsid w:val="00436FED"/>
    <w:rsid w:val="004375A9"/>
    <w:rsid w:val="0044155F"/>
    <w:rsid w:val="00442664"/>
    <w:rsid w:val="00443B82"/>
    <w:rsid w:val="00443E36"/>
    <w:rsid w:val="0044545A"/>
    <w:rsid w:val="00446173"/>
    <w:rsid w:val="00447BB6"/>
    <w:rsid w:val="00447FEB"/>
    <w:rsid w:val="0045046C"/>
    <w:rsid w:val="00450513"/>
    <w:rsid w:val="00452E9E"/>
    <w:rsid w:val="00454F60"/>
    <w:rsid w:val="0045623F"/>
    <w:rsid w:val="00456384"/>
    <w:rsid w:val="004566A9"/>
    <w:rsid w:val="00457A66"/>
    <w:rsid w:val="00460659"/>
    <w:rsid w:val="00460888"/>
    <w:rsid w:val="00460DC2"/>
    <w:rsid w:val="00461BA0"/>
    <w:rsid w:val="00463961"/>
    <w:rsid w:val="004646A1"/>
    <w:rsid w:val="00464FB9"/>
    <w:rsid w:val="004665BB"/>
    <w:rsid w:val="004676B5"/>
    <w:rsid w:val="00467E50"/>
    <w:rsid w:val="0047051A"/>
    <w:rsid w:val="00470DA1"/>
    <w:rsid w:val="00471C7E"/>
    <w:rsid w:val="00472227"/>
    <w:rsid w:val="004736CC"/>
    <w:rsid w:val="0047407E"/>
    <w:rsid w:val="00474B48"/>
    <w:rsid w:val="0047568F"/>
    <w:rsid w:val="00476B1D"/>
    <w:rsid w:val="00477113"/>
    <w:rsid w:val="0047778B"/>
    <w:rsid w:val="0048018F"/>
    <w:rsid w:val="0048068E"/>
    <w:rsid w:val="00480750"/>
    <w:rsid w:val="0048089B"/>
    <w:rsid w:val="004819FF"/>
    <w:rsid w:val="004828B8"/>
    <w:rsid w:val="00482CCC"/>
    <w:rsid w:val="004830E2"/>
    <w:rsid w:val="00483388"/>
    <w:rsid w:val="00483FC5"/>
    <w:rsid w:val="00485346"/>
    <w:rsid w:val="0048549C"/>
    <w:rsid w:val="004858A3"/>
    <w:rsid w:val="00486123"/>
    <w:rsid w:val="00487ED8"/>
    <w:rsid w:val="00490226"/>
    <w:rsid w:val="004905FE"/>
    <w:rsid w:val="00493302"/>
    <w:rsid w:val="004939D0"/>
    <w:rsid w:val="004945AA"/>
    <w:rsid w:val="00494815"/>
    <w:rsid w:val="004965B5"/>
    <w:rsid w:val="0049676B"/>
    <w:rsid w:val="00497C58"/>
    <w:rsid w:val="004A330C"/>
    <w:rsid w:val="004A456E"/>
    <w:rsid w:val="004A5CFA"/>
    <w:rsid w:val="004A655B"/>
    <w:rsid w:val="004A6907"/>
    <w:rsid w:val="004A7005"/>
    <w:rsid w:val="004B16C0"/>
    <w:rsid w:val="004B16D3"/>
    <w:rsid w:val="004B22F5"/>
    <w:rsid w:val="004B2D9B"/>
    <w:rsid w:val="004B3C38"/>
    <w:rsid w:val="004B42FF"/>
    <w:rsid w:val="004B4EA0"/>
    <w:rsid w:val="004B6ACC"/>
    <w:rsid w:val="004C272D"/>
    <w:rsid w:val="004C56A9"/>
    <w:rsid w:val="004C587B"/>
    <w:rsid w:val="004C696F"/>
    <w:rsid w:val="004C6F20"/>
    <w:rsid w:val="004C780F"/>
    <w:rsid w:val="004D01EF"/>
    <w:rsid w:val="004D07FA"/>
    <w:rsid w:val="004D0A9B"/>
    <w:rsid w:val="004D1D1C"/>
    <w:rsid w:val="004D2805"/>
    <w:rsid w:val="004D2C46"/>
    <w:rsid w:val="004D384A"/>
    <w:rsid w:val="004D3DBE"/>
    <w:rsid w:val="004D5D44"/>
    <w:rsid w:val="004D7823"/>
    <w:rsid w:val="004E08EB"/>
    <w:rsid w:val="004E1C8A"/>
    <w:rsid w:val="004E1DD0"/>
    <w:rsid w:val="004E4904"/>
    <w:rsid w:val="004E4DD2"/>
    <w:rsid w:val="004E6745"/>
    <w:rsid w:val="004E6AF8"/>
    <w:rsid w:val="004E7F8C"/>
    <w:rsid w:val="004F006A"/>
    <w:rsid w:val="004F042E"/>
    <w:rsid w:val="004F098B"/>
    <w:rsid w:val="004F0D3A"/>
    <w:rsid w:val="004F53B3"/>
    <w:rsid w:val="004F53E7"/>
    <w:rsid w:val="004F54CE"/>
    <w:rsid w:val="004F6705"/>
    <w:rsid w:val="004F7741"/>
    <w:rsid w:val="004F7B6D"/>
    <w:rsid w:val="004F7B82"/>
    <w:rsid w:val="004F7C76"/>
    <w:rsid w:val="0050003A"/>
    <w:rsid w:val="0050197A"/>
    <w:rsid w:val="00501C10"/>
    <w:rsid w:val="005027B0"/>
    <w:rsid w:val="00506328"/>
    <w:rsid w:val="005076B0"/>
    <w:rsid w:val="00507B8A"/>
    <w:rsid w:val="005114C3"/>
    <w:rsid w:val="00512BAC"/>
    <w:rsid w:val="0051519A"/>
    <w:rsid w:val="00515527"/>
    <w:rsid w:val="0051775F"/>
    <w:rsid w:val="00517C59"/>
    <w:rsid w:val="00517EA5"/>
    <w:rsid w:val="0052074C"/>
    <w:rsid w:val="00520E91"/>
    <w:rsid w:val="00521F50"/>
    <w:rsid w:val="005227DB"/>
    <w:rsid w:val="00522A53"/>
    <w:rsid w:val="00523897"/>
    <w:rsid w:val="00523B96"/>
    <w:rsid w:val="00523D2E"/>
    <w:rsid w:val="00524EA6"/>
    <w:rsid w:val="005251D3"/>
    <w:rsid w:val="005262A9"/>
    <w:rsid w:val="00526529"/>
    <w:rsid w:val="005267EB"/>
    <w:rsid w:val="005268A3"/>
    <w:rsid w:val="005269F4"/>
    <w:rsid w:val="00530BA3"/>
    <w:rsid w:val="005313DB"/>
    <w:rsid w:val="005314C9"/>
    <w:rsid w:val="00531A38"/>
    <w:rsid w:val="00531D42"/>
    <w:rsid w:val="0053200C"/>
    <w:rsid w:val="0053290B"/>
    <w:rsid w:val="00533CE3"/>
    <w:rsid w:val="005344D9"/>
    <w:rsid w:val="005350C0"/>
    <w:rsid w:val="005358EA"/>
    <w:rsid w:val="0053598F"/>
    <w:rsid w:val="00536205"/>
    <w:rsid w:val="00536435"/>
    <w:rsid w:val="00536782"/>
    <w:rsid w:val="005377A8"/>
    <w:rsid w:val="00542A63"/>
    <w:rsid w:val="00542F4F"/>
    <w:rsid w:val="00543C79"/>
    <w:rsid w:val="00543DC2"/>
    <w:rsid w:val="00544828"/>
    <w:rsid w:val="0054710A"/>
    <w:rsid w:val="00550DA4"/>
    <w:rsid w:val="00551988"/>
    <w:rsid w:val="005523D7"/>
    <w:rsid w:val="00554B03"/>
    <w:rsid w:val="00554BDB"/>
    <w:rsid w:val="00555891"/>
    <w:rsid w:val="00555DA0"/>
    <w:rsid w:val="00556176"/>
    <w:rsid w:val="005564F8"/>
    <w:rsid w:val="0055699B"/>
    <w:rsid w:val="00556B9A"/>
    <w:rsid w:val="005576B5"/>
    <w:rsid w:val="00560295"/>
    <w:rsid w:val="005653E7"/>
    <w:rsid w:val="0056550B"/>
    <w:rsid w:val="005656DE"/>
    <w:rsid w:val="00566439"/>
    <w:rsid w:val="00570234"/>
    <w:rsid w:val="005704B2"/>
    <w:rsid w:val="005707BF"/>
    <w:rsid w:val="00570D39"/>
    <w:rsid w:val="005728BA"/>
    <w:rsid w:val="00572C30"/>
    <w:rsid w:val="00572D0D"/>
    <w:rsid w:val="00573EA3"/>
    <w:rsid w:val="00574218"/>
    <w:rsid w:val="005746DA"/>
    <w:rsid w:val="0057541C"/>
    <w:rsid w:val="00575DF6"/>
    <w:rsid w:val="00576B84"/>
    <w:rsid w:val="005811CF"/>
    <w:rsid w:val="00581959"/>
    <w:rsid w:val="00582259"/>
    <w:rsid w:val="00582C71"/>
    <w:rsid w:val="0058348B"/>
    <w:rsid w:val="00583FD1"/>
    <w:rsid w:val="00584151"/>
    <w:rsid w:val="005849D2"/>
    <w:rsid w:val="00585E17"/>
    <w:rsid w:val="0058602B"/>
    <w:rsid w:val="00590B34"/>
    <w:rsid w:val="00590C29"/>
    <w:rsid w:val="00590E3F"/>
    <w:rsid w:val="00591383"/>
    <w:rsid w:val="00592774"/>
    <w:rsid w:val="005928F8"/>
    <w:rsid w:val="00592D29"/>
    <w:rsid w:val="005957CD"/>
    <w:rsid w:val="005A00CE"/>
    <w:rsid w:val="005A0389"/>
    <w:rsid w:val="005A1449"/>
    <w:rsid w:val="005A14A0"/>
    <w:rsid w:val="005A162A"/>
    <w:rsid w:val="005A1869"/>
    <w:rsid w:val="005A4AAB"/>
    <w:rsid w:val="005A4E21"/>
    <w:rsid w:val="005A5673"/>
    <w:rsid w:val="005A71FA"/>
    <w:rsid w:val="005A7E09"/>
    <w:rsid w:val="005B340B"/>
    <w:rsid w:val="005B3613"/>
    <w:rsid w:val="005B3CA7"/>
    <w:rsid w:val="005B4469"/>
    <w:rsid w:val="005B6F80"/>
    <w:rsid w:val="005B7EC7"/>
    <w:rsid w:val="005C1254"/>
    <w:rsid w:val="005C140C"/>
    <w:rsid w:val="005C3551"/>
    <w:rsid w:val="005C4013"/>
    <w:rsid w:val="005C4BC0"/>
    <w:rsid w:val="005C5B06"/>
    <w:rsid w:val="005C5C0C"/>
    <w:rsid w:val="005C71C4"/>
    <w:rsid w:val="005D05DD"/>
    <w:rsid w:val="005D0DF9"/>
    <w:rsid w:val="005D365D"/>
    <w:rsid w:val="005D39A6"/>
    <w:rsid w:val="005D3DE5"/>
    <w:rsid w:val="005D63BF"/>
    <w:rsid w:val="005D7576"/>
    <w:rsid w:val="005E02DC"/>
    <w:rsid w:val="005E0A53"/>
    <w:rsid w:val="005E0A6B"/>
    <w:rsid w:val="005E0C71"/>
    <w:rsid w:val="005E14B3"/>
    <w:rsid w:val="005E1BCE"/>
    <w:rsid w:val="005E3997"/>
    <w:rsid w:val="005E3CD6"/>
    <w:rsid w:val="005E436C"/>
    <w:rsid w:val="005E5428"/>
    <w:rsid w:val="005E5A38"/>
    <w:rsid w:val="005E6BFD"/>
    <w:rsid w:val="005E6D68"/>
    <w:rsid w:val="005E6D9C"/>
    <w:rsid w:val="005E6E02"/>
    <w:rsid w:val="005E767E"/>
    <w:rsid w:val="005E79BF"/>
    <w:rsid w:val="005E7B68"/>
    <w:rsid w:val="005F022B"/>
    <w:rsid w:val="005F0B33"/>
    <w:rsid w:val="005F1635"/>
    <w:rsid w:val="005F18B1"/>
    <w:rsid w:val="005F2CFC"/>
    <w:rsid w:val="005F386C"/>
    <w:rsid w:val="005F486C"/>
    <w:rsid w:val="005F5579"/>
    <w:rsid w:val="005F78DA"/>
    <w:rsid w:val="005F7A0E"/>
    <w:rsid w:val="005F7ECF"/>
    <w:rsid w:val="0060200F"/>
    <w:rsid w:val="006036E7"/>
    <w:rsid w:val="00604F13"/>
    <w:rsid w:val="00607E26"/>
    <w:rsid w:val="00607F04"/>
    <w:rsid w:val="0061056E"/>
    <w:rsid w:val="00610815"/>
    <w:rsid w:val="006114EF"/>
    <w:rsid w:val="00611D49"/>
    <w:rsid w:val="00612B8A"/>
    <w:rsid w:val="00613BB6"/>
    <w:rsid w:val="0061490F"/>
    <w:rsid w:val="006205E0"/>
    <w:rsid w:val="00622928"/>
    <w:rsid w:val="00623217"/>
    <w:rsid w:val="0062331F"/>
    <w:rsid w:val="0062383B"/>
    <w:rsid w:val="00624899"/>
    <w:rsid w:val="00625DF5"/>
    <w:rsid w:val="006273FE"/>
    <w:rsid w:val="00630BB6"/>
    <w:rsid w:val="00633201"/>
    <w:rsid w:val="00633B3E"/>
    <w:rsid w:val="00633EAA"/>
    <w:rsid w:val="00634AF0"/>
    <w:rsid w:val="00635C48"/>
    <w:rsid w:val="00636140"/>
    <w:rsid w:val="00636B2C"/>
    <w:rsid w:val="00636B99"/>
    <w:rsid w:val="00637E51"/>
    <w:rsid w:val="006405D8"/>
    <w:rsid w:val="0064301B"/>
    <w:rsid w:val="00643416"/>
    <w:rsid w:val="00644632"/>
    <w:rsid w:val="00647E3A"/>
    <w:rsid w:val="00651B61"/>
    <w:rsid w:val="00653856"/>
    <w:rsid w:val="00654295"/>
    <w:rsid w:val="00655221"/>
    <w:rsid w:val="0065773E"/>
    <w:rsid w:val="00657B27"/>
    <w:rsid w:val="00657BA3"/>
    <w:rsid w:val="006601D6"/>
    <w:rsid w:val="00661BBC"/>
    <w:rsid w:val="00662CA5"/>
    <w:rsid w:val="00662CE3"/>
    <w:rsid w:val="006634A7"/>
    <w:rsid w:val="00663F4B"/>
    <w:rsid w:val="00666C97"/>
    <w:rsid w:val="00667571"/>
    <w:rsid w:val="00667EDA"/>
    <w:rsid w:val="0067053F"/>
    <w:rsid w:val="00670C17"/>
    <w:rsid w:val="006714D0"/>
    <w:rsid w:val="0067173F"/>
    <w:rsid w:val="00672E4A"/>
    <w:rsid w:val="00674018"/>
    <w:rsid w:val="006742EE"/>
    <w:rsid w:val="00675353"/>
    <w:rsid w:val="00675A3B"/>
    <w:rsid w:val="0067727F"/>
    <w:rsid w:val="006802B9"/>
    <w:rsid w:val="006808E1"/>
    <w:rsid w:val="00681CA4"/>
    <w:rsid w:val="00682DAA"/>
    <w:rsid w:val="006830BA"/>
    <w:rsid w:val="00684F5A"/>
    <w:rsid w:val="00685412"/>
    <w:rsid w:val="0068672E"/>
    <w:rsid w:val="00687B58"/>
    <w:rsid w:val="00690C11"/>
    <w:rsid w:val="00690DBA"/>
    <w:rsid w:val="00690DFB"/>
    <w:rsid w:val="00691AAE"/>
    <w:rsid w:val="0069370F"/>
    <w:rsid w:val="006938EA"/>
    <w:rsid w:val="0069537D"/>
    <w:rsid w:val="00696432"/>
    <w:rsid w:val="006967DB"/>
    <w:rsid w:val="00696C5A"/>
    <w:rsid w:val="00696C68"/>
    <w:rsid w:val="006A08CF"/>
    <w:rsid w:val="006A1BF8"/>
    <w:rsid w:val="006A1D5F"/>
    <w:rsid w:val="006A2CBE"/>
    <w:rsid w:val="006A2D38"/>
    <w:rsid w:val="006A41D6"/>
    <w:rsid w:val="006A4641"/>
    <w:rsid w:val="006A588C"/>
    <w:rsid w:val="006A6655"/>
    <w:rsid w:val="006A6FC0"/>
    <w:rsid w:val="006B080E"/>
    <w:rsid w:val="006B0F0E"/>
    <w:rsid w:val="006B3146"/>
    <w:rsid w:val="006B39C0"/>
    <w:rsid w:val="006B43A0"/>
    <w:rsid w:val="006B5D24"/>
    <w:rsid w:val="006B6705"/>
    <w:rsid w:val="006B7324"/>
    <w:rsid w:val="006C1207"/>
    <w:rsid w:val="006C474A"/>
    <w:rsid w:val="006C5B93"/>
    <w:rsid w:val="006C63CA"/>
    <w:rsid w:val="006D0ACF"/>
    <w:rsid w:val="006D18B1"/>
    <w:rsid w:val="006D199A"/>
    <w:rsid w:val="006D2B69"/>
    <w:rsid w:val="006D419B"/>
    <w:rsid w:val="006D4774"/>
    <w:rsid w:val="006D532D"/>
    <w:rsid w:val="006D5B8B"/>
    <w:rsid w:val="006D6133"/>
    <w:rsid w:val="006D68AD"/>
    <w:rsid w:val="006D7A89"/>
    <w:rsid w:val="006E0387"/>
    <w:rsid w:val="006E2004"/>
    <w:rsid w:val="006E2913"/>
    <w:rsid w:val="006E366A"/>
    <w:rsid w:val="006E48F5"/>
    <w:rsid w:val="006E5B16"/>
    <w:rsid w:val="006E5C75"/>
    <w:rsid w:val="006E7667"/>
    <w:rsid w:val="006F2754"/>
    <w:rsid w:val="006F2905"/>
    <w:rsid w:val="006F32EC"/>
    <w:rsid w:val="006F5078"/>
    <w:rsid w:val="006F5D72"/>
    <w:rsid w:val="006F6CA3"/>
    <w:rsid w:val="0070084D"/>
    <w:rsid w:val="00702E48"/>
    <w:rsid w:val="007038F0"/>
    <w:rsid w:val="00706C32"/>
    <w:rsid w:val="007076B0"/>
    <w:rsid w:val="007101A2"/>
    <w:rsid w:val="00710B38"/>
    <w:rsid w:val="00711B47"/>
    <w:rsid w:val="00714399"/>
    <w:rsid w:val="00714FB7"/>
    <w:rsid w:val="007154CD"/>
    <w:rsid w:val="007219A2"/>
    <w:rsid w:val="00722BF2"/>
    <w:rsid w:val="007233E3"/>
    <w:rsid w:val="007258FD"/>
    <w:rsid w:val="00725E84"/>
    <w:rsid w:val="00730724"/>
    <w:rsid w:val="007310B4"/>
    <w:rsid w:val="00731321"/>
    <w:rsid w:val="00733669"/>
    <w:rsid w:val="007361A2"/>
    <w:rsid w:val="007364A5"/>
    <w:rsid w:val="0073799E"/>
    <w:rsid w:val="00737C15"/>
    <w:rsid w:val="00740ED7"/>
    <w:rsid w:val="0074164C"/>
    <w:rsid w:val="00741897"/>
    <w:rsid w:val="00742CD8"/>
    <w:rsid w:val="0074412A"/>
    <w:rsid w:val="0074547C"/>
    <w:rsid w:val="00746BB6"/>
    <w:rsid w:val="00747ABD"/>
    <w:rsid w:val="00747BEF"/>
    <w:rsid w:val="00750E3A"/>
    <w:rsid w:val="00752B15"/>
    <w:rsid w:val="00752CEB"/>
    <w:rsid w:val="00753D5A"/>
    <w:rsid w:val="00754080"/>
    <w:rsid w:val="00754F88"/>
    <w:rsid w:val="00754FF3"/>
    <w:rsid w:val="007566B5"/>
    <w:rsid w:val="00761E98"/>
    <w:rsid w:val="00763180"/>
    <w:rsid w:val="00764379"/>
    <w:rsid w:val="0076502E"/>
    <w:rsid w:val="007651BE"/>
    <w:rsid w:val="007657F8"/>
    <w:rsid w:val="007660EA"/>
    <w:rsid w:val="007668B2"/>
    <w:rsid w:val="0076775A"/>
    <w:rsid w:val="00767BC3"/>
    <w:rsid w:val="00771D2B"/>
    <w:rsid w:val="00773871"/>
    <w:rsid w:val="00775AD3"/>
    <w:rsid w:val="00776AF5"/>
    <w:rsid w:val="007773F3"/>
    <w:rsid w:val="00780426"/>
    <w:rsid w:val="00780E3E"/>
    <w:rsid w:val="00780E9B"/>
    <w:rsid w:val="00781CF8"/>
    <w:rsid w:val="00781D3C"/>
    <w:rsid w:val="00783159"/>
    <w:rsid w:val="00784187"/>
    <w:rsid w:val="0078582B"/>
    <w:rsid w:val="00785988"/>
    <w:rsid w:val="00786F4D"/>
    <w:rsid w:val="007901E9"/>
    <w:rsid w:val="0079043D"/>
    <w:rsid w:val="0079086C"/>
    <w:rsid w:val="00792348"/>
    <w:rsid w:val="00793B3C"/>
    <w:rsid w:val="0079577D"/>
    <w:rsid w:val="007960A0"/>
    <w:rsid w:val="0079723E"/>
    <w:rsid w:val="007A08DE"/>
    <w:rsid w:val="007A0FEC"/>
    <w:rsid w:val="007A1B28"/>
    <w:rsid w:val="007A1EFE"/>
    <w:rsid w:val="007A2067"/>
    <w:rsid w:val="007A2DCE"/>
    <w:rsid w:val="007A3FBF"/>
    <w:rsid w:val="007A44CA"/>
    <w:rsid w:val="007A562E"/>
    <w:rsid w:val="007A6C2D"/>
    <w:rsid w:val="007A75B6"/>
    <w:rsid w:val="007A7BBF"/>
    <w:rsid w:val="007B0B9A"/>
    <w:rsid w:val="007B0D99"/>
    <w:rsid w:val="007B1A32"/>
    <w:rsid w:val="007B30E2"/>
    <w:rsid w:val="007B3649"/>
    <w:rsid w:val="007B3BC7"/>
    <w:rsid w:val="007B46E8"/>
    <w:rsid w:val="007B7F3C"/>
    <w:rsid w:val="007C072C"/>
    <w:rsid w:val="007C1E54"/>
    <w:rsid w:val="007C222B"/>
    <w:rsid w:val="007C24C9"/>
    <w:rsid w:val="007C29EC"/>
    <w:rsid w:val="007C2D24"/>
    <w:rsid w:val="007C3411"/>
    <w:rsid w:val="007C4366"/>
    <w:rsid w:val="007C6F40"/>
    <w:rsid w:val="007C7B5F"/>
    <w:rsid w:val="007D0107"/>
    <w:rsid w:val="007D13D5"/>
    <w:rsid w:val="007D217A"/>
    <w:rsid w:val="007D398E"/>
    <w:rsid w:val="007D3D2E"/>
    <w:rsid w:val="007D5072"/>
    <w:rsid w:val="007D57B8"/>
    <w:rsid w:val="007D5AA1"/>
    <w:rsid w:val="007D5F79"/>
    <w:rsid w:val="007D6394"/>
    <w:rsid w:val="007D7583"/>
    <w:rsid w:val="007D77B6"/>
    <w:rsid w:val="007D7FB0"/>
    <w:rsid w:val="007E0C75"/>
    <w:rsid w:val="007E25EF"/>
    <w:rsid w:val="007E57B2"/>
    <w:rsid w:val="007E5CBE"/>
    <w:rsid w:val="007E746F"/>
    <w:rsid w:val="007E7646"/>
    <w:rsid w:val="007F0063"/>
    <w:rsid w:val="007F1B7C"/>
    <w:rsid w:val="007F2328"/>
    <w:rsid w:val="007F243E"/>
    <w:rsid w:val="007F3BA7"/>
    <w:rsid w:val="007F6500"/>
    <w:rsid w:val="007F712D"/>
    <w:rsid w:val="00802932"/>
    <w:rsid w:val="008032C2"/>
    <w:rsid w:val="00803985"/>
    <w:rsid w:val="0080478C"/>
    <w:rsid w:val="00804C4F"/>
    <w:rsid w:val="00805293"/>
    <w:rsid w:val="0080663E"/>
    <w:rsid w:val="0080678B"/>
    <w:rsid w:val="00811E6B"/>
    <w:rsid w:val="00814332"/>
    <w:rsid w:val="00815660"/>
    <w:rsid w:val="008173AA"/>
    <w:rsid w:val="00820702"/>
    <w:rsid w:val="00822128"/>
    <w:rsid w:val="00823125"/>
    <w:rsid w:val="00823743"/>
    <w:rsid w:val="008239F9"/>
    <w:rsid w:val="00824EE8"/>
    <w:rsid w:val="00825218"/>
    <w:rsid w:val="0082532D"/>
    <w:rsid w:val="008254F8"/>
    <w:rsid w:val="00825953"/>
    <w:rsid w:val="00826536"/>
    <w:rsid w:val="00827919"/>
    <w:rsid w:val="00827A36"/>
    <w:rsid w:val="008313D7"/>
    <w:rsid w:val="00831EE0"/>
    <w:rsid w:val="008340E5"/>
    <w:rsid w:val="00834FC8"/>
    <w:rsid w:val="0083521F"/>
    <w:rsid w:val="00835AB1"/>
    <w:rsid w:val="008366FE"/>
    <w:rsid w:val="00836D4C"/>
    <w:rsid w:val="00837006"/>
    <w:rsid w:val="00837823"/>
    <w:rsid w:val="00840ABB"/>
    <w:rsid w:val="00841757"/>
    <w:rsid w:val="00841782"/>
    <w:rsid w:val="00841CB9"/>
    <w:rsid w:val="0084207B"/>
    <w:rsid w:val="00842679"/>
    <w:rsid w:val="008441ED"/>
    <w:rsid w:val="008456E6"/>
    <w:rsid w:val="00846765"/>
    <w:rsid w:val="00846F1C"/>
    <w:rsid w:val="0084718D"/>
    <w:rsid w:val="0084766F"/>
    <w:rsid w:val="00847794"/>
    <w:rsid w:val="00850886"/>
    <w:rsid w:val="00850A86"/>
    <w:rsid w:val="00851101"/>
    <w:rsid w:val="00852485"/>
    <w:rsid w:val="008531A5"/>
    <w:rsid w:val="008537CA"/>
    <w:rsid w:val="008539FA"/>
    <w:rsid w:val="00853F92"/>
    <w:rsid w:val="00854AE0"/>
    <w:rsid w:val="00857380"/>
    <w:rsid w:val="00857D01"/>
    <w:rsid w:val="008614E7"/>
    <w:rsid w:val="00861D32"/>
    <w:rsid w:val="00861D75"/>
    <w:rsid w:val="0086356A"/>
    <w:rsid w:val="00863728"/>
    <w:rsid w:val="00866A91"/>
    <w:rsid w:val="00866F3A"/>
    <w:rsid w:val="00870623"/>
    <w:rsid w:val="008716E7"/>
    <w:rsid w:val="0087222E"/>
    <w:rsid w:val="00873B84"/>
    <w:rsid w:val="0087456F"/>
    <w:rsid w:val="00875D89"/>
    <w:rsid w:val="00876512"/>
    <w:rsid w:val="008767EC"/>
    <w:rsid w:val="008805DF"/>
    <w:rsid w:val="00880B1D"/>
    <w:rsid w:val="00881837"/>
    <w:rsid w:val="008834C8"/>
    <w:rsid w:val="008835EC"/>
    <w:rsid w:val="00884126"/>
    <w:rsid w:val="00884256"/>
    <w:rsid w:val="00885628"/>
    <w:rsid w:val="0088580C"/>
    <w:rsid w:val="008868C0"/>
    <w:rsid w:val="00887C57"/>
    <w:rsid w:val="00890E91"/>
    <w:rsid w:val="00891565"/>
    <w:rsid w:val="00891C88"/>
    <w:rsid w:val="00892E5B"/>
    <w:rsid w:val="00892EA3"/>
    <w:rsid w:val="00894C2D"/>
    <w:rsid w:val="00894D55"/>
    <w:rsid w:val="008953DB"/>
    <w:rsid w:val="00895960"/>
    <w:rsid w:val="008962FB"/>
    <w:rsid w:val="00896644"/>
    <w:rsid w:val="00897986"/>
    <w:rsid w:val="008A2426"/>
    <w:rsid w:val="008A54D1"/>
    <w:rsid w:val="008A583D"/>
    <w:rsid w:val="008A6C03"/>
    <w:rsid w:val="008A7066"/>
    <w:rsid w:val="008B117F"/>
    <w:rsid w:val="008B1269"/>
    <w:rsid w:val="008B17FD"/>
    <w:rsid w:val="008B1AD5"/>
    <w:rsid w:val="008B1C41"/>
    <w:rsid w:val="008B1D7D"/>
    <w:rsid w:val="008B1F63"/>
    <w:rsid w:val="008B2AAC"/>
    <w:rsid w:val="008B3716"/>
    <w:rsid w:val="008B58A5"/>
    <w:rsid w:val="008B616B"/>
    <w:rsid w:val="008B66FC"/>
    <w:rsid w:val="008B7F70"/>
    <w:rsid w:val="008C05A6"/>
    <w:rsid w:val="008C080C"/>
    <w:rsid w:val="008C08A6"/>
    <w:rsid w:val="008C09BF"/>
    <w:rsid w:val="008C0B61"/>
    <w:rsid w:val="008C0B92"/>
    <w:rsid w:val="008C1276"/>
    <w:rsid w:val="008C1691"/>
    <w:rsid w:val="008C19B2"/>
    <w:rsid w:val="008C24E4"/>
    <w:rsid w:val="008C271C"/>
    <w:rsid w:val="008C32A7"/>
    <w:rsid w:val="008C34B0"/>
    <w:rsid w:val="008C43EB"/>
    <w:rsid w:val="008C5D90"/>
    <w:rsid w:val="008C6341"/>
    <w:rsid w:val="008C6357"/>
    <w:rsid w:val="008C6537"/>
    <w:rsid w:val="008C6E49"/>
    <w:rsid w:val="008C7D53"/>
    <w:rsid w:val="008D05ED"/>
    <w:rsid w:val="008D3A61"/>
    <w:rsid w:val="008D3FAF"/>
    <w:rsid w:val="008D44BC"/>
    <w:rsid w:val="008D6912"/>
    <w:rsid w:val="008E0850"/>
    <w:rsid w:val="008E2628"/>
    <w:rsid w:val="008E2659"/>
    <w:rsid w:val="008E2981"/>
    <w:rsid w:val="008E3AD6"/>
    <w:rsid w:val="008E4E61"/>
    <w:rsid w:val="008E51E9"/>
    <w:rsid w:val="008E5D18"/>
    <w:rsid w:val="008E5D5F"/>
    <w:rsid w:val="008E683D"/>
    <w:rsid w:val="008E7F4C"/>
    <w:rsid w:val="008F0142"/>
    <w:rsid w:val="008F08C2"/>
    <w:rsid w:val="008F14A7"/>
    <w:rsid w:val="008F1D08"/>
    <w:rsid w:val="008F339F"/>
    <w:rsid w:val="008F3546"/>
    <w:rsid w:val="008F3C57"/>
    <w:rsid w:val="008F4865"/>
    <w:rsid w:val="008F51A9"/>
    <w:rsid w:val="008F5FA8"/>
    <w:rsid w:val="008F6D9F"/>
    <w:rsid w:val="008F78ED"/>
    <w:rsid w:val="00900446"/>
    <w:rsid w:val="00901711"/>
    <w:rsid w:val="00901D9A"/>
    <w:rsid w:val="00902E19"/>
    <w:rsid w:val="0090458E"/>
    <w:rsid w:val="009058CB"/>
    <w:rsid w:val="00905AA9"/>
    <w:rsid w:val="00905C49"/>
    <w:rsid w:val="00906A98"/>
    <w:rsid w:val="00906FAE"/>
    <w:rsid w:val="00907C5A"/>
    <w:rsid w:val="00911A7D"/>
    <w:rsid w:val="00912344"/>
    <w:rsid w:val="00912BF6"/>
    <w:rsid w:val="0091372C"/>
    <w:rsid w:val="00914D18"/>
    <w:rsid w:val="009158B7"/>
    <w:rsid w:val="0091745B"/>
    <w:rsid w:val="00920C0A"/>
    <w:rsid w:val="00920CA1"/>
    <w:rsid w:val="00921E66"/>
    <w:rsid w:val="00922727"/>
    <w:rsid w:val="00926837"/>
    <w:rsid w:val="00927AC6"/>
    <w:rsid w:val="009320AE"/>
    <w:rsid w:val="00933026"/>
    <w:rsid w:val="00933862"/>
    <w:rsid w:val="00933DEF"/>
    <w:rsid w:val="0093430C"/>
    <w:rsid w:val="00935247"/>
    <w:rsid w:val="009353C8"/>
    <w:rsid w:val="00936162"/>
    <w:rsid w:val="009374A8"/>
    <w:rsid w:val="009422D9"/>
    <w:rsid w:val="00942390"/>
    <w:rsid w:val="00942BC6"/>
    <w:rsid w:val="00943429"/>
    <w:rsid w:val="00944228"/>
    <w:rsid w:val="009442BA"/>
    <w:rsid w:val="00946C5B"/>
    <w:rsid w:val="00947D08"/>
    <w:rsid w:val="0095027A"/>
    <w:rsid w:val="009509F9"/>
    <w:rsid w:val="00951903"/>
    <w:rsid w:val="00954272"/>
    <w:rsid w:val="00954B78"/>
    <w:rsid w:val="00960EAF"/>
    <w:rsid w:val="00961859"/>
    <w:rsid w:val="0096258C"/>
    <w:rsid w:val="00962DFE"/>
    <w:rsid w:val="00963AE7"/>
    <w:rsid w:val="0096432A"/>
    <w:rsid w:val="0096484E"/>
    <w:rsid w:val="009674A1"/>
    <w:rsid w:val="0096765B"/>
    <w:rsid w:val="0097046B"/>
    <w:rsid w:val="009716AC"/>
    <w:rsid w:val="00972AB4"/>
    <w:rsid w:val="00973B1E"/>
    <w:rsid w:val="00975272"/>
    <w:rsid w:val="009777CB"/>
    <w:rsid w:val="009802C0"/>
    <w:rsid w:val="00980929"/>
    <w:rsid w:val="009812C0"/>
    <w:rsid w:val="009827FB"/>
    <w:rsid w:val="00984748"/>
    <w:rsid w:val="0098494C"/>
    <w:rsid w:val="00984970"/>
    <w:rsid w:val="00984CBA"/>
    <w:rsid w:val="009865BA"/>
    <w:rsid w:val="00990134"/>
    <w:rsid w:val="009901E7"/>
    <w:rsid w:val="009902C7"/>
    <w:rsid w:val="00991887"/>
    <w:rsid w:val="00991922"/>
    <w:rsid w:val="00991F2D"/>
    <w:rsid w:val="00991F96"/>
    <w:rsid w:val="00992AF5"/>
    <w:rsid w:val="00992CA4"/>
    <w:rsid w:val="00994443"/>
    <w:rsid w:val="00994680"/>
    <w:rsid w:val="0099507B"/>
    <w:rsid w:val="0099583B"/>
    <w:rsid w:val="00996230"/>
    <w:rsid w:val="009971B0"/>
    <w:rsid w:val="00997B98"/>
    <w:rsid w:val="009A0D3D"/>
    <w:rsid w:val="009A1736"/>
    <w:rsid w:val="009A194D"/>
    <w:rsid w:val="009A1C00"/>
    <w:rsid w:val="009A2142"/>
    <w:rsid w:val="009A22FD"/>
    <w:rsid w:val="009A2951"/>
    <w:rsid w:val="009A312C"/>
    <w:rsid w:val="009A3B60"/>
    <w:rsid w:val="009A3BAC"/>
    <w:rsid w:val="009A4F44"/>
    <w:rsid w:val="009A548A"/>
    <w:rsid w:val="009A58CF"/>
    <w:rsid w:val="009A5F97"/>
    <w:rsid w:val="009A6154"/>
    <w:rsid w:val="009B1977"/>
    <w:rsid w:val="009B1D19"/>
    <w:rsid w:val="009B1DF6"/>
    <w:rsid w:val="009B303B"/>
    <w:rsid w:val="009B4491"/>
    <w:rsid w:val="009B4CF2"/>
    <w:rsid w:val="009B4EB6"/>
    <w:rsid w:val="009B503B"/>
    <w:rsid w:val="009B77AA"/>
    <w:rsid w:val="009B79FB"/>
    <w:rsid w:val="009C066C"/>
    <w:rsid w:val="009C15EA"/>
    <w:rsid w:val="009C2370"/>
    <w:rsid w:val="009C2A4A"/>
    <w:rsid w:val="009C548F"/>
    <w:rsid w:val="009C54D0"/>
    <w:rsid w:val="009C5C38"/>
    <w:rsid w:val="009C5D3C"/>
    <w:rsid w:val="009C765D"/>
    <w:rsid w:val="009D1BE2"/>
    <w:rsid w:val="009D2A00"/>
    <w:rsid w:val="009D463B"/>
    <w:rsid w:val="009D48F7"/>
    <w:rsid w:val="009D5360"/>
    <w:rsid w:val="009D59E9"/>
    <w:rsid w:val="009D5A2C"/>
    <w:rsid w:val="009D6044"/>
    <w:rsid w:val="009D61D6"/>
    <w:rsid w:val="009D6483"/>
    <w:rsid w:val="009D7646"/>
    <w:rsid w:val="009D7BB6"/>
    <w:rsid w:val="009E1684"/>
    <w:rsid w:val="009E190E"/>
    <w:rsid w:val="009E1AE6"/>
    <w:rsid w:val="009E2D2F"/>
    <w:rsid w:val="009E2E47"/>
    <w:rsid w:val="009E5455"/>
    <w:rsid w:val="009E5BA9"/>
    <w:rsid w:val="009E6662"/>
    <w:rsid w:val="009E6DCA"/>
    <w:rsid w:val="009F0588"/>
    <w:rsid w:val="009F1F31"/>
    <w:rsid w:val="009F23F9"/>
    <w:rsid w:val="009F2BB3"/>
    <w:rsid w:val="009F2D0B"/>
    <w:rsid w:val="009F33B2"/>
    <w:rsid w:val="009F3C5A"/>
    <w:rsid w:val="009F4487"/>
    <w:rsid w:val="00A00931"/>
    <w:rsid w:val="00A00A01"/>
    <w:rsid w:val="00A029A8"/>
    <w:rsid w:val="00A0336D"/>
    <w:rsid w:val="00A036A9"/>
    <w:rsid w:val="00A04BAE"/>
    <w:rsid w:val="00A05192"/>
    <w:rsid w:val="00A05CF4"/>
    <w:rsid w:val="00A07603"/>
    <w:rsid w:val="00A1189B"/>
    <w:rsid w:val="00A11D23"/>
    <w:rsid w:val="00A12168"/>
    <w:rsid w:val="00A14B07"/>
    <w:rsid w:val="00A1628F"/>
    <w:rsid w:val="00A16485"/>
    <w:rsid w:val="00A1680F"/>
    <w:rsid w:val="00A17A31"/>
    <w:rsid w:val="00A20BC6"/>
    <w:rsid w:val="00A22C00"/>
    <w:rsid w:val="00A251FB"/>
    <w:rsid w:val="00A2610A"/>
    <w:rsid w:val="00A275C8"/>
    <w:rsid w:val="00A27C4C"/>
    <w:rsid w:val="00A30E03"/>
    <w:rsid w:val="00A31231"/>
    <w:rsid w:val="00A31E96"/>
    <w:rsid w:val="00A36AD4"/>
    <w:rsid w:val="00A375EB"/>
    <w:rsid w:val="00A41581"/>
    <w:rsid w:val="00A41EF4"/>
    <w:rsid w:val="00A42EB8"/>
    <w:rsid w:val="00A43F60"/>
    <w:rsid w:val="00A445E1"/>
    <w:rsid w:val="00A44978"/>
    <w:rsid w:val="00A44EDC"/>
    <w:rsid w:val="00A50F42"/>
    <w:rsid w:val="00A51A09"/>
    <w:rsid w:val="00A51B1C"/>
    <w:rsid w:val="00A51E96"/>
    <w:rsid w:val="00A52838"/>
    <w:rsid w:val="00A529DE"/>
    <w:rsid w:val="00A52C6E"/>
    <w:rsid w:val="00A52E3B"/>
    <w:rsid w:val="00A532E9"/>
    <w:rsid w:val="00A53CD5"/>
    <w:rsid w:val="00A5476A"/>
    <w:rsid w:val="00A56094"/>
    <w:rsid w:val="00A5634B"/>
    <w:rsid w:val="00A56E3C"/>
    <w:rsid w:val="00A5709A"/>
    <w:rsid w:val="00A572D7"/>
    <w:rsid w:val="00A57450"/>
    <w:rsid w:val="00A5775F"/>
    <w:rsid w:val="00A60310"/>
    <w:rsid w:val="00A60FA6"/>
    <w:rsid w:val="00A639E5"/>
    <w:rsid w:val="00A647E2"/>
    <w:rsid w:val="00A65A31"/>
    <w:rsid w:val="00A7021E"/>
    <w:rsid w:val="00A70C8E"/>
    <w:rsid w:val="00A7171D"/>
    <w:rsid w:val="00A71BBF"/>
    <w:rsid w:val="00A72782"/>
    <w:rsid w:val="00A72B69"/>
    <w:rsid w:val="00A7433D"/>
    <w:rsid w:val="00A7451C"/>
    <w:rsid w:val="00A74AAC"/>
    <w:rsid w:val="00A75B83"/>
    <w:rsid w:val="00A802A8"/>
    <w:rsid w:val="00A831F3"/>
    <w:rsid w:val="00A83783"/>
    <w:rsid w:val="00A842E4"/>
    <w:rsid w:val="00A85949"/>
    <w:rsid w:val="00A85CD4"/>
    <w:rsid w:val="00A91863"/>
    <w:rsid w:val="00A93C8A"/>
    <w:rsid w:val="00A95CD6"/>
    <w:rsid w:val="00A9699C"/>
    <w:rsid w:val="00A969EC"/>
    <w:rsid w:val="00A96DC6"/>
    <w:rsid w:val="00A96E97"/>
    <w:rsid w:val="00A970B0"/>
    <w:rsid w:val="00AA3525"/>
    <w:rsid w:val="00AA3928"/>
    <w:rsid w:val="00AA466A"/>
    <w:rsid w:val="00AA637A"/>
    <w:rsid w:val="00AA6E25"/>
    <w:rsid w:val="00AA70F7"/>
    <w:rsid w:val="00AA754F"/>
    <w:rsid w:val="00AA7DA7"/>
    <w:rsid w:val="00AB0011"/>
    <w:rsid w:val="00AB005E"/>
    <w:rsid w:val="00AB1051"/>
    <w:rsid w:val="00AB1474"/>
    <w:rsid w:val="00AB1A9A"/>
    <w:rsid w:val="00AB2ECA"/>
    <w:rsid w:val="00AB3378"/>
    <w:rsid w:val="00AB33FA"/>
    <w:rsid w:val="00AB3412"/>
    <w:rsid w:val="00AB3574"/>
    <w:rsid w:val="00AB50BD"/>
    <w:rsid w:val="00AC16B4"/>
    <w:rsid w:val="00AC1C6E"/>
    <w:rsid w:val="00AC2B29"/>
    <w:rsid w:val="00AC4087"/>
    <w:rsid w:val="00AC57C1"/>
    <w:rsid w:val="00AC595A"/>
    <w:rsid w:val="00AC72B2"/>
    <w:rsid w:val="00AC73A9"/>
    <w:rsid w:val="00AC7FFB"/>
    <w:rsid w:val="00AD0278"/>
    <w:rsid w:val="00AD02EB"/>
    <w:rsid w:val="00AD0AE9"/>
    <w:rsid w:val="00AD0F18"/>
    <w:rsid w:val="00AD1185"/>
    <w:rsid w:val="00AD2423"/>
    <w:rsid w:val="00AD24AD"/>
    <w:rsid w:val="00AD2CF6"/>
    <w:rsid w:val="00AD3E16"/>
    <w:rsid w:val="00AD4473"/>
    <w:rsid w:val="00AD532D"/>
    <w:rsid w:val="00AD62EB"/>
    <w:rsid w:val="00AD6611"/>
    <w:rsid w:val="00AD75DB"/>
    <w:rsid w:val="00AD79AA"/>
    <w:rsid w:val="00AE0FAC"/>
    <w:rsid w:val="00AE2D95"/>
    <w:rsid w:val="00AE4D86"/>
    <w:rsid w:val="00AE5B26"/>
    <w:rsid w:val="00AF0C9F"/>
    <w:rsid w:val="00AF2566"/>
    <w:rsid w:val="00AF2639"/>
    <w:rsid w:val="00AF2931"/>
    <w:rsid w:val="00AF295E"/>
    <w:rsid w:val="00AF53EA"/>
    <w:rsid w:val="00AF547A"/>
    <w:rsid w:val="00AF6542"/>
    <w:rsid w:val="00B01C9F"/>
    <w:rsid w:val="00B02369"/>
    <w:rsid w:val="00B027FF"/>
    <w:rsid w:val="00B02948"/>
    <w:rsid w:val="00B03586"/>
    <w:rsid w:val="00B05F4A"/>
    <w:rsid w:val="00B067C3"/>
    <w:rsid w:val="00B07403"/>
    <w:rsid w:val="00B11085"/>
    <w:rsid w:val="00B11670"/>
    <w:rsid w:val="00B118BA"/>
    <w:rsid w:val="00B12451"/>
    <w:rsid w:val="00B12D11"/>
    <w:rsid w:val="00B1378C"/>
    <w:rsid w:val="00B15BB9"/>
    <w:rsid w:val="00B15E50"/>
    <w:rsid w:val="00B15F43"/>
    <w:rsid w:val="00B174F6"/>
    <w:rsid w:val="00B17669"/>
    <w:rsid w:val="00B21121"/>
    <w:rsid w:val="00B21E76"/>
    <w:rsid w:val="00B231F6"/>
    <w:rsid w:val="00B24197"/>
    <w:rsid w:val="00B250A6"/>
    <w:rsid w:val="00B25563"/>
    <w:rsid w:val="00B25704"/>
    <w:rsid w:val="00B25C6C"/>
    <w:rsid w:val="00B30378"/>
    <w:rsid w:val="00B307FB"/>
    <w:rsid w:val="00B308FD"/>
    <w:rsid w:val="00B33576"/>
    <w:rsid w:val="00B33AFC"/>
    <w:rsid w:val="00B33C89"/>
    <w:rsid w:val="00B33E9D"/>
    <w:rsid w:val="00B34BF6"/>
    <w:rsid w:val="00B3597A"/>
    <w:rsid w:val="00B36BDC"/>
    <w:rsid w:val="00B37A96"/>
    <w:rsid w:val="00B43B26"/>
    <w:rsid w:val="00B43D32"/>
    <w:rsid w:val="00B44EA4"/>
    <w:rsid w:val="00B46355"/>
    <w:rsid w:val="00B52644"/>
    <w:rsid w:val="00B55F62"/>
    <w:rsid w:val="00B6076A"/>
    <w:rsid w:val="00B609C9"/>
    <w:rsid w:val="00B61470"/>
    <w:rsid w:val="00B615A1"/>
    <w:rsid w:val="00B6211B"/>
    <w:rsid w:val="00B63C9B"/>
    <w:rsid w:val="00B656E0"/>
    <w:rsid w:val="00B65925"/>
    <w:rsid w:val="00B65945"/>
    <w:rsid w:val="00B65E65"/>
    <w:rsid w:val="00B70FF2"/>
    <w:rsid w:val="00B71EF5"/>
    <w:rsid w:val="00B72A6D"/>
    <w:rsid w:val="00B72BFD"/>
    <w:rsid w:val="00B72C22"/>
    <w:rsid w:val="00B73DAD"/>
    <w:rsid w:val="00B74F4B"/>
    <w:rsid w:val="00B76445"/>
    <w:rsid w:val="00B766C0"/>
    <w:rsid w:val="00B769FE"/>
    <w:rsid w:val="00B77AD9"/>
    <w:rsid w:val="00B80D18"/>
    <w:rsid w:val="00B81249"/>
    <w:rsid w:val="00B81891"/>
    <w:rsid w:val="00B81BE4"/>
    <w:rsid w:val="00B827E7"/>
    <w:rsid w:val="00B84696"/>
    <w:rsid w:val="00B84A8C"/>
    <w:rsid w:val="00B85572"/>
    <w:rsid w:val="00B86336"/>
    <w:rsid w:val="00B873DB"/>
    <w:rsid w:val="00B91A91"/>
    <w:rsid w:val="00B9279C"/>
    <w:rsid w:val="00B92983"/>
    <w:rsid w:val="00B92C21"/>
    <w:rsid w:val="00B93FFD"/>
    <w:rsid w:val="00B945D4"/>
    <w:rsid w:val="00B94634"/>
    <w:rsid w:val="00B94C71"/>
    <w:rsid w:val="00B963CC"/>
    <w:rsid w:val="00B96724"/>
    <w:rsid w:val="00BA060C"/>
    <w:rsid w:val="00BA10A2"/>
    <w:rsid w:val="00BA1224"/>
    <w:rsid w:val="00BA17D2"/>
    <w:rsid w:val="00BA4AD5"/>
    <w:rsid w:val="00BA4BA2"/>
    <w:rsid w:val="00BA5673"/>
    <w:rsid w:val="00BA63BB"/>
    <w:rsid w:val="00BA6445"/>
    <w:rsid w:val="00BA667E"/>
    <w:rsid w:val="00BA731D"/>
    <w:rsid w:val="00BA74DC"/>
    <w:rsid w:val="00BA75CC"/>
    <w:rsid w:val="00BA7602"/>
    <w:rsid w:val="00BB214A"/>
    <w:rsid w:val="00BB2571"/>
    <w:rsid w:val="00BB2B9A"/>
    <w:rsid w:val="00BB2EAE"/>
    <w:rsid w:val="00BB4A14"/>
    <w:rsid w:val="00BB5533"/>
    <w:rsid w:val="00BB5B0F"/>
    <w:rsid w:val="00BB69B1"/>
    <w:rsid w:val="00BB6CF8"/>
    <w:rsid w:val="00BB7ED8"/>
    <w:rsid w:val="00BC1EDA"/>
    <w:rsid w:val="00BC6527"/>
    <w:rsid w:val="00BC67E5"/>
    <w:rsid w:val="00BC7A60"/>
    <w:rsid w:val="00BD0216"/>
    <w:rsid w:val="00BD086E"/>
    <w:rsid w:val="00BD12D4"/>
    <w:rsid w:val="00BD2245"/>
    <w:rsid w:val="00BD25A2"/>
    <w:rsid w:val="00BD3E8F"/>
    <w:rsid w:val="00BD459B"/>
    <w:rsid w:val="00BD5214"/>
    <w:rsid w:val="00BD5AB0"/>
    <w:rsid w:val="00BD65F0"/>
    <w:rsid w:val="00BD6694"/>
    <w:rsid w:val="00BD675A"/>
    <w:rsid w:val="00BD6959"/>
    <w:rsid w:val="00BD7C9A"/>
    <w:rsid w:val="00BE17FE"/>
    <w:rsid w:val="00BE34BF"/>
    <w:rsid w:val="00BE3600"/>
    <w:rsid w:val="00BE595F"/>
    <w:rsid w:val="00BE5E80"/>
    <w:rsid w:val="00BE7283"/>
    <w:rsid w:val="00BE7C5E"/>
    <w:rsid w:val="00BE7E95"/>
    <w:rsid w:val="00BF08B4"/>
    <w:rsid w:val="00BF0F2E"/>
    <w:rsid w:val="00BF1B80"/>
    <w:rsid w:val="00BF2036"/>
    <w:rsid w:val="00BF2375"/>
    <w:rsid w:val="00BF2F97"/>
    <w:rsid w:val="00BF3116"/>
    <w:rsid w:val="00BF4448"/>
    <w:rsid w:val="00BF54D7"/>
    <w:rsid w:val="00BF5D55"/>
    <w:rsid w:val="00BF6312"/>
    <w:rsid w:val="00BF6778"/>
    <w:rsid w:val="00BF696A"/>
    <w:rsid w:val="00BF7336"/>
    <w:rsid w:val="00BF7F03"/>
    <w:rsid w:val="00C001E0"/>
    <w:rsid w:val="00C01E6F"/>
    <w:rsid w:val="00C0311F"/>
    <w:rsid w:val="00C04CEE"/>
    <w:rsid w:val="00C05C14"/>
    <w:rsid w:val="00C05DFB"/>
    <w:rsid w:val="00C077F8"/>
    <w:rsid w:val="00C101D3"/>
    <w:rsid w:val="00C1109E"/>
    <w:rsid w:val="00C123BD"/>
    <w:rsid w:val="00C13412"/>
    <w:rsid w:val="00C1395E"/>
    <w:rsid w:val="00C145C1"/>
    <w:rsid w:val="00C156BD"/>
    <w:rsid w:val="00C1616C"/>
    <w:rsid w:val="00C16350"/>
    <w:rsid w:val="00C20147"/>
    <w:rsid w:val="00C202ED"/>
    <w:rsid w:val="00C2121C"/>
    <w:rsid w:val="00C21E2A"/>
    <w:rsid w:val="00C22132"/>
    <w:rsid w:val="00C22F34"/>
    <w:rsid w:val="00C2339A"/>
    <w:rsid w:val="00C23C8A"/>
    <w:rsid w:val="00C247D9"/>
    <w:rsid w:val="00C26001"/>
    <w:rsid w:val="00C26D38"/>
    <w:rsid w:val="00C27F72"/>
    <w:rsid w:val="00C31313"/>
    <w:rsid w:val="00C3165B"/>
    <w:rsid w:val="00C32C31"/>
    <w:rsid w:val="00C3399F"/>
    <w:rsid w:val="00C33C1E"/>
    <w:rsid w:val="00C347F8"/>
    <w:rsid w:val="00C34D39"/>
    <w:rsid w:val="00C34DCE"/>
    <w:rsid w:val="00C3650A"/>
    <w:rsid w:val="00C36539"/>
    <w:rsid w:val="00C37150"/>
    <w:rsid w:val="00C40DC3"/>
    <w:rsid w:val="00C41A09"/>
    <w:rsid w:val="00C41EA7"/>
    <w:rsid w:val="00C44D68"/>
    <w:rsid w:val="00C462BA"/>
    <w:rsid w:val="00C46B64"/>
    <w:rsid w:val="00C472E1"/>
    <w:rsid w:val="00C47E54"/>
    <w:rsid w:val="00C514F3"/>
    <w:rsid w:val="00C52265"/>
    <w:rsid w:val="00C52278"/>
    <w:rsid w:val="00C53A28"/>
    <w:rsid w:val="00C5470E"/>
    <w:rsid w:val="00C5513F"/>
    <w:rsid w:val="00C561EA"/>
    <w:rsid w:val="00C5647D"/>
    <w:rsid w:val="00C56E4D"/>
    <w:rsid w:val="00C57205"/>
    <w:rsid w:val="00C61D76"/>
    <w:rsid w:val="00C63A7B"/>
    <w:rsid w:val="00C66013"/>
    <w:rsid w:val="00C700CD"/>
    <w:rsid w:val="00C7068B"/>
    <w:rsid w:val="00C7127B"/>
    <w:rsid w:val="00C71B53"/>
    <w:rsid w:val="00C7409F"/>
    <w:rsid w:val="00C75769"/>
    <w:rsid w:val="00C76C44"/>
    <w:rsid w:val="00C776C9"/>
    <w:rsid w:val="00C77863"/>
    <w:rsid w:val="00C803A9"/>
    <w:rsid w:val="00C80926"/>
    <w:rsid w:val="00C813E5"/>
    <w:rsid w:val="00C82708"/>
    <w:rsid w:val="00C835F8"/>
    <w:rsid w:val="00C841A1"/>
    <w:rsid w:val="00C84A5D"/>
    <w:rsid w:val="00C85A4B"/>
    <w:rsid w:val="00C85F35"/>
    <w:rsid w:val="00C874A4"/>
    <w:rsid w:val="00C87EAF"/>
    <w:rsid w:val="00C90320"/>
    <w:rsid w:val="00C904D7"/>
    <w:rsid w:val="00C90871"/>
    <w:rsid w:val="00C90EB4"/>
    <w:rsid w:val="00C922AC"/>
    <w:rsid w:val="00C92941"/>
    <w:rsid w:val="00C93587"/>
    <w:rsid w:val="00C956DC"/>
    <w:rsid w:val="00C97BAB"/>
    <w:rsid w:val="00CA055D"/>
    <w:rsid w:val="00CA1457"/>
    <w:rsid w:val="00CA18EB"/>
    <w:rsid w:val="00CA19A7"/>
    <w:rsid w:val="00CA216A"/>
    <w:rsid w:val="00CA2440"/>
    <w:rsid w:val="00CA2A2B"/>
    <w:rsid w:val="00CA3ED7"/>
    <w:rsid w:val="00CA50D0"/>
    <w:rsid w:val="00CA51E7"/>
    <w:rsid w:val="00CA5312"/>
    <w:rsid w:val="00CA7C2E"/>
    <w:rsid w:val="00CA7CFE"/>
    <w:rsid w:val="00CB0594"/>
    <w:rsid w:val="00CB1CE5"/>
    <w:rsid w:val="00CB2846"/>
    <w:rsid w:val="00CB3059"/>
    <w:rsid w:val="00CB39E2"/>
    <w:rsid w:val="00CB47D6"/>
    <w:rsid w:val="00CB543B"/>
    <w:rsid w:val="00CB596B"/>
    <w:rsid w:val="00CB59D4"/>
    <w:rsid w:val="00CB5B1D"/>
    <w:rsid w:val="00CB7F84"/>
    <w:rsid w:val="00CC0682"/>
    <w:rsid w:val="00CC124D"/>
    <w:rsid w:val="00CC59C4"/>
    <w:rsid w:val="00CC7AA9"/>
    <w:rsid w:val="00CD1486"/>
    <w:rsid w:val="00CD3417"/>
    <w:rsid w:val="00CD4744"/>
    <w:rsid w:val="00CD587E"/>
    <w:rsid w:val="00CD65CE"/>
    <w:rsid w:val="00CD78AC"/>
    <w:rsid w:val="00CD7F99"/>
    <w:rsid w:val="00CE0AF8"/>
    <w:rsid w:val="00CE2647"/>
    <w:rsid w:val="00CE3009"/>
    <w:rsid w:val="00CE4F5D"/>
    <w:rsid w:val="00CE559A"/>
    <w:rsid w:val="00CE5650"/>
    <w:rsid w:val="00CE70BA"/>
    <w:rsid w:val="00CF0807"/>
    <w:rsid w:val="00CF08FF"/>
    <w:rsid w:val="00CF139F"/>
    <w:rsid w:val="00CF1B0F"/>
    <w:rsid w:val="00CF1B18"/>
    <w:rsid w:val="00CF1F54"/>
    <w:rsid w:val="00CF2B77"/>
    <w:rsid w:val="00CF2DF4"/>
    <w:rsid w:val="00CF4CBC"/>
    <w:rsid w:val="00CF5641"/>
    <w:rsid w:val="00CF5A8F"/>
    <w:rsid w:val="00CF5DF1"/>
    <w:rsid w:val="00CF5F70"/>
    <w:rsid w:val="00CF6232"/>
    <w:rsid w:val="00CF65B5"/>
    <w:rsid w:val="00D00779"/>
    <w:rsid w:val="00D02318"/>
    <w:rsid w:val="00D02358"/>
    <w:rsid w:val="00D032BF"/>
    <w:rsid w:val="00D0390F"/>
    <w:rsid w:val="00D044B1"/>
    <w:rsid w:val="00D050EC"/>
    <w:rsid w:val="00D05BCF"/>
    <w:rsid w:val="00D076B1"/>
    <w:rsid w:val="00D10ADA"/>
    <w:rsid w:val="00D11F0E"/>
    <w:rsid w:val="00D12433"/>
    <w:rsid w:val="00D12D60"/>
    <w:rsid w:val="00D13288"/>
    <w:rsid w:val="00D156A7"/>
    <w:rsid w:val="00D1651F"/>
    <w:rsid w:val="00D1661C"/>
    <w:rsid w:val="00D17373"/>
    <w:rsid w:val="00D178A6"/>
    <w:rsid w:val="00D228A2"/>
    <w:rsid w:val="00D24624"/>
    <w:rsid w:val="00D24CDF"/>
    <w:rsid w:val="00D26153"/>
    <w:rsid w:val="00D3244C"/>
    <w:rsid w:val="00D32662"/>
    <w:rsid w:val="00D334C8"/>
    <w:rsid w:val="00D33CC2"/>
    <w:rsid w:val="00D33F8B"/>
    <w:rsid w:val="00D34BBC"/>
    <w:rsid w:val="00D35577"/>
    <w:rsid w:val="00D35775"/>
    <w:rsid w:val="00D35A68"/>
    <w:rsid w:val="00D370F9"/>
    <w:rsid w:val="00D3725F"/>
    <w:rsid w:val="00D379EB"/>
    <w:rsid w:val="00D40075"/>
    <w:rsid w:val="00D414E0"/>
    <w:rsid w:val="00D41E5F"/>
    <w:rsid w:val="00D41F18"/>
    <w:rsid w:val="00D4400A"/>
    <w:rsid w:val="00D4499F"/>
    <w:rsid w:val="00D44A36"/>
    <w:rsid w:val="00D45F84"/>
    <w:rsid w:val="00D479E5"/>
    <w:rsid w:val="00D47B74"/>
    <w:rsid w:val="00D50A8D"/>
    <w:rsid w:val="00D51F9A"/>
    <w:rsid w:val="00D53975"/>
    <w:rsid w:val="00D53F49"/>
    <w:rsid w:val="00D551AB"/>
    <w:rsid w:val="00D55943"/>
    <w:rsid w:val="00D57A7D"/>
    <w:rsid w:val="00D62FDA"/>
    <w:rsid w:val="00D63D1B"/>
    <w:rsid w:val="00D65409"/>
    <w:rsid w:val="00D67094"/>
    <w:rsid w:val="00D67BEF"/>
    <w:rsid w:val="00D7146F"/>
    <w:rsid w:val="00D71CD7"/>
    <w:rsid w:val="00D71D95"/>
    <w:rsid w:val="00D728B2"/>
    <w:rsid w:val="00D732A9"/>
    <w:rsid w:val="00D76473"/>
    <w:rsid w:val="00D76928"/>
    <w:rsid w:val="00D76D34"/>
    <w:rsid w:val="00D8119C"/>
    <w:rsid w:val="00D82668"/>
    <w:rsid w:val="00D829A5"/>
    <w:rsid w:val="00D830F3"/>
    <w:rsid w:val="00D85BF9"/>
    <w:rsid w:val="00D86349"/>
    <w:rsid w:val="00D87CBE"/>
    <w:rsid w:val="00D90A4A"/>
    <w:rsid w:val="00D90DB3"/>
    <w:rsid w:val="00D9130A"/>
    <w:rsid w:val="00D91E35"/>
    <w:rsid w:val="00D94681"/>
    <w:rsid w:val="00D94CE6"/>
    <w:rsid w:val="00D9548A"/>
    <w:rsid w:val="00D970F6"/>
    <w:rsid w:val="00D975FF"/>
    <w:rsid w:val="00D97C1C"/>
    <w:rsid w:val="00DA1C00"/>
    <w:rsid w:val="00DA22B2"/>
    <w:rsid w:val="00DA36FC"/>
    <w:rsid w:val="00DA53BB"/>
    <w:rsid w:val="00DA58B8"/>
    <w:rsid w:val="00DA5E54"/>
    <w:rsid w:val="00DA649A"/>
    <w:rsid w:val="00DA68E1"/>
    <w:rsid w:val="00DA7047"/>
    <w:rsid w:val="00DA7559"/>
    <w:rsid w:val="00DB0E30"/>
    <w:rsid w:val="00DB12E0"/>
    <w:rsid w:val="00DB13C7"/>
    <w:rsid w:val="00DB16B3"/>
    <w:rsid w:val="00DB1A58"/>
    <w:rsid w:val="00DB1DC2"/>
    <w:rsid w:val="00DB3C76"/>
    <w:rsid w:val="00DB4143"/>
    <w:rsid w:val="00DB436F"/>
    <w:rsid w:val="00DB44C6"/>
    <w:rsid w:val="00DB5016"/>
    <w:rsid w:val="00DB6645"/>
    <w:rsid w:val="00DB6B10"/>
    <w:rsid w:val="00DB75D9"/>
    <w:rsid w:val="00DB7E30"/>
    <w:rsid w:val="00DC0622"/>
    <w:rsid w:val="00DC0DF7"/>
    <w:rsid w:val="00DC11A2"/>
    <w:rsid w:val="00DC1920"/>
    <w:rsid w:val="00DC1A6C"/>
    <w:rsid w:val="00DC201C"/>
    <w:rsid w:val="00DC265F"/>
    <w:rsid w:val="00DC2F5B"/>
    <w:rsid w:val="00DC4297"/>
    <w:rsid w:val="00DC60D2"/>
    <w:rsid w:val="00DC6D09"/>
    <w:rsid w:val="00DC6FD0"/>
    <w:rsid w:val="00DC7822"/>
    <w:rsid w:val="00DC7D73"/>
    <w:rsid w:val="00DD0ADC"/>
    <w:rsid w:val="00DD1A33"/>
    <w:rsid w:val="00DD1CBA"/>
    <w:rsid w:val="00DD1EA5"/>
    <w:rsid w:val="00DD2EAA"/>
    <w:rsid w:val="00DD3DA6"/>
    <w:rsid w:val="00DD40FB"/>
    <w:rsid w:val="00DD4E81"/>
    <w:rsid w:val="00DD6060"/>
    <w:rsid w:val="00DD733E"/>
    <w:rsid w:val="00DD7861"/>
    <w:rsid w:val="00DD7B68"/>
    <w:rsid w:val="00DE08D0"/>
    <w:rsid w:val="00DE30F0"/>
    <w:rsid w:val="00DE321A"/>
    <w:rsid w:val="00DE344B"/>
    <w:rsid w:val="00DE4512"/>
    <w:rsid w:val="00DE4F6F"/>
    <w:rsid w:val="00DE5F11"/>
    <w:rsid w:val="00DE7165"/>
    <w:rsid w:val="00DF17B4"/>
    <w:rsid w:val="00DF4CE4"/>
    <w:rsid w:val="00DF52E1"/>
    <w:rsid w:val="00DF6814"/>
    <w:rsid w:val="00DF7026"/>
    <w:rsid w:val="00DF7422"/>
    <w:rsid w:val="00DF7677"/>
    <w:rsid w:val="00E0160A"/>
    <w:rsid w:val="00E02A73"/>
    <w:rsid w:val="00E0338B"/>
    <w:rsid w:val="00E04057"/>
    <w:rsid w:val="00E04286"/>
    <w:rsid w:val="00E0523B"/>
    <w:rsid w:val="00E06829"/>
    <w:rsid w:val="00E10399"/>
    <w:rsid w:val="00E11CFE"/>
    <w:rsid w:val="00E12786"/>
    <w:rsid w:val="00E13E74"/>
    <w:rsid w:val="00E163D4"/>
    <w:rsid w:val="00E17852"/>
    <w:rsid w:val="00E17861"/>
    <w:rsid w:val="00E17DB5"/>
    <w:rsid w:val="00E20CDF"/>
    <w:rsid w:val="00E20E68"/>
    <w:rsid w:val="00E214B3"/>
    <w:rsid w:val="00E21509"/>
    <w:rsid w:val="00E228C2"/>
    <w:rsid w:val="00E22C3F"/>
    <w:rsid w:val="00E230B3"/>
    <w:rsid w:val="00E237D6"/>
    <w:rsid w:val="00E244FA"/>
    <w:rsid w:val="00E24798"/>
    <w:rsid w:val="00E2560C"/>
    <w:rsid w:val="00E27BE2"/>
    <w:rsid w:val="00E3034D"/>
    <w:rsid w:val="00E31188"/>
    <w:rsid w:val="00E318B5"/>
    <w:rsid w:val="00E31FF1"/>
    <w:rsid w:val="00E321AC"/>
    <w:rsid w:val="00E32C56"/>
    <w:rsid w:val="00E342FE"/>
    <w:rsid w:val="00E34F20"/>
    <w:rsid w:val="00E35182"/>
    <w:rsid w:val="00E35E62"/>
    <w:rsid w:val="00E42433"/>
    <w:rsid w:val="00E42527"/>
    <w:rsid w:val="00E4366A"/>
    <w:rsid w:val="00E43DF5"/>
    <w:rsid w:val="00E44188"/>
    <w:rsid w:val="00E4505B"/>
    <w:rsid w:val="00E45DDA"/>
    <w:rsid w:val="00E464D4"/>
    <w:rsid w:val="00E471C9"/>
    <w:rsid w:val="00E50159"/>
    <w:rsid w:val="00E501F1"/>
    <w:rsid w:val="00E50880"/>
    <w:rsid w:val="00E51195"/>
    <w:rsid w:val="00E51A21"/>
    <w:rsid w:val="00E534D1"/>
    <w:rsid w:val="00E53FBA"/>
    <w:rsid w:val="00E543D6"/>
    <w:rsid w:val="00E55F20"/>
    <w:rsid w:val="00E56325"/>
    <w:rsid w:val="00E56F3A"/>
    <w:rsid w:val="00E5717C"/>
    <w:rsid w:val="00E57E8C"/>
    <w:rsid w:val="00E6152E"/>
    <w:rsid w:val="00E62F32"/>
    <w:rsid w:val="00E64ACB"/>
    <w:rsid w:val="00E6679C"/>
    <w:rsid w:val="00E7011C"/>
    <w:rsid w:val="00E707F4"/>
    <w:rsid w:val="00E712D7"/>
    <w:rsid w:val="00E7238D"/>
    <w:rsid w:val="00E73734"/>
    <w:rsid w:val="00E737C6"/>
    <w:rsid w:val="00E74535"/>
    <w:rsid w:val="00E746FC"/>
    <w:rsid w:val="00E747EC"/>
    <w:rsid w:val="00E76660"/>
    <w:rsid w:val="00E817F2"/>
    <w:rsid w:val="00E81B61"/>
    <w:rsid w:val="00E81C24"/>
    <w:rsid w:val="00E822B2"/>
    <w:rsid w:val="00E837DC"/>
    <w:rsid w:val="00E83AAB"/>
    <w:rsid w:val="00E84764"/>
    <w:rsid w:val="00E84BFA"/>
    <w:rsid w:val="00E84DB9"/>
    <w:rsid w:val="00E85E77"/>
    <w:rsid w:val="00E85F98"/>
    <w:rsid w:val="00E86CF0"/>
    <w:rsid w:val="00E91F86"/>
    <w:rsid w:val="00E926A6"/>
    <w:rsid w:val="00E927B4"/>
    <w:rsid w:val="00E9283A"/>
    <w:rsid w:val="00E93BA2"/>
    <w:rsid w:val="00E94729"/>
    <w:rsid w:val="00E94846"/>
    <w:rsid w:val="00E96FBE"/>
    <w:rsid w:val="00E97A22"/>
    <w:rsid w:val="00E97C2F"/>
    <w:rsid w:val="00EA002D"/>
    <w:rsid w:val="00EA068D"/>
    <w:rsid w:val="00EA149D"/>
    <w:rsid w:val="00EA1787"/>
    <w:rsid w:val="00EA1862"/>
    <w:rsid w:val="00EA1D8E"/>
    <w:rsid w:val="00EA2616"/>
    <w:rsid w:val="00EA5AE1"/>
    <w:rsid w:val="00EA6640"/>
    <w:rsid w:val="00EA7821"/>
    <w:rsid w:val="00EB1980"/>
    <w:rsid w:val="00EB1D97"/>
    <w:rsid w:val="00EB226D"/>
    <w:rsid w:val="00EB2AFA"/>
    <w:rsid w:val="00EB2B0C"/>
    <w:rsid w:val="00EB2F0C"/>
    <w:rsid w:val="00EB32CA"/>
    <w:rsid w:val="00EB3956"/>
    <w:rsid w:val="00EB4003"/>
    <w:rsid w:val="00EB4992"/>
    <w:rsid w:val="00EB79C3"/>
    <w:rsid w:val="00EC0FB3"/>
    <w:rsid w:val="00EC282F"/>
    <w:rsid w:val="00EC29A0"/>
    <w:rsid w:val="00EC411D"/>
    <w:rsid w:val="00EC43E2"/>
    <w:rsid w:val="00EC50CE"/>
    <w:rsid w:val="00EC5997"/>
    <w:rsid w:val="00EC6454"/>
    <w:rsid w:val="00EC6BD4"/>
    <w:rsid w:val="00EC75AE"/>
    <w:rsid w:val="00EC77EA"/>
    <w:rsid w:val="00ED0989"/>
    <w:rsid w:val="00ED1298"/>
    <w:rsid w:val="00ED23FD"/>
    <w:rsid w:val="00ED3104"/>
    <w:rsid w:val="00ED350A"/>
    <w:rsid w:val="00ED3633"/>
    <w:rsid w:val="00ED44F5"/>
    <w:rsid w:val="00ED4539"/>
    <w:rsid w:val="00ED490C"/>
    <w:rsid w:val="00ED5BFE"/>
    <w:rsid w:val="00ED612B"/>
    <w:rsid w:val="00ED6DA5"/>
    <w:rsid w:val="00ED7447"/>
    <w:rsid w:val="00ED7849"/>
    <w:rsid w:val="00ED7DC6"/>
    <w:rsid w:val="00EE0195"/>
    <w:rsid w:val="00EE0938"/>
    <w:rsid w:val="00EE09AC"/>
    <w:rsid w:val="00EE1450"/>
    <w:rsid w:val="00EE444A"/>
    <w:rsid w:val="00EE44A0"/>
    <w:rsid w:val="00EE47D5"/>
    <w:rsid w:val="00EE53C4"/>
    <w:rsid w:val="00EE6479"/>
    <w:rsid w:val="00EF1683"/>
    <w:rsid w:val="00EF18BD"/>
    <w:rsid w:val="00EF204B"/>
    <w:rsid w:val="00EF3B69"/>
    <w:rsid w:val="00EF414B"/>
    <w:rsid w:val="00EF4F88"/>
    <w:rsid w:val="00EF5A2D"/>
    <w:rsid w:val="00EF5B95"/>
    <w:rsid w:val="00EF61D0"/>
    <w:rsid w:val="00EF6C2F"/>
    <w:rsid w:val="00EF6CFE"/>
    <w:rsid w:val="00EF7099"/>
    <w:rsid w:val="00EF720E"/>
    <w:rsid w:val="00EF7B8A"/>
    <w:rsid w:val="00F01526"/>
    <w:rsid w:val="00F022AC"/>
    <w:rsid w:val="00F02A07"/>
    <w:rsid w:val="00F0300B"/>
    <w:rsid w:val="00F057ED"/>
    <w:rsid w:val="00F063AA"/>
    <w:rsid w:val="00F0649C"/>
    <w:rsid w:val="00F06843"/>
    <w:rsid w:val="00F06D8F"/>
    <w:rsid w:val="00F07773"/>
    <w:rsid w:val="00F104DB"/>
    <w:rsid w:val="00F10873"/>
    <w:rsid w:val="00F1106B"/>
    <w:rsid w:val="00F1309D"/>
    <w:rsid w:val="00F132A0"/>
    <w:rsid w:val="00F177D9"/>
    <w:rsid w:val="00F17D86"/>
    <w:rsid w:val="00F17F8F"/>
    <w:rsid w:val="00F21D71"/>
    <w:rsid w:val="00F22A16"/>
    <w:rsid w:val="00F23A6A"/>
    <w:rsid w:val="00F24093"/>
    <w:rsid w:val="00F244F6"/>
    <w:rsid w:val="00F2559E"/>
    <w:rsid w:val="00F32295"/>
    <w:rsid w:val="00F3312B"/>
    <w:rsid w:val="00F333AB"/>
    <w:rsid w:val="00F339E8"/>
    <w:rsid w:val="00F34275"/>
    <w:rsid w:val="00F359EE"/>
    <w:rsid w:val="00F360B0"/>
    <w:rsid w:val="00F369E4"/>
    <w:rsid w:val="00F378C9"/>
    <w:rsid w:val="00F40827"/>
    <w:rsid w:val="00F40AE8"/>
    <w:rsid w:val="00F40CDB"/>
    <w:rsid w:val="00F418C6"/>
    <w:rsid w:val="00F42F88"/>
    <w:rsid w:val="00F4354B"/>
    <w:rsid w:val="00F43A97"/>
    <w:rsid w:val="00F443A8"/>
    <w:rsid w:val="00F45651"/>
    <w:rsid w:val="00F46050"/>
    <w:rsid w:val="00F4646B"/>
    <w:rsid w:val="00F465A1"/>
    <w:rsid w:val="00F476D0"/>
    <w:rsid w:val="00F51047"/>
    <w:rsid w:val="00F51604"/>
    <w:rsid w:val="00F51A67"/>
    <w:rsid w:val="00F51F5D"/>
    <w:rsid w:val="00F51F72"/>
    <w:rsid w:val="00F52302"/>
    <w:rsid w:val="00F52B1A"/>
    <w:rsid w:val="00F52FBA"/>
    <w:rsid w:val="00F547AF"/>
    <w:rsid w:val="00F578B7"/>
    <w:rsid w:val="00F57AC7"/>
    <w:rsid w:val="00F57DD9"/>
    <w:rsid w:val="00F61259"/>
    <w:rsid w:val="00F61513"/>
    <w:rsid w:val="00F61761"/>
    <w:rsid w:val="00F61BCC"/>
    <w:rsid w:val="00F6399D"/>
    <w:rsid w:val="00F64C1B"/>
    <w:rsid w:val="00F64FA2"/>
    <w:rsid w:val="00F652F9"/>
    <w:rsid w:val="00F6561F"/>
    <w:rsid w:val="00F658CB"/>
    <w:rsid w:val="00F65B2F"/>
    <w:rsid w:val="00F6627A"/>
    <w:rsid w:val="00F67FF7"/>
    <w:rsid w:val="00F7172E"/>
    <w:rsid w:val="00F728BF"/>
    <w:rsid w:val="00F72C5A"/>
    <w:rsid w:val="00F7385C"/>
    <w:rsid w:val="00F73973"/>
    <w:rsid w:val="00F743BF"/>
    <w:rsid w:val="00F74F7D"/>
    <w:rsid w:val="00F751CA"/>
    <w:rsid w:val="00F76585"/>
    <w:rsid w:val="00F76B0C"/>
    <w:rsid w:val="00F77D92"/>
    <w:rsid w:val="00F816EF"/>
    <w:rsid w:val="00F81F86"/>
    <w:rsid w:val="00F8221B"/>
    <w:rsid w:val="00F82355"/>
    <w:rsid w:val="00F82CA6"/>
    <w:rsid w:val="00F85841"/>
    <w:rsid w:val="00F864BC"/>
    <w:rsid w:val="00F8699D"/>
    <w:rsid w:val="00F87AD5"/>
    <w:rsid w:val="00F9026C"/>
    <w:rsid w:val="00F908BA"/>
    <w:rsid w:val="00F91DE1"/>
    <w:rsid w:val="00F93089"/>
    <w:rsid w:val="00F94944"/>
    <w:rsid w:val="00F959AA"/>
    <w:rsid w:val="00F96507"/>
    <w:rsid w:val="00F9749A"/>
    <w:rsid w:val="00F976AC"/>
    <w:rsid w:val="00FA028D"/>
    <w:rsid w:val="00FA1237"/>
    <w:rsid w:val="00FA1267"/>
    <w:rsid w:val="00FA172F"/>
    <w:rsid w:val="00FA212F"/>
    <w:rsid w:val="00FA21A4"/>
    <w:rsid w:val="00FA230C"/>
    <w:rsid w:val="00FA3E74"/>
    <w:rsid w:val="00FA4166"/>
    <w:rsid w:val="00FA48BD"/>
    <w:rsid w:val="00FA589E"/>
    <w:rsid w:val="00FA6C5F"/>
    <w:rsid w:val="00FB0AF9"/>
    <w:rsid w:val="00FB0D8E"/>
    <w:rsid w:val="00FB1F09"/>
    <w:rsid w:val="00FB2539"/>
    <w:rsid w:val="00FB4087"/>
    <w:rsid w:val="00FB49BA"/>
    <w:rsid w:val="00FB587C"/>
    <w:rsid w:val="00FB5B9D"/>
    <w:rsid w:val="00FB646B"/>
    <w:rsid w:val="00FB6B30"/>
    <w:rsid w:val="00FB6FEE"/>
    <w:rsid w:val="00FC013C"/>
    <w:rsid w:val="00FC02A9"/>
    <w:rsid w:val="00FC3C95"/>
    <w:rsid w:val="00FC483A"/>
    <w:rsid w:val="00FC57AE"/>
    <w:rsid w:val="00FC7B0D"/>
    <w:rsid w:val="00FD0F02"/>
    <w:rsid w:val="00FD1641"/>
    <w:rsid w:val="00FD24E1"/>
    <w:rsid w:val="00FD4C06"/>
    <w:rsid w:val="00FD530A"/>
    <w:rsid w:val="00FD6740"/>
    <w:rsid w:val="00FD6CF4"/>
    <w:rsid w:val="00FD7129"/>
    <w:rsid w:val="00FE261F"/>
    <w:rsid w:val="00FE2CA8"/>
    <w:rsid w:val="00FE34FB"/>
    <w:rsid w:val="00FE3B9D"/>
    <w:rsid w:val="00FE4337"/>
    <w:rsid w:val="00FE5224"/>
    <w:rsid w:val="00FE6CB1"/>
    <w:rsid w:val="00FE7FFA"/>
    <w:rsid w:val="00FF1304"/>
    <w:rsid w:val="00FF14D8"/>
    <w:rsid w:val="00FF2A6E"/>
    <w:rsid w:val="00FF2D1E"/>
    <w:rsid w:val="00FF2E99"/>
    <w:rsid w:val="00FF4085"/>
    <w:rsid w:val="00FF438E"/>
    <w:rsid w:val="00FF5990"/>
    <w:rsid w:val="00FF79E5"/>
    <w:rsid w:val="00FF7C2F"/>
    <w:rsid w:val="00FF7D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F8"/>
    <w:rPr>
      <w:rFonts w:ascii="Arial" w:hAnsi="Arial"/>
      <w:color w:val="001F00"/>
      <w:spacing w:val="6"/>
      <w:sz w:val="18"/>
      <w:szCs w:val="18"/>
      <w:lang w:val="en-GB" w:eastAsia="en-GB"/>
    </w:rPr>
  </w:style>
  <w:style w:type="paragraph" w:styleId="Heading1">
    <w:name w:val="heading 1"/>
    <w:basedOn w:val="Normal"/>
    <w:next w:val="Normal"/>
    <w:link w:val="Heading1Char"/>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paragraph" w:styleId="Heading6">
    <w:name w:val="heading 6"/>
    <w:basedOn w:val="Normal"/>
    <w:next w:val="Normal"/>
    <w:qFormat/>
    <w:rsid w:val="0021711E"/>
    <w:pPr>
      <w:spacing w:before="240" w:after="60"/>
      <w:outlineLvl w:val="5"/>
    </w:pPr>
    <w:rPr>
      <w:rFonts w:ascii="Times New Roman" w:hAnsi="Times New Roman"/>
      <w:b/>
      <w:bCs/>
      <w:sz w:val="22"/>
      <w:szCs w:val="22"/>
    </w:rPr>
  </w:style>
  <w:style w:type="paragraph" w:styleId="Heading7">
    <w:name w:val="heading 7"/>
    <w:basedOn w:val="Normal"/>
    <w:next w:val="Normal"/>
    <w:qFormat/>
    <w:rsid w:val="0021711E"/>
    <w:pPr>
      <w:spacing w:before="240" w:after="60"/>
      <w:outlineLvl w:val="6"/>
    </w:pPr>
    <w:rPr>
      <w:rFonts w:ascii="Times New Roman" w:hAnsi="Times New Roman"/>
      <w:sz w:val="24"/>
      <w:szCs w:val="24"/>
    </w:rPr>
  </w:style>
  <w:style w:type="paragraph" w:styleId="Heading8">
    <w:name w:val="heading 8"/>
    <w:basedOn w:val="Normal"/>
    <w:next w:val="Normal"/>
    <w:qFormat/>
    <w:rsid w:val="0021711E"/>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uiPriority w:val="39"/>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odyText2">
    <w:name w:val="Body Text 2"/>
    <w:basedOn w:val="Normal"/>
    <w:rsid w:val="0021711E"/>
    <w:rPr>
      <w:rFonts w:ascii="Times New Roman" w:hAnsi="Times New Roman"/>
      <w:color w:val="auto"/>
      <w:spacing w:val="0"/>
      <w:sz w:val="24"/>
      <w:szCs w:val="20"/>
      <w:lang w:eastAsia="en-US"/>
    </w:rPr>
  </w:style>
  <w:style w:type="paragraph" w:styleId="BodyText3">
    <w:name w:val="Body Text 3"/>
    <w:basedOn w:val="Normal"/>
    <w:rsid w:val="0021711E"/>
    <w:pPr>
      <w:jc w:val="both"/>
    </w:pPr>
    <w:rPr>
      <w:rFonts w:ascii="Times New Roman" w:hAnsi="Times New Roman"/>
      <w:b/>
      <w:bCs/>
      <w:i/>
      <w:iCs/>
      <w:color w:val="auto"/>
      <w:spacing w:val="0"/>
      <w:sz w:val="24"/>
      <w:szCs w:val="20"/>
      <w:lang w:eastAsia="en-US"/>
    </w:rPr>
  </w:style>
  <w:style w:type="paragraph" w:styleId="BodyTextIndent">
    <w:name w:val="Body Text Indent"/>
    <w:basedOn w:val="Normal"/>
    <w:rsid w:val="0021711E"/>
    <w:pPr>
      <w:ind w:left="1440" w:hanging="1440"/>
      <w:jc w:val="both"/>
    </w:pPr>
    <w:rPr>
      <w:rFonts w:ascii="Tahoma" w:hAnsi="Tahoma" w:cs="Tahoma"/>
      <w:b/>
      <w:bCs/>
      <w:color w:val="auto"/>
      <w:spacing w:val="0"/>
      <w:sz w:val="24"/>
      <w:szCs w:val="20"/>
      <w:lang w:eastAsia="en-US"/>
    </w:rPr>
  </w:style>
  <w:style w:type="character" w:styleId="Hyperlink">
    <w:name w:val="Hyperlink"/>
    <w:rsid w:val="006A1D5F"/>
    <w:rPr>
      <w:color w:val="0000FF"/>
      <w:u w:val="single"/>
    </w:rPr>
  </w:style>
  <w:style w:type="paragraph" w:styleId="Title">
    <w:name w:val="Title"/>
    <w:basedOn w:val="Normal"/>
    <w:qFormat/>
    <w:rsid w:val="008313D7"/>
    <w:pPr>
      <w:jc w:val="center"/>
    </w:pPr>
    <w:rPr>
      <w:rFonts w:ascii="Times New Roman" w:hAnsi="Times New Roman"/>
      <w:b/>
      <w:bCs/>
      <w:color w:val="auto"/>
      <w:spacing w:val="0"/>
      <w:sz w:val="24"/>
      <w:szCs w:val="24"/>
      <w:lang w:eastAsia="en-US"/>
    </w:rPr>
  </w:style>
  <w:style w:type="paragraph" w:styleId="BalloonText">
    <w:name w:val="Balloon Text"/>
    <w:basedOn w:val="Normal"/>
    <w:link w:val="BalloonTextChar"/>
    <w:rsid w:val="0028168C"/>
    <w:rPr>
      <w:rFonts w:ascii="Tahoma" w:hAnsi="Tahoma" w:cs="Tahoma"/>
      <w:sz w:val="16"/>
      <w:szCs w:val="16"/>
    </w:rPr>
  </w:style>
  <w:style w:type="character" w:customStyle="1" w:styleId="BalloonTextChar">
    <w:name w:val="Balloon Text Char"/>
    <w:link w:val="BalloonText"/>
    <w:rsid w:val="0028168C"/>
    <w:rPr>
      <w:rFonts w:ascii="Tahoma" w:hAnsi="Tahoma" w:cs="Tahoma"/>
      <w:color w:val="001F00"/>
      <w:spacing w:val="6"/>
      <w:sz w:val="16"/>
      <w:szCs w:val="16"/>
      <w:lang w:val="en-GB" w:eastAsia="en-GB"/>
    </w:rPr>
  </w:style>
  <w:style w:type="paragraph" w:styleId="ListParagraph">
    <w:name w:val="List Paragraph"/>
    <w:aliases w:val="List Paragraph 1,Table of contents numbered,Bullets,footer text,List Paragraph1,Recommendation,Bullet List"/>
    <w:basedOn w:val="Normal"/>
    <w:link w:val="ListParagraphChar"/>
    <w:uiPriority w:val="34"/>
    <w:qFormat/>
    <w:rsid w:val="00CA18EB"/>
    <w:pPr>
      <w:ind w:left="720"/>
      <w:contextualSpacing/>
    </w:pPr>
  </w:style>
  <w:style w:type="paragraph" w:styleId="FootnoteText">
    <w:name w:val="footnote text"/>
    <w:aliases w:val="Footnote Text Char1,Footnote Text Char Char,fn Char"/>
    <w:basedOn w:val="Normal"/>
    <w:link w:val="FootnoteTextChar"/>
    <w:rsid w:val="00533CE3"/>
    <w:pPr>
      <w:jc w:val="both"/>
    </w:pPr>
    <w:rPr>
      <w:color w:val="auto"/>
      <w:spacing w:val="0"/>
      <w:szCs w:val="20"/>
      <w:lang w:eastAsia="en-US"/>
    </w:rPr>
  </w:style>
  <w:style w:type="character" w:customStyle="1" w:styleId="FootnoteTextChar">
    <w:name w:val="Footnote Text Char"/>
    <w:aliases w:val="Footnote Text Char1 Char,Footnote Text Char Char Char,fn Char Char"/>
    <w:link w:val="FootnoteText"/>
    <w:rsid w:val="00533CE3"/>
    <w:rPr>
      <w:rFonts w:ascii="Arial" w:hAnsi="Arial"/>
      <w:sz w:val="18"/>
      <w:lang w:val="en-GB" w:eastAsia="en-US"/>
    </w:rPr>
  </w:style>
  <w:style w:type="character" w:styleId="FootnoteReference">
    <w:name w:val="footnote reference"/>
    <w:aliases w:val="ftref"/>
    <w:rsid w:val="00533CE3"/>
    <w:rPr>
      <w:vertAlign w:val="superscript"/>
    </w:rPr>
  </w:style>
  <w:style w:type="character" w:customStyle="1" w:styleId="Heading1Char">
    <w:name w:val="Heading 1 Char"/>
    <w:link w:val="Heading1"/>
    <w:rsid w:val="001B5973"/>
    <w:rPr>
      <w:rFonts w:ascii="Arial" w:hAnsi="Arial" w:cs="Arial"/>
      <w:b/>
      <w:bCs/>
      <w:color w:val="001F00"/>
      <w:spacing w:val="6"/>
      <w:kern w:val="32"/>
      <w:lang w:val="en-GB" w:eastAsia="en-GB"/>
    </w:rPr>
  </w:style>
  <w:style w:type="numbering" w:customStyle="1" w:styleId="Style1">
    <w:name w:val="Style1"/>
    <w:uiPriority w:val="99"/>
    <w:rsid w:val="00FD7129"/>
    <w:pPr>
      <w:numPr>
        <w:numId w:val="3"/>
      </w:numPr>
    </w:pPr>
  </w:style>
  <w:style w:type="numbering" w:customStyle="1" w:styleId="Style2">
    <w:name w:val="Style2"/>
    <w:uiPriority w:val="99"/>
    <w:rsid w:val="00FD7129"/>
    <w:pPr>
      <w:numPr>
        <w:numId w:val="4"/>
      </w:numPr>
    </w:pPr>
  </w:style>
  <w:style w:type="character" w:styleId="CommentReference">
    <w:name w:val="annotation reference"/>
    <w:semiHidden/>
    <w:unhideWhenUsed/>
    <w:rsid w:val="000E0B58"/>
    <w:rPr>
      <w:sz w:val="16"/>
      <w:szCs w:val="16"/>
    </w:rPr>
  </w:style>
  <w:style w:type="paragraph" w:styleId="CommentText">
    <w:name w:val="annotation text"/>
    <w:basedOn w:val="Normal"/>
    <w:link w:val="CommentTextChar"/>
    <w:semiHidden/>
    <w:unhideWhenUsed/>
    <w:rsid w:val="000E0B58"/>
    <w:rPr>
      <w:sz w:val="20"/>
      <w:szCs w:val="20"/>
    </w:rPr>
  </w:style>
  <w:style w:type="character" w:customStyle="1" w:styleId="CommentTextChar">
    <w:name w:val="Comment Text Char"/>
    <w:link w:val="CommentText"/>
    <w:semiHidden/>
    <w:rsid w:val="000E0B58"/>
    <w:rPr>
      <w:rFonts w:ascii="Arial" w:hAnsi="Arial"/>
      <w:color w:val="001F00"/>
      <w:spacing w:val="6"/>
      <w:lang w:val="en-GB" w:eastAsia="en-GB"/>
    </w:rPr>
  </w:style>
  <w:style w:type="paragraph" w:styleId="CommentSubject">
    <w:name w:val="annotation subject"/>
    <w:basedOn w:val="CommentText"/>
    <w:next w:val="CommentText"/>
    <w:link w:val="CommentSubjectChar"/>
    <w:semiHidden/>
    <w:unhideWhenUsed/>
    <w:rsid w:val="000E0B58"/>
    <w:rPr>
      <w:b/>
      <w:bCs/>
    </w:rPr>
  </w:style>
  <w:style w:type="character" w:customStyle="1" w:styleId="CommentSubjectChar">
    <w:name w:val="Comment Subject Char"/>
    <w:link w:val="CommentSubject"/>
    <w:semiHidden/>
    <w:rsid w:val="000E0B58"/>
    <w:rPr>
      <w:rFonts w:ascii="Arial" w:hAnsi="Arial"/>
      <w:b/>
      <w:bCs/>
      <w:color w:val="001F00"/>
      <w:spacing w:val="6"/>
      <w:lang w:val="en-GB" w:eastAsia="en-GB"/>
    </w:rPr>
  </w:style>
  <w:style w:type="paragraph" w:styleId="Caption">
    <w:name w:val="caption"/>
    <w:basedOn w:val="Normal"/>
    <w:next w:val="Normal"/>
    <w:unhideWhenUsed/>
    <w:qFormat/>
    <w:rsid w:val="00857D01"/>
    <w:rPr>
      <w:b/>
      <w:bCs/>
      <w:sz w:val="20"/>
      <w:szCs w:val="20"/>
    </w:rPr>
  </w:style>
  <w:style w:type="character" w:customStyle="1" w:styleId="ListParagraphChar">
    <w:name w:val="List Paragraph Char"/>
    <w:aliases w:val="List Paragraph 1 Char,Table of contents numbered Char,Bullets Char,footer text Char,List Paragraph1 Char,Recommendation Char,Bullet List Char"/>
    <w:link w:val="ListParagraph"/>
    <w:uiPriority w:val="34"/>
    <w:rsid w:val="004B4EA0"/>
    <w:rPr>
      <w:rFonts w:ascii="Arial" w:hAnsi="Arial"/>
      <w:color w:val="001F00"/>
      <w:spacing w:val="6"/>
      <w:sz w:val="18"/>
      <w:szCs w:val="18"/>
      <w:lang w:val="en-GB" w:eastAsia="en-GB"/>
    </w:rPr>
  </w:style>
  <w:style w:type="paragraph" w:styleId="NoSpacing">
    <w:name w:val="No Spacing"/>
    <w:uiPriority w:val="1"/>
    <w:qFormat/>
    <w:rsid w:val="00F06D8F"/>
    <w:rPr>
      <w:rFonts w:ascii="Arial" w:hAnsi="Arial"/>
      <w:sz w:val="22"/>
      <w:szCs w:val="24"/>
      <w:lang w:val="en-GB" w:eastAsia="en-US"/>
    </w:rPr>
  </w:style>
  <w:style w:type="table" w:customStyle="1" w:styleId="TableGrid1">
    <w:name w:val="Table Grid1"/>
    <w:basedOn w:val="TableNormal"/>
    <w:next w:val="TableGrid"/>
    <w:uiPriority w:val="39"/>
    <w:rsid w:val="000240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52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5F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501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37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D37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rsid w:val="00D71CD7"/>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F8"/>
    <w:rPr>
      <w:rFonts w:ascii="Arial" w:hAnsi="Arial"/>
      <w:color w:val="001F00"/>
      <w:spacing w:val="6"/>
      <w:sz w:val="18"/>
      <w:szCs w:val="18"/>
      <w:lang w:val="en-GB" w:eastAsia="en-GB"/>
    </w:rPr>
  </w:style>
  <w:style w:type="paragraph" w:styleId="Heading1">
    <w:name w:val="heading 1"/>
    <w:basedOn w:val="Normal"/>
    <w:next w:val="Normal"/>
    <w:link w:val="Heading1Char"/>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paragraph" w:styleId="Heading6">
    <w:name w:val="heading 6"/>
    <w:basedOn w:val="Normal"/>
    <w:next w:val="Normal"/>
    <w:qFormat/>
    <w:rsid w:val="0021711E"/>
    <w:pPr>
      <w:spacing w:before="240" w:after="60"/>
      <w:outlineLvl w:val="5"/>
    </w:pPr>
    <w:rPr>
      <w:rFonts w:ascii="Times New Roman" w:hAnsi="Times New Roman"/>
      <w:b/>
      <w:bCs/>
      <w:sz w:val="22"/>
      <w:szCs w:val="22"/>
    </w:rPr>
  </w:style>
  <w:style w:type="paragraph" w:styleId="Heading7">
    <w:name w:val="heading 7"/>
    <w:basedOn w:val="Normal"/>
    <w:next w:val="Normal"/>
    <w:qFormat/>
    <w:rsid w:val="0021711E"/>
    <w:pPr>
      <w:spacing w:before="240" w:after="60"/>
      <w:outlineLvl w:val="6"/>
    </w:pPr>
    <w:rPr>
      <w:rFonts w:ascii="Times New Roman" w:hAnsi="Times New Roman"/>
      <w:sz w:val="24"/>
      <w:szCs w:val="24"/>
    </w:rPr>
  </w:style>
  <w:style w:type="paragraph" w:styleId="Heading8">
    <w:name w:val="heading 8"/>
    <w:basedOn w:val="Normal"/>
    <w:next w:val="Normal"/>
    <w:qFormat/>
    <w:rsid w:val="0021711E"/>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uiPriority w:val="39"/>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odyText2">
    <w:name w:val="Body Text 2"/>
    <w:basedOn w:val="Normal"/>
    <w:rsid w:val="0021711E"/>
    <w:rPr>
      <w:rFonts w:ascii="Times New Roman" w:hAnsi="Times New Roman"/>
      <w:color w:val="auto"/>
      <w:spacing w:val="0"/>
      <w:sz w:val="24"/>
      <w:szCs w:val="20"/>
      <w:lang w:eastAsia="en-US"/>
    </w:rPr>
  </w:style>
  <w:style w:type="paragraph" w:styleId="BodyText3">
    <w:name w:val="Body Text 3"/>
    <w:basedOn w:val="Normal"/>
    <w:rsid w:val="0021711E"/>
    <w:pPr>
      <w:jc w:val="both"/>
    </w:pPr>
    <w:rPr>
      <w:rFonts w:ascii="Times New Roman" w:hAnsi="Times New Roman"/>
      <w:b/>
      <w:bCs/>
      <w:i/>
      <w:iCs/>
      <w:color w:val="auto"/>
      <w:spacing w:val="0"/>
      <w:sz w:val="24"/>
      <w:szCs w:val="20"/>
      <w:lang w:eastAsia="en-US"/>
    </w:rPr>
  </w:style>
  <w:style w:type="paragraph" w:styleId="BodyTextIndent">
    <w:name w:val="Body Text Indent"/>
    <w:basedOn w:val="Normal"/>
    <w:rsid w:val="0021711E"/>
    <w:pPr>
      <w:ind w:left="1440" w:hanging="1440"/>
      <w:jc w:val="both"/>
    </w:pPr>
    <w:rPr>
      <w:rFonts w:ascii="Tahoma" w:hAnsi="Tahoma" w:cs="Tahoma"/>
      <w:b/>
      <w:bCs/>
      <w:color w:val="auto"/>
      <w:spacing w:val="0"/>
      <w:sz w:val="24"/>
      <w:szCs w:val="20"/>
      <w:lang w:eastAsia="en-US"/>
    </w:rPr>
  </w:style>
  <w:style w:type="character" w:styleId="Hyperlink">
    <w:name w:val="Hyperlink"/>
    <w:rsid w:val="006A1D5F"/>
    <w:rPr>
      <w:color w:val="0000FF"/>
      <w:u w:val="single"/>
    </w:rPr>
  </w:style>
  <w:style w:type="paragraph" w:styleId="Title">
    <w:name w:val="Title"/>
    <w:basedOn w:val="Normal"/>
    <w:qFormat/>
    <w:rsid w:val="008313D7"/>
    <w:pPr>
      <w:jc w:val="center"/>
    </w:pPr>
    <w:rPr>
      <w:rFonts w:ascii="Times New Roman" w:hAnsi="Times New Roman"/>
      <w:b/>
      <w:bCs/>
      <w:color w:val="auto"/>
      <w:spacing w:val="0"/>
      <w:sz w:val="24"/>
      <w:szCs w:val="24"/>
      <w:lang w:eastAsia="en-US"/>
    </w:rPr>
  </w:style>
  <w:style w:type="paragraph" w:styleId="BalloonText">
    <w:name w:val="Balloon Text"/>
    <w:basedOn w:val="Normal"/>
    <w:link w:val="BalloonTextChar"/>
    <w:rsid w:val="0028168C"/>
    <w:rPr>
      <w:rFonts w:ascii="Tahoma" w:hAnsi="Tahoma" w:cs="Tahoma"/>
      <w:sz w:val="16"/>
      <w:szCs w:val="16"/>
    </w:rPr>
  </w:style>
  <w:style w:type="character" w:customStyle="1" w:styleId="BalloonTextChar">
    <w:name w:val="Balloon Text Char"/>
    <w:link w:val="BalloonText"/>
    <w:rsid w:val="0028168C"/>
    <w:rPr>
      <w:rFonts w:ascii="Tahoma" w:hAnsi="Tahoma" w:cs="Tahoma"/>
      <w:color w:val="001F00"/>
      <w:spacing w:val="6"/>
      <w:sz w:val="16"/>
      <w:szCs w:val="16"/>
      <w:lang w:val="en-GB" w:eastAsia="en-GB"/>
    </w:rPr>
  </w:style>
  <w:style w:type="paragraph" w:styleId="ListParagraph">
    <w:name w:val="List Paragraph"/>
    <w:aliases w:val="List Paragraph 1,Table of contents numbered,Bullets,footer text,List Paragraph1,Recommendation,Bullet List"/>
    <w:basedOn w:val="Normal"/>
    <w:link w:val="ListParagraphChar"/>
    <w:uiPriority w:val="34"/>
    <w:qFormat/>
    <w:rsid w:val="00CA18EB"/>
    <w:pPr>
      <w:ind w:left="720"/>
      <w:contextualSpacing/>
    </w:pPr>
  </w:style>
  <w:style w:type="paragraph" w:styleId="FootnoteText">
    <w:name w:val="footnote text"/>
    <w:aliases w:val="Footnote Text Char1,Footnote Text Char Char,fn Char"/>
    <w:basedOn w:val="Normal"/>
    <w:link w:val="FootnoteTextChar"/>
    <w:rsid w:val="00533CE3"/>
    <w:pPr>
      <w:jc w:val="both"/>
    </w:pPr>
    <w:rPr>
      <w:color w:val="auto"/>
      <w:spacing w:val="0"/>
      <w:szCs w:val="20"/>
      <w:lang w:eastAsia="en-US"/>
    </w:rPr>
  </w:style>
  <w:style w:type="character" w:customStyle="1" w:styleId="FootnoteTextChar">
    <w:name w:val="Footnote Text Char"/>
    <w:aliases w:val="Footnote Text Char1 Char,Footnote Text Char Char Char,fn Char Char"/>
    <w:link w:val="FootnoteText"/>
    <w:rsid w:val="00533CE3"/>
    <w:rPr>
      <w:rFonts w:ascii="Arial" w:hAnsi="Arial"/>
      <w:sz w:val="18"/>
      <w:lang w:val="en-GB" w:eastAsia="en-US"/>
    </w:rPr>
  </w:style>
  <w:style w:type="character" w:styleId="FootnoteReference">
    <w:name w:val="footnote reference"/>
    <w:aliases w:val="ftref"/>
    <w:rsid w:val="00533CE3"/>
    <w:rPr>
      <w:vertAlign w:val="superscript"/>
    </w:rPr>
  </w:style>
  <w:style w:type="character" w:customStyle="1" w:styleId="Heading1Char">
    <w:name w:val="Heading 1 Char"/>
    <w:link w:val="Heading1"/>
    <w:rsid w:val="001B5973"/>
    <w:rPr>
      <w:rFonts w:ascii="Arial" w:hAnsi="Arial" w:cs="Arial"/>
      <w:b/>
      <w:bCs/>
      <w:color w:val="001F00"/>
      <w:spacing w:val="6"/>
      <w:kern w:val="32"/>
      <w:lang w:val="en-GB" w:eastAsia="en-GB"/>
    </w:rPr>
  </w:style>
  <w:style w:type="numbering" w:customStyle="1" w:styleId="Style1">
    <w:name w:val="Style1"/>
    <w:uiPriority w:val="99"/>
    <w:rsid w:val="00FD7129"/>
    <w:pPr>
      <w:numPr>
        <w:numId w:val="3"/>
      </w:numPr>
    </w:pPr>
  </w:style>
  <w:style w:type="numbering" w:customStyle="1" w:styleId="Style2">
    <w:name w:val="Style2"/>
    <w:uiPriority w:val="99"/>
    <w:rsid w:val="00FD7129"/>
    <w:pPr>
      <w:numPr>
        <w:numId w:val="4"/>
      </w:numPr>
    </w:pPr>
  </w:style>
  <w:style w:type="character" w:styleId="CommentReference">
    <w:name w:val="annotation reference"/>
    <w:semiHidden/>
    <w:unhideWhenUsed/>
    <w:rsid w:val="000E0B58"/>
    <w:rPr>
      <w:sz w:val="16"/>
      <w:szCs w:val="16"/>
    </w:rPr>
  </w:style>
  <w:style w:type="paragraph" w:styleId="CommentText">
    <w:name w:val="annotation text"/>
    <w:basedOn w:val="Normal"/>
    <w:link w:val="CommentTextChar"/>
    <w:semiHidden/>
    <w:unhideWhenUsed/>
    <w:rsid w:val="000E0B58"/>
    <w:rPr>
      <w:sz w:val="20"/>
      <w:szCs w:val="20"/>
    </w:rPr>
  </w:style>
  <w:style w:type="character" w:customStyle="1" w:styleId="CommentTextChar">
    <w:name w:val="Comment Text Char"/>
    <w:link w:val="CommentText"/>
    <w:semiHidden/>
    <w:rsid w:val="000E0B58"/>
    <w:rPr>
      <w:rFonts w:ascii="Arial" w:hAnsi="Arial"/>
      <w:color w:val="001F00"/>
      <w:spacing w:val="6"/>
      <w:lang w:val="en-GB" w:eastAsia="en-GB"/>
    </w:rPr>
  </w:style>
  <w:style w:type="paragraph" w:styleId="CommentSubject">
    <w:name w:val="annotation subject"/>
    <w:basedOn w:val="CommentText"/>
    <w:next w:val="CommentText"/>
    <w:link w:val="CommentSubjectChar"/>
    <w:semiHidden/>
    <w:unhideWhenUsed/>
    <w:rsid w:val="000E0B58"/>
    <w:rPr>
      <w:b/>
      <w:bCs/>
    </w:rPr>
  </w:style>
  <w:style w:type="character" w:customStyle="1" w:styleId="CommentSubjectChar">
    <w:name w:val="Comment Subject Char"/>
    <w:link w:val="CommentSubject"/>
    <w:semiHidden/>
    <w:rsid w:val="000E0B58"/>
    <w:rPr>
      <w:rFonts w:ascii="Arial" w:hAnsi="Arial"/>
      <w:b/>
      <w:bCs/>
      <w:color w:val="001F00"/>
      <w:spacing w:val="6"/>
      <w:lang w:val="en-GB" w:eastAsia="en-GB"/>
    </w:rPr>
  </w:style>
  <w:style w:type="paragraph" w:styleId="Caption">
    <w:name w:val="caption"/>
    <w:basedOn w:val="Normal"/>
    <w:next w:val="Normal"/>
    <w:unhideWhenUsed/>
    <w:qFormat/>
    <w:rsid w:val="00857D01"/>
    <w:rPr>
      <w:b/>
      <w:bCs/>
      <w:sz w:val="20"/>
      <w:szCs w:val="20"/>
    </w:rPr>
  </w:style>
  <w:style w:type="character" w:customStyle="1" w:styleId="ListParagraphChar">
    <w:name w:val="List Paragraph Char"/>
    <w:aliases w:val="List Paragraph 1 Char,Table of contents numbered Char,Bullets Char,footer text Char,List Paragraph1 Char,Recommendation Char,Bullet List Char"/>
    <w:link w:val="ListParagraph"/>
    <w:uiPriority w:val="34"/>
    <w:rsid w:val="004B4EA0"/>
    <w:rPr>
      <w:rFonts w:ascii="Arial" w:hAnsi="Arial"/>
      <w:color w:val="001F00"/>
      <w:spacing w:val="6"/>
      <w:sz w:val="18"/>
      <w:szCs w:val="18"/>
      <w:lang w:val="en-GB" w:eastAsia="en-GB"/>
    </w:rPr>
  </w:style>
  <w:style w:type="paragraph" w:styleId="NoSpacing">
    <w:name w:val="No Spacing"/>
    <w:uiPriority w:val="1"/>
    <w:qFormat/>
    <w:rsid w:val="00F06D8F"/>
    <w:rPr>
      <w:rFonts w:ascii="Arial" w:hAnsi="Arial"/>
      <w:sz w:val="22"/>
      <w:szCs w:val="24"/>
      <w:lang w:val="en-GB" w:eastAsia="en-US"/>
    </w:rPr>
  </w:style>
  <w:style w:type="table" w:customStyle="1" w:styleId="TableGrid1">
    <w:name w:val="Table Grid1"/>
    <w:basedOn w:val="TableNormal"/>
    <w:next w:val="TableGrid"/>
    <w:uiPriority w:val="39"/>
    <w:rsid w:val="000240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52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5F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501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37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D37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rsid w:val="00D71CD7"/>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58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56038534">
          <w:marLeft w:val="0"/>
          <w:marRight w:val="0"/>
          <w:marTop w:val="0"/>
          <w:marBottom w:val="0"/>
          <w:divBdr>
            <w:top w:val="none" w:sz="0" w:space="0" w:color="auto"/>
            <w:left w:val="none" w:sz="0" w:space="0" w:color="auto"/>
            <w:bottom w:val="none" w:sz="0" w:space="0" w:color="auto"/>
            <w:right w:val="none" w:sz="0" w:space="0" w:color="auto"/>
          </w:divBdr>
          <w:divsChild>
            <w:div w:id="106656874">
              <w:marLeft w:val="0"/>
              <w:marRight w:val="0"/>
              <w:marTop w:val="0"/>
              <w:marBottom w:val="0"/>
              <w:divBdr>
                <w:top w:val="none" w:sz="0" w:space="0" w:color="auto"/>
                <w:left w:val="none" w:sz="0" w:space="0" w:color="auto"/>
                <w:bottom w:val="none" w:sz="0" w:space="0" w:color="auto"/>
                <w:right w:val="none" w:sz="0" w:space="0" w:color="auto"/>
              </w:divBdr>
            </w:div>
            <w:div w:id="663629639">
              <w:marLeft w:val="0"/>
              <w:marRight w:val="0"/>
              <w:marTop w:val="0"/>
              <w:marBottom w:val="0"/>
              <w:divBdr>
                <w:top w:val="none" w:sz="0" w:space="0" w:color="auto"/>
                <w:left w:val="none" w:sz="0" w:space="0" w:color="auto"/>
                <w:bottom w:val="none" w:sz="0" w:space="0" w:color="auto"/>
                <w:right w:val="none" w:sz="0" w:space="0" w:color="auto"/>
              </w:divBdr>
            </w:div>
            <w:div w:id="15803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7771">
      <w:bodyDiv w:val="1"/>
      <w:marLeft w:val="0"/>
      <w:marRight w:val="0"/>
      <w:marTop w:val="0"/>
      <w:marBottom w:val="0"/>
      <w:divBdr>
        <w:top w:val="none" w:sz="0" w:space="0" w:color="auto"/>
        <w:left w:val="none" w:sz="0" w:space="0" w:color="auto"/>
        <w:bottom w:val="none" w:sz="0" w:space="0" w:color="auto"/>
        <w:right w:val="none" w:sz="0" w:space="0" w:color="auto"/>
      </w:divBdr>
      <w:divsChild>
        <w:div w:id="269623947">
          <w:marLeft w:val="0"/>
          <w:marRight w:val="0"/>
          <w:marTop w:val="0"/>
          <w:marBottom w:val="0"/>
          <w:divBdr>
            <w:top w:val="none" w:sz="0" w:space="0" w:color="auto"/>
            <w:left w:val="none" w:sz="0" w:space="0" w:color="auto"/>
            <w:bottom w:val="none" w:sz="0" w:space="0" w:color="auto"/>
            <w:right w:val="none" w:sz="0" w:space="0" w:color="auto"/>
          </w:divBdr>
        </w:div>
        <w:div w:id="1250696830">
          <w:marLeft w:val="0"/>
          <w:marRight w:val="0"/>
          <w:marTop w:val="0"/>
          <w:marBottom w:val="0"/>
          <w:divBdr>
            <w:top w:val="none" w:sz="0" w:space="0" w:color="auto"/>
            <w:left w:val="none" w:sz="0" w:space="0" w:color="auto"/>
            <w:bottom w:val="none" w:sz="0" w:space="0" w:color="auto"/>
            <w:right w:val="none" w:sz="0" w:space="0" w:color="auto"/>
          </w:divBdr>
        </w:div>
        <w:div w:id="1430930794">
          <w:marLeft w:val="0"/>
          <w:marRight w:val="0"/>
          <w:marTop w:val="0"/>
          <w:marBottom w:val="0"/>
          <w:divBdr>
            <w:top w:val="none" w:sz="0" w:space="0" w:color="auto"/>
            <w:left w:val="none" w:sz="0" w:space="0" w:color="auto"/>
            <w:bottom w:val="none" w:sz="0" w:space="0" w:color="auto"/>
            <w:right w:val="none" w:sz="0" w:space="0" w:color="auto"/>
          </w:divBdr>
        </w:div>
      </w:divsChild>
    </w:div>
    <w:div w:id="618682759">
      <w:bodyDiv w:val="1"/>
      <w:marLeft w:val="240"/>
      <w:marRight w:val="240"/>
      <w:marTop w:val="240"/>
      <w:marBottom w:val="60"/>
      <w:divBdr>
        <w:top w:val="none" w:sz="0" w:space="0" w:color="auto"/>
        <w:left w:val="none" w:sz="0" w:space="0" w:color="auto"/>
        <w:bottom w:val="none" w:sz="0" w:space="0" w:color="auto"/>
        <w:right w:val="none" w:sz="0" w:space="0" w:color="auto"/>
      </w:divBdr>
      <w:divsChild>
        <w:div w:id="415396513">
          <w:marLeft w:val="0"/>
          <w:marRight w:val="0"/>
          <w:marTop w:val="0"/>
          <w:marBottom w:val="0"/>
          <w:divBdr>
            <w:top w:val="none" w:sz="0" w:space="0" w:color="auto"/>
            <w:left w:val="none" w:sz="0" w:space="0" w:color="auto"/>
            <w:bottom w:val="none" w:sz="0" w:space="0" w:color="auto"/>
            <w:right w:val="none" w:sz="0" w:space="0" w:color="auto"/>
          </w:divBdr>
          <w:divsChild>
            <w:div w:id="8292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4134">
      <w:bodyDiv w:val="1"/>
      <w:marLeft w:val="0"/>
      <w:marRight w:val="0"/>
      <w:marTop w:val="0"/>
      <w:marBottom w:val="0"/>
      <w:divBdr>
        <w:top w:val="none" w:sz="0" w:space="0" w:color="auto"/>
        <w:left w:val="none" w:sz="0" w:space="0" w:color="auto"/>
        <w:bottom w:val="none" w:sz="0" w:space="0" w:color="auto"/>
        <w:right w:val="none" w:sz="0" w:space="0" w:color="auto"/>
      </w:divBdr>
    </w:div>
    <w:div w:id="13249727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99475688">
          <w:marLeft w:val="0"/>
          <w:marRight w:val="0"/>
          <w:marTop w:val="0"/>
          <w:marBottom w:val="0"/>
          <w:divBdr>
            <w:top w:val="none" w:sz="0" w:space="0" w:color="auto"/>
            <w:left w:val="none" w:sz="0" w:space="0" w:color="auto"/>
            <w:bottom w:val="none" w:sz="0" w:space="0" w:color="auto"/>
            <w:right w:val="none" w:sz="0" w:space="0" w:color="auto"/>
          </w:divBdr>
          <w:divsChild>
            <w:div w:id="1865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2074">
      <w:bodyDiv w:val="1"/>
      <w:marLeft w:val="0"/>
      <w:marRight w:val="0"/>
      <w:marTop w:val="0"/>
      <w:marBottom w:val="0"/>
      <w:divBdr>
        <w:top w:val="none" w:sz="0" w:space="0" w:color="auto"/>
        <w:left w:val="none" w:sz="0" w:space="0" w:color="auto"/>
        <w:bottom w:val="none" w:sz="0" w:space="0" w:color="auto"/>
        <w:right w:val="none" w:sz="0" w:space="0" w:color="auto"/>
      </w:divBdr>
    </w:div>
    <w:div w:id="183621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0FD10-9CFD-449C-8288-81CC893D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13541</Words>
  <Characters>77188</Characters>
  <Application>Microsoft Office Word</Application>
  <DocSecurity>4</DocSecurity>
  <Lines>643</Lines>
  <Paragraphs>181</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90548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Asanda</cp:lastModifiedBy>
  <cp:revision>2</cp:revision>
  <cp:lastPrinted>2017-05-10T11:24:00Z</cp:lastPrinted>
  <dcterms:created xsi:type="dcterms:W3CDTF">2017-05-12T08:41:00Z</dcterms:created>
  <dcterms:modified xsi:type="dcterms:W3CDTF">2017-05-12T08:41:00Z</dcterms:modified>
</cp:coreProperties>
</file>