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A9" w:rsidRPr="00E86D06" w:rsidRDefault="002456A9" w:rsidP="00E86D06">
      <w:pPr>
        <w:spacing w:before="120" w:after="120" w:line="240" w:lineRule="auto"/>
        <w:rPr>
          <w:rFonts w:ascii="Times New Roman" w:eastAsia="Times New Roman" w:hAnsi="Times New Roman" w:cs="Times New Roman"/>
          <w:b/>
          <w:sz w:val="24"/>
          <w:szCs w:val="24"/>
        </w:rPr>
      </w:pPr>
    </w:p>
    <w:p w:rsidR="002D3515" w:rsidRPr="00E86D06" w:rsidRDefault="00320E8A" w:rsidP="00E86D06">
      <w:pPr>
        <w:spacing w:before="120" w:after="120" w:line="240" w:lineRule="auto"/>
        <w:ind w:left="360" w:hanging="450"/>
        <w:rPr>
          <w:rFonts w:ascii="Times New Roman" w:eastAsia="Times New Roman" w:hAnsi="Times New Roman" w:cs="Times New Roman"/>
          <w:b/>
          <w:sz w:val="28"/>
          <w:szCs w:val="28"/>
          <w:lang w:val="en-GB"/>
        </w:rPr>
      </w:pPr>
      <w:r w:rsidRPr="00E86D06">
        <w:rPr>
          <w:rFonts w:ascii="Times New Roman" w:eastAsia="Times New Roman" w:hAnsi="Times New Roman" w:cs="Times New Roman"/>
          <w:b/>
          <w:noProof/>
          <w:sz w:val="24"/>
          <w:szCs w:val="24"/>
          <w:lang w:eastAsia="en-ZA"/>
        </w:rPr>
        <w:drawing>
          <wp:anchor distT="0" distB="0" distL="114300" distR="114300" simplePos="0" relativeHeight="251671552" behindDoc="0" locked="0" layoutInCell="1" allowOverlap="1" wp14:anchorId="13EE287E" wp14:editId="32943215">
            <wp:simplePos x="0" y="0"/>
            <wp:positionH relativeFrom="column">
              <wp:posOffset>8877935</wp:posOffset>
            </wp:positionH>
            <wp:positionV relativeFrom="paragraph">
              <wp:posOffset>28575</wp:posOffset>
            </wp:positionV>
            <wp:extent cx="2351405" cy="800100"/>
            <wp:effectExtent l="19050" t="0" r="0" b="0"/>
            <wp:wrapNone/>
            <wp:docPr id="2"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9"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00E86D06" w:rsidRPr="00E86D06">
        <w:rPr>
          <w:rFonts w:ascii="Times New Roman" w:eastAsia="Times New Roman" w:hAnsi="Times New Roman" w:cs="Times New Roman"/>
          <w:b/>
          <w:noProof/>
          <w:sz w:val="24"/>
          <w:szCs w:val="24"/>
          <w:lang w:eastAsia="en-ZA"/>
        </w:rPr>
        <w:t>3.</w:t>
      </w:r>
      <w:r w:rsidR="00E86D06" w:rsidRPr="00E86D06">
        <w:rPr>
          <w:rFonts w:ascii="Times New Roman" w:eastAsia="Times New Roman" w:hAnsi="Times New Roman" w:cs="Times New Roman"/>
          <w:b/>
          <w:noProof/>
          <w:sz w:val="28"/>
          <w:szCs w:val="28"/>
          <w:lang w:eastAsia="en-ZA"/>
        </w:rPr>
        <w:tab/>
      </w:r>
      <w:r w:rsidR="00A02125" w:rsidRPr="00E86D06">
        <w:rPr>
          <w:rFonts w:ascii="Times New Roman" w:eastAsia="Times New Roman" w:hAnsi="Times New Roman" w:cs="Times New Roman"/>
          <w:b/>
          <w:sz w:val="28"/>
          <w:szCs w:val="28"/>
          <w:lang w:val="en-GB"/>
        </w:rPr>
        <w:t>R</w:t>
      </w:r>
      <w:r w:rsidR="00E86D06">
        <w:rPr>
          <w:rFonts w:ascii="Times New Roman" w:eastAsia="Times New Roman" w:hAnsi="Times New Roman" w:cs="Times New Roman"/>
          <w:b/>
          <w:sz w:val="28"/>
          <w:szCs w:val="28"/>
          <w:lang w:val="en-GB"/>
        </w:rPr>
        <w:t xml:space="preserve">eport of the Portfolio Committee on Cooperative Governance and Traditional Affairs on the Annual Performance Plan and Budget Vote No. 4 of the Department of Cooperative Governance and Traditional Affairs, </w:t>
      </w:r>
      <w:r w:rsidR="002D3515" w:rsidRPr="00E86D06">
        <w:rPr>
          <w:rFonts w:ascii="Times New Roman" w:eastAsia="Times New Roman" w:hAnsi="Times New Roman" w:cs="Times New Roman"/>
          <w:b/>
          <w:sz w:val="28"/>
          <w:szCs w:val="28"/>
          <w:lang w:val="en-GB"/>
        </w:rPr>
        <w:t>D</w:t>
      </w:r>
      <w:r w:rsidR="00E86D06">
        <w:rPr>
          <w:rFonts w:ascii="Times New Roman" w:eastAsia="Times New Roman" w:hAnsi="Times New Roman" w:cs="Times New Roman"/>
          <w:b/>
          <w:sz w:val="28"/>
          <w:szCs w:val="28"/>
          <w:lang w:val="en-GB"/>
        </w:rPr>
        <w:t>ated</w:t>
      </w:r>
      <w:r w:rsidR="002D3515" w:rsidRPr="00E86D06">
        <w:rPr>
          <w:rFonts w:ascii="Times New Roman" w:eastAsia="Times New Roman" w:hAnsi="Times New Roman" w:cs="Times New Roman"/>
          <w:b/>
          <w:sz w:val="28"/>
          <w:szCs w:val="28"/>
          <w:lang w:val="en-GB"/>
        </w:rPr>
        <w:t xml:space="preserve"> </w:t>
      </w:r>
      <w:r w:rsidR="00EB2F17" w:rsidRPr="00E86D06">
        <w:rPr>
          <w:rFonts w:ascii="Times New Roman" w:eastAsia="Times New Roman" w:hAnsi="Times New Roman" w:cs="Times New Roman"/>
          <w:b/>
          <w:sz w:val="28"/>
          <w:szCs w:val="28"/>
          <w:lang w:val="en-GB"/>
        </w:rPr>
        <w:t xml:space="preserve">10 </w:t>
      </w:r>
      <w:r w:rsidR="00E86D06">
        <w:rPr>
          <w:rFonts w:ascii="Times New Roman" w:eastAsia="Times New Roman" w:hAnsi="Times New Roman" w:cs="Times New Roman"/>
          <w:b/>
          <w:sz w:val="28"/>
          <w:szCs w:val="28"/>
          <w:lang w:val="en-GB"/>
        </w:rPr>
        <w:t>May</w:t>
      </w:r>
      <w:r w:rsidR="002D3515" w:rsidRPr="00E86D06">
        <w:rPr>
          <w:rFonts w:ascii="Times New Roman" w:eastAsia="Times New Roman" w:hAnsi="Times New Roman" w:cs="Times New Roman"/>
          <w:b/>
          <w:sz w:val="28"/>
          <w:szCs w:val="28"/>
          <w:lang w:val="en-GB"/>
        </w:rPr>
        <w:t xml:space="preserve"> 2017</w:t>
      </w:r>
    </w:p>
    <w:p w:rsidR="00A02125" w:rsidRPr="00E86D06" w:rsidRDefault="00A02125" w:rsidP="00E86D06">
      <w:pPr>
        <w:spacing w:before="120" w:after="120" w:line="240" w:lineRule="auto"/>
        <w:rPr>
          <w:rFonts w:ascii="Times New Roman" w:eastAsia="Times New Roman" w:hAnsi="Times New Roman" w:cs="Times New Roman"/>
          <w:b/>
          <w:sz w:val="24"/>
          <w:szCs w:val="24"/>
          <w:lang w:val="en-GB"/>
        </w:rPr>
      </w:pPr>
      <w:bookmarkStart w:id="0" w:name="_GoBack"/>
      <w:bookmarkEnd w:id="0"/>
    </w:p>
    <w:p w:rsidR="002D3515" w:rsidRPr="00E86D06" w:rsidRDefault="002D3515" w:rsidP="00E86D06">
      <w:pPr>
        <w:spacing w:before="120" w:after="120" w:line="240" w:lineRule="auto"/>
        <w:rPr>
          <w:rFonts w:ascii="Times New Roman" w:eastAsia="Times New Roman" w:hAnsi="Times New Roman" w:cs="Times New Roman"/>
          <w:sz w:val="24"/>
          <w:szCs w:val="24"/>
          <w:lang w:val="en-GB"/>
        </w:rPr>
      </w:pPr>
      <w:r w:rsidRPr="00E86D06">
        <w:rPr>
          <w:rFonts w:ascii="Times New Roman" w:eastAsia="Times New Roman" w:hAnsi="Times New Roman" w:cs="Times New Roman"/>
          <w:sz w:val="24"/>
          <w:szCs w:val="24"/>
          <w:lang w:val="en-GB"/>
        </w:rPr>
        <w:t xml:space="preserve">The Portfolio Committee on Cooperative Governance and Traditional Affairs (the Committee), having met with the Department of Cooperative Governance and Traditional Affairs and </w:t>
      </w:r>
      <w:r w:rsidR="00A02125" w:rsidRPr="00E86D06">
        <w:rPr>
          <w:rFonts w:ascii="Times New Roman" w:eastAsia="Times New Roman" w:hAnsi="Times New Roman" w:cs="Times New Roman"/>
          <w:sz w:val="24"/>
          <w:szCs w:val="24"/>
          <w:lang w:val="en-GB"/>
        </w:rPr>
        <w:t xml:space="preserve">the </w:t>
      </w:r>
      <w:r w:rsidRPr="00E86D06">
        <w:rPr>
          <w:rFonts w:ascii="Times New Roman" w:eastAsia="Times New Roman" w:hAnsi="Times New Roman" w:cs="Times New Roman"/>
          <w:sz w:val="24"/>
          <w:szCs w:val="24"/>
          <w:lang w:val="en-GB"/>
        </w:rPr>
        <w:t>entities reporting to it, on their five-year Strategic Plan, Annual Performance Plans (APP) and Budget for 2017/18 financial year, reports as follows:</w:t>
      </w:r>
    </w:p>
    <w:p w:rsidR="002D3515" w:rsidRPr="00E86D06" w:rsidRDefault="002D3515" w:rsidP="00E86D06">
      <w:pPr>
        <w:spacing w:before="120" w:after="120" w:line="240" w:lineRule="auto"/>
        <w:rPr>
          <w:rFonts w:ascii="Times New Roman" w:eastAsia="Times New Roman" w:hAnsi="Times New Roman" w:cs="Times New Roman"/>
          <w:b/>
          <w:sz w:val="24"/>
          <w:szCs w:val="24"/>
          <w:lang w:val="en-GB"/>
        </w:rPr>
      </w:pPr>
    </w:p>
    <w:p w:rsidR="002D3515" w:rsidRPr="00E86D06" w:rsidRDefault="002D3515" w:rsidP="00E86D06">
      <w:pPr>
        <w:numPr>
          <w:ilvl w:val="0"/>
          <w:numId w:val="20"/>
        </w:numPr>
        <w:spacing w:before="120" w:after="120" w:line="240" w:lineRule="auto"/>
        <w:ind w:left="426"/>
        <w:jc w:val="left"/>
        <w:rPr>
          <w:rFonts w:ascii="Times New Roman" w:eastAsia="Times New Roman" w:hAnsi="Times New Roman" w:cs="Times New Roman"/>
          <w:b/>
          <w:color w:val="000000"/>
          <w:spacing w:val="6"/>
          <w:sz w:val="24"/>
          <w:szCs w:val="24"/>
          <w:lang w:val="en-GB" w:eastAsia="en-GB"/>
        </w:rPr>
      </w:pPr>
      <w:r w:rsidRPr="00E86D06">
        <w:rPr>
          <w:rFonts w:ascii="Times New Roman" w:eastAsia="Times New Roman" w:hAnsi="Times New Roman" w:cs="Times New Roman"/>
          <w:b/>
          <w:color w:val="000000"/>
          <w:spacing w:val="6"/>
          <w:sz w:val="24"/>
          <w:szCs w:val="24"/>
          <w:lang w:val="en-GB" w:eastAsia="en-GB"/>
        </w:rPr>
        <w:t>BACKGROUND</w:t>
      </w:r>
    </w:p>
    <w:p w:rsidR="002D3515" w:rsidRPr="00E86D06" w:rsidRDefault="002D3515" w:rsidP="00E86D06">
      <w:pPr>
        <w:spacing w:before="120" w:after="120" w:line="240" w:lineRule="auto"/>
        <w:ind w:left="66"/>
        <w:rPr>
          <w:rFonts w:ascii="Times New Roman" w:eastAsia="Times New Roman" w:hAnsi="Times New Roman" w:cs="Times New Roman"/>
          <w:b/>
          <w:color w:val="000000"/>
          <w:spacing w:val="6"/>
          <w:sz w:val="24"/>
          <w:szCs w:val="24"/>
          <w:lang w:val="en-GB" w:eastAsia="en-GB"/>
        </w:rPr>
      </w:pPr>
    </w:p>
    <w:p w:rsidR="00A02125" w:rsidRPr="00E86D06" w:rsidRDefault="002D3515"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In terms of section 55(2) of the Constitution of the Republic of South Africa, </w:t>
      </w:r>
      <w:r w:rsidR="00A02125" w:rsidRPr="00E86D06">
        <w:rPr>
          <w:rFonts w:ascii="Times New Roman" w:eastAsia="Times New Roman" w:hAnsi="Times New Roman" w:cs="Times New Roman"/>
          <w:color w:val="000000"/>
          <w:spacing w:val="6"/>
          <w:sz w:val="24"/>
          <w:szCs w:val="24"/>
          <w:lang w:val="en-GB" w:eastAsia="en-GB"/>
        </w:rPr>
        <w:t>(</w:t>
      </w:r>
      <w:r w:rsidRPr="00E86D06">
        <w:rPr>
          <w:rFonts w:ascii="Times New Roman" w:eastAsia="Times New Roman" w:hAnsi="Times New Roman" w:cs="Times New Roman"/>
          <w:color w:val="000000"/>
          <w:spacing w:val="6"/>
          <w:sz w:val="24"/>
          <w:szCs w:val="24"/>
          <w:lang w:val="en-GB" w:eastAsia="en-GB"/>
        </w:rPr>
        <w:t>Act 108 of 1996</w:t>
      </w:r>
      <w:r w:rsidR="00A02125" w:rsidRPr="00E86D06">
        <w:rPr>
          <w:rFonts w:ascii="Times New Roman" w:eastAsia="Times New Roman" w:hAnsi="Times New Roman" w:cs="Times New Roman"/>
          <w:color w:val="000000"/>
          <w:spacing w:val="6"/>
          <w:sz w:val="24"/>
          <w:szCs w:val="24"/>
          <w:lang w:val="en-GB" w:eastAsia="en-GB"/>
        </w:rPr>
        <w:t>)</w:t>
      </w:r>
      <w:r w:rsidRPr="00E86D06">
        <w:rPr>
          <w:rFonts w:ascii="Times New Roman" w:eastAsia="Times New Roman" w:hAnsi="Times New Roman" w:cs="Times New Roman"/>
          <w:color w:val="000000"/>
          <w:spacing w:val="6"/>
          <w:sz w:val="24"/>
          <w:szCs w:val="24"/>
          <w:lang w:val="en-GB" w:eastAsia="en-GB"/>
        </w:rPr>
        <w:t xml:space="preserve">, </w:t>
      </w:r>
      <w:r w:rsidR="00A02125" w:rsidRPr="00E86D06">
        <w:rPr>
          <w:rFonts w:ascii="Times New Roman" w:eastAsia="Times New Roman" w:hAnsi="Times New Roman" w:cs="Times New Roman"/>
          <w:color w:val="000000"/>
          <w:spacing w:val="6"/>
          <w:sz w:val="24"/>
          <w:szCs w:val="24"/>
          <w:lang w:val="en-GB" w:eastAsia="en-GB"/>
        </w:rPr>
        <w:t xml:space="preserve">the </w:t>
      </w:r>
      <w:r w:rsidRPr="00E86D06">
        <w:rPr>
          <w:rFonts w:ascii="Times New Roman" w:eastAsia="Times New Roman" w:hAnsi="Times New Roman" w:cs="Times New Roman"/>
          <w:color w:val="000000"/>
          <w:spacing w:val="6"/>
          <w:sz w:val="24"/>
          <w:szCs w:val="24"/>
          <w:lang w:val="en-GB" w:eastAsia="en-GB"/>
        </w:rPr>
        <w:t>National Assembly must provide for mechanisms: (a) to ensure that all executive organs of state in the national sphere of government are accountable to it; and (b) to maintain oversight of</w:t>
      </w:r>
      <w:r w:rsidR="00A02125" w:rsidRPr="00E86D06">
        <w:rPr>
          <w:rFonts w:ascii="Times New Roman" w:eastAsia="Times New Roman" w:hAnsi="Times New Roman" w:cs="Times New Roman"/>
          <w:color w:val="000000"/>
          <w:spacing w:val="6"/>
          <w:sz w:val="24"/>
          <w:szCs w:val="24"/>
          <w:lang w:val="en-GB" w:eastAsia="en-GB"/>
        </w:rPr>
        <w:t xml:space="preserve"> – </w:t>
      </w:r>
    </w:p>
    <w:p w:rsidR="00A02125" w:rsidRPr="00E86D06" w:rsidRDefault="00A02125"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p>
    <w:p w:rsidR="00A02125" w:rsidRPr="00E86D06" w:rsidRDefault="002D3515" w:rsidP="00E86D06">
      <w:pPr>
        <w:pStyle w:val="ListParagraph"/>
        <w:numPr>
          <w:ilvl w:val="0"/>
          <w:numId w:val="25"/>
        </w:num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the national executive authority, including the implementation of legislation; and </w:t>
      </w:r>
      <w:r w:rsidR="00A02125" w:rsidRPr="00E86D06">
        <w:rPr>
          <w:rFonts w:ascii="Times New Roman" w:eastAsia="Times New Roman" w:hAnsi="Times New Roman" w:cs="Times New Roman"/>
          <w:color w:val="000000"/>
          <w:spacing w:val="6"/>
          <w:sz w:val="24"/>
          <w:szCs w:val="24"/>
          <w:lang w:val="en-GB" w:eastAsia="en-GB"/>
        </w:rPr>
        <w:t xml:space="preserve">      </w:t>
      </w:r>
    </w:p>
    <w:p w:rsidR="00A02125" w:rsidRPr="00E86D06" w:rsidRDefault="002D3515" w:rsidP="00E86D06">
      <w:pPr>
        <w:pStyle w:val="ListParagraph"/>
        <w:numPr>
          <w:ilvl w:val="0"/>
          <w:numId w:val="25"/>
        </w:numPr>
        <w:spacing w:before="120" w:after="120" w:line="240" w:lineRule="auto"/>
        <w:rPr>
          <w:rFonts w:ascii="Times New Roman" w:eastAsia="Times New Roman" w:hAnsi="Times New Roman" w:cs="Times New Roman"/>
          <w:color w:val="000000"/>
          <w:spacing w:val="6"/>
          <w:sz w:val="24"/>
          <w:szCs w:val="24"/>
          <w:lang w:val="en-GB" w:eastAsia="en-GB"/>
        </w:rPr>
      </w:pPr>
      <w:proofErr w:type="gramStart"/>
      <w:r w:rsidRPr="00E86D06">
        <w:rPr>
          <w:rFonts w:ascii="Times New Roman" w:eastAsia="Times New Roman" w:hAnsi="Times New Roman" w:cs="Times New Roman"/>
          <w:color w:val="000000"/>
          <w:spacing w:val="6"/>
          <w:sz w:val="24"/>
          <w:szCs w:val="24"/>
          <w:lang w:val="en-GB" w:eastAsia="en-GB"/>
        </w:rPr>
        <w:t>any</w:t>
      </w:r>
      <w:proofErr w:type="gramEnd"/>
      <w:r w:rsidRPr="00E86D06">
        <w:rPr>
          <w:rFonts w:ascii="Times New Roman" w:eastAsia="Times New Roman" w:hAnsi="Times New Roman" w:cs="Times New Roman"/>
          <w:color w:val="000000"/>
          <w:spacing w:val="6"/>
          <w:sz w:val="24"/>
          <w:szCs w:val="24"/>
          <w:lang w:val="en-GB" w:eastAsia="en-GB"/>
        </w:rPr>
        <w:t xml:space="preserve"> organ of state. </w:t>
      </w:r>
    </w:p>
    <w:p w:rsidR="00A02125" w:rsidRPr="00E86D06" w:rsidRDefault="00A02125" w:rsidP="00E86D06">
      <w:pPr>
        <w:pStyle w:val="ListParagraph"/>
        <w:spacing w:before="120" w:after="120" w:line="240" w:lineRule="auto"/>
        <w:ind w:left="0"/>
        <w:rPr>
          <w:rFonts w:ascii="Times New Roman" w:eastAsia="Times New Roman" w:hAnsi="Times New Roman" w:cs="Times New Roman"/>
          <w:color w:val="000000"/>
          <w:spacing w:val="6"/>
          <w:sz w:val="24"/>
          <w:szCs w:val="24"/>
          <w:lang w:val="en-GB" w:eastAsia="en-GB"/>
        </w:rPr>
      </w:pPr>
    </w:p>
    <w:p w:rsidR="002D3515" w:rsidRPr="00E86D06" w:rsidRDefault="002D3515"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The Money Bills Amendment Procedure and Related Matters Act, </w:t>
      </w:r>
      <w:r w:rsidR="00A02125" w:rsidRPr="00E86D06">
        <w:rPr>
          <w:rFonts w:ascii="Times New Roman" w:eastAsia="Times New Roman" w:hAnsi="Times New Roman" w:cs="Times New Roman"/>
          <w:color w:val="000000"/>
          <w:spacing w:val="6"/>
          <w:sz w:val="24"/>
          <w:szCs w:val="24"/>
          <w:lang w:val="en-GB" w:eastAsia="en-GB"/>
        </w:rPr>
        <w:t xml:space="preserve">(Act 9 of 2009) </w:t>
      </w:r>
      <w:r w:rsidRPr="00E86D06">
        <w:rPr>
          <w:rFonts w:ascii="Times New Roman" w:eastAsia="Times New Roman" w:hAnsi="Times New Roman" w:cs="Times New Roman"/>
          <w:color w:val="000000"/>
          <w:spacing w:val="6"/>
          <w:sz w:val="24"/>
          <w:szCs w:val="24"/>
          <w:lang w:val="en-GB" w:eastAsia="en-GB"/>
        </w:rPr>
        <w:t>vests powers in Parliament to reject or recommend budgets of national government departments. The Act further makes provision for the implementation of recommendations emanating from the Committee oversight.</w:t>
      </w:r>
    </w:p>
    <w:p w:rsidR="002D3515" w:rsidRPr="00E86D06" w:rsidRDefault="002D3515"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p>
    <w:p w:rsidR="002D3515" w:rsidRDefault="002D3515"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The Committee exercises its mandate of oversight in line with the above-mentioned legislative framework over the Department of Cooperative Governance and Traditional Affairs (</w:t>
      </w:r>
      <w:proofErr w:type="spellStart"/>
      <w:r w:rsidRPr="00E86D06">
        <w:rPr>
          <w:rFonts w:ascii="Times New Roman" w:eastAsia="Times New Roman" w:hAnsi="Times New Roman" w:cs="Times New Roman"/>
          <w:color w:val="000000"/>
          <w:spacing w:val="6"/>
          <w:sz w:val="24"/>
          <w:szCs w:val="24"/>
          <w:lang w:val="en-GB" w:eastAsia="en-GB"/>
        </w:rPr>
        <w:t>CoGTA</w:t>
      </w:r>
      <w:proofErr w:type="spellEnd"/>
      <w:r w:rsidRPr="00E86D06">
        <w:rPr>
          <w:rFonts w:ascii="Times New Roman" w:eastAsia="Times New Roman" w:hAnsi="Times New Roman" w:cs="Times New Roman"/>
          <w:color w:val="000000"/>
          <w:spacing w:val="6"/>
          <w:sz w:val="24"/>
          <w:szCs w:val="24"/>
          <w:lang w:val="en-GB" w:eastAsia="en-GB"/>
        </w:rPr>
        <w:t>) and its entities, namely: the Municipal Demarcation Board (MDB); the Commission for the Promotion and Protection of the Rights of Cultural</w:t>
      </w:r>
      <w:r w:rsidR="00A02125" w:rsidRPr="00E86D06">
        <w:rPr>
          <w:rFonts w:ascii="Times New Roman" w:eastAsia="Times New Roman" w:hAnsi="Times New Roman" w:cs="Times New Roman"/>
          <w:color w:val="000000"/>
          <w:spacing w:val="6"/>
          <w:sz w:val="24"/>
          <w:szCs w:val="24"/>
          <w:lang w:val="en-GB" w:eastAsia="en-GB"/>
        </w:rPr>
        <w:t>,</w:t>
      </w:r>
      <w:r w:rsidRPr="00E86D06">
        <w:rPr>
          <w:rFonts w:ascii="Times New Roman" w:eastAsia="Times New Roman" w:hAnsi="Times New Roman" w:cs="Times New Roman"/>
          <w:color w:val="000000"/>
          <w:spacing w:val="6"/>
          <w:sz w:val="24"/>
          <w:szCs w:val="24"/>
          <w:lang w:val="en-GB" w:eastAsia="en-GB"/>
        </w:rPr>
        <w:t xml:space="preserve"> Religious and Linguistic Communities (CRL Rights Commission); the South African Local Government Association (SALGA); and the National House of Traditional Leaders (NHTL). The Committee met with the Department </w:t>
      </w:r>
      <w:r w:rsidR="00A02125" w:rsidRPr="00E86D06">
        <w:rPr>
          <w:rFonts w:ascii="Times New Roman" w:eastAsia="Times New Roman" w:hAnsi="Times New Roman" w:cs="Times New Roman"/>
          <w:color w:val="000000"/>
          <w:spacing w:val="6"/>
          <w:sz w:val="24"/>
          <w:szCs w:val="24"/>
          <w:lang w:val="en-GB" w:eastAsia="en-GB"/>
        </w:rPr>
        <w:t>of</w:t>
      </w:r>
      <w:r w:rsidRPr="00E86D06">
        <w:rPr>
          <w:rFonts w:ascii="Times New Roman" w:eastAsia="Times New Roman" w:hAnsi="Times New Roman" w:cs="Times New Roman"/>
          <w:color w:val="000000"/>
          <w:spacing w:val="6"/>
          <w:sz w:val="24"/>
          <w:szCs w:val="24"/>
          <w:lang w:val="en-GB" w:eastAsia="en-GB"/>
        </w:rPr>
        <w:t xml:space="preserve"> </w:t>
      </w:r>
      <w:proofErr w:type="spellStart"/>
      <w:r w:rsidRPr="00E86D06">
        <w:rPr>
          <w:rFonts w:ascii="Times New Roman" w:eastAsia="Times New Roman" w:hAnsi="Times New Roman" w:cs="Times New Roman"/>
          <w:color w:val="000000"/>
          <w:spacing w:val="6"/>
          <w:sz w:val="24"/>
          <w:szCs w:val="24"/>
          <w:lang w:val="en-GB" w:eastAsia="en-GB"/>
        </w:rPr>
        <w:t>CoGTA</w:t>
      </w:r>
      <w:proofErr w:type="spellEnd"/>
      <w:r w:rsidRPr="00E86D06">
        <w:rPr>
          <w:rFonts w:ascii="Times New Roman" w:eastAsia="Times New Roman" w:hAnsi="Times New Roman" w:cs="Times New Roman"/>
          <w:color w:val="000000"/>
          <w:spacing w:val="6"/>
          <w:sz w:val="24"/>
          <w:szCs w:val="24"/>
          <w:lang w:val="en-GB" w:eastAsia="en-GB"/>
        </w:rPr>
        <w:t xml:space="preserve"> on </w:t>
      </w:r>
      <w:r w:rsidR="00FC5234" w:rsidRPr="00E86D06">
        <w:rPr>
          <w:rFonts w:ascii="Times New Roman" w:eastAsia="Times New Roman" w:hAnsi="Times New Roman" w:cs="Times New Roman"/>
          <w:color w:val="000000"/>
          <w:spacing w:val="6"/>
          <w:sz w:val="24"/>
          <w:szCs w:val="24"/>
          <w:lang w:val="en-GB" w:eastAsia="en-GB"/>
        </w:rPr>
        <w:t>14 March 2017</w:t>
      </w:r>
      <w:r w:rsidR="00A02125" w:rsidRPr="00E86D06">
        <w:rPr>
          <w:rFonts w:ascii="Times New Roman" w:eastAsia="Times New Roman" w:hAnsi="Times New Roman" w:cs="Times New Roman"/>
          <w:color w:val="000000"/>
          <w:spacing w:val="6"/>
          <w:sz w:val="24"/>
          <w:szCs w:val="24"/>
          <w:lang w:val="en-GB" w:eastAsia="en-GB"/>
        </w:rPr>
        <w:t>,</w:t>
      </w:r>
      <w:r w:rsidRPr="00E86D06">
        <w:rPr>
          <w:rFonts w:ascii="Times New Roman" w:eastAsia="Times New Roman" w:hAnsi="Times New Roman" w:cs="Times New Roman"/>
          <w:color w:val="000000"/>
          <w:spacing w:val="6"/>
          <w:sz w:val="24"/>
          <w:szCs w:val="24"/>
          <w:lang w:val="en-GB" w:eastAsia="en-GB"/>
        </w:rPr>
        <w:t xml:space="preserve"> to receive a briefing on the Strategic and Annual Performance Plans and the Budget</w:t>
      </w:r>
      <w:r w:rsidR="00A02125" w:rsidRPr="00E86D06">
        <w:rPr>
          <w:rFonts w:ascii="Times New Roman" w:eastAsia="Times New Roman" w:hAnsi="Times New Roman" w:cs="Times New Roman"/>
          <w:color w:val="000000"/>
          <w:spacing w:val="6"/>
          <w:sz w:val="24"/>
          <w:szCs w:val="24"/>
          <w:lang w:val="en-GB" w:eastAsia="en-GB"/>
        </w:rPr>
        <w:t xml:space="preserve"> of the Department</w:t>
      </w:r>
      <w:r w:rsidR="00FC5234" w:rsidRPr="00E86D06">
        <w:rPr>
          <w:rFonts w:ascii="Times New Roman" w:eastAsia="Times New Roman" w:hAnsi="Times New Roman" w:cs="Times New Roman"/>
          <w:color w:val="000000"/>
          <w:spacing w:val="6"/>
          <w:sz w:val="24"/>
          <w:szCs w:val="24"/>
          <w:lang w:val="en-GB" w:eastAsia="en-GB"/>
        </w:rPr>
        <w:t xml:space="preserve">. </w:t>
      </w:r>
      <w:r w:rsidRPr="00E86D06">
        <w:rPr>
          <w:rFonts w:ascii="Times New Roman" w:eastAsia="Times New Roman" w:hAnsi="Times New Roman" w:cs="Times New Roman"/>
          <w:color w:val="000000"/>
          <w:spacing w:val="6"/>
          <w:sz w:val="24"/>
          <w:szCs w:val="24"/>
          <w:lang w:val="en-GB" w:eastAsia="en-GB"/>
        </w:rPr>
        <w:t xml:space="preserve">The Committee also met with the </w:t>
      </w:r>
      <w:r w:rsidR="00FC5234" w:rsidRPr="00E86D06">
        <w:rPr>
          <w:rFonts w:ascii="Times New Roman" w:eastAsia="Times New Roman" w:hAnsi="Times New Roman" w:cs="Times New Roman"/>
          <w:color w:val="000000"/>
          <w:spacing w:val="6"/>
          <w:sz w:val="24"/>
          <w:szCs w:val="24"/>
          <w:lang w:val="en-GB" w:eastAsia="en-GB"/>
        </w:rPr>
        <w:t xml:space="preserve">SALGA, </w:t>
      </w:r>
      <w:r w:rsidRPr="00E86D06">
        <w:rPr>
          <w:rFonts w:ascii="Times New Roman" w:eastAsia="Times New Roman" w:hAnsi="Times New Roman" w:cs="Times New Roman"/>
          <w:color w:val="000000"/>
          <w:spacing w:val="6"/>
          <w:sz w:val="24"/>
          <w:szCs w:val="24"/>
          <w:lang w:val="en-GB" w:eastAsia="en-GB"/>
        </w:rPr>
        <w:t xml:space="preserve">CRL Rights Commission and MBD on </w:t>
      </w:r>
      <w:r w:rsidR="00FC5234" w:rsidRPr="00E86D06">
        <w:rPr>
          <w:rFonts w:ascii="Times New Roman" w:eastAsia="Times New Roman" w:hAnsi="Times New Roman" w:cs="Times New Roman"/>
          <w:color w:val="000000"/>
          <w:spacing w:val="6"/>
          <w:sz w:val="24"/>
          <w:szCs w:val="24"/>
          <w:lang w:val="en-GB" w:eastAsia="en-GB"/>
        </w:rPr>
        <w:t>24</w:t>
      </w:r>
      <w:r w:rsidRPr="00E86D06">
        <w:rPr>
          <w:rFonts w:ascii="Times New Roman" w:eastAsia="Times New Roman" w:hAnsi="Times New Roman" w:cs="Times New Roman"/>
          <w:color w:val="000000"/>
          <w:spacing w:val="6"/>
          <w:sz w:val="24"/>
          <w:szCs w:val="24"/>
          <w:lang w:val="en-GB" w:eastAsia="en-GB"/>
        </w:rPr>
        <w:t xml:space="preserve"> March 201</w:t>
      </w:r>
      <w:r w:rsidR="00FC5234" w:rsidRPr="00E86D06">
        <w:rPr>
          <w:rFonts w:ascii="Times New Roman" w:eastAsia="Times New Roman" w:hAnsi="Times New Roman" w:cs="Times New Roman"/>
          <w:color w:val="000000"/>
          <w:spacing w:val="6"/>
          <w:sz w:val="24"/>
          <w:szCs w:val="24"/>
          <w:lang w:val="en-GB" w:eastAsia="en-GB"/>
        </w:rPr>
        <w:t>7</w:t>
      </w:r>
      <w:r w:rsidRPr="00E86D06">
        <w:rPr>
          <w:rFonts w:ascii="Times New Roman" w:eastAsia="Times New Roman" w:hAnsi="Times New Roman" w:cs="Times New Roman"/>
          <w:color w:val="000000"/>
          <w:spacing w:val="6"/>
          <w:sz w:val="24"/>
          <w:szCs w:val="24"/>
          <w:lang w:val="en-GB" w:eastAsia="en-GB"/>
        </w:rPr>
        <w:t xml:space="preserve"> to receive a briefing on their Five-year Strategic Plan, APP and the</w:t>
      </w:r>
      <w:r w:rsidR="00A02125" w:rsidRPr="00E86D06">
        <w:rPr>
          <w:rFonts w:ascii="Times New Roman" w:eastAsia="Times New Roman" w:hAnsi="Times New Roman" w:cs="Times New Roman"/>
          <w:color w:val="000000"/>
          <w:spacing w:val="6"/>
          <w:sz w:val="24"/>
          <w:szCs w:val="24"/>
          <w:lang w:val="en-GB" w:eastAsia="en-GB"/>
        </w:rPr>
        <w:t>ir</w:t>
      </w:r>
      <w:r w:rsidRPr="00E86D06">
        <w:rPr>
          <w:rFonts w:ascii="Times New Roman" w:eastAsia="Times New Roman" w:hAnsi="Times New Roman" w:cs="Times New Roman"/>
          <w:color w:val="000000"/>
          <w:spacing w:val="6"/>
          <w:sz w:val="24"/>
          <w:szCs w:val="24"/>
          <w:lang w:val="en-GB" w:eastAsia="en-GB"/>
        </w:rPr>
        <w:t xml:space="preserve"> Budget. </w:t>
      </w:r>
    </w:p>
    <w:p w:rsidR="00E86D06" w:rsidRPr="00E86D06" w:rsidRDefault="00E86D06" w:rsidP="00E86D06">
      <w:pPr>
        <w:spacing w:before="120" w:after="120" w:line="240" w:lineRule="auto"/>
        <w:ind w:left="66"/>
        <w:rPr>
          <w:rFonts w:ascii="Times New Roman" w:eastAsia="Times New Roman" w:hAnsi="Times New Roman" w:cs="Times New Roman"/>
          <w:color w:val="000000"/>
          <w:spacing w:val="6"/>
          <w:sz w:val="24"/>
          <w:szCs w:val="24"/>
          <w:lang w:val="en-GB" w:eastAsia="en-GB"/>
        </w:rPr>
      </w:pPr>
    </w:p>
    <w:p w:rsidR="00052B47" w:rsidRPr="00E86D06" w:rsidRDefault="002D6EE7" w:rsidP="00E86D06">
      <w:pPr>
        <w:pStyle w:val="Heading1"/>
        <w:numPr>
          <w:ilvl w:val="0"/>
          <w:numId w:val="20"/>
        </w:numPr>
        <w:spacing w:before="120" w:after="120" w:line="240" w:lineRule="auto"/>
        <w:rPr>
          <w:rFonts w:ascii="Times New Roman" w:hAnsi="Times New Roman" w:cs="Times New Roman"/>
          <w:color w:val="auto"/>
          <w:sz w:val="24"/>
          <w:szCs w:val="24"/>
        </w:rPr>
      </w:pPr>
      <w:bookmarkStart w:id="1" w:name="_Toc477175312"/>
      <w:r w:rsidRPr="00E86D06">
        <w:rPr>
          <w:rFonts w:ascii="Times New Roman" w:hAnsi="Times New Roman" w:cs="Times New Roman"/>
          <w:color w:val="auto"/>
          <w:sz w:val="24"/>
          <w:szCs w:val="24"/>
        </w:rPr>
        <w:t>Introduction</w:t>
      </w:r>
      <w:bookmarkEnd w:id="1"/>
    </w:p>
    <w:p w:rsidR="009E0C94" w:rsidRPr="00E86D06" w:rsidRDefault="009E0C94" w:rsidP="00E86D06">
      <w:pPr>
        <w:spacing w:before="120" w:after="120" w:line="240" w:lineRule="auto"/>
        <w:rPr>
          <w:rFonts w:ascii="Times New Roman" w:hAnsi="Times New Roman" w:cs="Times New Roman"/>
          <w:sz w:val="24"/>
          <w:szCs w:val="24"/>
        </w:rPr>
      </w:pPr>
    </w:p>
    <w:p w:rsidR="00393992" w:rsidRPr="00E86D06" w:rsidRDefault="001B5895"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Budget 2017 echoes the e</w:t>
      </w:r>
      <w:r w:rsidR="00E70E3C" w:rsidRPr="00E86D06">
        <w:rPr>
          <w:rFonts w:ascii="Times New Roman" w:hAnsi="Times New Roman" w:cs="Times New Roman"/>
          <w:sz w:val="24"/>
          <w:szCs w:val="24"/>
        </w:rPr>
        <w:t>conomic transformation</w:t>
      </w:r>
      <w:r w:rsidRPr="00E86D06">
        <w:rPr>
          <w:rFonts w:ascii="Times New Roman" w:hAnsi="Times New Roman" w:cs="Times New Roman"/>
          <w:sz w:val="24"/>
          <w:szCs w:val="24"/>
        </w:rPr>
        <w:t xml:space="preserve"> agenda outlined in this year’s State of the Nation Address (</w:t>
      </w:r>
      <w:proofErr w:type="spellStart"/>
      <w:r w:rsidRPr="00E86D06">
        <w:rPr>
          <w:rFonts w:ascii="Times New Roman" w:hAnsi="Times New Roman" w:cs="Times New Roman"/>
          <w:sz w:val="24"/>
          <w:szCs w:val="24"/>
        </w:rPr>
        <w:t>S</w:t>
      </w:r>
      <w:r w:rsidR="000878A1" w:rsidRPr="00E86D06">
        <w:rPr>
          <w:rFonts w:ascii="Times New Roman" w:hAnsi="Times New Roman" w:cs="Times New Roman"/>
          <w:sz w:val="24"/>
          <w:szCs w:val="24"/>
        </w:rPr>
        <w:t>o</w:t>
      </w:r>
      <w:r w:rsidRPr="00E86D06">
        <w:rPr>
          <w:rFonts w:ascii="Times New Roman" w:hAnsi="Times New Roman" w:cs="Times New Roman"/>
          <w:sz w:val="24"/>
          <w:szCs w:val="24"/>
        </w:rPr>
        <w:t>NA</w:t>
      </w:r>
      <w:proofErr w:type="spellEnd"/>
      <w:r w:rsidRPr="00E86D06">
        <w:rPr>
          <w:rFonts w:ascii="Times New Roman" w:hAnsi="Times New Roman" w:cs="Times New Roman"/>
          <w:sz w:val="24"/>
          <w:szCs w:val="24"/>
        </w:rPr>
        <w:t>).</w:t>
      </w:r>
      <w:r w:rsidR="00E70E3C" w:rsidRPr="00E86D06">
        <w:rPr>
          <w:rFonts w:ascii="Times New Roman" w:hAnsi="Times New Roman" w:cs="Times New Roman"/>
          <w:sz w:val="24"/>
          <w:szCs w:val="24"/>
        </w:rPr>
        <w:t xml:space="preserve"> </w:t>
      </w:r>
      <w:r w:rsidR="00AD334F" w:rsidRPr="00E86D06">
        <w:rPr>
          <w:rFonts w:ascii="Times New Roman" w:hAnsi="Times New Roman" w:cs="Times New Roman"/>
          <w:sz w:val="24"/>
          <w:szCs w:val="24"/>
        </w:rPr>
        <w:t>As part of the principle</w:t>
      </w:r>
      <w:r w:rsidRPr="00E86D06">
        <w:rPr>
          <w:rFonts w:ascii="Times New Roman" w:hAnsi="Times New Roman" w:cs="Times New Roman"/>
          <w:sz w:val="24"/>
          <w:szCs w:val="24"/>
        </w:rPr>
        <w:t xml:space="preserve">s that should guide this transformation, it </w:t>
      </w:r>
      <w:r w:rsidRPr="00E86D06">
        <w:rPr>
          <w:rFonts w:ascii="Times New Roman" w:hAnsi="Times New Roman" w:cs="Times New Roman"/>
          <w:sz w:val="24"/>
          <w:szCs w:val="24"/>
        </w:rPr>
        <w:lastRenderedPageBreak/>
        <w:t xml:space="preserve">urges that </w:t>
      </w:r>
      <w:r w:rsidR="005C6415" w:rsidRPr="00E86D06">
        <w:rPr>
          <w:rFonts w:ascii="Times New Roman" w:hAnsi="Times New Roman" w:cs="Times New Roman"/>
          <w:sz w:val="24"/>
          <w:szCs w:val="24"/>
        </w:rPr>
        <w:t>citie</w:t>
      </w:r>
      <w:r w:rsidRPr="00E86D06">
        <w:rPr>
          <w:rFonts w:ascii="Times New Roman" w:hAnsi="Times New Roman" w:cs="Times New Roman"/>
          <w:sz w:val="24"/>
          <w:szCs w:val="24"/>
        </w:rPr>
        <w:t>s must</w:t>
      </w:r>
      <w:r w:rsidR="005C6415" w:rsidRPr="00E86D06">
        <w:rPr>
          <w:rFonts w:ascii="Times New Roman" w:hAnsi="Times New Roman" w:cs="Times New Roman"/>
          <w:sz w:val="24"/>
          <w:szCs w:val="24"/>
        </w:rPr>
        <w:t xml:space="preserve"> be reshaped</w:t>
      </w:r>
      <w:r w:rsidR="00B96368" w:rsidRPr="00E86D06">
        <w:rPr>
          <w:rFonts w:ascii="Times New Roman" w:hAnsi="Times New Roman" w:cs="Times New Roman"/>
          <w:sz w:val="24"/>
          <w:szCs w:val="24"/>
        </w:rPr>
        <w:t>,</w:t>
      </w:r>
      <w:r w:rsidR="005C6415" w:rsidRPr="00E86D06">
        <w:rPr>
          <w:rFonts w:ascii="Times New Roman" w:hAnsi="Times New Roman" w:cs="Times New Roman"/>
          <w:sz w:val="24"/>
          <w:szCs w:val="24"/>
        </w:rPr>
        <w:t xml:space="preserve"> and</w:t>
      </w:r>
      <w:r w:rsidRPr="00E86D06">
        <w:rPr>
          <w:rFonts w:ascii="Times New Roman" w:hAnsi="Times New Roman" w:cs="Times New Roman"/>
          <w:sz w:val="24"/>
          <w:szCs w:val="24"/>
        </w:rPr>
        <w:t xml:space="preserve"> that</w:t>
      </w:r>
      <w:r w:rsidR="005C6415" w:rsidRPr="00E86D06">
        <w:rPr>
          <w:rFonts w:ascii="Times New Roman" w:hAnsi="Times New Roman" w:cs="Times New Roman"/>
          <w:sz w:val="24"/>
          <w:szCs w:val="24"/>
        </w:rPr>
        <w:t xml:space="preserve"> linkages</w:t>
      </w:r>
      <w:r w:rsidRPr="00E86D06">
        <w:rPr>
          <w:rFonts w:ascii="Times New Roman" w:hAnsi="Times New Roman" w:cs="Times New Roman"/>
          <w:sz w:val="24"/>
          <w:szCs w:val="24"/>
        </w:rPr>
        <w:t xml:space="preserve"> be</w:t>
      </w:r>
      <w:r w:rsidR="005C6415" w:rsidRPr="00E86D06">
        <w:rPr>
          <w:rFonts w:ascii="Times New Roman" w:hAnsi="Times New Roman" w:cs="Times New Roman"/>
          <w:sz w:val="24"/>
          <w:szCs w:val="24"/>
        </w:rPr>
        <w:t xml:space="preserve"> built across the rural and urban landscape</w:t>
      </w:r>
      <w:r w:rsidR="008F72A0" w:rsidRPr="00E86D06">
        <w:rPr>
          <w:rFonts w:ascii="Times New Roman" w:hAnsi="Times New Roman" w:cs="Times New Roman"/>
          <w:sz w:val="24"/>
          <w:szCs w:val="24"/>
        </w:rPr>
        <w:t>.</w:t>
      </w:r>
      <w:r w:rsidR="00357EF7" w:rsidRPr="00E86D06">
        <w:rPr>
          <w:rFonts w:ascii="Times New Roman" w:hAnsi="Times New Roman" w:cs="Times New Roman"/>
          <w:sz w:val="24"/>
          <w:szCs w:val="24"/>
        </w:rPr>
        <w:t xml:space="preserve"> </w:t>
      </w:r>
      <w:r w:rsidR="00393992" w:rsidRPr="00E86D06">
        <w:rPr>
          <w:rFonts w:ascii="Times New Roman" w:hAnsi="Times New Roman" w:cs="Times New Roman"/>
          <w:sz w:val="24"/>
          <w:szCs w:val="24"/>
        </w:rPr>
        <w:t>Following the freedom of movement brought about by democracy, South Africa has recently seen increased inter-regional and inter-provincial migration, consequent from the disparities between rural and urban economies.</w:t>
      </w:r>
    </w:p>
    <w:p w:rsidR="00393992" w:rsidRPr="00E86D06" w:rsidRDefault="00393992" w:rsidP="00E86D06">
      <w:pPr>
        <w:spacing w:before="120" w:after="120" w:line="240" w:lineRule="auto"/>
        <w:rPr>
          <w:rFonts w:ascii="Times New Roman" w:hAnsi="Times New Roman" w:cs="Times New Roman"/>
          <w:sz w:val="24"/>
          <w:szCs w:val="24"/>
        </w:rPr>
      </w:pPr>
    </w:p>
    <w:p w:rsidR="00FC6360" w:rsidRPr="00E86D06" w:rsidRDefault="00F16919"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With the introduction of a new set of measures to improve the financial capability of municipalities, Budget 2017 continues </w:t>
      </w:r>
      <w:r w:rsidR="0086316E" w:rsidRPr="00E86D06">
        <w:rPr>
          <w:rFonts w:ascii="Times New Roman" w:hAnsi="Times New Roman" w:cs="Times New Roman"/>
          <w:sz w:val="24"/>
          <w:szCs w:val="24"/>
        </w:rPr>
        <w:t xml:space="preserve">to uphold </w:t>
      </w:r>
      <w:r w:rsidRPr="00E86D06">
        <w:rPr>
          <w:rFonts w:ascii="Times New Roman" w:hAnsi="Times New Roman" w:cs="Times New Roman"/>
          <w:sz w:val="24"/>
          <w:szCs w:val="24"/>
        </w:rPr>
        <w:t>the</w:t>
      </w:r>
      <w:r w:rsidR="007339B2" w:rsidRPr="00E86D06">
        <w:rPr>
          <w:rFonts w:ascii="Times New Roman" w:hAnsi="Times New Roman" w:cs="Times New Roman"/>
          <w:sz w:val="24"/>
          <w:szCs w:val="24"/>
        </w:rPr>
        <w:t xml:space="preserve"> ongoing</w:t>
      </w:r>
      <w:r w:rsidRPr="00E86D06">
        <w:rPr>
          <w:rFonts w:ascii="Times New Roman" w:hAnsi="Times New Roman" w:cs="Times New Roman"/>
          <w:sz w:val="24"/>
          <w:szCs w:val="24"/>
        </w:rPr>
        <w:t xml:space="preserve"> emphasis on b</w:t>
      </w:r>
      <w:r w:rsidR="00B96368" w:rsidRPr="00E86D06">
        <w:rPr>
          <w:rFonts w:ascii="Times New Roman" w:hAnsi="Times New Roman" w:cs="Times New Roman"/>
          <w:sz w:val="24"/>
          <w:szCs w:val="24"/>
        </w:rPr>
        <w:t>etter financial management in local</w:t>
      </w:r>
      <w:r w:rsidR="00151C9B" w:rsidRPr="00E86D06">
        <w:rPr>
          <w:rFonts w:ascii="Times New Roman" w:hAnsi="Times New Roman" w:cs="Times New Roman"/>
          <w:sz w:val="24"/>
          <w:szCs w:val="24"/>
        </w:rPr>
        <w:t xml:space="preserve"> govern</w:t>
      </w:r>
      <w:r w:rsidRPr="00E86D06">
        <w:rPr>
          <w:rFonts w:ascii="Times New Roman" w:hAnsi="Times New Roman" w:cs="Times New Roman"/>
          <w:sz w:val="24"/>
          <w:szCs w:val="24"/>
        </w:rPr>
        <w:t>ment.</w:t>
      </w:r>
      <w:r w:rsidR="000438D4" w:rsidRPr="00E86D06">
        <w:rPr>
          <w:rFonts w:ascii="Times New Roman" w:hAnsi="Times New Roman" w:cs="Times New Roman"/>
          <w:sz w:val="24"/>
          <w:szCs w:val="24"/>
        </w:rPr>
        <w:t xml:space="preserve"> </w:t>
      </w:r>
      <w:r w:rsidR="00027ABA" w:rsidRPr="00E86D06">
        <w:rPr>
          <w:rFonts w:ascii="Times New Roman" w:hAnsi="Times New Roman" w:cs="Times New Roman"/>
          <w:sz w:val="24"/>
          <w:szCs w:val="24"/>
        </w:rPr>
        <w:t>P</w:t>
      </w:r>
      <w:r w:rsidR="00FC6360" w:rsidRPr="00E86D06">
        <w:rPr>
          <w:rFonts w:ascii="Times New Roman" w:hAnsi="Times New Roman" w:cs="Times New Roman"/>
          <w:sz w:val="24"/>
          <w:szCs w:val="24"/>
        </w:rPr>
        <w:t>ersonnel numbers</w:t>
      </w:r>
      <w:r w:rsidR="00AE2107" w:rsidRPr="00E86D06">
        <w:rPr>
          <w:rFonts w:ascii="Times New Roman" w:hAnsi="Times New Roman" w:cs="Times New Roman"/>
          <w:sz w:val="24"/>
          <w:szCs w:val="24"/>
        </w:rPr>
        <w:t xml:space="preserve"> in the Department of Cooperative Governance (</w:t>
      </w:r>
      <w:proofErr w:type="spellStart"/>
      <w:r w:rsidR="00AE2107" w:rsidRPr="00E86D06">
        <w:rPr>
          <w:rFonts w:ascii="Times New Roman" w:hAnsi="Times New Roman" w:cs="Times New Roman"/>
          <w:sz w:val="24"/>
          <w:szCs w:val="24"/>
        </w:rPr>
        <w:t>DCoG</w:t>
      </w:r>
      <w:proofErr w:type="spellEnd"/>
      <w:r w:rsidR="00AE2107" w:rsidRPr="00E86D06">
        <w:rPr>
          <w:rFonts w:ascii="Times New Roman" w:hAnsi="Times New Roman" w:cs="Times New Roman"/>
          <w:sz w:val="24"/>
          <w:szCs w:val="24"/>
        </w:rPr>
        <w:t>)</w:t>
      </w:r>
      <w:r w:rsidR="00FC6360" w:rsidRPr="00E86D06">
        <w:rPr>
          <w:rFonts w:ascii="Times New Roman" w:hAnsi="Times New Roman" w:cs="Times New Roman"/>
          <w:sz w:val="24"/>
          <w:szCs w:val="24"/>
        </w:rPr>
        <w:t xml:space="preserve"> are expected to decrease from 539 posts in 2017/18 to 488 posts in 2019/20</w:t>
      </w:r>
      <w:r w:rsidR="000878A1" w:rsidRPr="00E86D06">
        <w:rPr>
          <w:rFonts w:ascii="Times New Roman" w:hAnsi="Times New Roman" w:cs="Times New Roman"/>
          <w:sz w:val="24"/>
          <w:szCs w:val="24"/>
        </w:rPr>
        <w:t>, in order</w:t>
      </w:r>
      <w:r w:rsidR="00FC6360" w:rsidRPr="00E86D06">
        <w:rPr>
          <w:rFonts w:ascii="Times New Roman" w:hAnsi="Times New Roman" w:cs="Times New Roman"/>
          <w:sz w:val="24"/>
          <w:szCs w:val="24"/>
        </w:rPr>
        <w:t xml:space="preserve"> to align the headcount with the expenditure ceiling, which Cabinet has reduced by R9.2 million over the medium term.</w:t>
      </w:r>
      <w:r w:rsidR="00FC6360" w:rsidRPr="00E86D06">
        <w:rPr>
          <w:rStyle w:val="FootnoteReference"/>
          <w:rFonts w:ascii="Times New Roman" w:hAnsi="Times New Roman" w:cs="Times New Roman"/>
          <w:sz w:val="24"/>
          <w:szCs w:val="24"/>
        </w:rPr>
        <w:footnoteReference w:id="1"/>
      </w:r>
      <w:r w:rsidR="00FC6360" w:rsidRPr="00E86D06">
        <w:rPr>
          <w:rFonts w:ascii="Times New Roman" w:hAnsi="Times New Roman" w:cs="Times New Roman"/>
          <w:sz w:val="24"/>
          <w:szCs w:val="24"/>
        </w:rPr>
        <w:t xml:space="preserve"> This reduction is not expected to have a negative impact on service delivery as most of the posts being lost are allegedly administrative in function. However, in terms of Treasury’s </w:t>
      </w:r>
      <w:r w:rsidR="00FC6360" w:rsidRPr="00E86D06">
        <w:rPr>
          <w:rFonts w:ascii="Times New Roman" w:hAnsi="Times New Roman" w:cs="Times New Roman"/>
          <w:i/>
          <w:sz w:val="24"/>
          <w:szCs w:val="24"/>
        </w:rPr>
        <w:t>Estimates of the National Expenditure</w:t>
      </w:r>
      <w:r w:rsidR="00FC6360" w:rsidRPr="00E86D06">
        <w:rPr>
          <w:rFonts w:ascii="Times New Roman" w:hAnsi="Times New Roman" w:cs="Times New Roman"/>
          <w:sz w:val="24"/>
          <w:szCs w:val="24"/>
        </w:rPr>
        <w:t xml:space="preserve"> (ENE) for 2017, the Department seeks to create work opportunities over the medium, as part of realising its commi</w:t>
      </w:r>
      <w:r w:rsidR="00EF1ED3" w:rsidRPr="00E86D06">
        <w:rPr>
          <w:rFonts w:ascii="Times New Roman" w:hAnsi="Times New Roman" w:cs="Times New Roman"/>
          <w:sz w:val="24"/>
          <w:szCs w:val="24"/>
        </w:rPr>
        <w:t>tments in terms of the Back to Basics</w:t>
      </w:r>
      <w:r w:rsidR="00FC6360" w:rsidRPr="00E86D06">
        <w:rPr>
          <w:rFonts w:ascii="Times New Roman" w:hAnsi="Times New Roman" w:cs="Times New Roman"/>
          <w:sz w:val="24"/>
          <w:szCs w:val="24"/>
        </w:rPr>
        <w:t xml:space="preserve"> Strategy. The reductions in number of personnel over the medium term appears to contradict this commitment.</w:t>
      </w:r>
    </w:p>
    <w:p w:rsidR="00027ABA" w:rsidRPr="00E86D06" w:rsidRDefault="00027ABA" w:rsidP="00E86D06">
      <w:pPr>
        <w:spacing w:before="120" w:after="120" w:line="240" w:lineRule="auto"/>
        <w:rPr>
          <w:rFonts w:ascii="Times New Roman" w:hAnsi="Times New Roman" w:cs="Times New Roman"/>
          <w:sz w:val="24"/>
          <w:szCs w:val="24"/>
        </w:rPr>
      </w:pPr>
    </w:p>
    <w:p w:rsidR="00FC6360" w:rsidRDefault="00027ABA" w:rsidP="00E86D06">
      <w:pPr>
        <w:spacing w:before="120" w:after="120" w:line="240" w:lineRule="auto"/>
        <w:rPr>
          <w:rFonts w:ascii="Times New Roman" w:hAnsi="Times New Roman" w:cs="Times New Roman"/>
          <w:bCs/>
          <w:sz w:val="24"/>
          <w:szCs w:val="24"/>
        </w:rPr>
      </w:pPr>
      <w:r w:rsidRPr="00E86D06">
        <w:rPr>
          <w:rFonts w:ascii="Times New Roman" w:hAnsi="Times New Roman" w:cs="Times New Roman"/>
          <w:sz w:val="24"/>
          <w:szCs w:val="24"/>
        </w:rPr>
        <w:t xml:space="preserve">With respect to </w:t>
      </w:r>
      <w:r w:rsidR="000878A1" w:rsidRPr="00E86D06">
        <w:rPr>
          <w:rFonts w:ascii="Times New Roman" w:hAnsi="Times New Roman" w:cs="Times New Roman"/>
          <w:sz w:val="24"/>
          <w:szCs w:val="24"/>
        </w:rPr>
        <w:t>T</w:t>
      </w:r>
      <w:r w:rsidRPr="00E86D06">
        <w:rPr>
          <w:rFonts w:ascii="Times New Roman" w:hAnsi="Times New Roman" w:cs="Times New Roman"/>
          <w:sz w:val="24"/>
          <w:szCs w:val="24"/>
        </w:rPr>
        <w:t xml:space="preserve">raditional </w:t>
      </w:r>
      <w:r w:rsidR="000878A1" w:rsidRPr="00E86D06">
        <w:rPr>
          <w:rFonts w:ascii="Times New Roman" w:hAnsi="Times New Roman" w:cs="Times New Roman"/>
          <w:sz w:val="24"/>
          <w:szCs w:val="24"/>
        </w:rPr>
        <w:t>A</w:t>
      </w:r>
      <w:r w:rsidRPr="00E86D06">
        <w:rPr>
          <w:rFonts w:ascii="Times New Roman" w:hAnsi="Times New Roman" w:cs="Times New Roman"/>
          <w:sz w:val="24"/>
          <w:szCs w:val="24"/>
        </w:rPr>
        <w:t xml:space="preserve">ffairs, </w:t>
      </w:r>
      <w:r w:rsidRPr="00E86D06">
        <w:rPr>
          <w:rFonts w:ascii="Times New Roman" w:hAnsi="Times New Roman" w:cs="Times New Roman"/>
          <w:bCs/>
          <w:sz w:val="24"/>
          <w:szCs w:val="24"/>
        </w:rPr>
        <w:t>t</w:t>
      </w:r>
      <w:r w:rsidR="00FC6360" w:rsidRPr="00E86D06">
        <w:rPr>
          <w:rFonts w:ascii="Times New Roman" w:hAnsi="Times New Roman" w:cs="Times New Roman"/>
          <w:bCs/>
          <w:sz w:val="24"/>
          <w:szCs w:val="24"/>
        </w:rPr>
        <w:t>he assessment of the functionality of Traditional Councils (TCs), in line with the Back to Basics methodology, remains a key focal area. However, as this methodology was originally designed to assess the functionality of municipalities, there remains a question mark over the extent of its relevance and applicability to the assessment of TCs.</w:t>
      </w:r>
      <w:r w:rsidRPr="00E86D06">
        <w:rPr>
          <w:rFonts w:ascii="Times New Roman" w:hAnsi="Times New Roman" w:cs="Times New Roman"/>
          <w:bCs/>
          <w:sz w:val="24"/>
          <w:szCs w:val="24"/>
        </w:rPr>
        <w:t xml:space="preserve"> From the 2017/18 Annual Performance Plan of the Department of Traditional Affairs (DTA)</w:t>
      </w:r>
      <w:r w:rsidR="00FC6360" w:rsidRPr="00E86D06">
        <w:rPr>
          <w:rFonts w:ascii="Times New Roman" w:hAnsi="Times New Roman" w:cs="Times New Roman"/>
          <w:bCs/>
          <w:sz w:val="24"/>
          <w:szCs w:val="24"/>
        </w:rPr>
        <w:t xml:space="preserve"> it also emerges that </w:t>
      </w:r>
      <w:r w:rsidR="000878A1" w:rsidRPr="00E86D06">
        <w:rPr>
          <w:rFonts w:ascii="Times New Roman" w:hAnsi="Times New Roman" w:cs="Times New Roman"/>
          <w:bCs/>
          <w:sz w:val="24"/>
          <w:szCs w:val="24"/>
        </w:rPr>
        <w:t>TC</w:t>
      </w:r>
      <w:r w:rsidR="00FC6360" w:rsidRPr="00E86D06">
        <w:rPr>
          <w:rFonts w:ascii="Times New Roman" w:hAnsi="Times New Roman" w:cs="Times New Roman"/>
          <w:bCs/>
          <w:sz w:val="24"/>
          <w:szCs w:val="24"/>
        </w:rPr>
        <w:t xml:space="preserve">s have not yet been legally constituted, and that kingships and </w:t>
      </w:r>
      <w:proofErr w:type="spellStart"/>
      <w:r w:rsidR="00FC6360" w:rsidRPr="00E86D06">
        <w:rPr>
          <w:rFonts w:ascii="Times New Roman" w:hAnsi="Times New Roman" w:cs="Times New Roman"/>
          <w:bCs/>
          <w:sz w:val="24"/>
          <w:szCs w:val="24"/>
        </w:rPr>
        <w:t>queenship</w:t>
      </w:r>
      <w:proofErr w:type="spellEnd"/>
      <w:r w:rsidR="00FC6360" w:rsidRPr="00E86D06">
        <w:rPr>
          <w:rFonts w:ascii="Times New Roman" w:hAnsi="Times New Roman" w:cs="Times New Roman"/>
          <w:bCs/>
          <w:sz w:val="24"/>
          <w:szCs w:val="24"/>
        </w:rPr>
        <w:t xml:space="preserve"> councils – though established in terms of customary law – are not yet legally established as prescribed in the Traditional Leadership and Governance Framework Act (</w:t>
      </w:r>
      <w:r w:rsidR="00C36A89" w:rsidRPr="00E86D06">
        <w:rPr>
          <w:rFonts w:ascii="Times New Roman" w:hAnsi="Times New Roman" w:cs="Times New Roman"/>
          <w:bCs/>
          <w:sz w:val="24"/>
          <w:szCs w:val="24"/>
        </w:rPr>
        <w:t xml:space="preserve">Act </w:t>
      </w:r>
      <w:r w:rsidR="00FC6360" w:rsidRPr="00E86D06">
        <w:rPr>
          <w:rFonts w:ascii="Times New Roman" w:hAnsi="Times New Roman" w:cs="Times New Roman"/>
          <w:bCs/>
          <w:sz w:val="24"/>
          <w:szCs w:val="24"/>
        </w:rPr>
        <w:t>41 of 2003). However, there is no explanation provided for this shortcoming.</w:t>
      </w:r>
    </w:p>
    <w:p w:rsidR="00E86D06" w:rsidRPr="00E86D06" w:rsidRDefault="00E86D06" w:rsidP="00E86D06">
      <w:pPr>
        <w:spacing w:before="120" w:after="120" w:line="240" w:lineRule="auto"/>
        <w:rPr>
          <w:rFonts w:ascii="Times New Roman" w:hAnsi="Times New Roman" w:cs="Times New Roman"/>
          <w:bCs/>
          <w:sz w:val="24"/>
          <w:szCs w:val="24"/>
        </w:rPr>
      </w:pPr>
    </w:p>
    <w:p w:rsidR="00052B47" w:rsidRPr="00E86D06" w:rsidRDefault="00052B47" w:rsidP="00E86D06">
      <w:pPr>
        <w:pStyle w:val="Heading1"/>
        <w:numPr>
          <w:ilvl w:val="0"/>
          <w:numId w:val="20"/>
        </w:numPr>
        <w:spacing w:before="120" w:after="120" w:line="240" w:lineRule="auto"/>
        <w:rPr>
          <w:rFonts w:ascii="Times New Roman" w:hAnsi="Times New Roman" w:cs="Times New Roman"/>
          <w:color w:val="auto"/>
          <w:sz w:val="24"/>
          <w:szCs w:val="24"/>
        </w:rPr>
      </w:pPr>
      <w:bookmarkStart w:id="2" w:name="_Toc477175313"/>
      <w:r w:rsidRPr="00E86D06">
        <w:rPr>
          <w:rFonts w:ascii="Times New Roman" w:hAnsi="Times New Roman" w:cs="Times New Roman"/>
          <w:color w:val="auto"/>
          <w:sz w:val="24"/>
          <w:szCs w:val="24"/>
        </w:rPr>
        <w:t>Overview of the 201</w:t>
      </w:r>
      <w:r w:rsidR="00FA7CC3" w:rsidRPr="00E86D06">
        <w:rPr>
          <w:rFonts w:ascii="Times New Roman" w:hAnsi="Times New Roman" w:cs="Times New Roman"/>
          <w:color w:val="auto"/>
          <w:sz w:val="24"/>
          <w:szCs w:val="24"/>
        </w:rPr>
        <w:t>6</w:t>
      </w:r>
      <w:r w:rsidRPr="00E86D06">
        <w:rPr>
          <w:rFonts w:ascii="Times New Roman" w:hAnsi="Times New Roman" w:cs="Times New Roman"/>
          <w:color w:val="auto"/>
          <w:sz w:val="24"/>
          <w:szCs w:val="24"/>
        </w:rPr>
        <w:t>/1</w:t>
      </w:r>
      <w:r w:rsidR="00FA7CC3" w:rsidRPr="00E86D06">
        <w:rPr>
          <w:rFonts w:ascii="Times New Roman" w:hAnsi="Times New Roman" w:cs="Times New Roman"/>
          <w:color w:val="auto"/>
          <w:sz w:val="24"/>
          <w:szCs w:val="24"/>
        </w:rPr>
        <w:t>7</w:t>
      </w:r>
      <w:r w:rsidRPr="00E86D06">
        <w:rPr>
          <w:rFonts w:ascii="Times New Roman" w:hAnsi="Times New Roman" w:cs="Times New Roman"/>
          <w:color w:val="auto"/>
          <w:sz w:val="24"/>
          <w:szCs w:val="24"/>
        </w:rPr>
        <w:t xml:space="preserve"> financial year</w:t>
      </w:r>
      <w:bookmarkEnd w:id="2"/>
    </w:p>
    <w:p w:rsidR="00052B47" w:rsidRPr="00E86D06" w:rsidRDefault="00052B47" w:rsidP="00E86D06">
      <w:pPr>
        <w:spacing w:before="120" w:after="120" w:line="240" w:lineRule="auto"/>
        <w:rPr>
          <w:rFonts w:ascii="Times New Roman" w:hAnsi="Times New Roman" w:cs="Times New Roman"/>
          <w:bCs/>
          <w:sz w:val="24"/>
          <w:szCs w:val="24"/>
        </w:rPr>
      </w:pPr>
    </w:p>
    <w:p w:rsidR="00BC26F5" w:rsidRPr="00E86D06" w:rsidRDefault="00892F39" w:rsidP="00E86D06">
      <w:pPr>
        <w:spacing w:before="120" w:after="120" w:line="240" w:lineRule="auto"/>
        <w:rPr>
          <w:rFonts w:ascii="Times New Roman" w:hAnsi="Times New Roman" w:cs="Times New Roman"/>
          <w:bCs/>
          <w:sz w:val="24"/>
          <w:szCs w:val="24"/>
        </w:rPr>
      </w:pPr>
      <w:r w:rsidRPr="00E86D06">
        <w:rPr>
          <w:rFonts w:ascii="Times New Roman" w:hAnsi="Times New Roman" w:cs="Times New Roman"/>
          <w:bCs/>
          <w:sz w:val="24"/>
          <w:szCs w:val="24"/>
        </w:rPr>
        <w:t xml:space="preserve">The escalating trend in municipal debt once </w:t>
      </w:r>
      <w:r w:rsidR="00574C80" w:rsidRPr="00E86D06">
        <w:rPr>
          <w:rFonts w:ascii="Times New Roman" w:hAnsi="Times New Roman" w:cs="Times New Roman"/>
          <w:bCs/>
          <w:sz w:val="24"/>
          <w:szCs w:val="24"/>
        </w:rPr>
        <w:t xml:space="preserve">again became a highlight, with Eskom (the leading creditor) instituting </w:t>
      </w:r>
      <w:r w:rsidR="00BB2D2F" w:rsidRPr="00E86D06">
        <w:rPr>
          <w:rFonts w:ascii="Times New Roman" w:hAnsi="Times New Roman" w:cs="Times New Roman"/>
          <w:bCs/>
          <w:sz w:val="24"/>
          <w:szCs w:val="24"/>
        </w:rPr>
        <w:t>disconnections</w:t>
      </w:r>
      <w:r w:rsidR="00871A41" w:rsidRPr="00E86D06">
        <w:rPr>
          <w:rFonts w:ascii="Times New Roman" w:hAnsi="Times New Roman" w:cs="Times New Roman"/>
          <w:bCs/>
          <w:sz w:val="24"/>
          <w:szCs w:val="24"/>
        </w:rPr>
        <w:t xml:space="preserve"> and interruptions</w:t>
      </w:r>
      <w:r w:rsidR="0071795D" w:rsidRPr="00E86D06">
        <w:rPr>
          <w:rFonts w:ascii="Times New Roman" w:hAnsi="Times New Roman" w:cs="Times New Roman"/>
          <w:bCs/>
          <w:sz w:val="24"/>
          <w:szCs w:val="24"/>
        </w:rPr>
        <w:t xml:space="preserve"> as of </w:t>
      </w:r>
      <w:r w:rsidR="00574C80" w:rsidRPr="00E86D06">
        <w:rPr>
          <w:rFonts w:ascii="Times New Roman" w:hAnsi="Times New Roman" w:cs="Times New Roman"/>
          <w:bCs/>
          <w:sz w:val="24"/>
          <w:szCs w:val="24"/>
        </w:rPr>
        <w:t>November 2016.</w:t>
      </w:r>
      <w:r w:rsidR="003210FE" w:rsidRPr="00E86D06">
        <w:rPr>
          <w:rFonts w:ascii="Times New Roman" w:hAnsi="Times New Roman" w:cs="Times New Roman"/>
          <w:bCs/>
          <w:sz w:val="24"/>
          <w:szCs w:val="24"/>
        </w:rPr>
        <w:t xml:space="preserve"> Emerging as a challenge in this regard were legislative or constitutional challenges relating to the authority of municipalities to distribute electricity versus the status of Eskom.</w:t>
      </w:r>
      <w:r w:rsidR="002E7C33" w:rsidRPr="00E86D06">
        <w:rPr>
          <w:rFonts w:ascii="Times New Roman" w:hAnsi="Times New Roman" w:cs="Times New Roman"/>
          <w:bCs/>
          <w:sz w:val="24"/>
          <w:szCs w:val="24"/>
        </w:rPr>
        <w:t xml:space="preserve"> A Technical Task Team was appointed to investigate this issue, and was expected to report back</w:t>
      </w:r>
      <w:r w:rsidR="00B9358E" w:rsidRPr="00E86D06">
        <w:rPr>
          <w:rFonts w:ascii="Times New Roman" w:hAnsi="Times New Roman" w:cs="Times New Roman"/>
          <w:bCs/>
          <w:sz w:val="24"/>
          <w:szCs w:val="24"/>
        </w:rPr>
        <w:t xml:space="preserve"> towards the end of the financial year.</w:t>
      </w:r>
      <w:r w:rsidR="00516E36" w:rsidRPr="00E86D06">
        <w:rPr>
          <w:rFonts w:ascii="Times New Roman" w:hAnsi="Times New Roman" w:cs="Times New Roman"/>
          <w:bCs/>
          <w:sz w:val="24"/>
          <w:szCs w:val="24"/>
        </w:rPr>
        <w:t xml:space="preserve"> The Eskom debacle also continues to highlight the need for municipalities to improve their revenue collection.</w:t>
      </w:r>
      <w:r w:rsidR="00BC26F5" w:rsidRPr="00E86D06">
        <w:rPr>
          <w:rFonts w:ascii="Times New Roman" w:hAnsi="Times New Roman" w:cs="Times New Roman"/>
          <w:bCs/>
          <w:sz w:val="24"/>
          <w:szCs w:val="24"/>
        </w:rPr>
        <w:t xml:space="preserve"> In this regard, the Department of Cooperative Governance had envisaged</w:t>
      </w:r>
      <w:r w:rsidR="00FB7F7D" w:rsidRPr="00E86D06">
        <w:rPr>
          <w:rFonts w:ascii="Times New Roman" w:hAnsi="Times New Roman" w:cs="Times New Roman"/>
          <w:bCs/>
          <w:sz w:val="24"/>
          <w:szCs w:val="24"/>
        </w:rPr>
        <w:t xml:space="preserve"> </w:t>
      </w:r>
      <w:r w:rsidR="00C36A89" w:rsidRPr="00E86D06">
        <w:rPr>
          <w:rFonts w:ascii="Times New Roman" w:hAnsi="Times New Roman" w:cs="Times New Roman"/>
          <w:bCs/>
          <w:sz w:val="24"/>
          <w:szCs w:val="24"/>
        </w:rPr>
        <w:t xml:space="preserve">to </w:t>
      </w:r>
      <w:r w:rsidR="00FB7F7D" w:rsidRPr="00E86D06">
        <w:rPr>
          <w:rFonts w:ascii="Times New Roman" w:hAnsi="Times New Roman" w:cs="Times New Roman"/>
          <w:bCs/>
          <w:sz w:val="24"/>
          <w:szCs w:val="24"/>
        </w:rPr>
        <w:t>implement</w:t>
      </w:r>
      <w:r w:rsidR="00BC26F5" w:rsidRPr="00E86D06">
        <w:rPr>
          <w:rFonts w:ascii="Times New Roman" w:hAnsi="Times New Roman" w:cs="Times New Roman"/>
          <w:bCs/>
          <w:sz w:val="24"/>
          <w:szCs w:val="24"/>
        </w:rPr>
        <w:t xml:space="preserve"> a specific revenue plan in 30 municipalities by the end of the 2016/17 financial year.</w:t>
      </w:r>
      <w:r w:rsidR="00FB7F7D" w:rsidRPr="00E86D06">
        <w:rPr>
          <w:rFonts w:ascii="Times New Roman" w:hAnsi="Times New Roman" w:cs="Times New Roman"/>
          <w:bCs/>
          <w:sz w:val="24"/>
          <w:szCs w:val="24"/>
        </w:rPr>
        <w:t xml:space="preserve"> The outcomes of this plan are not as yet clear.</w:t>
      </w:r>
    </w:p>
    <w:p w:rsidR="009F547C" w:rsidRPr="00E86D06" w:rsidRDefault="009F547C" w:rsidP="00E86D06">
      <w:pPr>
        <w:spacing w:before="120" w:after="120" w:line="240" w:lineRule="auto"/>
        <w:rPr>
          <w:rFonts w:ascii="Times New Roman" w:hAnsi="Times New Roman" w:cs="Times New Roman"/>
          <w:bCs/>
          <w:sz w:val="24"/>
          <w:szCs w:val="24"/>
        </w:rPr>
      </w:pPr>
    </w:p>
    <w:p w:rsidR="009F547C" w:rsidRPr="00E86D06" w:rsidRDefault="009F547C"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Strong spending growth was also envisaged for the Community Work Programme (CWP), which was to be rolled out to every municipality by 2017. Parliament had previously noted that the administration of the CWP was problematic and this was one of the key barriers </w:t>
      </w:r>
      <w:r w:rsidRPr="00E86D06">
        <w:rPr>
          <w:rFonts w:ascii="Times New Roman" w:hAnsi="Times New Roman" w:cs="Times New Roman"/>
          <w:sz w:val="24"/>
          <w:szCs w:val="24"/>
        </w:rPr>
        <w:lastRenderedPageBreak/>
        <w:t xml:space="preserve">preventing the Department from obtaining a clean audit. The Department had acknowledged this and pointed out that the procurement of goods and services, which is the root of the problem, has always been the responsibility of the CWP Implementing Agents, some of which struggle to comply with the regulations of the Public Finance Management Act. Parliament was informed that the Department was introducing a fundamental change in the functioning and operation of the Programme, based on investigations it had carried as well as recommendations by the Department of Monitoring and Evaluation in the Presidency. </w:t>
      </w:r>
    </w:p>
    <w:p w:rsidR="009F547C" w:rsidRPr="00E86D06" w:rsidRDefault="009F547C" w:rsidP="00E86D06">
      <w:pPr>
        <w:spacing w:before="120" w:after="120" w:line="240" w:lineRule="auto"/>
        <w:rPr>
          <w:rFonts w:ascii="Times New Roman" w:hAnsi="Times New Roman" w:cs="Times New Roman"/>
          <w:sz w:val="24"/>
          <w:szCs w:val="24"/>
        </w:rPr>
      </w:pPr>
    </w:p>
    <w:p w:rsidR="009F547C" w:rsidRPr="00E86D06" w:rsidRDefault="009F547C"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Department of Public Service and Administration had also approved a new organisational structure for the Department, which now sees the CWP reflecting as a stand-alone Programme within the Department (Programme 6). This was expected to facilitate better administration of the Programme. Furthermore, the Department was soliciting the assistance of National Treasury in terms of strengthening administrative and financial systems for the CWP. The number of CWP Implementing Agents has also been streamlined and drastically reduced in number and this is expected to contribute towards minimising the administration burden.</w:t>
      </w:r>
    </w:p>
    <w:p w:rsidR="00A167C1" w:rsidRPr="00E86D06" w:rsidRDefault="00A167C1" w:rsidP="00E86D06">
      <w:pPr>
        <w:spacing w:before="120" w:after="120" w:line="240" w:lineRule="auto"/>
        <w:rPr>
          <w:rFonts w:ascii="Times New Roman" w:hAnsi="Times New Roman" w:cs="Times New Roman"/>
          <w:sz w:val="24"/>
          <w:szCs w:val="24"/>
        </w:rPr>
      </w:pPr>
    </w:p>
    <w:p w:rsidR="00A167C1" w:rsidRPr="00E86D06" w:rsidRDefault="00A167C1"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Additional challenges during the period under review included a severe drought, which saw almost all the nine provinces declared disaster areas; Senior Managers appointed in contravention of the Municipal Systems Act (</w:t>
      </w:r>
      <w:r w:rsidR="00C36A89" w:rsidRPr="00E86D06">
        <w:rPr>
          <w:rFonts w:ascii="Times New Roman" w:hAnsi="Times New Roman" w:cs="Times New Roman"/>
          <w:sz w:val="24"/>
          <w:szCs w:val="24"/>
        </w:rPr>
        <w:t xml:space="preserve">Act </w:t>
      </w:r>
      <w:r w:rsidRPr="00E86D06">
        <w:rPr>
          <w:rFonts w:ascii="Times New Roman" w:hAnsi="Times New Roman" w:cs="Times New Roman"/>
          <w:sz w:val="24"/>
          <w:szCs w:val="24"/>
        </w:rPr>
        <w:t>32 of 2000);</w:t>
      </w:r>
      <w:r w:rsidRPr="00E86D06">
        <w:rPr>
          <w:rFonts w:ascii="Times New Roman" w:hAnsi="Times New Roman" w:cs="Times New Roman"/>
          <w:i/>
          <w:sz w:val="24"/>
          <w:szCs w:val="24"/>
        </w:rPr>
        <w:t xml:space="preserve"> </w:t>
      </w:r>
      <w:r w:rsidRPr="00E86D06">
        <w:rPr>
          <w:rFonts w:ascii="Times New Roman" w:hAnsi="Times New Roman" w:cs="Times New Roman"/>
          <w:sz w:val="24"/>
          <w:szCs w:val="24"/>
        </w:rPr>
        <w:t xml:space="preserve">the non-finalisation of the Monitoring, Support and Interventions Bill, and the withholding of the equitable </w:t>
      </w:r>
      <w:r w:rsidR="00C36A89" w:rsidRPr="00E86D06">
        <w:rPr>
          <w:rFonts w:ascii="Times New Roman" w:hAnsi="Times New Roman" w:cs="Times New Roman"/>
          <w:sz w:val="24"/>
          <w:szCs w:val="24"/>
        </w:rPr>
        <w:t xml:space="preserve">share </w:t>
      </w:r>
      <w:r w:rsidRPr="00E86D06">
        <w:rPr>
          <w:rFonts w:ascii="Times New Roman" w:hAnsi="Times New Roman" w:cs="Times New Roman"/>
          <w:sz w:val="24"/>
          <w:szCs w:val="24"/>
        </w:rPr>
        <w:t>to some municipalities that would not comply with the Division of Revenue Act.</w:t>
      </w:r>
    </w:p>
    <w:p w:rsidR="00052B47" w:rsidRPr="00E86D06" w:rsidRDefault="00052B47" w:rsidP="00E86D06">
      <w:pPr>
        <w:spacing w:before="120" w:after="120" w:line="240" w:lineRule="auto"/>
        <w:rPr>
          <w:rFonts w:ascii="Times New Roman" w:hAnsi="Times New Roman" w:cs="Times New Roman"/>
          <w:bCs/>
          <w:sz w:val="24"/>
          <w:szCs w:val="24"/>
        </w:rPr>
      </w:pPr>
    </w:p>
    <w:p w:rsidR="00FC6360" w:rsidRDefault="00FC6360"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bCs/>
          <w:sz w:val="24"/>
          <w:szCs w:val="24"/>
        </w:rPr>
        <w:t>The effective and meaningful participation of traditional leadership structures in local governmen</w:t>
      </w:r>
      <w:r w:rsidR="00887D6C" w:rsidRPr="00E86D06">
        <w:rPr>
          <w:rFonts w:ascii="Times New Roman" w:hAnsi="Times New Roman" w:cs="Times New Roman"/>
          <w:bCs/>
          <w:sz w:val="24"/>
          <w:szCs w:val="24"/>
        </w:rPr>
        <w:t>t structures was another priority</w:t>
      </w:r>
      <w:r w:rsidRPr="00E86D06">
        <w:rPr>
          <w:rFonts w:ascii="Times New Roman" w:hAnsi="Times New Roman" w:cs="Times New Roman"/>
          <w:bCs/>
          <w:sz w:val="24"/>
          <w:szCs w:val="24"/>
        </w:rPr>
        <w:t xml:space="preserve">, which the DTA had envisaged to address during the 2016/17 performance cycle. This was to involve the development of Regulations on Participation of Traditional Leaders in Municipal Councils, in terms of </w:t>
      </w:r>
      <w:r w:rsidR="00C36A89" w:rsidRPr="00E86D06">
        <w:rPr>
          <w:rFonts w:ascii="Times New Roman" w:hAnsi="Times New Roman" w:cs="Times New Roman"/>
          <w:bCs/>
          <w:sz w:val="24"/>
          <w:szCs w:val="24"/>
        </w:rPr>
        <w:t>s</w:t>
      </w:r>
      <w:r w:rsidRPr="00E86D06">
        <w:rPr>
          <w:rFonts w:ascii="Times New Roman" w:hAnsi="Times New Roman" w:cs="Times New Roman"/>
          <w:bCs/>
          <w:sz w:val="24"/>
          <w:szCs w:val="24"/>
        </w:rPr>
        <w:t xml:space="preserve">ection 81 of the </w:t>
      </w:r>
      <w:r w:rsidRPr="00E86D06">
        <w:rPr>
          <w:rFonts w:ascii="Times New Roman" w:hAnsi="Times New Roman" w:cs="Times New Roman"/>
          <w:sz w:val="24"/>
          <w:szCs w:val="24"/>
          <w:lang w:val="en-GB" w:eastAsia="en-GB"/>
        </w:rPr>
        <w:t>Municipal Structures Act (</w:t>
      </w:r>
      <w:r w:rsidR="00C36A89" w:rsidRPr="00E86D06">
        <w:rPr>
          <w:rFonts w:ascii="Times New Roman" w:hAnsi="Times New Roman" w:cs="Times New Roman"/>
          <w:sz w:val="24"/>
          <w:szCs w:val="24"/>
          <w:lang w:val="en-GB" w:eastAsia="en-GB"/>
        </w:rPr>
        <w:t>Act</w:t>
      </w:r>
      <w:r w:rsidRPr="00E86D06">
        <w:rPr>
          <w:rFonts w:ascii="Times New Roman" w:hAnsi="Times New Roman" w:cs="Times New Roman"/>
          <w:sz w:val="24"/>
          <w:szCs w:val="24"/>
          <w:lang w:val="en-GB" w:eastAsia="en-GB"/>
        </w:rPr>
        <w:t xml:space="preserve"> 117 of 1998</w:t>
      </w:r>
      <w:r w:rsidR="00C36A89" w:rsidRPr="00E86D06">
        <w:rPr>
          <w:rFonts w:ascii="Times New Roman" w:hAnsi="Times New Roman" w:cs="Times New Roman"/>
          <w:sz w:val="24"/>
          <w:szCs w:val="24"/>
          <w:lang w:val="en-GB" w:eastAsia="en-GB"/>
        </w:rPr>
        <w:t>)</w:t>
      </w:r>
      <w:r w:rsidRPr="00E86D06">
        <w:rPr>
          <w:rFonts w:ascii="Times New Roman" w:hAnsi="Times New Roman" w:cs="Times New Roman"/>
          <w:sz w:val="24"/>
          <w:szCs w:val="24"/>
          <w:lang w:val="en-GB" w:eastAsia="en-GB"/>
        </w:rPr>
        <w:t>.</w:t>
      </w:r>
      <w:r w:rsidRPr="00E86D06">
        <w:rPr>
          <w:rFonts w:ascii="Times New Roman" w:hAnsi="Times New Roman" w:cs="Times New Roman"/>
          <w:i/>
          <w:sz w:val="24"/>
          <w:szCs w:val="24"/>
          <w:lang w:val="en-GB" w:eastAsia="en-GB"/>
        </w:rPr>
        <w:t xml:space="preserve"> </w:t>
      </w:r>
      <w:r w:rsidR="00303AA2" w:rsidRPr="00E86D06">
        <w:rPr>
          <w:rFonts w:ascii="Times New Roman" w:hAnsi="Times New Roman" w:cs="Times New Roman"/>
          <w:sz w:val="24"/>
          <w:szCs w:val="24"/>
          <w:lang w:val="en-GB" w:eastAsia="en-GB"/>
        </w:rPr>
        <w:t>It is not clear how far the Department has gone in this regard.</w:t>
      </w:r>
      <w:r w:rsidR="00BC0978" w:rsidRPr="00E86D06">
        <w:rPr>
          <w:rFonts w:ascii="Times New Roman" w:hAnsi="Times New Roman" w:cs="Times New Roman"/>
          <w:sz w:val="24"/>
          <w:szCs w:val="24"/>
          <w:lang w:val="en-GB" w:eastAsia="en-GB"/>
        </w:rPr>
        <w:t xml:space="preserve"> </w:t>
      </w:r>
      <w:r w:rsidR="00BC0978" w:rsidRPr="00E86D06">
        <w:rPr>
          <w:rFonts w:ascii="Times New Roman" w:hAnsi="Times New Roman" w:cs="Times New Roman"/>
          <w:sz w:val="24"/>
          <w:szCs w:val="24"/>
        </w:rPr>
        <w:t>Reducing deaths at initiation schools was another priority, which the Department has not quite managed</w:t>
      </w:r>
      <w:r w:rsidR="004331DC" w:rsidRPr="00E86D06">
        <w:rPr>
          <w:rFonts w:ascii="Times New Roman" w:hAnsi="Times New Roman" w:cs="Times New Roman"/>
          <w:sz w:val="24"/>
          <w:szCs w:val="24"/>
        </w:rPr>
        <w:t xml:space="preserve"> to</w:t>
      </w:r>
      <w:r w:rsidR="00BC0978" w:rsidRPr="00E86D06">
        <w:rPr>
          <w:rFonts w:ascii="Times New Roman" w:hAnsi="Times New Roman" w:cs="Times New Roman"/>
          <w:sz w:val="24"/>
          <w:szCs w:val="24"/>
        </w:rPr>
        <w:t xml:space="preserve"> fulfil adequately.</w:t>
      </w:r>
    </w:p>
    <w:p w:rsidR="00E86D06" w:rsidRPr="00E86D06" w:rsidRDefault="00E86D06" w:rsidP="00E86D06">
      <w:pPr>
        <w:spacing w:before="120" w:after="120" w:line="240" w:lineRule="auto"/>
        <w:rPr>
          <w:rFonts w:ascii="Times New Roman" w:hAnsi="Times New Roman" w:cs="Times New Roman"/>
          <w:bCs/>
          <w:sz w:val="24"/>
          <w:szCs w:val="24"/>
        </w:rPr>
      </w:pPr>
    </w:p>
    <w:p w:rsidR="00052B47" w:rsidRPr="00E86D06" w:rsidRDefault="00052B47" w:rsidP="00E86D06">
      <w:pPr>
        <w:pStyle w:val="Heading1"/>
        <w:numPr>
          <w:ilvl w:val="0"/>
          <w:numId w:val="20"/>
        </w:numPr>
        <w:spacing w:before="120" w:after="120" w:line="240" w:lineRule="auto"/>
        <w:rPr>
          <w:rFonts w:ascii="Times New Roman" w:hAnsi="Times New Roman" w:cs="Times New Roman"/>
          <w:color w:val="auto"/>
          <w:sz w:val="24"/>
          <w:szCs w:val="24"/>
        </w:rPr>
      </w:pPr>
      <w:bookmarkStart w:id="3" w:name="_Toc477175314"/>
      <w:r w:rsidRPr="00E86D06">
        <w:rPr>
          <w:rFonts w:ascii="Times New Roman" w:hAnsi="Times New Roman" w:cs="Times New Roman"/>
          <w:color w:val="auto"/>
          <w:sz w:val="24"/>
          <w:szCs w:val="24"/>
        </w:rPr>
        <w:t>Policy Priorities for 201</w:t>
      </w:r>
      <w:r w:rsidR="00FA7CC3" w:rsidRPr="00E86D06">
        <w:rPr>
          <w:rFonts w:ascii="Times New Roman" w:hAnsi="Times New Roman" w:cs="Times New Roman"/>
          <w:color w:val="auto"/>
          <w:sz w:val="24"/>
          <w:szCs w:val="24"/>
        </w:rPr>
        <w:t>7</w:t>
      </w:r>
      <w:r w:rsidRPr="00E86D06">
        <w:rPr>
          <w:rFonts w:ascii="Times New Roman" w:hAnsi="Times New Roman" w:cs="Times New Roman"/>
          <w:color w:val="auto"/>
          <w:sz w:val="24"/>
          <w:szCs w:val="24"/>
        </w:rPr>
        <w:t>/1</w:t>
      </w:r>
      <w:r w:rsidR="00FA7CC3" w:rsidRPr="00E86D06">
        <w:rPr>
          <w:rFonts w:ascii="Times New Roman" w:hAnsi="Times New Roman" w:cs="Times New Roman"/>
          <w:color w:val="auto"/>
          <w:sz w:val="24"/>
          <w:szCs w:val="24"/>
        </w:rPr>
        <w:t>8</w:t>
      </w:r>
      <w:bookmarkEnd w:id="3"/>
    </w:p>
    <w:p w:rsidR="00052B47" w:rsidRPr="00E86D06" w:rsidRDefault="00052B47" w:rsidP="00E86D06">
      <w:pPr>
        <w:spacing w:before="120" w:after="120" w:line="240" w:lineRule="auto"/>
        <w:rPr>
          <w:rFonts w:ascii="Times New Roman" w:hAnsi="Times New Roman" w:cs="Times New Roman"/>
          <w:b/>
          <w:bCs/>
          <w:sz w:val="24"/>
          <w:szCs w:val="24"/>
        </w:rPr>
      </w:pPr>
    </w:p>
    <w:p w:rsidR="00052B47" w:rsidRPr="00E86D06" w:rsidRDefault="00025B32" w:rsidP="00E86D06">
      <w:pPr>
        <w:spacing w:before="120" w:after="120" w:line="240" w:lineRule="auto"/>
        <w:rPr>
          <w:rFonts w:ascii="Times New Roman" w:hAnsi="Times New Roman" w:cs="Times New Roman"/>
          <w:bCs/>
          <w:sz w:val="24"/>
          <w:szCs w:val="24"/>
        </w:rPr>
      </w:pPr>
      <w:r w:rsidRPr="00E86D06">
        <w:rPr>
          <w:rFonts w:ascii="Times New Roman" w:hAnsi="Times New Roman" w:cs="Times New Roman"/>
          <w:bCs/>
          <w:sz w:val="24"/>
          <w:szCs w:val="24"/>
        </w:rPr>
        <w:t>In line with the economic transformation imperative emphasised in this year’s</w:t>
      </w:r>
      <w:r w:rsidR="00E70E3C" w:rsidRPr="00E86D06">
        <w:rPr>
          <w:rFonts w:ascii="Times New Roman" w:hAnsi="Times New Roman" w:cs="Times New Roman"/>
          <w:bCs/>
          <w:sz w:val="24"/>
          <w:szCs w:val="24"/>
        </w:rPr>
        <w:t xml:space="preserve"> </w:t>
      </w:r>
      <w:proofErr w:type="spellStart"/>
      <w:r w:rsidR="00E70E3C" w:rsidRPr="00E86D06">
        <w:rPr>
          <w:rFonts w:ascii="Times New Roman" w:hAnsi="Times New Roman" w:cs="Times New Roman"/>
          <w:bCs/>
          <w:sz w:val="24"/>
          <w:szCs w:val="24"/>
        </w:rPr>
        <w:t>S</w:t>
      </w:r>
      <w:r w:rsidR="008647E3" w:rsidRPr="00E86D06">
        <w:rPr>
          <w:rFonts w:ascii="Times New Roman" w:hAnsi="Times New Roman" w:cs="Times New Roman"/>
          <w:bCs/>
          <w:sz w:val="24"/>
          <w:szCs w:val="24"/>
        </w:rPr>
        <w:t>o</w:t>
      </w:r>
      <w:r w:rsidR="00E70E3C" w:rsidRPr="00E86D06">
        <w:rPr>
          <w:rFonts w:ascii="Times New Roman" w:hAnsi="Times New Roman" w:cs="Times New Roman"/>
          <w:bCs/>
          <w:sz w:val="24"/>
          <w:szCs w:val="24"/>
        </w:rPr>
        <w:t>NA</w:t>
      </w:r>
      <w:proofErr w:type="spellEnd"/>
      <w:r w:rsidR="00E70E3C" w:rsidRPr="00E86D06">
        <w:rPr>
          <w:rFonts w:ascii="Times New Roman" w:hAnsi="Times New Roman" w:cs="Times New Roman"/>
          <w:bCs/>
          <w:sz w:val="24"/>
          <w:szCs w:val="24"/>
        </w:rPr>
        <w:t>,</w:t>
      </w:r>
      <w:r w:rsidR="005F1EB6" w:rsidRPr="00E86D06">
        <w:rPr>
          <w:rFonts w:ascii="Times New Roman" w:hAnsi="Times New Roman" w:cs="Times New Roman"/>
          <w:bCs/>
          <w:sz w:val="24"/>
          <w:szCs w:val="24"/>
        </w:rPr>
        <w:t xml:space="preserve"> Budget 2017</w:t>
      </w:r>
      <w:r w:rsidRPr="00E86D06">
        <w:rPr>
          <w:rFonts w:ascii="Times New Roman" w:hAnsi="Times New Roman" w:cs="Times New Roman"/>
          <w:bCs/>
          <w:sz w:val="24"/>
          <w:szCs w:val="24"/>
        </w:rPr>
        <w:t xml:space="preserve"> outlines certain principles that should guide this transformation. Of particular</w:t>
      </w:r>
      <w:r w:rsidR="00862E18" w:rsidRPr="00E86D06">
        <w:rPr>
          <w:rFonts w:ascii="Times New Roman" w:hAnsi="Times New Roman" w:cs="Times New Roman"/>
          <w:bCs/>
          <w:sz w:val="24"/>
          <w:szCs w:val="24"/>
        </w:rPr>
        <w:t xml:space="preserve"> relevance to the</w:t>
      </w:r>
      <w:r w:rsidR="009B07BB" w:rsidRPr="00E86D06">
        <w:rPr>
          <w:rFonts w:ascii="Times New Roman" w:hAnsi="Times New Roman" w:cs="Times New Roman"/>
          <w:bCs/>
          <w:sz w:val="24"/>
          <w:szCs w:val="24"/>
        </w:rPr>
        <w:t xml:space="preserve"> </w:t>
      </w:r>
      <w:proofErr w:type="spellStart"/>
      <w:r w:rsidR="009B07BB" w:rsidRPr="00E86D06">
        <w:rPr>
          <w:rFonts w:ascii="Times New Roman" w:hAnsi="Times New Roman" w:cs="Times New Roman"/>
          <w:bCs/>
          <w:sz w:val="24"/>
          <w:szCs w:val="24"/>
        </w:rPr>
        <w:t>C</w:t>
      </w:r>
      <w:r w:rsidR="008647E3" w:rsidRPr="00E86D06">
        <w:rPr>
          <w:rFonts w:ascii="Times New Roman" w:hAnsi="Times New Roman" w:cs="Times New Roman"/>
          <w:bCs/>
          <w:sz w:val="24"/>
          <w:szCs w:val="24"/>
        </w:rPr>
        <w:t>o</w:t>
      </w:r>
      <w:r w:rsidR="009B07BB" w:rsidRPr="00E86D06">
        <w:rPr>
          <w:rFonts w:ascii="Times New Roman" w:hAnsi="Times New Roman" w:cs="Times New Roman"/>
          <w:bCs/>
          <w:sz w:val="24"/>
          <w:szCs w:val="24"/>
        </w:rPr>
        <w:t>GTA</w:t>
      </w:r>
      <w:proofErr w:type="spellEnd"/>
      <w:r w:rsidR="009B07BB" w:rsidRPr="00E86D06">
        <w:rPr>
          <w:rFonts w:ascii="Times New Roman" w:hAnsi="Times New Roman" w:cs="Times New Roman"/>
          <w:bCs/>
          <w:sz w:val="24"/>
          <w:szCs w:val="24"/>
        </w:rPr>
        <w:t xml:space="preserve"> </w:t>
      </w:r>
      <w:r w:rsidR="008647E3" w:rsidRPr="00E86D06">
        <w:rPr>
          <w:rFonts w:ascii="Times New Roman" w:hAnsi="Times New Roman" w:cs="Times New Roman"/>
          <w:bCs/>
          <w:sz w:val="24"/>
          <w:szCs w:val="24"/>
        </w:rPr>
        <w:t>M</w:t>
      </w:r>
      <w:r w:rsidR="009B07BB" w:rsidRPr="00E86D06">
        <w:rPr>
          <w:rFonts w:ascii="Times New Roman" w:hAnsi="Times New Roman" w:cs="Times New Roman"/>
          <w:bCs/>
          <w:sz w:val="24"/>
          <w:szCs w:val="24"/>
        </w:rPr>
        <w:t>inistry is the principle that ‘transformation must reshape our cities and build linkages across the rural and urban landscapes, where fragmentation and separation characterised past patterns.’</w:t>
      </w:r>
      <w:r w:rsidR="00FB7B41" w:rsidRPr="00E86D06">
        <w:rPr>
          <w:rStyle w:val="FootnoteReference"/>
          <w:rFonts w:ascii="Times New Roman" w:hAnsi="Times New Roman" w:cs="Times New Roman"/>
          <w:bCs/>
          <w:sz w:val="24"/>
          <w:szCs w:val="24"/>
        </w:rPr>
        <w:footnoteReference w:id="2"/>
      </w:r>
      <w:r w:rsidR="00BD208E" w:rsidRPr="00E86D06">
        <w:rPr>
          <w:rFonts w:ascii="Times New Roman" w:hAnsi="Times New Roman" w:cs="Times New Roman"/>
          <w:bCs/>
          <w:sz w:val="24"/>
          <w:szCs w:val="24"/>
        </w:rPr>
        <w:t xml:space="preserve"> </w:t>
      </w:r>
      <w:r w:rsidR="006165E9" w:rsidRPr="00E86D06">
        <w:rPr>
          <w:rFonts w:ascii="Times New Roman" w:hAnsi="Times New Roman" w:cs="Times New Roman"/>
          <w:bCs/>
          <w:sz w:val="24"/>
          <w:szCs w:val="24"/>
        </w:rPr>
        <w:t>This is one of the objectives of the Integrated Urban Development Framework (IUDF)</w:t>
      </w:r>
      <w:r w:rsidR="00D721A7" w:rsidRPr="00E86D06">
        <w:rPr>
          <w:rFonts w:ascii="Times New Roman" w:hAnsi="Times New Roman" w:cs="Times New Roman"/>
          <w:bCs/>
          <w:sz w:val="24"/>
          <w:szCs w:val="24"/>
        </w:rPr>
        <w:t>, an initiative of the Department of Cooperative Governance.</w:t>
      </w:r>
      <w:r w:rsidR="00FC6360" w:rsidRPr="00E86D06">
        <w:rPr>
          <w:rFonts w:ascii="Times New Roman" w:hAnsi="Times New Roman" w:cs="Times New Roman"/>
          <w:bCs/>
          <w:sz w:val="24"/>
          <w:szCs w:val="24"/>
        </w:rPr>
        <w:t xml:space="preserve"> Through its Regional and Urban Development and Legislative Support Programme (Programme 3), the Department envisages continuing to facilitate the restructuring of the municipal spatial economy through monitoring the implementation of the </w:t>
      </w:r>
      <w:r w:rsidR="008647E3" w:rsidRPr="00E86D06">
        <w:rPr>
          <w:rFonts w:ascii="Times New Roman" w:hAnsi="Times New Roman" w:cs="Times New Roman"/>
          <w:bCs/>
          <w:sz w:val="24"/>
          <w:szCs w:val="24"/>
        </w:rPr>
        <w:t>IUDF</w:t>
      </w:r>
      <w:r w:rsidR="00FC6360" w:rsidRPr="00E86D06">
        <w:rPr>
          <w:rFonts w:ascii="Times New Roman" w:hAnsi="Times New Roman" w:cs="Times New Roman"/>
          <w:bCs/>
          <w:sz w:val="24"/>
          <w:szCs w:val="24"/>
        </w:rPr>
        <w:t>.</w:t>
      </w:r>
    </w:p>
    <w:p w:rsidR="00765FDF" w:rsidRPr="00E86D06" w:rsidRDefault="00765FDF" w:rsidP="00E86D06">
      <w:pPr>
        <w:spacing w:before="120" w:after="120" w:line="240" w:lineRule="auto"/>
        <w:rPr>
          <w:rFonts w:ascii="Times New Roman" w:hAnsi="Times New Roman" w:cs="Times New Roman"/>
          <w:bCs/>
          <w:sz w:val="24"/>
          <w:szCs w:val="24"/>
        </w:rPr>
      </w:pPr>
    </w:p>
    <w:p w:rsidR="00765FDF" w:rsidRPr="00E86D06" w:rsidRDefault="00765FDF" w:rsidP="00E86D06">
      <w:pPr>
        <w:spacing w:before="120" w:after="120" w:line="240" w:lineRule="auto"/>
        <w:rPr>
          <w:rFonts w:ascii="Times New Roman" w:hAnsi="Times New Roman" w:cs="Times New Roman"/>
          <w:bCs/>
          <w:sz w:val="24"/>
          <w:szCs w:val="24"/>
        </w:rPr>
      </w:pPr>
      <w:r w:rsidRPr="00E86D06">
        <w:rPr>
          <w:rFonts w:ascii="Times New Roman" w:hAnsi="Times New Roman" w:cs="Times New Roman"/>
          <w:bCs/>
          <w:sz w:val="24"/>
          <w:szCs w:val="24"/>
        </w:rPr>
        <w:lastRenderedPageBreak/>
        <w:t>Government also continues to invest in improving the financial capability of municipalities</w:t>
      </w:r>
      <w:r w:rsidR="005D0863" w:rsidRPr="00E86D06">
        <w:rPr>
          <w:rFonts w:ascii="Times New Roman" w:hAnsi="Times New Roman" w:cs="Times New Roman"/>
          <w:bCs/>
          <w:sz w:val="24"/>
          <w:szCs w:val="24"/>
        </w:rPr>
        <w:t>, and this will see</w:t>
      </w:r>
      <w:r w:rsidR="0040415A" w:rsidRPr="00E86D06">
        <w:rPr>
          <w:rFonts w:ascii="Times New Roman" w:hAnsi="Times New Roman" w:cs="Times New Roman"/>
          <w:bCs/>
          <w:sz w:val="24"/>
          <w:szCs w:val="24"/>
        </w:rPr>
        <w:t>, amongst others,</w:t>
      </w:r>
      <w:r w:rsidR="005D0863" w:rsidRPr="00E86D06">
        <w:rPr>
          <w:rFonts w:ascii="Times New Roman" w:hAnsi="Times New Roman" w:cs="Times New Roman"/>
          <w:bCs/>
          <w:sz w:val="24"/>
          <w:szCs w:val="24"/>
        </w:rPr>
        <w:t xml:space="preserve"> the implementation of a new Municipal Standard Chart of Accounts from the 1</w:t>
      </w:r>
      <w:r w:rsidR="005D0863" w:rsidRPr="00E86D06">
        <w:rPr>
          <w:rFonts w:ascii="Times New Roman" w:hAnsi="Times New Roman" w:cs="Times New Roman"/>
          <w:bCs/>
          <w:sz w:val="24"/>
          <w:szCs w:val="24"/>
          <w:vertAlign w:val="superscript"/>
        </w:rPr>
        <w:t>st</w:t>
      </w:r>
      <w:r w:rsidR="005D0863" w:rsidRPr="00E86D06">
        <w:rPr>
          <w:rFonts w:ascii="Times New Roman" w:hAnsi="Times New Roman" w:cs="Times New Roman"/>
          <w:bCs/>
          <w:sz w:val="24"/>
          <w:szCs w:val="24"/>
        </w:rPr>
        <w:t xml:space="preserve"> of July 2017; targeted Supply Chain Management interventions; enhanced revenue management; and improved asset management including adherence to 8</w:t>
      </w:r>
      <w:r w:rsidR="008647E3" w:rsidRPr="00E86D06">
        <w:rPr>
          <w:rFonts w:ascii="Times New Roman" w:hAnsi="Times New Roman" w:cs="Times New Roman"/>
          <w:bCs/>
          <w:sz w:val="24"/>
          <w:szCs w:val="24"/>
        </w:rPr>
        <w:t>%</w:t>
      </w:r>
      <w:r w:rsidR="005D0863" w:rsidRPr="00E86D06">
        <w:rPr>
          <w:rFonts w:ascii="Times New Roman" w:hAnsi="Times New Roman" w:cs="Times New Roman"/>
          <w:bCs/>
          <w:sz w:val="24"/>
          <w:szCs w:val="24"/>
        </w:rPr>
        <w:t xml:space="preserve"> of the value of assets being spent on their maintenance.</w:t>
      </w:r>
      <w:r w:rsidR="004E4D6E" w:rsidRPr="00E86D06">
        <w:rPr>
          <w:rStyle w:val="FootnoteReference"/>
          <w:rFonts w:ascii="Times New Roman" w:hAnsi="Times New Roman" w:cs="Times New Roman"/>
          <w:bCs/>
          <w:sz w:val="24"/>
          <w:szCs w:val="24"/>
        </w:rPr>
        <w:footnoteReference w:id="3"/>
      </w:r>
      <w:r w:rsidR="00F21D5C" w:rsidRPr="00E86D06">
        <w:rPr>
          <w:rFonts w:ascii="Times New Roman" w:hAnsi="Times New Roman" w:cs="Times New Roman"/>
          <w:bCs/>
          <w:sz w:val="24"/>
          <w:szCs w:val="24"/>
        </w:rPr>
        <w:t xml:space="preserve"> </w:t>
      </w:r>
      <w:r w:rsidR="003A023F" w:rsidRPr="00E86D06">
        <w:rPr>
          <w:rFonts w:ascii="Times New Roman" w:hAnsi="Times New Roman" w:cs="Times New Roman"/>
          <w:bCs/>
          <w:sz w:val="24"/>
          <w:szCs w:val="24"/>
        </w:rPr>
        <w:t>This is in line with Chapter 13 of the National Development Plan (NDP), which envisages an effic</w:t>
      </w:r>
      <w:r w:rsidR="00C95416" w:rsidRPr="00E86D06">
        <w:rPr>
          <w:rFonts w:ascii="Times New Roman" w:hAnsi="Times New Roman" w:cs="Times New Roman"/>
          <w:bCs/>
          <w:sz w:val="24"/>
          <w:szCs w:val="24"/>
        </w:rPr>
        <w:t>ient, effective and development-</w:t>
      </w:r>
      <w:r w:rsidR="003A023F" w:rsidRPr="00E86D06">
        <w:rPr>
          <w:rFonts w:ascii="Times New Roman" w:hAnsi="Times New Roman" w:cs="Times New Roman"/>
          <w:bCs/>
          <w:sz w:val="24"/>
          <w:szCs w:val="24"/>
        </w:rPr>
        <w:t>oriented public service.</w:t>
      </w:r>
      <w:r w:rsidR="003A023F" w:rsidRPr="00E86D06">
        <w:rPr>
          <w:rStyle w:val="FootnoteReference"/>
          <w:rFonts w:ascii="Times New Roman" w:hAnsi="Times New Roman" w:cs="Times New Roman"/>
          <w:bCs/>
          <w:sz w:val="24"/>
          <w:szCs w:val="24"/>
        </w:rPr>
        <w:footnoteReference w:id="4"/>
      </w:r>
      <w:r w:rsidR="00CA7ACA" w:rsidRPr="00E86D06">
        <w:rPr>
          <w:rFonts w:ascii="Times New Roman" w:hAnsi="Times New Roman" w:cs="Times New Roman"/>
          <w:bCs/>
          <w:sz w:val="24"/>
          <w:szCs w:val="24"/>
        </w:rPr>
        <w:t xml:space="preserve"> </w:t>
      </w:r>
      <w:r w:rsidR="00BC26F5" w:rsidRPr="00E86D06">
        <w:rPr>
          <w:rFonts w:ascii="Times New Roman" w:hAnsi="Times New Roman" w:cs="Times New Roman"/>
          <w:bCs/>
          <w:sz w:val="24"/>
          <w:szCs w:val="24"/>
        </w:rPr>
        <w:t>In this regard, the Department of Coo</w:t>
      </w:r>
      <w:r w:rsidR="005A4A82" w:rsidRPr="00E86D06">
        <w:rPr>
          <w:rFonts w:ascii="Times New Roman" w:hAnsi="Times New Roman" w:cs="Times New Roman"/>
          <w:bCs/>
          <w:sz w:val="24"/>
          <w:szCs w:val="24"/>
        </w:rPr>
        <w:t>perative Governance envisages continuing</w:t>
      </w:r>
      <w:r w:rsidR="00DE6F5A" w:rsidRPr="00E86D06">
        <w:rPr>
          <w:rFonts w:ascii="Times New Roman" w:hAnsi="Times New Roman" w:cs="Times New Roman"/>
          <w:bCs/>
          <w:sz w:val="24"/>
          <w:szCs w:val="24"/>
        </w:rPr>
        <w:t xml:space="preserve"> with</w:t>
      </w:r>
      <w:r w:rsidR="005C61EB" w:rsidRPr="00E86D06">
        <w:rPr>
          <w:rFonts w:ascii="Times New Roman" w:hAnsi="Times New Roman" w:cs="Times New Roman"/>
          <w:bCs/>
          <w:sz w:val="24"/>
          <w:szCs w:val="24"/>
        </w:rPr>
        <w:t xml:space="preserve"> the</w:t>
      </w:r>
      <w:r w:rsidR="00DE6F5A" w:rsidRPr="00E86D06">
        <w:rPr>
          <w:rFonts w:ascii="Times New Roman" w:hAnsi="Times New Roman" w:cs="Times New Roman"/>
          <w:bCs/>
          <w:sz w:val="24"/>
          <w:szCs w:val="24"/>
        </w:rPr>
        <w:t xml:space="preserve"> implementation of </w:t>
      </w:r>
      <w:r w:rsidR="00BC26F5" w:rsidRPr="00E86D06">
        <w:rPr>
          <w:rFonts w:ascii="Times New Roman" w:hAnsi="Times New Roman" w:cs="Times New Roman"/>
          <w:bCs/>
          <w:sz w:val="24"/>
          <w:szCs w:val="24"/>
        </w:rPr>
        <w:t>a specific reven</w:t>
      </w:r>
      <w:r w:rsidR="00DE6F5A" w:rsidRPr="00E86D06">
        <w:rPr>
          <w:rFonts w:ascii="Times New Roman" w:hAnsi="Times New Roman" w:cs="Times New Roman"/>
          <w:bCs/>
          <w:sz w:val="24"/>
          <w:szCs w:val="24"/>
        </w:rPr>
        <w:t>ue plan in 30 municipalities by the end of the financial year.</w:t>
      </w:r>
    </w:p>
    <w:p w:rsidR="00FC6360" w:rsidRPr="00E86D06" w:rsidRDefault="00FC6360" w:rsidP="00E86D06">
      <w:pPr>
        <w:spacing w:before="120" w:after="120" w:line="240" w:lineRule="auto"/>
        <w:rPr>
          <w:rFonts w:ascii="Times New Roman" w:hAnsi="Times New Roman" w:cs="Times New Roman"/>
          <w:bCs/>
          <w:sz w:val="24"/>
          <w:szCs w:val="24"/>
        </w:rPr>
      </w:pPr>
    </w:p>
    <w:p w:rsidR="00FC6360" w:rsidRDefault="00FC6360" w:rsidP="00E86D06">
      <w:pPr>
        <w:spacing w:before="120" w:after="120" w:line="240" w:lineRule="auto"/>
        <w:rPr>
          <w:rFonts w:ascii="Times New Roman" w:hAnsi="Times New Roman" w:cs="Times New Roman"/>
          <w:bCs/>
          <w:sz w:val="24"/>
          <w:szCs w:val="24"/>
        </w:rPr>
      </w:pPr>
      <w:r w:rsidRPr="00E86D06">
        <w:rPr>
          <w:rFonts w:ascii="Times New Roman" w:hAnsi="Times New Roman" w:cs="Times New Roman"/>
          <w:bCs/>
          <w:sz w:val="24"/>
          <w:szCs w:val="24"/>
        </w:rPr>
        <w:t>During thi</w:t>
      </w:r>
      <w:r w:rsidR="00E77636" w:rsidRPr="00E86D06">
        <w:rPr>
          <w:rFonts w:ascii="Times New Roman" w:hAnsi="Times New Roman" w:cs="Times New Roman"/>
          <w:bCs/>
          <w:sz w:val="24"/>
          <w:szCs w:val="24"/>
        </w:rPr>
        <w:t xml:space="preserve">s financial year, the </w:t>
      </w:r>
      <w:proofErr w:type="spellStart"/>
      <w:r w:rsidR="00E77636" w:rsidRPr="00E86D06">
        <w:rPr>
          <w:rFonts w:ascii="Times New Roman" w:hAnsi="Times New Roman" w:cs="Times New Roman"/>
          <w:bCs/>
          <w:sz w:val="24"/>
          <w:szCs w:val="24"/>
        </w:rPr>
        <w:t>C</w:t>
      </w:r>
      <w:r w:rsidR="008647E3" w:rsidRPr="00E86D06">
        <w:rPr>
          <w:rFonts w:ascii="Times New Roman" w:hAnsi="Times New Roman" w:cs="Times New Roman"/>
          <w:bCs/>
          <w:sz w:val="24"/>
          <w:szCs w:val="24"/>
        </w:rPr>
        <w:t>o</w:t>
      </w:r>
      <w:r w:rsidR="00E77636" w:rsidRPr="00E86D06">
        <w:rPr>
          <w:rFonts w:ascii="Times New Roman" w:hAnsi="Times New Roman" w:cs="Times New Roman"/>
          <w:bCs/>
          <w:sz w:val="24"/>
          <w:szCs w:val="24"/>
        </w:rPr>
        <w:t>GTA</w:t>
      </w:r>
      <w:proofErr w:type="spellEnd"/>
      <w:r w:rsidR="00E77636" w:rsidRPr="00E86D06">
        <w:rPr>
          <w:rFonts w:ascii="Times New Roman" w:hAnsi="Times New Roman" w:cs="Times New Roman"/>
          <w:bCs/>
          <w:sz w:val="24"/>
          <w:szCs w:val="24"/>
        </w:rPr>
        <w:t xml:space="preserve"> ministry</w:t>
      </w:r>
      <w:r w:rsidRPr="00E86D06">
        <w:rPr>
          <w:rFonts w:ascii="Times New Roman" w:hAnsi="Times New Roman" w:cs="Times New Roman"/>
          <w:bCs/>
          <w:sz w:val="24"/>
          <w:szCs w:val="24"/>
        </w:rPr>
        <w:t xml:space="preserve"> also envisages effecting amendments to existing legislation, in particular the Municipal Structures Act (Act 117 of 1998) and the Municipal Systems Act (Act 32 of 2000).</w:t>
      </w:r>
      <w:r w:rsidRPr="00E86D06">
        <w:rPr>
          <w:rFonts w:ascii="Times New Roman" w:hAnsi="Times New Roman" w:cs="Times New Roman"/>
          <w:bCs/>
          <w:i/>
          <w:sz w:val="24"/>
          <w:szCs w:val="24"/>
        </w:rPr>
        <w:t xml:space="preserve"> </w:t>
      </w:r>
      <w:r w:rsidRPr="00E86D06">
        <w:rPr>
          <w:rFonts w:ascii="Times New Roman" w:hAnsi="Times New Roman" w:cs="Times New Roman"/>
          <w:bCs/>
          <w:sz w:val="24"/>
          <w:szCs w:val="24"/>
        </w:rPr>
        <w:t>The contemplated amendments to the Structures Act are particularly critical to the effective and meaningful participation of traditional leadership structures in local government structures. Amendments to the Traditional Leadership and Governance Framework Act</w:t>
      </w:r>
      <w:r w:rsidRPr="00E86D06">
        <w:rPr>
          <w:rFonts w:ascii="Times New Roman" w:hAnsi="Times New Roman" w:cs="Times New Roman"/>
          <w:bCs/>
          <w:i/>
          <w:sz w:val="24"/>
          <w:szCs w:val="24"/>
        </w:rPr>
        <w:t xml:space="preserve"> </w:t>
      </w:r>
      <w:r w:rsidRPr="00E86D06">
        <w:rPr>
          <w:rFonts w:ascii="Times New Roman" w:hAnsi="Times New Roman" w:cs="Times New Roman"/>
          <w:bCs/>
          <w:sz w:val="24"/>
          <w:szCs w:val="24"/>
        </w:rPr>
        <w:t>and the introduction of the Customary Initiation Bill to regulate the cultural initiation practice so at to reduce the number of fatalities emanating from the practice, are also envisaged.</w:t>
      </w:r>
      <w:r w:rsidRPr="00E86D06">
        <w:rPr>
          <w:rStyle w:val="FootnoteReference"/>
          <w:rFonts w:ascii="Times New Roman" w:hAnsi="Times New Roman" w:cs="Times New Roman"/>
          <w:bCs/>
          <w:sz w:val="24"/>
          <w:szCs w:val="24"/>
        </w:rPr>
        <w:footnoteReference w:id="5"/>
      </w:r>
      <w:r w:rsidRPr="00E86D06">
        <w:rPr>
          <w:rFonts w:ascii="Times New Roman" w:hAnsi="Times New Roman" w:cs="Times New Roman"/>
          <w:bCs/>
          <w:sz w:val="24"/>
          <w:szCs w:val="24"/>
        </w:rPr>
        <w:t xml:space="preserve"> </w:t>
      </w:r>
    </w:p>
    <w:p w:rsidR="00E86D06" w:rsidRPr="00E86D06" w:rsidRDefault="00E86D06" w:rsidP="00E86D06">
      <w:pPr>
        <w:spacing w:before="120" w:after="120" w:line="240" w:lineRule="auto"/>
        <w:rPr>
          <w:rFonts w:ascii="Times New Roman" w:hAnsi="Times New Roman" w:cs="Times New Roman"/>
          <w:bCs/>
          <w:sz w:val="24"/>
          <w:szCs w:val="24"/>
        </w:rPr>
      </w:pPr>
    </w:p>
    <w:p w:rsidR="00052B47" w:rsidRPr="00E86D06" w:rsidRDefault="00052B47" w:rsidP="00E86D06">
      <w:pPr>
        <w:pStyle w:val="Heading1"/>
        <w:numPr>
          <w:ilvl w:val="0"/>
          <w:numId w:val="20"/>
        </w:numPr>
        <w:spacing w:before="120" w:after="120" w:line="240" w:lineRule="auto"/>
        <w:rPr>
          <w:rFonts w:ascii="Times New Roman" w:hAnsi="Times New Roman" w:cs="Times New Roman"/>
          <w:color w:val="auto"/>
          <w:sz w:val="24"/>
          <w:szCs w:val="24"/>
        </w:rPr>
      </w:pPr>
      <w:bookmarkStart w:id="4" w:name="_Toc477175315"/>
      <w:r w:rsidRPr="00E86D06">
        <w:rPr>
          <w:rFonts w:ascii="Times New Roman" w:hAnsi="Times New Roman" w:cs="Times New Roman"/>
          <w:color w:val="auto"/>
          <w:sz w:val="24"/>
          <w:szCs w:val="24"/>
        </w:rPr>
        <w:t>Budget Analysis</w:t>
      </w:r>
      <w:bookmarkEnd w:id="4"/>
      <w:r w:rsidR="008647E3" w:rsidRPr="00E86D06">
        <w:rPr>
          <w:rFonts w:ascii="Times New Roman" w:hAnsi="Times New Roman" w:cs="Times New Roman"/>
          <w:color w:val="auto"/>
          <w:sz w:val="24"/>
          <w:szCs w:val="24"/>
        </w:rPr>
        <w:t xml:space="preserve"> 2017/18</w:t>
      </w: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Taking inflation into account, the Departments’ budget allocation for 2017/18 increases by </w:t>
      </w:r>
      <w:r w:rsidR="008647E3" w:rsidRPr="00E86D06">
        <w:rPr>
          <w:rFonts w:ascii="Times New Roman" w:hAnsi="Times New Roman" w:cs="Times New Roman"/>
          <w:sz w:val="24"/>
          <w:szCs w:val="24"/>
        </w:rPr>
        <w:t>1%</w:t>
      </w:r>
      <w:r w:rsidRPr="00E86D06">
        <w:rPr>
          <w:rFonts w:ascii="Times New Roman" w:hAnsi="Times New Roman" w:cs="Times New Roman"/>
          <w:sz w:val="24"/>
          <w:szCs w:val="24"/>
        </w:rPr>
        <w:t xml:space="preserve">, from R73 billion in 2016/17 to R78 billion, as the Table </w:t>
      </w:r>
      <w:r w:rsidR="008647E3" w:rsidRPr="00E86D06">
        <w:rPr>
          <w:rFonts w:ascii="Times New Roman" w:hAnsi="Times New Roman" w:cs="Times New Roman"/>
          <w:sz w:val="24"/>
          <w:szCs w:val="24"/>
        </w:rPr>
        <w:t xml:space="preserve">1 </w:t>
      </w:r>
      <w:r w:rsidRPr="00E86D06">
        <w:rPr>
          <w:rFonts w:ascii="Times New Roman" w:hAnsi="Times New Roman" w:cs="Times New Roman"/>
          <w:sz w:val="24"/>
          <w:szCs w:val="24"/>
        </w:rPr>
        <w:t>below illustrates.</w:t>
      </w:r>
      <w:r w:rsidR="00E903EF" w:rsidRPr="00E86D06">
        <w:rPr>
          <w:rFonts w:ascii="Times New Roman" w:hAnsi="Times New Roman" w:cs="Times New Roman"/>
          <w:sz w:val="24"/>
          <w:szCs w:val="24"/>
        </w:rPr>
        <w:t xml:space="preserve"> The highest increase (8.9</w:t>
      </w:r>
      <w:r w:rsidR="008647E3" w:rsidRPr="00E86D06">
        <w:rPr>
          <w:rFonts w:ascii="Times New Roman" w:hAnsi="Times New Roman" w:cs="Times New Roman"/>
          <w:sz w:val="24"/>
          <w:szCs w:val="24"/>
        </w:rPr>
        <w:t>%</w:t>
      </w:r>
      <w:r w:rsidR="00E903EF" w:rsidRPr="00E86D06">
        <w:rPr>
          <w:rFonts w:ascii="Times New Roman" w:hAnsi="Times New Roman" w:cs="Times New Roman"/>
          <w:sz w:val="24"/>
          <w:szCs w:val="24"/>
        </w:rPr>
        <w:t>) is seen in Programme 6: C</w:t>
      </w:r>
      <w:r w:rsidR="008647E3" w:rsidRPr="00E86D06">
        <w:rPr>
          <w:rFonts w:ascii="Times New Roman" w:hAnsi="Times New Roman" w:cs="Times New Roman"/>
          <w:sz w:val="24"/>
          <w:szCs w:val="24"/>
        </w:rPr>
        <w:t>WP</w:t>
      </w:r>
      <w:r w:rsidR="00E903EF" w:rsidRPr="00E86D06">
        <w:rPr>
          <w:rFonts w:ascii="Times New Roman" w:hAnsi="Times New Roman" w:cs="Times New Roman"/>
          <w:sz w:val="24"/>
          <w:szCs w:val="24"/>
        </w:rPr>
        <w:t>, while the allocation to Programme 2: Regional and Urban Development and Legislative Support decreases by more than half, at 53</w:t>
      </w:r>
      <w:r w:rsidR="00E55B9B" w:rsidRPr="00E86D06">
        <w:rPr>
          <w:rFonts w:ascii="Times New Roman" w:hAnsi="Times New Roman" w:cs="Times New Roman"/>
          <w:sz w:val="24"/>
          <w:szCs w:val="24"/>
        </w:rPr>
        <w:t>%</w:t>
      </w:r>
      <w:r w:rsidR="00E903EF" w:rsidRPr="00E86D06">
        <w:rPr>
          <w:rFonts w:ascii="Times New Roman" w:hAnsi="Times New Roman" w:cs="Times New Roman"/>
          <w:sz w:val="24"/>
          <w:szCs w:val="24"/>
        </w:rPr>
        <w:t>. The decrease mainly relates to the phasing out of the Municipal Demarcation Transition Grant, which will be discontinued from the 2017/18 financial year.</w:t>
      </w:r>
      <w:r w:rsidR="00FB7D9B" w:rsidRPr="00E86D06">
        <w:rPr>
          <w:rFonts w:ascii="Times New Roman" w:hAnsi="Times New Roman" w:cs="Times New Roman"/>
          <w:sz w:val="24"/>
          <w:szCs w:val="24"/>
        </w:rPr>
        <w:t xml:space="preserve"> This is in line with the recommendation of the Financial and Fiscal Commission (FFC) that the grant be concluded in 2017/18 because it is intended to fund transitional costs and it will not form a permanent part of the intergovernmental transfer system.</w:t>
      </w:r>
      <w:r w:rsidR="00FB7D9B" w:rsidRPr="00E86D06">
        <w:rPr>
          <w:rStyle w:val="FootnoteReference"/>
          <w:rFonts w:ascii="Times New Roman" w:hAnsi="Times New Roman" w:cs="Times New Roman"/>
          <w:sz w:val="24"/>
          <w:szCs w:val="24"/>
        </w:rPr>
        <w:footnoteReference w:id="6"/>
      </w:r>
    </w:p>
    <w:p w:rsidR="00E55B9B" w:rsidRPr="00E86D06" w:rsidRDefault="00E55B9B" w:rsidP="00E86D06">
      <w:pPr>
        <w:spacing w:before="120" w:after="120" w:line="240" w:lineRule="auto"/>
        <w:rPr>
          <w:rFonts w:ascii="Times New Roman" w:hAnsi="Times New Roman" w:cs="Times New Roman"/>
          <w:sz w:val="24"/>
          <w:szCs w:val="24"/>
        </w:rPr>
      </w:pPr>
    </w:p>
    <w:p w:rsidR="00E55B9B" w:rsidRPr="00E86D06" w:rsidRDefault="00E55B9B"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 1:</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06"/>
        <w:gridCol w:w="1009"/>
        <w:gridCol w:w="1013"/>
        <w:gridCol w:w="1015"/>
        <w:gridCol w:w="1052"/>
        <w:gridCol w:w="872"/>
        <w:gridCol w:w="1017"/>
        <w:gridCol w:w="870"/>
      </w:tblGrid>
      <w:tr w:rsidR="00E55B9B" w:rsidRPr="00E86D06" w:rsidTr="00D569D5">
        <w:trPr>
          <w:trHeight w:val="780"/>
        </w:trPr>
        <w:tc>
          <w:tcPr>
            <w:tcW w:w="775" w:type="pct"/>
            <w:shd w:val="clear" w:color="auto" w:fill="D9D9D9" w:themeFill="background1" w:themeFillShade="D9"/>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2175" w:type="pct"/>
            <w:gridSpan w:val="4"/>
            <w:shd w:val="clear" w:color="auto" w:fill="D9D9D9" w:themeFill="background1" w:themeFillShade="D9"/>
            <w:vAlign w:val="center"/>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566" w:type="pct"/>
            <w:shd w:val="clear" w:color="auto" w:fill="D9D9D9" w:themeFill="background1" w:themeFillShade="D9"/>
            <w:vAlign w:val="center"/>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469" w:type="pct"/>
            <w:shd w:val="clear" w:color="auto" w:fill="D9D9D9" w:themeFill="background1" w:themeFillShade="D9"/>
            <w:vAlign w:val="center"/>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547" w:type="pct"/>
            <w:shd w:val="clear" w:color="auto" w:fill="D9D9D9" w:themeFill="background1" w:themeFillShade="D9"/>
            <w:vAlign w:val="center"/>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468" w:type="pct"/>
            <w:shd w:val="clear" w:color="auto" w:fill="D9D9D9" w:themeFill="background1" w:themeFillShade="D9"/>
            <w:vAlign w:val="center"/>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E55B9B" w:rsidRPr="00E86D06" w:rsidTr="00D569D5">
        <w:trPr>
          <w:trHeight w:val="255"/>
        </w:trPr>
        <w:tc>
          <w:tcPr>
            <w:tcW w:w="775" w:type="pct"/>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541" w:type="pct"/>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543" w:type="pct"/>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545" w:type="pct"/>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546" w:type="pct"/>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035" w:type="pct"/>
            <w:gridSpan w:val="2"/>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015" w:type="pct"/>
            <w:gridSpan w:val="2"/>
            <w:shd w:val="clear" w:color="auto" w:fill="auto"/>
            <w:noWrap/>
            <w:vAlign w:val="bottom"/>
            <w:hideMark/>
          </w:tcPr>
          <w:p w:rsidR="00D47B66" w:rsidRPr="00E86D06" w:rsidRDefault="00D47B66"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1:</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263,7</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247,3</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259,6</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276,7</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16,4</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31,1</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-6,22</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-11,78</w:t>
            </w:r>
            <w:r w:rsidR="00E55B9B" w:rsidRPr="00E86D06">
              <w:rPr>
                <w:rFonts w:ascii="Times New Roman" w:eastAsia="Times New Roman" w:hAnsi="Times New Roman" w:cs="Times New Roman"/>
                <w:sz w:val="24"/>
                <w:szCs w:val="24"/>
                <w:lang w:eastAsia="en-ZA"/>
              </w:rPr>
              <w:lastRenderedPageBreak/>
              <w:t>%</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Programme 2:</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423,6</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210,3</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103,9</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110,2</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213,4</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225,8</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-50,37</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-53,31</w:t>
            </w:r>
            <w:r w:rsidR="00E55B9B" w:rsidRPr="00E86D06">
              <w:rPr>
                <w:rFonts w:ascii="Times New Roman" w:eastAsia="Times New Roman" w:hAnsi="Times New Roman" w:cs="Times New Roman"/>
                <w:sz w:val="24"/>
                <w:szCs w:val="24"/>
                <w:lang w:eastAsia="en-ZA"/>
              </w:rPr>
              <w:t>%</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3: </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52 888,0</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57 372,8</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63 114,4</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67 879,5</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4 484,8</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1 084,5</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8,48</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2,05</w:t>
            </w:r>
            <w:r w:rsidR="00E55B9B" w:rsidRPr="00E86D06">
              <w:rPr>
                <w:rFonts w:ascii="Times New Roman" w:eastAsia="Times New Roman" w:hAnsi="Times New Roman" w:cs="Times New Roman"/>
                <w:sz w:val="24"/>
                <w:szCs w:val="24"/>
                <w:lang w:eastAsia="en-ZA"/>
              </w:rPr>
              <w:t>%</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4: </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588,9</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521,9</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600,2</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578,4</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67,0</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97,9</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-11,37</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-16,63</w:t>
            </w:r>
            <w:r w:rsidR="00E55B9B" w:rsidRPr="00E86D06">
              <w:rPr>
                <w:rFonts w:ascii="Times New Roman" w:eastAsia="Times New Roman" w:hAnsi="Times New Roman" w:cs="Times New Roman"/>
                <w:sz w:val="24"/>
                <w:szCs w:val="24"/>
                <w:lang w:eastAsia="en-ZA"/>
              </w:rPr>
              <w:t>%</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5: </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15 666,5</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16 366,4</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17 225,7</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18 197,0</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699,9</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270,1</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4,47</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-1,72</w:t>
            </w:r>
            <w:r w:rsidR="00E55B9B" w:rsidRPr="00E86D06">
              <w:rPr>
                <w:rFonts w:ascii="Times New Roman" w:eastAsia="Times New Roman" w:hAnsi="Times New Roman" w:cs="Times New Roman"/>
                <w:sz w:val="24"/>
                <w:szCs w:val="24"/>
                <w:lang w:eastAsia="en-ZA"/>
              </w:rPr>
              <w:t>%</w:t>
            </w:r>
          </w:p>
        </w:tc>
      </w:tr>
      <w:tr w:rsidR="00E55B9B" w:rsidRPr="00E86D06" w:rsidTr="00D569D5">
        <w:trPr>
          <w:trHeight w:val="255"/>
        </w:trPr>
        <w:tc>
          <w:tcPr>
            <w:tcW w:w="775" w:type="pct"/>
            <w:shd w:val="clear" w:color="auto" w:fill="auto"/>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6: </w:t>
            </w:r>
          </w:p>
        </w:tc>
        <w:tc>
          <w:tcPr>
            <w:tcW w:w="541"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3 191,2</w:t>
            </w:r>
          </w:p>
        </w:tc>
        <w:tc>
          <w:tcPr>
            <w:tcW w:w="543"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3 695,9</w:t>
            </w:r>
          </w:p>
        </w:tc>
        <w:tc>
          <w:tcPr>
            <w:tcW w:w="545"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3 809,9</w:t>
            </w:r>
          </w:p>
        </w:tc>
        <w:tc>
          <w:tcPr>
            <w:tcW w:w="54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4 018,6</w:t>
            </w:r>
          </w:p>
        </w:tc>
        <w:tc>
          <w:tcPr>
            <w:tcW w:w="566"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504,7</w:t>
            </w:r>
          </w:p>
        </w:tc>
        <w:tc>
          <w:tcPr>
            <w:tcW w:w="469"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285,6</w:t>
            </w:r>
          </w:p>
        </w:tc>
        <w:tc>
          <w:tcPr>
            <w:tcW w:w="547"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15,81</w:t>
            </w:r>
            <w:r w:rsidR="00E55B9B" w:rsidRPr="00E86D06">
              <w:rPr>
                <w:rFonts w:ascii="Times New Roman" w:eastAsia="Times New Roman" w:hAnsi="Times New Roman" w:cs="Times New Roman"/>
                <w:sz w:val="24"/>
                <w:szCs w:val="24"/>
                <w:lang w:eastAsia="en-ZA"/>
              </w:rPr>
              <w:t>%</w:t>
            </w:r>
          </w:p>
        </w:tc>
        <w:tc>
          <w:tcPr>
            <w:tcW w:w="468" w:type="pct"/>
            <w:shd w:val="clear" w:color="auto" w:fill="auto"/>
            <w:noWrap/>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8,95</w:t>
            </w:r>
            <w:r w:rsidR="00E55B9B" w:rsidRPr="00E86D06">
              <w:rPr>
                <w:rFonts w:ascii="Times New Roman" w:eastAsia="Times New Roman" w:hAnsi="Times New Roman" w:cs="Times New Roman"/>
                <w:sz w:val="24"/>
                <w:szCs w:val="24"/>
                <w:lang w:eastAsia="en-ZA"/>
              </w:rPr>
              <w:t>%</w:t>
            </w:r>
          </w:p>
        </w:tc>
      </w:tr>
      <w:tr w:rsidR="00E55B9B" w:rsidRPr="00E86D06" w:rsidTr="00D569D5">
        <w:trPr>
          <w:trHeight w:val="255"/>
        </w:trPr>
        <w:tc>
          <w:tcPr>
            <w:tcW w:w="775"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sz w:val="24"/>
                <w:szCs w:val="24"/>
                <w:lang w:eastAsia="en-ZA"/>
              </w:rPr>
            </w:pPr>
          </w:p>
        </w:tc>
        <w:tc>
          <w:tcPr>
            <w:tcW w:w="541"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543"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545"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546"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566"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469"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547"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c>
          <w:tcPr>
            <w:tcW w:w="468"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sz w:val="24"/>
                <w:szCs w:val="24"/>
                <w:lang w:eastAsia="en-ZA"/>
              </w:rPr>
            </w:pPr>
          </w:p>
        </w:tc>
      </w:tr>
      <w:tr w:rsidR="00E55B9B" w:rsidRPr="00E86D06" w:rsidTr="00D569D5">
        <w:trPr>
          <w:trHeight w:val="270"/>
        </w:trPr>
        <w:tc>
          <w:tcPr>
            <w:tcW w:w="775" w:type="pct"/>
            <w:shd w:val="clear" w:color="auto" w:fill="auto"/>
            <w:noWrap/>
            <w:vAlign w:val="bottom"/>
            <w:hideMark/>
          </w:tcPr>
          <w:p w:rsidR="00D47B66" w:rsidRPr="00E86D06" w:rsidRDefault="00D47B66"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541"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73 021,9</w:t>
            </w:r>
          </w:p>
        </w:tc>
        <w:tc>
          <w:tcPr>
            <w:tcW w:w="543"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78 414,5</w:t>
            </w:r>
          </w:p>
        </w:tc>
        <w:tc>
          <w:tcPr>
            <w:tcW w:w="545"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85 113,8</w:t>
            </w:r>
          </w:p>
        </w:tc>
        <w:tc>
          <w:tcPr>
            <w:tcW w:w="546"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91 060,4</w:t>
            </w:r>
          </w:p>
        </w:tc>
        <w:tc>
          <w:tcPr>
            <w:tcW w:w="566"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5 392,6</w:t>
            </w:r>
          </w:p>
        </w:tc>
        <w:tc>
          <w:tcPr>
            <w:tcW w:w="469"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745,2</w:t>
            </w:r>
          </w:p>
        </w:tc>
        <w:tc>
          <w:tcPr>
            <w:tcW w:w="547"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7,38</w:t>
            </w:r>
            <w:r w:rsidR="00E55B9B" w:rsidRPr="00E86D06">
              <w:rPr>
                <w:rFonts w:ascii="Times New Roman" w:eastAsia="Times New Roman" w:hAnsi="Times New Roman" w:cs="Times New Roman"/>
                <w:b/>
                <w:bCs/>
                <w:sz w:val="24"/>
                <w:szCs w:val="24"/>
                <w:lang w:eastAsia="en-ZA"/>
              </w:rPr>
              <w:t>%</w:t>
            </w:r>
          </w:p>
        </w:tc>
        <w:tc>
          <w:tcPr>
            <w:tcW w:w="468" w:type="pct"/>
            <w:shd w:val="clear" w:color="auto" w:fill="auto"/>
            <w:noWrap/>
            <w:vAlign w:val="bottom"/>
            <w:hideMark/>
          </w:tcPr>
          <w:p w:rsidR="00D47B66" w:rsidRPr="00E86D06" w:rsidRDefault="00D47B66"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1,02</w:t>
            </w:r>
            <w:r w:rsidR="00E55B9B" w:rsidRPr="00E86D06">
              <w:rPr>
                <w:rFonts w:ascii="Times New Roman" w:eastAsia="Times New Roman" w:hAnsi="Times New Roman" w:cs="Times New Roman"/>
                <w:b/>
                <w:bCs/>
                <w:sz w:val="24"/>
                <w:szCs w:val="24"/>
                <w:lang w:eastAsia="en-ZA"/>
              </w:rPr>
              <w:t>%</w:t>
            </w:r>
          </w:p>
        </w:tc>
      </w:tr>
    </w:tbl>
    <w:p w:rsidR="00D47B66" w:rsidRPr="00E86D06" w:rsidRDefault="00D47B66"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D47B66" w:rsidRPr="00E86D06" w:rsidRDefault="007C6F45"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The </w:t>
      </w:r>
      <w:r w:rsidR="00E55B9B" w:rsidRPr="00E86D06">
        <w:rPr>
          <w:rFonts w:ascii="Times New Roman" w:hAnsi="Times New Roman" w:cs="Times New Roman"/>
          <w:sz w:val="24"/>
          <w:szCs w:val="24"/>
        </w:rPr>
        <w:t>G</w:t>
      </w:r>
      <w:r w:rsidRPr="00E86D06">
        <w:rPr>
          <w:rFonts w:ascii="Times New Roman" w:hAnsi="Times New Roman" w:cs="Times New Roman"/>
          <w:sz w:val="24"/>
          <w:szCs w:val="24"/>
        </w:rPr>
        <w:t xml:space="preserve">raph </w:t>
      </w:r>
      <w:r w:rsidR="00E55B9B" w:rsidRPr="00E86D06">
        <w:rPr>
          <w:rFonts w:ascii="Times New Roman" w:hAnsi="Times New Roman" w:cs="Times New Roman"/>
          <w:sz w:val="24"/>
          <w:szCs w:val="24"/>
        </w:rPr>
        <w:t xml:space="preserve">1 </w:t>
      </w:r>
      <w:r w:rsidRPr="00E86D06">
        <w:rPr>
          <w:rFonts w:ascii="Times New Roman" w:hAnsi="Times New Roman" w:cs="Times New Roman"/>
          <w:sz w:val="24"/>
          <w:szCs w:val="24"/>
        </w:rPr>
        <w:t>below shows that the bulk of the Departments’ budget remains concentrated in Programmes 3: Institutional Development where the Local Government Equitable Share is disbursed to municipalities. The allocation to the Programme increases by 2</w:t>
      </w:r>
      <w:r w:rsidR="00E55B9B" w:rsidRPr="00E86D06">
        <w:rPr>
          <w:rFonts w:ascii="Times New Roman" w:hAnsi="Times New Roman" w:cs="Times New Roman"/>
          <w:sz w:val="24"/>
          <w:szCs w:val="24"/>
        </w:rPr>
        <w:t>%</w:t>
      </w:r>
      <w:r w:rsidRPr="00E86D06">
        <w:rPr>
          <w:rFonts w:ascii="Times New Roman" w:hAnsi="Times New Roman" w:cs="Times New Roman"/>
          <w:sz w:val="24"/>
          <w:szCs w:val="24"/>
        </w:rPr>
        <w:t xml:space="preserve"> in real terms – from R52.8 billion in 2016/17 to R57.3 billion in 2017/18. Most of this increase relates to (sub-programme 6) whose allocation increases by 27.8</w:t>
      </w:r>
      <w:r w:rsidR="00E55B9B" w:rsidRPr="00E86D06">
        <w:rPr>
          <w:rFonts w:ascii="Times New Roman" w:hAnsi="Times New Roman" w:cs="Times New Roman"/>
          <w:sz w:val="24"/>
          <w:szCs w:val="24"/>
        </w:rPr>
        <w:t>%</w:t>
      </w:r>
      <w:r w:rsidRPr="00E86D06">
        <w:rPr>
          <w:rFonts w:ascii="Times New Roman" w:hAnsi="Times New Roman" w:cs="Times New Roman"/>
          <w:sz w:val="24"/>
          <w:szCs w:val="24"/>
        </w:rPr>
        <w:t xml:space="preserve"> in real terms, from R13.3 million in 2016/17 to R18 million in 2017/18. Programme 5: Local Government Support and Intervention Management, which administers and disburses the </w:t>
      </w:r>
      <w:r w:rsidR="00E55B9B" w:rsidRPr="00E86D06">
        <w:rPr>
          <w:rFonts w:ascii="Times New Roman" w:hAnsi="Times New Roman" w:cs="Times New Roman"/>
          <w:sz w:val="24"/>
          <w:szCs w:val="24"/>
        </w:rPr>
        <w:t>M</w:t>
      </w:r>
      <w:r w:rsidRPr="00E86D06">
        <w:rPr>
          <w:rFonts w:ascii="Times New Roman" w:hAnsi="Times New Roman" w:cs="Times New Roman"/>
          <w:sz w:val="24"/>
          <w:szCs w:val="24"/>
        </w:rPr>
        <w:t xml:space="preserve">unicipal </w:t>
      </w:r>
      <w:r w:rsidR="00E55B9B" w:rsidRPr="00E86D06">
        <w:rPr>
          <w:rFonts w:ascii="Times New Roman" w:hAnsi="Times New Roman" w:cs="Times New Roman"/>
          <w:sz w:val="24"/>
          <w:szCs w:val="24"/>
        </w:rPr>
        <w:t>I</w:t>
      </w:r>
      <w:r w:rsidRPr="00E86D06">
        <w:rPr>
          <w:rFonts w:ascii="Times New Roman" w:hAnsi="Times New Roman" w:cs="Times New Roman"/>
          <w:sz w:val="24"/>
          <w:szCs w:val="24"/>
        </w:rPr>
        <w:t xml:space="preserve">nfrastructure </w:t>
      </w:r>
      <w:r w:rsidR="00E55B9B" w:rsidRPr="00E86D06">
        <w:rPr>
          <w:rFonts w:ascii="Times New Roman" w:hAnsi="Times New Roman" w:cs="Times New Roman"/>
          <w:sz w:val="24"/>
          <w:szCs w:val="24"/>
        </w:rPr>
        <w:t>G</w:t>
      </w:r>
      <w:r w:rsidRPr="00E86D06">
        <w:rPr>
          <w:rFonts w:ascii="Times New Roman" w:hAnsi="Times New Roman" w:cs="Times New Roman"/>
          <w:sz w:val="24"/>
          <w:szCs w:val="24"/>
        </w:rPr>
        <w:t>rant</w:t>
      </w:r>
      <w:r w:rsidR="00E55B9B" w:rsidRPr="00E86D06">
        <w:rPr>
          <w:rFonts w:ascii="Times New Roman" w:hAnsi="Times New Roman" w:cs="Times New Roman"/>
          <w:sz w:val="24"/>
          <w:szCs w:val="24"/>
        </w:rPr>
        <w:t>,</w:t>
      </w:r>
      <w:r w:rsidRPr="00E86D06">
        <w:rPr>
          <w:rFonts w:ascii="Times New Roman" w:hAnsi="Times New Roman" w:cs="Times New Roman"/>
          <w:i/>
          <w:sz w:val="24"/>
          <w:szCs w:val="24"/>
        </w:rPr>
        <w:t xml:space="preserve"> </w:t>
      </w:r>
      <w:r w:rsidRPr="00E86D06">
        <w:rPr>
          <w:rFonts w:ascii="Times New Roman" w:hAnsi="Times New Roman" w:cs="Times New Roman"/>
          <w:sz w:val="24"/>
          <w:szCs w:val="24"/>
        </w:rPr>
        <w:t>and Programme 6 are the second and third largest budget items in the Department.</w:t>
      </w:r>
    </w:p>
    <w:p w:rsidR="00C95416" w:rsidRPr="00E86D06" w:rsidRDefault="00C95416" w:rsidP="00E86D06">
      <w:pPr>
        <w:spacing w:before="120" w:after="120" w:line="240" w:lineRule="auto"/>
        <w:rPr>
          <w:rFonts w:ascii="Times New Roman" w:hAnsi="Times New Roman" w:cs="Times New Roman"/>
          <w:sz w:val="24"/>
          <w:szCs w:val="24"/>
        </w:rPr>
      </w:pPr>
    </w:p>
    <w:p w:rsidR="00D47B66" w:rsidRPr="00E86D06" w:rsidRDefault="00E55B9B"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Graph 1: </w:t>
      </w:r>
    </w:p>
    <w:p w:rsidR="00D47B66" w:rsidRPr="00E86D06" w:rsidRDefault="00D47B6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2336" behindDoc="1" locked="0" layoutInCell="1" allowOverlap="1" wp14:anchorId="392AB027" wp14:editId="35B48DDA">
            <wp:simplePos x="0" y="0"/>
            <wp:positionH relativeFrom="margin">
              <wp:posOffset>0</wp:posOffset>
            </wp:positionH>
            <wp:positionV relativeFrom="paragraph">
              <wp:posOffset>-635</wp:posOffset>
            </wp:positionV>
            <wp:extent cx="5731510" cy="3382645"/>
            <wp:effectExtent l="0" t="0" r="2540" b="825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D47B66" w:rsidRPr="00E86D06" w:rsidRDefault="00D47B66" w:rsidP="00E86D06">
      <w:pPr>
        <w:spacing w:before="120" w:after="120" w:line="240" w:lineRule="auto"/>
        <w:rPr>
          <w:rFonts w:ascii="Times New Roman" w:hAnsi="Times New Roman" w:cs="Times New Roman"/>
          <w:sz w:val="24"/>
          <w:szCs w:val="24"/>
        </w:rPr>
      </w:pPr>
    </w:p>
    <w:p w:rsidR="003D0C65" w:rsidRPr="00E86D06" w:rsidRDefault="003D0C65" w:rsidP="00E86D06">
      <w:pPr>
        <w:pStyle w:val="Heading2"/>
        <w:numPr>
          <w:ilvl w:val="1"/>
          <w:numId w:val="20"/>
        </w:numPr>
        <w:spacing w:before="120" w:after="120" w:line="240" w:lineRule="auto"/>
        <w:ind w:left="426" w:hanging="426"/>
        <w:rPr>
          <w:rFonts w:ascii="Times New Roman" w:hAnsi="Times New Roman" w:cs="Times New Roman"/>
          <w:color w:val="auto"/>
          <w:sz w:val="24"/>
          <w:szCs w:val="24"/>
        </w:rPr>
      </w:pPr>
      <w:bookmarkStart w:id="5" w:name="_Toc477175316"/>
      <w:r w:rsidRPr="00E86D06">
        <w:rPr>
          <w:rFonts w:ascii="Times New Roman" w:hAnsi="Times New Roman" w:cs="Times New Roman"/>
          <w:color w:val="auto"/>
          <w:sz w:val="24"/>
          <w:szCs w:val="24"/>
        </w:rPr>
        <w:lastRenderedPageBreak/>
        <w:t>Programme 1: Administration</w:t>
      </w:r>
      <w:bookmarkEnd w:id="5"/>
    </w:p>
    <w:p w:rsidR="003D0C65" w:rsidRPr="00E86D06" w:rsidRDefault="003D0C65" w:rsidP="00E86D06">
      <w:pPr>
        <w:spacing w:before="120" w:after="120" w:line="240" w:lineRule="auto"/>
        <w:rPr>
          <w:rFonts w:ascii="Times New Roman" w:hAnsi="Times New Roman" w:cs="Times New Roman"/>
          <w:sz w:val="24"/>
          <w:szCs w:val="24"/>
        </w:rPr>
      </w:pPr>
    </w:p>
    <w:p w:rsidR="003D0C65" w:rsidRPr="00E86D06" w:rsidRDefault="009D47EB"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As Table </w:t>
      </w:r>
      <w:r w:rsidR="007D72CD" w:rsidRPr="00E86D06">
        <w:rPr>
          <w:rFonts w:ascii="Times New Roman" w:hAnsi="Times New Roman" w:cs="Times New Roman"/>
          <w:sz w:val="24"/>
          <w:szCs w:val="24"/>
        </w:rPr>
        <w:t xml:space="preserve">2 </w:t>
      </w:r>
      <w:r w:rsidRPr="00E86D06">
        <w:rPr>
          <w:rFonts w:ascii="Times New Roman" w:hAnsi="Times New Roman" w:cs="Times New Roman"/>
          <w:sz w:val="24"/>
          <w:szCs w:val="24"/>
        </w:rPr>
        <w:t>below illustrates, the allocation to Programme 1 decreases by 11.7</w:t>
      </w:r>
      <w:r w:rsidR="007D72CD" w:rsidRPr="00E86D06">
        <w:rPr>
          <w:rFonts w:ascii="Times New Roman" w:hAnsi="Times New Roman" w:cs="Times New Roman"/>
          <w:sz w:val="24"/>
          <w:szCs w:val="24"/>
        </w:rPr>
        <w:t>%</w:t>
      </w:r>
      <w:r w:rsidRPr="00E86D06">
        <w:rPr>
          <w:rFonts w:ascii="Times New Roman" w:hAnsi="Times New Roman" w:cs="Times New Roman"/>
          <w:sz w:val="24"/>
          <w:szCs w:val="24"/>
        </w:rPr>
        <w:t xml:space="preserve"> in 2016/17.</w:t>
      </w:r>
      <w:r w:rsidR="00943651" w:rsidRPr="00E86D06">
        <w:rPr>
          <w:rFonts w:ascii="Times New Roman" w:hAnsi="Times New Roman" w:cs="Times New Roman"/>
          <w:sz w:val="24"/>
          <w:szCs w:val="24"/>
        </w:rPr>
        <w:t xml:space="preserve"> Most of this decrease relates to sub-programmes 1 (Ministry) and 5 (Internal Audit and Risk Management), whose allocations decrease, in real terms, by 30.5</w:t>
      </w:r>
      <w:r w:rsidR="007D72CD" w:rsidRPr="00E86D06">
        <w:rPr>
          <w:rFonts w:ascii="Times New Roman" w:hAnsi="Times New Roman" w:cs="Times New Roman"/>
          <w:sz w:val="24"/>
          <w:szCs w:val="24"/>
        </w:rPr>
        <w:t>%</w:t>
      </w:r>
      <w:r w:rsidR="00943651" w:rsidRPr="00E86D06">
        <w:rPr>
          <w:rFonts w:ascii="Times New Roman" w:hAnsi="Times New Roman" w:cs="Times New Roman"/>
          <w:sz w:val="24"/>
          <w:szCs w:val="24"/>
        </w:rPr>
        <w:t xml:space="preserve"> from R37,9 million in 2016/17 to R28 million in 2017/18 and 25.9</w:t>
      </w:r>
      <w:r w:rsidR="007D72CD" w:rsidRPr="00E86D06">
        <w:rPr>
          <w:rFonts w:ascii="Times New Roman" w:hAnsi="Times New Roman" w:cs="Times New Roman"/>
          <w:sz w:val="24"/>
          <w:szCs w:val="24"/>
        </w:rPr>
        <w:t>%</w:t>
      </w:r>
      <w:r w:rsidR="00943651" w:rsidRPr="00E86D06">
        <w:rPr>
          <w:rFonts w:ascii="Times New Roman" w:hAnsi="Times New Roman" w:cs="Times New Roman"/>
          <w:sz w:val="24"/>
          <w:szCs w:val="24"/>
        </w:rPr>
        <w:t xml:space="preserve"> from R16.5 million in 2016/17 to R13 million in 2017/18</w:t>
      </w:r>
      <w:r w:rsidR="007D72CD" w:rsidRPr="00E86D06">
        <w:rPr>
          <w:rFonts w:ascii="Times New Roman" w:hAnsi="Times New Roman" w:cs="Times New Roman"/>
          <w:sz w:val="24"/>
          <w:szCs w:val="24"/>
        </w:rPr>
        <w:t>,</w:t>
      </w:r>
      <w:r w:rsidR="00943651" w:rsidRPr="00E86D06">
        <w:rPr>
          <w:rFonts w:ascii="Times New Roman" w:hAnsi="Times New Roman" w:cs="Times New Roman"/>
          <w:sz w:val="24"/>
          <w:szCs w:val="24"/>
        </w:rPr>
        <w:t xml:space="preserve"> respectively. </w:t>
      </w:r>
    </w:p>
    <w:p w:rsidR="00492209" w:rsidRPr="00E86D06" w:rsidRDefault="00492209" w:rsidP="00E86D06">
      <w:pPr>
        <w:spacing w:before="120" w:after="120" w:line="240" w:lineRule="auto"/>
        <w:rPr>
          <w:rFonts w:ascii="Times New Roman" w:hAnsi="Times New Roman" w:cs="Times New Roman"/>
          <w:sz w:val="24"/>
          <w:szCs w:val="24"/>
        </w:rPr>
      </w:pPr>
    </w:p>
    <w:p w:rsidR="009D47EB" w:rsidRPr="00E86D06" w:rsidRDefault="007D72CD"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Table 2: </w:t>
      </w:r>
    </w:p>
    <w:tbl>
      <w:tblPr>
        <w:tblW w:w="51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874"/>
        <w:gridCol w:w="872"/>
        <w:gridCol w:w="872"/>
        <w:gridCol w:w="875"/>
        <w:gridCol w:w="1161"/>
        <w:gridCol w:w="870"/>
        <w:gridCol w:w="1017"/>
        <w:gridCol w:w="1252"/>
      </w:tblGrid>
      <w:tr w:rsidR="007D72CD" w:rsidRPr="00E86D06" w:rsidTr="00E86D06">
        <w:trPr>
          <w:trHeight w:val="780"/>
        </w:trPr>
        <w:tc>
          <w:tcPr>
            <w:tcW w:w="941" w:type="pct"/>
            <w:shd w:val="clear" w:color="auto" w:fill="D9D9D9" w:themeFill="background1" w:themeFillShade="D9"/>
            <w:noWrap/>
            <w:vAlign w:val="bottom"/>
            <w:hideMark/>
          </w:tcPr>
          <w:p w:rsidR="00660581" w:rsidRPr="00E86D06" w:rsidRDefault="00660581"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1819" w:type="pct"/>
            <w:gridSpan w:val="4"/>
            <w:shd w:val="clear" w:color="auto" w:fill="D9D9D9" w:themeFill="background1" w:themeFillShade="D9"/>
            <w:vAlign w:val="center"/>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605" w:type="pct"/>
            <w:shd w:val="clear" w:color="auto" w:fill="D9D9D9" w:themeFill="background1" w:themeFillShade="D9"/>
            <w:vAlign w:val="center"/>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453" w:type="pct"/>
            <w:shd w:val="clear" w:color="auto" w:fill="D9D9D9" w:themeFill="background1" w:themeFillShade="D9"/>
            <w:vAlign w:val="center"/>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530" w:type="pct"/>
            <w:shd w:val="clear" w:color="auto" w:fill="D9D9D9" w:themeFill="background1" w:themeFillShade="D9"/>
            <w:vAlign w:val="center"/>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652" w:type="pct"/>
            <w:shd w:val="clear" w:color="auto" w:fill="D9D9D9" w:themeFill="background1" w:themeFillShade="D9"/>
            <w:vAlign w:val="center"/>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7D72CD" w:rsidRPr="00E86D06" w:rsidTr="00E86D06">
        <w:trPr>
          <w:trHeight w:val="255"/>
        </w:trPr>
        <w:tc>
          <w:tcPr>
            <w:tcW w:w="941" w:type="pct"/>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455" w:type="pct"/>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454" w:type="pct"/>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454" w:type="pct"/>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456" w:type="pct"/>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058" w:type="pct"/>
            <w:gridSpan w:val="2"/>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182" w:type="pct"/>
            <w:gridSpan w:val="2"/>
            <w:shd w:val="clear" w:color="auto" w:fill="auto"/>
            <w:noWrap/>
            <w:vAlign w:val="bottom"/>
            <w:hideMark/>
          </w:tcPr>
          <w:p w:rsidR="00660581" w:rsidRPr="00E86D06" w:rsidRDefault="00660581"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rogramme 1:</w:t>
            </w:r>
            <w:r w:rsidR="00B563E4" w:rsidRPr="00E86D06">
              <w:rPr>
                <w:rFonts w:ascii="Times New Roman" w:eastAsia="Times New Roman" w:hAnsi="Times New Roman" w:cs="Times New Roman"/>
                <w:sz w:val="24"/>
                <w:szCs w:val="24"/>
                <w:lang w:eastAsia="en-ZA"/>
              </w:rPr>
              <w:t xml:space="preserve"> Ministry</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37,9</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28,0</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29,4</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31,5</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9,9</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11,6</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-26,17</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-30,55</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rogramme 2:</w:t>
            </w:r>
            <w:r w:rsidR="00B563E4" w:rsidRPr="00E86D06">
              <w:rPr>
                <w:rFonts w:ascii="Times New Roman" w:eastAsia="Times New Roman" w:hAnsi="Times New Roman" w:cs="Times New Roman"/>
                <w:sz w:val="24"/>
                <w:szCs w:val="24"/>
                <w:lang w:eastAsia="en-ZA"/>
              </w:rPr>
              <w:t xml:space="preserve"> Management</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13,6</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17,5</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18,4</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19,8</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3,9</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2,8</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28,37</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20,76</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 xml:space="preserve">rogramme 3: </w:t>
            </w:r>
            <w:r w:rsidR="00B563E4" w:rsidRPr="00E86D06">
              <w:rPr>
                <w:rFonts w:ascii="Times New Roman" w:eastAsia="Times New Roman" w:hAnsi="Times New Roman" w:cs="Times New Roman"/>
                <w:sz w:val="24"/>
                <w:szCs w:val="24"/>
                <w:lang w:eastAsia="en-ZA"/>
              </w:rPr>
              <w:t>Corporate Services</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127,5</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108,9</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114,5</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122,1</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18,6</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25,0</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-14,57</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-19,63</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 xml:space="preserve">rogramme 4: </w:t>
            </w:r>
            <w:r w:rsidR="00B563E4" w:rsidRPr="00E86D06">
              <w:rPr>
                <w:rFonts w:ascii="Times New Roman" w:eastAsia="Times New Roman" w:hAnsi="Times New Roman" w:cs="Times New Roman"/>
                <w:sz w:val="24"/>
                <w:szCs w:val="24"/>
                <w:lang w:eastAsia="en-ZA"/>
              </w:rPr>
              <w:t>Financial Services</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30,7</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38,4</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40,6</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43,3</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7,6</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5,4</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24,88</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17,48</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 xml:space="preserve">rogramme 5: </w:t>
            </w:r>
            <w:r w:rsidR="00B563E4" w:rsidRPr="00E86D06">
              <w:rPr>
                <w:rFonts w:ascii="Times New Roman" w:eastAsia="Times New Roman" w:hAnsi="Times New Roman" w:cs="Times New Roman"/>
                <w:sz w:val="24"/>
                <w:szCs w:val="24"/>
                <w:lang w:eastAsia="en-ZA"/>
              </w:rPr>
              <w:t xml:space="preserve">Internal Audit and Risk Management </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16,5</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13,0</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13,6</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14,6</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3,5</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4,3</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-21,23</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-25,90</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55"/>
        </w:trPr>
        <w:tc>
          <w:tcPr>
            <w:tcW w:w="941" w:type="pct"/>
            <w:shd w:val="clear" w:color="auto" w:fill="auto"/>
            <w:vAlign w:val="bottom"/>
            <w:hideMark/>
          </w:tcPr>
          <w:p w:rsidR="00660581" w:rsidRPr="00E86D06" w:rsidRDefault="00943651"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660581" w:rsidRPr="00E86D06">
              <w:rPr>
                <w:rFonts w:ascii="Times New Roman" w:eastAsia="Times New Roman" w:hAnsi="Times New Roman" w:cs="Times New Roman"/>
                <w:sz w:val="24"/>
                <w:szCs w:val="24"/>
                <w:lang w:eastAsia="en-ZA"/>
              </w:rPr>
              <w:t xml:space="preserve">rogramme 6: </w:t>
            </w:r>
            <w:r w:rsidR="00B563E4" w:rsidRPr="00E86D06">
              <w:rPr>
                <w:rFonts w:ascii="Times New Roman" w:eastAsia="Times New Roman" w:hAnsi="Times New Roman" w:cs="Times New Roman"/>
                <w:sz w:val="24"/>
                <w:szCs w:val="24"/>
                <w:lang w:eastAsia="en-ZA"/>
              </w:rPr>
              <w:t>Office Accommodation</w:t>
            </w:r>
          </w:p>
        </w:tc>
        <w:tc>
          <w:tcPr>
            <w:tcW w:w="45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37,5</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41,6</w:t>
            </w:r>
          </w:p>
        </w:tc>
        <w:tc>
          <w:tcPr>
            <w:tcW w:w="454"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43,0</w:t>
            </w:r>
          </w:p>
        </w:tc>
        <w:tc>
          <w:tcPr>
            <w:tcW w:w="456"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45,4</w:t>
            </w:r>
          </w:p>
        </w:tc>
        <w:tc>
          <w:tcPr>
            <w:tcW w:w="605"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4,1</w:t>
            </w:r>
          </w:p>
        </w:tc>
        <w:tc>
          <w:tcPr>
            <w:tcW w:w="453"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1,6</w:t>
            </w:r>
          </w:p>
        </w:tc>
        <w:tc>
          <w:tcPr>
            <w:tcW w:w="530"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10,93</w:t>
            </w:r>
            <w:r w:rsidR="007D72CD" w:rsidRPr="00E86D06">
              <w:rPr>
                <w:rFonts w:ascii="Times New Roman" w:eastAsia="Times New Roman" w:hAnsi="Times New Roman" w:cs="Times New Roman"/>
                <w:sz w:val="24"/>
                <w:szCs w:val="24"/>
                <w:lang w:eastAsia="en-ZA"/>
              </w:rPr>
              <w:t>%</w:t>
            </w:r>
          </w:p>
        </w:tc>
        <w:tc>
          <w:tcPr>
            <w:tcW w:w="652" w:type="pct"/>
            <w:shd w:val="clear" w:color="auto" w:fill="auto"/>
            <w:noWrap/>
            <w:hideMark/>
          </w:tcPr>
          <w:p w:rsidR="00660581" w:rsidRPr="00E86D06" w:rsidRDefault="00660581"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4,35</w:t>
            </w:r>
            <w:r w:rsidR="007D72CD" w:rsidRPr="00E86D06">
              <w:rPr>
                <w:rFonts w:ascii="Times New Roman" w:eastAsia="Times New Roman" w:hAnsi="Times New Roman" w:cs="Times New Roman"/>
                <w:sz w:val="24"/>
                <w:szCs w:val="24"/>
                <w:lang w:eastAsia="en-ZA"/>
              </w:rPr>
              <w:t>%</w:t>
            </w:r>
          </w:p>
        </w:tc>
      </w:tr>
      <w:tr w:rsidR="007D72CD" w:rsidRPr="00E86D06" w:rsidTr="00E86D06">
        <w:trPr>
          <w:trHeight w:val="270"/>
        </w:trPr>
        <w:tc>
          <w:tcPr>
            <w:tcW w:w="941" w:type="pct"/>
            <w:shd w:val="clear" w:color="auto" w:fill="auto"/>
            <w:noWrap/>
            <w:vAlign w:val="bottom"/>
            <w:hideMark/>
          </w:tcPr>
          <w:p w:rsidR="00660581" w:rsidRPr="00E86D06" w:rsidRDefault="00660581"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455"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263,7</w:t>
            </w:r>
          </w:p>
        </w:tc>
        <w:tc>
          <w:tcPr>
            <w:tcW w:w="454"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247,3</w:t>
            </w:r>
          </w:p>
        </w:tc>
        <w:tc>
          <w:tcPr>
            <w:tcW w:w="454"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259,6</w:t>
            </w:r>
          </w:p>
        </w:tc>
        <w:tc>
          <w:tcPr>
            <w:tcW w:w="456"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276,7</w:t>
            </w:r>
          </w:p>
        </w:tc>
        <w:tc>
          <w:tcPr>
            <w:tcW w:w="605"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16,4</w:t>
            </w:r>
          </w:p>
        </w:tc>
        <w:tc>
          <w:tcPr>
            <w:tcW w:w="453"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31,1</w:t>
            </w:r>
          </w:p>
        </w:tc>
        <w:tc>
          <w:tcPr>
            <w:tcW w:w="530"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-6,22</w:t>
            </w:r>
            <w:r w:rsidR="007D72CD" w:rsidRPr="00E86D06">
              <w:rPr>
                <w:rFonts w:ascii="Times New Roman" w:eastAsia="Times New Roman" w:hAnsi="Times New Roman" w:cs="Times New Roman"/>
                <w:b/>
                <w:bCs/>
                <w:sz w:val="24"/>
                <w:szCs w:val="24"/>
                <w:lang w:eastAsia="en-ZA"/>
              </w:rPr>
              <w:t>%</w:t>
            </w:r>
          </w:p>
        </w:tc>
        <w:tc>
          <w:tcPr>
            <w:tcW w:w="652" w:type="pct"/>
            <w:shd w:val="clear" w:color="auto" w:fill="auto"/>
            <w:noWrap/>
            <w:vAlign w:val="bottom"/>
            <w:hideMark/>
          </w:tcPr>
          <w:p w:rsidR="00660581" w:rsidRPr="00E86D06" w:rsidRDefault="00660581"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-11,78</w:t>
            </w:r>
            <w:r w:rsidR="007D72CD" w:rsidRPr="00E86D06">
              <w:rPr>
                <w:rFonts w:ascii="Times New Roman" w:eastAsia="Times New Roman" w:hAnsi="Times New Roman" w:cs="Times New Roman"/>
                <w:b/>
                <w:bCs/>
                <w:sz w:val="24"/>
                <w:szCs w:val="24"/>
                <w:lang w:eastAsia="en-ZA"/>
              </w:rPr>
              <w:t>%</w:t>
            </w:r>
          </w:p>
        </w:tc>
      </w:tr>
    </w:tbl>
    <w:p w:rsidR="003D0C65" w:rsidRPr="00E86D06" w:rsidRDefault="003D0C65" w:rsidP="00E86D06">
      <w:pPr>
        <w:spacing w:before="120" w:after="120" w:line="240" w:lineRule="auto"/>
        <w:rPr>
          <w:rFonts w:ascii="Times New Roman" w:hAnsi="Times New Roman" w:cs="Times New Roman"/>
          <w:sz w:val="24"/>
          <w:szCs w:val="24"/>
        </w:rPr>
      </w:pPr>
    </w:p>
    <w:p w:rsidR="00660581" w:rsidRPr="00E86D06" w:rsidRDefault="009A0908"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Graph below indicates that the bulk of the allocation to Programme is geared towards the Corporate Services sub-programme, although its allocation decrease</w:t>
      </w:r>
      <w:r w:rsidR="0003107C" w:rsidRPr="00E86D06">
        <w:rPr>
          <w:rFonts w:ascii="Times New Roman" w:hAnsi="Times New Roman" w:cs="Times New Roman"/>
          <w:sz w:val="24"/>
          <w:szCs w:val="24"/>
        </w:rPr>
        <w:t>s</w:t>
      </w:r>
      <w:r w:rsidRPr="00E86D06">
        <w:rPr>
          <w:rFonts w:ascii="Times New Roman" w:hAnsi="Times New Roman" w:cs="Times New Roman"/>
          <w:sz w:val="24"/>
          <w:szCs w:val="24"/>
        </w:rPr>
        <w:t xml:space="preserve"> by 19.6 percent in real terms – from R127.5 million in 2016/17 to R108.9 million in 2017/18.</w:t>
      </w:r>
    </w:p>
    <w:p w:rsidR="00660581" w:rsidRPr="00E86D06" w:rsidRDefault="00660581" w:rsidP="00E86D06">
      <w:pPr>
        <w:spacing w:before="120" w:after="120" w:line="240" w:lineRule="auto"/>
        <w:rPr>
          <w:rFonts w:ascii="Times New Roman" w:hAnsi="Times New Roman" w:cs="Times New Roman"/>
          <w:sz w:val="24"/>
          <w:szCs w:val="24"/>
        </w:rPr>
      </w:pPr>
    </w:p>
    <w:p w:rsidR="00F110F6" w:rsidRPr="00E86D06" w:rsidRDefault="00F110F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Graph 2:</w:t>
      </w:r>
    </w:p>
    <w:p w:rsidR="00F110F6" w:rsidRPr="00E86D06" w:rsidRDefault="00F110F6" w:rsidP="00E86D06">
      <w:pPr>
        <w:spacing w:before="120" w:after="120" w:line="240" w:lineRule="auto"/>
        <w:rPr>
          <w:rFonts w:ascii="Times New Roman" w:hAnsi="Times New Roman" w:cs="Times New Roman"/>
          <w:sz w:val="24"/>
          <w:szCs w:val="24"/>
        </w:rPr>
      </w:pPr>
    </w:p>
    <w:p w:rsidR="00F110F6" w:rsidRPr="00E86D06" w:rsidRDefault="00F110F6"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p>
    <w:p w:rsidR="00660581" w:rsidRPr="00E86D06" w:rsidRDefault="00660581"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3360" behindDoc="1" locked="0" layoutInCell="1" allowOverlap="1" wp14:anchorId="6AB2BB2F" wp14:editId="65C3F5DB">
            <wp:simplePos x="0" y="0"/>
            <wp:positionH relativeFrom="column">
              <wp:posOffset>0</wp:posOffset>
            </wp:positionH>
            <wp:positionV relativeFrom="paragraph">
              <wp:posOffset>-3249930</wp:posOffset>
            </wp:positionV>
            <wp:extent cx="5731510" cy="3382645"/>
            <wp:effectExtent l="0" t="0" r="2540" b="825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92209" w:rsidRPr="00E86D06" w:rsidRDefault="00492209" w:rsidP="00E86D06">
      <w:pPr>
        <w:spacing w:before="120" w:after="120" w:line="240" w:lineRule="auto"/>
        <w:rPr>
          <w:rFonts w:ascii="Times New Roman" w:hAnsi="Times New Roman" w:cs="Times New Roman"/>
          <w:sz w:val="24"/>
          <w:szCs w:val="24"/>
        </w:rPr>
      </w:pPr>
    </w:p>
    <w:p w:rsidR="00660581" w:rsidRPr="00E86D06" w:rsidRDefault="00660581"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6" w:name="_Toc477175317"/>
      <w:r w:rsidRPr="00E86D06">
        <w:rPr>
          <w:rFonts w:ascii="Times New Roman" w:hAnsi="Times New Roman" w:cs="Times New Roman"/>
          <w:color w:val="auto"/>
          <w:sz w:val="24"/>
          <w:szCs w:val="24"/>
        </w:rPr>
        <w:t>Programme 2: Regional and Urban Development and Legislative Support</w:t>
      </w:r>
      <w:bookmarkEnd w:id="6"/>
    </w:p>
    <w:p w:rsidR="00660581" w:rsidRPr="00E86D06" w:rsidRDefault="00660581" w:rsidP="00E86D06">
      <w:pPr>
        <w:spacing w:before="120" w:after="120" w:line="240" w:lineRule="auto"/>
        <w:rPr>
          <w:rFonts w:ascii="Times New Roman" w:hAnsi="Times New Roman" w:cs="Times New Roman"/>
          <w:sz w:val="24"/>
          <w:szCs w:val="24"/>
        </w:rPr>
      </w:pPr>
    </w:p>
    <w:p w:rsidR="008F7036" w:rsidRPr="00E86D06" w:rsidRDefault="008F703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allocation to Programme 2 decreases by more than half in real terms, at 53</w:t>
      </w:r>
      <w:r w:rsidR="00F110F6" w:rsidRPr="00E86D06">
        <w:rPr>
          <w:rFonts w:ascii="Times New Roman" w:hAnsi="Times New Roman" w:cs="Times New Roman"/>
          <w:sz w:val="24"/>
          <w:szCs w:val="24"/>
        </w:rPr>
        <w:t>%</w:t>
      </w:r>
      <w:r w:rsidRPr="00E86D06">
        <w:rPr>
          <w:rFonts w:ascii="Times New Roman" w:hAnsi="Times New Roman" w:cs="Times New Roman"/>
          <w:sz w:val="24"/>
          <w:szCs w:val="24"/>
        </w:rPr>
        <w:t>. The decrease mainly relates to the phasing out of the Municipal Demarcation Transition Grant (sub-programme 6), which wil</w:t>
      </w:r>
      <w:r w:rsidR="008E2A4D" w:rsidRPr="00E86D06">
        <w:rPr>
          <w:rFonts w:ascii="Times New Roman" w:hAnsi="Times New Roman" w:cs="Times New Roman"/>
          <w:sz w:val="24"/>
          <w:szCs w:val="24"/>
        </w:rPr>
        <w:t>l be discontinued from the 2018/19</w:t>
      </w:r>
      <w:r w:rsidRPr="00E86D06">
        <w:rPr>
          <w:rFonts w:ascii="Times New Roman" w:hAnsi="Times New Roman" w:cs="Times New Roman"/>
          <w:sz w:val="24"/>
          <w:szCs w:val="24"/>
        </w:rPr>
        <w:t xml:space="preserve"> financial year.</w:t>
      </w:r>
      <w:r w:rsidR="00822A89" w:rsidRPr="00E86D06">
        <w:rPr>
          <w:rFonts w:ascii="Times New Roman" w:hAnsi="Times New Roman" w:cs="Times New Roman"/>
          <w:sz w:val="24"/>
          <w:szCs w:val="24"/>
        </w:rPr>
        <w:t xml:space="preserve"> At the same time there is an increase of 163.7</w:t>
      </w:r>
      <w:r w:rsidR="00F110F6" w:rsidRPr="00E86D06">
        <w:rPr>
          <w:rFonts w:ascii="Times New Roman" w:hAnsi="Times New Roman" w:cs="Times New Roman"/>
          <w:sz w:val="24"/>
          <w:szCs w:val="24"/>
        </w:rPr>
        <w:t>%</w:t>
      </w:r>
      <w:r w:rsidR="00822A89" w:rsidRPr="00E86D06">
        <w:rPr>
          <w:rFonts w:ascii="Times New Roman" w:hAnsi="Times New Roman" w:cs="Times New Roman"/>
          <w:sz w:val="24"/>
          <w:szCs w:val="24"/>
        </w:rPr>
        <w:t xml:space="preserve"> in budget allocation to sub-programme 1: Management: Regional and Urban Development Legislative Support, from R1</w:t>
      </w:r>
      <w:proofErr w:type="gramStart"/>
      <w:r w:rsidR="00822A89" w:rsidRPr="00E86D06">
        <w:rPr>
          <w:rFonts w:ascii="Times New Roman" w:hAnsi="Times New Roman" w:cs="Times New Roman"/>
          <w:sz w:val="24"/>
          <w:szCs w:val="24"/>
        </w:rPr>
        <w:t>,2</w:t>
      </w:r>
      <w:proofErr w:type="gramEnd"/>
      <w:r w:rsidR="00822A89" w:rsidRPr="00E86D06">
        <w:rPr>
          <w:rFonts w:ascii="Times New Roman" w:hAnsi="Times New Roman" w:cs="Times New Roman"/>
          <w:sz w:val="24"/>
          <w:szCs w:val="24"/>
        </w:rPr>
        <w:t xml:space="preserve"> million in 2016/17 to R3,2 million in 2017/18.</w:t>
      </w:r>
    </w:p>
    <w:p w:rsidR="008F7036" w:rsidRDefault="008F7036" w:rsidP="00E86D06">
      <w:pPr>
        <w:spacing w:before="120" w:after="120" w:line="240" w:lineRule="auto"/>
        <w:rPr>
          <w:rFonts w:ascii="Times New Roman" w:hAnsi="Times New Roman" w:cs="Times New Roman"/>
          <w:sz w:val="24"/>
          <w:szCs w:val="24"/>
        </w:rPr>
      </w:pPr>
    </w:p>
    <w:p w:rsidR="00E86D06" w:rsidRDefault="00E86D06" w:rsidP="00E86D06">
      <w:pPr>
        <w:spacing w:before="120" w:after="120" w:line="240" w:lineRule="auto"/>
        <w:rPr>
          <w:rFonts w:ascii="Times New Roman" w:hAnsi="Times New Roman" w:cs="Times New Roman"/>
          <w:sz w:val="24"/>
          <w:szCs w:val="24"/>
        </w:rPr>
      </w:pPr>
    </w:p>
    <w:p w:rsidR="00E86D06" w:rsidRDefault="00E86D06" w:rsidP="00E86D06">
      <w:pPr>
        <w:spacing w:before="120" w:after="120" w:line="240" w:lineRule="auto"/>
        <w:rPr>
          <w:rFonts w:ascii="Times New Roman" w:hAnsi="Times New Roman" w:cs="Times New Roman"/>
          <w:sz w:val="24"/>
          <w:szCs w:val="24"/>
        </w:rPr>
      </w:pPr>
    </w:p>
    <w:p w:rsidR="00E86D06" w:rsidRPr="00E86D06" w:rsidRDefault="00E86D06" w:rsidP="00E86D06">
      <w:pPr>
        <w:spacing w:before="120" w:after="120" w:line="240" w:lineRule="auto"/>
        <w:rPr>
          <w:rFonts w:ascii="Times New Roman" w:hAnsi="Times New Roman" w:cs="Times New Roman"/>
          <w:sz w:val="24"/>
          <w:szCs w:val="24"/>
        </w:rPr>
      </w:pPr>
    </w:p>
    <w:p w:rsidR="008F7036" w:rsidRPr="00E86D06" w:rsidRDefault="00F110F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9"/>
        <w:gridCol w:w="851"/>
        <w:gridCol w:w="850"/>
        <w:gridCol w:w="851"/>
        <w:gridCol w:w="992"/>
        <w:gridCol w:w="850"/>
        <w:gridCol w:w="993"/>
        <w:gridCol w:w="1224"/>
      </w:tblGrid>
      <w:tr w:rsidR="000206E6" w:rsidRPr="00E86D06" w:rsidTr="00D569D5">
        <w:trPr>
          <w:trHeight w:val="780"/>
          <w:tblHeader/>
        </w:trPr>
        <w:tc>
          <w:tcPr>
            <w:tcW w:w="1526" w:type="dxa"/>
            <w:shd w:val="clear" w:color="auto" w:fill="D9D9D9" w:themeFill="background1" w:themeFillShade="D9"/>
            <w:noWrap/>
            <w:vAlign w:val="bottom"/>
            <w:hideMark/>
          </w:tcPr>
          <w:p w:rsidR="00314EE0" w:rsidRPr="00E86D06" w:rsidRDefault="00314EE0"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3431" w:type="dxa"/>
            <w:gridSpan w:val="4"/>
            <w:shd w:val="clear" w:color="auto" w:fill="D9D9D9" w:themeFill="background1" w:themeFillShade="D9"/>
            <w:vAlign w:val="center"/>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992" w:type="dxa"/>
            <w:shd w:val="clear" w:color="auto" w:fill="D9D9D9" w:themeFill="background1" w:themeFillShade="D9"/>
            <w:vAlign w:val="center"/>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850" w:type="dxa"/>
            <w:shd w:val="clear" w:color="auto" w:fill="D9D9D9" w:themeFill="background1" w:themeFillShade="D9"/>
            <w:vAlign w:val="center"/>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993" w:type="dxa"/>
            <w:shd w:val="clear" w:color="auto" w:fill="D9D9D9" w:themeFill="background1" w:themeFillShade="D9"/>
            <w:vAlign w:val="center"/>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1224" w:type="dxa"/>
            <w:shd w:val="clear" w:color="auto" w:fill="D9D9D9" w:themeFill="background1" w:themeFillShade="D9"/>
            <w:vAlign w:val="center"/>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0206E6" w:rsidRPr="00E86D06" w:rsidTr="00D569D5">
        <w:trPr>
          <w:trHeight w:val="255"/>
        </w:trPr>
        <w:tc>
          <w:tcPr>
            <w:tcW w:w="1526" w:type="dxa"/>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879" w:type="dxa"/>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w:t>
            </w:r>
            <w:r w:rsidRPr="00E86D06">
              <w:rPr>
                <w:rFonts w:ascii="Times New Roman" w:eastAsia="Times New Roman" w:hAnsi="Times New Roman" w:cs="Times New Roman"/>
                <w:b/>
                <w:bCs/>
                <w:sz w:val="24"/>
                <w:szCs w:val="24"/>
                <w:lang w:eastAsia="en-ZA"/>
              </w:rPr>
              <w:lastRenderedPageBreak/>
              <w:t>17</w:t>
            </w:r>
          </w:p>
        </w:tc>
        <w:tc>
          <w:tcPr>
            <w:tcW w:w="851" w:type="dxa"/>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2017/</w:t>
            </w:r>
            <w:r w:rsidRPr="00E86D06">
              <w:rPr>
                <w:rFonts w:ascii="Times New Roman" w:eastAsia="Times New Roman" w:hAnsi="Times New Roman" w:cs="Times New Roman"/>
                <w:b/>
                <w:bCs/>
                <w:sz w:val="24"/>
                <w:szCs w:val="24"/>
                <w:lang w:eastAsia="en-ZA"/>
              </w:rPr>
              <w:lastRenderedPageBreak/>
              <w:t>18</w:t>
            </w:r>
          </w:p>
        </w:tc>
        <w:tc>
          <w:tcPr>
            <w:tcW w:w="850" w:type="dxa"/>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2018/</w:t>
            </w:r>
            <w:r w:rsidRPr="00E86D06">
              <w:rPr>
                <w:rFonts w:ascii="Times New Roman" w:eastAsia="Times New Roman" w:hAnsi="Times New Roman" w:cs="Times New Roman"/>
                <w:b/>
                <w:bCs/>
                <w:sz w:val="24"/>
                <w:szCs w:val="24"/>
                <w:lang w:eastAsia="en-ZA"/>
              </w:rPr>
              <w:lastRenderedPageBreak/>
              <w:t>19</w:t>
            </w:r>
          </w:p>
        </w:tc>
        <w:tc>
          <w:tcPr>
            <w:tcW w:w="851" w:type="dxa"/>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2019/</w:t>
            </w:r>
            <w:r w:rsidRPr="00E86D06">
              <w:rPr>
                <w:rFonts w:ascii="Times New Roman" w:eastAsia="Times New Roman" w:hAnsi="Times New Roman" w:cs="Times New Roman"/>
                <w:b/>
                <w:bCs/>
                <w:sz w:val="24"/>
                <w:szCs w:val="24"/>
                <w:lang w:eastAsia="en-ZA"/>
              </w:rPr>
              <w:lastRenderedPageBreak/>
              <w:t>20</w:t>
            </w:r>
          </w:p>
        </w:tc>
        <w:tc>
          <w:tcPr>
            <w:tcW w:w="1842" w:type="dxa"/>
            <w:gridSpan w:val="2"/>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 xml:space="preserve"> 2016/17-</w:t>
            </w:r>
            <w:r w:rsidRPr="00E86D06">
              <w:rPr>
                <w:rFonts w:ascii="Times New Roman" w:eastAsia="Times New Roman" w:hAnsi="Times New Roman" w:cs="Times New Roman"/>
                <w:b/>
                <w:bCs/>
                <w:sz w:val="24"/>
                <w:szCs w:val="24"/>
                <w:lang w:eastAsia="en-ZA"/>
              </w:rPr>
              <w:lastRenderedPageBreak/>
              <w:t>2017/18</w:t>
            </w:r>
          </w:p>
        </w:tc>
        <w:tc>
          <w:tcPr>
            <w:tcW w:w="2217" w:type="dxa"/>
            <w:gridSpan w:val="2"/>
            <w:shd w:val="clear" w:color="auto" w:fill="auto"/>
            <w:noWrap/>
            <w:vAlign w:val="bottom"/>
            <w:hideMark/>
          </w:tcPr>
          <w:p w:rsidR="00314EE0" w:rsidRPr="00E86D06" w:rsidRDefault="00314EE0"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 xml:space="preserve"> 2016/17-2017/18</w:t>
            </w:r>
          </w:p>
        </w:tc>
      </w:tr>
      <w:tr w:rsidR="000206E6" w:rsidRPr="00E86D06" w:rsidTr="00D569D5">
        <w:trPr>
          <w:trHeight w:val="255"/>
        </w:trPr>
        <w:tc>
          <w:tcPr>
            <w:tcW w:w="1526" w:type="dxa"/>
            <w:shd w:val="clear" w:color="auto" w:fill="auto"/>
            <w:vAlign w:val="bottom"/>
            <w:hideMark/>
          </w:tcPr>
          <w:p w:rsidR="00314EE0" w:rsidRPr="00E86D06" w:rsidRDefault="00253283"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Sub-p</w:t>
            </w:r>
            <w:r w:rsidR="00314EE0" w:rsidRPr="00E86D06">
              <w:rPr>
                <w:rFonts w:ascii="Times New Roman" w:eastAsia="Times New Roman" w:hAnsi="Times New Roman" w:cs="Times New Roman"/>
                <w:sz w:val="24"/>
                <w:szCs w:val="24"/>
                <w:lang w:eastAsia="en-ZA"/>
              </w:rPr>
              <w:t>rogramme 1:</w:t>
            </w:r>
            <w:r w:rsidRPr="00E86D06">
              <w:rPr>
                <w:rFonts w:ascii="Times New Roman" w:eastAsia="Times New Roman" w:hAnsi="Times New Roman" w:cs="Times New Roman"/>
                <w:sz w:val="24"/>
                <w:szCs w:val="24"/>
                <w:lang w:eastAsia="en-ZA"/>
              </w:rPr>
              <w:t xml:space="preserve"> Management: Regional and Urban Development and Legislative Support</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3,2</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3,4</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2,1</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1,9</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180,40</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163,78</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033C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314EE0" w:rsidRPr="00E86D06">
              <w:rPr>
                <w:rFonts w:ascii="Times New Roman" w:eastAsia="Times New Roman" w:hAnsi="Times New Roman" w:cs="Times New Roman"/>
                <w:sz w:val="24"/>
                <w:szCs w:val="24"/>
                <w:lang w:eastAsia="en-ZA"/>
              </w:rPr>
              <w:t>rogramme 2:</w:t>
            </w:r>
            <w:r w:rsidRPr="00E86D06">
              <w:rPr>
                <w:rFonts w:ascii="Times New Roman" w:eastAsia="Times New Roman" w:hAnsi="Times New Roman" w:cs="Times New Roman"/>
                <w:sz w:val="24"/>
                <w:szCs w:val="24"/>
                <w:lang w:eastAsia="en-ZA"/>
              </w:rPr>
              <w:t xml:space="preserve"> Local Government Legislative Support </w:t>
            </w:r>
            <w:r w:rsidR="00053055" w:rsidRPr="00E86D06">
              <w:rPr>
                <w:rFonts w:ascii="Times New Roman" w:eastAsia="Times New Roman" w:hAnsi="Times New Roman" w:cs="Times New Roman"/>
                <w:sz w:val="24"/>
                <w:szCs w:val="24"/>
                <w:lang w:eastAsia="en-ZA"/>
              </w:rPr>
              <w:t>and Institutional Establishment</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3,4</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6,3</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6,7</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0,9</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0,7</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34,70</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26,72</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6552C8"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314EE0" w:rsidRPr="00E86D06">
              <w:rPr>
                <w:rFonts w:ascii="Times New Roman" w:eastAsia="Times New Roman" w:hAnsi="Times New Roman" w:cs="Times New Roman"/>
                <w:sz w:val="24"/>
                <w:szCs w:val="24"/>
                <w:lang w:eastAsia="en-ZA"/>
              </w:rPr>
              <w:t xml:space="preserve">rogramme 3: </w:t>
            </w:r>
            <w:r w:rsidRPr="00E86D06">
              <w:rPr>
                <w:rFonts w:ascii="Times New Roman" w:eastAsia="Times New Roman" w:hAnsi="Times New Roman" w:cs="Times New Roman"/>
                <w:sz w:val="24"/>
                <w:szCs w:val="24"/>
                <w:lang w:eastAsia="en-ZA"/>
              </w:rPr>
              <w:t>Urban Development Planning</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8,2</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10,6</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11,0</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11,8</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2,4</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1,8</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29,65</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21,97 </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D054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314EE0" w:rsidRPr="00E86D06">
              <w:rPr>
                <w:rFonts w:ascii="Times New Roman" w:eastAsia="Times New Roman" w:hAnsi="Times New Roman" w:cs="Times New Roman"/>
                <w:sz w:val="24"/>
                <w:szCs w:val="24"/>
                <w:lang w:eastAsia="en-ZA"/>
              </w:rPr>
              <w:t>rogramme 4:</w:t>
            </w:r>
            <w:r w:rsidR="004D2C97" w:rsidRPr="00E86D06">
              <w:rPr>
                <w:rFonts w:ascii="Times New Roman" w:eastAsia="Times New Roman" w:hAnsi="Times New Roman" w:cs="Times New Roman"/>
                <w:sz w:val="24"/>
                <w:szCs w:val="24"/>
                <w:lang w:eastAsia="en-ZA"/>
              </w:rPr>
              <w:t xml:space="preserve"> Spatial Planning Districts and Regions</w:t>
            </w:r>
            <w:r w:rsidR="00314EE0" w:rsidRPr="00E86D06">
              <w:rPr>
                <w:rFonts w:ascii="Times New Roman" w:eastAsia="Times New Roman" w:hAnsi="Times New Roman" w:cs="Times New Roman"/>
                <w:sz w:val="24"/>
                <w:szCs w:val="24"/>
                <w:lang w:eastAsia="en-ZA"/>
              </w:rPr>
              <w:t xml:space="preserve"> </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13,5</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14,6</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11,5</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12,3</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1,1</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0,2</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7,95</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1,55</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D054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0206E6" w:rsidRPr="00E86D06">
              <w:rPr>
                <w:rFonts w:ascii="Times New Roman" w:eastAsia="Times New Roman" w:hAnsi="Times New Roman" w:cs="Times New Roman"/>
                <w:sz w:val="24"/>
                <w:szCs w:val="24"/>
                <w:lang w:eastAsia="en-ZA"/>
              </w:rPr>
              <w:t>rogramme 5: Intergovernmental Policy and Practice</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7,2</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9,0</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10,7</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11,5</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1,8</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1,3</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25,76</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18,31</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D054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314EE0" w:rsidRPr="00E86D06">
              <w:rPr>
                <w:rFonts w:ascii="Times New Roman" w:eastAsia="Times New Roman" w:hAnsi="Times New Roman" w:cs="Times New Roman"/>
                <w:sz w:val="24"/>
                <w:szCs w:val="24"/>
                <w:lang w:eastAsia="en-ZA"/>
              </w:rPr>
              <w:t xml:space="preserve">rogramme 6: </w:t>
            </w:r>
            <w:r w:rsidR="00C011FB" w:rsidRPr="00E86D06">
              <w:rPr>
                <w:rFonts w:ascii="Times New Roman" w:eastAsia="Times New Roman" w:hAnsi="Times New Roman" w:cs="Times New Roman"/>
                <w:sz w:val="24"/>
                <w:szCs w:val="24"/>
                <w:lang w:eastAsia="en-ZA"/>
              </w:rPr>
              <w:t xml:space="preserve">Municipal </w:t>
            </w:r>
            <w:r w:rsidR="00C011FB" w:rsidRPr="00E86D06">
              <w:rPr>
                <w:rFonts w:ascii="Times New Roman" w:eastAsia="Times New Roman" w:hAnsi="Times New Roman" w:cs="Times New Roman"/>
                <w:sz w:val="24"/>
                <w:szCs w:val="24"/>
                <w:lang w:eastAsia="en-ZA"/>
              </w:rPr>
              <w:lastRenderedPageBreak/>
              <w:t>Demarcation Transition Grant</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325,3</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111,9</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213,4</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220,1</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-65,61</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-67,65</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D054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Sub-p</w:t>
            </w:r>
            <w:r w:rsidR="00314EE0" w:rsidRPr="00E86D06">
              <w:rPr>
                <w:rFonts w:ascii="Times New Roman" w:eastAsia="Times New Roman" w:hAnsi="Times New Roman" w:cs="Times New Roman"/>
                <w:sz w:val="24"/>
                <w:szCs w:val="24"/>
                <w:lang w:eastAsia="en-ZA"/>
              </w:rPr>
              <w:t>rogramme 7:</w:t>
            </w:r>
            <w:r w:rsidR="00591CC2" w:rsidRPr="00E86D06">
              <w:rPr>
                <w:rFonts w:ascii="Times New Roman" w:eastAsia="Times New Roman" w:hAnsi="Times New Roman" w:cs="Times New Roman"/>
                <w:sz w:val="24"/>
                <w:szCs w:val="24"/>
                <w:lang w:eastAsia="en-ZA"/>
              </w:rPr>
              <w:t xml:space="preserve"> Municipal Demarcation Board</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59,2</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50,6</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53,6</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56,6</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8,6</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11,6</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-14,50</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-19,57</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55"/>
        </w:trPr>
        <w:tc>
          <w:tcPr>
            <w:tcW w:w="1526" w:type="dxa"/>
            <w:shd w:val="clear" w:color="auto" w:fill="auto"/>
            <w:vAlign w:val="bottom"/>
            <w:hideMark/>
          </w:tcPr>
          <w:p w:rsidR="00314EE0" w:rsidRPr="00E86D06" w:rsidRDefault="00D05445"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314EE0" w:rsidRPr="00E86D06">
              <w:rPr>
                <w:rFonts w:ascii="Times New Roman" w:eastAsia="Times New Roman" w:hAnsi="Times New Roman" w:cs="Times New Roman"/>
                <w:sz w:val="24"/>
                <w:szCs w:val="24"/>
                <w:lang w:eastAsia="en-ZA"/>
              </w:rPr>
              <w:t>rogramme 8:</w:t>
            </w:r>
            <w:r w:rsidRPr="00E86D06">
              <w:rPr>
                <w:rFonts w:ascii="Times New Roman" w:eastAsia="Times New Roman" w:hAnsi="Times New Roman" w:cs="Times New Roman"/>
                <w:sz w:val="24"/>
                <w:szCs w:val="24"/>
                <w:lang w:eastAsia="en-ZA"/>
              </w:rPr>
              <w:t xml:space="preserve"> South African Cities Network</w:t>
            </w:r>
          </w:p>
        </w:tc>
        <w:tc>
          <w:tcPr>
            <w:tcW w:w="879"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6,6</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7,0</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7,4</w:t>
            </w:r>
          </w:p>
        </w:tc>
        <w:tc>
          <w:tcPr>
            <w:tcW w:w="851"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7,8</w:t>
            </w:r>
          </w:p>
        </w:tc>
        <w:tc>
          <w:tcPr>
            <w:tcW w:w="992"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0,3</w:t>
            </w:r>
          </w:p>
        </w:tc>
        <w:tc>
          <w:tcPr>
            <w:tcW w:w="850"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0,1</w:t>
            </w:r>
          </w:p>
        </w:tc>
        <w:tc>
          <w:tcPr>
            <w:tcW w:w="993"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5,00</w:t>
            </w:r>
            <w:r w:rsidR="00E800A7" w:rsidRPr="00E86D06">
              <w:rPr>
                <w:rFonts w:ascii="Times New Roman" w:eastAsia="Times New Roman" w:hAnsi="Times New Roman" w:cs="Times New Roman"/>
                <w:sz w:val="24"/>
                <w:szCs w:val="24"/>
                <w:lang w:eastAsia="en-ZA"/>
              </w:rPr>
              <w:t>%</w:t>
            </w:r>
          </w:p>
        </w:tc>
        <w:tc>
          <w:tcPr>
            <w:tcW w:w="1224" w:type="dxa"/>
            <w:shd w:val="clear" w:color="auto" w:fill="auto"/>
            <w:noWrap/>
            <w:hideMark/>
          </w:tcPr>
          <w:p w:rsidR="00314EE0" w:rsidRPr="00E86D06" w:rsidRDefault="00314EE0"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-1,22</w:t>
            </w:r>
            <w:r w:rsidR="00E800A7" w:rsidRPr="00E86D06">
              <w:rPr>
                <w:rFonts w:ascii="Times New Roman" w:eastAsia="Times New Roman" w:hAnsi="Times New Roman" w:cs="Times New Roman"/>
                <w:sz w:val="24"/>
                <w:szCs w:val="24"/>
                <w:lang w:eastAsia="en-ZA"/>
              </w:rPr>
              <w:t>%</w:t>
            </w:r>
          </w:p>
        </w:tc>
      </w:tr>
      <w:tr w:rsidR="000206E6" w:rsidRPr="00E86D06" w:rsidTr="00D569D5">
        <w:trPr>
          <w:trHeight w:val="270"/>
        </w:trPr>
        <w:tc>
          <w:tcPr>
            <w:tcW w:w="1526" w:type="dxa"/>
            <w:shd w:val="clear" w:color="auto" w:fill="auto"/>
            <w:noWrap/>
            <w:vAlign w:val="bottom"/>
            <w:hideMark/>
          </w:tcPr>
          <w:p w:rsidR="00314EE0" w:rsidRPr="00E86D06" w:rsidRDefault="00314EE0"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879"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423,6</w:t>
            </w:r>
          </w:p>
        </w:tc>
        <w:tc>
          <w:tcPr>
            <w:tcW w:w="851"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210,3</w:t>
            </w:r>
          </w:p>
        </w:tc>
        <w:tc>
          <w:tcPr>
            <w:tcW w:w="850"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103,9</w:t>
            </w:r>
          </w:p>
        </w:tc>
        <w:tc>
          <w:tcPr>
            <w:tcW w:w="851"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110,2</w:t>
            </w:r>
          </w:p>
        </w:tc>
        <w:tc>
          <w:tcPr>
            <w:tcW w:w="992"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213,4</w:t>
            </w:r>
          </w:p>
        </w:tc>
        <w:tc>
          <w:tcPr>
            <w:tcW w:w="850"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225,8</w:t>
            </w:r>
          </w:p>
        </w:tc>
        <w:tc>
          <w:tcPr>
            <w:tcW w:w="993"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-50,37</w:t>
            </w:r>
            <w:r w:rsidR="00E800A7" w:rsidRPr="00E86D06">
              <w:rPr>
                <w:rFonts w:ascii="Times New Roman" w:eastAsia="Times New Roman" w:hAnsi="Times New Roman" w:cs="Times New Roman"/>
                <w:b/>
                <w:bCs/>
                <w:sz w:val="24"/>
                <w:szCs w:val="24"/>
                <w:lang w:eastAsia="en-ZA"/>
              </w:rPr>
              <w:t>%</w:t>
            </w:r>
            <w:r w:rsidRPr="00E86D06">
              <w:rPr>
                <w:rFonts w:ascii="Times New Roman" w:eastAsia="Times New Roman" w:hAnsi="Times New Roman" w:cs="Times New Roman"/>
                <w:b/>
                <w:bCs/>
                <w:sz w:val="24"/>
                <w:szCs w:val="24"/>
                <w:lang w:eastAsia="en-ZA"/>
              </w:rPr>
              <w:t xml:space="preserve"> </w:t>
            </w:r>
          </w:p>
        </w:tc>
        <w:tc>
          <w:tcPr>
            <w:tcW w:w="1224" w:type="dxa"/>
            <w:shd w:val="clear" w:color="auto" w:fill="auto"/>
            <w:noWrap/>
            <w:vAlign w:val="bottom"/>
            <w:hideMark/>
          </w:tcPr>
          <w:p w:rsidR="00314EE0" w:rsidRPr="00E86D06" w:rsidRDefault="00314EE0"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-53,31</w:t>
            </w:r>
            <w:r w:rsidR="00E800A7" w:rsidRPr="00E86D06">
              <w:rPr>
                <w:rFonts w:ascii="Times New Roman" w:eastAsia="Times New Roman" w:hAnsi="Times New Roman" w:cs="Times New Roman"/>
                <w:b/>
                <w:bCs/>
                <w:sz w:val="24"/>
                <w:szCs w:val="24"/>
                <w:lang w:eastAsia="en-ZA"/>
              </w:rPr>
              <w:t>%</w:t>
            </w:r>
          </w:p>
        </w:tc>
      </w:tr>
    </w:tbl>
    <w:p w:rsidR="00660581" w:rsidRPr="00E86D06" w:rsidRDefault="00660581" w:rsidP="00E86D06">
      <w:pPr>
        <w:spacing w:before="120" w:after="120" w:line="240" w:lineRule="auto"/>
        <w:rPr>
          <w:rFonts w:ascii="Times New Roman" w:hAnsi="Times New Roman" w:cs="Times New Roman"/>
          <w:sz w:val="24"/>
          <w:szCs w:val="24"/>
        </w:rPr>
      </w:pPr>
    </w:p>
    <w:p w:rsidR="00090105" w:rsidRPr="00E86D06" w:rsidRDefault="001C13E5"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Graph </w:t>
      </w:r>
      <w:r w:rsidR="00E800A7" w:rsidRPr="00E86D06">
        <w:rPr>
          <w:rFonts w:ascii="Times New Roman" w:hAnsi="Times New Roman" w:cs="Times New Roman"/>
          <w:sz w:val="24"/>
          <w:szCs w:val="24"/>
        </w:rPr>
        <w:t xml:space="preserve">3 </w:t>
      </w:r>
      <w:r w:rsidRPr="00E86D06">
        <w:rPr>
          <w:rFonts w:ascii="Times New Roman" w:hAnsi="Times New Roman" w:cs="Times New Roman"/>
          <w:sz w:val="24"/>
          <w:szCs w:val="24"/>
        </w:rPr>
        <w:t>below indicates that the bulk of Programme allocation was in respect of the Municipal Demarcation Transition grant</w:t>
      </w:r>
      <w:r w:rsidR="004540C6" w:rsidRPr="00E86D06">
        <w:rPr>
          <w:rFonts w:ascii="Times New Roman" w:hAnsi="Times New Roman" w:cs="Times New Roman"/>
          <w:sz w:val="24"/>
          <w:szCs w:val="24"/>
        </w:rPr>
        <w:t xml:space="preserve"> (sub-programme 6)</w:t>
      </w:r>
      <w:r w:rsidRPr="00E86D06">
        <w:rPr>
          <w:rFonts w:ascii="Times New Roman" w:hAnsi="Times New Roman" w:cs="Times New Roman"/>
          <w:sz w:val="24"/>
          <w:szCs w:val="24"/>
        </w:rPr>
        <w:t>, which is in the process of being phased out.</w:t>
      </w:r>
      <w:r w:rsidR="00D05445" w:rsidRPr="00E86D06">
        <w:rPr>
          <w:rFonts w:ascii="Times New Roman" w:hAnsi="Times New Roman" w:cs="Times New Roman"/>
          <w:sz w:val="24"/>
          <w:szCs w:val="24"/>
        </w:rPr>
        <w:t xml:space="preserve"> This is followed by sub-programme 7, which makes transfers to the Municipal Demarcation Board.</w:t>
      </w:r>
    </w:p>
    <w:p w:rsidR="00492209" w:rsidRPr="00E86D06" w:rsidRDefault="00492209" w:rsidP="00E86D06">
      <w:pPr>
        <w:spacing w:before="120" w:after="120" w:line="240" w:lineRule="auto"/>
        <w:rPr>
          <w:rFonts w:ascii="Times New Roman" w:hAnsi="Times New Roman" w:cs="Times New Roman"/>
          <w:sz w:val="24"/>
          <w:szCs w:val="24"/>
        </w:rPr>
      </w:pPr>
    </w:p>
    <w:p w:rsidR="00E86D06" w:rsidRDefault="00E86D06">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090105" w:rsidRPr="00E86D06" w:rsidRDefault="00E800A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Graph 3:</w:t>
      </w:r>
      <w:r w:rsidR="00492209" w:rsidRPr="00E86D06">
        <w:rPr>
          <w:rFonts w:ascii="Times New Roman" w:hAnsi="Times New Roman" w:cs="Times New Roman"/>
          <w:sz w:val="24"/>
          <w:szCs w:val="24"/>
        </w:rPr>
        <w:t xml:space="preserve"> </w:t>
      </w:r>
    </w:p>
    <w:p w:rsidR="00492209" w:rsidRPr="00E86D06" w:rsidRDefault="00492209" w:rsidP="00E86D06">
      <w:pPr>
        <w:spacing w:before="120" w:after="120" w:line="240" w:lineRule="auto"/>
        <w:rPr>
          <w:rFonts w:ascii="Times New Roman" w:hAnsi="Times New Roman" w:cs="Times New Roman"/>
          <w:sz w:val="24"/>
          <w:szCs w:val="24"/>
        </w:rPr>
      </w:pPr>
    </w:p>
    <w:p w:rsidR="00536AC7" w:rsidRPr="00E86D06" w:rsidRDefault="00536AC7" w:rsidP="00E86D06">
      <w:pPr>
        <w:spacing w:before="120" w:after="120" w:line="240" w:lineRule="auto"/>
        <w:rPr>
          <w:rFonts w:ascii="Times New Roman" w:hAnsi="Times New Roman" w:cs="Times New Roman"/>
          <w:sz w:val="24"/>
          <w:szCs w:val="24"/>
        </w:rPr>
      </w:pPr>
    </w:p>
    <w:p w:rsidR="00536AC7" w:rsidRPr="00E86D06" w:rsidRDefault="00536AC7" w:rsidP="00E86D06">
      <w:pPr>
        <w:spacing w:before="120" w:after="120" w:line="240" w:lineRule="auto"/>
        <w:rPr>
          <w:rFonts w:ascii="Times New Roman" w:hAnsi="Times New Roman" w:cs="Times New Roman"/>
          <w:sz w:val="24"/>
          <w:szCs w:val="24"/>
        </w:rPr>
      </w:pPr>
    </w:p>
    <w:p w:rsidR="00536AC7" w:rsidRPr="00E86D06" w:rsidRDefault="00536AC7" w:rsidP="00E86D06">
      <w:pPr>
        <w:spacing w:before="120" w:after="120" w:line="240" w:lineRule="auto"/>
        <w:rPr>
          <w:rFonts w:ascii="Times New Roman" w:hAnsi="Times New Roman" w:cs="Times New Roman"/>
          <w:sz w:val="24"/>
          <w:szCs w:val="24"/>
        </w:rPr>
      </w:pPr>
    </w:p>
    <w:p w:rsidR="00536AC7" w:rsidRPr="00E86D06" w:rsidRDefault="00536AC7" w:rsidP="00E86D06">
      <w:pPr>
        <w:spacing w:before="120" w:after="120" w:line="240" w:lineRule="auto"/>
        <w:rPr>
          <w:rFonts w:ascii="Times New Roman" w:hAnsi="Times New Roman" w:cs="Times New Roman"/>
          <w:sz w:val="24"/>
          <w:szCs w:val="24"/>
        </w:rPr>
      </w:pPr>
    </w:p>
    <w:p w:rsidR="00536AC7" w:rsidRPr="00E86D06" w:rsidRDefault="00536AC7"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p>
    <w:p w:rsidR="00090105" w:rsidRPr="00E86D06" w:rsidRDefault="00090105"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4384" behindDoc="1" locked="0" layoutInCell="1" allowOverlap="1" wp14:anchorId="29BBAF19" wp14:editId="20391213">
            <wp:simplePos x="0" y="0"/>
            <wp:positionH relativeFrom="column">
              <wp:posOffset>0</wp:posOffset>
            </wp:positionH>
            <wp:positionV relativeFrom="paragraph">
              <wp:posOffset>-3246755</wp:posOffset>
            </wp:positionV>
            <wp:extent cx="5731510" cy="3382645"/>
            <wp:effectExtent l="0" t="0" r="2540" b="825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47B66" w:rsidRPr="00E86D06" w:rsidRDefault="00702E58"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7" w:name="_Toc477175318"/>
      <w:r w:rsidRPr="00E86D06">
        <w:rPr>
          <w:rFonts w:ascii="Times New Roman" w:hAnsi="Times New Roman" w:cs="Times New Roman"/>
          <w:color w:val="auto"/>
          <w:sz w:val="24"/>
          <w:szCs w:val="24"/>
        </w:rPr>
        <w:t>Programme 3: Institutional Development</w:t>
      </w:r>
      <w:bookmarkEnd w:id="7"/>
      <w:r w:rsidRPr="00E86D06">
        <w:rPr>
          <w:rFonts w:ascii="Times New Roman" w:hAnsi="Times New Roman" w:cs="Times New Roman"/>
          <w:color w:val="auto"/>
          <w:sz w:val="24"/>
          <w:szCs w:val="24"/>
        </w:rPr>
        <w:t xml:space="preserve"> </w:t>
      </w:r>
    </w:p>
    <w:p w:rsidR="00702E58" w:rsidRPr="00E86D06" w:rsidRDefault="00702E58" w:rsidP="00E86D06">
      <w:pPr>
        <w:spacing w:before="120" w:after="120" w:line="240" w:lineRule="auto"/>
        <w:rPr>
          <w:rFonts w:ascii="Times New Roman" w:hAnsi="Times New Roman" w:cs="Times New Roman"/>
          <w:sz w:val="24"/>
          <w:szCs w:val="24"/>
        </w:rPr>
      </w:pPr>
    </w:p>
    <w:p w:rsidR="009E7418" w:rsidRPr="00E86D06" w:rsidRDefault="008514B2"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Programme 3 constitutes the </w:t>
      </w:r>
      <w:r w:rsidR="00D01C18" w:rsidRPr="00E86D06">
        <w:rPr>
          <w:rFonts w:ascii="Times New Roman" w:hAnsi="Times New Roman" w:cs="Times New Roman"/>
          <w:sz w:val="24"/>
          <w:szCs w:val="24"/>
        </w:rPr>
        <w:t>bulk of the Department’s budget allocation in the form of the Local Government Equitable Share (LGES), sub-programme 7, which is disbursed to municipalities. The allocation to the Programme increases by 2</w:t>
      </w:r>
      <w:r w:rsidR="00E800A7" w:rsidRPr="00E86D06">
        <w:rPr>
          <w:rFonts w:ascii="Times New Roman" w:hAnsi="Times New Roman" w:cs="Times New Roman"/>
          <w:sz w:val="24"/>
          <w:szCs w:val="24"/>
        </w:rPr>
        <w:t>%</w:t>
      </w:r>
      <w:r w:rsidR="00D01C18" w:rsidRPr="00E86D06">
        <w:rPr>
          <w:rFonts w:ascii="Times New Roman" w:hAnsi="Times New Roman" w:cs="Times New Roman"/>
          <w:sz w:val="24"/>
          <w:szCs w:val="24"/>
        </w:rPr>
        <w:t xml:space="preserve"> in real terms – from R52.8 billion in 2016/17 to R57.3 billion in 2017/18. Sub-programme 6 shows the highest increase (27.8</w:t>
      </w:r>
      <w:r w:rsidR="00E800A7" w:rsidRPr="00E86D06">
        <w:rPr>
          <w:rFonts w:ascii="Times New Roman" w:hAnsi="Times New Roman" w:cs="Times New Roman"/>
          <w:sz w:val="24"/>
          <w:szCs w:val="24"/>
        </w:rPr>
        <w:t>%</w:t>
      </w:r>
      <w:r w:rsidR="00D01C18" w:rsidRPr="00E86D06">
        <w:rPr>
          <w:rFonts w:ascii="Times New Roman" w:hAnsi="Times New Roman" w:cs="Times New Roman"/>
          <w:sz w:val="24"/>
          <w:szCs w:val="24"/>
        </w:rPr>
        <w:t xml:space="preserve"> in real terms), from R13.3 million in 2016/17 to R18 million in 2017/18.</w:t>
      </w:r>
      <w:r w:rsidR="001C62B3" w:rsidRPr="00E86D06">
        <w:rPr>
          <w:rFonts w:ascii="Times New Roman" w:hAnsi="Times New Roman" w:cs="Times New Roman"/>
          <w:sz w:val="24"/>
          <w:szCs w:val="24"/>
        </w:rPr>
        <w:t xml:space="preserve"> The allocation to sub-programme 1</w:t>
      </w:r>
      <w:r w:rsidR="009C2DFF" w:rsidRPr="00E86D06">
        <w:rPr>
          <w:rFonts w:ascii="Times New Roman" w:hAnsi="Times New Roman" w:cs="Times New Roman"/>
          <w:sz w:val="24"/>
          <w:szCs w:val="24"/>
        </w:rPr>
        <w:t xml:space="preserve"> (Management: Institutional Development)</w:t>
      </w:r>
      <w:r w:rsidR="001C62B3" w:rsidRPr="00E86D06">
        <w:rPr>
          <w:rFonts w:ascii="Times New Roman" w:hAnsi="Times New Roman" w:cs="Times New Roman"/>
          <w:sz w:val="24"/>
          <w:szCs w:val="24"/>
        </w:rPr>
        <w:t>, on the othe</w:t>
      </w:r>
      <w:r w:rsidR="00533124" w:rsidRPr="00E86D06">
        <w:rPr>
          <w:rFonts w:ascii="Times New Roman" w:hAnsi="Times New Roman" w:cs="Times New Roman"/>
          <w:sz w:val="24"/>
          <w:szCs w:val="24"/>
        </w:rPr>
        <w:t>r hand, decreases</w:t>
      </w:r>
      <w:r w:rsidR="009C2DFF" w:rsidRPr="00E86D06">
        <w:rPr>
          <w:rFonts w:ascii="Times New Roman" w:hAnsi="Times New Roman" w:cs="Times New Roman"/>
          <w:sz w:val="24"/>
          <w:szCs w:val="24"/>
        </w:rPr>
        <w:t xml:space="preserve"> by almost half (45</w:t>
      </w:r>
      <w:r w:rsidR="00E800A7" w:rsidRPr="00E86D06">
        <w:rPr>
          <w:rFonts w:ascii="Times New Roman" w:hAnsi="Times New Roman" w:cs="Times New Roman"/>
          <w:sz w:val="24"/>
          <w:szCs w:val="24"/>
        </w:rPr>
        <w:t>%</w:t>
      </w:r>
      <w:r w:rsidR="009C2DFF" w:rsidRPr="00E86D06">
        <w:rPr>
          <w:rFonts w:ascii="Times New Roman" w:hAnsi="Times New Roman" w:cs="Times New Roman"/>
          <w:sz w:val="24"/>
          <w:szCs w:val="24"/>
        </w:rPr>
        <w:t>), from R5</w:t>
      </w:r>
      <w:proofErr w:type="gramStart"/>
      <w:r w:rsidR="009C2DFF" w:rsidRPr="00E86D06">
        <w:rPr>
          <w:rFonts w:ascii="Times New Roman" w:hAnsi="Times New Roman" w:cs="Times New Roman"/>
          <w:sz w:val="24"/>
          <w:szCs w:val="24"/>
        </w:rPr>
        <w:t>,7</w:t>
      </w:r>
      <w:proofErr w:type="gramEnd"/>
      <w:r w:rsidR="009C2DFF" w:rsidRPr="00E86D06">
        <w:rPr>
          <w:rFonts w:ascii="Times New Roman" w:hAnsi="Times New Roman" w:cs="Times New Roman"/>
          <w:sz w:val="24"/>
          <w:szCs w:val="24"/>
        </w:rPr>
        <w:t xml:space="preserve"> million in 2016/17 to R3,3 million in 2017/18.</w:t>
      </w:r>
      <w:r w:rsidR="00492209" w:rsidRPr="00E86D06">
        <w:rPr>
          <w:rFonts w:ascii="Times New Roman" w:hAnsi="Times New Roman" w:cs="Times New Roman"/>
          <w:sz w:val="24"/>
          <w:szCs w:val="24"/>
        </w:rPr>
        <w:t xml:space="preserve"> </w:t>
      </w:r>
    </w:p>
    <w:p w:rsidR="00492209" w:rsidRPr="00E86D06" w:rsidRDefault="00492209" w:rsidP="00E86D06">
      <w:pPr>
        <w:spacing w:before="120" w:after="120" w:line="240" w:lineRule="auto"/>
        <w:rPr>
          <w:rFonts w:ascii="Times New Roman" w:hAnsi="Times New Roman" w:cs="Times New Roman"/>
          <w:sz w:val="24"/>
          <w:szCs w:val="24"/>
        </w:rPr>
      </w:pPr>
    </w:p>
    <w:p w:rsidR="00702E58" w:rsidRPr="00E86D06" w:rsidRDefault="00CB274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063"/>
        <w:gridCol w:w="993"/>
        <w:gridCol w:w="992"/>
        <w:gridCol w:w="992"/>
        <w:gridCol w:w="992"/>
        <w:gridCol w:w="851"/>
        <w:gridCol w:w="992"/>
        <w:gridCol w:w="941"/>
      </w:tblGrid>
      <w:tr w:rsidR="001622FE" w:rsidRPr="00E86D06" w:rsidTr="00D569D5">
        <w:trPr>
          <w:trHeight w:val="780"/>
          <w:tblHeader/>
        </w:trPr>
        <w:tc>
          <w:tcPr>
            <w:tcW w:w="1200" w:type="dxa"/>
            <w:shd w:val="clear" w:color="auto" w:fill="D9D9D9" w:themeFill="background1" w:themeFillShade="D9"/>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4040" w:type="dxa"/>
            <w:gridSpan w:val="4"/>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992"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851"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992"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941"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8514B2" w:rsidRPr="00E86D06" w:rsidTr="00D569D5">
        <w:trPr>
          <w:trHeight w:val="255"/>
        </w:trPr>
        <w:tc>
          <w:tcPr>
            <w:tcW w:w="1200"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1063"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993"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992"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992"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843" w:type="dxa"/>
            <w:gridSpan w:val="2"/>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933" w:type="dxa"/>
            <w:gridSpan w:val="2"/>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 p</w:t>
            </w:r>
            <w:r w:rsidR="00795C24" w:rsidRPr="00E86D06">
              <w:rPr>
                <w:rFonts w:ascii="Times New Roman" w:eastAsia="Times New Roman" w:hAnsi="Times New Roman" w:cs="Times New Roman"/>
                <w:sz w:val="24"/>
                <w:szCs w:val="24"/>
                <w:lang w:eastAsia="en-ZA"/>
              </w:rPr>
              <w:t>rogramme 1:</w:t>
            </w:r>
            <w:r w:rsidR="009C2DFF" w:rsidRPr="00E86D06">
              <w:rPr>
                <w:rFonts w:ascii="Times New Roman" w:eastAsia="Times New Roman" w:hAnsi="Times New Roman" w:cs="Times New Roman"/>
                <w:sz w:val="24"/>
                <w:szCs w:val="24"/>
                <w:lang w:eastAsia="en-ZA"/>
              </w:rPr>
              <w:t xml:space="preserve"> Management: </w:t>
            </w:r>
            <w:r w:rsidR="009C2DFF" w:rsidRPr="00E86D06">
              <w:rPr>
                <w:rFonts w:ascii="Times New Roman" w:eastAsia="Times New Roman" w:hAnsi="Times New Roman" w:cs="Times New Roman"/>
                <w:sz w:val="24"/>
                <w:szCs w:val="24"/>
                <w:lang w:eastAsia="en-ZA"/>
              </w:rPr>
              <w:lastRenderedPageBreak/>
              <w:t>Institutional Development</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5,7</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2,4</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2,6</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-41,73</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-45,19</w:t>
            </w:r>
            <w:r w:rsidR="00CB2746"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 p</w:t>
            </w:r>
            <w:r w:rsidR="00795C24" w:rsidRPr="00E86D06">
              <w:rPr>
                <w:rFonts w:ascii="Times New Roman" w:eastAsia="Times New Roman" w:hAnsi="Times New Roman" w:cs="Times New Roman"/>
                <w:sz w:val="24"/>
                <w:szCs w:val="24"/>
                <w:lang w:eastAsia="en-ZA"/>
              </w:rPr>
              <w:t>rogramme 2:</w:t>
            </w:r>
            <w:r w:rsidR="00141A41" w:rsidRPr="00E86D06">
              <w:rPr>
                <w:rFonts w:ascii="Times New Roman" w:eastAsia="Times New Roman" w:hAnsi="Times New Roman" w:cs="Times New Roman"/>
                <w:sz w:val="24"/>
                <w:szCs w:val="24"/>
                <w:lang w:eastAsia="en-ZA"/>
              </w:rPr>
              <w:t xml:space="preserve"> Municipal Resource Management</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7,1</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7,8</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0,7</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10,13</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3,60</w:t>
            </w:r>
            <w:r w:rsidR="00CB2746"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 xml:space="preserve">rogramme 3: </w:t>
            </w:r>
            <w:r w:rsidR="00141A41" w:rsidRPr="00E86D06">
              <w:rPr>
                <w:rFonts w:ascii="Times New Roman" w:eastAsia="Times New Roman" w:hAnsi="Times New Roman" w:cs="Times New Roman"/>
                <w:sz w:val="24"/>
                <w:szCs w:val="24"/>
                <w:lang w:eastAsia="en-ZA"/>
              </w:rPr>
              <w:t>Municipal Finance</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33,8</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30,1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2,3</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4,2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-6,84</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-12,36</w:t>
            </w:r>
            <w:r w:rsidR="00CB2746"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 xml:space="preserve">rogramme 4: </w:t>
            </w:r>
            <w:r w:rsidR="004956C7" w:rsidRPr="00E86D06">
              <w:rPr>
                <w:rFonts w:ascii="Times New Roman" w:eastAsia="Times New Roman" w:hAnsi="Times New Roman" w:cs="Times New Roman"/>
                <w:sz w:val="24"/>
                <w:szCs w:val="24"/>
                <w:lang w:eastAsia="en-ZA"/>
              </w:rPr>
              <w:t>Citizen Engagement</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8,3</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1,6</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-19,02</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-23,82</w:t>
            </w:r>
            <w:r w:rsidR="00CB2746"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 xml:space="preserve">rogramme 5: </w:t>
            </w:r>
            <w:r w:rsidR="004956C7" w:rsidRPr="00E86D06">
              <w:rPr>
                <w:rFonts w:ascii="Times New Roman" w:eastAsia="Times New Roman" w:hAnsi="Times New Roman" w:cs="Times New Roman"/>
                <w:sz w:val="24"/>
                <w:szCs w:val="24"/>
                <w:lang w:eastAsia="en-ZA"/>
              </w:rPr>
              <w:t>Anti-corruption and Good Governance</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5,5</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5,8</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1,8</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1,4</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33,41</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25,50</w:t>
            </w:r>
            <w:r w:rsidR="00CB2746"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 xml:space="preserve">rogramme 6: </w:t>
            </w:r>
            <w:r w:rsidR="00946608" w:rsidRPr="00E86D06">
              <w:rPr>
                <w:rFonts w:ascii="Times New Roman" w:eastAsia="Times New Roman" w:hAnsi="Times New Roman" w:cs="Times New Roman"/>
                <w:sz w:val="24"/>
                <w:szCs w:val="24"/>
                <w:lang w:eastAsia="en-ZA"/>
              </w:rPr>
              <w:t>Municipal Property Rates</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13,3</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20,3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4,8</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3,7</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35,89</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27,84</w:t>
            </w:r>
            <w:r w:rsidR="00B75590"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w:t>
            </w:r>
            <w:r w:rsidR="00795C24" w:rsidRPr="00E86D06">
              <w:rPr>
                <w:rFonts w:ascii="Times New Roman" w:eastAsia="Times New Roman" w:hAnsi="Times New Roman" w:cs="Times New Roman"/>
                <w:sz w:val="24"/>
                <w:szCs w:val="24"/>
                <w:lang w:eastAsia="en-ZA"/>
              </w:rPr>
              <w:lastRenderedPageBreak/>
              <w:t>me 7:</w:t>
            </w:r>
            <w:r w:rsidR="0006467F" w:rsidRPr="00E86D06">
              <w:rPr>
                <w:rFonts w:ascii="Times New Roman" w:eastAsia="Times New Roman" w:hAnsi="Times New Roman" w:cs="Times New Roman"/>
                <w:sz w:val="24"/>
                <w:szCs w:val="24"/>
                <w:lang w:eastAsia="en-ZA"/>
              </w:rPr>
              <w:t xml:space="preserve"> Local Government Equitable Share</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52 568,7</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57 012,1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62 731,8</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67 473,5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4 443,4</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1 064,5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8,45</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2,03</w:t>
            </w:r>
            <w:r w:rsidR="00B75590"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Sub-p</w:t>
            </w:r>
            <w:r w:rsidR="00795C24" w:rsidRPr="00E86D06">
              <w:rPr>
                <w:rFonts w:ascii="Times New Roman" w:eastAsia="Times New Roman" w:hAnsi="Times New Roman" w:cs="Times New Roman"/>
                <w:sz w:val="24"/>
                <w:szCs w:val="24"/>
                <w:lang w:eastAsia="en-ZA"/>
              </w:rPr>
              <w:t>rogramme 8:</w:t>
            </w:r>
            <w:r w:rsidR="0006467F" w:rsidRPr="00E86D06">
              <w:rPr>
                <w:rFonts w:ascii="Times New Roman" w:eastAsia="Times New Roman" w:hAnsi="Times New Roman" w:cs="Times New Roman"/>
                <w:sz w:val="24"/>
                <w:szCs w:val="24"/>
                <w:lang w:eastAsia="en-ZA"/>
              </w:rPr>
              <w:t xml:space="preserve"> South African Local Government Association</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31,5</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0,2</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2,1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-0,63</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-6,52</w:t>
            </w:r>
            <w:r w:rsidR="00B75590"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rogramme 9:</w:t>
            </w:r>
            <w:r w:rsidR="0006467F" w:rsidRPr="00E86D06">
              <w:rPr>
                <w:rFonts w:ascii="Times New Roman" w:eastAsia="Times New Roman" w:hAnsi="Times New Roman" w:cs="Times New Roman"/>
                <w:sz w:val="24"/>
                <w:szCs w:val="24"/>
                <w:lang w:eastAsia="en-ZA"/>
              </w:rPr>
              <w:t xml:space="preserve"> Municipal Systems Improvement Grant</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84,3</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103,2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115,1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121,6</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18,9</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12,8</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22,41</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15,15</w:t>
            </w:r>
            <w:r w:rsidR="00B75590"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rogramme 10:</w:t>
            </w:r>
            <w:r w:rsidR="009E2D5D" w:rsidRPr="00E86D06">
              <w:rPr>
                <w:rFonts w:ascii="Times New Roman" w:eastAsia="Times New Roman" w:hAnsi="Times New Roman" w:cs="Times New Roman"/>
                <w:sz w:val="24"/>
                <w:szCs w:val="24"/>
                <w:lang w:eastAsia="en-ZA"/>
              </w:rPr>
              <w:t xml:space="preserve"> Department of Traditional Affairs</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129,8</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145,0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154,2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164,3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15,2</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6,6</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11,72</w:t>
            </w:r>
            <w:r w:rsidR="00CB2746" w:rsidRPr="00E86D06">
              <w:rPr>
                <w:rFonts w:ascii="Times New Roman" w:eastAsia="Times New Roman" w:hAnsi="Times New Roman" w:cs="Times New Roman"/>
                <w:sz w:val="24"/>
                <w:szCs w:val="24"/>
                <w:lang w:eastAsia="en-ZA"/>
              </w:rPr>
              <w:t>%</w:t>
            </w:r>
          </w:p>
        </w:tc>
        <w:tc>
          <w:tcPr>
            <w:tcW w:w="94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5,10</w:t>
            </w:r>
            <w:r w:rsidR="00B75590" w:rsidRPr="00E86D06">
              <w:rPr>
                <w:rFonts w:ascii="Times New Roman" w:eastAsia="Times New Roman" w:hAnsi="Times New Roman" w:cs="Times New Roman"/>
                <w:sz w:val="24"/>
                <w:szCs w:val="24"/>
                <w:lang w:eastAsia="en-ZA"/>
              </w:rPr>
              <w:t>%</w:t>
            </w:r>
          </w:p>
        </w:tc>
      </w:tr>
      <w:tr w:rsidR="00B75590" w:rsidRPr="00E86D06" w:rsidTr="00D569D5">
        <w:trPr>
          <w:trHeight w:val="255"/>
        </w:trPr>
        <w:tc>
          <w:tcPr>
            <w:tcW w:w="1200" w:type="dxa"/>
            <w:shd w:val="clear" w:color="auto" w:fill="auto"/>
            <w:vAlign w:val="bottom"/>
            <w:hideMark/>
          </w:tcPr>
          <w:p w:rsidR="00795C24" w:rsidRPr="00E86D06" w:rsidRDefault="008514B2"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rogramme 11:</w:t>
            </w:r>
            <w:r w:rsidR="004A79A3" w:rsidRPr="00E86D06">
              <w:rPr>
                <w:rFonts w:ascii="Times New Roman" w:eastAsia="Times New Roman" w:hAnsi="Times New Roman" w:cs="Times New Roman"/>
                <w:sz w:val="24"/>
                <w:szCs w:val="24"/>
                <w:lang w:eastAsia="en-ZA"/>
              </w:rPr>
              <w:t xml:space="preserve"> United Cities and Local Government of Africa</w:t>
            </w:r>
          </w:p>
        </w:tc>
        <w:tc>
          <w:tcPr>
            <w:tcW w:w="106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993"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6,4</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6,8</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6,4</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6,0</w:t>
            </w:r>
          </w:p>
        </w:tc>
        <w:tc>
          <w:tcPr>
            <w:tcW w:w="992" w:type="dxa"/>
            <w:shd w:val="clear" w:color="auto" w:fill="auto"/>
            <w:noWrap/>
            <w:hideMark/>
          </w:tcPr>
          <w:p w:rsidR="00795C24" w:rsidRPr="00E86D06" w:rsidRDefault="00795C24" w:rsidP="00E86D06">
            <w:pPr>
              <w:spacing w:before="120" w:after="120" w:line="240" w:lineRule="auto"/>
              <w:rPr>
                <w:rFonts w:ascii="Times New Roman" w:eastAsia="Times New Roman" w:hAnsi="Times New Roman" w:cs="Times New Roman"/>
                <w:sz w:val="24"/>
                <w:szCs w:val="24"/>
                <w:lang w:eastAsia="en-ZA"/>
              </w:rPr>
            </w:pPr>
          </w:p>
        </w:tc>
        <w:tc>
          <w:tcPr>
            <w:tcW w:w="941" w:type="dxa"/>
            <w:shd w:val="clear" w:color="auto" w:fill="auto"/>
            <w:noWrap/>
            <w:hideMark/>
          </w:tcPr>
          <w:p w:rsidR="00795C24" w:rsidRPr="00E86D06" w:rsidRDefault="00795C24" w:rsidP="00E86D06">
            <w:pPr>
              <w:spacing w:before="120" w:after="120" w:line="240" w:lineRule="auto"/>
              <w:rPr>
                <w:rFonts w:ascii="Times New Roman" w:eastAsia="Times New Roman" w:hAnsi="Times New Roman" w:cs="Times New Roman"/>
                <w:sz w:val="24"/>
                <w:szCs w:val="24"/>
                <w:lang w:eastAsia="en-ZA"/>
              </w:rPr>
            </w:pPr>
          </w:p>
        </w:tc>
      </w:tr>
      <w:tr w:rsidR="00B75590" w:rsidRPr="00E86D06" w:rsidTr="00D569D5">
        <w:trPr>
          <w:trHeight w:val="270"/>
        </w:trPr>
        <w:tc>
          <w:tcPr>
            <w:tcW w:w="1200"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1063"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52 </w:t>
            </w:r>
            <w:r w:rsidRPr="00E86D06">
              <w:rPr>
                <w:rFonts w:ascii="Times New Roman" w:eastAsia="Times New Roman" w:hAnsi="Times New Roman" w:cs="Times New Roman"/>
                <w:b/>
                <w:bCs/>
                <w:sz w:val="24"/>
                <w:szCs w:val="24"/>
                <w:lang w:eastAsia="en-ZA"/>
              </w:rPr>
              <w:lastRenderedPageBreak/>
              <w:t>888,0</w:t>
            </w:r>
          </w:p>
        </w:tc>
        <w:tc>
          <w:tcPr>
            <w:tcW w:w="993"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 xml:space="preserve"> 57 </w:t>
            </w:r>
            <w:r w:rsidRPr="00E86D06">
              <w:rPr>
                <w:rFonts w:ascii="Times New Roman" w:eastAsia="Times New Roman" w:hAnsi="Times New Roman" w:cs="Times New Roman"/>
                <w:b/>
                <w:bCs/>
                <w:sz w:val="24"/>
                <w:szCs w:val="24"/>
                <w:lang w:eastAsia="en-ZA"/>
              </w:rPr>
              <w:lastRenderedPageBreak/>
              <w:t>372,8</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lastRenderedPageBreak/>
              <w:t xml:space="preserve"> 63 </w:t>
            </w:r>
            <w:r w:rsidRPr="00E86D06">
              <w:rPr>
                <w:rFonts w:ascii="Times New Roman" w:eastAsia="Times New Roman" w:hAnsi="Times New Roman" w:cs="Times New Roman"/>
                <w:b/>
                <w:sz w:val="24"/>
                <w:szCs w:val="24"/>
                <w:lang w:eastAsia="en-ZA"/>
              </w:rPr>
              <w:lastRenderedPageBreak/>
              <w:t>114,4</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lastRenderedPageBreak/>
              <w:t xml:space="preserve"> 67 </w:t>
            </w:r>
            <w:r w:rsidRPr="00E86D06">
              <w:rPr>
                <w:rFonts w:ascii="Times New Roman" w:eastAsia="Times New Roman" w:hAnsi="Times New Roman" w:cs="Times New Roman"/>
                <w:b/>
                <w:sz w:val="24"/>
                <w:szCs w:val="24"/>
                <w:lang w:eastAsia="en-ZA"/>
              </w:rPr>
              <w:lastRenderedPageBreak/>
              <w:t>879,5</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 xml:space="preserve"> 4 </w:t>
            </w:r>
            <w:r w:rsidRPr="00E86D06">
              <w:rPr>
                <w:rFonts w:ascii="Times New Roman" w:eastAsia="Times New Roman" w:hAnsi="Times New Roman" w:cs="Times New Roman"/>
                <w:b/>
                <w:bCs/>
                <w:sz w:val="24"/>
                <w:szCs w:val="24"/>
                <w:lang w:eastAsia="en-ZA"/>
              </w:rPr>
              <w:lastRenderedPageBreak/>
              <w:t>484,8</w:t>
            </w:r>
          </w:p>
        </w:tc>
        <w:tc>
          <w:tcPr>
            <w:tcW w:w="851"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 xml:space="preserve"> 1 </w:t>
            </w:r>
            <w:r w:rsidRPr="00E86D06">
              <w:rPr>
                <w:rFonts w:ascii="Times New Roman" w:eastAsia="Times New Roman" w:hAnsi="Times New Roman" w:cs="Times New Roman"/>
                <w:b/>
                <w:bCs/>
                <w:sz w:val="24"/>
                <w:szCs w:val="24"/>
                <w:lang w:eastAsia="en-ZA"/>
              </w:rPr>
              <w:lastRenderedPageBreak/>
              <w:t>084,5</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lastRenderedPageBreak/>
              <w:t>8,48</w:t>
            </w:r>
            <w:r w:rsidR="00CB2746" w:rsidRPr="00E86D06">
              <w:rPr>
                <w:rFonts w:ascii="Times New Roman" w:eastAsia="Times New Roman" w:hAnsi="Times New Roman" w:cs="Times New Roman"/>
                <w:b/>
                <w:bCs/>
                <w:sz w:val="24"/>
                <w:szCs w:val="24"/>
                <w:lang w:eastAsia="en-ZA"/>
              </w:rPr>
              <w:t>%</w:t>
            </w:r>
          </w:p>
        </w:tc>
        <w:tc>
          <w:tcPr>
            <w:tcW w:w="941"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2,05</w:t>
            </w:r>
            <w:r w:rsidR="00B75590" w:rsidRPr="00E86D06">
              <w:rPr>
                <w:rFonts w:ascii="Times New Roman" w:eastAsia="Times New Roman" w:hAnsi="Times New Roman" w:cs="Times New Roman"/>
                <w:b/>
                <w:bCs/>
                <w:sz w:val="24"/>
                <w:szCs w:val="24"/>
                <w:lang w:eastAsia="en-ZA"/>
              </w:rPr>
              <w:t>%</w:t>
            </w:r>
          </w:p>
        </w:tc>
      </w:tr>
    </w:tbl>
    <w:p w:rsidR="00420B2A" w:rsidRPr="00E86D06" w:rsidRDefault="00420B2A"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The Graph below emphasizes the point</w:t>
      </w:r>
      <w:r w:rsidR="005426B3" w:rsidRPr="00E86D06">
        <w:rPr>
          <w:rFonts w:ascii="Times New Roman" w:hAnsi="Times New Roman" w:cs="Times New Roman"/>
          <w:sz w:val="24"/>
          <w:szCs w:val="24"/>
        </w:rPr>
        <w:t xml:space="preserve"> that</w:t>
      </w:r>
      <w:r w:rsidRPr="00E86D06">
        <w:rPr>
          <w:rFonts w:ascii="Times New Roman" w:hAnsi="Times New Roman" w:cs="Times New Roman"/>
          <w:sz w:val="24"/>
          <w:szCs w:val="24"/>
        </w:rPr>
        <w:t xml:space="preserve"> the LGES</w:t>
      </w:r>
      <w:r w:rsidR="00B75590" w:rsidRPr="00E86D06">
        <w:rPr>
          <w:rFonts w:ascii="Times New Roman" w:hAnsi="Times New Roman" w:cs="Times New Roman"/>
          <w:sz w:val="24"/>
          <w:szCs w:val="24"/>
        </w:rPr>
        <w:t>,</w:t>
      </w:r>
      <w:r w:rsidRPr="00E86D06">
        <w:rPr>
          <w:rFonts w:ascii="Times New Roman" w:hAnsi="Times New Roman" w:cs="Times New Roman"/>
          <w:sz w:val="24"/>
          <w:szCs w:val="24"/>
        </w:rPr>
        <w:t xml:space="preserve"> not only constitutes the bulk of the allocation for the Programme, but also for the Department as a whole.</w:t>
      </w:r>
    </w:p>
    <w:p w:rsidR="00795C24" w:rsidRPr="00E86D06" w:rsidRDefault="00795C24" w:rsidP="00E86D06">
      <w:pPr>
        <w:spacing w:before="120" w:after="120" w:line="240" w:lineRule="auto"/>
        <w:rPr>
          <w:rFonts w:ascii="Times New Roman" w:hAnsi="Times New Roman" w:cs="Times New Roman"/>
          <w:sz w:val="24"/>
          <w:szCs w:val="24"/>
        </w:rPr>
      </w:pPr>
    </w:p>
    <w:p w:rsidR="004A5232" w:rsidRPr="00E86D06" w:rsidRDefault="00B75590"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Graph 4:</w:t>
      </w:r>
    </w:p>
    <w:p w:rsidR="004A5232" w:rsidRPr="00E86D06" w:rsidRDefault="004A5232"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p>
    <w:p w:rsidR="00795C24" w:rsidRPr="00E86D06" w:rsidRDefault="00795C24"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5408" behindDoc="1" locked="0" layoutInCell="1" allowOverlap="1" wp14:anchorId="48771B06" wp14:editId="1C5490E5">
            <wp:simplePos x="0" y="0"/>
            <wp:positionH relativeFrom="column">
              <wp:posOffset>0</wp:posOffset>
            </wp:positionH>
            <wp:positionV relativeFrom="paragraph">
              <wp:posOffset>-3249930</wp:posOffset>
            </wp:positionV>
            <wp:extent cx="5731510" cy="3382645"/>
            <wp:effectExtent l="0" t="0" r="2540" b="825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75590" w:rsidRPr="00E86D06" w:rsidRDefault="00B75590" w:rsidP="00E86D06">
      <w:pPr>
        <w:spacing w:before="120" w:after="120" w:line="240" w:lineRule="auto"/>
        <w:rPr>
          <w:rFonts w:ascii="Times New Roman" w:hAnsi="Times New Roman" w:cs="Times New Roman"/>
          <w:sz w:val="24"/>
          <w:szCs w:val="24"/>
        </w:rPr>
      </w:pPr>
    </w:p>
    <w:p w:rsidR="00795C24" w:rsidRPr="00E86D06" w:rsidRDefault="00795C24"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8" w:name="_Toc477175319"/>
      <w:r w:rsidRPr="00E86D06">
        <w:rPr>
          <w:rFonts w:ascii="Times New Roman" w:hAnsi="Times New Roman" w:cs="Times New Roman"/>
          <w:color w:val="auto"/>
          <w:sz w:val="24"/>
          <w:szCs w:val="24"/>
        </w:rPr>
        <w:t>Programme 4: National Disaster Management Centre</w:t>
      </w:r>
      <w:bookmarkEnd w:id="8"/>
    </w:p>
    <w:p w:rsidR="00795C24" w:rsidRPr="00E86D06" w:rsidRDefault="00795C24" w:rsidP="00E86D06">
      <w:pPr>
        <w:spacing w:before="120" w:after="120" w:line="240" w:lineRule="auto"/>
        <w:rPr>
          <w:rFonts w:ascii="Times New Roman" w:hAnsi="Times New Roman" w:cs="Times New Roman"/>
          <w:sz w:val="24"/>
          <w:szCs w:val="24"/>
        </w:rPr>
      </w:pPr>
    </w:p>
    <w:p w:rsidR="0014756D" w:rsidRPr="00E86D06" w:rsidRDefault="006701EE"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As the Table</w:t>
      </w:r>
      <w:r w:rsidR="00FF16C5" w:rsidRPr="00E86D06">
        <w:rPr>
          <w:rFonts w:ascii="Times New Roman" w:hAnsi="Times New Roman" w:cs="Times New Roman"/>
          <w:sz w:val="24"/>
          <w:szCs w:val="24"/>
        </w:rPr>
        <w:t xml:space="preserve"> below</w:t>
      </w:r>
      <w:r w:rsidRPr="00E86D06">
        <w:rPr>
          <w:rFonts w:ascii="Times New Roman" w:hAnsi="Times New Roman" w:cs="Times New Roman"/>
          <w:sz w:val="24"/>
          <w:szCs w:val="24"/>
        </w:rPr>
        <w:t xml:space="preserve"> indicates, the allocation to Programme 4 decreases by 16.6</w:t>
      </w:r>
      <w:r w:rsidR="00B75590" w:rsidRPr="00E86D06">
        <w:rPr>
          <w:rFonts w:ascii="Times New Roman" w:hAnsi="Times New Roman" w:cs="Times New Roman"/>
          <w:sz w:val="24"/>
          <w:szCs w:val="24"/>
        </w:rPr>
        <w:t>%</w:t>
      </w:r>
      <w:r w:rsidRPr="00E86D06">
        <w:rPr>
          <w:rFonts w:ascii="Times New Roman" w:hAnsi="Times New Roman" w:cs="Times New Roman"/>
          <w:sz w:val="24"/>
          <w:szCs w:val="24"/>
        </w:rPr>
        <w:t>, from R588</w:t>
      </w:r>
      <w:proofErr w:type="gramStart"/>
      <w:r w:rsidRPr="00E86D06">
        <w:rPr>
          <w:rFonts w:ascii="Times New Roman" w:hAnsi="Times New Roman" w:cs="Times New Roman"/>
          <w:sz w:val="24"/>
          <w:szCs w:val="24"/>
        </w:rPr>
        <w:t>,9</w:t>
      </w:r>
      <w:proofErr w:type="gramEnd"/>
      <w:r w:rsidRPr="00E86D06">
        <w:rPr>
          <w:rFonts w:ascii="Times New Roman" w:hAnsi="Times New Roman" w:cs="Times New Roman"/>
          <w:sz w:val="24"/>
          <w:szCs w:val="24"/>
        </w:rPr>
        <w:t xml:space="preserve"> million in 2016/17 to R521.9 million in 2017/18</w:t>
      </w:r>
      <w:r w:rsidR="003B4F06" w:rsidRPr="00E86D06">
        <w:rPr>
          <w:rFonts w:ascii="Times New Roman" w:hAnsi="Times New Roman" w:cs="Times New Roman"/>
          <w:sz w:val="24"/>
          <w:szCs w:val="24"/>
        </w:rPr>
        <w:t xml:space="preserve">. </w:t>
      </w:r>
      <w:r w:rsidR="00982CB0" w:rsidRPr="00E86D06">
        <w:rPr>
          <w:rFonts w:ascii="Times New Roman" w:hAnsi="Times New Roman" w:cs="Times New Roman"/>
          <w:sz w:val="24"/>
          <w:szCs w:val="24"/>
        </w:rPr>
        <w:t xml:space="preserve">The bulk of this reduction relates to </w:t>
      </w:r>
      <w:r w:rsidR="00577B5F" w:rsidRPr="00E86D06">
        <w:rPr>
          <w:rFonts w:ascii="Times New Roman" w:hAnsi="Times New Roman" w:cs="Times New Roman"/>
          <w:sz w:val="24"/>
          <w:szCs w:val="24"/>
        </w:rPr>
        <w:t>the Municipal Disaster Recovery Grant (</w:t>
      </w:r>
      <w:r w:rsidR="00982CB0" w:rsidRPr="00E86D06">
        <w:rPr>
          <w:rFonts w:ascii="Times New Roman" w:hAnsi="Times New Roman" w:cs="Times New Roman"/>
          <w:sz w:val="24"/>
          <w:szCs w:val="24"/>
        </w:rPr>
        <w:t>sub-programme 8</w:t>
      </w:r>
      <w:r w:rsidR="00577B5F" w:rsidRPr="00E86D06">
        <w:rPr>
          <w:rFonts w:ascii="Times New Roman" w:hAnsi="Times New Roman" w:cs="Times New Roman"/>
          <w:sz w:val="24"/>
          <w:szCs w:val="24"/>
        </w:rPr>
        <w:t>), which is not allocated any budget in 2017/18</w:t>
      </w:r>
      <w:r w:rsidR="004C7A39" w:rsidRPr="00E86D06">
        <w:rPr>
          <w:rFonts w:ascii="Times New Roman" w:hAnsi="Times New Roman" w:cs="Times New Roman"/>
          <w:sz w:val="24"/>
          <w:szCs w:val="24"/>
        </w:rPr>
        <w:t xml:space="preserve">. </w:t>
      </w:r>
      <w:r w:rsidR="0014756D" w:rsidRPr="00E86D06">
        <w:rPr>
          <w:rFonts w:ascii="Times New Roman" w:hAnsi="Times New Roman" w:cs="Times New Roman"/>
          <w:sz w:val="24"/>
          <w:szCs w:val="24"/>
        </w:rPr>
        <w:t xml:space="preserve">Section 26 of the 2017 Division of Revenue Bill allows for funds allocated to the </w:t>
      </w:r>
      <w:r w:rsidR="00B75590" w:rsidRPr="00E86D06">
        <w:rPr>
          <w:rFonts w:ascii="Times New Roman" w:hAnsi="Times New Roman" w:cs="Times New Roman"/>
          <w:sz w:val="24"/>
          <w:szCs w:val="24"/>
        </w:rPr>
        <w:t>M</w:t>
      </w:r>
      <w:r w:rsidR="0014756D" w:rsidRPr="00E86D06">
        <w:rPr>
          <w:rFonts w:ascii="Times New Roman" w:hAnsi="Times New Roman" w:cs="Times New Roman"/>
          <w:sz w:val="24"/>
          <w:szCs w:val="24"/>
        </w:rPr>
        <w:t xml:space="preserve">unicipal </w:t>
      </w:r>
      <w:r w:rsidR="00B75590" w:rsidRPr="00E86D06">
        <w:rPr>
          <w:rFonts w:ascii="Times New Roman" w:hAnsi="Times New Roman" w:cs="Times New Roman"/>
          <w:sz w:val="24"/>
          <w:szCs w:val="24"/>
        </w:rPr>
        <w:t>D</w:t>
      </w:r>
      <w:r w:rsidR="0014756D" w:rsidRPr="00E86D06">
        <w:rPr>
          <w:rFonts w:ascii="Times New Roman" w:hAnsi="Times New Roman" w:cs="Times New Roman"/>
          <w:sz w:val="24"/>
          <w:szCs w:val="24"/>
        </w:rPr>
        <w:t xml:space="preserve">isaster </w:t>
      </w:r>
      <w:r w:rsidR="00B75590" w:rsidRPr="00E86D06">
        <w:rPr>
          <w:rFonts w:ascii="Times New Roman" w:hAnsi="Times New Roman" w:cs="Times New Roman"/>
          <w:sz w:val="24"/>
          <w:szCs w:val="24"/>
        </w:rPr>
        <w:t>G</w:t>
      </w:r>
      <w:r w:rsidR="0014756D" w:rsidRPr="00E86D06">
        <w:rPr>
          <w:rFonts w:ascii="Times New Roman" w:hAnsi="Times New Roman" w:cs="Times New Roman"/>
          <w:sz w:val="24"/>
          <w:szCs w:val="24"/>
        </w:rPr>
        <w:t xml:space="preserve">rant to be transferred to provinces if funds in the </w:t>
      </w:r>
      <w:r w:rsidR="00B75590" w:rsidRPr="00E86D06">
        <w:rPr>
          <w:rFonts w:ascii="Times New Roman" w:hAnsi="Times New Roman" w:cs="Times New Roman"/>
          <w:sz w:val="24"/>
          <w:szCs w:val="24"/>
        </w:rPr>
        <w:t>P</w:t>
      </w:r>
      <w:r w:rsidR="0014756D" w:rsidRPr="00E86D06">
        <w:rPr>
          <w:rFonts w:ascii="Times New Roman" w:hAnsi="Times New Roman" w:cs="Times New Roman"/>
          <w:sz w:val="24"/>
          <w:szCs w:val="24"/>
        </w:rPr>
        <w:t xml:space="preserve">rovincial </w:t>
      </w:r>
      <w:r w:rsidR="00B75590" w:rsidRPr="00E86D06">
        <w:rPr>
          <w:rFonts w:ascii="Times New Roman" w:hAnsi="Times New Roman" w:cs="Times New Roman"/>
          <w:sz w:val="24"/>
          <w:szCs w:val="24"/>
        </w:rPr>
        <w:t>D</w:t>
      </w:r>
      <w:r w:rsidR="0014756D" w:rsidRPr="00E86D06">
        <w:rPr>
          <w:rFonts w:ascii="Times New Roman" w:hAnsi="Times New Roman" w:cs="Times New Roman"/>
          <w:sz w:val="24"/>
          <w:szCs w:val="24"/>
        </w:rPr>
        <w:t xml:space="preserve">isaster </w:t>
      </w:r>
      <w:r w:rsidR="00B75590" w:rsidRPr="00E86D06">
        <w:rPr>
          <w:rFonts w:ascii="Times New Roman" w:hAnsi="Times New Roman" w:cs="Times New Roman"/>
          <w:sz w:val="24"/>
          <w:szCs w:val="24"/>
        </w:rPr>
        <w:t>G</w:t>
      </w:r>
      <w:r w:rsidR="0014756D" w:rsidRPr="00E86D06">
        <w:rPr>
          <w:rFonts w:ascii="Times New Roman" w:hAnsi="Times New Roman" w:cs="Times New Roman"/>
          <w:sz w:val="24"/>
          <w:szCs w:val="24"/>
        </w:rPr>
        <w:t>rant have already been exhausted, and vice versa.</w:t>
      </w:r>
      <w:r w:rsidR="0014756D" w:rsidRPr="00E86D06">
        <w:rPr>
          <w:rStyle w:val="FootnoteReference"/>
          <w:rFonts w:ascii="Times New Roman" w:hAnsi="Times New Roman" w:cs="Times New Roman"/>
          <w:sz w:val="24"/>
          <w:szCs w:val="24"/>
        </w:rPr>
        <w:footnoteReference w:id="7"/>
      </w:r>
      <w:r w:rsidR="00F81CA5" w:rsidRPr="00E86D06">
        <w:rPr>
          <w:rFonts w:ascii="Times New Roman" w:hAnsi="Times New Roman" w:cs="Times New Roman"/>
          <w:sz w:val="24"/>
          <w:szCs w:val="24"/>
        </w:rPr>
        <w:t xml:space="preserve"> The </w:t>
      </w:r>
      <w:r w:rsidR="00B75590" w:rsidRPr="00E86D06">
        <w:rPr>
          <w:rFonts w:ascii="Times New Roman" w:hAnsi="Times New Roman" w:cs="Times New Roman"/>
          <w:sz w:val="24"/>
          <w:szCs w:val="24"/>
        </w:rPr>
        <w:t>P</w:t>
      </w:r>
      <w:r w:rsidR="00F81CA5" w:rsidRPr="00E86D06">
        <w:rPr>
          <w:rFonts w:ascii="Times New Roman" w:hAnsi="Times New Roman" w:cs="Times New Roman"/>
          <w:sz w:val="24"/>
          <w:szCs w:val="24"/>
        </w:rPr>
        <w:t xml:space="preserve">rovincial </w:t>
      </w:r>
      <w:r w:rsidR="00B75590" w:rsidRPr="00E86D06">
        <w:rPr>
          <w:rFonts w:ascii="Times New Roman" w:hAnsi="Times New Roman" w:cs="Times New Roman"/>
          <w:sz w:val="24"/>
          <w:szCs w:val="24"/>
        </w:rPr>
        <w:t>D</w:t>
      </w:r>
      <w:r w:rsidR="00F81CA5" w:rsidRPr="00E86D06">
        <w:rPr>
          <w:rFonts w:ascii="Times New Roman" w:hAnsi="Times New Roman" w:cs="Times New Roman"/>
          <w:sz w:val="24"/>
          <w:szCs w:val="24"/>
        </w:rPr>
        <w:t xml:space="preserve">isaster </w:t>
      </w:r>
      <w:r w:rsidR="00B75590" w:rsidRPr="00E86D06">
        <w:rPr>
          <w:rFonts w:ascii="Times New Roman" w:hAnsi="Times New Roman" w:cs="Times New Roman"/>
          <w:sz w:val="24"/>
          <w:szCs w:val="24"/>
        </w:rPr>
        <w:t>G</w:t>
      </w:r>
      <w:r w:rsidR="00F81CA5" w:rsidRPr="00E86D06">
        <w:rPr>
          <w:rFonts w:ascii="Times New Roman" w:hAnsi="Times New Roman" w:cs="Times New Roman"/>
          <w:sz w:val="24"/>
          <w:szCs w:val="24"/>
        </w:rPr>
        <w:t>rant was used up in the implementation of mitigation strategies against the ongoing drought.</w:t>
      </w:r>
    </w:p>
    <w:p w:rsidR="006701EE" w:rsidRPr="00E86D06" w:rsidRDefault="004C7A39"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 xml:space="preserve">Despite the overall decrease in Programme allocation, spending on </w:t>
      </w:r>
      <w:r w:rsidR="00B75590" w:rsidRPr="00E86D06">
        <w:rPr>
          <w:rFonts w:ascii="Times New Roman" w:hAnsi="Times New Roman" w:cs="Times New Roman"/>
          <w:sz w:val="24"/>
          <w:szCs w:val="24"/>
        </w:rPr>
        <w:t>D</w:t>
      </w:r>
      <w:r w:rsidRPr="00E86D06">
        <w:rPr>
          <w:rFonts w:ascii="Times New Roman" w:hAnsi="Times New Roman" w:cs="Times New Roman"/>
          <w:sz w:val="24"/>
          <w:szCs w:val="24"/>
        </w:rPr>
        <w:t xml:space="preserve">isaster </w:t>
      </w:r>
      <w:r w:rsidR="00B75590" w:rsidRPr="00E86D06">
        <w:rPr>
          <w:rFonts w:ascii="Times New Roman" w:hAnsi="Times New Roman" w:cs="Times New Roman"/>
          <w:sz w:val="24"/>
          <w:szCs w:val="24"/>
        </w:rPr>
        <w:t>R</w:t>
      </w:r>
      <w:r w:rsidRPr="00E86D06">
        <w:rPr>
          <w:rFonts w:ascii="Times New Roman" w:hAnsi="Times New Roman" w:cs="Times New Roman"/>
          <w:sz w:val="24"/>
          <w:szCs w:val="24"/>
        </w:rPr>
        <w:t xml:space="preserve">isk </w:t>
      </w:r>
      <w:r w:rsidR="00B75590" w:rsidRPr="00E86D06">
        <w:rPr>
          <w:rFonts w:ascii="Times New Roman" w:hAnsi="Times New Roman" w:cs="Times New Roman"/>
          <w:sz w:val="24"/>
          <w:szCs w:val="24"/>
        </w:rPr>
        <w:t>R</w:t>
      </w:r>
      <w:r w:rsidRPr="00E86D06">
        <w:rPr>
          <w:rFonts w:ascii="Times New Roman" w:hAnsi="Times New Roman" w:cs="Times New Roman"/>
          <w:sz w:val="24"/>
          <w:szCs w:val="24"/>
        </w:rPr>
        <w:t xml:space="preserve">eduction, </w:t>
      </w:r>
      <w:r w:rsidR="00B75590" w:rsidRPr="00E86D06">
        <w:rPr>
          <w:rFonts w:ascii="Times New Roman" w:hAnsi="Times New Roman" w:cs="Times New Roman"/>
          <w:sz w:val="24"/>
          <w:szCs w:val="24"/>
        </w:rPr>
        <w:t>C</w:t>
      </w:r>
      <w:r w:rsidRPr="00E86D06">
        <w:rPr>
          <w:rFonts w:ascii="Times New Roman" w:hAnsi="Times New Roman" w:cs="Times New Roman"/>
          <w:sz w:val="24"/>
          <w:szCs w:val="24"/>
        </w:rPr>
        <w:t xml:space="preserve">apacity </w:t>
      </w:r>
      <w:r w:rsidR="00B75590" w:rsidRPr="00E86D06">
        <w:rPr>
          <w:rFonts w:ascii="Times New Roman" w:hAnsi="Times New Roman" w:cs="Times New Roman"/>
          <w:sz w:val="24"/>
          <w:szCs w:val="24"/>
        </w:rPr>
        <w:t>B</w:t>
      </w:r>
      <w:r w:rsidRPr="00E86D06">
        <w:rPr>
          <w:rFonts w:ascii="Times New Roman" w:hAnsi="Times New Roman" w:cs="Times New Roman"/>
          <w:sz w:val="24"/>
          <w:szCs w:val="24"/>
        </w:rPr>
        <w:t xml:space="preserve">uilding and </w:t>
      </w:r>
      <w:r w:rsidR="00B75590" w:rsidRPr="00E86D06">
        <w:rPr>
          <w:rFonts w:ascii="Times New Roman" w:hAnsi="Times New Roman" w:cs="Times New Roman"/>
          <w:sz w:val="24"/>
          <w:szCs w:val="24"/>
        </w:rPr>
        <w:t>I</w:t>
      </w:r>
      <w:r w:rsidRPr="00E86D06">
        <w:rPr>
          <w:rFonts w:ascii="Times New Roman" w:hAnsi="Times New Roman" w:cs="Times New Roman"/>
          <w:sz w:val="24"/>
          <w:szCs w:val="24"/>
        </w:rPr>
        <w:t>ntervention (sub-programme 2) is expec</w:t>
      </w:r>
      <w:r w:rsidR="009638BA" w:rsidRPr="00E86D06">
        <w:rPr>
          <w:rFonts w:ascii="Times New Roman" w:hAnsi="Times New Roman" w:cs="Times New Roman"/>
          <w:sz w:val="24"/>
          <w:szCs w:val="24"/>
        </w:rPr>
        <w:t>ted to increase by 79,2</w:t>
      </w:r>
      <w:r w:rsidR="00B75590" w:rsidRPr="00E86D06">
        <w:rPr>
          <w:rFonts w:ascii="Times New Roman" w:hAnsi="Times New Roman" w:cs="Times New Roman"/>
          <w:sz w:val="24"/>
          <w:szCs w:val="24"/>
        </w:rPr>
        <w:t>%</w:t>
      </w:r>
      <w:r w:rsidR="009638BA" w:rsidRPr="00E86D06">
        <w:rPr>
          <w:rFonts w:ascii="Times New Roman" w:hAnsi="Times New Roman" w:cs="Times New Roman"/>
          <w:sz w:val="24"/>
          <w:szCs w:val="24"/>
        </w:rPr>
        <w:t>, from R28 million in 2016/17 to R53,4 million in 2017/18.</w:t>
      </w:r>
      <w:r w:rsidR="0071328E" w:rsidRPr="00E86D06">
        <w:rPr>
          <w:rFonts w:ascii="Times New Roman" w:hAnsi="Times New Roman" w:cs="Times New Roman"/>
          <w:sz w:val="24"/>
          <w:szCs w:val="24"/>
        </w:rPr>
        <w:t xml:space="preserve"> This is the second largest expenditure item on this Programme</w:t>
      </w:r>
      <w:r w:rsidR="00B75590" w:rsidRPr="00E86D06">
        <w:rPr>
          <w:rFonts w:ascii="Times New Roman" w:hAnsi="Times New Roman" w:cs="Times New Roman"/>
          <w:sz w:val="24"/>
          <w:szCs w:val="24"/>
        </w:rPr>
        <w:t>,</w:t>
      </w:r>
      <w:r w:rsidR="0071328E" w:rsidRPr="00E86D06">
        <w:rPr>
          <w:rFonts w:ascii="Times New Roman" w:hAnsi="Times New Roman" w:cs="Times New Roman"/>
          <w:sz w:val="24"/>
          <w:szCs w:val="24"/>
        </w:rPr>
        <w:t xml:space="preserve"> after</w:t>
      </w:r>
      <w:r w:rsidR="00CD1B9C" w:rsidRPr="00E86D06">
        <w:rPr>
          <w:rFonts w:ascii="Times New Roman" w:hAnsi="Times New Roman" w:cs="Times New Roman"/>
          <w:sz w:val="24"/>
          <w:szCs w:val="24"/>
        </w:rPr>
        <w:t xml:space="preserve"> the Disaster Relief Grant (</w:t>
      </w:r>
      <w:r w:rsidR="0071328E" w:rsidRPr="00E86D06">
        <w:rPr>
          <w:rFonts w:ascii="Times New Roman" w:hAnsi="Times New Roman" w:cs="Times New Roman"/>
          <w:sz w:val="24"/>
          <w:szCs w:val="24"/>
        </w:rPr>
        <w:t>sub-programme 7</w:t>
      </w:r>
      <w:r w:rsidR="00CD1B9C" w:rsidRPr="00E86D06">
        <w:rPr>
          <w:rFonts w:ascii="Times New Roman" w:hAnsi="Times New Roman" w:cs="Times New Roman"/>
          <w:sz w:val="24"/>
          <w:szCs w:val="24"/>
        </w:rPr>
        <w:t>).</w:t>
      </w:r>
    </w:p>
    <w:p w:rsidR="00492209" w:rsidRPr="00E86D06" w:rsidRDefault="00492209" w:rsidP="00E86D06">
      <w:pPr>
        <w:spacing w:before="120" w:after="120" w:line="240" w:lineRule="auto"/>
        <w:rPr>
          <w:rFonts w:ascii="Times New Roman" w:hAnsi="Times New Roman" w:cs="Times New Roman"/>
          <w:sz w:val="24"/>
          <w:szCs w:val="24"/>
        </w:rPr>
      </w:pPr>
    </w:p>
    <w:p w:rsidR="006701EE" w:rsidRPr="00E86D06" w:rsidRDefault="005E47AE"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w:t>
      </w:r>
      <w:r w:rsidR="001A7923" w:rsidRPr="00E86D06">
        <w:rPr>
          <w:rFonts w:ascii="Times New Roman" w:hAnsi="Times New Roman" w:cs="Times New Roman"/>
          <w:sz w:val="24"/>
          <w:szCs w:val="24"/>
        </w:rPr>
        <w:t xml:space="preserve"> 5:</w:t>
      </w:r>
      <w:r w:rsidRPr="00E86D06">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937"/>
        <w:gridCol w:w="850"/>
        <w:gridCol w:w="851"/>
        <w:gridCol w:w="850"/>
        <w:gridCol w:w="1134"/>
        <w:gridCol w:w="851"/>
        <w:gridCol w:w="992"/>
        <w:gridCol w:w="992"/>
      </w:tblGrid>
      <w:tr w:rsidR="005E47AE" w:rsidRPr="00E86D06" w:rsidTr="00D569D5">
        <w:trPr>
          <w:trHeight w:val="780"/>
          <w:tblHeader/>
        </w:trPr>
        <w:tc>
          <w:tcPr>
            <w:tcW w:w="1185" w:type="dxa"/>
            <w:shd w:val="clear" w:color="auto" w:fill="D9D9D9" w:themeFill="background1" w:themeFillShade="D9"/>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3488" w:type="dxa"/>
            <w:gridSpan w:val="4"/>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1134"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851"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992"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992" w:type="dxa"/>
            <w:shd w:val="clear" w:color="auto" w:fill="D9D9D9" w:themeFill="background1" w:themeFillShade="D9"/>
            <w:vAlign w:val="center"/>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795C24" w:rsidRPr="00E86D06" w:rsidTr="00D569D5">
        <w:trPr>
          <w:trHeight w:val="255"/>
        </w:trPr>
        <w:tc>
          <w:tcPr>
            <w:tcW w:w="1185"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937"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850"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851"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850" w:type="dxa"/>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985" w:type="dxa"/>
            <w:gridSpan w:val="2"/>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984" w:type="dxa"/>
            <w:gridSpan w:val="2"/>
            <w:shd w:val="clear" w:color="auto" w:fill="auto"/>
            <w:noWrap/>
            <w:vAlign w:val="bottom"/>
            <w:hideMark/>
          </w:tcPr>
          <w:p w:rsidR="00795C24" w:rsidRPr="00E86D06" w:rsidRDefault="00795C2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5E47AE" w:rsidRPr="00E86D06" w:rsidTr="00D569D5">
        <w:trPr>
          <w:trHeight w:val="255"/>
        </w:trPr>
        <w:tc>
          <w:tcPr>
            <w:tcW w:w="1185" w:type="dxa"/>
            <w:shd w:val="clear" w:color="auto" w:fill="auto"/>
            <w:vAlign w:val="bottom"/>
            <w:hideMark/>
          </w:tcPr>
          <w:p w:rsidR="00795C24" w:rsidRPr="00E86D06" w:rsidRDefault="00982CB0"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rogramme 1:</w:t>
            </w:r>
            <w:r w:rsidRPr="00E86D06">
              <w:rPr>
                <w:rFonts w:ascii="Times New Roman" w:eastAsia="Times New Roman" w:hAnsi="Times New Roman" w:cs="Times New Roman"/>
                <w:sz w:val="24"/>
                <w:szCs w:val="24"/>
                <w:lang w:eastAsia="en-ZA"/>
              </w:rPr>
              <w:t xml:space="preserve"> Management: Head of Disaster</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3,6</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3,8</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4,1</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0,5</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0,3</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15,42</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8,58</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31068F"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795C24" w:rsidRPr="00E86D06">
              <w:rPr>
                <w:rFonts w:ascii="Times New Roman" w:eastAsia="Times New Roman" w:hAnsi="Times New Roman" w:cs="Times New Roman"/>
                <w:sz w:val="24"/>
                <w:szCs w:val="24"/>
                <w:lang w:eastAsia="en-ZA"/>
              </w:rPr>
              <w:t>rogramme 2:</w:t>
            </w:r>
            <w:r w:rsidRPr="00E86D06">
              <w:rPr>
                <w:rFonts w:ascii="Times New Roman" w:eastAsia="Times New Roman" w:hAnsi="Times New Roman" w:cs="Times New Roman"/>
                <w:sz w:val="24"/>
                <w:szCs w:val="24"/>
                <w:lang w:eastAsia="en-ZA"/>
              </w:rPr>
              <w:t xml:space="preserve"> Disaster Risk Reduction, Capacity Building and Intervention</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28,0</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53,4</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53,9</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56,9</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25,4</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22,2</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90,57</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79,27</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3: </w:t>
            </w:r>
            <w:r w:rsidR="00F53A06" w:rsidRPr="00E86D06">
              <w:rPr>
                <w:rFonts w:ascii="Times New Roman" w:eastAsia="Times New Roman" w:hAnsi="Times New Roman" w:cs="Times New Roman"/>
                <w:sz w:val="24"/>
                <w:szCs w:val="24"/>
                <w:lang w:eastAsia="en-ZA"/>
              </w:rPr>
              <w:t>Legislation and Policy Management</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5,1</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6,1</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6,4</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6,8</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1,0</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0,6</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18,79</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11,75</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4: </w:t>
            </w:r>
            <w:r w:rsidR="009D2F1E" w:rsidRPr="00E86D06">
              <w:rPr>
                <w:rFonts w:ascii="Times New Roman" w:eastAsia="Times New Roman" w:hAnsi="Times New Roman" w:cs="Times New Roman"/>
                <w:sz w:val="24"/>
                <w:szCs w:val="24"/>
                <w:lang w:eastAsia="en-ZA"/>
              </w:rPr>
              <w:t xml:space="preserve">Integrated Provincial Disaster </w:t>
            </w:r>
            <w:r w:rsidR="009D2F1E" w:rsidRPr="00E86D06">
              <w:rPr>
                <w:rFonts w:ascii="Times New Roman" w:eastAsia="Times New Roman" w:hAnsi="Times New Roman" w:cs="Times New Roman"/>
                <w:sz w:val="24"/>
                <w:szCs w:val="24"/>
                <w:lang w:eastAsia="en-ZA"/>
              </w:rPr>
              <w:lastRenderedPageBreak/>
              <w:t>Management Support, Monitoring and Evaluation Systems</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3,7</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4,3</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4,5</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4,8</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0,6</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0,4</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16,88</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9,95</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 xml:space="preserve">Programme 5: </w:t>
            </w:r>
            <w:r w:rsidR="000C0B7D" w:rsidRPr="00E86D06">
              <w:rPr>
                <w:rFonts w:ascii="Times New Roman" w:eastAsia="Times New Roman" w:hAnsi="Times New Roman" w:cs="Times New Roman"/>
                <w:sz w:val="24"/>
                <w:szCs w:val="24"/>
                <w:lang w:eastAsia="en-ZA"/>
              </w:rPr>
              <w:t>Fire Services</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3,1</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0,2</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5,88</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-0,40</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Programme 6: </w:t>
            </w:r>
            <w:r w:rsidR="00CD1B9C" w:rsidRPr="00E86D06">
              <w:rPr>
                <w:rFonts w:ascii="Times New Roman" w:eastAsia="Times New Roman" w:hAnsi="Times New Roman" w:cs="Times New Roman"/>
                <w:sz w:val="24"/>
                <w:szCs w:val="24"/>
                <w:lang w:eastAsia="en-ZA"/>
              </w:rPr>
              <w:t>Information Technology, Intelligence and Information Management Systems</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24,4</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27,6</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27,0</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28,7</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3,2</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1,5</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12,93</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6,24</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7:</w:t>
            </w:r>
            <w:r w:rsidR="00CD1B9C" w:rsidRPr="00E86D06">
              <w:rPr>
                <w:rFonts w:ascii="Times New Roman" w:eastAsia="Times New Roman" w:hAnsi="Times New Roman" w:cs="Times New Roman"/>
                <w:sz w:val="24"/>
                <w:szCs w:val="24"/>
                <w:lang w:eastAsia="en-ZA"/>
              </w:rPr>
              <w:t xml:space="preserve"> Disaster Relief Grant</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381,5</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423,7</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501,2</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473,4</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42,2</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17,1</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11,07</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4,49</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8:</w:t>
            </w:r>
            <w:r w:rsidR="00577B5F" w:rsidRPr="00E86D06">
              <w:rPr>
                <w:rFonts w:ascii="Times New Roman" w:eastAsia="Times New Roman" w:hAnsi="Times New Roman" w:cs="Times New Roman"/>
                <w:sz w:val="24"/>
                <w:szCs w:val="24"/>
                <w:lang w:eastAsia="en-ZA"/>
              </w:rPr>
              <w:t xml:space="preserve"> Municipal Disaster Recovery Grant</w:t>
            </w:r>
          </w:p>
        </w:tc>
        <w:tc>
          <w:tcPr>
            <w:tcW w:w="937"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140,0</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850"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 </w:t>
            </w:r>
          </w:p>
        </w:tc>
        <w:tc>
          <w:tcPr>
            <w:tcW w:w="1134"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140,0</w:t>
            </w:r>
          </w:p>
        </w:tc>
        <w:tc>
          <w:tcPr>
            <w:tcW w:w="851"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140,0</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-100,00</w:t>
            </w:r>
            <w:r w:rsidR="00B75590" w:rsidRPr="00E86D06">
              <w:rPr>
                <w:rFonts w:ascii="Times New Roman" w:eastAsia="Times New Roman" w:hAnsi="Times New Roman" w:cs="Times New Roman"/>
                <w:sz w:val="24"/>
                <w:szCs w:val="24"/>
                <w:lang w:eastAsia="en-ZA"/>
              </w:rPr>
              <w:t>%</w:t>
            </w:r>
          </w:p>
        </w:tc>
        <w:tc>
          <w:tcPr>
            <w:tcW w:w="992" w:type="dxa"/>
            <w:shd w:val="clear" w:color="auto" w:fill="auto"/>
            <w:noWrap/>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-100,00</w:t>
            </w:r>
            <w:r w:rsidR="00B75590" w:rsidRPr="00E86D06">
              <w:rPr>
                <w:rFonts w:ascii="Times New Roman" w:eastAsia="Times New Roman" w:hAnsi="Times New Roman" w:cs="Times New Roman"/>
                <w:sz w:val="24"/>
                <w:szCs w:val="24"/>
                <w:lang w:eastAsia="en-ZA"/>
              </w:rPr>
              <w:t>%</w:t>
            </w:r>
          </w:p>
        </w:tc>
      </w:tr>
      <w:tr w:rsidR="005E47AE" w:rsidRPr="00E86D06" w:rsidTr="00D569D5">
        <w:trPr>
          <w:trHeight w:val="255"/>
        </w:trPr>
        <w:tc>
          <w:tcPr>
            <w:tcW w:w="1185"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sz w:val="24"/>
                <w:szCs w:val="24"/>
                <w:lang w:eastAsia="en-ZA"/>
              </w:rPr>
            </w:pPr>
          </w:p>
        </w:tc>
        <w:tc>
          <w:tcPr>
            <w:tcW w:w="937"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850"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851"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850"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1134"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851"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992"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c>
          <w:tcPr>
            <w:tcW w:w="992"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sz w:val="24"/>
                <w:szCs w:val="24"/>
                <w:lang w:eastAsia="en-ZA"/>
              </w:rPr>
            </w:pPr>
          </w:p>
        </w:tc>
      </w:tr>
      <w:tr w:rsidR="005E47AE" w:rsidRPr="00E86D06" w:rsidTr="00D569D5">
        <w:trPr>
          <w:trHeight w:val="270"/>
        </w:trPr>
        <w:tc>
          <w:tcPr>
            <w:tcW w:w="1185" w:type="dxa"/>
            <w:shd w:val="clear" w:color="auto" w:fill="auto"/>
            <w:noWrap/>
            <w:vAlign w:val="bottom"/>
            <w:hideMark/>
          </w:tcPr>
          <w:p w:rsidR="00795C24" w:rsidRPr="00E86D06" w:rsidRDefault="00795C2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937"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588,9</w:t>
            </w:r>
          </w:p>
        </w:tc>
        <w:tc>
          <w:tcPr>
            <w:tcW w:w="850"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521,9</w:t>
            </w:r>
          </w:p>
        </w:tc>
        <w:tc>
          <w:tcPr>
            <w:tcW w:w="851"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600,2</w:t>
            </w:r>
          </w:p>
        </w:tc>
        <w:tc>
          <w:tcPr>
            <w:tcW w:w="850"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578,4</w:t>
            </w:r>
          </w:p>
        </w:tc>
        <w:tc>
          <w:tcPr>
            <w:tcW w:w="1134"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67,0</w:t>
            </w:r>
          </w:p>
        </w:tc>
        <w:tc>
          <w:tcPr>
            <w:tcW w:w="851"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97,9</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-11,37</w:t>
            </w:r>
            <w:r w:rsidR="00B75590" w:rsidRPr="00E86D06">
              <w:rPr>
                <w:rFonts w:ascii="Times New Roman" w:eastAsia="Times New Roman" w:hAnsi="Times New Roman" w:cs="Times New Roman"/>
                <w:b/>
                <w:bCs/>
                <w:sz w:val="24"/>
                <w:szCs w:val="24"/>
                <w:lang w:eastAsia="en-ZA"/>
              </w:rPr>
              <w:t>%</w:t>
            </w:r>
          </w:p>
        </w:tc>
        <w:tc>
          <w:tcPr>
            <w:tcW w:w="992" w:type="dxa"/>
            <w:shd w:val="clear" w:color="auto" w:fill="auto"/>
            <w:noWrap/>
            <w:vAlign w:val="bottom"/>
            <w:hideMark/>
          </w:tcPr>
          <w:p w:rsidR="00795C24" w:rsidRPr="00E86D06" w:rsidRDefault="00795C2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-16,63</w:t>
            </w:r>
            <w:r w:rsidR="005E47AE" w:rsidRPr="00E86D06">
              <w:rPr>
                <w:rFonts w:ascii="Times New Roman" w:eastAsia="Times New Roman" w:hAnsi="Times New Roman" w:cs="Times New Roman"/>
                <w:b/>
                <w:bCs/>
                <w:sz w:val="24"/>
                <w:szCs w:val="24"/>
                <w:lang w:eastAsia="en-ZA"/>
              </w:rPr>
              <w:t>%</w:t>
            </w:r>
          </w:p>
        </w:tc>
      </w:tr>
    </w:tbl>
    <w:p w:rsidR="00767507" w:rsidRPr="00E86D06" w:rsidRDefault="00841ECE"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 xml:space="preserve">Graph </w:t>
      </w:r>
      <w:r w:rsidR="00107657" w:rsidRPr="00E86D06">
        <w:rPr>
          <w:rFonts w:ascii="Times New Roman" w:hAnsi="Times New Roman" w:cs="Times New Roman"/>
          <w:sz w:val="24"/>
          <w:szCs w:val="24"/>
        </w:rPr>
        <w:t xml:space="preserve">5 </w:t>
      </w:r>
      <w:r w:rsidRPr="00E86D06">
        <w:rPr>
          <w:rFonts w:ascii="Times New Roman" w:hAnsi="Times New Roman" w:cs="Times New Roman"/>
          <w:sz w:val="24"/>
          <w:szCs w:val="24"/>
        </w:rPr>
        <w:t>below illustrates that the bulk of the expenditure in this Programme is concentrated on</w:t>
      </w:r>
      <w:r w:rsidR="00CD1B9C" w:rsidRPr="00E86D06">
        <w:rPr>
          <w:rFonts w:ascii="Times New Roman" w:hAnsi="Times New Roman" w:cs="Times New Roman"/>
          <w:sz w:val="24"/>
          <w:szCs w:val="24"/>
        </w:rPr>
        <w:t xml:space="preserve"> the Disaster Relief Grant</w:t>
      </w:r>
      <w:r w:rsidRPr="00E86D06">
        <w:rPr>
          <w:rFonts w:ascii="Times New Roman" w:hAnsi="Times New Roman" w:cs="Times New Roman"/>
          <w:sz w:val="24"/>
          <w:szCs w:val="24"/>
        </w:rPr>
        <w:t xml:space="preserve"> </w:t>
      </w:r>
      <w:r w:rsidR="00CD1B9C" w:rsidRPr="00E86D06">
        <w:rPr>
          <w:rFonts w:ascii="Times New Roman" w:hAnsi="Times New Roman" w:cs="Times New Roman"/>
          <w:sz w:val="24"/>
          <w:szCs w:val="24"/>
        </w:rPr>
        <w:t>(</w:t>
      </w:r>
      <w:r w:rsidRPr="00E86D06">
        <w:rPr>
          <w:rFonts w:ascii="Times New Roman" w:hAnsi="Times New Roman" w:cs="Times New Roman"/>
          <w:sz w:val="24"/>
          <w:szCs w:val="24"/>
        </w:rPr>
        <w:t>sub-programme 7</w:t>
      </w:r>
      <w:r w:rsidR="00CD1B9C" w:rsidRPr="00E86D06">
        <w:rPr>
          <w:rFonts w:ascii="Times New Roman" w:hAnsi="Times New Roman" w:cs="Times New Roman"/>
          <w:sz w:val="24"/>
          <w:szCs w:val="24"/>
        </w:rPr>
        <w:t>)</w:t>
      </w:r>
      <w:r w:rsidR="009644FD" w:rsidRPr="00E86D06">
        <w:rPr>
          <w:rFonts w:ascii="Times New Roman" w:hAnsi="Times New Roman" w:cs="Times New Roman"/>
          <w:sz w:val="24"/>
          <w:szCs w:val="24"/>
        </w:rPr>
        <w:t>, whose allocation increases by 4,4</w:t>
      </w:r>
      <w:r w:rsidR="00107657" w:rsidRPr="00E86D06">
        <w:rPr>
          <w:rFonts w:ascii="Times New Roman" w:hAnsi="Times New Roman" w:cs="Times New Roman"/>
          <w:sz w:val="24"/>
          <w:szCs w:val="24"/>
        </w:rPr>
        <w:t>%</w:t>
      </w:r>
      <w:r w:rsidR="009644FD" w:rsidRPr="00E86D06">
        <w:rPr>
          <w:rFonts w:ascii="Times New Roman" w:hAnsi="Times New Roman" w:cs="Times New Roman"/>
          <w:sz w:val="24"/>
          <w:szCs w:val="24"/>
        </w:rPr>
        <w:t xml:space="preserve"> in real terms – from R381,5 million in 2016/17 to R423,7 million in 2017/18.</w:t>
      </w:r>
      <w:r w:rsidR="00DB2C58" w:rsidRPr="00E86D06">
        <w:rPr>
          <w:rFonts w:ascii="Times New Roman" w:hAnsi="Times New Roman" w:cs="Times New Roman"/>
          <w:sz w:val="24"/>
          <w:szCs w:val="24"/>
        </w:rPr>
        <w:t xml:space="preserve"> This is followed by </w:t>
      </w:r>
      <w:r w:rsidR="0058277E" w:rsidRPr="00E86D06">
        <w:rPr>
          <w:rFonts w:ascii="Times New Roman" w:hAnsi="Times New Roman" w:cs="Times New Roman"/>
          <w:sz w:val="24"/>
          <w:szCs w:val="24"/>
        </w:rPr>
        <w:t>sub-programme 2, as previously highlighted.</w:t>
      </w: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10765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Graph 5:</w:t>
      </w:r>
    </w:p>
    <w:p w:rsidR="00C4127D" w:rsidRPr="00E86D06" w:rsidRDefault="0010765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6432" behindDoc="1" locked="0" layoutInCell="1" allowOverlap="1" wp14:anchorId="1B35DAC2" wp14:editId="7C160C71">
            <wp:simplePos x="0" y="0"/>
            <wp:positionH relativeFrom="margin">
              <wp:align>right</wp:align>
            </wp:positionH>
            <wp:positionV relativeFrom="paragraph">
              <wp:posOffset>31115</wp:posOffset>
            </wp:positionV>
            <wp:extent cx="5731510" cy="3382645"/>
            <wp:effectExtent l="0" t="0" r="2540" b="825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C4127D" w:rsidRPr="00E86D06" w:rsidRDefault="00C4127D" w:rsidP="00E86D06">
      <w:pPr>
        <w:spacing w:before="120" w:after="120" w:line="240" w:lineRule="auto"/>
        <w:rPr>
          <w:rFonts w:ascii="Times New Roman" w:hAnsi="Times New Roman" w:cs="Times New Roman"/>
          <w:sz w:val="24"/>
          <w:szCs w:val="24"/>
        </w:rPr>
      </w:pPr>
    </w:p>
    <w:p w:rsidR="00A601C5" w:rsidRPr="00E86D06" w:rsidRDefault="00A601C5" w:rsidP="00E86D06">
      <w:pPr>
        <w:spacing w:before="120" w:after="120" w:line="240" w:lineRule="auto"/>
        <w:rPr>
          <w:rFonts w:ascii="Times New Roman" w:hAnsi="Times New Roman" w:cs="Times New Roman"/>
          <w:sz w:val="24"/>
          <w:szCs w:val="24"/>
        </w:rPr>
      </w:pPr>
    </w:p>
    <w:p w:rsidR="00767507" w:rsidRPr="00E86D06" w:rsidRDefault="00767507" w:rsidP="00E86D06">
      <w:pPr>
        <w:spacing w:before="120" w:after="120" w:line="240" w:lineRule="auto"/>
        <w:rPr>
          <w:rFonts w:ascii="Times New Roman" w:hAnsi="Times New Roman" w:cs="Times New Roman"/>
          <w:sz w:val="24"/>
          <w:szCs w:val="24"/>
        </w:rPr>
      </w:pPr>
    </w:p>
    <w:p w:rsidR="00767507" w:rsidRPr="00E86D06" w:rsidRDefault="00767507" w:rsidP="00E86D06">
      <w:pPr>
        <w:spacing w:before="120" w:after="120" w:line="240" w:lineRule="auto"/>
        <w:rPr>
          <w:rFonts w:ascii="Times New Roman" w:hAnsi="Times New Roman" w:cs="Times New Roman"/>
          <w:sz w:val="24"/>
          <w:szCs w:val="24"/>
        </w:rPr>
      </w:pPr>
    </w:p>
    <w:p w:rsidR="00767507" w:rsidRPr="00E86D06" w:rsidRDefault="00767507" w:rsidP="00E86D06">
      <w:pPr>
        <w:spacing w:before="120" w:after="120" w:line="240" w:lineRule="auto"/>
        <w:rPr>
          <w:rFonts w:ascii="Times New Roman" w:hAnsi="Times New Roman" w:cs="Times New Roman"/>
          <w:sz w:val="24"/>
          <w:szCs w:val="24"/>
        </w:rPr>
      </w:pPr>
    </w:p>
    <w:p w:rsidR="00767507" w:rsidRPr="00E86D06" w:rsidRDefault="00BA4D84"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9" w:name="_Toc477175320"/>
      <w:r w:rsidRPr="00E86D06">
        <w:rPr>
          <w:rFonts w:ascii="Times New Roman" w:hAnsi="Times New Roman" w:cs="Times New Roman"/>
          <w:color w:val="auto"/>
          <w:sz w:val="24"/>
          <w:szCs w:val="24"/>
        </w:rPr>
        <w:t>Programme 5: Local Government Support and Intervention Management</w:t>
      </w:r>
      <w:bookmarkEnd w:id="9"/>
      <w:r w:rsidRPr="00E86D06">
        <w:rPr>
          <w:rFonts w:ascii="Times New Roman" w:hAnsi="Times New Roman" w:cs="Times New Roman"/>
          <w:color w:val="auto"/>
          <w:sz w:val="24"/>
          <w:szCs w:val="24"/>
        </w:rPr>
        <w:t xml:space="preserve"> </w:t>
      </w:r>
    </w:p>
    <w:p w:rsidR="00BA4D84" w:rsidRPr="00E86D06" w:rsidRDefault="00BA4D84" w:rsidP="00E86D06">
      <w:pPr>
        <w:spacing w:before="120" w:after="120" w:line="240" w:lineRule="auto"/>
        <w:rPr>
          <w:rFonts w:ascii="Times New Roman" w:hAnsi="Times New Roman" w:cs="Times New Roman"/>
          <w:sz w:val="24"/>
          <w:szCs w:val="24"/>
        </w:rPr>
      </w:pPr>
    </w:p>
    <w:p w:rsidR="00E27114" w:rsidRPr="00E86D06" w:rsidRDefault="00E27114"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overall allocation to the Programme decreases by 1.7 percent in real terms, and most of this decrease relates to</w:t>
      </w:r>
      <w:r w:rsidR="00584999" w:rsidRPr="00E86D06">
        <w:rPr>
          <w:rFonts w:ascii="Times New Roman" w:hAnsi="Times New Roman" w:cs="Times New Roman"/>
          <w:sz w:val="24"/>
          <w:szCs w:val="24"/>
        </w:rPr>
        <w:t xml:space="preserve"> Municipal Performance Monitoring</w:t>
      </w:r>
      <w:r w:rsidRPr="00E86D06">
        <w:rPr>
          <w:rFonts w:ascii="Times New Roman" w:hAnsi="Times New Roman" w:cs="Times New Roman"/>
          <w:sz w:val="24"/>
          <w:szCs w:val="24"/>
        </w:rPr>
        <w:t xml:space="preserve"> (sub-programme 2) whose allocation </w:t>
      </w:r>
      <w:r w:rsidR="00C216D2" w:rsidRPr="00E86D06">
        <w:rPr>
          <w:rFonts w:ascii="Times New Roman" w:hAnsi="Times New Roman" w:cs="Times New Roman"/>
          <w:sz w:val="24"/>
          <w:szCs w:val="24"/>
        </w:rPr>
        <w:t xml:space="preserve">decreases </w:t>
      </w:r>
      <w:r w:rsidRPr="00E86D06">
        <w:rPr>
          <w:rFonts w:ascii="Times New Roman" w:hAnsi="Times New Roman" w:cs="Times New Roman"/>
          <w:sz w:val="24"/>
          <w:szCs w:val="24"/>
        </w:rPr>
        <w:t>by almost 100</w:t>
      </w:r>
      <w:r w:rsidR="00107657" w:rsidRPr="00E86D06">
        <w:rPr>
          <w:rFonts w:ascii="Times New Roman" w:hAnsi="Times New Roman" w:cs="Times New Roman"/>
          <w:sz w:val="24"/>
          <w:szCs w:val="24"/>
        </w:rPr>
        <w:t>%</w:t>
      </w:r>
      <w:r w:rsidRPr="00E86D06">
        <w:rPr>
          <w:rFonts w:ascii="Times New Roman" w:hAnsi="Times New Roman" w:cs="Times New Roman"/>
          <w:sz w:val="24"/>
          <w:szCs w:val="24"/>
        </w:rPr>
        <w:t>, from R322.8 million in 2016/17 to R13.4 million in 2017/18.</w:t>
      </w:r>
      <w:r w:rsidR="00492209" w:rsidRPr="00E86D06">
        <w:rPr>
          <w:rFonts w:ascii="Times New Roman" w:hAnsi="Times New Roman" w:cs="Times New Roman"/>
          <w:sz w:val="24"/>
          <w:szCs w:val="24"/>
        </w:rPr>
        <w:t xml:space="preserve"> </w:t>
      </w:r>
    </w:p>
    <w:p w:rsidR="00492209" w:rsidRPr="00E86D06" w:rsidRDefault="00492209" w:rsidP="00E86D06">
      <w:pPr>
        <w:spacing w:before="120" w:after="120" w:line="240" w:lineRule="auto"/>
        <w:rPr>
          <w:rFonts w:ascii="Times New Roman" w:hAnsi="Times New Roman" w:cs="Times New Roman"/>
          <w:sz w:val="24"/>
          <w:szCs w:val="24"/>
        </w:rPr>
      </w:pPr>
    </w:p>
    <w:p w:rsidR="00E27114" w:rsidRPr="00E86D06" w:rsidRDefault="0010765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017"/>
        <w:gridCol w:w="1134"/>
        <w:gridCol w:w="993"/>
        <w:gridCol w:w="992"/>
        <w:gridCol w:w="992"/>
        <w:gridCol w:w="851"/>
        <w:gridCol w:w="992"/>
        <w:gridCol w:w="799"/>
      </w:tblGrid>
      <w:tr w:rsidR="000C0E43" w:rsidRPr="00E86D06" w:rsidTr="00D569D5">
        <w:trPr>
          <w:trHeight w:val="780"/>
          <w:tblHeader/>
        </w:trPr>
        <w:tc>
          <w:tcPr>
            <w:tcW w:w="1246" w:type="dxa"/>
            <w:shd w:val="clear" w:color="auto" w:fill="D9D9D9" w:themeFill="background1" w:themeFillShade="D9"/>
            <w:noWrap/>
            <w:vAlign w:val="bottom"/>
            <w:hideMark/>
          </w:tcPr>
          <w:p w:rsidR="00BA4D84" w:rsidRPr="00E86D06" w:rsidRDefault="00BA4D8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4136" w:type="dxa"/>
            <w:gridSpan w:val="4"/>
            <w:shd w:val="clear" w:color="auto" w:fill="D9D9D9" w:themeFill="background1" w:themeFillShade="D9"/>
            <w:vAlign w:val="center"/>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992" w:type="dxa"/>
            <w:shd w:val="clear" w:color="auto" w:fill="D9D9D9" w:themeFill="background1" w:themeFillShade="D9"/>
            <w:vAlign w:val="center"/>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851" w:type="dxa"/>
            <w:shd w:val="clear" w:color="auto" w:fill="D9D9D9" w:themeFill="background1" w:themeFillShade="D9"/>
            <w:vAlign w:val="center"/>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992" w:type="dxa"/>
            <w:shd w:val="clear" w:color="auto" w:fill="D9D9D9" w:themeFill="background1" w:themeFillShade="D9"/>
            <w:vAlign w:val="center"/>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799" w:type="dxa"/>
            <w:shd w:val="clear" w:color="auto" w:fill="D9D9D9" w:themeFill="background1" w:themeFillShade="D9"/>
            <w:vAlign w:val="center"/>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BA4D84" w:rsidRPr="00E86D06" w:rsidTr="00D569D5">
        <w:trPr>
          <w:trHeight w:val="255"/>
        </w:trPr>
        <w:tc>
          <w:tcPr>
            <w:tcW w:w="1246" w:type="dxa"/>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1017" w:type="dxa"/>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1134" w:type="dxa"/>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993" w:type="dxa"/>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992" w:type="dxa"/>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843" w:type="dxa"/>
            <w:gridSpan w:val="2"/>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791" w:type="dxa"/>
            <w:gridSpan w:val="2"/>
            <w:shd w:val="clear" w:color="auto" w:fill="auto"/>
            <w:noWrap/>
            <w:vAlign w:val="bottom"/>
            <w:hideMark/>
          </w:tcPr>
          <w:p w:rsidR="00BA4D84" w:rsidRPr="00E86D06" w:rsidRDefault="00BA4D8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0C0E43" w:rsidRPr="00E86D06" w:rsidTr="00D569D5">
        <w:trPr>
          <w:trHeight w:val="255"/>
        </w:trPr>
        <w:tc>
          <w:tcPr>
            <w:tcW w:w="1246" w:type="dxa"/>
            <w:shd w:val="clear" w:color="auto" w:fill="auto"/>
            <w:vAlign w:val="bottom"/>
            <w:hideMark/>
          </w:tcPr>
          <w:p w:rsidR="00BA4D84" w:rsidRPr="00E86D06" w:rsidRDefault="009541D8"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BA4D84" w:rsidRPr="00E86D06">
              <w:rPr>
                <w:rFonts w:ascii="Times New Roman" w:eastAsia="Times New Roman" w:hAnsi="Times New Roman" w:cs="Times New Roman"/>
                <w:sz w:val="24"/>
                <w:szCs w:val="24"/>
                <w:lang w:eastAsia="en-ZA"/>
              </w:rPr>
              <w:t>rogramm</w:t>
            </w:r>
            <w:r w:rsidR="00BA4D84" w:rsidRPr="00E86D06">
              <w:rPr>
                <w:rFonts w:ascii="Times New Roman" w:eastAsia="Times New Roman" w:hAnsi="Times New Roman" w:cs="Times New Roman"/>
                <w:sz w:val="24"/>
                <w:szCs w:val="24"/>
                <w:lang w:eastAsia="en-ZA"/>
              </w:rPr>
              <w:lastRenderedPageBreak/>
              <w:t>e 1:</w:t>
            </w:r>
            <w:r w:rsidR="001152B8" w:rsidRPr="00E86D06">
              <w:rPr>
                <w:rFonts w:ascii="Times New Roman" w:eastAsia="Times New Roman" w:hAnsi="Times New Roman" w:cs="Times New Roman"/>
                <w:sz w:val="24"/>
                <w:szCs w:val="24"/>
                <w:lang w:eastAsia="en-ZA"/>
              </w:rPr>
              <w:t xml:space="preserve"> Management: Local Government Support and Interventions</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3,9</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3,3</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0,6</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0,8</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w:t>
            </w:r>
            <w:r w:rsidRPr="00E86D06">
              <w:rPr>
                <w:rFonts w:ascii="Times New Roman" w:eastAsia="Times New Roman" w:hAnsi="Times New Roman" w:cs="Times New Roman"/>
                <w:sz w:val="24"/>
                <w:szCs w:val="24"/>
                <w:lang w:eastAsia="en-ZA"/>
              </w:rPr>
              <w:lastRenderedPageBreak/>
              <w:t>16,36</w:t>
            </w:r>
            <w:r w:rsidR="00107657"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-21,32</w:t>
            </w:r>
            <w:r w:rsidR="00107657" w:rsidRPr="00E86D06">
              <w:rPr>
                <w:rFonts w:ascii="Times New Roman" w:eastAsia="Times New Roman" w:hAnsi="Times New Roman" w:cs="Times New Roman"/>
                <w:sz w:val="24"/>
                <w:szCs w:val="24"/>
                <w:lang w:eastAsia="en-ZA"/>
              </w:rPr>
              <w:lastRenderedPageBreak/>
              <w:t>%</w:t>
            </w:r>
          </w:p>
        </w:tc>
      </w:tr>
      <w:tr w:rsidR="000C0E43" w:rsidRPr="00E86D06" w:rsidTr="00D569D5">
        <w:trPr>
          <w:trHeight w:val="255"/>
        </w:trPr>
        <w:tc>
          <w:tcPr>
            <w:tcW w:w="1246" w:type="dxa"/>
            <w:shd w:val="clear" w:color="auto" w:fill="auto"/>
            <w:vAlign w:val="bottom"/>
            <w:hideMark/>
          </w:tcPr>
          <w:p w:rsidR="00BA4D84" w:rsidRPr="00E86D06" w:rsidRDefault="009541D8"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Sub-p</w:t>
            </w:r>
            <w:r w:rsidR="00BA4D84" w:rsidRPr="00E86D06">
              <w:rPr>
                <w:rFonts w:ascii="Times New Roman" w:eastAsia="Times New Roman" w:hAnsi="Times New Roman" w:cs="Times New Roman"/>
                <w:sz w:val="24"/>
                <w:szCs w:val="24"/>
                <w:lang w:eastAsia="en-ZA"/>
              </w:rPr>
              <w:t>rogramme 2:</w:t>
            </w:r>
            <w:r w:rsidR="00D979FD" w:rsidRPr="00E86D06">
              <w:rPr>
                <w:rFonts w:ascii="Times New Roman" w:eastAsia="Times New Roman" w:hAnsi="Times New Roman" w:cs="Times New Roman"/>
                <w:sz w:val="24"/>
                <w:szCs w:val="24"/>
                <w:lang w:eastAsia="en-ZA"/>
              </w:rPr>
              <w:t xml:space="preserve"> Municipal Performance Monitoring</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322,8</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13,4</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11,1</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11,9</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309,3</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310,1</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-95,84</w:t>
            </w:r>
            <w:r w:rsidR="00107657"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-96,08</w:t>
            </w:r>
            <w:r w:rsidR="00107657" w:rsidRPr="00E86D06">
              <w:rPr>
                <w:rFonts w:ascii="Times New Roman" w:eastAsia="Times New Roman" w:hAnsi="Times New Roman" w:cs="Times New Roman"/>
                <w:sz w:val="24"/>
                <w:szCs w:val="24"/>
                <w:lang w:eastAsia="en-ZA"/>
              </w:rPr>
              <w:t>%</w:t>
            </w:r>
          </w:p>
        </w:tc>
      </w:tr>
      <w:tr w:rsidR="000C0E43" w:rsidRPr="00E86D06" w:rsidTr="00D569D5">
        <w:trPr>
          <w:trHeight w:val="255"/>
        </w:trPr>
        <w:tc>
          <w:tcPr>
            <w:tcW w:w="1246" w:type="dxa"/>
            <w:shd w:val="clear" w:color="auto" w:fill="auto"/>
            <w:vAlign w:val="bottom"/>
            <w:hideMark/>
          </w:tcPr>
          <w:p w:rsidR="00BA4D84" w:rsidRPr="00E86D06" w:rsidRDefault="009541D8"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BA4D84" w:rsidRPr="00E86D06">
              <w:rPr>
                <w:rFonts w:ascii="Times New Roman" w:eastAsia="Times New Roman" w:hAnsi="Times New Roman" w:cs="Times New Roman"/>
                <w:sz w:val="24"/>
                <w:szCs w:val="24"/>
                <w:lang w:eastAsia="en-ZA"/>
              </w:rPr>
              <w:t>rogramme 3:</w:t>
            </w:r>
            <w:r w:rsidR="00E37A45" w:rsidRPr="00E86D06">
              <w:rPr>
                <w:rFonts w:ascii="Times New Roman" w:eastAsia="Times New Roman" w:hAnsi="Times New Roman" w:cs="Times New Roman"/>
                <w:sz w:val="24"/>
                <w:szCs w:val="24"/>
                <w:lang w:eastAsia="en-ZA"/>
              </w:rPr>
              <w:t xml:space="preserve"> Local Government Improvement Programme</w:t>
            </w:r>
            <w:r w:rsidR="00ED25B9" w:rsidRPr="00E86D06">
              <w:rPr>
                <w:rFonts w:ascii="Times New Roman" w:eastAsia="Times New Roman" w:hAnsi="Times New Roman" w:cs="Times New Roman"/>
                <w:sz w:val="24"/>
                <w:szCs w:val="24"/>
                <w:lang w:eastAsia="en-ZA"/>
              </w:rPr>
              <w:t xml:space="preserve"> </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29,2</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30,5</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26,0</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27,9</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1,2</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0,6</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4,21</w:t>
            </w:r>
            <w:r w:rsidR="00107657"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-1,96</w:t>
            </w:r>
            <w:r w:rsidR="00107657" w:rsidRPr="00E86D06">
              <w:rPr>
                <w:rFonts w:ascii="Times New Roman" w:eastAsia="Times New Roman" w:hAnsi="Times New Roman" w:cs="Times New Roman"/>
                <w:sz w:val="24"/>
                <w:szCs w:val="24"/>
                <w:lang w:eastAsia="en-ZA"/>
              </w:rPr>
              <w:t>%</w:t>
            </w:r>
          </w:p>
        </w:tc>
      </w:tr>
      <w:tr w:rsidR="000C0E43" w:rsidRPr="00E86D06" w:rsidTr="00D569D5">
        <w:trPr>
          <w:trHeight w:val="255"/>
        </w:trPr>
        <w:tc>
          <w:tcPr>
            <w:tcW w:w="1246" w:type="dxa"/>
            <w:shd w:val="clear" w:color="auto" w:fill="auto"/>
            <w:vAlign w:val="bottom"/>
            <w:hideMark/>
          </w:tcPr>
          <w:p w:rsidR="00BA4D84" w:rsidRPr="00E86D06" w:rsidRDefault="00ED25B9"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BA4D84" w:rsidRPr="00E86D06">
              <w:rPr>
                <w:rFonts w:ascii="Times New Roman" w:eastAsia="Times New Roman" w:hAnsi="Times New Roman" w:cs="Times New Roman"/>
                <w:sz w:val="24"/>
                <w:szCs w:val="24"/>
                <w:lang w:eastAsia="en-ZA"/>
              </w:rPr>
              <w:t>rogramme 4:</w:t>
            </w:r>
            <w:r w:rsidRPr="00E86D06">
              <w:rPr>
                <w:rFonts w:ascii="Times New Roman" w:eastAsia="Times New Roman" w:hAnsi="Times New Roman" w:cs="Times New Roman"/>
                <w:sz w:val="24"/>
                <w:szCs w:val="24"/>
                <w:lang w:eastAsia="en-ZA"/>
              </w:rPr>
              <w:t xml:space="preserve"> </w:t>
            </w:r>
            <w:r w:rsidR="00E37A45" w:rsidRPr="00E86D06">
              <w:rPr>
                <w:rFonts w:ascii="Times New Roman" w:eastAsia="Times New Roman" w:hAnsi="Times New Roman" w:cs="Times New Roman"/>
                <w:sz w:val="24"/>
                <w:szCs w:val="24"/>
                <w:lang w:eastAsia="en-ZA"/>
              </w:rPr>
              <w:t>Litigation and Interventions</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11,1</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12,4</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8,7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9,3</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1,3</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0,6</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11,69</w:t>
            </w:r>
            <w:r w:rsidR="00107657"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5,07</w:t>
            </w:r>
            <w:r w:rsidR="00107657" w:rsidRPr="00E86D06">
              <w:rPr>
                <w:rFonts w:ascii="Times New Roman" w:eastAsia="Times New Roman" w:hAnsi="Times New Roman" w:cs="Times New Roman"/>
                <w:sz w:val="24"/>
                <w:szCs w:val="24"/>
                <w:lang w:eastAsia="en-ZA"/>
              </w:rPr>
              <w:t>%</w:t>
            </w:r>
          </w:p>
        </w:tc>
      </w:tr>
      <w:tr w:rsidR="000C0E43" w:rsidRPr="00E86D06" w:rsidTr="00D569D5">
        <w:trPr>
          <w:trHeight w:val="255"/>
        </w:trPr>
        <w:tc>
          <w:tcPr>
            <w:tcW w:w="1246" w:type="dxa"/>
            <w:shd w:val="clear" w:color="auto" w:fill="auto"/>
            <w:vAlign w:val="bottom"/>
            <w:hideMark/>
          </w:tcPr>
          <w:p w:rsidR="00BA4D84" w:rsidRPr="00E86D06" w:rsidRDefault="006F18EB"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w:t>
            </w:r>
            <w:r w:rsidR="00BA4D84" w:rsidRPr="00E86D06">
              <w:rPr>
                <w:rFonts w:ascii="Times New Roman" w:eastAsia="Times New Roman" w:hAnsi="Times New Roman" w:cs="Times New Roman"/>
                <w:sz w:val="24"/>
                <w:szCs w:val="24"/>
                <w:lang w:eastAsia="en-ZA"/>
              </w:rPr>
              <w:t xml:space="preserve">Programme 5: </w:t>
            </w:r>
            <w:r w:rsidR="00E37A45" w:rsidRPr="00E86D06">
              <w:rPr>
                <w:rFonts w:ascii="Times New Roman" w:eastAsia="Times New Roman" w:hAnsi="Times New Roman" w:cs="Times New Roman"/>
                <w:sz w:val="24"/>
                <w:szCs w:val="24"/>
                <w:lang w:eastAsia="en-ZA"/>
              </w:rPr>
              <w:t>Municipal Infrastructure Administration</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35,6</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34,1</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37,4</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39,7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1,5</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3,5</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-4,22</w:t>
            </w:r>
            <w:r w:rsidR="000C0E43"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-9,90</w:t>
            </w:r>
            <w:r w:rsidR="00107657" w:rsidRPr="00E86D06">
              <w:rPr>
                <w:rFonts w:ascii="Times New Roman" w:eastAsia="Times New Roman" w:hAnsi="Times New Roman" w:cs="Times New Roman"/>
                <w:sz w:val="24"/>
                <w:szCs w:val="24"/>
                <w:lang w:eastAsia="en-ZA"/>
              </w:rPr>
              <w:t>%</w:t>
            </w:r>
          </w:p>
        </w:tc>
      </w:tr>
      <w:tr w:rsidR="000C0E43" w:rsidRPr="00E86D06" w:rsidTr="00D569D5">
        <w:trPr>
          <w:trHeight w:val="255"/>
        </w:trPr>
        <w:tc>
          <w:tcPr>
            <w:tcW w:w="1246" w:type="dxa"/>
            <w:shd w:val="clear" w:color="auto" w:fill="auto"/>
            <w:vAlign w:val="bottom"/>
            <w:hideMark/>
          </w:tcPr>
          <w:p w:rsidR="00BA4D84" w:rsidRPr="00E86D06" w:rsidRDefault="00BA4D8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w:t>
            </w:r>
            <w:r w:rsidRPr="00E86D06">
              <w:rPr>
                <w:rFonts w:ascii="Times New Roman" w:eastAsia="Times New Roman" w:hAnsi="Times New Roman" w:cs="Times New Roman"/>
                <w:sz w:val="24"/>
                <w:szCs w:val="24"/>
                <w:lang w:eastAsia="en-ZA"/>
              </w:rPr>
              <w:lastRenderedPageBreak/>
              <w:t>e 6:</w:t>
            </w:r>
            <w:r w:rsidR="00C4038C" w:rsidRPr="00E86D06">
              <w:rPr>
                <w:rFonts w:ascii="Times New Roman" w:eastAsia="Times New Roman" w:hAnsi="Times New Roman" w:cs="Times New Roman"/>
                <w:sz w:val="24"/>
                <w:szCs w:val="24"/>
                <w:lang w:eastAsia="en-ZA"/>
              </w:rPr>
              <w:t xml:space="preserve"> Municipal Infrastructure Grant</w:t>
            </w:r>
            <w:r w:rsidRPr="00E86D06">
              <w:rPr>
                <w:rFonts w:ascii="Times New Roman" w:eastAsia="Times New Roman" w:hAnsi="Times New Roman" w:cs="Times New Roman"/>
                <w:sz w:val="24"/>
                <w:szCs w:val="24"/>
                <w:lang w:eastAsia="en-ZA"/>
              </w:rPr>
              <w:t xml:space="preserve"> </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 xml:space="preserve">14 </w:t>
            </w:r>
            <w:r w:rsidRPr="00E86D06">
              <w:rPr>
                <w:rFonts w:ascii="Times New Roman" w:eastAsia="Times New Roman" w:hAnsi="Times New Roman" w:cs="Times New Roman"/>
                <w:sz w:val="24"/>
                <w:szCs w:val="24"/>
                <w:lang w:eastAsia="en-ZA"/>
              </w:rPr>
              <w:lastRenderedPageBreak/>
              <w:t>914,0</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15 891,3</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16 </w:t>
            </w:r>
            <w:r w:rsidRPr="00E86D06">
              <w:rPr>
                <w:rFonts w:ascii="Times New Roman" w:eastAsia="Times New Roman" w:hAnsi="Times New Roman" w:cs="Times New Roman"/>
                <w:sz w:val="24"/>
                <w:szCs w:val="24"/>
                <w:lang w:eastAsia="en-ZA"/>
              </w:rPr>
              <w:lastRenderedPageBreak/>
              <w:t>787,7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 xml:space="preserve">17 </w:t>
            </w:r>
            <w:r w:rsidRPr="00E86D06">
              <w:rPr>
                <w:rFonts w:ascii="Times New Roman" w:eastAsia="Times New Roman" w:hAnsi="Times New Roman" w:cs="Times New Roman"/>
                <w:sz w:val="24"/>
                <w:szCs w:val="24"/>
                <w:lang w:eastAsia="en-ZA"/>
              </w:rPr>
              <w:lastRenderedPageBreak/>
              <w:t>733,7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 xml:space="preserve">  977,2</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35,4</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6,55</w:t>
            </w:r>
            <w:r w:rsidR="000C0E43"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0,24</w:t>
            </w:r>
            <w:r w:rsidR="000C0E43" w:rsidRPr="00E86D06">
              <w:rPr>
                <w:rFonts w:ascii="Times New Roman" w:eastAsia="Times New Roman" w:hAnsi="Times New Roman" w:cs="Times New Roman"/>
                <w:sz w:val="24"/>
                <w:szCs w:val="24"/>
                <w:lang w:eastAsia="en-ZA"/>
              </w:rPr>
              <w:lastRenderedPageBreak/>
              <w:t>%</w:t>
            </w:r>
          </w:p>
        </w:tc>
      </w:tr>
      <w:tr w:rsidR="000C0E43" w:rsidRPr="00E86D06" w:rsidTr="00D569D5">
        <w:trPr>
          <w:trHeight w:val="255"/>
        </w:trPr>
        <w:tc>
          <w:tcPr>
            <w:tcW w:w="1246" w:type="dxa"/>
            <w:shd w:val="clear" w:color="auto" w:fill="auto"/>
            <w:vAlign w:val="bottom"/>
            <w:hideMark/>
          </w:tcPr>
          <w:p w:rsidR="00BA4D84" w:rsidRPr="00E86D06" w:rsidRDefault="00BA4D8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Programme 7:</w:t>
            </w:r>
            <w:r w:rsidR="00C4038C" w:rsidRPr="00E86D06">
              <w:rPr>
                <w:rFonts w:ascii="Times New Roman" w:eastAsia="Times New Roman" w:hAnsi="Times New Roman" w:cs="Times New Roman"/>
                <w:sz w:val="24"/>
                <w:szCs w:val="24"/>
                <w:lang w:eastAsia="en-ZA"/>
              </w:rPr>
              <w:t xml:space="preserve"> Municipal Infrastructure Support Agency</w:t>
            </w:r>
          </w:p>
        </w:tc>
        <w:tc>
          <w:tcPr>
            <w:tcW w:w="1017"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349,9</w:t>
            </w:r>
          </w:p>
        </w:tc>
        <w:tc>
          <w:tcPr>
            <w:tcW w:w="1134"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381,5</w:t>
            </w:r>
          </w:p>
        </w:tc>
        <w:tc>
          <w:tcPr>
            <w:tcW w:w="993"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351,2</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370,7</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31,6</w:t>
            </w:r>
          </w:p>
        </w:tc>
        <w:tc>
          <w:tcPr>
            <w:tcW w:w="851"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9,0</w:t>
            </w:r>
          </w:p>
        </w:tc>
        <w:tc>
          <w:tcPr>
            <w:tcW w:w="992"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9,03</w:t>
            </w:r>
            <w:r w:rsidR="000C0E43" w:rsidRPr="00E86D06">
              <w:rPr>
                <w:rFonts w:ascii="Times New Roman" w:eastAsia="Times New Roman" w:hAnsi="Times New Roman" w:cs="Times New Roman"/>
                <w:sz w:val="24"/>
                <w:szCs w:val="24"/>
                <w:lang w:eastAsia="en-ZA"/>
              </w:rPr>
              <w:t>%</w:t>
            </w:r>
          </w:p>
        </w:tc>
        <w:tc>
          <w:tcPr>
            <w:tcW w:w="799" w:type="dxa"/>
            <w:shd w:val="clear" w:color="auto" w:fill="auto"/>
            <w:noWrap/>
            <w:hideMark/>
          </w:tcPr>
          <w:p w:rsidR="00BA4D84" w:rsidRPr="00E86D06" w:rsidRDefault="00BA4D8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2,57</w:t>
            </w:r>
            <w:r w:rsidR="000C0E43" w:rsidRPr="00E86D06">
              <w:rPr>
                <w:rFonts w:ascii="Times New Roman" w:eastAsia="Times New Roman" w:hAnsi="Times New Roman" w:cs="Times New Roman"/>
                <w:sz w:val="24"/>
                <w:szCs w:val="24"/>
                <w:lang w:eastAsia="en-ZA"/>
              </w:rPr>
              <w:t>%</w:t>
            </w:r>
          </w:p>
        </w:tc>
      </w:tr>
      <w:tr w:rsidR="000C0E43" w:rsidRPr="00E86D06" w:rsidTr="00D569D5">
        <w:trPr>
          <w:trHeight w:val="270"/>
        </w:trPr>
        <w:tc>
          <w:tcPr>
            <w:tcW w:w="1246" w:type="dxa"/>
            <w:shd w:val="clear" w:color="auto" w:fill="auto"/>
            <w:noWrap/>
            <w:vAlign w:val="bottom"/>
            <w:hideMark/>
          </w:tcPr>
          <w:p w:rsidR="00BA4D84" w:rsidRPr="00E86D06" w:rsidRDefault="00BA4D8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1017"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15 666,5</w:t>
            </w:r>
          </w:p>
        </w:tc>
        <w:tc>
          <w:tcPr>
            <w:tcW w:w="1134"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16 366,4</w:t>
            </w:r>
          </w:p>
        </w:tc>
        <w:tc>
          <w:tcPr>
            <w:tcW w:w="993"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17 225,7</w:t>
            </w:r>
          </w:p>
        </w:tc>
        <w:tc>
          <w:tcPr>
            <w:tcW w:w="992"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18 197,0</w:t>
            </w:r>
          </w:p>
        </w:tc>
        <w:tc>
          <w:tcPr>
            <w:tcW w:w="992"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699,9</w:t>
            </w:r>
          </w:p>
        </w:tc>
        <w:tc>
          <w:tcPr>
            <w:tcW w:w="851"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270,1</w:t>
            </w:r>
          </w:p>
        </w:tc>
        <w:tc>
          <w:tcPr>
            <w:tcW w:w="992"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4,47</w:t>
            </w:r>
            <w:r w:rsidR="000C0E43" w:rsidRPr="00E86D06">
              <w:rPr>
                <w:rFonts w:ascii="Times New Roman" w:eastAsia="Times New Roman" w:hAnsi="Times New Roman" w:cs="Times New Roman"/>
                <w:b/>
                <w:bCs/>
                <w:sz w:val="24"/>
                <w:szCs w:val="24"/>
                <w:lang w:eastAsia="en-ZA"/>
              </w:rPr>
              <w:t>%</w:t>
            </w:r>
          </w:p>
        </w:tc>
        <w:tc>
          <w:tcPr>
            <w:tcW w:w="799" w:type="dxa"/>
            <w:shd w:val="clear" w:color="auto" w:fill="auto"/>
            <w:noWrap/>
            <w:vAlign w:val="bottom"/>
            <w:hideMark/>
          </w:tcPr>
          <w:p w:rsidR="00BA4D84" w:rsidRPr="00E86D06" w:rsidRDefault="00BA4D8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-1,72</w:t>
            </w:r>
            <w:r w:rsidR="000C0E43" w:rsidRPr="00E86D06">
              <w:rPr>
                <w:rFonts w:ascii="Times New Roman" w:eastAsia="Times New Roman" w:hAnsi="Times New Roman" w:cs="Times New Roman"/>
                <w:b/>
                <w:bCs/>
                <w:sz w:val="24"/>
                <w:szCs w:val="24"/>
                <w:lang w:eastAsia="en-ZA"/>
              </w:rPr>
              <w:t>%</w:t>
            </w:r>
          </w:p>
        </w:tc>
      </w:tr>
    </w:tbl>
    <w:p w:rsidR="00BA4D84" w:rsidRPr="00E86D06" w:rsidRDefault="00BA4D84"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BA4D84" w:rsidRPr="00E86D06" w:rsidRDefault="00B8186C"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Graph below indicates that the bulk of the allocation to this Programme</w:t>
      </w:r>
      <w:r w:rsidR="00C629F5" w:rsidRPr="00E86D06">
        <w:rPr>
          <w:rFonts w:ascii="Times New Roman" w:hAnsi="Times New Roman" w:cs="Times New Roman"/>
          <w:sz w:val="24"/>
          <w:szCs w:val="24"/>
        </w:rPr>
        <w:t xml:space="preserve"> (96.8</w:t>
      </w:r>
      <w:r w:rsidR="003E5504" w:rsidRPr="00E86D06">
        <w:rPr>
          <w:rFonts w:ascii="Times New Roman" w:hAnsi="Times New Roman" w:cs="Times New Roman"/>
          <w:sz w:val="24"/>
          <w:szCs w:val="24"/>
        </w:rPr>
        <w:t>%</w:t>
      </w:r>
      <w:r w:rsidR="00C629F5" w:rsidRPr="00E86D06">
        <w:rPr>
          <w:rFonts w:ascii="Times New Roman" w:hAnsi="Times New Roman" w:cs="Times New Roman"/>
          <w:sz w:val="24"/>
          <w:szCs w:val="24"/>
        </w:rPr>
        <w:t>)</w:t>
      </w:r>
      <w:r w:rsidRPr="00E86D06">
        <w:rPr>
          <w:rFonts w:ascii="Times New Roman" w:hAnsi="Times New Roman" w:cs="Times New Roman"/>
          <w:sz w:val="24"/>
          <w:szCs w:val="24"/>
        </w:rPr>
        <w:t xml:space="preserve"> relates to the </w:t>
      </w:r>
      <w:r w:rsidR="003E5504" w:rsidRPr="00E86D06">
        <w:rPr>
          <w:rFonts w:ascii="Times New Roman" w:hAnsi="Times New Roman" w:cs="Times New Roman"/>
          <w:sz w:val="24"/>
          <w:szCs w:val="24"/>
        </w:rPr>
        <w:t>M</w:t>
      </w:r>
      <w:r w:rsidRPr="00E86D06">
        <w:rPr>
          <w:rFonts w:ascii="Times New Roman" w:hAnsi="Times New Roman" w:cs="Times New Roman"/>
          <w:sz w:val="24"/>
          <w:szCs w:val="24"/>
        </w:rPr>
        <w:t xml:space="preserve">unicipal </w:t>
      </w:r>
      <w:r w:rsidR="003E5504" w:rsidRPr="00E86D06">
        <w:rPr>
          <w:rFonts w:ascii="Times New Roman" w:hAnsi="Times New Roman" w:cs="Times New Roman"/>
          <w:sz w:val="24"/>
          <w:szCs w:val="24"/>
        </w:rPr>
        <w:t>I</w:t>
      </w:r>
      <w:r w:rsidRPr="00E86D06">
        <w:rPr>
          <w:rFonts w:ascii="Times New Roman" w:hAnsi="Times New Roman" w:cs="Times New Roman"/>
          <w:sz w:val="24"/>
          <w:szCs w:val="24"/>
        </w:rPr>
        <w:t xml:space="preserve">nfrastructure </w:t>
      </w:r>
      <w:r w:rsidR="003E5504" w:rsidRPr="00E86D06">
        <w:rPr>
          <w:rFonts w:ascii="Times New Roman" w:hAnsi="Times New Roman" w:cs="Times New Roman"/>
          <w:sz w:val="24"/>
          <w:szCs w:val="24"/>
        </w:rPr>
        <w:t>G</w:t>
      </w:r>
      <w:r w:rsidRPr="00E86D06">
        <w:rPr>
          <w:rFonts w:ascii="Times New Roman" w:hAnsi="Times New Roman" w:cs="Times New Roman"/>
          <w:sz w:val="24"/>
          <w:szCs w:val="24"/>
        </w:rPr>
        <w:t>rant</w:t>
      </w:r>
      <w:r w:rsidR="00C216D2" w:rsidRPr="00E86D06">
        <w:rPr>
          <w:rFonts w:ascii="Times New Roman" w:hAnsi="Times New Roman" w:cs="Times New Roman"/>
          <w:i/>
          <w:sz w:val="24"/>
          <w:szCs w:val="24"/>
        </w:rPr>
        <w:t xml:space="preserve"> (</w:t>
      </w:r>
      <w:r w:rsidR="00C216D2" w:rsidRPr="00E86D06">
        <w:rPr>
          <w:rFonts w:ascii="Times New Roman" w:hAnsi="Times New Roman" w:cs="Times New Roman"/>
          <w:sz w:val="24"/>
          <w:szCs w:val="24"/>
        </w:rPr>
        <w:t>sub-programme 6)</w:t>
      </w:r>
      <w:r w:rsidRPr="00E86D06">
        <w:rPr>
          <w:rFonts w:ascii="Times New Roman" w:hAnsi="Times New Roman" w:cs="Times New Roman"/>
          <w:i/>
          <w:sz w:val="24"/>
          <w:szCs w:val="24"/>
        </w:rPr>
        <w:t xml:space="preserve">, </w:t>
      </w:r>
      <w:r w:rsidRPr="00E86D06">
        <w:rPr>
          <w:rFonts w:ascii="Times New Roman" w:hAnsi="Times New Roman" w:cs="Times New Roman"/>
          <w:sz w:val="24"/>
          <w:szCs w:val="24"/>
        </w:rPr>
        <w:t>which is the second largest expenditure item</w:t>
      </w:r>
      <w:r w:rsidR="00AA0FCE" w:rsidRPr="00E86D06">
        <w:rPr>
          <w:rFonts w:ascii="Times New Roman" w:hAnsi="Times New Roman" w:cs="Times New Roman"/>
          <w:sz w:val="24"/>
          <w:szCs w:val="24"/>
        </w:rPr>
        <w:t xml:space="preserve"> in the Department,</w:t>
      </w:r>
      <w:r w:rsidRPr="00E86D06">
        <w:rPr>
          <w:rFonts w:ascii="Times New Roman" w:hAnsi="Times New Roman" w:cs="Times New Roman"/>
          <w:sz w:val="24"/>
          <w:szCs w:val="24"/>
        </w:rPr>
        <w:t xml:space="preserve"> after the LGES.</w:t>
      </w:r>
      <w:r w:rsidR="00C216D2" w:rsidRPr="00E86D06">
        <w:rPr>
          <w:rFonts w:ascii="Times New Roman" w:hAnsi="Times New Roman" w:cs="Times New Roman"/>
          <w:sz w:val="24"/>
          <w:szCs w:val="24"/>
        </w:rPr>
        <w:t xml:space="preserve"> Allocation to the sub-programme indicates a small increase of 0.2</w:t>
      </w:r>
      <w:r w:rsidR="003E5504" w:rsidRPr="00E86D06">
        <w:rPr>
          <w:rFonts w:ascii="Times New Roman" w:hAnsi="Times New Roman" w:cs="Times New Roman"/>
          <w:sz w:val="24"/>
          <w:szCs w:val="24"/>
        </w:rPr>
        <w:t xml:space="preserve">% </w:t>
      </w:r>
      <w:r w:rsidR="00C216D2" w:rsidRPr="00E86D06">
        <w:rPr>
          <w:rFonts w:ascii="Times New Roman" w:hAnsi="Times New Roman" w:cs="Times New Roman"/>
          <w:sz w:val="24"/>
          <w:szCs w:val="24"/>
        </w:rPr>
        <w:t xml:space="preserve">in real terms, from </w:t>
      </w:r>
      <w:r w:rsidR="003E5504" w:rsidRPr="00E86D06">
        <w:rPr>
          <w:rFonts w:ascii="Times New Roman" w:hAnsi="Times New Roman" w:cs="Times New Roman"/>
          <w:sz w:val="24"/>
          <w:szCs w:val="24"/>
        </w:rPr>
        <w:t>R</w:t>
      </w:r>
      <w:r w:rsidR="00C216D2" w:rsidRPr="00E86D06">
        <w:rPr>
          <w:rFonts w:ascii="Times New Roman" w:hAnsi="Times New Roman" w:cs="Times New Roman"/>
          <w:sz w:val="24"/>
          <w:szCs w:val="24"/>
        </w:rPr>
        <w:t xml:space="preserve">14.9 billion in 2016/17 to </w:t>
      </w:r>
      <w:r w:rsidR="003E5504" w:rsidRPr="00E86D06">
        <w:rPr>
          <w:rFonts w:ascii="Times New Roman" w:hAnsi="Times New Roman" w:cs="Times New Roman"/>
          <w:sz w:val="24"/>
          <w:szCs w:val="24"/>
        </w:rPr>
        <w:t>R</w:t>
      </w:r>
      <w:r w:rsidR="00C216D2" w:rsidRPr="00E86D06">
        <w:rPr>
          <w:rFonts w:ascii="Times New Roman" w:hAnsi="Times New Roman" w:cs="Times New Roman"/>
          <w:sz w:val="24"/>
          <w:szCs w:val="24"/>
        </w:rPr>
        <w:t>15.8 billion in 2017/18.</w:t>
      </w: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E86D06" w:rsidRDefault="00E86D06">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3E5504" w:rsidRPr="00E86D06" w:rsidRDefault="003E5504"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Graph 6:</w:t>
      </w:r>
    </w:p>
    <w:p w:rsidR="003E5504" w:rsidRPr="00E86D06" w:rsidRDefault="003E550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BA4D84" w:rsidP="00E86D06">
      <w:pPr>
        <w:spacing w:before="120" w:after="120" w:line="240" w:lineRule="auto"/>
        <w:rPr>
          <w:rFonts w:ascii="Times New Roman" w:hAnsi="Times New Roman" w:cs="Times New Roman"/>
          <w:sz w:val="24"/>
          <w:szCs w:val="24"/>
        </w:rPr>
      </w:pPr>
    </w:p>
    <w:p w:rsidR="00BA4D84" w:rsidRPr="00E86D06" w:rsidRDefault="00A50922"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7456" behindDoc="1" locked="0" layoutInCell="1" allowOverlap="1" wp14:anchorId="6322C3EA" wp14:editId="47C2DCBF">
            <wp:simplePos x="0" y="0"/>
            <wp:positionH relativeFrom="column">
              <wp:posOffset>0</wp:posOffset>
            </wp:positionH>
            <wp:positionV relativeFrom="paragraph">
              <wp:posOffset>-3249930</wp:posOffset>
            </wp:positionV>
            <wp:extent cx="5731510" cy="3382645"/>
            <wp:effectExtent l="0" t="0" r="2540" b="825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67507" w:rsidRPr="00E86D06" w:rsidRDefault="00767507" w:rsidP="00E86D06">
      <w:pPr>
        <w:spacing w:before="120" w:after="120" w:line="240" w:lineRule="auto"/>
        <w:rPr>
          <w:rFonts w:ascii="Times New Roman" w:hAnsi="Times New Roman" w:cs="Times New Roman"/>
          <w:sz w:val="24"/>
          <w:szCs w:val="24"/>
        </w:rPr>
      </w:pPr>
    </w:p>
    <w:p w:rsidR="00773833" w:rsidRPr="00E86D06" w:rsidRDefault="00773833" w:rsidP="00E86D06">
      <w:pPr>
        <w:spacing w:before="120" w:after="120" w:line="240" w:lineRule="auto"/>
        <w:rPr>
          <w:rFonts w:ascii="Times New Roman" w:hAnsi="Times New Roman" w:cs="Times New Roman"/>
          <w:sz w:val="24"/>
          <w:szCs w:val="24"/>
        </w:rPr>
      </w:pPr>
    </w:p>
    <w:p w:rsidR="00D47B66" w:rsidRPr="00E86D06" w:rsidRDefault="00D47B66"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10" w:name="_Toc477175321"/>
      <w:r w:rsidRPr="00E86D06">
        <w:rPr>
          <w:rFonts w:ascii="Times New Roman" w:hAnsi="Times New Roman" w:cs="Times New Roman"/>
          <w:color w:val="auto"/>
          <w:sz w:val="24"/>
          <w:szCs w:val="24"/>
        </w:rPr>
        <w:t>Programme 6: Community Work Programme (CWP)</w:t>
      </w:r>
      <w:bookmarkEnd w:id="10"/>
    </w:p>
    <w:p w:rsidR="000F3617" w:rsidRPr="00E86D06" w:rsidRDefault="000F3617" w:rsidP="00E86D06">
      <w:pPr>
        <w:spacing w:before="120" w:after="120" w:line="240" w:lineRule="auto"/>
        <w:rPr>
          <w:rFonts w:ascii="Times New Roman" w:hAnsi="Times New Roman" w:cs="Times New Roman"/>
          <w:sz w:val="24"/>
          <w:szCs w:val="24"/>
        </w:rPr>
      </w:pPr>
    </w:p>
    <w:p w:rsidR="000F3617" w:rsidRPr="00E86D06" w:rsidRDefault="00A36201"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Programme 6 receives the highest increase in budget allocation, from R3</w:t>
      </w:r>
      <w:proofErr w:type="gramStart"/>
      <w:r w:rsidRPr="00E86D06">
        <w:rPr>
          <w:rFonts w:ascii="Times New Roman" w:hAnsi="Times New Roman" w:cs="Times New Roman"/>
          <w:sz w:val="24"/>
          <w:szCs w:val="24"/>
        </w:rPr>
        <w:t>,1</w:t>
      </w:r>
      <w:proofErr w:type="gramEnd"/>
      <w:r w:rsidRPr="00E86D06">
        <w:rPr>
          <w:rFonts w:ascii="Times New Roman" w:hAnsi="Times New Roman" w:cs="Times New Roman"/>
          <w:sz w:val="24"/>
          <w:szCs w:val="24"/>
        </w:rPr>
        <w:t xml:space="preserve"> billion in 201</w:t>
      </w:r>
      <w:r w:rsidR="009E7F68" w:rsidRPr="00E86D06">
        <w:rPr>
          <w:rFonts w:ascii="Times New Roman" w:hAnsi="Times New Roman" w:cs="Times New Roman"/>
          <w:sz w:val="24"/>
          <w:szCs w:val="24"/>
        </w:rPr>
        <w:t xml:space="preserve">6/17 to R3,6 billion in 2017/18, as indicated in Table </w:t>
      </w:r>
      <w:r w:rsidR="00773833" w:rsidRPr="00E86D06">
        <w:rPr>
          <w:rFonts w:ascii="Times New Roman" w:hAnsi="Times New Roman" w:cs="Times New Roman"/>
          <w:sz w:val="24"/>
          <w:szCs w:val="24"/>
        </w:rPr>
        <w:t xml:space="preserve">7 </w:t>
      </w:r>
      <w:r w:rsidR="009E7F68" w:rsidRPr="00E86D06">
        <w:rPr>
          <w:rFonts w:ascii="Times New Roman" w:hAnsi="Times New Roman" w:cs="Times New Roman"/>
          <w:sz w:val="24"/>
          <w:szCs w:val="24"/>
        </w:rPr>
        <w:t>below.</w:t>
      </w:r>
      <w:r w:rsidR="004C62A2" w:rsidRPr="00E86D06">
        <w:rPr>
          <w:rFonts w:ascii="Times New Roman" w:hAnsi="Times New Roman" w:cs="Times New Roman"/>
          <w:sz w:val="24"/>
          <w:szCs w:val="24"/>
        </w:rPr>
        <w:t xml:space="preserve"> Most of this is reflected in sub-programme 1</w:t>
      </w:r>
      <w:r w:rsidR="009320E4" w:rsidRPr="00E86D06">
        <w:rPr>
          <w:rFonts w:ascii="Times New Roman" w:hAnsi="Times New Roman" w:cs="Times New Roman"/>
          <w:sz w:val="24"/>
          <w:szCs w:val="24"/>
        </w:rPr>
        <w:t>.</w:t>
      </w:r>
      <w:r w:rsidR="00492209" w:rsidRPr="00E86D06">
        <w:rPr>
          <w:rFonts w:ascii="Times New Roman" w:hAnsi="Times New Roman" w:cs="Times New Roman"/>
          <w:sz w:val="24"/>
          <w:szCs w:val="24"/>
        </w:rPr>
        <w:t xml:space="preserve"> </w:t>
      </w:r>
    </w:p>
    <w:p w:rsidR="00492209" w:rsidRPr="00E86D06" w:rsidRDefault="00492209" w:rsidP="00E86D06">
      <w:pPr>
        <w:spacing w:before="120" w:after="120" w:line="240" w:lineRule="auto"/>
        <w:rPr>
          <w:rFonts w:ascii="Times New Roman" w:hAnsi="Times New Roman" w:cs="Times New Roman"/>
          <w:sz w:val="24"/>
          <w:szCs w:val="24"/>
        </w:rPr>
      </w:pPr>
    </w:p>
    <w:p w:rsidR="00BA4D84" w:rsidRPr="00E86D06" w:rsidRDefault="00773833"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Table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65"/>
        <w:gridCol w:w="965"/>
        <w:gridCol w:w="965"/>
        <w:gridCol w:w="965"/>
        <w:gridCol w:w="1054"/>
        <w:gridCol w:w="901"/>
        <w:gridCol w:w="1054"/>
        <w:gridCol w:w="901"/>
      </w:tblGrid>
      <w:tr w:rsidR="00A50922" w:rsidRPr="00E86D06" w:rsidTr="00D569D5">
        <w:trPr>
          <w:trHeight w:val="780"/>
        </w:trPr>
        <w:tc>
          <w:tcPr>
            <w:tcW w:w="0" w:type="auto"/>
            <w:shd w:val="clear" w:color="auto" w:fill="D9D9D9" w:themeFill="background1" w:themeFillShade="D9"/>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0" w:type="auto"/>
            <w:gridSpan w:val="4"/>
            <w:shd w:val="clear" w:color="auto" w:fill="D9D9D9" w:themeFill="background1" w:themeFillShade="D9"/>
            <w:vAlign w:val="center"/>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0" w:type="auto"/>
            <w:shd w:val="clear" w:color="auto" w:fill="D9D9D9" w:themeFill="background1" w:themeFillShade="D9"/>
            <w:vAlign w:val="center"/>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0" w:type="auto"/>
            <w:shd w:val="clear" w:color="auto" w:fill="D9D9D9" w:themeFill="background1" w:themeFillShade="D9"/>
            <w:vAlign w:val="center"/>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0" w:type="auto"/>
            <w:shd w:val="clear" w:color="auto" w:fill="D9D9D9" w:themeFill="background1" w:themeFillShade="D9"/>
            <w:vAlign w:val="center"/>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0" w:type="auto"/>
            <w:shd w:val="clear" w:color="auto" w:fill="D9D9D9" w:themeFill="background1" w:themeFillShade="D9"/>
            <w:vAlign w:val="center"/>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7E65AB" w:rsidRPr="00E86D06" w:rsidTr="00F27575">
        <w:trPr>
          <w:trHeight w:val="255"/>
        </w:trPr>
        <w:tc>
          <w:tcPr>
            <w:tcW w:w="0" w:type="auto"/>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0" w:type="auto"/>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0" w:type="auto"/>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0" w:type="auto"/>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0" w:type="auto"/>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0" w:type="auto"/>
            <w:gridSpan w:val="2"/>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0" w:type="auto"/>
            <w:gridSpan w:val="2"/>
            <w:shd w:val="clear" w:color="auto" w:fill="auto"/>
            <w:noWrap/>
            <w:vAlign w:val="bottom"/>
            <w:hideMark/>
          </w:tcPr>
          <w:p w:rsidR="00A50922" w:rsidRPr="00E86D06" w:rsidRDefault="00A50922"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A50922" w:rsidRPr="00E86D06" w:rsidTr="00D569D5">
        <w:trPr>
          <w:trHeight w:val="255"/>
        </w:trPr>
        <w:tc>
          <w:tcPr>
            <w:tcW w:w="0" w:type="auto"/>
            <w:shd w:val="clear" w:color="auto" w:fill="auto"/>
            <w:vAlign w:val="bottom"/>
            <w:hideMark/>
          </w:tcPr>
          <w:p w:rsidR="00A50922" w:rsidRPr="00E86D06" w:rsidRDefault="004A7C33"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lastRenderedPageBreak/>
              <w:t>Sub-p</w:t>
            </w:r>
            <w:r w:rsidR="00A50922" w:rsidRPr="00E86D06">
              <w:rPr>
                <w:rFonts w:ascii="Times New Roman" w:eastAsia="Times New Roman" w:hAnsi="Times New Roman" w:cs="Times New Roman"/>
                <w:sz w:val="24"/>
                <w:szCs w:val="24"/>
                <w:lang w:eastAsia="en-ZA"/>
              </w:rPr>
              <w:t>rogramme 1:</w:t>
            </w:r>
            <w:r w:rsidR="007E65AB" w:rsidRPr="00E86D06">
              <w:rPr>
                <w:rFonts w:ascii="Times New Roman" w:eastAsia="Times New Roman" w:hAnsi="Times New Roman" w:cs="Times New Roman"/>
                <w:sz w:val="24"/>
                <w:szCs w:val="24"/>
                <w:lang w:eastAsia="en-ZA"/>
              </w:rPr>
              <w:t xml:space="preserve"> Management: Community Work Programme</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3 140,8</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3 643,0</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3 754,1</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3 959,4</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502,3</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286,4</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15,99</w:t>
            </w:r>
            <w:r w:rsidR="00773833" w:rsidRPr="00E86D06">
              <w:rPr>
                <w:rFonts w:ascii="Times New Roman" w:eastAsia="Times New Roman" w:hAnsi="Times New Roman" w:cs="Times New Roman"/>
                <w:sz w:val="24"/>
                <w:szCs w:val="24"/>
                <w:lang w:eastAsia="en-ZA"/>
              </w:rPr>
              <w:t>%</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9,12</w:t>
            </w:r>
            <w:r w:rsidR="00773833" w:rsidRPr="00E86D06">
              <w:rPr>
                <w:rFonts w:ascii="Times New Roman" w:eastAsia="Times New Roman" w:hAnsi="Times New Roman" w:cs="Times New Roman"/>
                <w:sz w:val="24"/>
                <w:szCs w:val="24"/>
                <w:lang w:eastAsia="en-ZA"/>
              </w:rPr>
              <w:t>%</w:t>
            </w:r>
          </w:p>
        </w:tc>
      </w:tr>
      <w:tr w:rsidR="00A50922" w:rsidRPr="00E86D06" w:rsidTr="00D569D5">
        <w:trPr>
          <w:trHeight w:val="255"/>
        </w:trPr>
        <w:tc>
          <w:tcPr>
            <w:tcW w:w="0" w:type="auto"/>
            <w:shd w:val="clear" w:color="auto" w:fill="auto"/>
            <w:vAlign w:val="bottom"/>
            <w:hideMark/>
          </w:tcPr>
          <w:p w:rsidR="00A50922" w:rsidRPr="00E86D06" w:rsidRDefault="004A7C33"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A50922" w:rsidRPr="00E86D06">
              <w:rPr>
                <w:rFonts w:ascii="Times New Roman" w:eastAsia="Times New Roman" w:hAnsi="Times New Roman" w:cs="Times New Roman"/>
                <w:sz w:val="24"/>
                <w:szCs w:val="24"/>
                <w:lang w:eastAsia="en-ZA"/>
              </w:rPr>
              <w:t>rogramme 2:</w:t>
            </w:r>
            <w:r w:rsidR="00F02C73" w:rsidRPr="00E86D06">
              <w:rPr>
                <w:rFonts w:ascii="Times New Roman" w:eastAsia="Times New Roman" w:hAnsi="Times New Roman" w:cs="Times New Roman"/>
                <w:sz w:val="24"/>
                <w:szCs w:val="24"/>
                <w:lang w:eastAsia="en-ZA"/>
              </w:rPr>
              <w:t xml:space="preserve"> Programme Coordination</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38,5</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40,4</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42,6</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45,3</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1,8</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0,6</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4,76</w:t>
            </w:r>
            <w:r w:rsidR="00773833" w:rsidRPr="00E86D06">
              <w:rPr>
                <w:rFonts w:ascii="Times New Roman" w:eastAsia="Times New Roman" w:hAnsi="Times New Roman" w:cs="Times New Roman"/>
                <w:sz w:val="24"/>
                <w:szCs w:val="24"/>
                <w:lang w:eastAsia="en-ZA"/>
              </w:rPr>
              <w:t>%</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-1,45</w:t>
            </w:r>
            <w:r w:rsidR="00773833" w:rsidRPr="00E86D06">
              <w:rPr>
                <w:rFonts w:ascii="Times New Roman" w:eastAsia="Times New Roman" w:hAnsi="Times New Roman" w:cs="Times New Roman"/>
                <w:sz w:val="24"/>
                <w:szCs w:val="24"/>
                <w:lang w:eastAsia="en-ZA"/>
              </w:rPr>
              <w:t>%</w:t>
            </w:r>
          </w:p>
        </w:tc>
      </w:tr>
      <w:tr w:rsidR="00A50922" w:rsidRPr="00E86D06" w:rsidTr="00D569D5">
        <w:trPr>
          <w:trHeight w:val="255"/>
        </w:trPr>
        <w:tc>
          <w:tcPr>
            <w:tcW w:w="0" w:type="auto"/>
            <w:shd w:val="clear" w:color="auto" w:fill="auto"/>
            <w:vAlign w:val="bottom"/>
            <w:hideMark/>
          </w:tcPr>
          <w:p w:rsidR="00A50922" w:rsidRPr="00E86D06" w:rsidRDefault="004A7C33"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Sub-p</w:t>
            </w:r>
            <w:r w:rsidR="00A50922" w:rsidRPr="00E86D06">
              <w:rPr>
                <w:rFonts w:ascii="Times New Roman" w:eastAsia="Times New Roman" w:hAnsi="Times New Roman" w:cs="Times New Roman"/>
                <w:sz w:val="24"/>
                <w:szCs w:val="24"/>
                <w:lang w:eastAsia="en-ZA"/>
              </w:rPr>
              <w:t xml:space="preserve">rogramme 3: </w:t>
            </w:r>
            <w:r w:rsidR="00F02C73" w:rsidRPr="00E86D06">
              <w:rPr>
                <w:rFonts w:ascii="Times New Roman" w:eastAsia="Times New Roman" w:hAnsi="Times New Roman" w:cs="Times New Roman"/>
                <w:sz w:val="24"/>
                <w:szCs w:val="24"/>
                <w:lang w:eastAsia="en-ZA"/>
              </w:rPr>
              <w:t>Partnerships, Norms, Standards and Innovation</w:t>
            </w:r>
          </w:p>
        </w:tc>
        <w:tc>
          <w:tcPr>
            <w:tcW w:w="0" w:type="auto"/>
            <w:shd w:val="clear" w:color="auto" w:fill="auto"/>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11,9</w:t>
            </w:r>
          </w:p>
        </w:tc>
        <w:tc>
          <w:tcPr>
            <w:tcW w:w="0" w:type="auto"/>
            <w:shd w:val="clear" w:color="auto" w:fill="auto"/>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12,5</w:t>
            </w:r>
          </w:p>
        </w:tc>
        <w:tc>
          <w:tcPr>
            <w:tcW w:w="0" w:type="auto"/>
            <w:shd w:val="clear" w:color="auto" w:fill="auto"/>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13,2</w:t>
            </w:r>
          </w:p>
        </w:tc>
        <w:tc>
          <w:tcPr>
            <w:tcW w:w="0" w:type="auto"/>
            <w:shd w:val="clear" w:color="auto" w:fill="auto"/>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14,0</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0,6</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0,2</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4,74</w:t>
            </w:r>
            <w:r w:rsidR="00773833" w:rsidRPr="00E86D06">
              <w:rPr>
                <w:rFonts w:ascii="Times New Roman" w:eastAsia="Times New Roman" w:hAnsi="Times New Roman" w:cs="Times New Roman"/>
                <w:sz w:val="24"/>
                <w:szCs w:val="24"/>
                <w:lang w:eastAsia="en-ZA"/>
              </w:rPr>
              <w:t>%</w:t>
            </w:r>
          </w:p>
        </w:tc>
        <w:tc>
          <w:tcPr>
            <w:tcW w:w="0" w:type="auto"/>
            <w:shd w:val="clear" w:color="auto" w:fill="auto"/>
            <w:noWrap/>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-1,47</w:t>
            </w:r>
            <w:r w:rsidR="00773833" w:rsidRPr="00E86D06">
              <w:rPr>
                <w:rFonts w:ascii="Times New Roman" w:eastAsia="Times New Roman" w:hAnsi="Times New Roman" w:cs="Times New Roman"/>
                <w:sz w:val="24"/>
                <w:szCs w:val="24"/>
                <w:lang w:eastAsia="en-ZA"/>
              </w:rPr>
              <w:t>%</w:t>
            </w:r>
          </w:p>
        </w:tc>
      </w:tr>
      <w:tr w:rsidR="00A50922" w:rsidRPr="00E86D06" w:rsidTr="00F27575">
        <w:trPr>
          <w:trHeight w:val="255"/>
        </w:trPr>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sz w:val="24"/>
                <w:szCs w:val="24"/>
                <w:lang w:eastAsia="en-ZA"/>
              </w:rPr>
            </w:pPr>
          </w:p>
        </w:tc>
      </w:tr>
      <w:tr w:rsidR="00A50922" w:rsidRPr="00E86D06" w:rsidTr="00F27575">
        <w:trPr>
          <w:trHeight w:val="270"/>
        </w:trPr>
        <w:tc>
          <w:tcPr>
            <w:tcW w:w="0" w:type="auto"/>
            <w:shd w:val="clear" w:color="auto" w:fill="auto"/>
            <w:noWrap/>
            <w:vAlign w:val="bottom"/>
            <w:hideMark/>
          </w:tcPr>
          <w:p w:rsidR="00A50922" w:rsidRPr="00E86D06" w:rsidRDefault="00A50922"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3 191,2</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3 695,9</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3 809,9</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sz w:val="24"/>
                <w:szCs w:val="24"/>
                <w:lang w:eastAsia="en-ZA"/>
              </w:rPr>
            </w:pPr>
            <w:r w:rsidRPr="00E86D06">
              <w:rPr>
                <w:rFonts w:ascii="Times New Roman" w:eastAsia="Times New Roman" w:hAnsi="Times New Roman" w:cs="Times New Roman"/>
                <w:b/>
                <w:sz w:val="24"/>
                <w:szCs w:val="24"/>
                <w:lang w:eastAsia="en-ZA"/>
              </w:rPr>
              <w:t xml:space="preserve"> 4 018,6</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504,7</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285,6</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15,81</w:t>
            </w:r>
            <w:r w:rsidR="00773833" w:rsidRPr="00E86D06">
              <w:rPr>
                <w:rFonts w:ascii="Times New Roman" w:eastAsia="Times New Roman" w:hAnsi="Times New Roman" w:cs="Times New Roman"/>
                <w:b/>
                <w:bCs/>
                <w:sz w:val="24"/>
                <w:szCs w:val="24"/>
                <w:lang w:eastAsia="en-ZA"/>
              </w:rPr>
              <w:t>%</w:t>
            </w:r>
          </w:p>
        </w:tc>
        <w:tc>
          <w:tcPr>
            <w:tcW w:w="0" w:type="auto"/>
            <w:shd w:val="clear" w:color="auto" w:fill="auto"/>
            <w:noWrap/>
            <w:vAlign w:val="bottom"/>
            <w:hideMark/>
          </w:tcPr>
          <w:p w:rsidR="00A50922" w:rsidRPr="00E86D06" w:rsidRDefault="00A50922"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8,95</w:t>
            </w:r>
            <w:r w:rsidR="00773833" w:rsidRPr="00E86D06">
              <w:rPr>
                <w:rFonts w:ascii="Times New Roman" w:eastAsia="Times New Roman" w:hAnsi="Times New Roman" w:cs="Times New Roman"/>
                <w:b/>
                <w:bCs/>
                <w:sz w:val="24"/>
                <w:szCs w:val="24"/>
                <w:lang w:eastAsia="en-ZA"/>
              </w:rPr>
              <w:t>%</w:t>
            </w:r>
          </w:p>
        </w:tc>
      </w:tr>
    </w:tbl>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2726D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The Graph below shows that the bulk of the allocation to Programme 6 resides in </w:t>
      </w:r>
      <w:r w:rsidR="009320E4" w:rsidRPr="00E86D06">
        <w:rPr>
          <w:rFonts w:ascii="Times New Roman" w:hAnsi="Times New Roman" w:cs="Times New Roman"/>
          <w:sz w:val="24"/>
          <w:szCs w:val="24"/>
        </w:rPr>
        <w:t>sub-programme 1, as previously highlighted.</w:t>
      </w:r>
    </w:p>
    <w:p w:rsidR="00492209" w:rsidRPr="00E86D06" w:rsidRDefault="00492209" w:rsidP="00E86D06">
      <w:pPr>
        <w:spacing w:before="120" w:after="120" w:line="240" w:lineRule="auto"/>
        <w:rPr>
          <w:rFonts w:ascii="Times New Roman" w:hAnsi="Times New Roman" w:cs="Times New Roman"/>
          <w:sz w:val="24"/>
          <w:szCs w:val="24"/>
        </w:rPr>
      </w:pPr>
    </w:p>
    <w:p w:rsidR="00E86D06" w:rsidRDefault="00E86D06">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A50922" w:rsidRPr="00E86D06" w:rsidRDefault="00773833"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Graph 7:</w:t>
      </w:r>
    </w:p>
    <w:p w:rsidR="00773833" w:rsidRPr="00E86D06" w:rsidRDefault="00773833"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p>
    <w:p w:rsidR="00A50922" w:rsidRPr="00E86D06" w:rsidRDefault="00A50922"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68480" behindDoc="1" locked="0" layoutInCell="1" allowOverlap="1" wp14:anchorId="199B6514" wp14:editId="798173FF">
            <wp:simplePos x="0" y="0"/>
            <wp:positionH relativeFrom="column">
              <wp:posOffset>0</wp:posOffset>
            </wp:positionH>
            <wp:positionV relativeFrom="paragraph">
              <wp:posOffset>-3246755</wp:posOffset>
            </wp:positionV>
            <wp:extent cx="5731510" cy="3382645"/>
            <wp:effectExtent l="0" t="0" r="2540" b="825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52B47" w:rsidRPr="00E86D06" w:rsidRDefault="00052B47" w:rsidP="00E86D06">
      <w:pPr>
        <w:pStyle w:val="Heading2"/>
        <w:spacing w:before="120" w:after="120" w:line="240" w:lineRule="auto"/>
        <w:rPr>
          <w:rFonts w:ascii="Times New Roman" w:hAnsi="Times New Roman" w:cs="Times New Roman"/>
          <w:sz w:val="24"/>
          <w:szCs w:val="24"/>
        </w:rPr>
      </w:pPr>
    </w:p>
    <w:p w:rsidR="00AB62C3" w:rsidRPr="00E86D06" w:rsidRDefault="00903458" w:rsidP="00E86D06">
      <w:pPr>
        <w:pStyle w:val="Heading2"/>
        <w:numPr>
          <w:ilvl w:val="1"/>
          <w:numId w:val="20"/>
        </w:numPr>
        <w:spacing w:before="120" w:after="120" w:line="240" w:lineRule="auto"/>
        <w:ind w:left="284" w:hanging="284"/>
        <w:rPr>
          <w:rFonts w:ascii="Times New Roman" w:hAnsi="Times New Roman" w:cs="Times New Roman"/>
          <w:color w:val="auto"/>
          <w:sz w:val="24"/>
          <w:szCs w:val="24"/>
        </w:rPr>
      </w:pPr>
      <w:bookmarkStart w:id="11" w:name="_Toc477175322"/>
      <w:r w:rsidRPr="00E86D06">
        <w:rPr>
          <w:rFonts w:ascii="Times New Roman" w:hAnsi="Times New Roman" w:cs="Times New Roman"/>
          <w:color w:val="auto"/>
          <w:sz w:val="24"/>
          <w:szCs w:val="24"/>
        </w:rPr>
        <w:t xml:space="preserve">Department of </w:t>
      </w:r>
      <w:r w:rsidR="00AB62C3" w:rsidRPr="00E86D06">
        <w:rPr>
          <w:rFonts w:ascii="Times New Roman" w:hAnsi="Times New Roman" w:cs="Times New Roman"/>
          <w:color w:val="auto"/>
          <w:sz w:val="24"/>
          <w:szCs w:val="24"/>
        </w:rPr>
        <w:t>Traditional Affairs</w:t>
      </w:r>
      <w:bookmarkEnd w:id="11"/>
    </w:p>
    <w:p w:rsidR="00544041" w:rsidRPr="00E86D06" w:rsidRDefault="00544041" w:rsidP="00E86D06">
      <w:pPr>
        <w:spacing w:before="120" w:after="120" w:line="240" w:lineRule="auto"/>
        <w:rPr>
          <w:rFonts w:ascii="Times New Roman" w:hAnsi="Times New Roman" w:cs="Times New Roman"/>
          <w:sz w:val="24"/>
          <w:szCs w:val="24"/>
        </w:rPr>
      </w:pPr>
    </w:p>
    <w:p w:rsidR="00544041" w:rsidRPr="00E86D06" w:rsidRDefault="00544041"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The Department’s budget allocation for the 2017/18 financial year increases by </w:t>
      </w:r>
      <w:r w:rsidR="00773833" w:rsidRPr="00E86D06">
        <w:rPr>
          <w:rFonts w:ascii="Times New Roman" w:hAnsi="Times New Roman" w:cs="Times New Roman"/>
          <w:sz w:val="24"/>
          <w:szCs w:val="24"/>
        </w:rPr>
        <w:t>5%</w:t>
      </w:r>
      <w:r w:rsidRPr="00E86D06">
        <w:rPr>
          <w:rFonts w:ascii="Times New Roman" w:hAnsi="Times New Roman" w:cs="Times New Roman"/>
          <w:sz w:val="24"/>
          <w:szCs w:val="24"/>
        </w:rPr>
        <w:t xml:space="preserve">, from R129 million to R145 million, as indicated in Table </w:t>
      </w:r>
      <w:r w:rsidR="00773833" w:rsidRPr="00E86D06">
        <w:rPr>
          <w:rFonts w:ascii="Times New Roman" w:hAnsi="Times New Roman" w:cs="Times New Roman"/>
          <w:sz w:val="24"/>
          <w:szCs w:val="24"/>
        </w:rPr>
        <w:t xml:space="preserve">8 </w:t>
      </w:r>
      <w:r w:rsidRPr="00E86D06">
        <w:rPr>
          <w:rFonts w:ascii="Times New Roman" w:hAnsi="Times New Roman" w:cs="Times New Roman"/>
          <w:sz w:val="24"/>
          <w:szCs w:val="24"/>
        </w:rPr>
        <w:t>below</w:t>
      </w:r>
      <w:r w:rsidR="003F0F56" w:rsidRPr="00E86D06">
        <w:rPr>
          <w:rFonts w:ascii="Times New Roman" w:hAnsi="Times New Roman" w:cs="Times New Roman"/>
          <w:sz w:val="24"/>
          <w:szCs w:val="24"/>
        </w:rPr>
        <w:t xml:space="preserve">. Most of this increase relates to Programme 1: </w:t>
      </w:r>
      <w:r w:rsidR="00773833" w:rsidRPr="00E86D06">
        <w:rPr>
          <w:rFonts w:ascii="Times New Roman" w:hAnsi="Times New Roman" w:cs="Times New Roman"/>
          <w:sz w:val="24"/>
          <w:szCs w:val="24"/>
        </w:rPr>
        <w:t>(</w:t>
      </w:r>
      <w:r w:rsidR="00321A8E" w:rsidRPr="00E86D06">
        <w:rPr>
          <w:rFonts w:ascii="Times New Roman" w:hAnsi="Times New Roman" w:cs="Times New Roman"/>
          <w:sz w:val="24"/>
          <w:szCs w:val="24"/>
        </w:rPr>
        <w:t>Admin</w:t>
      </w:r>
      <w:r w:rsidR="009C061E" w:rsidRPr="00E86D06">
        <w:rPr>
          <w:rFonts w:ascii="Times New Roman" w:hAnsi="Times New Roman" w:cs="Times New Roman"/>
          <w:sz w:val="24"/>
          <w:szCs w:val="24"/>
        </w:rPr>
        <w:t>i</w:t>
      </w:r>
      <w:r w:rsidR="00321A8E" w:rsidRPr="00E86D06">
        <w:rPr>
          <w:rFonts w:ascii="Times New Roman" w:hAnsi="Times New Roman" w:cs="Times New Roman"/>
          <w:sz w:val="24"/>
          <w:szCs w:val="24"/>
        </w:rPr>
        <w:t>stration</w:t>
      </w:r>
      <w:r w:rsidR="00773833" w:rsidRPr="00E86D06">
        <w:rPr>
          <w:rFonts w:ascii="Times New Roman" w:hAnsi="Times New Roman" w:cs="Times New Roman"/>
          <w:sz w:val="24"/>
          <w:szCs w:val="24"/>
        </w:rPr>
        <w:t>)</w:t>
      </w:r>
      <w:r w:rsidR="009C061E" w:rsidRPr="00E86D06">
        <w:rPr>
          <w:rFonts w:ascii="Times New Roman" w:hAnsi="Times New Roman" w:cs="Times New Roman"/>
          <w:sz w:val="24"/>
          <w:szCs w:val="24"/>
        </w:rPr>
        <w:t xml:space="preserve"> whose allocation increases</w:t>
      </w:r>
      <w:r w:rsidR="002E38DE" w:rsidRPr="00E86D06">
        <w:rPr>
          <w:rFonts w:ascii="Times New Roman" w:hAnsi="Times New Roman" w:cs="Times New Roman"/>
          <w:sz w:val="24"/>
          <w:szCs w:val="24"/>
        </w:rPr>
        <w:t xml:space="preserve"> in real terms</w:t>
      </w:r>
      <w:r w:rsidR="009C061E" w:rsidRPr="00E86D06">
        <w:rPr>
          <w:rFonts w:ascii="Times New Roman" w:hAnsi="Times New Roman" w:cs="Times New Roman"/>
          <w:sz w:val="24"/>
          <w:szCs w:val="24"/>
        </w:rPr>
        <w:t xml:space="preserve"> by 23.1</w:t>
      </w:r>
      <w:r w:rsidR="00773833" w:rsidRPr="00E86D06">
        <w:rPr>
          <w:rFonts w:ascii="Times New Roman" w:hAnsi="Times New Roman" w:cs="Times New Roman"/>
          <w:sz w:val="24"/>
          <w:szCs w:val="24"/>
        </w:rPr>
        <w:t>%</w:t>
      </w:r>
      <w:r w:rsidR="009C061E" w:rsidRPr="00E86D06">
        <w:rPr>
          <w:rFonts w:ascii="Times New Roman" w:hAnsi="Times New Roman" w:cs="Times New Roman"/>
          <w:sz w:val="24"/>
          <w:szCs w:val="24"/>
        </w:rPr>
        <w:t>, from R28,8 million in 2016/17 to R37,7 million</w:t>
      </w:r>
      <w:r w:rsidR="002E38DE" w:rsidRPr="00E86D06">
        <w:rPr>
          <w:rFonts w:ascii="Times New Roman" w:hAnsi="Times New Roman" w:cs="Times New Roman"/>
          <w:sz w:val="24"/>
          <w:szCs w:val="24"/>
        </w:rPr>
        <w:t xml:space="preserve"> 2017/18. Most of this increase relates to the fact that the allocation to the Internal Audit has increased by more 100</w:t>
      </w:r>
      <w:r w:rsidR="002456A9" w:rsidRPr="00E86D06">
        <w:rPr>
          <w:rFonts w:ascii="Times New Roman" w:hAnsi="Times New Roman" w:cs="Times New Roman"/>
          <w:sz w:val="24"/>
          <w:szCs w:val="24"/>
        </w:rPr>
        <w:t>%</w:t>
      </w:r>
      <w:r w:rsidR="002E38DE" w:rsidRPr="00E86D06">
        <w:rPr>
          <w:rFonts w:ascii="Times New Roman" w:hAnsi="Times New Roman" w:cs="Times New Roman"/>
          <w:sz w:val="24"/>
          <w:szCs w:val="24"/>
        </w:rPr>
        <w:t>, from R2.3 million in 2016/17 to R4.9 million in 2017/18, followed by a 21.8</w:t>
      </w:r>
      <w:r w:rsidR="00773833" w:rsidRPr="00E86D06">
        <w:rPr>
          <w:rFonts w:ascii="Times New Roman" w:hAnsi="Times New Roman" w:cs="Times New Roman"/>
          <w:sz w:val="24"/>
          <w:szCs w:val="24"/>
        </w:rPr>
        <w:t xml:space="preserve">% </w:t>
      </w:r>
      <w:r w:rsidR="002E38DE" w:rsidRPr="00E86D06">
        <w:rPr>
          <w:rFonts w:ascii="Times New Roman" w:hAnsi="Times New Roman" w:cs="Times New Roman"/>
          <w:sz w:val="24"/>
          <w:szCs w:val="24"/>
        </w:rPr>
        <w:t>increase in allocation to Corporate Services</w:t>
      </w:r>
      <w:r w:rsidR="00773833" w:rsidRPr="00E86D06">
        <w:rPr>
          <w:rFonts w:ascii="Times New Roman" w:hAnsi="Times New Roman" w:cs="Times New Roman"/>
          <w:sz w:val="24"/>
          <w:szCs w:val="24"/>
        </w:rPr>
        <w:t>,</w:t>
      </w:r>
      <w:r w:rsidR="002E38DE" w:rsidRPr="00E86D06">
        <w:rPr>
          <w:rFonts w:ascii="Times New Roman" w:hAnsi="Times New Roman" w:cs="Times New Roman"/>
          <w:sz w:val="24"/>
          <w:szCs w:val="24"/>
        </w:rPr>
        <w:t xml:space="preserve"> from R11.5 million in 2016/17 to R14.9 million in 2017/18. The last substantial increase relates to the Management of Traditional Affairs whose allocation increases from R9.3 million to R11.3 million. </w:t>
      </w:r>
      <w:r w:rsidR="00932770" w:rsidRPr="00E86D06">
        <w:rPr>
          <w:rFonts w:ascii="Times New Roman" w:hAnsi="Times New Roman" w:cs="Times New Roman"/>
          <w:sz w:val="24"/>
          <w:szCs w:val="24"/>
        </w:rPr>
        <w:t xml:space="preserve">Allocation to Programme 3: </w:t>
      </w:r>
      <w:r w:rsidR="00773833" w:rsidRPr="00E86D06">
        <w:rPr>
          <w:rFonts w:ascii="Times New Roman" w:hAnsi="Times New Roman" w:cs="Times New Roman"/>
          <w:sz w:val="24"/>
          <w:szCs w:val="24"/>
        </w:rPr>
        <w:t>(</w:t>
      </w:r>
      <w:r w:rsidR="00932770" w:rsidRPr="00E86D06">
        <w:rPr>
          <w:rFonts w:ascii="Times New Roman" w:hAnsi="Times New Roman" w:cs="Times New Roman"/>
          <w:sz w:val="24"/>
          <w:szCs w:val="24"/>
        </w:rPr>
        <w:t>Institutional Support and Coordination</w:t>
      </w:r>
      <w:r w:rsidR="00773833" w:rsidRPr="00E86D06">
        <w:rPr>
          <w:rFonts w:ascii="Times New Roman" w:hAnsi="Times New Roman" w:cs="Times New Roman"/>
          <w:sz w:val="24"/>
          <w:szCs w:val="24"/>
        </w:rPr>
        <w:t>)</w:t>
      </w:r>
      <w:r w:rsidR="00932770" w:rsidRPr="00E86D06">
        <w:rPr>
          <w:rFonts w:ascii="Times New Roman" w:hAnsi="Times New Roman" w:cs="Times New Roman"/>
          <w:sz w:val="24"/>
          <w:szCs w:val="24"/>
        </w:rPr>
        <w:t xml:space="preserve">, on the other hand decreases in real terms by almost </w:t>
      </w:r>
      <w:r w:rsidR="00773833" w:rsidRPr="00E86D06">
        <w:rPr>
          <w:rFonts w:ascii="Times New Roman" w:hAnsi="Times New Roman" w:cs="Times New Roman"/>
          <w:sz w:val="24"/>
          <w:szCs w:val="24"/>
        </w:rPr>
        <w:t>1%</w:t>
      </w:r>
      <w:r w:rsidR="00932770" w:rsidRPr="00E86D06">
        <w:rPr>
          <w:rFonts w:ascii="Times New Roman" w:hAnsi="Times New Roman" w:cs="Times New Roman"/>
          <w:sz w:val="24"/>
          <w:szCs w:val="24"/>
        </w:rPr>
        <w:t>.</w:t>
      </w:r>
      <w:r w:rsidR="005E6CBD" w:rsidRPr="00E86D06">
        <w:rPr>
          <w:rFonts w:ascii="Times New Roman" w:hAnsi="Times New Roman" w:cs="Times New Roman"/>
          <w:sz w:val="24"/>
          <w:szCs w:val="24"/>
        </w:rPr>
        <w:t xml:space="preserve"> The Programme oversees the enactment of the Tradition</w:t>
      </w:r>
      <w:r w:rsidR="00E61A00" w:rsidRPr="00E86D06">
        <w:rPr>
          <w:rFonts w:ascii="Times New Roman" w:hAnsi="Times New Roman" w:cs="Times New Roman"/>
          <w:sz w:val="24"/>
          <w:szCs w:val="24"/>
        </w:rPr>
        <w:t>al Leadership and Khoi-San Bill, which is presently undergoing parliamentary</w:t>
      </w:r>
      <w:r w:rsidR="0040540A" w:rsidRPr="00E86D06">
        <w:rPr>
          <w:rFonts w:ascii="Times New Roman" w:hAnsi="Times New Roman" w:cs="Times New Roman"/>
          <w:sz w:val="24"/>
          <w:szCs w:val="24"/>
        </w:rPr>
        <w:t xml:space="preserve"> consultation</w:t>
      </w:r>
      <w:r w:rsidR="00E61A00" w:rsidRPr="00E86D06">
        <w:rPr>
          <w:rFonts w:ascii="Times New Roman" w:hAnsi="Times New Roman" w:cs="Times New Roman"/>
          <w:sz w:val="24"/>
          <w:szCs w:val="24"/>
        </w:rPr>
        <w:t xml:space="preserve"> processes.</w:t>
      </w:r>
    </w:p>
    <w:p w:rsidR="00052B47" w:rsidRPr="00E86D06" w:rsidRDefault="00052B47" w:rsidP="00E86D06">
      <w:pPr>
        <w:spacing w:before="120" w:after="120" w:line="240" w:lineRule="auto"/>
        <w:rPr>
          <w:rFonts w:ascii="Times New Roman" w:hAnsi="Times New Roman" w:cs="Times New Roman"/>
          <w:sz w:val="24"/>
          <w:szCs w:val="24"/>
        </w:rPr>
      </w:pPr>
    </w:p>
    <w:p w:rsidR="00E86D06" w:rsidRDefault="00E86D06">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6E651F" w:rsidRPr="00E86D06" w:rsidRDefault="006E651F"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Table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27"/>
        <w:gridCol w:w="826"/>
        <w:gridCol w:w="826"/>
        <w:gridCol w:w="826"/>
        <w:gridCol w:w="1020"/>
        <w:gridCol w:w="1018"/>
        <w:gridCol w:w="1139"/>
        <w:gridCol w:w="1423"/>
      </w:tblGrid>
      <w:tr w:rsidR="00E50264" w:rsidRPr="00E86D06" w:rsidTr="00D569D5">
        <w:trPr>
          <w:trHeight w:val="780"/>
          <w:tblHeader/>
        </w:trPr>
        <w:tc>
          <w:tcPr>
            <w:tcW w:w="723" w:type="pct"/>
            <w:shd w:val="clear" w:color="auto" w:fill="D9D9D9" w:themeFill="background1" w:themeFillShade="D9"/>
            <w:noWrap/>
            <w:vAlign w:val="bottom"/>
            <w:hideMark/>
          </w:tcPr>
          <w:p w:rsidR="00E50264" w:rsidRPr="00E86D06" w:rsidRDefault="00E5026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Programme</w:t>
            </w:r>
          </w:p>
        </w:tc>
        <w:tc>
          <w:tcPr>
            <w:tcW w:w="1788" w:type="pct"/>
            <w:gridSpan w:val="4"/>
            <w:shd w:val="clear" w:color="auto" w:fill="D9D9D9" w:themeFill="background1" w:themeFillShade="D9"/>
            <w:vAlign w:val="center"/>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Budget</w:t>
            </w:r>
          </w:p>
        </w:tc>
        <w:tc>
          <w:tcPr>
            <w:tcW w:w="552" w:type="pct"/>
            <w:shd w:val="clear" w:color="auto" w:fill="D9D9D9" w:themeFill="background1" w:themeFillShade="D9"/>
            <w:vAlign w:val="center"/>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Rand change</w:t>
            </w:r>
          </w:p>
        </w:tc>
        <w:tc>
          <w:tcPr>
            <w:tcW w:w="551" w:type="pct"/>
            <w:shd w:val="clear" w:color="auto" w:fill="D9D9D9" w:themeFill="background1" w:themeFillShade="D9"/>
            <w:vAlign w:val="center"/>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Rand change</w:t>
            </w:r>
          </w:p>
        </w:tc>
        <w:tc>
          <w:tcPr>
            <w:tcW w:w="616" w:type="pct"/>
            <w:shd w:val="clear" w:color="auto" w:fill="D9D9D9" w:themeFill="background1" w:themeFillShade="D9"/>
            <w:vAlign w:val="center"/>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Nominal % change</w:t>
            </w:r>
          </w:p>
        </w:tc>
        <w:tc>
          <w:tcPr>
            <w:tcW w:w="770" w:type="pct"/>
            <w:shd w:val="clear" w:color="auto" w:fill="D9D9D9" w:themeFill="background1" w:themeFillShade="D9"/>
            <w:vAlign w:val="center"/>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Real % change</w:t>
            </w:r>
          </w:p>
        </w:tc>
      </w:tr>
      <w:tr w:rsidR="00E50264" w:rsidRPr="00E86D06" w:rsidTr="00D569D5">
        <w:trPr>
          <w:trHeight w:val="255"/>
        </w:trPr>
        <w:tc>
          <w:tcPr>
            <w:tcW w:w="723" w:type="pct"/>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R million</w:t>
            </w:r>
          </w:p>
        </w:tc>
        <w:tc>
          <w:tcPr>
            <w:tcW w:w="447" w:type="pct"/>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2016/17</w:t>
            </w:r>
          </w:p>
        </w:tc>
        <w:tc>
          <w:tcPr>
            <w:tcW w:w="447" w:type="pct"/>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2017/18</w:t>
            </w:r>
          </w:p>
        </w:tc>
        <w:tc>
          <w:tcPr>
            <w:tcW w:w="447" w:type="pct"/>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2018/19</w:t>
            </w:r>
          </w:p>
        </w:tc>
        <w:tc>
          <w:tcPr>
            <w:tcW w:w="447" w:type="pct"/>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2019/20</w:t>
            </w:r>
          </w:p>
        </w:tc>
        <w:tc>
          <w:tcPr>
            <w:tcW w:w="1103" w:type="pct"/>
            <w:gridSpan w:val="2"/>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c>
          <w:tcPr>
            <w:tcW w:w="1386" w:type="pct"/>
            <w:gridSpan w:val="2"/>
            <w:shd w:val="clear" w:color="auto" w:fill="auto"/>
            <w:noWrap/>
            <w:vAlign w:val="bottom"/>
            <w:hideMark/>
          </w:tcPr>
          <w:p w:rsidR="00E50264" w:rsidRPr="00E86D06" w:rsidRDefault="00E50264" w:rsidP="00E86D06">
            <w:pPr>
              <w:spacing w:before="120" w:after="120" w:line="240" w:lineRule="auto"/>
              <w:jc w:val="center"/>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2016/17-2017/18</w:t>
            </w:r>
          </w:p>
        </w:tc>
      </w:tr>
      <w:tr w:rsidR="00E50264" w:rsidRPr="00E86D06" w:rsidTr="00D569D5">
        <w:trPr>
          <w:trHeight w:val="255"/>
        </w:trPr>
        <w:tc>
          <w:tcPr>
            <w:tcW w:w="723" w:type="pct"/>
            <w:shd w:val="clear" w:color="auto" w:fill="auto"/>
            <w:vAlign w:val="bottom"/>
            <w:hideMark/>
          </w:tcPr>
          <w:p w:rsidR="00E50264" w:rsidRPr="00E86D06" w:rsidRDefault="00E5026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1:</w:t>
            </w:r>
            <w:r w:rsidR="009C061E" w:rsidRPr="00E86D06">
              <w:rPr>
                <w:rFonts w:ascii="Times New Roman" w:eastAsia="Times New Roman" w:hAnsi="Times New Roman" w:cs="Times New Roman"/>
                <w:sz w:val="24"/>
                <w:szCs w:val="24"/>
                <w:lang w:eastAsia="en-ZA"/>
              </w:rPr>
              <w:t xml:space="preserve"> Administration</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28,8</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37,7</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39,8</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42,0</w:t>
            </w:r>
          </w:p>
        </w:tc>
        <w:tc>
          <w:tcPr>
            <w:tcW w:w="552"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8,9</w:t>
            </w:r>
          </w:p>
        </w:tc>
        <w:tc>
          <w:tcPr>
            <w:tcW w:w="551"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6,7</w:t>
            </w:r>
          </w:p>
        </w:tc>
        <w:tc>
          <w:tcPr>
            <w:tcW w:w="616"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30,90</w:t>
            </w:r>
            <w:r w:rsidR="006E651F" w:rsidRPr="00E86D06">
              <w:rPr>
                <w:rFonts w:ascii="Times New Roman" w:eastAsia="Times New Roman" w:hAnsi="Times New Roman" w:cs="Times New Roman"/>
                <w:sz w:val="24"/>
                <w:szCs w:val="24"/>
                <w:lang w:eastAsia="en-ZA"/>
              </w:rPr>
              <w:t>%</w:t>
            </w:r>
          </w:p>
        </w:tc>
        <w:tc>
          <w:tcPr>
            <w:tcW w:w="770"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23,14</w:t>
            </w:r>
            <w:r w:rsidR="006E651F" w:rsidRPr="00E86D06">
              <w:rPr>
                <w:rFonts w:ascii="Times New Roman" w:eastAsia="Times New Roman" w:hAnsi="Times New Roman" w:cs="Times New Roman"/>
                <w:sz w:val="24"/>
                <w:szCs w:val="24"/>
                <w:lang w:eastAsia="en-ZA"/>
              </w:rPr>
              <w:t>%</w:t>
            </w:r>
          </w:p>
        </w:tc>
      </w:tr>
      <w:tr w:rsidR="00E50264" w:rsidRPr="00E86D06" w:rsidTr="00D569D5">
        <w:trPr>
          <w:trHeight w:val="255"/>
        </w:trPr>
        <w:tc>
          <w:tcPr>
            <w:tcW w:w="723" w:type="pct"/>
            <w:shd w:val="clear" w:color="auto" w:fill="auto"/>
            <w:vAlign w:val="bottom"/>
            <w:hideMark/>
          </w:tcPr>
          <w:p w:rsidR="00E50264" w:rsidRPr="00E86D06" w:rsidRDefault="00E5026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2:</w:t>
            </w:r>
            <w:r w:rsidR="0054564D" w:rsidRPr="00E86D06">
              <w:rPr>
                <w:rFonts w:ascii="Times New Roman" w:eastAsia="Times New Roman" w:hAnsi="Times New Roman" w:cs="Times New Roman"/>
                <w:sz w:val="24"/>
                <w:szCs w:val="24"/>
                <w:lang w:eastAsia="en-ZA"/>
              </w:rPr>
              <w:t xml:space="preserve"> Research, Policy and Legislation</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17,1</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19,0</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20,9</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22,8</w:t>
            </w:r>
          </w:p>
        </w:tc>
        <w:tc>
          <w:tcPr>
            <w:tcW w:w="552"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1,9</w:t>
            </w:r>
          </w:p>
        </w:tc>
        <w:tc>
          <w:tcPr>
            <w:tcW w:w="551"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0,8</w:t>
            </w:r>
          </w:p>
        </w:tc>
        <w:tc>
          <w:tcPr>
            <w:tcW w:w="616"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11,11</w:t>
            </w:r>
            <w:r w:rsidR="006E651F" w:rsidRPr="00E86D06">
              <w:rPr>
                <w:rFonts w:ascii="Times New Roman" w:eastAsia="Times New Roman" w:hAnsi="Times New Roman" w:cs="Times New Roman"/>
                <w:sz w:val="24"/>
                <w:szCs w:val="24"/>
                <w:lang w:eastAsia="en-ZA"/>
              </w:rPr>
              <w:t>%</w:t>
            </w:r>
          </w:p>
        </w:tc>
        <w:tc>
          <w:tcPr>
            <w:tcW w:w="770"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4,53</w:t>
            </w:r>
            <w:r w:rsidR="006E651F" w:rsidRPr="00E86D06">
              <w:rPr>
                <w:rFonts w:ascii="Times New Roman" w:eastAsia="Times New Roman" w:hAnsi="Times New Roman" w:cs="Times New Roman"/>
                <w:sz w:val="24"/>
                <w:szCs w:val="24"/>
                <w:lang w:eastAsia="en-ZA"/>
              </w:rPr>
              <w:t>%</w:t>
            </w:r>
          </w:p>
        </w:tc>
      </w:tr>
      <w:tr w:rsidR="00E50264" w:rsidRPr="00E86D06" w:rsidTr="00D569D5">
        <w:trPr>
          <w:trHeight w:val="255"/>
        </w:trPr>
        <w:tc>
          <w:tcPr>
            <w:tcW w:w="723" w:type="pct"/>
            <w:shd w:val="clear" w:color="auto" w:fill="auto"/>
            <w:vAlign w:val="bottom"/>
            <w:hideMark/>
          </w:tcPr>
          <w:p w:rsidR="00E50264" w:rsidRPr="00E86D06" w:rsidRDefault="00E50264" w:rsidP="00E86D06">
            <w:pPr>
              <w:spacing w:before="120" w:after="120" w:line="240" w:lineRule="auto"/>
              <w:jc w:val="lef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Programme 3:</w:t>
            </w:r>
            <w:r w:rsidR="0054564D" w:rsidRPr="00E86D06">
              <w:rPr>
                <w:rFonts w:ascii="Times New Roman" w:eastAsia="Times New Roman" w:hAnsi="Times New Roman" w:cs="Times New Roman"/>
                <w:sz w:val="24"/>
                <w:szCs w:val="24"/>
                <w:lang w:eastAsia="en-ZA"/>
              </w:rPr>
              <w:t xml:space="preserve"> Institutional Support and Coordination</w:t>
            </w:r>
            <w:r w:rsidRPr="00E86D06">
              <w:rPr>
                <w:rFonts w:ascii="Times New Roman" w:eastAsia="Times New Roman" w:hAnsi="Times New Roman" w:cs="Times New Roman"/>
                <w:sz w:val="24"/>
                <w:szCs w:val="24"/>
                <w:lang w:eastAsia="en-ZA"/>
              </w:rPr>
              <w:t xml:space="preserve"> </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83,9</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88,3</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93,5</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99,5</w:t>
            </w:r>
          </w:p>
        </w:tc>
        <w:tc>
          <w:tcPr>
            <w:tcW w:w="552"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4,4</w:t>
            </w:r>
          </w:p>
        </w:tc>
        <w:tc>
          <w:tcPr>
            <w:tcW w:w="551"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0,8</w:t>
            </w:r>
          </w:p>
        </w:tc>
        <w:tc>
          <w:tcPr>
            <w:tcW w:w="616"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5,24</w:t>
            </w:r>
            <w:r w:rsidR="006E651F" w:rsidRPr="00E86D06">
              <w:rPr>
                <w:rFonts w:ascii="Times New Roman" w:eastAsia="Times New Roman" w:hAnsi="Times New Roman" w:cs="Times New Roman"/>
                <w:sz w:val="24"/>
                <w:szCs w:val="24"/>
                <w:lang w:eastAsia="en-ZA"/>
              </w:rPr>
              <w:t>%</w:t>
            </w:r>
          </w:p>
        </w:tc>
        <w:tc>
          <w:tcPr>
            <w:tcW w:w="770" w:type="pct"/>
            <w:shd w:val="clear" w:color="auto" w:fill="auto"/>
            <w:noWrap/>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-0,99</w:t>
            </w:r>
            <w:r w:rsidR="006E651F" w:rsidRPr="00E86D06">
              <w:rPr>
                <w:rFonts w:ascii="Times New Roman" w:eastAsia="Times New Roman" w:hAnsi="Times New Roman" w:cs="Times New Roman"/>
                <w:sz w:val="24"/>
                <w:szCs w:val="24"/>
                <w:lang w:eastAsia="en-ZA"/>
              </w:rPr>
              <w:t>%</w:t>
            </w:r>
          </w:p>
        </w:tc>
      </w:tr>
      <w:tr w:rsidR="00E50264" w:rsidRPr="00E86D06" w:rsidTr="00D569D5">
        <w:trPr>
          <w:trHeight w:val="270"/>
        </w:trPr>
        <w:tc>
          <w:tcPr>
            <w:tcW w:w="723" w:type="pct"/>
            <w:shd w:val="clear" w:color="auto" w:fill="auto"/>
            <w:noWrap/>
            <w:vAlign w:val="bottom"/>
            <w:hideMark/>
          </w:tcPr>
          <w:p w:rsidR="00E50264" w:rsidRPr="00E86D06" w:rsidRDefault="00E50264" w:rsidP="00E86D06">
            <w:pPr>
              <w:spacing w:before="120" w:after="120" w:line="240" w:lineRule="auto"/>
              <w:jc w:val="lef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TOTAL</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129,8</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145,0</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154,2</w:t>
            </w:r>
          </w:p>
        </w:tc>
        <w:tc>
          <w:tcPr>
            <w:tcW w:w="447"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sz w:val="24"/>
                <w:szCs w:val="24"/>
                <w:lang w:eastAsia="en-ZA"/>
              </w:rPr>
            </w:pPr>
            <w:r w:rsidRPr="00E86D06">
              <w:rPr>
                <w:rFonts w:ascii="Times New Roman" w:eastAsia="Times New Roman" w:hAnsi="Times New Roman" w:cs="Times New Roman"/>
                <w:sz w:val="24"/>
                <w:szCs w:val="24"/>
                <w:lang w:eastAsia="en-ZA"/>
              </w:rPr>
              <w:t xml:space="preserve">  164,3</w:t>
            </w:r>
          </w:p>
        </w:tc>
        <w:tc>
          <w:tcPr>
            <w:tcW w:w="552"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15,2</w:t>
            </w:r>
          </w:p>
        </w:tc>
        <w:tc>
          <w:tcPr>
            <w:tcW w:w="551"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 xml:space="preserve">  6,6</w:t>
            </w:r>
          </w:p>
        </w:tc>
        <w:tc>
          <w:tcPr>
            <w:tcW w:w="616"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11,71</w:t>
            </w:r>
            <w:r w:rsidR="006E651F" w:rsidRPr="00E86D06">
              <w:rPr>
                <w:rFonts w:ascii="Times New Roman" w:eastAsia="Times New Roman" w:hAnsi="Times New Roman" w:cs="Times New Roman"/>
                <w:b/>
                <w:bCs/>
                <w:sz w:val="24"/>
                <w:szCs w:val="24"/>
                <w:lang w:eastAsia="en-ZA"/>
              </w:rPr>
              <w:t>%</w:t>
            </w:r>
          </w:p>
        </w:tc>
        <w:tc>
          <w:tcPr>
            <w:tcW w:w="770" w:type="pct"/>
            <w:shd w:val="clear" w:color="auto" w:fill="auto"/>
            <w:noWrap/>
            <w:vAlign w:val="bottom"/>
            <w:hideMark/>
          </w:tcPr>
          <w:p w:rsidR="00E50264" w:rsidRPr="00E86D06" w:rsidRDefault="00E50264" w:rsidP="00E86D06">
            <w:pPr>
              <w:spacing w:before="120" w:after="120" w:line="240" w:lineRule="auto"/>
              <w:jc w:val="right"/>
              <w:rPr>
                <w:rFonts w:ascii="Times New Roman" w:eastAsia="Times New Roman" w:hAnsi="Times New Roman" w:cs="Times New Roman"/>
                <w:b/>
                <w:bCs/>
                <w:sz w:val="24"/>
                <w:szCs w:val="24"/>
                <w:lang w:eastAsia="en-ZA"/>
              </w:rPr>
            </w:pPr>
            <w:r w:rsidRPr="00E86D06">
              <w:rPr>
                <w:rFonts w:ascii="Times New Roman" w:eastAsia="Times New Roman" w:hAnsi="Times New Roman" w:cs="Times New Roman"/>
                <w:b/>
                <w:bCs/>
                <w:sz w:val="24"/>
                <w:szCs w:val="24"/>
                <w:lang w:eastAsia="en-ZA"/>
              </w:rPr>
              <w:t>5,09</w:t>
            </w:r>
            <w:r w:rsidR="006E651F" w:rsidRPr="00E86D06">
              <w:rPr>
                <w:rFonts w:ascii="Times New Roman" w:eastAsia="Times New Roman" w:hAnsi="Times New Roman" w:cs="Times New Roman"/>
                <w:b/>
                <w:bCs/>
                <w:sz w:val="24"/>
                <w:szCs w:val="24"/>
                <w:lang w:eastAsia="en-ZA"/>
              </w:rPr>
              <w:t>%</w:t>
            </w:r>
          </w:p>
        </w:tc>
      </w:tr>
    </w:tbl>
    <w:p w:rsidR="007023F0" w:rsidRPr="00E86D06" w:rsidRDefault="007023F0" w:rsidP="00E86D06">
      <w:pPr>
        <w:spacing w:before="120" w:after="120" w:line="240" w:lineRule="auto"/>
        <w:rPr>
          <w:rFonts w:ascii="Times New Roman" w:hAnsi="Times New Roman" w:cs="Times New Roman"/>
          <w:sz w:val="24"/>
          <w:szCs w:val="24"/>
        </w:rPr>
      </w:pPr>
    </w:p>
    <w:p w:rsidR="001A4A16" w:rsidRPr="00E86D06" w:rsidRDefault="008B2496"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bulk of the Department’s expenditure, as the Graph below illustrates, is concentrated on Programme 3, despite having received a negative increase for 2017/18. This is due to the fact that the Programme disburses transfers to other departmental entities, namely the National House of Traditional Leaders, the Commission for the Protection and Promotion of the Rights of Cultural, Religious and Linguistic Communities, and the Commission on Traditional Leadership Disputes and Claims.</w:t>
      </w:r>
    </w:p>
    <w:p w:rsidR="006E651F" w:rsidRPr="00E86D06" w:rsidRDefault="006E651F"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492209" w:rsidRPr="00E86D06" w:rsidRDefault="00492209" w:rsidP="00E86D06">
      <w:pPr>
        <w:spacing w:before="120" w:after="120" w:line="240" w:lineRule="auto"/>
        <w:rPr>
          <w:rFonts w:ascii="Times New Roman" w:hAnsi="Times New Roman" w:cs="Times New Roman"/>
          <w:sz w:val="24"/>
          <w:szCs w:val="24"/>
        </w:rPr>
      </w:pPr>
    </w:p>
    <w:p w:rsidR="00E50264" w:rsidRPr="00E86D06" w:rsidRDefault="006E651F"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Graph 8:</w:t>
      </w:r>
    </w:p>
    <w:p w:rsidR="00E50264" w:rsidRPr="00E86D06" w:rsidRDefault="00E50264"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noProof/>
          <w:sz w:val="24"/>
          <w:szCs w:val="24"/>
          <w:lang w:eastAsia="en-ZA"/>
        </w:rPr>
        <w:drawing>
          <wp:anchor distT="0" distB="0" distL="114300" distR="114300" simplePos="0" relativeHeight="251659264" behindDoc="1" locked="0" layoutInCell="1" allowOverlap="1" wp14:anchorId="764C05A1" wp14:editId="5D80E567">
            <wp:simplePos x="0" y="0"/>
            <wp:positionH relativeFrom="margin">
              <wp:posOffset>0</wp:posOffset>
            </wp:positionH>
            <wp:positionV relativeFrom="paragraph">
              <wp:posOffset>-635</wp:posOffset>
            </wp:positionV>
            <wp:extent cx="5731510" cy="3382645"/>
            <wp:effectExtent l="0" t="0" r="2540" b="825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1A4A16" w:rsidRPr="00E86D06" w:rsidRDefault="001A4A16" w:rsidP="00E86D06">
      <w:pPr>
        <w:spacing w:before="120" w:after="120" w:line="240" w:lineRule="auto"/>
        <w:rPr>
          <w:rFonts w:ascii="Times New Roman" w:hAnsi="Times New Roman" w:cs="Times New Roman"/>
          <w:sz w:val="24"/>
          <w:szCs w:val="24"/>
        </w:rPr>
      </w:pPr>
    </w:p>
    <w:p w:rsidR="001A4A16" w:rsidRPr="00E86D06" w:rsidRDefault="001A4A16" w:rsidP="00E86D06">
      <w:pPr>
        <w:spacing w:before="120" w:after="120" w:line="240" w:lineRule="auto"/>
        <w:rPr>
          <w:rFonts w:ascii="Times New Roman" w:hAnsi="Times New Roman" w:cs="Times New Roman"/>
          <w:sz w:val="24"/>
          <w:szCs w:val="24"/>
        </w:rPr>
      </w:pPr>
    </w:p>
    <w:p w:rsidR="001A4A16" w:rsidRPr="00E86D06" w:rsidRDefault="001A4A16" w:rsidP="00E86D06">
      <w:pPr>
        <w:spacing w:before="120" w:after="120" w:line="240" w:lineRule="auto"/>
        <w:rPr>
          <w:rFonts w:ascii="Times New Roman" w:hAnsi="Times New Roman" w:cs="Times New Roman"/>
          <w:sz w:val="24"/>
          <w:szCs w:val="24"/>
        </w:rPr>
      </w:pPr>
    </w:p>
    <w:p w:rsidR="001A4A16" w:rsidRPr="00E86D06" w:rsidRDefault="001A4A16" w:rsidP="00E86D06">
      <w:pPr>
        <w:spacing w:before="120" w:after="120" w:line="240" w:lineRule="auto"/>
        <w:rPr>
          <w:rFonts w:ascii="Times New Roman" w:hAnsi="Times New Roman" w:cs="Times New Roman"/>
          <w:sz w:val="24"/>
          <w:szCs w:val="24"/>
        </w:rPr>
      </w:pPr>
    </w:p>
    <w:p w:rsidR="00E50264" w:rsidRPr="00E86D06" w:rsidRDefault="00E50264" w:rsidP="00E86D06">
      <w:pPr>
        <w:spacing w:before="120" w:after="120" w:line="240" w:lineRule="auto"/>
        <w:rPr>
          <w:rFonts w:ascii="Times New Roman" w:hAnsi="Times New Roman" w:cs="Times New Roman"/>
          <w:sz w:val="24"/>
          <w:szCs w:val="24"/>
        </w:rPr>
      </w:pPr>
    </w:p>
    <w:p w:rsidR="00D569D5" w:rsidRPr="00E86D06" w:rsidRDefault="00D569D5" w:rsidP="00E86D06">
      <w:pPr>
        <w:spacing w:before="120" w:after="120" w:line="240" w:lineRule="auto"/>
        <w:rPr>
          <w:rFonts w:ascii="Times New Roman" w:hAnsi="Times New Roman" w:cs="Times New Roman"/>
          <w:sz w:val="24"/>
          <w:szCs w:val="24"/>
        </w:rPr>
      </w:pPr>
    </w:p>
    <w:p w:rsidR="002D3515" w:rsidRPr="00E86D06" w:rsidRDefault="002D3515" w:rsidP="00E86D06">
      <w:pPr>
        <w:spacing w:before="120" w:after="120" w:line="240" w:lineRule="auto"/>
        <w:rPr>
          <w:rFonts w:ascii="Times New Roman" w:hAnsi="Times New Roman" w:cs="Times New Roman"/>
          <w:sz w:val="24"/>
          <w:szCs w:val="24"/>
        </w:rPr>
      </w:pPr>
    </w:p>
    <w:p w:rsidR="002D3515" w:rsidRPr="00E86D06" w:rsidRDefault="002D3515" w:rsidP="00E86D06">
      <w:pPr>
        <w:pStyle w:val="ListParagraph"/>
        <w:numPr>
          <w:ilvl w:val="0"/>
          <w:numId w:val="20"/>
        </w:numPr>
        <w:spacing w:before="120" w:after="120" w:line="240" w:lineRule="auto"/>
        <w:rPr>
          <w:rFonts w:ascii="Times New Roman" w:hAnsi="Times New Roman" w:cs="Times New Roman"/>
          <w:b/>
          <w:sz w:val="24"/>
          <w:szCs w:val="24"/>
        </w:rPr>
      </w:pPr>
      <w:r w:rsidRPr="00E86D06">
        <w:rPr>
          <w:rFonts w:ascii="Times New Roman" w:hAnsi="Times New Roman" w:cs="Times New Roman"/>
          <w:sz w:val="24"/>
          <w:szCs w:val="24"/>
        </w:rPr>
        <w:t xml:space="preserve"> </w:t>
      </w:r>
      <w:r w:rsidRPr="00E86D06">
        <w:rPr>
          <w:rFonts w:ascii="Times New Roman" w:hAnsi="Times New Roman" w:cs="Times New Roman"/>
          <w:b/>
          <w:sz w:val="24"/>
          <w:szCs w:val="24"/>
        </w:rPr>
        <w:t>IMPLEMENTATION of 2016/17 RECOMMENDATIONS</w:t>
      </w:r>
    </w:p>
    <w:p w:rsidR="002D3515" w:rsidRPr="00E86D06" w:rsidRDefault="002D3515" w:rsidP="00E86D06">
      <w:pPr>
        <w:spacing w:before="120" w:after="120" w:line="240" w:lineRule="auto"/>
        <w:rPr>
          <w:rFonts w:ascii="Times New Roman" w:hAnsi="Times New Roman" w:cs="Times New Roman"/>
          <w:sz w:val="24"/>
          <w:szCs w:val="24"/>
        </w:rPr>
      </w:pPr>
    </w:p>
    <w:p w:rsidR="00E76F37" w:rsidRPr="00E86D06" w:rsidRDefault="00E76F37" w:rsidP="00E86D06">
      <w:pPr>
        <w:tabs>
          <w:tab w:val="left" w:pos="1096"/>
        </w:tabs>
        <w:spacing w:before="120" w:after="120" w:line="240" w:lineRule="auto"/>
        <w:jc w:val="left"/>
        <w:rPr>
          <w:rFonts w:ascii="Times New Roman" w:hAnsi="Times New Roman" w:cs="Times New Roman"/>
          <w:sz w:val="24"/>
          <w:szCs w:val="24"/>
        </w:rPr>
      </w:pPr>
      <w:r w:rsidRPr="00E86D06">
        <w:rPr>
          <w:rFonts w:ascii="Times New Roman" w:hAnsi="Times New Roman" w:cs="Times New Roman"/>
          <w:sz w:val="24"/>
          <w:szCs w:val="24"/>
        </w:rPr>
        <w:t>The following</w:t>
      </w:r>
      <w:r w:rsidR="00AA5158" w:rsidRPr="00E86D06">
        <w:rPr>
          <w:rFonts w:ascii="Times New Roman" w:hAnsi="Times New Roman" w:cs="Times New Roman"/>
          <w:sz w:val="24"/>
          <w:szCs w:val="24"/>
        </w:rPr>
        <w:t xml:space="preserve"> information below</w:t>
      </w:r>
      <w:r w:rsidRPr="00E86D06">
        <w:rPr>
          <w:rFonts w:ascii="Times New Roman" w:hAnsi="Times New Roman" w:cs="Times New Roman"/>
          <w:sz w:val="24"/>
          <w:szCs w:val="24"/>
        </w:rPr>
        <w:t xml:space="preserve"> is progress </w:t>
      </w:r>
      <w:r w:rsidR="00AA5158" w:rsidRPr="00E86D06">
        <w:rPr>
          <w:rFonts w:ascii="Times New Roman" w:hAnsi="Times New Roman" w:cs="Times New Roman"/>
          <w:sz w:val="24"/>
          <w:szCs w:val="24"/>
        </w:rPr>
        <w:t xml:space="preserve">report </w:t>
      </w:r>
      <w:r w:rsidRPr="00E86D06">
        <w:rPr>
          <w:rFonts w:ascii="Times New Roman" w:hAnsi="Times New Roman" w:cs="Times New Roman"/>
          <w:sz w:val="24"/>
          <w:szCs w:val="24"/>
        </w:rPr>
        <w:t xml:space="preserve">regarding the implementation of 2016/17 recommendations by the Department of </w:t>
      </w:r>
      <w:proofErr w:type="spellStart"/>
      <w:r w:rsidRPr="00E86D06">
        <w:rPr>
          <w:rFonts w:ascii="Times New Roman" w:hAnsi="Times New Roman" w:cs="Times New Roman"/>
          <w:sz w:val="24"/>
          <w:szCs w:val="24"/>
        </w:rPr>
        <w:t>CoGTA</w:t>
      </w:r>
      <w:proofErr w:type="spellEnd"/>
      <w:r w:rsidRPr="00E86D06">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4365"/>
        <w:gridCol w:w="4877"/>
      </w:tblGrid>
      <w:tr w:rsidR="00E76F37" w:rsidRPr="00E86D06" w:rsidTr="00EB2F17">
        <w:tc>
          <w:tcPr>
            <w:tcW w:w="5804" w:type="dxa"/>
            <w:shd w:val="clear" w:color="auto" w:fill="D9D9D9" w:themeFill="background1" w:themeFillShade="D9"/>
          </w:tcPr>
          <w:p w:rsidR="00E76F37" w:rsidRPr="00E86D06" w:rsidRDefault="00E76F37" w:rsidP="00E86D06">
            <w:pPr>
              <w:tabs>
                <w:tab w:val="left" w:pos="1096"/>
              </w:tabs>
              <w:spacing w:before="120" w:after="120" w:line="240" w:lineRule="auto"/>
              <w:jc w:val="left"/>
              <w:rPr>
                <w:rFonts w:ascii="Times New Roman" w:hAnsi="Times New Roman" w:cs="Times New Roman"/>
                <w:b/>
                <w:sz w:val="24"/>
                <w:szCs w:val="24"/>
              </w:rPr>
            </w:pPr>
            <w:r w:rsidRPr="00E86D06">
              <w:rPr>
                <w:rFonts w:ascii="Times New Roman" w:hAnsi="Times New Roman" w:cs="Times New Roman"/>
                <w:b/>
                <w:sz w:val="24"/>
                <w:szCs w:val="24"/>
              </w:rPr>
              <w:t>2016/17 Recommendations</w:t>
            </w:r>
          </w:p>
        </w:tc>
        <w:tc>
          <w:tcPr>
            <w:tcW w:w="6946" w:type="dxa"/>
            <w:shd w:val="clear" w:color="auto" w:fill="D9D9D9" w:themeFill="background1" w:themeFillShade="D9"/>
          </w:tcPr>
          <w:p w:rsidR="00E76F37" w:rsidRPr="00E86D06" w:rsidRDefault="00E76F37" w:rsidP="00E86D06">
            <w:pPr>
              <w:tabs>
                <w:tab w:val="left" w:pos="1096"/>
              </w:tabs>
              <w:spacing w:before="120" w:after="120" w:line="240" w:lineRule="auto"/>
              <w:jc w:val="left"/>
              <w:rPr>
                <w:rFonts w:ascii="Times New Roman" w:hAnsi="Times New Roman" w:cs="Times New Roman"/>
                <w:b/>
                <w:sz w:val="24"/>
                <w:szCs w:val="24"/>
              </w:rPr>
            </w:pPr>
            <w:r w:rsidRPr="00E86D06">
              <w:rPr>
                <w:rFonts w:ascii="Times New Roman" w:hAnsi="Times New Roman" w:cs="Times New Roman"/>
                <w:b/>
                <w:sz w:val="24"/>
                <w:szCs w:val="24"/>
              </w:rPr>
              <w:t>Progress</w:t>
            </w:r>
          </w:p>
        </w:tc>
      </w:tr>
      <w:tr w:rsidR="00E76F37" w:rsidRPr="00E86D06" w:rsidTr="00EB2F17">
        <w:tc>
          <w:tcPr>
            <w:tcW w:w="5804" w:type="dxa"/>
          </w:tcPr>
          <w:p w:rsidR="00E76F37" w:rsidRPr="00E86D06" w:rsidRDefault="00E76F37" w:rsidP="00E86D06">
            <w:pPr>
              <w:tabs>
                <w:tab w:val="left" w:pos="1096"/>
              </w:tabs>
              <w:spacing w:before="120" w:after="120" w:line="240" w:lineRule="auto"/>
              <w:rPr>
                <w:rFonts w:ascii="Times New Roman" w:hAnsi="Times New Roman" w:cs="Times New Roman"/>
                <w:sz w:val="24"/>
                <w:szCs w:val="24"/>
              </w:rPr>
            </w:pPr>
            <w:r w:rsidRPr="00E86D06">
              <w:rPr>
                <w:rFonts w:ascii="Times New Roman" w:eastAsia="Times New Roman" w:hAnsi="Times New Roman" w:cs="Times New Roman"/>
                <w:sz w:val="24"/>
                <w:szCs w:val="24"/>
                <w:lang w:val="en-GB"/>
              </w:rPr>
              <w:t>That the Department reports to the Committee on a quarterly basis on progress made with the restructuring of municipalities which have been affected by the boundary re-determination.</w:t>
            </w:r>
          </w:p>
        </w:tc>
        <w:tc>
          <w:tcPr>
            <w:tcW w:w="6946" w:type="dxa"/>
          </w:tcPr>
          <w:p w:rsidR="00E76F37" w:rsidRPr="00E86D06" w:rsidRDefault="00CA0301"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Regular reports were provided to the </w:t>
            </w:r>
            <w:r w:rsidR="00AA5158" w:rsidRPr="00E86D06">
              <w:rPr>
                <w:rFonts w:ascii="Times New Roman" w:hAnsi="Times New Roman" w:cs="Times New Roman"/>
                <w:sz w:val="24"/>
                <w:szCs w:val="24"/>
              </w:rPr>
              <w:t>C</w:t>
            </w:r>
            <w:r w:rsidRPr="00E86D06">
              <w:rPr>
                <w:rFonts w:ascii="Times New Roman" w:hAnsi="Times New Roman" w:cs="Times New Roman"/>
                <w:sz w:val="24"/>
                <w:szCs w:val="24"/>
              </w:rPr>
              <w:t>ommittee on the amalgamated municipalit</w:t>
            </w:r>
            <w:r w:rsidR="00C96C57" w:rsidRPr="00E86D06">
              <w:rPr>
                <w:rFonts w:ascii="Times New Roman" w:hAnsi="Times New Roman" w:cs="Times New Roman"/>
                <w:sz w:val="24"/>
                <w:szCs w:val="24"/>
              </w:rPr>
              <w:t>ies</w:t>
            </w:r>
            <w:r w:rsidR="00AA5158" w:rsidRPr="00E86D06">
              <w:rPr>
                <w:rFonts w:ascii="Times New Roman" w:hAnsi="Times New Roman" w:cs="Times New Roman"/>
                <w:sz w:val="24"/>
                <w:szCs w:val="24"/>
              </w:rPr>
              <w:t>.</w:t>
            </w:r>
          </w:p>
        </w:tc>
      </w:tr>
      <w:tr w:rsidR="00E76F37" w:rsidRPr="00E86D06" w:rsidTr="00EB2F17">
        <w:tc>
          <w:tcPr>
            <w:tcW w:w="5804" w:type="dxa"/>
          </w:tcPr>
          <w:p w:rsidR="00E76F37" w:rsidRPr="00E86D06" w:rsidRDefault="00E76F37" w:rsidP="00E86D06">
            <w:pPr>
              <w:spacing w:before="120" w:after="120" w:line="240" w:lineRule="auto"/>
              <w:contextualSpacing/>
              <w:jc w:val="left"/>
              <w:rPr>
                <w:rFonts w:ascii="Times New Roman" w:eastAsia="Times New Roman" w:hAnsi="Times New Roman" w:cs="Times New Roman"/>
                <w:sz w:val="24"/>
                <w:szCs w:val="24"/>
                <w:lang w:val="en-GB"/>
              </w:rPr>
            </w:pPr>
            <w:r w:rsidRPr="00E86D06">
              <w:rPr>
                <w:rFonts w:ascii="Times New Roman" w:eastAsia="Times New Roman" w:hAnsi="Times New Roman" w:cs="Times New Roman"/>
                <w:sz w:val="24"/>
                <w:szCs w:val="24"/>
                <w:lang w:val="en-GB"/>
              </w:rPr>
              <w:t xml:space="preserve">That the Development Bank of Southern Africa (DBSA) briefs the Committee on the 2016 budget announcement that R7.9 billion has been transferred to the Bank to </w:t>
            </w:r>
            <w:r w:rsidRPr="00E86D06">
              <w:rPr>
                <w:rFonts w:ascii="Times New Roman" w:eastAsia="Times New Roman" w:hAnsi="Times New Roman" w:cs="Times New Roman"/>
                <w:sz w:val="24"/>
                <w:szCs w:val="24"/>
                <w:lang w:val="en-GB"/>
              </w:rPr>
              <w:lastRenderedPageBreak/>
              <w:t>enable it to expand lending and implementation support to municipalities.</w:t>
            </w:r>
          </w:p>
        </w:tc>
        <w:tc>
          <w:tcPr>
            <w:tcW w:w="6946" w:type="dxa"/>
          </w:tcPr>
          <w:p w:rsidR="00E76F37" w:rsidRPr="00E86D06" w:rsidRDefault="003B6CFE"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lastRenderedPageBreak/>
              <w:t>No meeting with regard to this issue was held</w:t>
            </w:r>
            <w:r w:rsidR="00AA5158" w:rsidRPr="00E86D06">
              <w:rPr>
                <w:rFonts w:ascii="Times New Roman" w:hAnsi="Times New Roman" w:cs="Times New Roman"/>
                <w:sz w:val="24"/>
                <w:szCs w:val="24"/>
              </w:rPr>
              <w:t>,</w:t>
            </w:r>
          </w:p>
        </w:tc>
      </w:tr>
      <w:tr w:rsidR="00E76F37" w:rsidRPr="00E86D06" w:rsidTr="00EB2F17">
        <w:tc>
          <w:tcPr>
            <w:tcW w:w="5804" w:type="dxa"/>
          </w:tcPr>
          <w:p w:rsidR="00E76F37" w:rsidRPr="00E86D06" w:rsidRDefault="00E76F37" w:rsidP="00E86D06">
            <w:pPr>
              <w:spacing w:before="120" w:after="120" w:line="240" w:lineRule="auto"/>
              <w:contextualSpacing/>
              <w:jc w:val="left"/>
              <w:rPr>
                <w:rFonts w:ascii="Times New Roman" w:eastAsia="Times New Roman" w:hAnsi="Times New Roman" w:cs="Times New Roman"/>
                <w:sz w:val="24"/>
                <w:szCs w:val="24"/>
                <w:lang w:val="en-GB"/>
              </w:rPr>
            </w:pPr>
            <w:r w:rsidRPr="00E86D06">
              <w:rPr>
                <w:rFonts w:ascii="Times New Roman" w:eastAsia="Times New Roman" w:hAnsi="Times New Roman" w:cs="Times New Roman"/>
                <w:sz w:val="24"/>
                <w:szCs w:val="24"/>
                <w:lang w:val="en-GB"/>
              </w:rPr>
              <w:lastRenderedPageBreak/>
              <w:t>That the Department ensures that the recommendations of all forensic reports commissioned by Municipalities are implemented and a report be presented to the Committee on a quarterly basis.</w:t>
            </w:r>
          </w:p>
        </w:tc>
        <w:tc>
          <w:tcPr>
            <w:tcW w:w="6946" w:type="dxa"/>
          </w:tcPr>
          <w:p w:rsidR="00E76F37" w:rsidRPr="00E86D06" w:rsidRDefault="00A03AF2"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Regular reports will be provided to the committee</w:t>
            </w:r>
          </w:p>
        </w:tc>
      </w:tr>
      <w:tr w:rsidR="00E76F37" w:rsidRPr="00E86D06" w:rsidTr="00EB2F17">
        <w:tc>
          <w:tcPr>
            <w:tcW w:w="5804" w:type="dxa"/>
          </w:tcPr>
          <w:p w:rsidR="00E76F37" w:rsidRPr="00E86D06" w:rsidRDefault="00E76F37" w:rsidP="00E86D06">
            <w:pPr>
              <w:spacing w:before="120" w:after="120" w:line="240" w:lineRule="auto"/>
              <w:contextualSpacing/>
              <w:jc w:val="left"/>
              <w:rPr>
                <w:rFonts w:ascii="Times New Roman" w:eastAsia="Times New Roman" w:hAnsi="Times New Roman" w:cs="Times New Roman"/>
                <w:sz w:val="24"/>
                <w:szCs w:val="24"/>
                <w:lang w:val="en-GB"/>
              </w:rPr>
            </w:pPr>
            <w:r w:rsidRPr="00E86D06">
              <w:rPr>
                <w:rFonts w:ascii="Times New Roman" w:eastAsia="Times New Roman" w:hAnsi="Times New Roman" w:cs="Times New Roman"/>
                <w:sz w:val="24"/>
                <w:szCs w:val="24"/>
                <w:lang w:val="en-GB"/>
              </w:rPr>
              <w:t>The Department should ensure that Senior Managers who will be appointed in local government</w:t>
            </w:r>
            <w:r w:rsidR="00AA5158" w:rsidRPr="00E86D06">
              <w:rPr>
                <w:rFonts w:ascii="Times New Roman" w:eastAsia="Times New Roman" w:hAnsi="Times New Roman" w:cs="Times New Roman"/>
                <w:sz w:val="24"/>
                <w:szCs w:val="24"/>
                <w:lang w:val="en-GB"/>
              </w:rPr>
              <w:t>,</w:t>
            </w:r>
            <w:r w:rsidRPr="00E86D06">
              <w:rPr>
                <w:rFonts w:ascii="Times New Roman" w:eastAsia="Times New Roman" w:hAnsi="Times New Roman" w:cs="Times New Roman"/>
                <w:sz w:val="24"/>
                <w:szCs w:val="24"/>
                <w:lang w:val="en-GB"/>
              </w:rPr>
              <w:t xml:space="preserve"> following the upcoming elections have appropriate and requisite skills and where appointment is made in contravention of the regulations, the Minister or the MEC in the affected province must take appropriate action to correct such appointment.</w:t>
            </w:r>
          </w:p>
        </w:tc>
        <w:tc>
          <w:tcPr>
            <w:tcW w:w="6946" w:type="dxa"/>
          </w:tcPr>
          <w:p w:rsidR="00E76F37" w:rsidRPr="00E86D06" w:rsidRDefault="00EB2F17"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The Department will report to the committee whether the appointments were made in compliance with the regulations</w:t>
            </w:r>
          </w:p>
        </w:tc>
      </w:tr>
      <w:tr w:rsidR="00E76F37" w:rsidRPr="00E86D06" w:rsidTr="00EB2F17">
        <w:tc>
          <w:tcPr>
            <w:tcW w:w="5804" w:type="dxa"/>
          </w:tcPr>
          <w:p w:rsidR="00E76F37" w:rsidRPr="00E86D06" w:rsidRDefault="00E76F37" w:rsidP="00E86D06">
            <w:pPr>
              <w:spacing w:before="120" w:after="120" w:line="240" w:lineRule="auto"/>
              <w:contextualSpacing/>
              <w:jc w:val="left"/>
              <w:rPr>
                <w:rFonts w:ascii="Times New Roman" w:eastAsia="Times New Roman" w:hAnsi="Times New Roman" w:cs="Times New Roman"/>
                <w:sz w:val="24"/>
                <w:szCs w:val="24"/>
                <w:lang w:val="en-GB"/>
              </w:rPr>
            </w:pPr>
            <w:proofErr w:type="spellStart"/>
            <w:r w:rsidRPr="00E86D06">
              <w:rPr>
                <w:rFonts w:ascii="Times New Roman" w:eastAsia="Times New Roman" w:hAnsi="Times New Roman" w:cs="Times New Roman"/>
                <w:sz w:val="24"/>
                <w:szCs w:val="24"/>
                <w:lang w:val="en-GB"/>
              </w:rPr>
              <w:t>CoGTA</w:t>
            </w:r>
            <w:proofErr w:type="spellEnd"/>
            <w:r w:rsidRPr="00E86D06">
              <w:rPr>
                <w:rFonts w:ascii="Times New Roman" w:eastAsia="Times New Roman" w:hAnsi="Times New Roman" w:cs="Times New Roman"/>
                <w:sz w:val="24"/>
                <w:szCs w:val="24"/>
                <w:lang w:val="en-GB"/>
              </w:rPr>
              <w:t xml:space="preserve"> and National Treasury should monitor adherence to the agreements between municipalities, </w:t>
            </w:r>
            <w:r w:rsidR="00AA5158" w:rsidRPr="00E86D06">
              <w:rPr>
                <w:rFonts w:ascii="Times New Roman" w:eastAsia="Times New Roman" w:hAnsi="Times New Roman" w:cs="Times New Roman"/>
                <w:sz w:val="24"/>
                <w:szCs w:val="24"/>
                <w:lang w:val="en-GB"/>
              </w:rPr>
              <w:t>W</w:t>
            </w:r>
            <w:r w:rsidRPr="00E86D06">
              <w:rPr>
                <w:rFonts w:ascii="Times New Roman" w:eastAsia="Times New Roman" w:hAnsi="Times New Roman" w:cs="Times New Roman"/>
                <w:sz w:val="24"/>
                <w:szCs w:val="24"/>
                <w:lang w:val="en-GB"/>
              </w:rPr>
              <w:t xml:space="preserve">ater </w:t>
            </w:r>
            <w:r w:rsidR="00AA5158" w:rsidRPr="00E86D06">
              <w:rPr>
                <w:rFonts w:ascii="Times New Roman" w:eastAsia="Times New Roman" w:hAnsi="Times New Roman" w:cs="Times New Roman"/>
                <w:sz w:val="24"/>
                <w:szCs w:val="24"/>
                <w:lang w:val="en-GB"/>
              </w:rPr>
              <w:t>B</w:t>
            </w:r>
            <w:r w:rsidRPr="00E86D06">
              <w:rPr>
                <w:rFonts w:ascii="Times New Roman" w:eastAsia="Times New Roman" w:hAnsi="Times New Roman" w:cs="Times New Roman"/>
                <w:sz w:val="24"/>
                <w:szCs w:val="24"/>
                <w:lang w:val="en-GB"/>
              </w:rPr>
              <w:t xml:space="preserve">oards, and Eskom to ensure that proactive interventions can be made if a municipality fails to pay for services rendered. </w:t>
            </w:r>
            <w:proofErr w:type="spellStart"/>
            <w:r w:rsidR="00C44DB3" w:rsidRPr="00E86D06">
              <w:rPr>
                <w:rFonts w:ascii="Times New Roman" w:eastAsia="Times New Roman" w:hAnsi="Times New Roman" w:cs="Times New Roman"/>
                <w:sz w:val="24"/>
                <w:szCs w:val="24"/>
                <w:lang w:val="en-GB"/>
              </w:rPr>
              <w:t>C</w:t>
            </w:r>
            <w:r w:rsidRPr="00E86D06">
              <w:rPr>
                <w:rFonts w:ascii="Times New Roman" w:eastAsia="Times New Roman" w:hAnsi="Times New Roman" w:cs="Times New Roman"/>
                <w:sz w:val="24"/>
                <w:szCs w:val="24"/>
                <w:lang w:val="en-GB"/>
              </w:rPr>
              <w:t>oGTA</w:t>
            </w:r>
            <w:proofErr w:type="spellEnd"/>
            <w:r w:rsidRPr="00E86D06">
              <w:rPr>
                <w:rFonts w:ascii="Times New Roman" w:eastAsia="Times New Roman" w:hAnsi="Times New Roman" w:cs="Times New Roman"/>
                <w:sz w:val="24"/>
                <w:szCs w:val="24"/>
                <w:lang w:val="en-GB"/>
              </w:rPr>
              <w:t xml:space="preserve"> must report to the Committee on a quarterly basis on progress made regarding payment of government debt to municipalities.</w:t>
            </w:r>
          </w:p>
        </w:tc>
        <w:tc>
          <w:tcPr>
            <w:tcW w:w="6946" w:type="dxa"/>
          </w:tcPr>
          <w:p w:rsidR="00E76F37" w:rsidRPr="00E86D06" w:rsidRDefault="00A03AF2"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Regular reports and monitoring done by the committee </w:t>
            </w:r>
          </w:p>
        </w:tc>
      </w:tr>
      <w:tr w:rsidR="00E76F37" w:rsidRPr="00E86D06" w:rsidTr="00EB2F17">
        <w:tc>
          <w:tcPr>
            <w:tcW w:w="5804" w:type="dxa"/>
          </w:tcPr>
          <w:p w:rsidR="00E76F37" w:rsidRPr="00E86D06" w:rsidRDefault="00E76F37" w:rsidP="00E86D06">
            <w:pPr>
              <w:spacing w:before="120" w:after="120" w:line="240" w:lineRule="auto"/>
              <w:contextualSpacing/>
              <w:jc w:val="left"/>
              <w:rPr>
                <w:rFonts w:ascii="Times New Roman" w:eastAsia="Times New Roman" w:hAnsi="Times New Roman" w:cs="Times New Roman"/>
                <w:sz w:val="24"/>
                <w:szCs w:val="24"/>
                <w:lang w:val="en-GB"/>
              </w:rPr>
            </w:pPr>
            <w:r w:rsidRPr="00E86D06">
              <w:rPr>
                <w:rFonts w:ascii="Times New Roman" w:eastAsia="Times New Roman" w:hAnsi="Times New Roman" w:cs="Times New Roman"/>
                <w:sz w:val="24"/>
                <w:szCs w:val="24"/>
                <w:lang w:val="en-GB"/>
              </w:rPr>
              <w:t>CRL should assist to ensure that there is greater transparency amongst the churches</w:t>
            </w:r>
          </w:p>
        </w:tc>
        <w:tc>
          <w:tcPr>
            <w:tcW w:w="6946" w:type="dxa"/>
          </w:tcPr>
          <w:p w:rsidR="00E76F37" w:rsidRPr="00E86D06" w:rsidRDefault="00A03AF2" w:rsidP="00E86D06">
            <w:pPr>
              <w:tabs>
                <w:tab w:val="left" w:pos="1096"/>
              </w:tabs>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Report on this issue will be considered by the committee </w:t>
            </w:r>
          </w:p>
        </w:tc>
      </w:tr>
    </w:tbl>
    <w:p w:rsidR="002D3515" w:rsidRPr="00E86D06" w:rsidRDefault="002D3515" w:rsidP="00E86D06">
      <w:pPr>
        <w:spacing w:before="120" w:after="120" w:line="240" w:lineRule="auto"/>
        <w:rPr>
          <w:rFonts w:ascii="Times New Roman" w:hAnsi="Times New Roman" w:cs="Times New Roman"/>
          <w:sz w:val="24"/>
          <w:szCs w:val="24"/>
        </w:rPr>
      </w:pPr>
    </w:p>
    <w:p w:rsidR="003B6CFE" w:rsidRPr="00E86D06" w:rsidRDefault="00AA5158" w:rsidP="00E86D06">
      <w:pPr>
        <w:numPr>
          <w:ilvl w:val="0"/>
          <w:numId w:val="20"/>
        </w:num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b/>
          <w:color w:val="000000"/>
          <w:spacing w:val="6"/>
          <w:sz w:val="24"/>
          <w:szCs w:val="24"/>
          <w:lang w:val="en-GB" w:eastAsia="en-GB"/>
        </w:rPr>
        <w:t xml:space="preserve">COMMITTEE </w:t>
      </w:r>
      <w:r w:rsidR="003B6CFE" w:rsidRPr="00E86D06">
        <w:rPr>
          <w:rFonts w:ascii="Times New Roman" w:eastAsia="Times New Roman" w:hAnsi="Times New Roman" w:cs="Times New Roman"/>
          <w:b/>
          <w:color w:val="000000"/>
          <w:spacing w:val="6"/>
          <w:sz w:val="24"/>
          <w:szCs w:val="24"/>
          <w:lang w:val="en-GB" w:eastAsia="en-GB"/>
        </w:rPr>
        <w:t>OBSERVATIONS</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7.1 The presentations by the Department and its entities was appreciated and interrogated by Members of the Committee. </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hAnsi="Times New Roman" w:cs="Times New Roman"/>
          <w:sz w:val="24"/>
          <w:szCs w:val="24"/>
        </w:rPr>
        <w:t xml:space="preserve">7.2 The Committee noted that, according to the 2017 MTEF Budget Allocations, </w:t>
      </w:r>
      <w:proofErr w:type="spellStart"/>
      <w:r w:rsidRPr="00E86D06">
        <w:rPr>
          <w:rFonts w:ascii="Times New Roman" w:hAnsi="Times New Roman" w:cs="Times New Roman"/>
          <w:bCs/>
          <w:sz w:val="24"/>
          <w:szCs w:val="24"/>
        </w:rPr>
        <w:t>DCoG</w:t>
      </w:r>
      <w:proofErr w:type="spellEnd"/>
      <w:r w:rsidRPr="00E86D06">
        <w:rPr>
          <w:rFonts w:ascii="Times New Roman" w:hAnsi="Times New Roman" w:cs="Times New Roman"/>
          <w:bCs/>
          <w:sz w:val="24"/>
          <w:szCs w:val="24"/>
        </w:rPr>
        <w:t xml:space="preserve"> will have </w:t>
      </w:r>
      <w:r w:rsidRPr="00E86D06">
        <w:rPr>
          <w:rFonts w:ascii="Times New Roman" w:hAnsi="Times New Roman" w:cs="Times New Roman"/>
          <w:sz w:val="24"/>
          <w:szCs w:val="24"/>
        </w:rPr>
        <w:t xml:space="preserve">a </w:t>
      </w:r>
      <w:r w:rsidRPr="00E86D06">
        <w:rPr>
          <w:rFonts w:ascii="Times New Roman" w:hAnsi="Times New Roman" w:cs="Times New Roman"/>
          <w:sz w:val="24"/>
          <w:szCs w:val="24"/>
          <w:lang w:val="en-GB"/>
        </w:rPr>
        <w:t xml:space="preserve">decrease of R142.725 million in 2017/18, due to budget cuts. </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7.3 The Committee noted with concern the decrease in Programme 2: Regional and urban development and questioned how this decrease will affect the operations of municipalities.</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7.4 The Committee observed with concern that the debt owed to municipalities by national and provincial government departments was still not adequately addressed. Even though there are agreements in place the debt had increased to R3 billion.</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7.5 The Committee noted with concern that the </w:t>
      </w:r>
      <w:proofErr w:type="spellStart"/>
      <w:r w:rsidRPr="00E86D06">
        <w:rPr>
          <w:rFonts w:ascii="Times New Roman" w:eastAsia="Times New Roman" w:hAnsi="Times New Roman" w:cs="Times New Roman"/>
          <w:color w:val="000000"/>
          <w:spacing w:val="6"/>
          <w:sz w:val="24"/>
          <w:szCs w:val="24"/>
          <w:lang w:val="en-GB" w:eastAsia="en-GB"/>
        </w:rPr>
        <w:t>DCoG</w:t>
      </w:r>
      <w:proofErr w:type="spellEnd"/>
      <w:r w:rsidRPr="00E86D06">
        <w:rPr>
          <w:rFonts w:ascii="Times New Roman" w:eastAsia="Times New Roman" w:hAnsi="Times New Roman" w:cs="Times New Roman"/>
          <w:color w:val="000000"/>
          <w:spacing w:val="6"/>
          <w:sz w:val="24"/>
          <w:szCs w:val="24"/>
          <w:lang w:val="en-GB" w:eastAsia="en-GB"/>
        </w:rPr>
        <w:t xml:space="preserve"> had not finalised the Local Government Laws Amendment Bill which was approved by Cabinet on 16 March 2016.</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 xml:space="preserve">7.6 The Committee observed the continued challenges in the administration of the CWP. </w:t>
      </w:r>
    </w:p>
    <w:p w:rsidR="00EB2F17" w:rsidRPr="00E86D06" w:rsidRDefault="00EB2F17" w:rsidP="00E86D06">
      <w:pPr>
        <w:spacing w:before="120" w:after="120" w:line="240" w:lineRule="auto"/>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t>7.7 The Committee welcomed the ten-point plan as the basis for the implementation of the next phase of the Back to Basics programme.</w:t>
      </w:r>
    </w:p>
    <w:p w:rsidR="003B6CFE" w:rsidRPr="00E86D06" w:rsidRDefault="00EB2F17" w:rsidP="00E86D06">
      <w:pPr>
        <w:spacing w:before="120" w:after="120" w:line="240" w:lineRule="auto"/>
        <w:rPr>
          <w:rFonts w:ascii="Times New Roman" w:eastAsia="Times New Roman" w:hAnsi="Times New Roman" w:cs="Times New Roman"/>
          <w:b/>
          <w:color w:val="000000"/>
          <w:spacing w:val="6"/>
          <w:sz w:val="24"/>
          <w:szCs w:val="24"/>
          <w:lang w:val="en-GB" w:eastAsia="en-GB"/>
        </w:rPr>
      </w:pPr>
      <w:r w:rsidRPr="00E86D06">
        <w:rPr>
          <w:rFonts w:ascii="Times New Roman" w:eastAsia="Times New Roman" w:hAnsi="Times New Roman" w:cs="Times New Roman"/>
          <w:color w:val="000000"/>
          <w:spacing w:val="6"/>
          <w:sz w:val="24"/>
          <w:szCs w:val="24"/>
          <w:lang w:val="en-GB" w:eastAsia="en-GB"/>
        </w:rPr>
        <w:lastRenderedPageBreak/>
        <w:t>7.8 The Institutionalization of the Back to Basics programme within the Department was much appreciated by the Committee</w:t>
      </w:r>
    </w:p>
    <w:p w:rsidR="003B6CFE" w:rsidRPr="00E86D06" w:rsidRDefault="003B6CFE" w:rsidP="00E86D06">
      <w:pPr>
        <w:spacing w:before="120" w:after="120" w:line="240" w:lineRule="auto"/>
        <w:ind w:left="426" w:hanging="426"/>
        <w:rPr>
          <w:rFonts w:ascii="Times New Roman" w:hAnsi="Times New Roman" w:cs="Times New Roman"/>
          <w:sz w:val="24"/>
          <w:szCs w:val="24"/>
        </w:rPr>
      </w:pPr>
    </w:p>
    <w:p w:rsidR="00A92DB0" w:rsidRPr="00E86D06" w:rsidRDefault="00AA5158" w:rsidP="00E86D06">
      <w:pPr>
        <w:numPr>
          <w:ilvl w:val="0"/>
          <w:numId w:val="20"/>
        </w:numPr>
        <w:spacing w:before="120" w:after="120" w:line="240" w:lineRule="auto"/>
        <w:jc w:val="left"/>
        <w:rPr>
          <w:rFonts w:ascii="Times New Roman" w:eastAsia="Times New Roman" w:hAnsi="Times New Roman" w:cs="Times New Roman"/>
          <w:color w:val="000000"/>
          <w:spacing w:val="6"/>
          <w:sz w:val="24"/>
          <w:szCs w:val="24"/>
          <w:lang w:val="en-GB" w:eastAsia="en-GB"/>
        </w:rPr>
      </w:pPr>
      <w:r w:rsidRPr="00E86D06">
        <w:rPr>
          <w:rFonts w:ascii="Times New Roman" w:eastAsia="Times New Roman" w:hAnsi="Times New Roman" w:cs="Times New Roman"/>
          <w:b/>
          <w:color w:val="000000"/>
          <w:spacing w:val="6"/>
          <w:sz w:val="24"/>
          <w:szCs w:val="24"/>
          <w:lang w:val="en-GB" w:eastAsia="en-GB"/>
        </w:rPr>
        <w:t xml:space="preserve">COMMITTEE </w:t>
      </w:r>
      <w:r w:rsidR="00FC5234" w:rsidRPr="00E86D06">
        <w:rPr>
          <w:rFonts w:ascii="Times New Roman" w:eastAsia="Times New Roman" w:hAnsi="Times New Roman" w:cs="Times New Roman"/>
          <w:b/>
          <w:color w:val="000000"/>
          <w:spacing w:val="6"/>
          <w:sz w:val="24"/>
          <w:szCs w:val="24"/>
          <w:lang w:val="en-GB" w:eastAsia="en-GB"/>
        </w:rPr>
        <w:t>RECOMMENDATIONS</w:t>
      </w: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8.1 The Committee advises that DCOG and National Treasury should monitor the adherence to the agreements between municipalities, Eskom and Water Boards to ensure that proactive interventions can be made if a municipality fails to pay for services rendered.</w:t>
      </w:r>
    </w:p>
    <w:p w:rsidR="00EB2F17" w:rsidRPr="00E86D06" w:rsidRDefault="00EB2F17" w:rsidP="00E86D06">
      <w:pPr>
        <w:pStyle w:val="ListParagraph"/>
        <w:autoSpaceDN w:val="0"/>
        <w:spacing w:before="120" w:after="120" w:line="240" w:lineRule="auto"/>
        <w:ind w:left="360"/>
        <w:rPr>
          <w:rFonts w:ascii="Times New Roman" w:hAnsi="Times New Roman" w:cs="Times New Roman"/>
          <w:sz w:val="24"/>
          <w:szCs w:val="24"/>
        </w:rPr>
      </w:pP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8.2 The Department should report to the Committee on a quarterly basis on progress made with regard to payment of government debt to municipalities;</w:t>
      </w:r>
    </w:p>
    <w:p w:rsidR="00EB2F17" w:rsidRPr="00E86D06" w:rsidRDefault="00EB2F17" w:rsidP="00E86D06">
      <w:pPr>
        <w:autoSpaceDN w:val="0"/>
        <w:spacing w:before="120" w:after="120" w:line="240" w:lineRule="auto"/>
        <w:rPr>
          <w:rFonts w:ascii="Times New Roman" w:hAnsi="Times New Roman" w:cs="Times New Roman"/>
          <w:sz w:val="24"/>
          <w:szCs w:val="24"/>
        </w:rPr>
      </w:pP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 xml:space="preserve">8.3 </w:t>
      </w:r>
      <w:proofErr w:type="spellStart"/>
      <w:r w:rsidRPr="00E86D06">
        <w:rPr>
          <w:rFonts w:ascii="Times New Roman" w:hAnsi="Times New Roman" w:cs="Times New Roman"/>
          <w:sz w:val="24"/>
          <w:szCs w:val="24"/>
        </w:rPr>
        <w:t>Salga</w:t>
      </w:r>
      <w:proofErr w:type="spellEnd"/>
      <w:r w:rsidRPr="00E86D06">
        <w:rPr>
          <w:rFonts w:ascii="Times New Roman" w:hAnsi="Times New Roman" w:cs="Times New Roman"/>
          <w:sz w:val="24"/>
          <w:szCs w:val="24"/>
        </w:rPr>
        <w:t xml:space="preserve"> should have continuous engagements with Eskom to assist the municipalities with the issues of payment of bulk electricity accounts;</w:t>
      </w:r>
    </w:p>
    <w:p w:rsidR="00EB2F17" w:rsidRPr="00E86D06" w:rsidRDefault="00EB2F17" w:rsidP="00E86D06">
      <w:pPr>
        <w:autoSpaceDN w:val="0"/>
        <w:spacing w:before="120" w:after="120" w:line="240" w:lineRule="auto"/>
        <w:rPr>
          <w:rFonts w:ascii="Times New Roman" w:hAnsi="Times New Roman" w:cs="Times New Roman"/>
          <w:sz w:val="24"/>
          <w:szCs w:val="24"/>
          <w:u w:val="single"/>
        </w:rPr>
      </w:pP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8.4 National Treasury should brief the committee on the activities of the Municipal Financial Recovery Service;</w:t>
      </w:r>
    </w:p>
    <w:p w:rsidR="00EB2F17" w:rsidRPr="00E86D06" w:rsidRDefault="00EB2F17" w:rsidP="00E86D06">
      <w:pPr>
        <w:autoSpaceDN w:val="0"/>
        <w:spacing w:before="120" w:after="120" w:line="240" w:lineRule="auto"/>
        <w:rPr>
          <w:rFonts w:ascii="Times New Roman" w:hAnsi="Times New Roman" w:cs="Times New Roman"/>
          <w:sz w:val="24"/>
          <w:szCs w:val="24"/>
          <w:u w:val="single"/>
        </w:rPr>
      </w:pPr>
      <w:r w:rsidRPr="00E86D06">
        <w:rPr>
          <w:rFonts w:ascii="Times New Roman" w:hAnsi="Times New Roman" w:cs="Times New Roman"/>
          <w:sz w:val="24"/>
          <w:szCs w:val="24"/>
          <w:u w:val="single"/>
        </w:rPr>
        <w:t xml:space="preserve"> </w:t>
      </w: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u w:val="single"/>
        </w:rPr>
        <w:t>8</w:t>
      </w:r>
      <w:r w:rsidRPr="00E86D06">
        <w:rPr>
          <w:rFonts w:ascii="Times New Roman" w:hAnsi="Times New Roman" w:cs="Times New Roman"/>
          <w:sz w:val="24"/>
          <w:szCs w:val="24"/>
        </w:rPr>
        <w:t xml:space="preserve">.5 MISA should brief the Committee, by June 2017, on what action plan they have in place to strengthen controls in supply chain management, the management of performance information as well as human resource capacity. </w:t>
      </w:r>
    </w:p>
    <w:p w:rsidR="00EB2F17" w:rsidRPr="00E86D06" w:rsidRDefault="00EB2F17" w:rsidP="00E86D06">
      <w:pPr>
        <w:autoSpaceDN w:val="0"/>
        <w:spacing w:before="120" w:after="120" w:line="240" w:lineRule="auto"/>
        <w:rPr>
          <w:rFonts w:ascii="Times New Roman" w:hAnsi="Times New Roman" w:cs="Times New Roman"/>
          <w:sz w:val="24"/>
          <w:szCs w:val="24"/>
          <w:u w:val="single"/>
        </w:rPr>
      </w:pPr>
    </w:p>
    <w:p w:rsidR="00EB2F17" w:rsidRPr="00E86D06" w:rsidRDefault="00EB2F17" w:rsidP="00E86D06">
      <w:pPr>
        <w:autoSpaceDN w:val="0"/>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8.6 The Committee requests that the DCOG improves the management of the CWP contracts signed with implementing agents; an asset register for CWP that adheres to the minimum requirements for an asset register, as prescribed by National Treasury must be maintained by the Department.</w:t>
      </w:r>
    </w:p>
    <w:p w:rsidR="00EB2F17" w:rsidRPr="00E86D06" w:rsidRDefault="00EB2F17" w:rsidP="00E86D06">
      <w:pPr>
        <w:pStyle w:val="ListParagraph"/>
        <w:autoSpaceDN w:val="0"/>
        <w:spacing w:before="120" w:after="120" w:line="240" w:lineRule="auto"/>
        <w:ind w:left="786"/>
        <w:rPr>
          <w:rFonts w:ascii="Times New Roman" w:hAnsi="Times New Roman" w:cs="Times New Roman"/>
          <w:sz w:val="24"/>
          <w:szCs w:val="24"/>
        </w:rPr>
      </w:pPr>
    </w:p>
    <w:p w:rsidR="00EB2F17" w:rsidRPr="00E86D06" w:rsidRDefault="00EB2F1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8.7 The Committee must organise a workshop with the CRL rights commission and other relevant Portfolio Committees, to discuss the challenges of initiation and religious institutions.</w:t>
      </w:r>
    </w:p>
    <w:p w:rsidR="00EB2F17" w:rsidRPr="00E86D06" w:rsidRDefault="00EB2F17" w:rsidP="00E86D06">
      <w:pPr>
        <w:pStyle w:val="ListParagraph"/>
        <w:spacing w:before="120" w:after="120" w:line="240" w:lineRule="auto"/>
        <w:ind w:left="786"/>
        <w:rPr>
          <w:rFonts w:ascii="Times New Roman" w:hAnsi="Times New Roman" w:cs="Times New Roman"/>
          <w:sz w:val="24"/>
          <w:szCs w:val="24"/>
        </w:rPr>
      </w:pPr>
    </w:p>
    <w:p w:rsidR="00EB2F17" w:rsidRPr="00E86D06" w:rsidRDefault="00EB2F17" w:rsidP="00E86D06">
      <w:pPr>
        <w:spacing w:before="120" w:after="120" w:line="240" w:lineRule="auto"/>
        <w:rPr>
          <w:rFonts w:ascii="Times New Roman" w:hAnsi="Times New Roman" w:cs="Times New Roman"/>
          <w:sz w:val="24"/>
          <w:szCs w:val="24"/>
        </w:rPr>
      </w:pPr>
      <w:r w:rsidRPr="00E86D06">
        <w:rPr>
          <w:rFonts w:ascii="Times New Roman" w:hAnsi="Times New Roman" w:cs="Times New Roman"/>
          <w:sz w:val="24"/>
          <w:szCs w:val="24"/>
        </w:rPr>
        <w:t>8.8 The Department should brief the committee by June 2017 on when the Local Government: Laws Amendment Bill will be finalised and brought for Parliamentary processing.</w:t>
      </w:r>
    </w:p>
    <w:p w:rsidR="00A92DB0" w:rsidRPr="00E86D06" w:rsidRDefault="00A92DB0" w:rsidP="00E86D06">
      <w:pPr>
        <w:spacing w:before="120" w:after="120" w:line="240" w:lineRule="auto"/>
        <w:rPr>
          <w:rFonts w:ascii="Times New Roman" w:hAnsi="Times New Roman" w:cs="Times New Roman"/>
          <w:sz w:val="24"/>
          <w:szCs w:val="24"/>
        </w:rPr>
      </w:pPr>
    </w:p>
    <w:p w:rsidR="00A92DB0" w:rsidRPr="00E86D06" w:rsidRDefault="002456A9" w:rsidP="00E86D06">
      <w:pPr>
        <w:pStyle w:val="Normalbold"/>
        <w:spacing w:before="120" w:after="120" w:line="240" w:lineRule="auto"/>
        <w:jc w:val="both"/>
        <w:rPr>
          <w:rFonts w:ascii="Times New Roman" w:hAnsi="Times New Roman"/>
          <w:b w:val="0"/>
          <w:sz w:val="24"/>
          <w:szCs w:val="24"/>
        </w:rPr>
      </w:pPr>
      <w:r w:rsidRPr="00E86D06">
        <w:rPr>
          <w:rFonts w:ascii="Times New Roman" w:hAnsi="Times New Roman"/>
          <w:b w:val="0"/>
          <w:sz w:val="24"/>
          <w:szCs w:val="24"/>
        </w:rPr>
        <w:t>Further, t</w:t>
      </w:r>
      <w:r w:rsidR="00A92DB0" w:rsidRPr="00E86D06">
        <w:rPr>
          <w:rFonts w:ascii="Times New Roman" w:hAnsi="Times New Roman"/>
          <w:b w:val="0"/>
          <w:sz w:val="24"/>
          <w:szCs w:val="24"/>
        </w:rPr>
        <w:t xml:space="preserve">he Committee is encouraged by the Annual Performance Plans for </w:t>
      </w:r>
      <w:r w:rsidR="00792B1C" w:rsidRPr="00E86D06">
        <w:rPr>
          <w:rFonts w:ascii="Times New Roman" w:hAnsi="Times New Roman"/>
          <w:b w:val="0"/>
          <w:sz w:val="24"/>
          <w:szCs w:val="24"/>
        </w:rPr>
        <w:t>2017/18</w:t>
      </w:r>
      <w:r w:rsidR="00A92DB0" w:rsidRPr="00E86D06">
        <w:rPr>
          <w:rFonts w:ascii="Times New Roman" w:hAnsi="Times New Roman"/>
          <w:b w:val="0"/>
          <w:sz w:val="24"/>
          <w:szCs w:val="24"/>
        </w:rPr>
        <w:t xml:space="preserve"> of the Department of Cooperative Governance and Traditional Affairs, SALGA, CRL Rights Commission, MISA and MDB, and accordingly supports their implementation. </w:t>
      </w:r>
    </w:p>
    <w:p w:rsidR="00A92DB0" w:rsidRPr="00E86D06" w:rsidRDefault="00A92DB0" w:rsidP="00E86D06">
      <w:pPr>
        <w:pStyle w:val="Normalbold"/>
        <w:spacing w:before="120" w:after="120" w:line="240" w:lineRule="auto"/>
        <w:jc w:val="both"/>
        <w:rPr>
          <w:rFonts w:ascii="Times New Roman" w:hAnsi="Times New Roman"/>
          <w:b w:val="0"/>
          <w:sz w:val="24"/>
          <w:szCs w:val="24"/>
        </w:rPr>
      </w:pPr>
    </w:p>
    <w:p w:rsidR="00A92DB0" w:rsidRPr="00E86D06" w:rsidRDefault="00A92DB0" w:rsidP="00E86D06">
      <w:pPr>
        <w:pStyle w:val="Normalbold"/>
        <w:spacing w:before="120" w:after="120" w:line="240" w:lineRule="auto"/>
        <w:jc w:val="both"/>
        <w:rPr>
          <w:rFonts w:ascii="Times New Roman" w:hAnsi="Times New Roman"/>
          <w:b w:val="0"/>
          <w:sz w:val="24"/>
          <w:szCs w:val="24"/>
        </w:rPr>
      </w:pPr>
      <w:r w:rsidRPr="00E86D06">
        <w:rPr>
          <w:rFonts w:ascii="Times New Roman" w:hAnsi="Times New Roman"/>
          <w:b w:val="0"/>
          <w:sz w:val="24"/>
          <w:szCs w:val="24"/>
        </w:rPr>
        <w:t>The Committee recommends that the 2017</w:t>
      </w:r>
      <w:r w:rsidR="002456A9" w:rsidRPr="00E86D06">
        <w:rPr>
          <w:rFonts w:ascii="Times New Roman" w:hAnsi="Times New Roman"/>
          <w:b w:val="0"/>
          <w:sz w:val="24"/>
          <w:szCs w:val="24"/>
        </w:rPr>
        <w:t>/18</w:t>
      </w:r>
      <w:r w:rsidRPr="00E86D06">
        <w:rPr>
          <w:rFonts w:ascii="Times New Roman" w:hAnsi="Times New Roman"/>
          <w:b w:val="0"/>
          <w:sz w:val="24"/>
          <w:szCs w:val="24"/>
        </w:rPr>
        <w:t xml:space="preserve"> budget allocation to the Department of Cooperative Governance and Traditional Affairs and its entities</w:t>
      </w:r>
      <w:r w:rsidR="002456A9" w:rsidRPr="00E86D06">
        <w:rPr>
          <w:rFonts w:ascii="Times New Roman" w:hAnsi="Times New Roman"/>
          <w:b w:val="0"/>
          <w:sz w:val="24"/>
          <w:szCs w:val="24"/>
        </w:rPr>
        <w:t>,</w:t>
      </w:r>
      <w:r w:rsidRPr="00E86D06">
        <w:rPr>
          <w:rFonts w:ascii="Times New Roman" w:hAnsi="Times New Roman"/>
          <w:b w:val="0"/>
          <w:sz w:val="24"/>
          <w:szCs w:val="24"/>
        </w:rPr>
        <w:t xml:space="preserve"> be approved. </w:t>
      </w:r>
    </w:p>
    <w:p w:rsidR="00E86D06" w:rsidRDefault="00E86D06" w:rsidP="00E86D06">
      <w:pPr>
        <w:pStyle w:val="Normalbold"/>
        <w:spacing w:before="120" w:after="120" w:line="240" w:lineRule="auto"/>
        <w:jc w:val="both"/>
        <w:rPr>
          <w:rFonts w:ascii="Times New Roman" w:hAnsi="Times New Roman"/>
          <w:b w:val="0"/>
          <w:sz w:val="24"/>
          <w:szCs w:val="24"/>
        </w:rPr>
      </w:pPr>
    </w:p>
    <w:p w:rsidR="00A92DB0" w:rsidRPr="00E86D06" w:rsidRDefault="00A92DB0" w:rsidP="00E86D06">
      <w:pPr>
        <w:pStyle w:val="Normalbold"/>
        <w:spacing w:before="120" w:after="120" w:line="240" w:lineRule="auto"/>
        <w:jc w:val="both"/>
        <w:rPr>
          <w:rFonts w:ascii="Times New Roman" w:hAnsi="Times New Roman"/>
          <w:sz w:val="24"/>
          <w:szCs w:val="24"/>
        </w:rPr>
      </w:pPr>
      <w:r w:rsidRPr="00E86D06">
        <w:rPr>
          <w:rFonts w:ascii="Times New Roman" w:hAnsi="Times New Roman"/>
          <w:b w:val="0"/>
          <w:sz w:val="24"/>
          <w:szCs w:val="24"/>
        </w:rPr>
        <w:lastRenderedPageBreak/>
        <w:t>Report to be considered.</w:t>
      </w:r>
    </w:p>
    <w:sectPr w:rsidR="00A92DB0" w:rsidRPr="00E86D06" w:rsidSect="00D569D5">
      <w:headerReference w:type="default" r:id="rId1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24" w:rsidRDefault="00F52F24" w:rsidP="00BE1544">
      <w:pPr>
        <w:spacing w:line="240" w:lineRule="auto"/>
      </w:pPr>
      <w:r>
        <w:separator/>
      </w:r>
    </w:p>
  </w:endnote>
  <w:endnote w:type="continuationSeparator" w:id="0">
    <w:p w:rsidR="00F52F24" w:rsidRDefault="00F52F24" w:rsidP="00BE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24" w:rsidRDefault="00F52F24" w:rsidP="00BE1544">
      <w:pPr>
        <w:spacing w:line="240" w:lineRule="auto"/>
      </w:pPr>
      <w:r>
        <w:separator/>
      </w:r>
    </w:p>
  </w:footnote>
  <w:footnote w:type="continuationSeparator" w:id="0">
    <w:p w:rsidR="00F52F24" w:rsidRDefault="00F52F24" w:rsidP="00BE1544">
      <w:pPr>
        <w:spacing w:line="240" w:lineRule="auto"/>
      </w:pPr>
      <w:r>
        <w:continuationSeparator/>
      </w:r>
    </w:p>
  </w:footnote>
  <w:footnote w:id="1">
    <w:p w:rsidR="003E5504" w:rsidRDefault="003E5504" w:rsidP="00FC6360">
      <w:pPr>
        <w:pStyle w:val="FootnoteText"/>
      </w:pPr>
      <w:r>
        <w:rPr>
          <w:rStyle w:val="FootnoteReference"/>
        </w:rPr>
        <w:footnoteRef/>
      </w:r>
      <w:r>
        <w:t xml:space="preserve"> </w:t>
      </w:r>
      <w:proofErr w:type="spellStart"/>
      <w:r>
        <w:t>DCoG</w:t>
      </w:r>
      <w:proofErr w:type="spellEnd"/>
      <w:r>
        <w:t xml:space="preserve"> (2017).</w:t>
      </w:r>
    </w:p>
  </w:footnote>
  <w:footnote w:id="2">
    <w:p w:rsidR="003E5504" w:rsidRDefault="003E5504">
      <w:pPr>
        <w:pStyle w:val="FootnoteText"/>
      </w:pPr>
      <w:r>
        <w:rPr>
          <w:rStyle w:val="FootnoteReference"/>
        </w:rPr>
        <w:footnoteRef/>
      </w:r>
      <w:r>
        <w:t xml:space="preserve"> </w:t>
      </w:r>
      <w:proofErr w:type="spellStart"/>
      <w:r>
        <w:t>Gordhan</w:t>
      </w:r>
      <w:proofErr w:type="spellEnd"/>
      <w:r>
        <w:t xml:space="preserve"> (2017). </w:t>
      </w:r>
    </w:p>
  </w:footnote>
  <w:footnote w:id="3">
    <w:p w:rsidR="003E5504" w:rsidRDefault="003E5504">
      <w:pPr>
        <w:pStyle w:val="FootnoteText"/>
      </w:pPr>
      <w:r>
        <w:rPr>
          <w:rStyle w:val="FootnoteReference"/>
        </w:rPr>
        <w:footnoteRef/>
      </w:r>
      <w:r>
        <w:t xml:space="preserve"> Ibid.</w:t>
      </w:r>
    </w:p>
  </w:footnote>
  <w:footnote w:id="4">
    <w:p w:rsidR="003E5504" w:rsidRDefault="003E5504">
      <w:pPr>
        <w:pStyle w:val="FootnoteText"/>
      </w:pPr>
      <w:r>
        <w:rPr>
          <w:rStyle w:val="FootnoteReference"/>
        </w:rPr>
        <w:footnoteRef/>
      </w:r>
      <w:r>
        <w:t xml:space="preserve"> NPC (2011).</w:t>
      </w:r>
    </w:p>
  </w:footnote>
  <w:footnote w:id="5">
    <w:p w:rsidR="003E5504" w:rsidRDefault="003E5504" w:rsidP="00FC6360">
      <w:pPr>
        <w:pStyle w:val="FootnoteText"/>
      </w:pPr>
      <w:r>
        <w:rPr>
          <w:rStyle w:val="FootnoteReference"/>
        </w:rPr>
        <w:footnoteRef/>
      </w:r>
      <w:r>
        <w:t xml:space="preserve"> DTA (2017).</w:t>
      </w:r>
    </w:p>
  </w:footnote>
  <w:footnote w:id="6">
    <w:p w:rsidR="003E5504" w:rsidRDefault="003E5504" w:rsidP="00FB7D9B">
      <w:pPr>
        <w:pStyle w:val="FootnoteText"/>
      </w:pPr>
      <w:r>
        <w:rPr>
          <w:rStyle w:val="FootnoteReference"/>
        </w:rPr>
        <w:footnoteRef/>
      </w:r>
      <w:r>
        <w:t xml:space="preserve"> Division of Revenue Bill (2017).</w:t>
      </w:r>
    </w:p>
  </w:footnote>
  <w:footnote w:id="7">
    <w:p w:rsidR="003E5504" w:rsidRDefault="003E5504">
      <w:pPr>
        <w:pStyle w:val="FootnoteText"/>
      </w:pPr>
      <w:r>
        <w:rPr>
          <w:rStyle w:val="FootnoteReference"/>
        </w:rPr>
        <w:footnoteRef/>
      </w:r>
      <w:r>
        <w:t xml:space="preserve"> Division of Revenue Bill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4" w:rsidRDefault="003E5504">
    <w:pPr>
      <w:pStyle w:val="Header"/>
    </w:pPr>
  </w:p>
  <w:p w:rsidR="003E5504" w:rsidRDefault="003E5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AC4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C6026D"/>
    <w:multiLevelType w:val="hybridMultilevel"/>
    <w:tmpl w:val="6826D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331089"/>
    <w:multiLevelType w:val="hybridMultilevel"/>
    <w:tmpl w:val="0B401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A670D8"/>
    <w:multiLevelType w:val="hybridMultilevel"/>
    <w:tmpl w:val="3FFAD5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39D3CB7"/>
    <w:multiLevelType w:val="multilevel"/>
    <w:tmpl w:val="3FAE5476"/>
    <w:lvl w:ilvl="0">
      <w:start w:val="1"/>
      <w:numFmt w:val="decimal"/>
      <w:lvlText w:val="%1."/>
      <w:lvlJc w:val="left"/>
      <w:pPr>
        <w:ind w:left="786"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516BE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21792F"/>
    <w:multiLevelType w:val="hybridMultilevel"/>
    <w:tmpl w:val="5082DB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5087D53"/>
    <w:multiLevelType w:val="hybridMultilevel"/>
    <w:tmpl w:val="2B720F70"/>
    <w:lvl w:ilvl="0" w:tplc="859E72A2">
      <w:start w:val="1"/>
      <w:numFmt w:val="lowerRoman"/>
      <w:lvlText w:val="(%1)"/>
      <w:lvlJc w:val="left"/>
      <w:pPr>
        <w:ind w:left="1056" w:hanging="720"/>
      </w:pPr>
      <w:rPr>
        <w:rFonts w:hint="default"/>
      </w:rPr>
    </w:lvl>
    <w:lvl w:ilvl="1" w:tplc="1C090019" w:tentative="1">
      <w:start w:val="1"/>
      <w:numFmt w:val="lowerLetter"/>
      <w:lvlText w:val="%2."/>
      <w:lvlJc w:val="left"/>
      <w:pPr>
        <w:ind w:left="1416" w:hanging="360"/>
      </w:pPr>
    </w:lvl>
    <w:lvl w:ilvl="2" w:tplc="1C09001B" w:tentative="1">
      <w:start w:val="1"/>
      <w:numFmt w:val="lowerRoman"/>
      <w:lvlText w:val="%3."/>
      <w:lvlJc w:val="right"/>
      <w:pPr>
        <w:ind w:left="2136" w:hanging="180"/>
      </w:pPr>
    </w:lvl>
    <w:lvl w:ilvl="3" w:tplc="1C09000F" w:tentative="1">
      <w:start w:val="1"/>
      <w:numFmt w:val="decimal"/>
      <w:lvlText w:val="%4."/>
      <w:lvlJc w:val="left"/>
      <w:pPr>
        <w:ind w:left="2856" w:hanging="360"/>
      </w:pPr>
    </w:lvl>
    <w:lvl w:ilvl="4" w:tplc="1C090019" w:tentative="1">
      <w:start w:val="1"/>
      <w:numFmt w:val="lowerLetter"/>
      <w:lvlText w:val="%5."/>
      <w:lvlJc w:val="left"/>
      <w:pPr>
        <w:ind w:left="3576" w:hanging="360"/>
      </w:pPr>
    </w:lvl>
    <w:lvl w:ilvl="5" w:tplc="1C09001B" w:tentative="1">
      <w:start w:val="1"/>
      <w:numFmt w:val="lowerRoman"/>
      <w:lvlText w:val="%6."/>
      <w:lvlJc w:val="right"/>
      <w:pPr>
        <w:ind w:left="4296" w:hanging="180"/>
      </w:pPr>
    </w:lvl>
    <w:lvl w:ilvl="6" w:tplc="1C09000F" w:tentative="1">
      <w:start w:val="1"/>
      <w:numFmt w:val="decimal"/>
      <w:lvlText w:val="%7."/>
      <w:lvlJc w:val="left"/>
      <w:pPr>
        <w:ind w:left="5016" w:hanging="360"/>
      </w:pPr>
    </w:lvl>
    <w:lvl w:ilvl="7" w:tplc="1C090019" w:tentative="1">
      <w:start w:val="1"/>
      <w:numFmt w:val="lowerLetter"/>
      <w:lvlText w:val="%8."/>
      <w:lvlJc w:val="left"/>
      <w:pPr>
        <w:ind w:left="5736" w:hanging="360"/>
      </w:pPr>
    </w:lvl>
    <w:lvl w:ilvl="8" w:tplc="1C09001B" w:tentative="1">
      <w:start w:val="1"/>
      <w:numFmt w:val="lowerRoman"/>
      <w:lvlText w:val="%9."/>
      <w:lvlJc w:val="right"/>
      <w:pPr>
        <w:ind w:left="6456" w:hanging="180"/>
      </w:pPr>
    </w:lvl>
  </w:abstractNum>
  <w:abstractNum w:abstractNumId="13">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D17D60"/>
    <w:multiLevelType w:val="hybridMultilevel"/>
    <w:tmpl w:val="4EAC96E8"/>
    <w:lvl w:ilvl="0" w:tplc="0F7EC728">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0D6D0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5"/>
  </w:num>
  <w:num w:numId="4">
    <w:abstractNumId w:val="19"/>
  </w:num>
  <w:num w:numId="5">
    <w:abstractNumId w:val="13"/>
  </w:num>
  <w:num w:numId="6">
    <w:abstractNumId w:val="20"/>
  </w:num>
  <w:num w:numId="7">
    <w:abstractNumId w:val="14"/>
  </w:num>
  <w:num w:numId="8">
    <w:abstractNumId w:val="9"/>
  </w:num>
  <w:num w:numId="9">
    <w:abstractNumId w:val="2"/>
  </w:num>
  <w:num w:numId="10">
    <w:abstractNumId w:val="16"/>
  </w:num>
  <w:num w:numId="11">
    <w:abstractNumId w:val="5"/>
  </w:num>
  <w:num w:numId="12">
    <w:abstractNumId w:val="18"/>
  </w:num>
  <w:num w:numId="13">
    <w:abstractNumId w:val="24"/>
  </w:num>
  <w:num w:numId="14">
    <w:abstractNumId w:val="23"/>
  </w:num>
  <w:num w:numId="15">
    <w:abstractNumId w:val="3"/>
  </w:num>
  <w:num w:numId="16">
    <w:abstractNumId w:val="0"/>
  </w:num>
  <w:num w:numId="17">
    <w:abstractNumId w:val="6"/>
  </w:num>
  <w:num w:numId="18">
    <w:abstractNumId w:val="10"/>
  </w:num>
  <w:num w:numId="19">
    <w:abstractNumId w:val="2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 w:numId="23">
    <w:abstractNumId w:val="17"/>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08"/>
    <w:rsid w:val="00011463"/>
    <w:rsid w:val="00017556"/>
    <w:rsid w:val="000206E6"/>
    <w:rsid w:val="00025B32"/>
    <w:rsid w:val="00027ABA"/>
    <w:rsid w:val="0003107C"/>
    <w:rsid w:val="00033C45"/>
    <w:rsid w:val="000438D4"/>
    <w:rsid w:val="00052B47"/>
    <w:rsid w:val="00053055"/>
    <w:rsid w:val="0006467F"/>
    <w:rsid w:val="000665E1"/>
    <w:rsid w:val="000878A1"/>
    <w:rsid w:val="0009001D"/>
    <w:rsid w:val="00090105"/>
    <w:rsid w:val="000C0B7D"/>
    <w:rsid w:val="000C0E43"/>
    <w:rsid w:val="000D54B7"/>
    <w:rsid w:val="000E026C"/>
    <w:rsid w:val="000E123B"/>
    <w:rsid w:val="000F3617"/>
    <w:rsid w:val="00107657"/>
    <w:rsid w:val="001152B8"/>
    <w:rsid w:val="00141A41"/>
    <w:rsid w:val="0014756D"/>
    <w:rsid w:val="00151C9B"/>
    <w:rsid w:val="001533E0"/>
    <w:rsid w:val="001622FE"/>
    <w:rsid w:val="00184D13"/>
    <w:rsid w:val="001A4A16"/>
    <w:rsid w:val="001A7923"/>
    <w:rsid w:val="001B5895"/>
    <w:rsid w:val="001B6F3B"/>
    <w:rsid w:val="001C13E5"/>
    <w:rsid w:val="001C57D1"/>
    <w:rsid w:val="001C62B3"/>
    <w:rsid w:val="001E697F"/>
    <w:rsid w:val="002003FB"/>
    <w:rsid w:val="00221A69"/>
    <w:rsid w:val="002456A9"/>
    <w:rsid w:val="00252952"/>
    <w:rsid w:val="00253283"/>
    <w:rsid w:val="00264C9A"/>
    <w:rsid w:val="002726D6"/>
    <w:rsid w:val="002856FB"/>
    <w:rsid w:val="0029495D"/>
    <w:rsid w:val="002B7407"/>
    <w:rsid w:val="002C61AD"/>
    <w:rsid w:val="002D3515"/>
    <w:rsid w:val="002D6B6F"/>
    <w:rsid w:val="002D6EE7"/>
    <w:rsid w:val="002E38DE"/>
    <w:rsid w:val="002E594E"/>
    <w:rsid w:val="002E7C33"/>
    <w:rsid w:val="002F4176"/>
    <w:rsid w:val="00303AA2"/>
    <w:rsid w:val="0030558B"/>
    <w:rsid w:val="0031068F"/>
    <w:rsid w:val="0031278C"/>
    <w:rsid w:val="00312C9F"/>
    <w:rsid w:val="00314EE0"/>
    <w:rsid w:val="00320E8A"/>
    <w:rsid w:val="003210FE"/>
    <w:rsid w:val="00321A8E"/>
    <w:rsid w:val="003516DA"/>
    <w:rsid w:val="00357EF7"/>
    <w:rsid w:val="00380D2E"/>
    <w:rsid w:val="003878CA"/>
    <w:rsid w:val="0039257F"/>
    <w:rsid w:val="00393992"/>
    <w:rsid w:val="003939BE"/>
    <w:rsid w:val="003A023F"/>
    <w:rsid w:val="003A58AB"/>
    <w:rsid w:val="003B4F06"/>
    <w:rsid w:val="003B6CFE"/>
    <w:rsid w:val="003C2A3A"/>
    <w:rsid w:val="003D0C65"/>
    <w:rsid w:val="003E5504"/>
    <w:rsid w:val="003E653D"/>
    <w:rsid w:val="003F0F56"/>
    <w:rsid w:val="00400BA9"/>
    <w:rsid w:val="0040415A"/>
    <w:rsid w:val="0040540A"/>
    <w:rsid w:val="00420B2A"/>
    <w:rsid w:val="00426EF5"/>
    <w:rsid w:val="004331DC"/>
    <w:rsid w:val="004540C6"/>
    <w:rsid w:val="00465BD0"/>
    <w:rsid w:val="00492209"/>
    <w:rsid w:val="004956C7"/>
    <w:rsid w:val="00497147"/>
    <w:rsid w:val="004A5232"/>
    <w:rsid w:val="004A58CC"/>
    <w:rsid w:val="004A79A3"/>
    <w:rsid w:val="004A7C33"/>
    <w:rsid w:val="004B08BD"/>
    <w:rsid w:val="004B3D99"/>
    <w:rsid w:val="004C3D58"/>
    <w:rsid w:val="004C62A2"/>
    <w:rsid w:val="004C7A39"/>
    <w:rsid w:val="004D119B"/>
    <w:rsid w:val="004D2C97"/>
    <w:rsid w:val="004E4D6E"/>
    <w:rsid w:val="005028B1"/>
    <w:rsid w:val="00507C08"/>
    <w:rsid w:val="00516E36"/>
    <w:rsid w:val="00533124"/>
    <w:rsid w:val="00536AC7"/>
    <w:rsid w:val="005426B3"/>
    <w:rsid w:val="00544041"/>
    <w:rsid w:val="0054564D"/>
    <w:rsid w:val="00563629"/>
    <w:rsid w:val="00574C80"/>
    <w:rsid w:val="00577B5F"/>
    <w:rsid w:val="0058277E"/>
    <w:rsid w:val="00584999"/>
    <w:rsid w:val="00591CC2"/>
    <w:rsid w:val="005A4A82"/>
    <w:rsid w:val="005C61EB"/>
    <w:rsid w:val="005C6415"/>
    <w:rsid w:val="005D0863"/>
    <w:rsid w:val="005D5BB2"/>
    <w:rsid w:val="005E068D"/>
    <w:rsid w:val="005E0BE8"/>
    <w:rsid w:val="005E1608"/>
    <w:rsid w:val="005E47AE"/>
    <w:rsid w:val="005E4E06"/>
    <w:rsid w:val="005E6CBD"/>
    <w:rsid w:val="005F1EB6"/>
    <w:rsid w:val="006165E9"/>
    <w:rsid w:val="006264F8"/>
    <w:rsid w:val="006338C6"/>
    <w:rsid w:val="00642AE4"/>
    <w:rsid w:val="006552C8"/>
    <w:rsid w:val="00660581"/>
    <w:rsid w:val="006701EE"/>
    <w:rsid w:val="00682F82"/>
    <w:rsid w:val="0069053F"/>
    <w:rsid w:val="00694951"/>
    <w:rsid w:val="006A2D1E"/>
    <w:rsid w:val="006C5249"/>
    <w:rsid w:val="006E651F"/>
    <w:rsid w:val="006F18EB"/>
    <w:rsid w:val="006F3029"/>
    <w:rsid w:val="006F5E2B"/>
    <w:rsid w:val="007009E5"/>
    <w:rsid w:val="007023F0"/>
    <w:rsid w:val="00702E58"/>
    <w:rsid w:val="0071328E"/>
    <w:rsid w:val="0071795D"/>
    <w:rsid w:val="007339B2"/>
    <w:rsid w:val="00734366"/>
    <w:rsid w:val="00765FDF"/>
    <w:rsid w:val="00766A8E"/>
    <w:rsid w:val="00767507"/>
    <w:rsid w:val="00773833"/>
    <w:rsid w:val="00773E0B"/>
    <w:rsid w:val="00792B1C"/>
    <w:rsid w:val="00795C24"/>
    <w:rsid w:val="007A46CA"/>
    <w:rsid w:val="007B5C61"/>
    <w:rsid w:val="007C6F45"/>
    <w:rsid w:val="007D72CD"/>
    <w:rsid w:val="007E65AB"/>
    <w:rsid w:val="00822A89"/>
    <w:rsid w:val="00841ECE"/>
    <w:rsid w:val="00843368"/>
    <w:rsid w:val="008514B2"/>
    <w:rsid w:val="0086174A"/>
    <w:rsid w:val="00862E18"/>
    <w:rsid w:val="0086316E"/>
    <w:rsid w:val="008647E3"/>
    <w:rsid w:val="00871A41"/>
    <w:rsid w:val="008803EA"/>
    <w:rsid w:val="00887D6C"/>
    <w:rsid w:val="00892F39"/>
    <w:rsid w:val="00893EE9"/>
    <w:rsid w:val="00896766"/>
    <w:rsid w:val="008A1185"/>
    <w:rsid w:val="008A55B4"/>
    <w:rsid w:val="008A6FCD"/>
    <w:rsid w:val="008B1836"/>
    <w:rsid w:val="008B2496"/>
    <w:rsid w:val="008B5890"/>
    <w:rsid w:val="008D5126"/>
    <w:rsid w:val="008E2A4D"/>
    <w:rsid w:val="008F7036"/>
    <w:rsid w:val="008F72A0"/>
    <w:rsid w:val="00902C97"/>
    <w:rsid w:val="00903458"/>
    <w:rsid w:val="00905FF3"/>
    <w:rsid w:val="00907C9D"/>
    <w:rsid w:val="00910CA1"/>
    <w:rsid w:val="009206C5"/>
    <w:rsid w:val="009320E4"/>
    <w:rsid w:val="00932770"/>
    <w:rsid w:val="00943651"/>
    <w:rsid w:val="00946608"/>
    <w:rsid w:val="009541D8"/>
    <w:rsid w:val="00961565"/>
    <w:rsid w:val="009638BA"/>
    <w:rsid w:val="009644FD"/>
    <w:rsid w:val="00982CB0"/>
    <w:rsid w:val="009A0908"/>
    <w:rsid w:val="009A2690"/>
    <w:rsid w:val="009B07BB"/>
    <w:rsid w:val="009C061E"/>
    <w:rsid w:val="009C2DFF"/>
    <w:rsid w:val="009C735D"/>
    <w:rsid w:val="009D2A23"/>
    <w:rsid w:val="009D2F1E"/>
    <w:rsid w:val="009D47EB"/>
    <w:rsid w:val="009E0C94"/>
    <w:rsid w:val="009E2D5D"/>
    <w:rsid w:val="009E7418"/>
    <w:rsid w:val="009E7F68"/>
    <w:rsid w:val="009F547C"/>
    <w:rsid w:val="009F6E67"/>
    <w:rsid w:val="00A02125"/>
    <w:rsid w:val="00A03AF2"/>
    <w:rsid w:val="00A167C1"/>
    <w:rsid w:val="00A3596F"/>
    <w:rsid w:val="00A36201"/>
    <w:rsid w:val="00A370F0"/>
    <w:rsid w:val="00A50922"/>
    <w:rsid w:val="00A601C5"/>
    <w:rsid w:val="00A615F5"/>
    <w:rsid w:val="00A91469"/>
    <w:rsid w:val="00A91EC3"/>
    <w:rsid w:val="00A92DB0"/>
    <w:rsid w:val="00A93164"/>
    <w:rsid w:val="00AA0FCE"/>
    <w:rsid w:val="00AA5158"/>
    <w:rsid w:val="00AB4732"/>
    <w:rsid w:val="00AB62C3"/>
    <w:rsid w:val="00AB767A"/>
    <w:rsid w:val="00AC7007"/>
    <w:rsid w:val="00AD0A4E"/>
    <w:rsid w:val="00AD334F"/>
    <w:rsid w:val="00AE2107"/>
    <w:rsid w:val="00B060E1"/>
    <w:rsid w:val="00B13011"/>
    <w:rsid w:val="00B563E4"/>
    <w:rsid w:val="00B75590"/>
    <w:rsid w:val="00B8186C"/>
    <w:rsid w:val="00B9302E"/>
    <w:rsid w:val="00B9358E"/>
    <w:rsid w:val="00B96368"/>
    <w:rsid w:val="00BA4D84"/>
    <w:rsid w:val="00BB2D2F"/>
    <w:rsid w:val="00BC0978"/>
    <w:rsid w:val="00BC26F5"/>
    <w:rsid w:val="00BC681E"/>
    <w:rsid w:val="00BD208E"/>
    <w:rsid w:val="00BE1544"/>
    <w:rsid w:val="00BE3BF7"/>
    <w:rsid w:val="00BE5505"/>
    <w:rsid w:val="00BF0DB7"/>
    <w:rsid w:val="00C011FB"/>
    <w:rsid w:val="00C1633E"/>
    <w:rsid w:val="00C216D2"/>
    <w:rsid w:val="00C36A89"/>
    <w:rsid w:val="00C4038C"/>
    <w:rsid w:val="00C4127D"/>
    <w:rsid w:val="00C44DB3"/>
    <w:rsid w:val="00C45CCE"/>
    <w:rsid w:val="00C509F4"/>
    <w:rsid w:val="00C629F5"/>
    <w:rsid w:val="00C85C03"/>
    <w:rsid w:val="00C95416"/>
    <w:rsid w:val="00C96C57"/>
    <w:rsid w:val="00CA0301"/>
    <w:rsid w:val="00CA7ACA"/>
    <w:rsid w:val="00CB2746"/>
    <w:rsid w:val="00CB6299"/>
    <w:rsid w:val="00CC6E1F"/>
    <w:rsid w:val="00CD1B9C"/>
    <w:rsid w:val="00D01C18"/>
    <w:rsid w:val="00D04076"/>
    <w:rsid w:val="00D05445"/>
    <w:rsid w:val="00D323E9"/>
    <w:rsid w:val="00D439A3"/>
    <w:rsid w:val="00D47B66"/>
    <w:rsid w:val="00D561E8"/>
    <w:rsid w:val="00D569D5"/>
    <w:rsid w:val="00D56CFA"/>
    <w:rsid w:val="00D64DD8"/>
    <w:rsid w:val="00D67A56"/>
    <w:rsid w:val="00D70EB7"/>
    <w:rsid w:val="00D721A7"/>
    <w:rsid w:val="00D80C8C"/>
    <w:rsid w:val="00D979FD"/>
    <w:rsid w:val="00DB2C58"/>
    <w:rsid w:val="00DE6F5A"/>
    <w:rsid w:val="00E0618F"/>
    <w:rsid w:val="00E27114"/>
    <w:rsid w:val="00E37A45"/>
    <w:rsid w:val="00E50264"/>
    <w:rsid w:val="00E532EA"/>
    <w:rsid w:val="00E55B9B"/>
    <w:rsid w:val="00E56A00"/>
    <w:rsid w:val="00E60474"/>
    <w:rsid w:val="00E61A00"/>
    <w:rsid w:val="00E70E3C"/>
    <w:rsid w:val="00E76F37"/>
    <w:rsid w:val="00E77636"/>
    <w:rsid w:val="00E800A7"/>
    <w:rsid w:val="00E86D06"/>
    <w:rsid w:val="00E903EF"/>
    <w:rsid w:val="00EA36EF"/>
    <w:rsid w:val="00EB2F17"/>
    <w:rsid w:val="00EC04C9"/>
    <w:rsid w:val="00ED06C2"/>
    <w:rsid w:val="00ED25B9"/>
    <w:rsid w:val="00ED63EC"/>
    <w:rsid w:val="00EF1ED3"/>
    <w:rsid w:val="00F02C73"/>
    <w:rsid w:val="00F1023D"/>
    <w:rsid w:val="00F110F6"/>
    <w:rsid w:val="00F14BC4"/>
    <w:rsid w:val="00F164BF"/>
    <w:rsid w:val="00F16919"/>
    <w:rsid w:val="00F21D5C"/>
    <w:rsid w:val="00F22178"/>
    <w:rsid w:val="00F27575"/>
    <w:rsid w:val="00F30E5B"/>
    <w:rsid w:val="00F52269"/>
    <w:rsid w:val="00F529F5"/>
    <w:rsid w:val="00F52F24"/>
    <w:rsid w:val="00F53A06"/>
    <w:rsid w:val="00F67432"/>
    <w:rsid w:val="00F81CA5"/>
    <w:rsid w:val="00FA7CC3"/>
    <w:rsid w:val="00FB01F6"/>
    <w:rsid w:val="00FB7B41"/>
    <w:rsid w:val="00FB7D9B"/>
    <w:rsid w:val="00FB7F7D"/>
    <w:rsid w:val="00FC5234"/>
    <w:rsid w:val="00FC6360"/>
    <w:rsid w:val="00FD3CFA"/>
    <w:rsid w:val="00FF1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uiPriority w:val="99"/>
    <w:semiHidden/>
    <w:unhideWhenUsed/>
    <w:rsid w:val="00FB7B41"/>
    <w:pPr>
      <w:spacing w:line="240" w:lineRule="auto"/>
    </w:pPr>
    <w:rPr>
      <w:sz w:val="20"/>
      <w:szCs w:val="20"/>
    </w:rPr>
  </w:style>
  <w:style w:type="character" w:customStyle="1" w:styleId="FootnoteTextChar">
    <w:name w:val="Footnote Text Char"/>
    <w:basedOn w:val="DefaultParagraphFont"/>
    <w:link w:val="FootnoteText"/>
    <w:uiPriority w:val="99"/>
    <w:semiHidden/>
    <w:rsid w:val="00FB7B41"/>
    <w:rPr>
      <w:rFonts w:ascii="Arial" w:hAnsi="Arial"/>
      <w:sz w:val="20"/>
      <w:szCs w:val="20"/>
    </w:rPr>
  </w:style>
  <w:style w:type="character" w:styleId="FootnoteReference">
    <w:name w:val="footnote reference"/>
    <w:basedOn w:val="DefaultParagraphFont"/>
    <w:uiPriority w:val="99"/>
    <w:semiHidden/>
    <w:unhideWhenUsed/>
    <w:rsid w:val="00FB7B41"/>
    <w:rPr>
      <w:vertAlign w:val="superscript"/>
    </w:rPr>
  </w:style>
  <w:style w:type="paragraph" w:styleId="ListBullet">
    <w:name w:val="List Bullet"/>
    <w:basedOn w:val="Normal"/>
    <w:uiPriority w:val="99"/>
    <w:unhideWhenUsed/>
    <w:rsid w:val="00B96368"/>
    <w:pPr>
      <w:numPr>
        <w:numId w:val="16"/>
      </w:numPr>
      <w:contextualSpacing/>
    </w:pPr>
  </w:style>
  <w:style w:type="table" w:customStyle="1" w:styleId="TableGrid1">
    <w:name w:val="Table Grid1"/>
    <w:basedOn w:val="TableNormal"/>
    <w:next w:val="TableGrid"/>
    <w:uiPriority w:val="39"/>
    <w:rsid w:val="00E7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rsid w:val="00A92DB0"/>
    <w:pPr>
      <w:jc w:val="left"/>
    </w:pPr>
    <w:rPr>
      <w:rFonts w:eastAsia="Times New Roman" w:cs="Times New Roman"/>
      <w:b/>
      <w:color w:val="000000"/>
      <w:spacing w:val="6"/>
      <w:sz w:val="18"/>
      <w:szCs w:val="18"/>
      <w:lang w:val="en-GB" w:eastAsia="en-GB"/>
    </w:rPr>
  </w:style>
  <w:style w:type="paragraph" w:styleId="BalloonText">
    <w:name w:val="Balloon Text"/>
    <w:basedOn w:val="Normal"/>
    <w:link w:val="BalloonTextChar"/>
    <w:uiPriority w:val="99"/>
    <w:semiHidden/>
    <w:unhideWhenUsed/>
    <w:rsid w:val="00320E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uiPriority w:val="99"/>
    <w:semiHidden/>
    <w:unhideWhenUsed/>
    <w:rsid w:val="00FB7B41"/>
    <w:pPr>
      <w:spacing w:line="240" w:lineRule="auto"/>
    </w:pPr>
    <w:rPr>
      <w:sz w:val="20"/>
      <w:szCs w:val="20"/>
    </w:rPr>
  </w:style>
  <w:style w:type="character" w:customStyle="1" w:styleId="FootnoteTextChar">
    <w:name w:val="Footnote Text Char"/>
    <w:basedOn w:val="DefaultParagraphFont"/>
    <w:link w:val="FootnoteText"/>
    <w:uiPriority w:val="99"/>
    <w:semiHidden/>
    <w:rsid w:val="00FB7B41"/>
    <w:rPr>
      <w:rFonts w:ascii="Arial" w:hAnsi="Arial"/>
      <w:sz w:val="20"/>
      <w:szCs w:val="20"/>
    </w:rPr>
  </w:style>
  <w:style w:type="character" w:styleId="FootnoteReference">
    <w:name w:val="footnote reference"/>
    <w:basedOn w:val="DefaultParagraphFont"/>
    <w:uiPriority w:val="99"/>
    <w:semiHidden/>
    <w:unhideWhenUsed/>
    <w:rsid w:val="00FB7B41"/>
    <w:rPr>
      <w:vertAlign w:val="superscript"/>
    </w:rPr>
  </w:style>
  <w:style w:type="paragraph" w:styleId="ListBullet">
    <w:name w:val="List Bullet"/>
    <w:basedOn w:val="Normal"/>
    <w:uiPriority w:val="99"/>
    <w:unhideWhenUsed/>
    <w:rsid w:val="00B96368"/>
    <w:pPr>
      <w:numPr>
        <w:numId w:val="16"/>
      </w:numPr>
      <w:contextualSpacing/>
    </w:pPr>
  </w:style>
  <w:style w:type="table" w:customStyle="1" w:styleId="TableGrid1">
    <w:name w:val="Table Grid1"/>
    <w:basedOn w:val="TableNormal"/>
    <w:next w:val="TableGrid"/>
    <w:uiPriority w:val="39"/>
    <w:rsid w:val="00E7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rsid w:val="00A92DB0"/>
    <w:pPr>
      <w:jc w:val="left"/>
    </w:pPr>
    <w:rPr>
      <w:rFonts w:eastAsia="Times New Roman" w:cs="Times New Roman"/>
      <w:b/>
      <w:color w:val="000000"/>
      <w:spacing w:val="6"/>
      <w:sz w:val="18"/>
      <w:szCs w:val="18"/>
      <w:lang w:val="en-GB" w:eastAsia="en-GB"/>
    </w:rPr>
  </w:style>
  <w:style w:type="paragraph" w:styleId="BalloonText">
    <w:name w:val="Balloon Text"/>
    <w:basedOn w:val="Normal"/>
    <w:link w:val="BalloonTextChar"/>
    <w:uiPriority w:val="99"/>
    <w:semiHidden/>
    <w:unhideWhenUsed/>
    <w:rsid w:val="00320E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311">
      <w:bodyDiv w:val="1"/>
      <w:marLeft w:val="0"/>
      <w:marRight w:val="0"/>
      <w:marTop w:val="0"/>
      <w:marBottom w:val="0"/>
      <w:divBdr>
        <w:top w:val="none" w:sz="0" w:space="0" w:color="auto"/>
        <w:left w:val="none" w:sz="0" w:space="0" w:color="auto"/>
        <w:bottom w:val="none" w:sz="0" w:space="0" w:color="auto"/>
        <w:right w:val="none" w:sz="0" w:space="0" w:color="auto"/>
      </w:divBdr>
    </w:div>
    <w:div w:id="561139608">
      <w:bodyDiv w:val="1"/>
      <w:marLeft w:val="0"/>
      <w:marRight w:val="0"/>
      <w:marTop w:val="0"/>
      <w:marBottom w:val="0"/>
      <w:divBdr>
        <w:top w:val="none" w:sz="0" w:space="0" w:color="auto"/>
        <w:left w:val="none" w:sz="0" w:space="0" w:color="auto"/>
        <w:bottom w:val="none" w:sz="0" w:space="0" w:color="auto"/>
        <w:right w:val="none" w:sz="0" w:space="0" w:color="auto"/>
      </w:divBdr>
    </w:div>
    <w:div w:id="811362273">
      <w:bodyDiv w:val="1"/>
      <w:marLeft w:val="0"/>
      <w:marRight w:val="0"/>
      <w:marTop w:val="0"/>
      <w:marBottom w:val="0"/>
      <w:divBdr>
        <w:top w:val="none" w:sz="0" w:space="0" w:color="auto"/>
        <w:left w:val="none" w:sz="0" w:space="0" w:color="auto"/>
        <w:bottom w:val="none" w:sz="0" w:space="0" w:color="auto"/>
        <w:right w:val="none" w:sz="0" w:space="0" w:color="auto"/>
      </w:divBdr>
    </w:div>
    <w:div w:id="897670075">
      <w:bodyDiv w:val="1"/>
      <w:marLeft w:val="0"/>
      <w:marRight w:val="0"/>
      <w:marTop w:val="0"/>
      <w:marBottom w:val="0"/>
      <w:divBdr>
        <w:top w:val="none" w:sz="0" w:space="0" w:color="auto"/>
        <w:left w:val="none" w:sz="0" w:space="0" w:color="auto"/>
        <w:bottom w:val="none" w:sz="0" w:space="0" w:color="auto"/>
        <w:right w:val="none" w:sz="0" w:space="0" w:color="auto"/>
      </w:divBdr>
    </w:div>
    <w:div w:id="1066612264">
      <w:bodyDiv w:val="1"/>
      <w:marLeft w:val="0"/>
      <w:marRight w:val="0"/>
      <w:marTop w:val="0"/>
      <w:marBottom w:val="0"/>
      <w:divBdr>
        <w:top w:val="none" w:sz="0" w:space="0" w:color="auto"/>
        <w:left w:val="none" w:sz="0" w:space="0" w:color="auto"/>
        <w:bottom w:val="none" w:sz="0" w:space="0" w:color="auto"/>
        <w:right w:val="none" w:sz="0" w:space="0" w:color="auto"/>
      </w:divBdr>
    </w:div>
    <w:div w:id="1402942064">
      <w:bodyDiv w:val="1"/>
      <w:marLeft w:val="0"/>
      <w:marRight w:val="0"/>
      <w:marTop w:val="0"/>
      <w:marBottom w:val="0"/>
      <w:divBdr>
        <w:top w:val="none" w:sz="0" w:space="0" w:color="auto"/>
        <w:left w:val="none" w:sz="0" w:space="0" w:color="auto"/>
        <w:bottom w:val="none" w:sz="0" w:space="0" w:color="auto"/>
        <w:right w:val="none" w:sz="0" w:space="0" w:color="auto"/>
      </w:divBdr>
    </w:div>
    <w:div w:id="1701664991">
      <w:bodyDiv w:val="1"/>
      <w:marLeft w:val="0"/>
      <w:marRight w:val="0"/>
      <w:marTop w:val="0"/>
      <w:marBottom w:val="0"/>
      <w:divBdr>
        <w:top w:val="none" w:sz="0" w:space="0" w:color="auto"/>
        <w:left w:val="none" w:sz="0" w:space="0" w:color="auto"/>
        <w:bottom w:val="none" w:sz="0" w:space="0" w:color="auto"/>
        <w:right w:val="none" w:sz="0" w:space="0" w:color="auto"/>
      </w:divBdr>
    </w:div>
    <w:div w:id="19935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komani\Documents\GroupWise\Budget%20Analysis%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okomani\Documents\GroupWise\1.Budget%20%20Table%20for%20Publication%202017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input'!$B$3:$B$8</c:f>
              <c:numCache>
                <c:formatCode>General</c:formatCode>
                <c:ptCount val="6"/>
                <c:pt idx="0">
                  <c:v>263.7</c:v>
                </c:pt>
                <c:pt idx="1">
                  <c:v>423.6</c:v>
                </c:pt>
                <c:pt idx="2" formatCode="#,##0.00">
                  <c:v>52888</c:v>
                </c:pt>
                <c:pt idx="3">
                  <c:v>588.9</c:v>
                </c:pt>
                <c:pt idx="4" formatCode="#,##0.00">
                  <c:v>15666.5</c:v>
                </c:pt>
                <c:pt idx="5" formatCode="#,##0.00">
                  <c:v>3191.2</c:v>
                </c:pt>
              </c:numCache>
            </c:numRef>
          </c:val>
          <c:extLst xmlns:c16r2="http://schemas.microsoft.com/office/drawing/2015/06/chart">
            <c:ext xmlns:c16="http://schemas.microsoft.com/office/drawing/2014/chart" uri="{C3380CC4-5D6E-409C-BE32-E72D297353CC}">
              <c16:uniqueId val="{00000000-A5EB-4766-85A4-107B11D57295}"/>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input'!$C$3:$C$8</c:f>
              <c:numCache>
                <c:formatCode>General</c:formatCode>
                <c:ptCount val="6"/>
                <c:pt idx="0">
                  <c:v>247.3</c:v>
                </c:pt>
                <c:pt idx="1">
                  <c:v>210.3</c:v>
                </c:pt>
                <c:pt idx="2" formatCode="#,##0.00">
                  <c:v>57372.800000000003</c:v>
                </c:pt>
                <c:pt idx="3">
                  <c:v>521.9</c:v>
                </c:pt>
                <c:pt idx="4" formatCode="#,##0.00">
                  <c:v>16366.4</c:v>
                </c:pt>
                <c:pt idx="5" formatCode="#,##0.00">
                  <c:v>3695.9</c:v>
                </c:pt>
              </c:numCache>
            </c:numRef>
          </c:val>
          <c:extLst xmlns:c16r2="http://schemas.microsoft.com/office/drawing/2015/06/chart">
            <c:ext xmlns:c16="http://schemas.microsoft.com/office/drawing/2014/chart" uri="{C3380CC4-5D6E-409C-BE32-E72D297353CC}">
              <c16:uniqueId val="{00000001-A5EB-4766-85A4-107B11D57295}"/>
            </c:ext>
          </c:extLst>
        </c:ser>
        <c:dLbls>
          <c:showLegendKey val="0"/>
          <c:showVal val="0"/>
          <c:showCatName val="0"/>
          <c:showSerName val="0"/>
          <c:showPercent val="0"/>
          <c:showBubbleSize val="0"/>
        </c:dLbls>
        <c:gapWidth val="150"/>
        <c:axId val="161167616"/>
        <c:axId val="153063808"/>
      </c:barChart>
      <c:catAx>
        <c:axId val="1611676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063808"/>
        <c:crosses val="autoZero"/>
        <c:auto val="1"/>
        <c:lblAlgn val="ctr"/>
        <c:lblOffset val="100"/>
        <c:tickLblSkip val="1"/>
        <c:tickMarkSkip val="1"/>
        <c:noMultiLvlLbl val="0"/>
      </c:catAx>
      <c:valAx>
        <c:axId val="15306380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1167616"/>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input'!$B$3:$B$8</c:f>
              <c:numCache>
                <c:formatCode>#,##0.0;\(#,##0.0\);_*\ "–"_ ;_ @_ </c:formatCode>
                <c:ptCount val="6"/>
                <c:pt idx="0">
                  <c:v>37.939</c:v>
                </c:pt>
                <c:pt idx="1">
                  <c:v>13.609</c:v>
                </c:pt>
                <c:pt idx="2">
                  <c:v>127.45399999999999</c:v>
                </c:pt>
                <c:pt idx="3">
                  <c:v>30.728999999999999</c:v>
                </c:pt>
                <c:pt idx="4">
                  <c:v>16.475000000000001</c:v>
                </c:pt>
                <c:pt idx="5">
                  <c:v>37.484999999999999</c:v>
                </c:pt>
              </c:numCache>
            </c:numRef>
          </c:val>
          <c:extLst xmlns:c16r2="http://schemas.microsoft.com/office/drawing/2015/06/chart">
            <c:ext xmlns:c16="http://schemas.microsoft.com/office/drawing/2014/chart" uri="{C3380CC4-5D6E-409C-BE32-E72D297353CC}">
              <c16:uniqueId val="{00000000-68F6-4492-9656-E6F1DAFBD57E}"/>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input'!$C$3:$C$8</c:f>
              <c:numCache>
                <c:formatCode>#,##0.0;\(#,##0.0\);_*\ "–"_ ;_ @_ </c:formatCode>
                <c:ptCount val="6"/>
                <c:pt idx="0">
                  <c:v>28.01</c:v>
                </c:pt>
                <c:pt idx="1">
                  <c:v>17.47</c:v>
                </c:pt>
                <c:pt idx="2">
                  <c:v>108.884</c:v>
                </c:pt>
                <c:pt idx="3">
                  <c:v>38.374000000000002</c:v>
                </c:pt>
                <c:pt idx="4">
                  <c:v>12.977</c:v>
                </c:pt>
                <c:pt idx="5">
                  <c:v>41.581000000000003</c:v>
                </c:pt>
              </c:numCache>
            </c:numRef>
          </c:val>
          <c:extLst xmlns:c16r2="http://schemas.microsoft.com/office/drawing/2015/06/chart">
            <c:ext xmlns:c16="http://schemas.microsoft.com/office/drawing/2014/chart" uri="{C3380CC4-5D6E-409C-BE32-E72D297353CC}">
              <c16:uniqueId val="{00000001-68F6-4492-9656-E6F1DAFBD57E}"/>
            </c:ext>
          </c:extLst>
        </c:ser>
        <c:dLbls>
          <c:showLegendKey val="0"/>
          <c:showVal val="0"/>
          <c:showCatName val="0"/>
          <c:showSerName val="0"/>
          <c:showPercent val="0"/>
          <c:showBubbleSize val="0"/>
        </c:dLbls>
        <c:gapWidth val="150"/>
        <c:axId val="153083264"/>
        <c:axId val="153097728"/>
      </c:barChart>
      <c:catAx>
        <c:axId val="1530832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097728"/>
        <c:crosses val="autoZero"/>
        <c:auto val="1"/>
        <c:lblAlgn val="ctr"/>
        <c:lblOffset val="100"/>
        <c:tickLblSkip val="1"/>
        <c:tickMarkSkip val="1"/>
        <c:noMultiLvlLbl val="0"/>
      </c:catAx>
      <c:valAx>
        <c:axId val="15309772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083264"/>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input'!$B$3:$B$10</c:f>
              <c:numCache>
                <c:formatCode>#,##0.0;\(#,##0.0\);_*\ "–"_ ;_ @_ </c:formatCode>
                <c:ptCount val="8"/>
                <c:pt idx="0">
                  <c:v>1.1579999999999999</c:v>
                </c:pt>
                <c:pt idx="1">
                  <c:v>2.5390000000000001</c:v>
                </c:pt>
                <c:pt idx="2">
                  <c:v>8.1609999999999996</c:v>
                </c:pt>
                <c:pt idx="3">
                  <c:v>13.481999999999999</c:v>
                </c:pt>
                <c:pt idx="4">
                  <c:v>7.1740000000000004</c:v>
                </c:pt>
                <c:pt idx="5">
                  <c:v>325.27999999999997</c:v>
                </c:pt>
                <c:pt idx="6">
                  <c:v>59.22</c:v>
                </c:pt>
                <c:pt idx="7">
                  <c:v>6.6189999999999998</c:v>
                </c:pt>
              </c:numCache>
            </c:numRef>
          </c:val>
          <c:extLst xmlns:c16r2="http://schemas.microsoft.com/office/drawing/2015/06/chart">
            <c:ext xmlns:c16="http://schemas.microsoft.com/office/drawing/2014/chart" uri="{C3380CC4-5D6E-409C-BE32-E72D297353CC}">
              <c16:uniqueId val="{00000000-D38D-4ACE-8966-AF94FD1DC990}"/>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input'!$C$3:$C$10</c:f>
              <c:numCache>
                <c:formatCode>#,##0.0;\(#,##0.0\);_*\ "–"_ ;_ @_ </c:formatCode>
                <c:ptCount val="8"/>
                <c:pt idx="0">
                  <c:v>3.2469999999999999</c:v>
                </c:pt>
                <c:pt idx="1">
                  <c:v>3.42</c:v>
                </c:pt>
                <c:pt idx="2">
                  <c:v>10.581</c:v>
                </c:pt>
                <c:pt idx="3">
                  <c:v>14.554</c:v>
                </c:pt>
                <c:pt idx="4">
                  <c:v>9.0220000000000002</c:v>
                </c:pt>
                <c:pt idx="5">
                  <c:v>111.85599999999999</c:v>
                </c:pt>
                <c:pt idx="6">
                  <c:v>50.631</c:v>
                </c:pt>
                <c:pt idx="7">
                  <c:v>6.95</c:v>
                </c:pt>
              </c:numCache>
            </c:numRef>
          </c:val>
          <c:extLst xmlns:c16r2="http://schemas.microsoft.com/office/drawing/2015/06/chart">
            <c:ext xmlns:c16="http://schemas.microsoft.com/office/drawing/2014/chart" uri="{C3380CC4-5D6E-409C-BE32-E72D297353CC}">
              <c16:uniqueId val="{00000001-D38D-4ACE-8966-AF94FD1DC990}"/>
            </c:ext>
          </c:extLst>
        </c:ser>
        <c:dLbls>
          <c:showLegendKey val="0"/>
          <c:showVal val="0"/>
          <c:showCatName val="0"/>
          <c:showSerName val="0"/>
          <c:showPercent val="0"/>
          <c:showBubbleSize val="0"/>
        </c:dLbls>
        <c:gapWidth val="150"/>
        <c:axId val="153116032"/>
        <c:axId val="153146880"/>
      </c:barChart>
      <c:catAx>
        <c:axId val="1531160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146880"/>
        <c:crosses val="autoZero"/>
        <c:auto val="1"/>
        <c:lblAlgn val="ctr"/>
        <c:lblOffset val="100"/>
        <c:tickLblSkip val="1"/>
        <c:tickMarkSkip val="1"/>
        <c:noMultiLvlLbl val="0"/>
      </c:catAx>
      <c:valAx>
        <c:axId val="153146880"/>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116032"/>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input'!$B$3:$B$13</c:f>
              <c:numCache>
                <c:formatCode>#,##0.0;\(#,##0.0\);_*\ "–"_ ;_ @_ </c:formatCode>
                <c:ptCount val="11"/>
                <c:pt idx="0">
                  <c:v>5.7030000000000003</c:v>
                </c:pt>
                <c:pt idx="1">
                  <c:v>7.0570000000000004</c:v>
                </c:pt>
                <c:pt idx="2">
                  <c:v>33.816000000000003</c:v>
                </c:pt>
                <c:pt idx="3">
                  <c:v>8.2750000000000004</c:v>
                </c:pt>
                <c:pt idx="4">
                  <c:v>5.508</c:v>
                </c:pt>
                <c:pt idx="5">
                  <c:v>13.252000000000001</c:v>
                </c:pt>
                <c:pt idx="6">
                  <c:v>52568.705999999998</c:v>
                </c:pt>
                <c:pt idx="7">
                  <c:v>31.5</c:v>
                </c:pt>
                <c:pt idx="8">
                  <c:v>84.349000000000004</c:v>
                </c:pt>
                <c:pt idx="9">
                  <c:v>129.798</c:v>
                </c:pt>
                <c:pt idx="10">
                  <c:v>0</c:v>
                </c:pt>
              </c:numCache>
            </c:numRef>
          </c:val>
          <c:extLst xmlns:c16r2="http://schemas.microsoft.com/office/drawing/2015/06/chart">
            <c:ext xmlns:c16="http://schemas.microsoft.com/office/drawing/2014/chart" uri="{C3380CC4-5D6E-409C-BE32-E72D297353CC}">
              <c16:uniqueId val="{00000000-8EDC-461A-953E-728AC44E1DF4}"/>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input'!$C$3:$C$13</c:f>
              <c:numCache>
                <c:formatCode>#,##0.0;\(#,##0.0\);_*\ "–"_ ;_ @_ </c:formatCode>
                <c:ptCount val="11"/>
                <c:pt idx="0">
                  <c:v>3.323</c:v>
                </c:pt>
                <c:pt idx="1">
                  <c:v>7.7720000000000002</c:v>
                </c:pt>
                <c:pt idx="2">
                  <c:v>31.503</c:v>
                </c:pt>
                <c:pt idx="3">
                  <c:v>6.7009999999999996</c:v>
                </c:pt>
                <c:pt idx="4">
                  <c:v>7.3479999999999999</c:v>
                </c:pt>
                <c:pt idx="5">
                  <c:v>18.007999999999999</c:v>
                </c:pt>
                <c:pt idx="6">
                  <c:v>57012.141000000003</c:v>
                </c:pt>
                <c:pt idx="7">
                  <c:v>31.3</c:v>
                </c:pt>
                <c:pt idx="8">
                  <c:v>103.249</c:v>
                </c:pt>
                <c:pt idx="9">
                  <c:v>145.006</c:v>
                </c:pt>
                <c:pt idx="10">
                  <c:v>6.4039999999999999</c:v>
                </c:pt>
              </c:numCache>
            </c:numRef>
          </c:val>
          <c:extLst xmlns:c16r2="http://schemas.microsoft.com/office/drawing/2015/06/chart">
            <c:ext xmlns:c16="http://schemas.microsoft.com/office/drawing/2014/chart" uri="{C3380CC4-5D6E-409C-BE32-E72D297353CC}">
              <c16:uniqueId val="{00000001-8EDC-461A-953E-728AC44E1DF4}"/>
            </c:ext>
          </c:extLst>
        </c:ser>
        <c:dLbls>
          <c:showLegendKey val="0"/>
          <c:showVal val="0"/>
          <c:showCatName val="0"/>
          <c:showSerName val="0"/>
          <c:showPercent val="0"/>
          <c:showBubbleSize val="0"/>
        </c:dLbls>
        <c:gapWidth val="150"/>
        <c:axId val="153816064"/>
        <c:axId val="153851008"/>
      </c:barChart>
      <c:catAx>
        <c:axId val="1538160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851008"/>
        <c:crosses val="autoZero"/>
        <c:auto val="1"/>
        <c:lblAlgn val="ctr"/>
        <c:lblOffset val="100"/>
        <c:tickLblSkip val="1"/>
        <c:tickMarkSkip val="1"/>
        <c:noMultiLvlLbl val="0"/>
      </c:catAx>
      <c:valAx>
        <c:axId val="15385100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816064"/>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input'!$B$3:$B$10</c:f>
              <c:numCache>
                <c:formatCode>#,##0.0;\(#,##0.0\);_*\ "–"_ ;_ @_ </c:formatCode>
                <c:ptCount val="8"/>
                <c:pt idx="0">
                  <c:v>3.1320000000000001</c:v>
                </c:pt>
                <c:pt idx="1">
                  <c:v>28.016999999999999</c:v>
                </c:pt>
                <c:pt idx="2">
                  <c:v>5.0979999999999999</c:v>
                </c:pt>
                <c:pt idx="3">
                  <c:v>3.6560000000000001</c:v>
                </c:pt>
                <c:pt idx="4">
                  <c:v>3.097</c:v>
                </c:pt>
                <c:pt idx="5">
                  <c:v>24.42</c:v>
                </c:pt>
                <c:pt idx="6">
                  <c:v>381.46699999999998</c:v>
                </c:pt>
                <c:pt idx="7">
                  <c:v>140</c:v>
                </c:pt>
              </c:numCache>
            </c:numRef>
          </c:val>
          <c:extLst xmlns:c16r2="http://schemas.microsoft.com/office/drawing/2015/06/chart">
            <c:ext xmlns:c16="http://schemas.microsoft.com/office/drawing/2014/chart" uri="{C3380CC4-5D6E-409C-BE32-E72D297353CC}">
              <c16:uniqueId val="{00000000-678C-41C5-AFBE-BF57B778AE65}"/>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input'!$C$3:$C$10</c:f>
              <c:numCache>
                <c:formatCode>#,##0.0;\(#,##0.0\);_*\ "–"_ ;_ @_ </c:formatCode>
                <c:ptCount val="8"/>
                <c:pt idx="0">
                  <c:v>3.6150000000000002</c:v>
                </c:pt>
                <c:pt idx="1">
                  <c:v>53.390999999999998</c:v>
                </c:pt>
                <c:pt idx="2">
                  <c:v>6.056</c:v>
                </c:pt>
                <c:pt idx="3">
                  <c:v>4.2729999999999997</c:v>
                </c:pt>
                <c:pt idx="4">
                  <c:v>3.2789999999999999</c:v>
                </c:pt>
                <c:pt idx="5">
                  <c:v>27.577000000000002</c:v>
                </c:pt>
                <c:pt idx="6">
                  <c:v>423.71300000000002</c:v>
                </c:pt>
                <c:pt idx="7">
                  <c:v>0</c:v>
                </c:pt>
              </c:numCache>
            </c:numRef>
          </c:val>
          <c:extLst xmlns:c16r2="http://schemas.microsoft.com/office/drawing/2015/06/chart">
            <c:ext xmlns:c16="http://schemas.microsoft.com/office/drawing/2014/chart" uri="{C3380CC4-5D6E-409C-BE32-E72D297353CC}">
              <c16:uniqueId val="{00000001-678C-41C5-AFBE-BF57B778AE65}"/>
            </c:ext>
          </c:extLst>
        </c:ser>
        <c:dLbls>
          <c:showLegendKey val="0"/>
          <c:showVal val="0"/>
          <c:showCatName val="0"/>
          <c:showSerName val="0"/>
          <c:showPercent val="0"/>
          <c:showBubbleSize val="0"/>
        </c:dLbls>
        <c:gapWidth val="150"/>
        <c:axId val="153918848"/>
        <c:axId val="153929216"/>
      </c:barChart>
      <c:catAx>
        <c:axId val="153918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929216"/>
        <c:crosses val="autoZero"/>
        <c:auto val="1"/>
        <c:lblAlgn val="ctr"/>
        <c:lblOffset val="100"/>
        <c:tickLblSkip val="1"/>
        <c:tickMarkSkip val="1"/>
        <c:noMultiLvlLbl val="0"/>
      </c:catAx>
      <c:valAx>
        <c:axId val="153929216"/>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918848"/>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input'!$B$3:$B$9</c:f>
              <c:numCache>
                <c:formatCode>#,##0.0;\(#,##0.0\);_*\ "–"_ ;_ @_ </c:formatCode>
                <c:ptCount val="7"/>
                <c:pt idx="0">
                  <c:v>3.948</c:v>
                </c:pt>
                <c:pt idx="1">
                  <c:v>322.77800000000002</c:v>
                </c:pt>
                <c:pt idx="2">
                  <c:v>29.242999999999999</c:v>
                </c:pt>
                <c:pt idx="3">
                  <c:v>11.058999999999999</c:v>
                </c:pt>
                <c:pt idx="4">
                  <c:v>35.600999999999999</c:v>
                </c:pt>
                <c:pt idx="5">
                  <c:v>14914.028</c:v>
                </c:pt>
                <c:pt idx="6">
                  <c:v>349.88900000000001</c:v>
                </c:pt>
              </c:numCache>
            </c:numRef>
          </c:val>
          <c:extLst xmlns:c16r2="http://schemas.microsoft.com/office/drawing/2015/06/chart">
            <c:ext xmlns:c16="http://schemas.microsoft.com/office/drawing/2014/chart" uri="{C3380CC4-5D6E-409C-BE32-E72D297353CC}">
              <c16:uniqueId val="{00000000-FEC2-4610-BD6B-11F95B998AEC}"/>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input'!$C$3:$C$9</c:f>
              <c:numCache>
                <c:formatCode>#,##0.0;\(#,##0.0\);_*\ "–"_ ;_ @_ </c:formatCode>
                <c:ptCount val="7"/>
                <c:pt idx="0">
                  <c:v>3.302</c:v>
                </c:pt>
                <c:pt idx="1">
                  <c:v>13.442</c:v>
                </c:pt>
                <c:pt idx="2">
                  <c:v>30.475000000000001</c:v>
                </c:pt>
                <c:pt idx="3">
                  <c:v>12.352</c:v>
                </c:pt>
                <c:pt idx="4">
                  <c:v>34.097000000000001</c:v>
                </c:pt>
                <c:pt idx="5">
                  <c:v>15891.252</c:v>
                </c:pt>
                <c:pt idx="6">
                  <c:v>381.483</c:v>
                </c:pt>
              </c:numCache>
            </c:numRef>
          </c:val>
          <c:extLst xmlns:c16r2="http://schemas.microsoft.com/office/drawing/2015/06/chart">
            <c:ext xmlns:c16="http://schemas.microsoft.com/office/drawing/2014/chart" uri="{C3380CC4-5D6E-409C-BE32-E72D297353CC}">
              <c16:uniqueId val="{00000001-FEC2-4610-BD6B-11F95B998AEC}"/>
            </c:ext>
          </c:extLst>
        </c:ser>
        <c:dLbls>
          <c:showLegendKey val="0"/>
          <c:showVal val="0"/>
          <c:showCatName val="0"/>
          <c:showSerName val="0"/>
          <c:showPercent val="0"/>
          <c:showBubbleSize val="0"/>
        </c:dLbls>
        <c:gapWidth val="150"/>
        <c:axId val="155622784"/>
        <c:axId val="155637248"/>
      </c:barChart>
      <c:catAx>
        <c:axId val="1556227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5637248"/>
        <c:crosses val="autoZero"/>
        <c:auto val="1"/>
        <c:lblAlgn val="ctr"/>
        <c:lblOffset val="100"/>
        <c:tickLblSkip val="1"/>
        <c:tickMarkSkip val="1"/>
        <c:noMultiLvlLbl val="0"/>
      </c:catAx>
      <c:valAx>
        <c:axId val="155637248"/>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1.5104222098539491E-3"/>
              <c:y val="0.44736441453359715"/>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5622784"/>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0059178863474008"/>
          <c:y val="0.16040139509270024"/>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input'!$B$3:$B$5</c:f>
              <c:numCache>
                <c:formatCode>#,##0.0;\(#,##0.0\);_*\ "–"_ ;_ @_ </c:formatCode>
                <c:ptCount val="3"/>
                <c:pt idx="0">
                  <c:v>3140.7539999999999</c:v>
                </c:pt>
                <c:pt idx="1">
                  <c:v>38.531999999999996</c:v>
                </c:pt>
                <c:pt idx="2">
                  <c:v>11.898999999999999</c:v>
                </c:pt>
              </c:numCache>
            </c:numRef>
          </c:val>
          <c:extLst xmlns:c16r2="http://schemas.microsoft.com/office/drawing/2015/06/chart">
            <c:ext xmlns:c16="http://schemas.microsoft.com/office/drawing/2014/chart" uri="{C3380CC4-5D6E-409C-BE32-E72D297353CC}">
              <c16:uniqueId val="{00000000-590D-4126-BC7B-E846297E4C1E}"/>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input'!$C$3:$C$5</c:f>
              <c:numCache>
                <c:formatCode>#,##0.0;\(#,##0.0\);_*\ "–"_ ;_ @_ </c:formatCode>
                <c:ptCount val="3"/>
                <c:pt idx="0">
                  <c:v>3643.0360000000001</c:v>
                </c:pt>
                <c:pt idx="1">
                  <c:v>40.366999999999997</c:v>
                </c:pt>
                <c:pt idx="2">
                  <c:v>12.462999999999999</c:v>
                </c:pt>
              </c:numCache>
            </c:numRef>
          </c:val>
          <c:extLst xmlns:c16r2="http://schemas.microsoft.com/office/drawing/2015/06/chart">
            <c:ext xmlns:c16="http://schemas.microsoft.com/office/drawing/2014/chart" uri="{C3380CC4-5D6E-409C-BE32-E72D297353CC}">
              <c16:uniqueId val="{00000001-590D-4126-BC7B-E846297E4C1E}"/>
            </c:ext>
          </c:extLst>
        </c:ser>
        <c:dLbls>
          <c:showLegendKey val="0"/>
          <c:showVal val="0"/>
          <c:showCatName val="0"/>
          <c:showSerName val="0"/>
          <c:showPercent val="0"/>
          <c:showBubbleSize val="0"/>
        </c:dLbls>
        <c:gapWidth val="150"/>
        <c:axId val="157949952"/>
        <c:axId val="157951872"/>
      </c:barChart>
      <c:catAx>
        <c:axId val="1579499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Sub-programmes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7951872"/>
        <c:crosses val="autoZero"/>
        <c:auto val="1"/>
        <c:lblAlgn val="ctr"/>
        <c:lblOffset val="100"/>
        <c:tickLblSkip val="1"/>
        <c:tickMarkSkip val="1"/>
        <c:noMultiLvlLbl val="0"/>
      </c:catAx>
      <c:valAx>
        <c:axId val="157951872"/>
        <c:scaling>
          <c:orientation val="minMax"/>
        </c:scaling>
        <c:delete val="0"/>
        <c:axPos val="l"/>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1.5104222098539491E-3"/>
              <c:y val="0.43985549769485122"/>
            </c:manualLayout>
          </c:layout>
          <c:overlay val="0"/>
          <c:spPr>
            <a:noFill/>
            <a:ln w="25400">
              <a:noFill/>
            </a:ln>
          </c:spPr>
        </c:title>
        <c:numFmt formatCode="#,##0.0;\(#,##0.0\);_*\ &quot;–&quot;_ ;_ @_ "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7949952"/>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ZA"/>
              <a:t>Budget Allocation</a:t>
            </a:r>
          </a:p>
        </c:rich>
      </c:tx>
      <c:layout>
        <c:manualLayout>
          <c:xMode val="edge"/>
          <c:yMode val="edge"/>
          <c:x val="0.41420149404401374"/>
          <c:y val="3.2581537772894666E-2"/>
        </c:manualLayout>
      </c:layout>
      <c:overlay val="0"/>
      <c:spPr>
        <a:noFill/>
        <a:ln w="25400">
          <a:noFill/>
        </a:ln>
      </c:spPr>
    </c:title>
    <c:autoTitleDeleted val="0"/>
    <c:plotArea>
      <c:layout>
        <c:manualLayout>
          <c:layoutTarget val="inner"/>
          <c:xMode val="edge"/>
          <c:yMode val="edge"/>
          <c:x val="0.14047659342825888"/>
          <c:y val="0.17917369395842603"/>
          <c:w val="0.78402423494723883"/>
          <c:h val="0.68170592914397599"/>
        </c:manualLayout>
      </c:layout>
      <c:barChart>
        <c:barDir val="col"/>
        <c:grouping val="clustered"/>
        <c:varyColors val="0"/>
        <c:ser>
          <c:idx val="0"/>
          <c:order val="0"/>
          <c:tx>
            <c:strRef>
              <c:f>'Data input'!$B$2</c:f>
              <c:strCache>
                <c:ptCount val="1"/>
                <c:pt idx="0">
                  <c:v>2016/17</c:v>
                </c:pt>
              </c:strCache>
            </c:strRef>
          </c:tx>
          <c:spPr>
            <a:solidFill>
              <a:srgbClr val="9999FF"/>
            </a:solidFill>
            <a:ln w="12700">
              <a:solidFill>
                <a:srgbClr val="000000"/>
              </a:solidFill>
              <a:prstDash val="solid"/>
            </a:ln>
          </c:spPr>
          <c:invertIfNegative val="0"/>
          <c:val>
            <c:numRef>
              <c:f>'Data input'!$B$3:$B$5</c:f>
              <c:numCache>
                <c:formatCode>General</c:formatCode>
                <c:ptCount val="3"/>
                <c:pt idx="0">
                  <c:v>28.8</c:v>
                </c:pt>
                <c:pt idx="1">
                  <c:v>17.100000000000001</c:v>
                </c:pt>
                <c:pt idx="2">
                  <c:v>83.9</c:v>
                </c:pt>
              </c:numCache>
            </c:numRef>
          </c:val>
          <c:extLst xmlns:c16r2="http://schemas.microsoft.com/office/drawing/2015/06/chart">
            <c:ext xmlns:c16="http://schemas.microsoft.com/office/drawing/2014/chart" uri="{C3380CC4-5D6E-409C-BE32-E72D297353CC}">
              <c16:uniqueId val="{00000000-3071-4044-9DD3-61EA3BEF7E03}"/>
            </c:ext>
          </c:extLst>
        </c:ser>
        <c:ser>
          <c:idx val="1"/>
          <c:order val="1"/>
          <c:tx>
            <c:strRef>
              <c:f>'Data input'!$C$2</c:f>
              <c:strCache>
                <c:ptCount val="1"/>
                <c:pt idx="0">
                  <c:v>2017/18</c:v>
                </c:pt>
              </c:strCache>
            </c:strRef>
          </c:tx>
          <c:spPr>
            <a:solidFill>
              <a:srgbClr val="993366"/>
            </a:solidFill>
            <a:ln w="12700">
              <a:solidFill>
                <a:srgbClr val="000000"/>
              </a:solidFill>
              <a:prstDash val="solid"/>
            </a:ln>
          </c:spPr>
          <c:invertIfNegative val="0"/>
          <c:val>
            <c:numRef>
              <c:f>'Data input'!$C$3:$C$5</c:f>
              <c:numCache>
                <c:formatCode>General</c:formatCode>
                <c:ptCount val="3"/>
                <c:pt idx="0">
                  <c:v>37.700000000000003</c:v>
                </c:pt>
                <c:pt idx="1">
                  <c:v>19</c:v>
                </c:pt>
                <c:pt idx="2">
                  <c:v>88.3</c:v>
                </c:pt>
              </c:numCache>
            </c:numRef>
          </c:val>
          <c:extLst xmlns:c16r2="http://schemas.microsoft.com/office/drawing/2015/06/chart">
            <c:ext xmlns:c16="http://schemas.microsoft.com/office/drawing/2014/chart" uri="{C3380CC4-5D6E-409C-BE32-E72D297353CC}">
              <c16:uniqueId val="{00000001-3071-4044-9DD3-61EA3BEF7E03}"/>
            </c:ext>
          </c:extLst>
        </c:ser>
        <c:dLbls>
          <c:showLegendKey val="0"/>
          <c:showVal val="0"/>
          <c:showCatName val="0"/>
          <c:showSerName val="0"/>
          <c:showPercent val="0"/>
          <c:showBubbleSize val="0"/>
        </c:dLbls>
        <c:gapWidth val="150"/>
        <c:axId val="157969792"/>
        <c:axId val="157984256"/>
      </c:barChart>
      <c:catAx>
        <c:axId val="1579697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ZA"/>
                  <a:t>Programmes</a:t>
                </a:r>
              </a:p>
            </c:rich>
          </c:tx>
          <c:layout>
            <c:manualLayout>
              <c:xMode val="edge"/>
              <c:yMode val="edge"/>
              <c:x val="0.43639084315643978"/>
              <c:y val="0.90977664855846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7984256"/>
        <c:crosses val="autoZero"/>
        <c:auto val="1"/>
        <c:lblAlgn val="ctr"/>
        <c:lblOffset val="100"/>
        <c:tickLblSkip val="1"/>
        <c:tickMarkSkip val="1"/>
        <c:noMultiLvlLbl val="0"/>
      </c:catAx>
      <c:valAx>
        <c:axId val="15798425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ZA"/>
                  <a:t>'000 000</a:t>
                </a:r>
              </a:p>
            </c:rich>
          </c:tx>
          <c:layout>
            <c:manualLayout>
              <c:xMode val="edge"/>
              <c:yMode val="edge"/>
              <c:x val="2.3668639053254437E-2"/>
              <c:y val="0.443609992064945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7969792"/>
        <c:crosses val="autoZero"/>
        <c:crossBetween val="between"/>
      </c:valAx>
      <c:spPr>
        <a:noFill/>
        <a:ln w="25400">
          <a:noFill/>
        </a:ln>
      </c:spPr>
    </c:plotArea>
    <c:legend>
      <c:legendPos val="r"/>
      <c:layout>
        <c:manualLayout>
          <c:xMode val="edge"/>
          <c:yMode val="edge"/>
          <c:x val="0.90091566424031311"/>
          <c:y val="0.4536487969106337"/>
          <c:w val="8.7280827898486818E-2"/>
          <c:h val="0.1002538777703057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F3DD-053D-40DC-A99B-06B03EA4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2017</Template>
  <TotalTime>0</TotalTime>
  <Pages>26</Pages>
  <Words>4520</Words>
  <Characters>25766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Andile Sokomani</dc:creator>
  <cp:lastModifiedBy>Asanda</cp:lastModifiedBy>
  <cp:revision>2</cp:revision>
  <cp:lastPrinted>2017-05-09T05:34:00Z</cp:lastPrinted>
  <dcterms:created xsi:type="dcterms:W3CDTF">2017-05-11T11:43:00Z</dcterms:created>
  <dcterms:modified xsi:type="dcterms:W3CDTF">2017-05-11T11:43:00Z</dcterms:modified>
</cp:coreProperties>
</file>