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13" w:rsidRPr="00893EE9" w:rsidRDefault="00184D13" w:rsidP="00893EE9">
      <w:pPr>
        <w:rPr>
          <w:rFonts w:cs="Arial"/>
        </w:rPr>
      </w:pPr>
    </w:p>
    <w:p w:rsidR="00052B47" w:rsidRDefault="00052B47" w:rsidP="00893EE9">
      <w:pPr>
        <w:rPr>
          <w:rFonts w:cs="Arial"/>
        </w:rPr>
      </w:pPr>
    </w:p>
    <w:p w:rsidR="009A2690" w:rsidRPr="00893EE9" w:rsidRDefault="008539A9" w:rsidP="00893EE9">
      <w:pPr>
        <w:rPr>
          <w:rFonts w:cs="Arial"/>
        </w:rPr>
      </w:pPr>
      <w:r>
        <w:rPr>
          <w:rFonts w:cs="Arial"/>
        </w:rPr>
        <w:t>08 May 2017</w:t>
      </w:r>
    </w:p>
    <w:p w:rsidR="009A2690" w:rsidRPr="00893EE9" w:rsidRDefault="009A2690" w:rsidP="00893EE9">
      <w:pPr>
        <w:pStyle w:val="ResearchTitle"/>
        <w:rPr>
          <w:rFonts w:cs="Arial"/>
        </w:rPr>
      </w:pPr>
    </w:p>
    <w:p w:rsidR="00052B47" w:rsidRPr="00E22056" w:rsidRDefault="00A40D76" w:rsidP="00052B47">
      <w:pPr>
        <w:pStyle w:val="Title"/>
        <w:jc w:val="center"/>
      </w:pPr>
      <w:r>
        <w:t>South african Revenue service</w:t>
      </w:r>
    </w:p>
    <w:p w:rsidR="009E0C94" w:rsidRDefault="009E0C94" w:rsidP="00893EE9">
      <w:pPr>
        <w:pStyle w:val="ResearchTitle"/>
        <w:rPr>
          <w:rFonts w:cs="Arial"/>
        </w:rPr>
      </w:pPr>
    </w:p>
    <w:tbl>
      <w:tblPr>
        <w:tblStyle w:val="TableGrid"/>
        <w:tblW w:w="9351" w:type="dxa"/>
        <w:tblBorders>
          <w:top w:val="single" w:sz="8" w:space="0" w:color="538135" w:themeColor="accent6" w:themeShade="BF"/>
          <w:left w:val="none" w:sz="0" w:space="0" w:color="auto"/>
          <w:bottom w:val="single" w:sz="6" w:space="0" w:color="538135" w:themeColor="accent6" w:themeShade="BF"/>
          <w:right w:val="none" w:sz="0" w:space="0" w:color="auto"/>
          <w:insideH w:val="none" w:sz="0" w:space="0" w:color="auto"/>
          <w:insideV w:val="none" w:sz="0" w:space="0" w:color="auto"/>
        </w:tblBorders>
        <w:tblLook w:val="04A0"/>
      </w:tblPr>
      <w:tblGrid>
        <w:gridCol w:w="9351"/>
      </w:tblGrid>
      <w:tr w:rsidR="009E0C94" w:rsidTr="00615364">
        <w:trPr>
          <w:trHeight w:val="2936"/>
        </w:trPr>
        <w:tc>
          <w:tcPr>
            <w:tcW w:w="9351" w:type="dxa"/>
          </w:tcPr>
          <w:p w:rsidR="007C2D91" w:rsidRDefault="007C2D91" w:rsidP="009E0C94">
            <w:pPr>
              <w:pStyle w:val="ReseachMainHeading"/>
              <w:rPr>
                <w:rFonts w:cs="Arial"/>
              </w:rPr>
            </w:pPr>
          </w:p>
          <w:p w:rsidR="003A0450" w:rsidRPr="00893EE9" w:rsidRDefault="003A0450" w:rsidP="009E0C94">
            <w:pPr>
              <w:pStyle w:val="ReseachMainHeading"/>
              <w:rPr>
                <w:rFonts w:cs="Arial"/>
              </w:rPr>
            </w:pPr>
          </w:p>
          <w:sdt>
            <w:sdtPr>
              <w:rPr>
                <w:color w:val="auto"/>
              </w:rPr>
              <w:id w:val="-1945920670"/>
              <w:docPartObj>
                <w:docPartGallery w:val="Table of Contents"/>
                <w:docPartUnique/>
              </w:docPartObj>
            </w:sdtPr>
            <w:sdtEndPr>
              <w:rPr>
                <w:rFonts w:cs="Arial"/>
                <w:bCs/>
                <w:noProof/>
                <w:color w:val="538135" w:themeColor="accent6" w:themeShade="BF"/>
              </w:rPr>
            </w:sdtEndPr>
            <w:sdtContent>
              <w:p w:rsidR="009E0C94" w:rsidRPr="00052B47" w:rsidRDefault="009E0C94" w:rsidP="009E0C94">
                <w:pPr>
                  <w:pStyle w:val="TOC1"/>
                  <w:rPr>
                    <w:color w:val="ED7D31" w:themeColor="accent2"/>
                  </w:rPr>
                </w:pPr>
                <w:r w:rsidRPr="00052B47">
                  <w:rPr>
                    <w:color w:val="ED7D31" w:themeColor="accent2"/>
                  </w:rPr>
                  <w:t>Table of Contents</w:t>
                </w:r>
              </w:p>
              <w:p w:rsidR="00D8564A" w:rsidRDefault="00AF01B7">
                <w:pPr>
                  <w:pStyle w:val="TOC1"/>
                  <w:tabs>
                    <w:tab w:val="left" w:pos="442"/>
                    <w:tab w:val="right" w:leader="dot" w:pos="9016"/>
                  </w:tabs>
                  <w:rPr>
                    <w:rFonts w:asciiTheme="minorHAnsi" w:eastAsiaTheme="minorEastAsia" w:hAnsiTheme="minorHAnsi"/>
                    <w:b w:val="0"/>
                    <w:caps w:val="0"/>
                    <w:noProof/>
                    <w:color w:val="auto"/>
                    <w:sz w:val="22"/>
                    <w:lang w:eastAsia="en-ZA"/>
                  </w:rPr>
                </w:pPr>
                <w:r w:rsidRPr="00AF01B7">
                  <w:rPr>
                    <w:rFonts w:cs="Arial"/>
                  </w:rPr>
                  <w:fldChar w:fldCharType="begin"/>
                </w:r>
                <w:r w:rsidR="009E0C94">
                  <w:rPr>
                    <w:rFonts w:cs="Arial"/>
                  </w:rPr>
                  <w:instrText xml:space="preserve"> TOC \o "1-3" \h \z \u </w:instrText>
                </w:r>
                <w:r w:rsidRPr="00AF01B7">
                  <w:rPr>
                    <w:rFonts w:cs="Arial"/>
                  </w:rPr>
                  <w:fldChar w:fldCharType="separate"/>
                </w:r>
                <w:hyperlink w:anchor="_Toc482031342" w:history="1">
                  <w:r w:rsidR="00D8564A" w:rsidRPr="00EC5DEF">
                    <w:rPr>
                      <w:rStyle w:val="Hyperlink"/>
                      <w:noProof/>
                    </w:rPr>
                    <w:t>1.</w:t>
                  </w:r>
                  <w:r w:rsidR="00D8564A">
                    <w:rPr>
                      <w:rFonts w:asciiTheme="minorHAnsi" w:eastAsiaTheme="minorEastAsia" w:hAnsiTheme="minorHAnsi"/>
                      <w:b w:val="0"/>
                      <w:caps w:val="0"/>
                      <w:noProof/>
                      <w:color w:val="auto"/>
                      <w:sz w:val="22"/>
                      <w:lang w:eastAsia="en-ZA"/>
                    </w:rPr>
                    <w:tab/>
                  </w:r>
                  <w:r w:rsidR="00D8564A" w:rsidRPr="00EC5DEF">
                    <w:rPr>
                      <w:rStyle w:val="Hyperlink"/>
                      <w:noProof/>
                    </w:rPr>
                    <w:t>IntroductioN</w:t>
                  </w:r>
                  <w:r w:rsidR="00D8564A">
                    <w:rPr>
                      <w:noProof/>
                      <w:webHidden/>
                    </w:rPr>
                    <w:tab/>
                  </w:r>
                  <w:r>
                    <w:rPr>
                      <w:noProof/>
                      <w:webHidden/>
                    </w:rPr>
                    <w:fldChar w:fldCharType="begin"/>
                  </w:r>
                  <w:r w:rsidR="00D8564A">
                    <w:rPr>
                      <w:noProof/>
                      <w:webHidden/>
                    </w:rPr>
                    <w:instrText xml:space="preserve"> PAGEREF _Toc482031342 \h </w:instrText>
                  </w:r>
                  <w:r>
                    <w:rPr>
                      <w:noProof/>
                      <w:webHidden/>
                    </w:rPr>
                  </w:r>
                  <w:r>
                    <w:rPr>
                      <w:noProof/>
                      <w:webHidden/>
                    </w:rPr>
                    <w:fldChar w:fldCharType="separate"/>
                  </w:r>
                  <w:r w:rsidR="00D8564A">
                    <w:rPr>
                      <w:noProof/>
                      <w:webHidden/>
                    </w:rPr>
                    <w:t>1</w:t>
                  </w:r>
                  <w:r>
                    <w:rPr>
                      <w:noProof/>
                      <w:webHidden/>
                    </w:rPr>
                    <w:fldChar w:fldCharType="end"/>
                  </w:r>
                </w:hyperlink>
              </w:p>
              <w:p w:rsidR="00D8564A" w:rsidRDefault="00AF01B7">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482031343" w:history="1">
                  <w:r w:rsidR="00D8564A" w:rsidRPr="00EC5DEF">
                    <w:rPr>
                      <w:rStyle w:val="Hyperlink"/>
                      <w:noProof/>
                    </w:rPr>
                    <w:t>2.</w:t>
                  </w:r>
                  <w:r w:rsidR="00D8564A">
                    <w:rPr>
                      <w:rFonts w:asciiTheme="minorHAnsi" w:eastAsiaTheme="minorEastAsia" w:hAnsiTheme="minorHAnsi"/>
                      <w:b w:val="0"/>
                      <w:caps w:val="0"/>
                      <w:noProof/>
                      <w:color w:val="auto"/>
                      <w:sz w:val="22"/>
                      <w:lang w:eastAsia="en-ZA"/>
                    </w:rPr>
                    <w:tab/>
                  </w:r>
                  <w:r w:rsidR="00D8564A" w:rsidRPr="00EC5DEF">
                    <w:rPr>
                      <w:rStyle w:val="Hyperlink"/>
                      <w:noProof/>
                    </w:rPr>
                    <w:t>STRATEGY AND Policy priorities 2017/18</w:t>
                  </w:r>
                  <w:r w:rsidR="00D8564A">
                    <w:rPr>
                      <w:noProof/>
                      <w:webHidden/>
                    </w:rPr>
                    <w:tab/>
                  </w:r>
                  <w:r>
                    <w:rPr>
                      <w:noProof/>
                      <w:webHidden/>
                    </w:rPr>
                    <w:fldChar w:fldCharType="begin"/>
                  </w:r>
                  <w:r w:rsidR="00D8564A">
                    <w:rPr>
                      <w:noProof/>
                      <w:webHidden/>
                    </w:rPr>
                    <w:instrText xml:space="preserve"> PAGEREF _Toc482031343 \h </w:instrText>
                  </w:r>
                  <w:r>
                    <w:rPr>
                      <w:noProof/>
                      <w:webHidden/>
                    </w:rPr>
                  </w:r>
                  <w:r>
                    <w:rPr>
                      <w:noProof/>
                      <w:webHidden/>
                    </w:rPr>
                    <w:fldChar w:fldCharType="separate"/>
                  </w:r>
                  <w:r w:rsidR="00D8564A">
                    <w:rPr>
                      <w:noProof/>
                      <w:webHidden/>
                    </w:rPr>
                    <w:t>1</w:t>
                  </w:r>
                  <w:r>
                    <w:rPr>
                      <w:noProof/>
                      <w:webHidden/>
                    </w:rPr>
                    <w:fldChar w:fldCharType="end"/>
                  </w:r>
                </w:hyperlink>
              </w:p>
              <w:p w:rsidR="00D8564A" w:rsidRDefault="00AF01B7">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482031344" w:history="1">
                  <w:r w:rsidR="00D8564A" w:rsidRPr="00EC5DEF">
                    <w:rPr>
                      <w:rStyle w:val="Hyperlink"/>
                      <w:noProof/>
                    </w:rPr>
                    <w:t>3.</w:t>
                  </w:r>
                  <w:r w:rsidR="00D8564A">
                    <w:rPr>
                      <w:rFonts w:asciiTheme="minorHAnsi" w:eastAsiaTheme="minorEastAsia" w:hAnsiTheme="minorHAnsi"/>
                      <w:b w:val="0"/>
                      <w:caps w:val="0"/>
                      <w:noProof/>
                      <w:color w:val="auto"/>
                      <w:sz w:val="22"/>
                      <w:lang w:eastAsia="en-ZA"/>
                    </w:rPr>
                    <w:tab/>
                  </w:r>
                  <w:r w:rsidR="00D8564A" w:rsidRPr="00EC5DEF">
                    <w:rPr>
                      <w:rStyle w:val="Hyperlink"/>
                      <w:noProof/>
                    </w:rPr>
                    <w:t>BUDGET ANALYSIS</w:t>
                  </w:r>
                  <w:r w:rsidR="00D8564A">
                    <w:rPr>
                      <w:noProof/>
                      <w:webHidden/>
                    </w:rPr>
                    <w:tab/>
                  </w:r>
                  <w:r>
                    <w:rPr>
                      <w:noProof/>
                      <w:webHidden/>
                    </w:rPr>
                    <w:fldChar w:fldCharType="begin"/>
                  </w:r>
                  <w:r w:rsidR="00D8564A">
                    <w:rPr>
                      <w:noProof/>
                      <w:webHidden/>
                    </w:rPr>
                    <w:instrText xml:space="preserve"> PAGEREF _Toc482031344 \h </w:instrText>
                  </w:r>
                  <w:r>
                    <w:rPr>
                      <w:noProof/>
                      <w:webHidden/>
                    </w:rPr>
                  </w:r>
                  <w:r>
                    <w:rPr>
                      <w:noProof/>
                      <w:webHidden/>
                    </w:rPr>
                    <w:fldChar w:fldCharType="separate"/>
                  </w:r>
                  <w:r w:rsidR="00D8564A">
                    <w:rPr>
                      <w:noProof/>
                      <w:webHidden/>
                    </w:rPr>
                    <w:t>2</w:t>
                  </w:r>
                  <w:r>
                    <w:rPr>
                      <w:noProof/>
                      <w:webHidden/>
                    </w:rPr>
                    <w:fldChar w:fldCharType="end"/>
                  </w:r>
                </w:hyperlink>
              </w:p>
              <w:p w:rsidR="00D8564A" w:rsidRDefault="00AF01B7">
                <w:pPr>
                  <w:pStyle w:val="TOC2"/>
                  <w:tabs>
                    <w:tab w:val="left" w:pos="880"/>
                    <w:tab w:val="right" w:leader="dot" w:pos="9016"/>
                  </w:tabs>
                  <w:rPr>
                    <w:rFonts w:asciiTheme="minorHAnsi" w:eastAsiaTheme="minorEastAsia" w:hAnsiTheme="minorHAnsi"/>
                    <w:noProof/>
                    <w:lang w:eastAsia="en-ZA"/>
                  </w:rPr>
                </w:pPr>
                <w:hyperlink w:anchor="_Toc482031345" w:history="1">
                  <w:r w:rsidR="00D8564A" w:rsidRPr="00EC5DEF">
                    <w:rPr>
                      <w:rStyle w:val="Hyperlink"/>
                      <w:noProof/>
                    </w:rPr>
                    <w:t>3.1.</w:t>
                  </w:r>
                  <w:r w:rsidR="00D8564A">
                    <w:rPr>
                      <w:rFonts w:asciiTheme="minorHAnsi" w:eastAsiaTheme="minorEastAsia" w:hAnsiTheme="minorHAnsi"/>
                      <w:noProof/>
                      <w:lang w:eastAsia="en-ZA"/>
                    </w:rPr>
                    <w:tab/>
                  </w:r>
                  <w:r w:rsidR="00D8564A" w:rsidRPr="00EC5DEF">
                    <w:rPr>
                      <w:rStyle w:val="Hyperlink"/>
                      <w:noProof/>
                    </w:rPr>
                    <w:t>Programme Analysis</w:t>
                  </w:r>
                  <w:r w:rsidR="00D8564A">
                    <w:rPr>
                      <w:noProof/>
                      <w:webHidden/>
                    </w:rPr>
                    <w:tab/>
                  </w:r>
                  <w:r>
                    <w:rPr>
                      <w:noProof/>
                      <w:webHidden/>
                    </w:rPr>
                    <w:fldChar w:fldCharType="begin"/>
                  </w:r>
                  <w:r w:rsidR="00D8564A">
                    <w:rPr>
                      <w:noProof/>
                      <w:webHidden/>
                    </w:rPr>
                    <w:instrText xml:space="preserve"> PAGEREF _Toc482031345 \h </w:instrText>
                  </w:r>
                  <w:r>
                    <w:rPr>
                      <w:noProof/>
                      <w:webHidden/>
                    </w:rPr>
                  </w:r>
                  <w:r>
                    <w:rPr>
                      <w:noProof/>
                      <w:webHidden/>
                    </w:rPr>
                    <w:fldChar w:fldCharType="separate"/>
                  </w:r>
                  <w:r w:rsidR="00D8564A">
                    <w:rPr>
                      <w:noProof/>
                      <w:webHidden/>
                    </w:rPr>
                    <w:t>2</w:t>
                  </w:r>
                  <w:r>
                    <w:rPr>
                      <w:noProof/>
                      <w:webHidden/>
                    </w:rPr>
                    <w:fldChar w:fldCharType="end"/>
                  </w:r>
                </w:hyperlink>
              </w:p>
              <w:p w:rsidR="00D8564A" w:rsidRDefault="00AF01B7">
                <w:pPr>
                  <w:pStyle w:val="TOC2"/>
                  <w:tabs>
                    <w:tab w:val="right" w:leader="dot" w:pos="9016"/>
                  </w:tabs>
                  <w:rPr>
                    <w:rFonts w:asciiTheme="minorHAnsi" w:eastAsiaTheme="minorEastAsia" w:hAnsiTheme="minorHAnsi"/>
                    <w:noProof/>
                    <w:lang w:eastAsia="en-ZA"/>
                  </w:rPr>
                </w:pPr>
                <w:hyperlink w:anchor="_Toc482031346" w:history="1">
                  <w:r w:rsidR="00D8564A" w:rsidRPr="00EC5DEF">
                    <w:rPr>
                      <w:rStyle w:val="Hyperlink"/>
                      <w:noProof/>
                    </w:rPr>
                    <w:t>Table 1: Programme Plans</w:t>
                  </w:r>
                  <w:r w:rsidR="00D8564A">
                    <w:rPr>
                      <w:noProof/>
                      <w:webHidden/>
                    </w:rPr>
                    <w:tab/>
                  </w:r>
                  <w:r>
                    <w:rPr>
                      <w:noProof/>
                      <w:webHidden/>
                    </w:rPr>
                    <w:fldChar w:fldCharType="begin"/>
                  </w:r>
                  <w:r w:rsidR="00D8564A">
                    <w:rPr>
                      <w:noProof/>
                      <w:webHidden/>
                    </w:rPr>
                    <w:instrText xml:space="preserve"> PAGEREF _Toc482031346 \h </w:instrText>
                  </w:r>
                  <w:r>
                    <w:rPr>
                      <w:noProof/>
                      <w:webHidden/>
                    </w:rPr>
                  </w:r>
                  <w:r>
                    <w:rPr>
                      <w:noProof/>
                      <w:webHidden/>
                    </w:rPr>
                    <w:fldChar w:fldCharType="separate"/>
                  </w:r>
                  <w:r w:rsidR="00D8564A">
                    <w:rPr>
                      <w:noProof/>
                      <w:webHidden/>
                    </w:rPr>
                    <w:t>2</w:t>
                  </w:r>
                  <w:r>
                    <w:rPr>
                      <w:noProof/>
                      <w:webHidden/>
                    </w:rPr>
                    <w:fldChar w:fldCharType="end"/>
                  </w:r>
                </w:hyperlink>
              </w:p>
              <w:p w:rsidR="00D8564A" w:rsidRDefault="00AF01B7">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482031347" w:history="1">
                  <w:r w:rsidR="00D8564A" w:rsidRPr="00EC5DEF">
                    <w:rPr>
                      <w:rStyle w:val="Hyperlink"/>
                      <w:noProof/>
                    </w:rPr>
                    <w:t>4.</w:t>
                  </w:r>
                  <w:r w:rsidR="00D8564A">
                    <w:rPr>
                      <w:rFonts w:asciiTheme="minorHAnsi" w:eastAsiaTheme="minorEastAsia" w:hAnsiTheme="minorHAnsi"/>
                      <w:b w:val="0"/>
                      <w:caps w:val="0"/>
                      <w:noProof/>
                      <w:color w:val="auto"/>
                      <w:sz w:val="22"/>
                      <w:lang w:eastAsia="en-ZA"/>
                    </w:rPr>
                    <w:tab/>
                  </w:r>
                  <w:r w:rsidR="00D8564A" w:rsidRPr="00EC5DEF">
                    <w:rPr>
                      <w:rStyle w:val="Hyperlink"/>
                      <w:noProof/>
                    </w:rPr>
                    <w:t>References</w:t>
                  </w:r>
                  <w:r w:rsidR="00D8564A">
                    <w:rPr>
                      <w:noProof/>
                      <w:webHidden/>
                    </w:rPr>
                    <w:tab/>
                  </w:r>
                  <w:r>
                    <w:rPr>
                      <w:noProof/>
                      <w:webHidden/>
                    </w:rPr>
                    <w:fldChar w:fldCharType="begin"/>
                  </w:r>
                  <w:r w:rsidR="00D8564A">
                    <w:rPr>
                      <w:noProof/>
                      <w:webHidden/>
                    </w:rPr>
                    <w:instrText xml:space="preserve"> PAGEREF _Toc482031347 \h </w:instrText>
                  </w:r>
                  <w:r>
                    <w:rPr>
                      <w:noProof/>
                      <w:webHidden/>
                    </w:rPr>
                  </w:r>
                  <w:r>
                    <w:rPr>
                      <w:noProof/>
                      <w:webHidden/>
                    </w:rPr>
                    <w:fldChar w:fldCharType="separate"/>
                  </w:r>
                  <w:r w:rsidR="00D8564A">
                    <w:rPr>
                      <w:noProof/>
                      <w:webHidden/>
                    </w:rPr>
                    <w:t>3</w:t>
                  </w:r>
                  <w:r>
                    <w:rPr>
                      <w:noProof/>
                      <w:webHidden/>
                    </w:rPr>
                    <w:fldChar w:fldCharType="end"/>
                  </w:r>
                </w:hyperlink>
              </w:p>
              <w:p w:rsidR="009E0C94" w:rsidRDefault="00AF01B7" w:rsidP="00893EE9">
                <w:pPr>
                  <w:pStyle w:val="ResearchTitle"/>
                  <w:rPr>
                    <w:rFonts w:cs="Arial"/>
                  </w:rPr>
                </w:pPr>
                <w:r>
                  <w:rPr>
                    <w:rFonts w:cs="Arial"/>
                  </w:rPr>
                  <w:fldChar w:fldCharType="end"/>
                </w:r>
              </w:p>
            </w:sdtContent>
          </w:sdt>
        </w:tc>
      </w:tr>
    </w:tbl>
    <w:p w:rsidR="00052B47" w:rsidRPr="00052B47" w:rsidRDefault="002D6EE7" w:rsidP="00052B47">
      <w:pPr>
        <w:pStyle w:val="Heading1"/>
        <w:numPr>
          <w:ilvl w:val="0"/>
          <w:numId w:val="6"/>
        </w:numPr>
      </w:pPr>
      <w:bookmarkStart w:id="0" w:name="_Toc482031342"/>
      <w:r>
        <w:t>Introductio</w:t>
      </w:r>
      <w:r w:rsidR="00360199">
        <w:t>N</w:t>
      </w:r>
      <w:bookmarkEnd w:id="0"/>
    </w:p>
    <w:p w:rsidR="008B06A2" w:rsidRDefault="008B06A2" w:rsidP="009E0C94">
      <w:pPr>
        <w:rPr>
          <w:rFonts w:cs="Arial"/>
          <w:lang w:eastAsia="en-ZA"/>
        </w:rPr>
      </w:pPr>
    </w:p>
    <w:p w:rsidR="004467A8" w:rsidRPr="008539A9" w:rsidRDefault="008B06A2" w:rsidP="00052B47">
      <w:pPr>
        <w:rPr>
          <w:rFonts w:cs="Arial"/>
          <w:lang w:eastAsia="en-ZA"/>
        </w:rPr>
      </w:pPr>
      <w:r w:rsidRPr="008B06A2">
        <w:rPr>
          <w:rFonts w:cs="Arial"/>
          <w:lang w:eastAsia="en-ZA"/>
        </w:rPr>
        <w:t>The South African Revenue Service (SARS) aims to contribute to the economic and social development of the country by collecting all taxes, duties and levies due to fund the South African government’s public service programs and priorities</w:t>
      </w:r>
      <w:r>
        <w:rPr>
          <w:rFonts w:cs="Arial"/>
          <w:lang w:eastAsia="en-ZA"/>
        </w:rPr>
        <w:t>.</w:t>
      </w:r>
      <w:r w:rsidR="008539A9">
        <w:rPr>
          <w:rFonts w:cs="Arial"/>
          <w:lang w:eastAsia="en-ZA"/>
        </w:rPr>
        <w:t xml:space="preserve"> </w:t>
      </w:r>
      <w:r w:rsidR="00D349F1">
        <w:rPr>
          <w:rFonts w:cs="Arial"/>
          <w:bCs/>
        </w:rPr>
        <w:t xml:space="preserve">The global economy has remained subdued </w:t>
      </w:r>
      <w:r w:rsidR="00943535">
        <w:rPr>
          <w:rFonts w:cs="Arial"/>
          <w:bCs/>
        </w:rPr>
        <w:t xml:space="preserve">with low growth prospects. </w:t>
      </w:r>
      <w:r w:rsidR="001E3184">
        <w:rPr>
          <w:rFonts w:cs="Arial"/>
          <w:bCs/>
        </w:rPr>
        <w:t xml:space="preserve">Despite the challenging economic conditions, SARS </w:t>
      </w:r>
      <w:r w:rsidR="008539A9">
        <w:rPr>
          <w:rFonts w:cs="Arial"/>
          <w:bCs/>
        </w:rPr>
        <w:t>during the course of 2017/18 is expected to collect R1.265 trillion in revenue</w:t>
      </w:r>
    </w:p>
    <w:p w:rsidR="00052B47" w:rsidRPr="00E22056" w:rsidRDefault="00291C8A" w:rsidP="00052B47">
      <w:pPr>
        <w:pStyle w:val="Heading1"/>
        <w:numPr>
          <w:ilvl w:val="0"/>
          <w:numId w:val="6"/>
        </w:numPr>
      </w:pPr>
      <w:bookmarkStart w:id="1" w:name="_Toc482031343"/>
      <w:r>
        <w:t>S</w:t>
      </w:r>
      <w:r w:rsidR="000F534E">
        <w:t xml:space="preserve">TRATEGY AND Policy </w:t>
      </w:r>
      <w:r w:rsidR="005867FC">
        <w:t>priorities 2017/18</w:t>
      </w:r>
      <w:bookmarkEnd w:id="1"/>
    </w:p>
    <w:p w:rsidR="007B5CAD" w:rsidRDefault="007B5CAD" w:rsidP="00052B47">
      <w:pPr>
        <w:rPr>
          <w:rFonts w:cs="Arial"/>
          <w:lang w:eastAsia="en-ZA"/>
        </w:rPr>
      </w:pPr>
    </w:p>
    <w:p w:rsidR="00D349F1" w:rsidRDefault="008539A9" w:rsidP="00D349F1">
      <w:pPr>
        <w:rPr>
          <w:rFonts w:cs="Arial"/>
        </w:rPr>
      </w:pPr>
      <w:r>
        <w:rPr>
          <w:rFonts w:cs="Arial"/>
        </w:rPr>
        <w:t>The</w:t>
      </w:r>
      <w:r w:rsidR="005867FC">
        <w:rPr>
          <w:rFonts w:cs="Arial"/>
        </w:rPr>
        <w:t xml:space="preserve"> 2017/18 Annual Performance Plan has clear and measurable targets and </w:t>
      </w:r>
      <w:r w:rsidR="00D349F1">
        <w:rPr>
          <w:rFonts w:cs="Arial"/>
        </w:rPr>
        <w:t xml:space="preserve">SARS </w:t>
      </w:r>
      <w:r w:rsidR="005867FC">
        <w:rPr>
          <w:rFonts w:cs="Arial"/>
        </w:rPr>
        <w:t xml:space="preserve">will be </w:t>
      </w:r>
      <w:r w:rsidR="00D349F1">
        <w:rPr>
          <w:rFonts w:cs="Arial"/>
        </w:rPr>
        <w:t>focused on the following broad institutional priorities:</w:t>
      </w:r>
    </w:p>
    <w:p w:rsidR="00D349F1" w:rsidRPr="00417619" w:rsidRDefault="00D349F1" w:rsidP="00417619">
      <w:pPr>
        <w:pStyle w:val="ListParagraph"/>
        <w:rPr>
          <w:rFonts w:cs="Arial"/>
          <w:b/>
        </w:rPr>
      </w:pPr>
    </w:p>
    <w:p w:rsidR="00417619" w:rsidRDefault="00417619" w:rsidP="00D349F1">
      <w:pPr>
        <w:numPr>
          <w:ilvl w:val="0"/>
          <w:numId w:val="22"/>
        </w:numPr>
        <w:rPr>
          <w:rFonts w:cs="Arial"/>
        </w:rPr>
      </w:pPr>
      <w:r>
        <w:rPr>
          <w:rFonts w:cs="Arial"/>
        </w:rPr>
        <w:t xml:space="preserve">Base Erosion and Profit Shifting: Finalisation of the implementation of the OECD </w:t>
      </w:r>
      <w:r w:rsidR="00E97C09">
        <w:rPr>
          <w:rFonts w:cs="Arial"/>
        </w:rPr>
        <w:t>Common Reporting Standards (CRS,</w:t>
      </w:r>
      <w:r>
        <w:rPr>
          <w:rFonts w:cs="Arial"/>
        </w:rPr>
        <w:t xml:space="preserve"> solution for Automatic Exchange of Information (AECI)</w:t>
      </w:r>
    </w:p>
    <w:p w:rsidR="00417619" w:rsidRPr="00417619" w:rsidRDefault="00417619" w:rsidP="00417619">
      <w:pPr>
        <w:numPr>
          <w:ilvl w:val="0"/>
          <w:numId w:val="22"/>
        </w:numPr>
        <w:rPr>
          <w:rFonts w:cs="Arial"/>
        </w:rPr>
      </w:pPr>
      <w:r>
        <w:rPr>
          <w:rFonts w:cs="Arial"/>
        </w:rPr>
        <w:t>New Customs Acts</w:t>
      </w:r>
    </w:p>
    <w:p w:rsidR="005E38C8" w:rsidRPr="00E97C09" w:rsidRDefault="005E38C8" w:rsidP="00E97C09">
      <w:pPr>
        <w:numPr>
          <w:ilvl w:val="0"/>
          <w:numId w:val="22"/>
        </w:numPr>
        <w:rPr>
          <w:rFonts w:cs="Arial"/>
        </w:rPr>
      </w:pPr>
      <w:r>
        <w:rPr>
          <w:rFonts w:cs="Arial"/>
        </w:rPr>
        <w:t>Implementation of new corporate real estate strategy – reduction in rental costs, renewal of high value procurement contracts</w:t>
      </w:r>
    </w:p>
    <w:p w:rsidR="00D349F1" w:rsidRDefault="006C1B06" w:rsidP="00D349F1">
      <w:pPr>
        <w:numPr>
          <w:ilvl w:val="0"/>
          <w:numId w:val="22"/>
        </w:numPr>
        <w:rPr>
          <w:rFonts w:cs="Arial"/>
          <w:lang w:eastAsia="en-ZA"/>
        </w:rPr>
      </w:pPr>
      <w:r>
        <w:rPr>
          <w:rFonts w:cs="Arial"/>
        </w:rPr>
        <w:t xml:space="preserve">Trade Facilitation – implementation of </w:t>
      </w:r>
      <w:r w:rsidR="00C64A9F">
        <w:rPr>
          <w:rFonts w:cs="Arial"/>
        </w:rPr>
        <w:t>Trade Facilitation Agreement (TFA)</w:t>
      </w:r>
    </w:p>
    <w:p w:rsidR="00C64A9F" w:rsidRDefault="00C64A9F" w:rsidP="00D349F1">
      <w:pPr>
        <w:numPr>
          <w:ilvl w:val="0"/>
          <w:numId w:val="22"/>
        </w:numPr>
        <w:rPr>
          <w:rFonts w:cs="Arial"/>
          <w:lang w:eastAsia="en-ZA"/>
        </w:rPr>
      </w:pPr>
      <w:r>
        <w:rPr>
          <w:rFonts w:cs="Arial"/>
        </w:rPr>
        <w:t xml:space="preserve">Carbon Emissions Tax </w:t>
      </w:r>
    </w:p>
    <w:p w:rsidR="00C64A9F" w:rsidRPr="004150B2" w:rsidRDefault="00C64A9F" w:rsidP="00D349F1">
      <w:pPr>
        <w:numPr>
          <w:ilvl w:val="0"/>
          <w:numId w:val="22"/>
        </w:numPr>
        <w:rPr>
          <w:rFonts w:cs="Arial"/>
          <w:lang w:eastAsia="en-ZA"/>
        </w:rPr>
      </w:pPr>
      <w:r>
        <w:rPr>
          <w:rFonts w:cs="Arial"/>
        </w:rPr>
        <w:t>Roll out of additional baggage and cargo scanners at key ports</w:t>
      </w:r>
      <w:r w:rsidR="00D7318F">
        <w:rPr>
          <w:rFonts w:cs="Arial"/>
        </w:rPr>
        <w:t>.</w:t>
      </w:r>
    </w:p>
    <w:p w:rsidR="00D349F1" w:rsidRPr="004150B2" w:rsidRDefault="00D349F1" w:rsidP="00D349F1">
      <w:pPr>
        <w:rPr>
          <w:rFonts w:cs="Arial"/>
        </w:rPr>
      </w:pPr>
    </w:p>
    <w:p w:rsidR="007B5CAD" w:rsidRDefault="007B5CAD" w:rsidP="007B5CAD">
      <w:pPr>
        <w:tabs>
          <w:tab w:val="left" w:pos="1080"/>
        </w:tabs>
        <w:spacing w:line="276" w:lineRule="auto"/>
        <w:sectPr w:rsidR="007B5CAD" w:rsidSect="007B5CAD">
          <w:headerReference w:type="default" r:id="rId8"/>
          <w:footerReference w:type="default" r:id="rId9"/>
          <w:headerReference w:type="first" r:id="rId10"/>
          <w:footerReference w:type="first" r:id="rId11"/>
          <w:pgSz w:w="11906" w:h="16838"/>
          <w:pgMar w:top="2002" w:right="1440" w:bottom="1440" w:left="1440" w:header="706" w:footer="706" w:gutter="0"/>
          <w:cols w:space="708"/>
          <w:titlePg/>
          <w:docGrid w:linePitch="360"/>
        </w:sectPr>
      </w:pPr>
    </w:p>
    <w:p w:rsidR="007B5CAD" w:rsidRDefault="007B5CAD" w:rsidP="00D772CF">
      <w:pPr>
        <w:tabs>
          <w:tab w:val="left" w:pos="1080"/>
        </w:tabs>
        <w:spacing w:line="276" w:lineRule="auto"/>
        <w:ind w:left="180"/>
      </w:pPr>
    </w:p>
    <w:p w:rsidR="007B5CAD" w:rsidRDefault="007B5CAD" w:rsidP="00D772CF">
      <w:pPr>
        <w:tabs>
          <w:tab w:val="left" w:pos="1080"/>
        </w:tabs>
        <w:spacing w:line="276" w:lineRule="auto"/>
        <w:ind w:left="180"/>
      </w:pPr>
    </w:p>
    <w:p w:rsidR="00615364" w:rsidRDefault="00615364" w:rsidP="00615364">
      <w:pPr>
        <w:pStyle w:val="Heading1"/>
        <w:numPr>
          <w:ilvl w:val="0"/>
          <w:numId w:val="6"/>
        </w:numPr>
      </w:pPr>
      <w:bookmarkStart w:id="2" w:name="_Toc482031344"/>
      <w:r>
        <w:t>BUDGET ANALYSIS</w:t>
      </w:r>
      <w:bookmarkEnd w:id="2"/>
    </w:p>
    <w:p w:rsidR="00615364" w:rsidRDefault="00615364" w:rsidP="00615364"/>
    <w:p w:rsidR="00615364" w:rsidRDefault="00615364" w:rsidP="00615364">
      <w:r>
        <w:t>South African Revenue Service</w:t>
      </w:r>
      <w:r w:rsidRPr="000434DD">
        <w:t xml:space="preserve"> receives an allocation of R10.2 billion in 2017/18, up by R854.5 million or 2.6 percent in real terms from R9.3 billion in 2016/17. </w:t>
      </w:r>
      <w:r w:rsidR="00690E90">
        <w:t xml:space="preserve">Over the MTEF, SARS will receive R34 billion </w:t>
      </w:r>
      <w:r w:rsidRPr="000434DD">
        <w:t>for administering the tax system</w:t>
      </w:r>
      <w:r>
        <w:t xml:space="preserve">. </w:t>
      </w:r>
    </w:p>
    <w:p w:rsidR="00615364" w:rsidRDefault="00615364" w:rsidP="00615364"/>
    <w:p w:rsidR="00615364" w:rsidRDefault="00615364" w:rsidP="00615364">
      <w:r>
        <w:t>With regards to economic classification of the current financial year, SARS compensation of employees amounted to R8 billion. The allocation for capital assets amounted to R311 million and goods and services amounted to R3 billion.</w:t>
      </w:r>
    </w:p>
    <w:p w:rsidR="00615364" w:rsidRPr="000434DD" w:rsidRDefault="00615364" w:rsidP="00615364"/>
    <w:p w:rsidR="00615364" w:rsidRPr="00615364" w:rsidRDefault="00615364" w:rsidP="00615364">
      <w:pPr>
        <w:pStyle w:val="Heading2"/>
        <w:numPr>
          <w:ilvl w:val="1"/>
          <w:numId w:val="6"/>
        </w:numPr>
      </w:pPr>
      <w:bookmarkStart w:id="3" w:name="_Toc482031345"/>
      <w:r>
        <w:t>Programme Analysis</w:t>
      </w:r>
      <w:bookmarkEnd w:id="3"/>
    </w:p>
    <w:p w:rsidR="00615364" w:rsidRDefault="00615364" w:rsidP="00615364">
      <w:pPr>
        <w:pStyle w:val="Heading2"/>
        <w:rPr>
          <w:rFonts w:eastAsiaTheme="minorHAnsi" w:cstheme="minorBidi"/>
          <w:b w:val="0"/>
          <w:color w:val="auto"/>
          <w:szCs w:val="22"/>
        </w:rPr>
      </w:pPr>
    </w:p>
    <w:p w:rsidR="00D772CF" w:rsidRPr="00615364" w:rsidRDefault="0021168A" w:rsidP="00615364">
      <w:pPr>
        <w:pStyle w:val="Heading2"/>
        <w:rPr>
          <w:b w:val="0"/>
          <w:sz w:val="18"/>
        </w:rPr>
      </w:pPr>
      <w:bookmarkStart w:id="4" w:name="_Toc482031346"/>
      <w:r>
        <w:rPr>
          <w:b w:val="0"/>
          <w:sz w:val="18"/>
        </w:rPr>
        <w:t xml:space="preserve">Table </w:t>
      </w:r>
      <w:r w:rsidR="00615364">
        <w:rPr>
          <w:b w:val="0"/>
          <w:sz w:val="18"/>
        </w:rPr>
        <w:t>1</w:t>
      </w:r>
      <w:r>
        <w:rPr>
          <w:b w:val="0"/>
          <w:sz w:val="18"/>
        </w:rPr>
        <w:t xml:space="preserve">: </w:t>
      </w:r>
      <w:r w:rsidR="00360199">
        <w:rPr>
          <w:b w:val="0"/>
          <w:sz w:val="18"/>
        </w:rPr>
        <w:t>Programme Plans</w:t>
      </w:r>
      <w:bookmarkEnd w:id="4"/>
    </w:p>
    <w:tbl>
      <w:tblPr>
        <w:tblStyle w:val="TableGrid"/>
        <w:tblW w:w="11286" w:type="dxa"/>
        <w:tblInd w:w="-1085" w:type="dxa"/>
        <w:tblLayout w:type="fixed"/>
        <w:tblLook w:val="04A0"/>
      </w:tblPr>
      <w:tblGrid>
        <w:gridCol w:w="2781"/>
        <w:gridCol w:w="4395"/>
        <w:gridCol w:w="4110"/>
      </w:tblGrid>
      <w:tr w:rsidR="00615364" w:rsidTr="004B0CFA">
        <w:tc>
          <w:tcPr>
            <w:tcW w:w="2781" w:type="dxa"/>
            <w:shd w:val="clear" w:color="auto" w:fill="D9D9D9" w:themeFill="background1" w:themeFillShade="D9"/>
          </w:tcPr>
          <w:p w:rsidR="00615364" w:rsidRDefault="00615364" w:rsidP="00052B47">
            <w:pPr>
              <w:rPr>
                <w:rFonts w:cs="Arial"/>
                <w:b/>
                <w:bCs/>
              </w:rPr>
            </w:pPr>
            <w:r>
              <w:rPr>
                <w:rFonts w:cs="Arial"/>
                <w:b/>
                <w:bCs/>
              </w:rPr>
              <w:t>Performance Area</w:t>
            </w:r>
          </w:p>
        </w:tc>
        <w:tc>
          <w:tcPr>
            <w:tcW w:w="4395" w:type="dxa"/>
            <w:shd w:val="clear" w:color="auto" w:fill="D9D9D9" w:themeFill="background1" w:themeFillShade="D9"/>
          </w:tcPr>
          <w:p w:rsidR="00615364" w:rsidRDefault="00615364" w:rsidP="00D6046F">
            <w:pPr>
              <w:rPr>
                <w:rFonts w:cs="Arial"/>
                <w:b/>
                <w:bCs/>
              </w:rPr>
            </w:pPr>
            <w:r>
              <w:rPr>
                <w:rFonts w:cs="Arial"/>
                <w:b/>
                <w:bCs/>
              </w:rPr>
              <w:t xml:space="preserve">Planned Performance </w:t>
            </w:r>
          </w:p>
        </w:tc>
        <w:tc>
          <w:tcPr>
            <w:tcW w:w="4110" w:type="dxa"/>
            <w:shd w:val="clear" w:color="auto" w:fill="D9D9D9" w:themeFill="background1" w:themeFillShade="D9"/>
          </w:tcPr>
          <w:p w:rsidR="00615364" w:rsidRDefault="004B0CFA" w:rsidP="00052B47">
            <w:pPr>
              <w:rPr>
                <w:rFonts w:cs="Arial"/>
                <w:b/>
                <w:bCs/>
              </w:rPr>
            </w:pPr>
            <w:r>
              <w:rPr>
                <w:rFonts w:cs="Arial"/>
                <w:b/>
                <w:bCs/>
              </w:rPr>
              <w:t xml:space="preserve">Comments/ </w:t>
            </w:r>
            <w:r w:rsidR="00615364">
              <w:rPr>
                <w:rFonts w:cs="Arial"/>
                <w:b/>
                <w:bCs/>
              </w:rPr>
              <w:t xml:space="preserve">Issues for consideration </w:t>
            </w:r>
          </w:p>
        </w:tc>
      </w:tr>
      <w:tr w:rsidR="004B0CFA" w:rsidTr="004B0CFA">
        <w:tc>
          <w:tcPr>
            <w:tcW w:w="2781" w:type="dxa"/>
            <w:vMerge w:val="restart"/>
            <w:shd w:val="clear" w:color="auto" w:fill="FFFFFF" w:themeFill="background1"/>
          </w:tcPr>
          <w:p w:rsidR="004B0CFA" w:rsidRPr="005C10E8" w:rsidRDefault="004B0CFA" w:rsidP="00615364">
            <w:pPr>
              <w:autoSpaceDE w:val="0"/>
              <w:autoSpaceDN w:val="0"/>
              <w:adjustRightInd w:val="0"/>
              <w:spacing w:line="240" w:lineRule="auto"/>
              <w:rPr>
                <w:rFonts w:cs="Arial"/>
                <w:lang w:val="en-US"/>
              </w:rPr>
            </w:pPr>
            <w:r>
              <w:rPr>
                <w:rFonts w:cs="Arial"/>
                <w:lang w:val="en-US"/>
              </w:rPr>
              <w:t>Increased Customs and Excise Compliance</w:t>
            </w:r>
          </w:p>
        </w:tc>
        <w:tc>
          <w:tcPr>
            <w:tcW w:w="4395" w:type="dxa"/>
            <w:shd w:val="clear" w:color="auto" w:fill="FFFFFF" w:themeFill="background1"/>
          </w:tcPr>
          <w:p w:rsidR="004B0CFA" w:rsidRPr="002A1EAB" w:rsidRDefault="004B0CFA" w:rsidP="002A1EAB">
            <w:pPr>
              <w:autoSpaceDE w:val="0"/>
              <w:autoSpaceDN w:val="0"/>
              <w:adjustRightInd w:val="0"/>
              <w:spacing w:line="240" w:lineRule="auto"/>
              <w:jc w:val="left"/>
              <w:rPr>
                <w:rFonts w:cs="Arial"/>
                <w:lang w:val="en-US"/>
              </w:rPr>
            </w:pPr>
            <w:r>
              <w:rPr>
                <w:rFonts w:cs="Arial"/>
                <w:lang w:val="en-US"/>
              </w:rPr>
              <w:t>Collect customs and excise revenue</w:t>
            </w:r>
          </w:p>
        </w:tc>
        <w:tc>
          <w:tcPr>
            <w:tcW w:w="4110" w:type="dxa"/>
            <w:vMerge w:val="restart"/>
            <w:shd w:val="clear" w:color="auto" w:fill="FFFFFF" w:themeFill="background1"/>
          </w:tcPr>
          <w:p w:rsidR="004B0CFA" w:rsidRDefault="004B0CFA" w:rsidP="00615364">
            <w:pPr>
              <w:autoSpaceDE w:val="0"/>
              <w:autoSpaceDN w:val="0"/>
              <w:adjustRightInd w:val="0"/>
              <w:spacing w:line="240" w:lineRule="auto"/>
              <w:jc w:val="left"/>
              <w:rPr>
                <w:rFonts w:cs="Arial"/>
                <w:lang w:val="en-US"/>
              </w:rPr>
            </w:pPr>
            <w:r w:rsidRPr="00615364">
              <w:rPr>
                <w:rFonts w:cs="Arial"/>
                <w:lang w:val="en-US"/>
              </w:rPr>
              <w:t>SARS had launched a pilot project</w:t>
            </w:r>
            <w:r>
              <w:rPr>
                <w:rFonts w:cs="Arial"/>
                <w:lang w:val="en-US"/>
              </w:rPr>
              <w:t xml:space="preserve"> in 2014/15</w:t>
            </w:r>
            <w:r w:rsidRPr="00615364">
              <w:rPr>
                <w:rFonts w:cs="Arial"/>
                <w:lang w:val="en-US"/>
              </w:rPr>
              <w:t xml:space="preserve"> with Swaziland and Mozambique to establish an IT network linking regional customs authorities, as the first step in developing an international customs network.</w:t>
            </w:r>
          </w:p>
          <w:p w:rsidR="004B0CFA" w:rsidRDefault="004B0CFA" w:rsidP="004B0CFA">
            <w:pPr>
              <w:pStyle w:val="ListParagraph"/>
              <w:numPr>
                <w:ilvl w:val="0"/>
                <w:numId w:val="26"/>
              </w:numPr>
              <w:autoSpaceDE w:val="0"/>
              <w:autoSpaceDN w:val="0"/>
              <w:adjustRightInd w:val="0"/>
              <w:spacing w:line="240" w:lineRule="auto"/>
              <w:jc w:val="left"/>
              <w:rPr>
                <w:rFonts w:cs="Arial"/>
                <w:lang w:val="en-US"/>
              </w:rPr>
            </w:pPr>
            <w:r>
              <w:rPr>
                <w:rFonts w:cs="Arial"/>
                <w:lang w:val="en-US"/>
              </w:rPr>
              <w:t>What were the outcomes/lessons learnt from</w:t>
            </w:r>
            <w:r w:rsidR="00690E90">
              <w:rPr>
                <w:rFonts w:cs="Arial"/>
                <w:lang w:val="en-US"/>
              </w:rPr>
              <w:t xml:space="preserve"> that </w:t>
            </w:r>
            <w:r>
              <w:rPr>
                <w:rFonts w:cs="Arial"/>
                <w:lang w:val="en-US"/>
              </w:rPr>
              <w:t>project?</w:t>
            </w:r>
          </w:p>
          <w:p w:rsidR="004B0CFA" w:rsidRPr="004B0CFA" w:rsidRDefault="004B0CFA" w:rsidP="004B0CFA">
            <w:pPr>
              <w:autoSpaceDE w:val="0"/>
              <w:autoSpaceDN w:val="0"/>
              <w:adjustRightInd w:val="0"/>
              <w:spacing w:line="240" w:lineRule="auto"/>
              <w:ind w:left="360"/>
              <w:jc w:val="left"/>
              <w:rPr>
                <w:rFonts w:cs="Arial"/>
                <w:lang w:val="en-US"/>
              </w:rPr>
            </w:pPr>
          </w:p>
        </w:tc>
      </w:tr>
      <w:tr w:rsidR="004B0CFA" w:rsidTr="004B0CFA">
        <w:tc>
          <w:tcPr>
            <w:tcW w:w="2781" w:type="dxa"/>
            <w:vMerge/>
            <w:shd w:val="clear" w:color="auto" w:fill="FFFFFF" w:themeFill="background1"/>
          </w:tcPr>
          <w:p w:rsidR="004B0CFA" w:rsidRPr="005C10E8" w:rsidRDefault="004B0CFA" w:rsidP="003F74BA">
            <w:pPr>
              <w:autoSpaceDE w:val="0"/>
              <w:autoSpaceDN w:val="0"/>
              <w:adjustRightInd w:val="0"/>
              <w:spacing w:line="240" w:lineRule="auto"/>
              <w:jc w:val="center"/>
              <w:rPr>
                <w:rFonts w:cs="Arial"/>
                <w:lang w:val="en-US"/>
              </w:rPr>
            </w:pPr>
          </w:p>
        </w:tc>
        <w:tc>
          <w:tcPr>
            <w:tcW w:w="4395" w:type="dxa"/>
            <w:shd w:val="clear" w:color="auto" w:fill="FFFFFF" w:themeFill="background1"/>
          </w:tcPr>
          <w:p w:rsidR="004B0CFA" w:rsidRPr="002A1EAB" w:rsidRDefault="004B0CFA" w:rsidP="00A60267">
            <w:pPr>
              <w:autoSpaceDE w:val="0"/>
              <w:autoSpaceDN w:val="0"/>
              <w:adjustRightInd w:val="0"/>
              <w:spacing w:line="240" w:lineRule="auto"/>
              <w:jc w:val="left"/>
              <w:rPr>
                <w:rFonts w:cs="Arial"/>
                <w:lang w:val="en-US"/>
              </w:rPr>
            </w:pPr>
            <w:r>
              <w:rPr>
                <w:rFonts w:cs="Arial"/>
                <w:lang w:val="en-US"/>
              </w:rPr>
              <w:t>Improve flow of goods and travelers entering and leaving the country</w:t>
            </w:r>
            <w:r w:rsidR="00A60267">
              <w:rPr>
                <w:rFonts w:cs="Arial"/>
                <w:lang w:val="en-US"/>
              </w:rPr>
              <w:t>- cargo scanners</w:t>
            </w:r>
          </w:p>
        </w:tc>
        <w:tc>
          <w:tcPr>
            <w:tcW w:w="4110" w:type="dxa"/>
            <w:vMerge/>
            <w:shd w:val="clear" w:color="auto" w:fill="FFFFFF" w:themeFill="background1"/>
          </w:tcPr>
          <w:p w:rsidR="004B0CFA" w:rsidRDefault="004B0CFA" w:rsidP="002A1EAB">
            <w:pPr>
              <w:pStyle w:val="ListParagraph"/>
              <w:autoSpaceDE w:val="0"/>
              <w:autoSpaceDN w:val="0"/>
              <w:adjustRightInd w:val="0"/>
              <w:spacing w:line="240" w:lineRule="auto"/>
              <w:jc w:val="left"/>
              <w:rPr>
                <w:rFonts w:cs="Arial"/>
                <w:lang w:val="en-US"/>
              </w:rPr>
            </w:pPr>
          </w:p>
        </w:tc>
      </w:tr>
      <w:tr w:rsidR="004B0CFA" w:rsidTr="004B0CFA">
        <w:tc>
          <w:tcPr>
            <w:tcW w:w="2781" w:type="dxa"/>
            <w:vMerge/>
            <w:shd w:val="clear" w:color="auto" w:fill="FFFFFF" w:themeFill="background1"/>
          </w:tcPr>
          <w:p w:rsidR="004B0CFA" w:rsidRPr="005C10E8" w:rsidRDefault="004B0CFA" w:rsidP="003F74BA">
            <w:pPr>
              <w:autoSpaceDE w:val="0"/>
              <w:autoSpaceDN w:val="0"/>
              <w:adjustRightInd w:val="0"/>
              <w:spacing w:line="240" w:lineRule="auto"/>
              <w:jc w:val="center"/>
              <w:rPr>
                <w:rFonts w:cs="Arial"/>
                <w:lang w:val="en-US"/>
              </w:rPr>
            </w:pPr>
          </w:p>
        </w:tc>
        <w:tc>
          <w:tcPr>
            <w:tcW w:w="4395" w:type="dxa"/>
            <w:shd w:val="clear" w:color="auto" w:fill="FFFFFF" w:themeFill="background1"/>
          </w:tcPr>
          <w:p w:rsidR="004B0CFA" w:rsidRPr="002A1EAB" w:rsidRDefault="004B0CFA" w:rsidP="002A1EAB">
            <w:pPr>
              <w:autoSpaceDE w:val="0"/>
              <w:autoSpaceDN w:val="0"/>
              <w:adjustRightInd w:val="0"/>
              <w:spacing w:line="240" w:lineRule="auto"/>
              <w:jc w:val="left"/>
              <w:rPr>
                <w:rFonts w:cs="Arial"/>
                <w:lang w:val="en-US"/>
              </w:rPr>
            </w:pPr>
            <w:r>
              <w:rPr>
                <w:rFonts w:cs="Arial"/>
                <w:lang w:val="en-US"/>
              </w:rPr>
              <w:t>Risk identification and targeting capabilities</w:t>
            </w:r>
          </w:p>
        </w:tc>
        <w:tc>
          <w:tcPr>
            <w:tcW w:w="4110" w:type="dxa"/>
            <w:vMerge/>
            <w:shd w:val="clear" w:color="auto" w:fill="FFFFFF" w:themeFill="background1"/>
          </w:tcPr>
          <w:p w:rsidR="004B0CFA" w:rsidRDefault="004B0CFA" w:rsidP="002A1EAB">
            <w:pPr>
              <w:pStyle w:val="ListParagraph"/>
              <w:autoSpaceDE w:val="0"/>
              <w:autoSpaceDN w:val="0"/>
              <w:adjustRightInd w:val="0"/>
              <w:spacing w:line="240" w:lineRule="auto"/>
              <w:jc w:val="left"/>
              <w:rPr>
                <w:rFonts w:cs="Arial"/>
                <w:lang w:val="en-US"/>
              </w:rPr>
            </w:pPr>
          </w:p>
        </w:tc>
      </w:tr>
      <w:tr w:rsidR="00615364" w:rsidTr="004B0CFA">
        <w:tc>
          <w:tcPr>
            <w:tcW w:w="2781" w:type="dxa"/>
            <w:vMerge w:val="restart"/>
            <w:shd w:val="clear" w:color="auto" w:fill="FFFFFF" w:themeFill="background1"/>
          </w:tcPr>
          <w:p w:rsidR="00615364" w:rsidRDefault="00615364"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D8564A" w:rsidRDefault="00D8564A" w:rsidP="00D8564A">
            <w:pPr>
              <w:autoSpaceDE w:val="0"/>
              <w:autoSpaceDN w:val="0"/>
              <w:adjustRightInd w:val="0"/>
              <w:spacing w:line="240" w:lineRule="auto"/>
              <w:jc w:val="center"/>
              <w:rPr>
                <w:rFonts w:cs="Arial"/>
                <w:lang w:val="en-US"/>
              </w:rPr>
            </w:pPr>
          </w:p>
          <w:p w:rsidR="00615364" w:rsidRPr="005C10E8" w:rsidRDefault="00615364" w:rsidP="00BD4E6E">
            <w:pPr>
              <w:autoSpaceDE w:val="0"/>
              <w:autoSpaceDN w:val="0"/>
              <w:adjustRightInd w:val="0"/>
              <w:spacing w:line="240" w:lineRule="auto"/>
              <w:jc w:val="left"/>
              <w:rPr>
                <w:rFonts w:cs="Arial"/>
                <w:lang w:val="en-US"/>
              </w:rPr>
            </w:pPr>
            <w:bookmarkStart w:id="5" w:name="_GoBack"/>
            <w:r>
              <w:rPr>
                <w:rFonts w:cs="Arial"/>
                <w:lang w:val="en-US"/>
              </w:rPr>
              <w:t>Increased Tax Compliance</w:t>
            </w:r>
            <w:bookmarkEnd w:id="5"/>
          </w:p>
        </w:tc>
        <w:tc>
          <w:tcPr>
            <w:tcW w:w="4395" w:type="dxa"/>
            <w:shd w:val="clear" w:color="auto" w:fill="FFFFFF" w:themeFill="background1"/>
          </w:tcPr>
          <w:p w:rsidR="00615364" w:rsidRPr="002A1EAB" w:rsidRDefault="00615364" w:rsidP="00A60267">
            <w:pPr>
              <w:autoSpaceDE w:val="0"/>
              <w:autoSpaceDN w:val="0"/>
              <w:adjustRightInd w:val="0"/>
              <w:spacing w:line="240" w:lineRule="auto"/>
              <w:jc w:val="left"/>
              <w:rPr>
                <w:rFonts w:cs="Arial"/>
                <w:lang w:val="en-US"/>
              </w:rPr>
            </w:pPr>
            <w:r w:rsidRPr="002A1EAB">
              <w:rPr>
                <w:rFonts w:cs="Arial"/>
                <w:lang w:val="en-US"/>
              </w:rPr>
              <w:t xml:space="preserve">Total revenue(excluding customs) </w:t>
            </w:r>
          </w:p>
        </w:tc>
        <w:tc>
          <w:tcPr>
            <w:tcW w:w="4110" w:type="dxa"/>
            <w:shd w:val="clear" w:color="auto" w:fill="FFFFFF" w:themeFill="background1"/>
          </w:tcPr>
          <w:p w:rsidR="00547711" w:rsidRDefault="00A60267" w:rsidP="00D8564A">
            <w:pPr>
              <w:autoSpaceDE w:val="0"/>
              <w:autoSpaceDN w:val="0"/>
              <w:adjustRightInd w:val="0"/>
              <w:spacing w:line="240" w:lineRule="auto"/>
              <w:rPr>
                <w:rFonts w:cs="Arial"/>
                <w:lang w:val="en-US"/>
              </w:rPr>
            </w:pPr>
            <w:r>
              <w:rPr>
                <w:rFonts w:cs="Arial"/>
                <w:lang w:val="en-US"/>
              </w:rPr>
              <w:t xml:space="preserve">It is alleged in the media that the revenue </w:t>
            </w:r>
            <w:r w:rsidR="00D86F29">
              <w:rPr>
                <w:rFonts w:cs="Arial"/>
                <w:lang w:val="en-US"/>
              </w:rPr>
              <w:t xml:space="preserve">downward </w:t>
            </w:r>
            <w:r w:rsidR="00547711">
              <w:rPr>
                <w:rFonts w:cs="Arial"/>
                <w:lang w:val="en-US"/>
              </w:rPr>
              <w:t xml:space="preserve">revision enabled SARS to reach their target </w:t>
            </w:r>
            <w:r w:rsidR="00690E90">
              <w:rPr>
                <w:rFonts w:cs="Arial"/>
                <w:lang w:val="en-US"/>
              </w:rPr>
              <w:t xml:space="preserve">or else they would have fallen short </w:t>
            </w:r>
            <w:r w:rsidR="00547711">
              <w:rPr>
                <w:rFonts w:cs="Arial"/>
                <w:lang w:val="en-US"/>
              </w:rPr>
              <w:t>off the target.</w:t>
            </w:r>
            <w:r>
              <w:rPr>
                <w:rFonts w:cs="Arial"/>
                <w:lang w:val="en-US"/>
              </w:rPr>
              <w:t xml:space="preserve"> </w:t>
            </w:r>
          </w:p>
          <w:p w:rsidR="00D8564A" w:rsidRDefault="00D8564A" w:rsidP="00D8564A">
            <w:pPr>
              <w:autoSpaceDE w:val="0"/>
              <w:autoSpaceDN w:val="0"/>
              <w:adjustRightInd w:val="0"/>
              <w:spacing w:line="240" w:lineRule="auto"/>
              <w:rPr>
                <w:rFonts w:cs="Arial"/>
                <w:lang w:val="en-US"/>
              </w:rPr>
            </w:pPr>
          </w:p>
          <w:p w:rsidR="00D8564A" w:rsidRDefault="00D8564A" w:rsidP="00D8564A">
            <w:pPr>
              <w:autoSpaceDE w:val="0"/>
              <w:autoSpaceDN w:val="0"/>
              <w:adjustRightInd w:val="0"/>
              <w:spacing w:line="240" w:lineRule="auto"/>
              <w:jc w:val="left"/>
              <w:rPr>
                <w:rFonts w:cs="Arial"/>
                <w:lang w:val="en-US"/>
              </w:rPr>
            </w:pPr>
            <w:r>
              <w:rPr>
                <w:rFonts w:cs="Arial"/>
                <w:lang w:val="en-US"/>
              </w:rPr>
              <w:t>It is also alleged that there are “administrative challenges faced by SARS hence the downward revisions.</w:t>
            </w:r>
          </w:p>
          <w:p w:rsidR="00547711" w:rsidRDefault="00547711" w:rsidP="00D8564A">
            <w:pPr>
              <w:autoSpaceDE w:val="0"/>
              <w:autoSpaceDN w:val="0"/>
              <w:adjustRightInd w:val="0"/>
              <w:spacing w:line="240" w:lineRule="auto"/>
              <w:rPr>
                <w:rFonts w:cs="Arial"/>
                <w:lang w:val="en-US"/>
              </w:rPr>
            </w:pPr>
          </w:p>
          <w:p w:rsidR="00547711" w:rsidRDefault="00D8564A" w:rsidP="00D8564A">
            <w:pPr>
              <w:autoSpaceDE w:val="0"/>
              <w:autoSpaceDN w:val="0"/>
              <w:adjustRightInd w:val="0"/>
              <w:spacing w:line="240" w:lineRule="auto"/>
              <w:rPr>
                <w:rFonts w:cs="Arial"/>
                <w:lang w:val="en-US"/>
              </w:rPr>
            </w:pPr>
            <w:r>
              <w:rPr>
                <w:rFonts w:cs="Arial"/>
                <w:lang w:val="en-US"/>
              </w:rPr>
              <w:t>Tax buoyancy is defined as the ratio of growth in tax revenue to economic growth. This measure includes the effect factors such as tax policy changes (eg. immediate dividend tax) and tax payer behavior.</w:t>
            </w:r>
          </w:p>
          <w:p w:rsidR="00D8564A" w:rsidRDefault="00D8564A" w:rsidP="00D8564A">
            <w:pPr>
              <w:autoSpaceDE w:val="0"/>
              <w:autoSpaceDN w:val="0"/>
              <w:adjustRightInd w:val="0"/>
              <w:spacing w:line="240" w:lineRule="auto"/>
              <w:rPr>
                <w:rFonts w:cs="Arial"/>
                <w:lang w:val="en-US"/>
              </w:rPr>
            </w:pPr>
          </w:p>
          <w:p w:rsidR="00D8564A" w:rsidRDefault="00D8564A" w:rsidP="00D8564A">
            <w:pPr>
              <w:autoSpaceDE w:val="0"/>
              <w:autoSpaceDN w:val="0"/>
              <w:adjustRightInd w:val="0"/>
              <w:spacing w:line="240" w:lineRule="auto"/>
              <w:rPr>
                <w:rFonts w:cs="Arial"/>
                <w:lang w:val="en-US"/>
              </w:rPr>
            </w:pPr>
            <w:r>
              <w:rPr>
                <w:rFonts w:cs="Arial"/>
                <w:lang w:val="en-US"/>
              </w:rPr>
              <w:t xml:space="preserve">NT revised the revenue target by R30 billion and implemented the </w:t>
            </w:r>
            <w:r w:rsidRPr="00A60267">
              <w:rPr>
                <w:rFonts w:cs="Arial"/>
                <w:lang w:val="en-US"/>
              </w:rPr>
              <w:t xml:space="preserve">dividend tax windfall </w:t>
            </w:r>
            <w:r>
              <w:rPr>
                <w:rFonts w:cs="Arial"/>
                <w:lang w:val="en-US"/>
              </w:rPr>
              <w:t>which allegedly enabled</w:t>
            </w:r>
            <w:r w:rsidRPr="00A60267">
              <w:rPr>
                <w:rFonts w:cs="Arial"/>
                <w:lang w:val="en-US"/>
              </w:rPr>
              <w:t xml:space="preserve"> </w:t>
            </w:r>
            <w:r>
              <w:rPr>
                <w:rFonts w:cs="Arial"/>
                <w:lang w:val="en-US"/>
              </w:rPr>
              <w:t>SARS</w:t>
            </w:r>
            <w:r w:rsidRPr="00A60267">
              <w:rPr>
                <w:rFonts w:cs="Arial"/>
                <w:lang w:val="en-US"/>
              </w:rPr>
              <w:t xml:space="preserve"> to </w:t>
            </w:r>
            <w:r>
              <w:rPr>
                <w:rFonts w:cs="Arial"/>
                <w:lang w:val="en-US"/>
              </w:rPr>
              <w:t>achieve</w:t>
            </w:r>
            <w:r w:rsidRPr="00A60267">
              <w:rPr>
                <w:rFonts w:cs="Arial"/>
                <w:lang w:val="en-US"/>
              </w:rPr>
              <w:t xml:space="preserve"> its target for the latest tax year</w:t>
            </w:r>
            <w:r>
              <w:rPr>
                <w:rFonts w:cs="Arial"/>
                <w:lang w:val="en-US"/>
              </w:rPr>
              <w:t>”.</w:t>
            </w:r>
          </w:p>
          <w:p w:rsidR="00D8564A" w:rsidRDefault="00D8564A" w:rsidP="00D8564A">
            <w:pPr>
              <w:autoSpaceDE w:val="0"/>
              <w:autoSpaceDN w:val="0"/>
              <w:adjustRightInd w:val="0"/>
              <w:spacing w:line="240" w:lineRule="auto"/>
              <w:rPr>
                <w:rFonts w:cs="Arial"/>
                <w:lang w:val="en-US"/>
              </w:rPr>
            </w:pPr>
          </w:p>
          <w:p w:rsidR="00D8564A" w:rsidRPr="00D8564A" w:rsidRDefault="00D8564A" w:rsidP="00D8564A">
            <w:pPr>
              <w:pStyle w:val="ListParagraph"/>
              <w:numPr>
                <w:ilvl w:val="0"/>
                <w:numId w:val="26"/>
              </w:numPr>
              <w:autoSpaceDE w:val="0"/>
              <w:autoSpaceDN w:val="0"/>
              <w:adjustRightInd w:val="0"/>
              <w:spacing w:line="240" w:lineRule="auto"/>
              <w:rPr>
                <w:rFonts w:cs="Arial"/>
                <w:lang w:val="en-US"/>
              </w:rPr>
            </w:pPr>
            <w:r>
              <w:rPr>
                <w:rFonts w:cs="Arial"/>
                <w:lang w:val="en-US"/>
              </w:rPr>
              <w:t xml:space="preserve">Given the issues outlined, can </w:t>
            </w:r>
            <w:r>
              <w:rPr>
                <w:rFonts w:cs="Arial"/>
                <w:lang w:val="en-US"/>
              </w:rPr>
              <w:lastRenderedPageBreak/>
              <w:t xml:space="preserve">SARS explain to SCOF members how this assessment could be incorrect? </w:t>
            </w:r>
          </w:p>
          <w:p w:rsidR="00547711" w:rsidRDefault="00547711" w:rsidP="00D86F29">
            <w:pPr>
              <w:pStyle w:val="ListParagraph"/>
              <w:numPr>
                <w:ilvl w:val="0"/>
                <w:numId w:val="26"/>
              </w:numPr>
              <w:autoSpaceDE w:val="0"/>
              <w:autoSpaceDN w:val="0"/>
              <w:adjustRightInd w:val="0"/>
              <w:spacing w:line="240" w:lineRule="auto"/>
              <w:jc w:val="left"/>
              <w:rPr>
                <w:rFonts w:cs="Arial"/>
                <w:lang w:val="en-US"/>
              </w:rPr>
            </w:pPr>
            <w:r>
              <w:rPr>
                <w:rFonts w:cs="Arial"/>
                <w:lang w:val="en-US"/>
              </w:rPr>
              <w:t>The issue with</w:t>
            </w:r>
            <w:r w:rsidR="00D86F29">
              <w:rPr>
                <w:rFonts w:cs="Arial"/>
                <w:lang w:val="en-US"/>
              </w:rPr>
              <w:t xml:space="preserve"> revenue target</w:t>
            </w:r>
            <w:r>
              <w:rPr>
                <w:rFonts w:cs="Arial"/>
                <w:lang w:val="en-US"/>
              </w:rPr>
              <w:t xml:space="preserve"> is not whether</w:t>
            </w:r>
            <w:r w:rsidR="00690E90">
              <w:rPr>
                <w:rFonts w:cs="Arial"/>
                <w:lang w:val="en-US"/>
              </w:rPr>
              <w:t xml:space="preserve"> they </w:t>
            </w:r>
            <w:r>
              <w:rPr>
                <w:rFonts w:cs="Arial"/>
                <w:lang w:val="en-US"/>
              </w:rPr>
              <w:t>me</w:t>
            </w:r>
            <w:r w:rsidR="00E97C09">
              <w:rPr>
                <w:rFonts w:cs="Arial"/>
                <w:lang w:val="en-US"/>
              </w:rPr>
              <w:t>e</w:t>
            </w:r>
            <w:r>
              <w:rPr>
                <w:rFonts w:cs="Arial"/>
                <w:lang w:val="en-US"/>
              </w:rPr>
              <w:t>t</w:t>
            </w:r>
            <w:r w:rsidR="00E97C09">
              <w:rPr>
                <w:rFonts w:cs="Arial"/>
                <w:lang w:val="en-US"/>
              </w:rPr>
              <w:t xml:space="preserve"> the target</w:t>
            </w:r>
            <w:r>
              <w:rPr>
                <w:rFonts w:cs="Arial"/>
                <w:lang w:val="en-US"/>
              </w:rPr>
              <w:t xml:space="preserve"> but more the calculation and process/methods in which SARS uses to get to the target.</w:t>
            </w:r>
            <w:r w:rsidR="00D86F29">
              <w:t xml:space="preserve"> It is understood that the </w:t>
            </w:r>
            <w:r w:rsidR="00D86F29" w:rsidRPr="00D86F29">
              <w:rPr>
                <w:rFonts w:cs="Arial"/>
                <w:lang w:val="en-US"/>
              </w:rPr>
              <w:t xml:space="preserve">process </w:t>
            </w:r>
            <w:r w:rsidR="00D86F29">
              <w:rPr>
                <w:rFonts w:cs="Arial"/>
                <w:lang w:val="en-US"/>
              </w:rPr>
              <w:t xml:space="preserve">is </w:t>
            </w:r>
            <w:r w:rsidR="00D86F29" w:rsidRPr="00D86F29">
              <w:rPr>
                <w:rFonts w:cs="Arial"/>
                <w:lang w:val="en-US"/>
              </w:rPr>
              <w:t>driven by Treasury's economic assumptions and SARS</w:t>
            </w:r>
            <w:r w:rsidR="00D86F29">
              <w:rPr>
                <w:rFonts w:cs="Arial"/>
                <w:lang w:val="en-US"/>
              </w:rPr>
              <w:t xml:space="preserve"> </w:t>
            </w:r>
            <w:r w:rsidR="00690E90">
              <w:rPr>
                <w:rFonts w:cs="Arial"/>
                <w:lang w:val="en-US"/>
              </w:rPr>
              <w:t xml:space="preserve">estimates. MP’s </w:t>
            </w:r>
            <w:r w:rsidR="00D86F29">
              <w:rPr>
                <w:rFonts w:cs="Arial"/>
                <w:lang w:val="en-US"/>
              </w:rPr>
              <w:t xml:space="preserve">would benefit from a presentation fully detailing the </w:t>
            </w:r>
            <w:r w:rsidR="00690E90">
              <w:rPr>
                <w:rFonts w:cs="Arial"/>
                <w:lang w:val="en-US"/>
              </w:rPr>
              <w:t>revenue target formula.</w:t>
            </w:r>
          </w:p>
          <w:p w:rsidR="00690E90" w:rsidRPr="00690E90" w:rsidRDefault="00547711" w:rsidP="009B61FF">
            <w:pPr>
              <w:pStyle w:val="ListParagraph"/>
              <w:numPr>
                <w:ilvl w:val="0"/>
                <w:numId w:val="26"/>
              </w:numPr>
              <w:autoSpaceDE w:val="0"/>
              <w:autoSpaceDN w:val="0"/>
              <w:adjustRightInd w:val="0"/>
              <w:spacing w:line="240" w:lineRule="auto"/>
              <w:jc w:val="left"/>
              <w:rPr>
                <w:rFonts w:cs="Arial"/>
                <w:lang w:val="en-US"/>
              </w:rPr>
            </w:pPr>
            <w:r>
              <w:rPr>
                <w:rFonts w:cs="Arial"/>
                <w:lang w:val="en-US"/>
              </w:rPr>
              <w:t xml:space="preserve">Are VAT refunds </w:t>
            </w:r>
            <w:r w:rsidR="00690E90">
              <w:rPr>
                <w:rFonts w:cs="Arial"/>
                <w:lang w:val="en-US"/>
              </w:rPr>
              <w:t xml:space="preserve">deliberately </w:t>
            </w:r>
            <w:r>
              <w:rPr>
                <w:rFonts w:cs="Arial"/>
                <w:lang w:val="en-US"/>
              </w:rPr>
              <w:t>being withheld</w:t>
            </w:r>
            <w:r w:rsidR="00690E90">
              <w:rPr>
                <w:rFonts w:cs="Arial"/>
                <w:lang w:val="en-US"/>
              </w:rPr>
              <w:t xml:space="preserve"> to meet the target</w:t>
            </w:r>
            <w:r>
              <w:rPr>
                <w:rFonts w:cs="Arial"/>
                <w:lang w:val="en-US"/>
              </w:rPr>
              <w:t>?</w:t>
            </w:r>
            <w:r w:rsidR="00FC6BCF">
              <w:rPr>
                <w:rFonts w:cs="Arial"/>
                <w:lang w:val="en-US"/>
              </w:rPr>
              <w:t xml:space="preserve"> </w:t>
            </w:r>
            <w:r w:rsidR="00E97C09">
              <w:rPr>
                <w:rFonts w:cs="Arial"/>
                <w:lang w:val="en-US"/>
              </w:rPr>
              <w:t>These are some of the issues</w:t>
            </w:r>
            <w:r w:rsidR="009B61FF">
              <w:rPr>
                <w:rFonts w:cs="Arial"/>
                <w:lang w:val="en-US"/>
              </w:rPr>
              <w:t xml:space="preserve"> in the public domain</w:t>
            </w:r>
            <w:r w:rsidR="00E97C09">
              <w:rPr>
                <w:rFonts w:cs="Arial"/>
                <w:lang w:val="en-US"/>
              </w:rPr>
              <w:t xml:space="preserve"> </w:t>
            </w:r>
            <w:r w:rsidR="009B61FF">
              <w:rPr>
                <w:rFonts w:cs="Arial"/>
                <w:lang w:val="en-US"/>
              </w:rPr>
              <w:t>that would be useful if the Commissioner would clarify.</w:t>
            </w:r>
          </w:p>
        </w:tc>
      </w:tr>
      <w:tr w:rsidR="00690E90" w:rsidTr="004B0CFA">
        <w:tc>
          <w:tcPr>
            <w:tcW w:w="2781" w:type="dxa"/>
            <w:vMerge/>
            <w:shd w:val="clear" w:color="auto" w:fill="0070C0"/>
          </w:tcPr>
          <w:p w:rsidR="00690E90" w:rsidRDefault="00690E90" w:rsidP="003F74BA">
            <w:pPr>
              <w:autoSpaceDE w:val="0"/>
              <w:autoSpaceDN w:val="0"/>
              <w:adjustRightInd w:val="0"/>
              <w:spacing w:line="240" w:lineRule="auto"/>
              <w:jc w:val="center"/>
              <w:rPr>
                <w:rFonts w:cs="Arial"/>
                <w:lang w:val="en-US"/>
              </w:rPr>
            </w:pPr>
          </w:p>
        </w:tc>
        <w:tc>
          <w:tcPr>
            <w:tcW w:w="4395" w:type="dxa"/>
            <w:shd w:val="clear" w:color="auto" w:fill="FFFFFF" w:themeFill="background1"/>
          </w:tcPr>
          <w:p w:rsidR="00690E90" w:rsidRPr="002A1EAB" w:rsidRDefault="00690E90" w:rsidP="00A60267">
            <w:pPr>
              <w:autoSpaceDE w:val="0"/>
              <w:autoSpaceDN w:val="0"/>
              <w:adjustRightInd w:val="0"/>
              <w:spacing w:line="240" w:lineRule="auto"/>
              <w:jc w:val="left"/>
              <w:rPr>
                <w:rFonts w:cs="Arial"/>
                <w:lang w:val="en-US"/>
              </w:rPr>
            </w:pPr>
            <w:r w:rsidRPr="002A1EAB">
              <w:rPr>
                <w:rFonts w:cs="Arial"/>
                <w:lang w:val="en-US"/>
              </w:rPr>
              <w:t xml:space="preserve">Debt book </w:t>
            </w:r>
            <w:r>
              <w:rPr>
                <w:rFonts w:cs="Arial"/>
                <w:lang w:val="en-US"/>
              </w:rPr>
              <w:t>management</w:t>
            </w:r>
          </w:p>
        </w:tc>
        <w:tc>
          <w:tcPr>
            <w:tcW w:w="4110" w:type="dxa"/>
            <w:vMerge w:val="restart"/>
            <w:shd w:val="clear" w:color="auto" w:fill="FFFFFF" w:themeFill="background1"/>
          </w:tcPr>
          <w:p w:rsidR="00690E90" w:rsidRDefault="00690E90" w:rsidP="00FC6BCF">
            <w:pPr>
              <w:autoSpaceDE w:val="0"/>
              <w:autoSpaceDN w:val="0"/>
              <w:adjustRightInd w:val="0"/>
              <w:spacing w:line="240" w:lineRule="auto"/>
              <w:jc w:val="left"/>
              <w:rPr>
                <w:rFonts w:cs="Arial"/>
                <w:lang w:val="en-US"/>
              </w:rPr>
            </w:pPr>
            <w:r>
              <w:rPr>
                <w:rFonts w:cs="Arial"/>
                <w:lang w:val="en-US"/>
              </w:rPr>
              <w:t>Debt collection was outsourced by SARS to debt collectors.</w:t>
            </w:r>
          </w:p>
          <w:p w:rsidR="00690E90" w:rsidRPr="004B7531" w:rsidRDefault="00690E90" w:rsidP="00690E90">
            <w:pPr>
              <w:pStyle w:val="ListParagraph"/>
              <w:numPr>
                <w:ilvl w:val="0"/>
                <w:numId w:val="26"/>
              </w:numPr>
              <w:autoSpaceDE w:val="0"/>
              <w:autoSpaceDN w:val="0"/>
              <w:adjustRightInd w:val="0"/>
              <w:spacing w:line="240" w:lineRule="auto"/>
              <w:jc w:val="left"/>
              <w:rPr>
                <w:rFonts w:cs="Arial"/>
                <w:lang w:val="en-US"/>
              </w:rPr>
            </w:pPr>
            <w:r>
              <w:t xml:space="preserve">What </w:t>
            </w:r>
            <w:r w:rsidRPr="00676EC1">
              <w:rPr>
                <w:rFonts w:cs="Arial"/>
                <w:lang w:val="en-US"/>
              </w:rPr>
              <w:t>percentage</w:t>
            </w:r>
            <w:r>
              <w:rPr>
                <w:rFonts w:cs="Arial"/>
                <w:lang w:val="en-US"/>
              </w:rPr>
              <w:t xml:space="preserve"> of the debt has the </w:t>
            </w:r>
            <w:r w:rsidRPr="00676EC1">
              <w:rPr>
                <w:rFonts w:cs="Arial"/>
                <w:lang w:val="en-US"/>
              </w:rPr>
              <w:t xml:space="preserve">company </w:t>
            </w:r>
            <w:r>
              <w:rPr>
                <w:rFonts w:cs="Arial"/>
                <w:lang w:val="en-US"/>
              </w:rPr>
              <w:t>recovered?</w:t>
            </w:r>
          </w:p>
        </w:tc>
      </w:tr>
      <w:tr w:rsidR="00690E90" w:rsidTr="004B0CFA">
        <w:tc>
          <w:tcPr>
            <w:tcW w:w="2781" w:type="dxa"/>
            <w:vMerge/>
          </w:tcPr>
          <w:p w:rsidR="00690E90" w:rsidRPr="005C10E8" w:rsidRDefault="00690E90" w:rsidP="003F74BA">
            <w:pPr>
              <w:autoSpaceDE w:val="0"/>
              <w:autoSpaceDN w:val="0"/>
              <w:adjustRightInd w:val="0"/>
              <w:spacing w:line="240" w:lineRule="auto"/>
              <w:jc w:val="left"/>
              <w:rPr>
                <w:rFonts w:cs="Arial"/>
                <w:b/>
                <w:bCs/>
              </w:rPr>
            </w:pPr>
          </w:p>
        </w:tc>
        <w:tc>
          <w:tcPr>
            <w:tcW w:w="4395" w:type="dxa"/>
            <w:shd w:val="clear" w:color="auto" w:fill="FFFFFF" w:themeFill="background1"/>
          </w:tcPr>
          <w:p w:rsidR="00690E90" w:rsidRPr="00755E0D" w:rsidRDefault="00690E90" w:rsidP="00755E0D">
            <w:pPr>
              <w:autoSpaceDE w:val="0"/>
              <w:autoSpaceDN w:val="0"/>
              <w:adjustRightInd w:val="0"/>
              <w:spacing w:line="240" w:lineRule="auto"/>
              <w:jc w:val="left"/>
              <w:rPr>
                <w:rFonts w:cs="Arial"/>
                <w:lang w:val="en-US"/>
              </w:rPr>
            </w:pPr>
            <w:r>
              <w:rPr>
                <w:rFonts w:cs="Arial"/>
                <w:lang w:val="en-US"/>
              </w:rPr>
              <w:t>Taxpayer compliance</w:t>
            </w:r>
          </w:p>
        </w:tc>
        <w:tc>
          <w:tcPr>
            <w:tcW w:w="4110" w:type="dxa"/>
            <w:vMerge/>
            <w:shd w:val="clear" w:color="auto" w:fill="FFFFFF" w:themeFill="background1"/>
          </w:tcPr>
          <w:p w:rsidR="00690E90" w:rsidRPr="005C10E8" w:rsidRDefault="00690E90" w:rsidP="00943535">
            <w:pPr>
              <w:pStyle w:val="ListParagraph"/>
              <w:autoSpaceDE w:val="0"/>
              <w:autoSpaceDN w:val="0"/>
              <w:adjustRightInd w:val="0"/>
              <w:spacing w:line="240" w:lineRule="auto"/>
              <w:jc w:val="left"/>
              <w:rPr>
                <w:rFonts w:cs="Arial"/>
                <w:lang w:val="en-US"/>
              </w:rPr>
            </w:pPr>
          </w:p>
        </w:tc>
      </w:tr>
      <w:tr w:rsidR="00690E90" w:rsidTr="004B0CFA">
        <w:tc>
          <w:tcPr>
            <w:tcW w:w="2781" w:type="dxa"/>
            <w:vMerge/>
          </w:tcPr>
          <w:p w:rsidR="00690E90" w:rsidRPr="00F128E9" w:rsidRDefault="00690E90" w:rsidP="00052B47"/>
        </w:tc>
        <w:tc>
          <w:tcPr>
            <w:tcW w:w="4395" w:type="dxa"/>
            <w:shd w:val="clear" w:color="auto" w:fill="FFFFFF" w:themeFill="background1"/>
          </w:tcPr>
          <w:p w:rsidR="00690E90" w:rsidRPr="00755E0D" w:rsidRDefault="00690E90" w:rsidP="00A60267">
            <w:pPr>
              <w:autoSpaceDE w:val="0"/>
              <w:autoSpaceDN w:val="0"/>
              <w:adjustRightInd w:val="0"/>
              <w:spacing w:line="240" w:lineRule="auto"/>
              <w:jc w:val="left"/>
              <w:rPr>
                <w:rFonts w:cs="Arial"/>
                <w:lang w:val="en-US"/>
              </w:rPr>
            </w:pPr>
            <w:r>
              <w:rPr>
                <w:rFonts w:cs="Arial"/>
                <w:lang w:val="en-US"/>
              </w:rPr>
              <w:t>Collaborate with other tax and customs jurisdictions</w:t>
            </w:r>
          </w:p>
        </w:tc>
        <w:tc>
          <w:tcPr>
            <w:tcW w:w="4110" w:type="dxa"/>
            <w:vMerge/>
            <w:shd w:val="clear" w:color="auto" w:fill="FFFFFF" w:themeFill="background1"/>
          </w:tcPr>
          <w:p w:rsidR="00690E90" w:rsidRPr="007A34A8" w:rsidRDefault="00690E90" w:rsidP="00F64ADF">
            <w:pPr>
              <w:pStyle w:val="ListParagraph"/>
              <w:autoSpaceDE w:val="0"/>
              <w:autoSpaceDN w:val="0"/>
              <w:adjustRightInd w:val="0"/>
              <w:spacing w:line="240" w:lineRule="auto"/>
              <w:rPr>
                <w:rFonts w:cs="Arial"/>
                <w:lang w:val="en-US"/>
              </w:rPr>
            </w:pPr>
          </w:p>
        </w:tc>
      </w:tr>
      <w:tr w:rsidR="00615364" w:rsidTr="004B0CFA">
        <w:tc>
          <w:tcPr>
            <w:tcW w:w="2781" w:type="dxa"/>
            <w:vMerge/>
          </w:tcPr>
          <w:p w:rsidR="00615364" w:rsidRPr="00F128E9" w:rsidRDefault="00615364" w:rsidP="00052B47"/>
        </w:tc>
        <w:tc>
          <w:tcPr>
            <w:tcW w:w="4395" w:type="dxa"/>
            <w:shd w:val="clear" w:color="auto" w:fill="FFFFFF" w:themeFill="background1"/>
          </w:tcPr>
          <w:p w:rsidR="00615364" w:rsidRDefault="004B7531" w:rsidP="00755E0D">
            <w:pPr>
              <w:autoSpaceDE w:val="0"/>
              <w:autoSpaceDN w:val="0"/>
              <w:adjustRightInd w:val="0"/>
              <w:spacing w:line="240" w:lineRule="auto"/>
              <w:jc w:val="left"/>
              <w:rPr>
                <w:rFonts w:cs="Arial"/>
                <w:lang w:val="en-US"/>
              </w:rPr>
            </w:pPr>
            <w:r>
              <w:rPr>
                <w:rFonts w:cs="Arial"/>
                <w:lang w:val="en-US"/>
              </w:rPr>
              <w:t>Enforcement capabilitie</w:t>
            </w:r>
            <w:r w:rsidR="00D8564A">
              <w:rPr>
                <w:rFonts w:cs="Arial"/>
                <w:lang w:val="en-US"/>
              </w:rPr>
              <w:t>s</w:t>
            </w:r>
          </w:p>
          <w:p w:rsidR="004B7531" w:rsidRPr="004B7531" w:rsidRDefault="004B7531" w:rsidP="004B7531">
            <w:pPr>
              <w:pStyle w:val="ListParagraph"/>
              <w:numPr>
                <w:ilvl w:val="0"/>
                <w:numId w:val="26"/>
              </w:numPr>
              <w:autoSpaceDE w:val="0"/>
              <w:autoSpaceDN w:val="0"/>
              <w:adjustRightInd w:val="0"/>
              <w:spacing w:line="240" w:lineRule="auto"/>
              <w:jc w:val="left"/>
              <w:rPr>
                <w:rFonts w:cs="Arial"/>
                <w:lang w:val="en-US"/>
              </w:rPr>
            </w:pPr>
            <w:r>
              <w:rPr>
                <w:rFonts w:cs="Arial"/>
                <w:lang w:val="en-US"/>
              </w:rPr>
              <w:t>Implement a SARS/ National Prosecuting Authority inter- agency strategy by June 2017</w:t>
            </w:r>
          </w:p>
        </w:tc>
        <w:tc>
          <w:tcPr>
            <w:tcW w:w="4110" w:type="dxa"/>
            <w:shd w:val="clear" w:color="auto" w:fill="FFFFFF" w:themeFill="background1"/>
          </w:tcPr>
          <w:p w:rsidR="00615364" w:rsidRPr="008A3F5C" w:rsidRDefault="004B7531" w:rsidP="004B7531">
            <w:pPr>
              <w:autoSpaceDE w:val="0"/>
              <w:autoSpaceDN w:val="0"/>
              <w:adjustRightInd w:val="0"/>
              <w:spacing w:line="240" w:lineRule="auto"/>
              <w:rPr>
                <w:rFonts w:cs="Arial"/>
                <w:lang w:val="en-US"/>
              </w:rPr>
            </w:pPr>
            <w:r>
              <w:rPr>
                <w:rFonts w:cs="Arial"/>
                <w:lang w:val="en-US"/>
              </w:rPr>
              <w:t>Does SARS have plans to implement  inter-agency strategy with FIC to strengthen investi</w:t>
            </w:r>
            <w:r w:rsidR="00D8564A">
              <w:rPr>
                <w:rFonts w:cs="Arial"/>
                <w:lang w:val="en-US"/>
              </w:rPr>
              <w:t>gations into serious tax crimes.</w:t>
            </w:r>
          </w:p>
        </w:tc>
      </w:tr>
      <w:tr w:rsidR="00615364" w:rsidTr="004B0CFA">
        <w:tc>
          <w:tcPr>
            <w:tcW w:w="2781" w:type="dxa"/>
            <w:vMerge w:val="restart"/>
            <w:shd w:val="clear" w:color="auto" w:fill="FFFFFF" w:themeFill="background1"/>
          </w:tcPr>
          <w:p w:rsidR="00615364" w:rsidRDefault="00615364" w:rsidP="00052B47"/>
          <w:p w:rsidR="00615364" w:rsidRDefault="00615364" w:rsidP="00052B47"/>
          <w:p w:rsidR="00615364" w:rsidRDefault="00615364" w:rsidP="00052B47"/>
          <w:p w:rsidR="00615364" w:rsidRPr="00F128E9" w:rsidRDefault="00615364" w:rsidP="00052B47">
            <w:r>
              <w:t>Increased ease and fairness of doing business with SARS</w:t>
            </w:r>
          </w:p>
        </w:tc>
        <w:tc>
          <w:tcPr>
            <w:tcW w:w="4395" w:type="dxa"/>
            <w:shd w:val="clear" w:color="auto" w:fill="FFFFFF" w:themeFill="background1"/>
          </w:tcPr>
          <w:p w:rsidR="00615364" w:rsidRPr="00755E0D" w:rsidRDefault="004B7531" w:rsidP="00755E0D">
            <w:pPr>
              <w:autoSpaceDE w:val="0"/>
              <w:autoSpaceDN w:val="0"/>
              <w:adjustRightInd w:val="0"/>
              <w:spacing w:line="240" w:lineRule="auto"/>
              <w:jc w:val="left"/>
              <w:rPr>
                <w:rFonts w:cs="Arial"/>
                <w:lang w:val="en-US"/>
              </w:rPr>
            </w:pPr>
            <w:r>
              <w:rPr>
                <w:rFonts w:cs="Arial"/>
                <w:lang w:val="en-US"/>
              </w:rPr>
              <w:t>Reduce manual activity for SARs and tax payers through automation and digital migration</w:t>
            </w:r>
          </w:p>
        </w:tc>
        <w:tc>
          <w:tcPr>
            <w:tcW w:w="4110" w:type="dxa"/>
            <w:shd w:val="clear" w:color="auto" w:fill="FFFFFF" w:themeFill="background1"/>
          </w:tcPr>
          <w:p w:rsidR="00615364" w:rsidRPr="00755E0D" w:rsidRDefault="00615364" w:rsidP="00755E0D">
            <w:pPr>
              <w:autoSpaceDE w:val="0"/>
              <w:autoSpaceDN w:val="0"/>
              <w:adjustRightInd w:val="0"/>
              <w:spacing w:line="240" w:lineRule="auto"/>
              <w:jc w:val="center"/>
              <w:rPr>
                <w:rFonts w:cs="Arial"/>
                <w:lang w:val="en-US"/>
              </w:rPr>
            </w:pPr>
          </w:p>
        </w:tc>
      </w:tr>
      <w:tr w:rsidR="00615364" w:rsidTr="004B0CFA">
        <w:tc>
          <w:tcPr>
            <w:tcW w:w="2781" w:type="dxa"/>
            <w:vMerge/>
            <w:shd w:val="clear" w:color="auto" w:fill="FFFFFF" w:themeFill="background1"/>
          </w:tcPr>
          <w:p w:rsidR="00615364" w:rsidRPr="00F128E9" w:rsidRDefault="00615364" w:rsidP="00052B47"/>
        </w:tc>
        <w:tc>
          <w:tcPr>
            <w:tcW w:w="4395" w:type="dxa"/>
            <w:shd w:val="clear" w:color="auto" w:fill="FFFFFF" w:themeFill="background1"/>
          </w:tcPr>
          <w:p w:rsidR="00615364" w:rsidRPr="00755E0D" w:rsidRDefault="00615364" w:rsidP="00755E0D">
            <w:pPr>
              <w:autoSpaceDE w:val="0"/>
              <w:autoSpaceDN w:val="0"/>
              <w:adjustRightInd w:val="0"/>
              <w:spacing w:line="240" w:lineRule="auto"/>
              <w:jc w:val="left"/>
              <w:rPr>
                <w:rFonts w:cs="Arial"/>
                <w:lang w:val="en-US"/>
              </w:rPr>
            </w:pPr>
            <w:r w:rsidRPr="00755E0D">
              <w:rPr>
                <w:rFonts w:cs="Arial"/>
                <w:lang w:val="en-US"/>
              </w:rPr>
              <w:t>Average processing turnaround time for PIT returns (working days)</w:t>
            </w:r>
          </w:p>
        </w:tc>
        <w:tc>
          <w:tcPr>
            <w:tcW w:w="4110" w:type="dxa"/>
            <w:shd w:val="clear" w:color="auto" w:fill="FFFFFF" w:themeFill="background1"/>
          </w:tcPr>
          <w:p w:rsidR="00615364" w:rsidRPr="00755E0D" w:rsidRDefault="00615364" w:rsidP="00755E0D">
            <w:pPr>
              <w:autoSpaceDE w:val="0"/>
              <w:autoSpaceDN w:val="0"/>
              <w:adjustRightInd w:val="0"/>
              <w:spacing w:line="240" w:lineRule="auto"/>
              <w:jc w:val="center"/>
              <w:rPr>
                <w:rFonts w:cs="Arial"/>
                <w:lang w:val="en-US"/>
              </w:rPr>
            </w:pPr>
          </w:p>
        </w:tc>
      </w:tr>
      <w:tr w:rsidR="00615364" w:rsidTr="004B0CFA">
        <w:tc>
          <w:tcPr>
            <w:tcW w:w="2781" w:type="dxa"/>
            <w:vMerge/>
            <w:shd w:val="clear" w:color="auto" w:fill="FFFFFF" w:themeFill="background1"/>
          </w:tcPr>
          <w:p w:rsidR="00615364" w:rsidRPr="00207C85" w:rsidRDefault="00615364" w:rsidP="00F128E9"/>
        </w:tc>
        <w:tc>
          <w:tcPr>
            <w:tcW w:w="4395" w:type="dxa"/>
            <w:shd w:val="clear" w:color="auto" w:fill="FFFFFF" w:themeFill="background1"/>
          </w:tcPr>
          <w:p w:rsidR="00615364" w:rsidRPr="00755E0D" w:rsidRDefault="00615364" w:rsidP="00F128E9">
            <w:pPr>
              <w:autoSpaceDE w:val="0"/>
              <w:autoSpaceDN w:val="0"/>
              <w:adjustRightInd w:val="0"/>
              <w:spacing w:line="240" w:lineRule="auto"/>
              <w:jc w:val="left"/>
              <w:rPr>
                <w:rFonts w:cs="Arial"/>
                <w:lang w:val="en-US"/>
              </w:rPr>
            </w:pPr>
            <w:r w:rsidRPr="00755E0D">
              <w:rPr>
                <w:rFonts w:cs="Arial"/>
                <w:lang w:val="en-US"/>
              </w:rPr>
              <w:t>Average processing turnaround time for CIT returns (working days</w:t>
            </w:r>
          </w:p>
        </w:tc>
        <w:tc>
          <w:tcPr>
            <w:tcW w:w="4110" w:type="dxa"/>
            <w:shd w:val="clear" w:color="auto" w:fill="FFFFFF" w:themeFill="background1"/>
          </w:tcPr>
          <w:p w:rsidR="00615364" w:rsidRPr="00755E0D" w:rsidRDefault="00615364" w:rsidP="00755E0D">
            <w:pPr>
              <w:autoSpaceDE w:val="0"/>
              <w:autoSpaceDN w:val="0"/>
              <w:adjustRightInd w:val="0"/>
              <w:spacing w:line="240" w:lineRule="auto"/>
              <w:jc w:val="center"/>
              <w:rPr>
                <w:rFonts w:cs="Arial"/>
                <w:lang w:val="en-US"/>
              </w:rPr>
            </w:pPr>
          </w:p>
        </w:tc>
      </w:tr>
      <w:tr w:rsidR="00615364" w:rsidTr="004B0CFA">
        <w:tc>
          <w:tcPr>
            <w:tcW w:w="2781" w:type="dxa"/>
            <w:vMerge/>
            <w:shd w:val="clear" w:color="auto" w:fill="FFFFFF" w:themeFill="background1"/>
          </w:tcPr>
          <w:p w:rsidR="00615364" w:rsidRPr="00207C85" w:rsidRDefault="00615364" w:rsidP="00F128E9"/>
        </w:tc>
        <w:tc>
          <w:tcPr>
            <w:tcW w:w="4395" w:type="dxa"/>
            <w:shd w:val="clear" w:color="auto" w:fill="FFFFFF" w:themeFill="background1"/>
          </w:tcPr>
          <w:p w:rsidR="00615364" w:rsidRPr="00755E0D" w:rsidRDefault="00615364" w:rsidP="00BF1F9D">
            <w:pPr>
              <w:autoSpaceDE w:val="0"/>
              <w:autoSpaceDN w:val="0"/>
              <w:adjustRightInd w:val="0"/>
              <w:spacing w:line="240" w:lineRule="auto"/>
              <w:jc w:val="left"/>
              <w:rPr>
                <w:rFonts w:cs="Arial"/>
                <w:lang w:val="en-US"/>
              </w:rPr>
            </w:pPr>
            <w:r w:rsidRPr="00755E0D">
              <w:rPr>
                <w:rFonts w:cs="Arial"/>
                <w:lang w:val="en-US"/>
              </w:rPr>
              <w:t>Average processing turnaround time for VAT refunds (working days</w:t>
            </w:r>
          </w:p>
        </w:tc>
        <w:tc>
          <w:tcPr>
            <w:tcW w:w="4110" w:type="dxa"/>
            <w:shd w:val="clear" w:color="auto" w:fill="FFFFFF" w:themeFill="background1"/>
          </w:tcPr>
          <w:p w:rsidR="00615364" w:rsidRPr="00755E0D" w:rsidRDefault="00615364" w:rsidP="002A1EAB">
            <w:pPr>
              <w:autoSpaceDE w:val="0"/>
              <w:autoSpaceDN w:val="0"/>
              <w:adjustRightInd w:val="0"/>
              <w:spacing w:line="240" w:lineRule="auto"/>
              <w:jc w:val="center"/>
              <w:rPr>
                <w:rFonts w:cs="Arial"/>
                <w:lang w:val="en-US"/>
              </w:rPr>
            </w:pPr>
          </w:p>
        </w:tc>
      </w:tr>
      <w:tr w:rsidR="00E97C09" w:rsidTr="004B0CFA">
        <w:tc>
          <w:tcPr>
            <w:tcW w:w="2781" w:type="dxa"/>
            <w:vMerge w:val="restart"/>
            <w:shd w:val="clear" w:color="auto" w:fill="FFFFFF" w:themeFill="background1"/>
          </w:tcPr>
          <w:p w:rsidR="00E97C09" w:rsidRDefault="00E97C09" w:rsidP="00F128E9">
            <w:r>
              <w:t>Increased cost, effectiveness, internal efficiency and institutional respectability</w:t>
            </w:r>
          </w:p>
        </w:tc>
        <w:tc>
          <w:tcPr>
            <w:tcW w:w="4395" w:type="dxa"/>
            <w:shd w:val="clear" w:color="auto" w:fill="FFFFFF" w:themeFill="background1"/>
          </w:tcPr>
          <w:p w:rsidR="00E97C09" w:rsidRPr="00755E0D" w:rsidRDefault="00E97C09" w:rsidP="00F128E9">
            <w:pPr>
              <w:autoSpaceDE w:val="0"/>
              <w:autoSpaceDN w:val="0"/>
              <w:adjustRightInd w:val="0"/>
              <w:spacing w:line="240" w:lineRule="auto"/>
              <w:jc w:val="left"/>
              <w:rPr>
                <w:rFonts w:cs="Arial"/>
                <w:lang w:val="en-US"/>
              </w:rPr>
            </w:pPr>
            <w:r>
              <w:rPr>
                <w:rFonts w:cs="Arial"/>
                <w:lang w:val="en-US"/>
              </w:rPr>
              <w:t>Improve information communications technology capacity</w:t>
            </w:r>
          </w:p>
        </w:tc>
        <w:tc>
          <w:tcPr>
            <w:tcW w:w="4110" w:type="dxa"/>
            <w:vMerge w:val="restart"/>
            <w:shd w:val="clear" w:color="auto" w:fill="FFFFFF" w:themeFill="background1"/>
          </w:tcPr>
          <w:p w:rsidR="00E97C09" w:rsidRPr="00E97C09" w:rsidRDefault="00E97C09" w:rsidP="00E97C09">
            <w:pPr>
              <w:autoSpaceDE w:val="0"/>
              <w:autoSpaceDN w:val="0"/>
              <w:adjustRightInd w:val="0"/>
              <w:spacing w:line="240" w:lineRule="auto"/>
              <w:jc w:val="left"/>
              <w:rPr>
                <w:rFonts w:cs="Arial"/>
                <w:lang w:val="en-US"/>
              </w:rPr>
            </w:pPr>
            <w:r w:rsidRPr="00E97C09">
              <w:rPr>
                <w:rFonts w:cs="Arial"/>
                <w:lang w:val="en-US"/>
              </w:rPr>
              <w:t xml:space="preserve">Can SARS quantify the actual value of 5% reduction in real estate? </w:t>
            </w:r>
          </w:p>
          <w:p w:rsidR="00E97C09" w:rsidRPr="00755E0D" w:rsidRDefault="00E97C09" w:rsidP="00E97C09">
            <w:pPr>
              <w:autoSpaceDE w:val="0"/>
              <w:autoSpaceDN w:val="0"/>
              <w:adjustRightInd w:val="0"/>
              <w:spacing w:line="240" w:lineRule="auto"/>
              <w:jc w:val="left"/>
              <w:rPr>
                <w:rFonts w:cs="Arial"/>
                <w:lang w:val="en-US"/>
              </w:rPr>
            </w:pPr>
            <w:r w:rsidRPr="00E97C09">
              <w:rPr>
                <w:rFonts w:cs="Arial"/>
                <w:lang w:val="en-US"/>
              </w:rPr>
              <w:t>It was reported that SARS moved its offices to an upmarket area in George, how does this property acquisition align with this new rental estate strategy?</w:t>
            </w:r>
          </w:p>
        </w:tc>
      </w:tr>
      <w:tr w:rsidR="00E97C09" w:rsidTr="004B0CFA">
        <w:tc>
          <w:tcPr>
            <w:tcW w:w="2781" w:type="dxa"/>
            <w:vMerge/>
            <w:shd w:val="clear" w:color="auto" w:fill="FFFFFF" w:themeFill="background1"/>
          </w:tcPr>
          <w:p w:rsidR="00E97C09" w:rsidRDefault="00E97C09" w:rsidP="00F128E9"/>
        </w:tc>
        <w:tc>
          <w:tcPr>
            <w:tcW w:w="4395" w:type="dxa"/>
            <w:shd w:val="clear" w:color="auto" w:fill="FFFFFF" w:themeFill="background1"/>
          </w:tcPr>
          <w:p w:rsidR="00E97C09" w:rsidRDefault="00E97C09" w:rsidP="00E97C09">
            <w:pPr>
              <w:autoSpaceDE w:val="0"/>
              <w:autoSpaceDN w:val="0"/>
              <w:adjustRightInd w:val="0"/>
              <w:spacing w:line="240" w:lineRule="auto"/>
              <w:jc w:val="left"/>
              <w:rPr>
                <w:rFonts w:cs="Arial"/>
                <w:lang w:val="en-US"/>
              </w:rPr>
            </w:pPr>
            <w:r>
              <w:rPr>
                <w:rFonts w:cs="Arial"/>
                <w:lang w:val="en-US"/>
              </w:rPr>
              <w:t>Practice prudent financial management and discipline to ensure SARS operates within the budget allocation and to increase efficiency</w:t>
            </w:r>
          </w:p>
        </w:tc>
        <w:tc>
          <w:tcPr>
            <w:tcW w:w="4110" w:type="dxa"/>
            <w:vMerge/>
            <w:shd w:val="clear" w:color="auto" w:fill="FFFFFF" w:themeFill="background1"/>
          </w:tcPr>
          <w:p w:rsidR="00E97C09" w:rsidRPr="00755E0D" w:rsidRDefault="00E97C09" w:rsidP="00E97C09">
            <w:pPr>
              <w:autoSpaceDE w:val="0"/>
              <w:autoSpaceDN w:val="0"/>
              <w:adjustRightInd w:val="0"/>
              <w:spacing w:line="240" w:lineRule="auto"/>
              <w:jc w:val="left"/>
              <w:rPr>
                <w:rFonts w:cs="Arial"/>
                <w:lang w:val="en-US"/>
              </w:rPr>
            </w:pPr>
          </w:p>
        </w:tc>
      </w:tr>
      <w:tr w:rsidR="00E97C09" w:rsidTr="004B0CFA">
        <w:tc>
          <w:tcPr>
            <w:tcW w:w="2781" w:type="dxa"/>
            <w:vMerge/>
            <w:shd w:val="clear" w:color="auto" w:fill="FFFFFF" w:themeFill="background1"/>
          </w:tcPr>
          <w:p w:rsidR="00E97C09" w:rsidRDefault="00E97C09" w:rsidP="00F128E9"/>
        </w:tc>
        <w:tc>
          <w:tcPr>
            <w:tcW w:w="4395" w:type="dxa"/>
            <w:shd w:val="clear" w:color="auto" w:fill="FFFFFF" w:themeFill="background1"/>
          </w:tcPr>
          <w:p w:rsidR="00E97C09" w:rsidRDefault="00E97C09" w:rsidP="00F128E9">
            <w:pPr>
              <w:autoSpaceDE w:val="0"/>
              <w:autoSpaceDN w:val="0"/>
              <w:adjustRightInd w:val="0"/>
              <w:spacing w:line="240" w:lineRule="auto"/>
              <w:jc w:val="left"/>
              <w:rPr>
                <w:rFonts w:cs="Arial"/>
                <w:lang w:val="en-US"/>
              </w:rPr>
            </w:pPr>
            <w:r>
              <w:rPr>
                <w:rFonts w:cs="Arial"/>
                <w:lang w:val="en-US"/>
              </w:rPr>
              <w:t>Identify and recruit highly skilled people</w:t>
            </w:r>
          </w:p>
        </w:tc>
        <w:tc>
          <w:tcPr>
            <w:tcW w:w="4110" w:type="dxa"/>
            <w:vMerge/>
            <w:shd w:val="clear" w:color="auto" w:fill="FFFFFF" w:themeFill="background1"/>
          </w:tcPr>
          <w:p w:rsidR="00E97C09" w:rsidRPr="00755E0D" w:rsidRDefault="00E97C09" w:rsidP="002A1EAB">
            <w:pPr>
              <w:autoSpaceDE w:val="0"/>
              <w:autoSpaceDN w:val="0"/>
              <w:adjustRightInd w:val="0"/>
              <w:spacing w:line="240" w:lineRule="auto"/>
              <w:jc w:val="center"/>
              <w:rPr>
                <w:rFonts w:cs="Arial"/>
                <w:lang w:val="en-US"/>
              </w:rPr>
            </w:pPr>
          </w:p>
        </w:tc>
      </w:tr>
      <w:tr w:rsidR="00E97C09" w:rsidTr="004B0CFA">
        <w:tc>
          <w:tcPr>
            <w:tcW w:w="2781" w:type="dxa"/>
            <w:vMerge/>
            <w:shd w:val="clear" w:color="auto" w:fill="FFFFFF" w:themeFill="background1"/>
          </w:tcPr>
          <w:p w:rsidR="00E97C09" w:rsidRDefault="00E97C09" w:rsidP="00F128E9"/>
        </w:tc>
        <w:tc>
          <w:tcPr>
            <w:tcW w:w="4395" w:type="dxa"/>
            <w:shd w:val="clear" w:color="auto" w:fill="FFFFFF" w:themeFill="background1"/>
          </w:tcPr>
          <w:p w:rsidR="00E97C09" w:rsidRDefault="00E97C09" w:rsidP="00F128E9">
            <w:pPr>
              <w:autoSpaceDE w:val="0"/>
              <w:autoSpaceDN w:val="0"/>
              <w:adjustRightInd w:val="0"/>
              <w:spacing w:line="240" w:lineRule="auto"/>
              <w:jc w:val="left"/>
              <w:rPr>
                <w:rFonts w:cs="Arial"/>
                <w:lang w:val="en-US"/>
              </w:rPr>
            </w:pPr>
            <w:r>
              <w:rPr>
                <w:rFonts w:cs="Arial"/>
                <w:lang w:val="en-US"/>
              </w:rPr>
              <w:t>Governance frameworks and processes</w:t>
            </w:r>
          </w:p>
        </w:tc>
        <w:tc>
          <w:tcPr>
            <w:tcW w:w="4110" w:type="dxa"/>
            <w:vMerge/>
            <w:shd w:val="clear" w:color="auto" w:fill="FFFFFF" w:themeFill="background1"/>
          </w:tcPr>
          <w:p w:rsidR="00E97C09" w:rsidRPr="00755E0D" w:rsidRDefault="00E97C09" w:rsidP="002A1EAB">
            <w:pPr>
              <w:autoSpaceDE w:val="0"/>
              <w:autoSpaceDN w:val="0"/>
              <w:adjustRightInd w:val="0"/>
              <w:spacing w:line="240" w:lineRule="auto"/>
              <w:jc w:val="center"/>
              <w:rPr>
                <w:rFonts w:cs="Arial"/>
                <w:lang w:val="en-US"/>
              </w:rPr>
            </w:pPr>
          </w:p>
        </w:tc>
      </w:tr>
      <w:tr w:rsidR="00A41BA9" w:rsidTr="004B0CFA">
        <w:tc>
          <w:tcPr>
            <w:tcW w:w="2781" w:type="dxa"/>
            <w:vMerge w:val="restart"/>
            <w:shd w:val="clear" w:color="auto" w:fill="FFFFFF" w:themeFill="background1"/>
          </w:tcPr>
          <w:p w:rsidR="00A41BA9" w:rsidRDefault="00A41BA9" w:rsidP="00F128E9">
            <w:r>
              <w:t xml:space="preserve">Increased public trust </w:t>
            </w:r>
          </w:p>
        </w:tc>
        <w:tc>
          <w:tcPr>
            <w:tcW w:w="4395" w:type="dxa"/>
            <w:shd w:val="clear" w:color="auto" w:fill="FFFFFF" w:themeFill="background1"/>
          </w:tcPr>
          <w:p w:rsidR="00A41BA9" w:rsidRDefault="00A41BA9" w:rsidP="00F128E9">
            <w:pPr>
              <w:autoSpaceDE w:val="0"/>
              <w:autoSpaceDN w:val="0"/>
              <w:adjustRightInd w:val="0"/>
              <w:spacing w:line="240" w:lineRule="auto"/>
              <w:jc w:val="left"/>
              <w:rPr>
                <w:rFonts w:cs="Arial"/>
                <w:lang w:val="en-US"/>
              </w:rPr>
            </w:pPr>
            <w:r>
              <w:rPr>
                <w:rFonts w:cs="Arial"/>
                <w:lang w:val="en-US"/>
              </w:rPr>
              <w:t xml:space="preserve">Trust and credibility to sustain tax compliance </w:t>
            </w:r>
          </w:p>
        </w:tc>
        <w:tc>
          <w:tcPr>
            <w:tcW w:w="4110" w:type="dxa"/>
            <w:vMerge w:val="restart"/>
            <w:shd w:val="clear" w:color="auto" w:fill="FFFFFF" w:themeFill="background1"/>
          </w:tcPr>
          <w:p w:rsidR="00A41BA9" w:rsidRDefault="00A41BA9" w:rsidP="00A41BA9">
            <w:pPr>
              <w:autoSpaceDE w:val="0"/>
              <w:autoSpaceDN w:val="0"/>
              <w:adjustRightInd w:val="0"/>
              <w:spacing w:line="240" w:lineRule="auto"/>
              <w:jc w:val="left"/>
              <w:rPr>
                <w:rFonts w:cs="Arial"/>
                <w:lang w:val="en-US"/>
              </w:rPr>
            </w:pPr>
            <w:r>
              <w:rPr>
                <w:rFonts w:cs="Arial"/>
                <w:lang w:val="en-US"/>
              </w:rPr>
              <w:t>Given the zero tolerance to fraud and corruption,</w:t>
            </w:r>
            <w:r w:rsidR="00E97C09">
              <w:rPr>
                <w:rFonts w:cs="Arial"/>
                <w:lang w:val="en-US"/>
              </w:rPr>
              <w:t xml:space="preserve"> </w:t>
            </w:r>
            <w:r>
              <w:rPr>
                <w:rFonts w:cs="Arial"/>
                <w:lang w:val="en-US"/>
              </w:rPr>
              <w:t>how many staff members have been suspended, convicted and dismissed from reported incidents of fraud in the last year?</w:t>
            </w:r>
          </w:p>
          <w:p w:rsidR="00A41BA9" w:rsidRPr="00755E0D" w:rsidRDefault="00A41BA9" w:rsidP="002A1EAB">
            <w:pPr>
              <w:autoSpaceDE w:val="0"/>
              <w:autoSpaceDN w:val="0"/>
              <w:adjustRightInd w:val="0"/>
              <w:spacing w:line="240" w:lineRule="auto"/>
              <w:jc w:val="center"/>
              <w:rPr>
                <w:rFonts w:cs="Arial"/>
                <w:lang w:val="en-US"/>
              </w:rPr>
            </w:pPr>
          </w:p>
        </w:tc>
      </w:tr>
      <w:tr w:rsidR="00A41BA9" w:rsidTr="004B0CFA">
        <w:tc>
          <w:tcPr>
            <w:tcW w:w="2781" w:type="dxa"/>
            <w:vMerge/>
            <w:shd w:val="clear" w:color="auto" w:fill="FFFFFF" w:themeFill="background1"/>
          </w:tcPr>
          <w:p w:rsidR="00A41BA9" w:rsidRDefault="00A41BA9" w:rsidP="00F128E9"/>
        </w:tc>
        <w:tc>
          <w:tcPr>
            <w:tcW w:w="4395" w:type="dxa"/>
            <w:shd w:val="clear" w:color="auto" w:fill="FFFFFF" w:themeFill="background1"/>
          </w:tcPr>
          <w:p w:rsidR="00A41BA9" w:rsidRDefault="00A41BA9" w:rsidP="00F128E9">
            <w:pPr>
              <w:autoSpaceDE w:val="0"/>
              <w:autoSpaceDN w:val="0"/>
              <w:adjustRightInd w:val="0"/>
              <w:spacing w:line="240" w:lineRule="auto"/>
              <w:jc w:val="left"/>
              <w:rPr>
                <w:rFonts w:cs="Arial"/>
                <w:lang w:val="en-US"/>
              </w:rPr>
            </w:pPr>
            <w:r>
              <w:rPr>
                <w:rFonts w:cs="Arial"/>
                <w:lang w:val="en-US"/>
              </w:rPr>
              <w:t xml:space="preserve">Adopt zero tolerance approach to fight fraud and corruption </w:t>
            </w:r>
          </w:p>
        </w:tc>
        <w:tc>
          <w:tcPr>
            <w:tcW w:w="4110" w:type="dxa"/>
            <w:vMerge/>
            <w:shd w:val="clear" w:color="auto" w:fill="FFFFFF" w:themeFill="background1"/>
          </w:tcPr>
          <w:p w:rsidR="00A41BA9" w:rsidRPr="00755E0D" w:rsidRDefault="00A41BA9" w:rsidP="002A1EAB">
            <w:pPr>
              <w:autoSpaceDE w:val="0"/>
              <w:autoSpaceDN w:val="0"/>
              <w:adjustRightInd w:val="0"/>
              <w:spacing w:line="240" w:lineRule="auto"/>
              <w:jc w:val="center"/>
              <w:rPr>
                <w:rFonts w:cs="Arial"/>
                <w:lang w:val="en-US"/>
              </w:rPr>
            </w:pPr>
          </w:p>
        </w:tc>
      </w:tr>
    </w:tbl>
    <w:p w:rsidR="00116945" w:rsidRDefault="00116945" w:rsidP="00052B47">
      <w:pPr>
        <w:rPr>
          <w:rFonts w:cs="Arial"/>
          <w:b/>
          <w:bCs/>
        </w:rPr>
      </w:pPr>
    </w:p>
    <w:p w:rsidR="004D4B9B" w:rsidRDefault="004D4B9B" w:rsidP="00052B47">
      <w:pPr>
        <w:rPr>
          <w:rFonts w:cs="Arial"/>
          <w:b/>
          <w:bCs/>
        </w:rPr>
      </w:pPr>
    </w:p>
    <w:p w:rsidR="00052B47" w:rsidRPr="00E22056" w:rsidRDefault="00052B47" w:rsidP="00052B47">
      <w:pPr>
        <w:pStyle w:val="Heading1"/>
        <w:numPr>
          <w:ilvl w:val="0"/>
          <w:numId w:val="6"/>
        </w:numPr>
      </w:pPr>
      <w:bookmarkStart w:id="6" w:name="_Toc482031347"/>
      <w:r w:rsidRPr="00E22056">
        <w:t>References</w:t>
      </w:r>
      <w:bookmarkEnd w:id="6"/>
      <w:r w:rsidRPr="00E22056">
        <w:t xml:space="preserve"> </w:t>
      </w:r>
    </w:p>
    <w:p w:rsidR="00052B47" w:rsidRDefault="00052B47" w:rsidP="009E0C94"/>
    <w:p w:rsidR="0021168A" w:rsidRPr="004150B2" w:rsidRDefault="0021168A" w:rsidP="0021168A">
      <w:pPr>
        <w:rPr>
          <w:rFonts w:cs="Arial"/>
        </w:rPr>
      </w:pPr>
      <w:r w:rsidRPr="004150B2">
        <w:rPr>
          <w:rFonts w:cs="Arial"/>
        </w:rPr>
        <w:t>South Africa</w:t>
      </w:r>
      <w:r>
        <w:rPr>
          <w:rFonts w:cs="Arial"/>
        </w:rPr>
        <w:t>n Revenue Services (SARSa) (201</w:t>
      </w:r>
      <w:r w:rsidR="00FC6BCF">
        <w:rPr>
          <w:rFonts w:cs="Arial"/>
        </w:rPr>
        <w:t>6</w:t>
      </w:r>
      <w:r w:rsidRPr="004150B2">
        <w:rPr>
          <w:rFonts w:cs="Arial"/>
        </w:rPr>
        <w:t>) Strategic Plan 2015/16 – 2019/20</w:t>
      </w:r>
    </w:p>
    <w:p w:rsidR="0021168A" w:rsidRPr="004150B2" w:rsidRDefault="0021168A" w:rsidP="0021168A">
      <w:pPr>
        <w:rPr>
          <w:rFonts w:cs="Arial"/>
        </w:rPr>
      </w:pPr>
    </w:p>
    <w:p w:rsidR="0021168A" w:rsidRPr="004150B2" w:rsidRDefault="0021168A" w:rsidP="0021168A">
      <w:pPr>
        <w:rPr>
          <w:rFonts w:cs="Arial"/>
        </w:rPr>
      </w:pPr>
      <w:r w:rsidRPr="004150B2">
        <w:rPr>
          <w:rFonts w:cs="Arial"/>
        </w:rPr>
        <w:t>South Africa</w:t>
      </w:r>
      <w:r>
        <w:rPr>
          <w:rFonts w:cs="Arial"/>
        </w:rPr>
        <w:t>n Revenue Services (SARSb) (201</w:t>
      </w:r>
      <w:r w:rsidR="00FC6BCF">
        <w:rPr>
          <w:rFonts w:cs="Arial"/>
        </w:rPr>
        <w:t>7</w:t>
      </w:r>
      <w:r w:rsidRPr="004150B2">
        <w:rPr>
          <w:rFonts w:cs="Arial"/>
        </w:rPr>
        <w:t>) Annual Performance Plan 201</w:t>
      </w:r>
      <w:r w:rsidR="00FC6BCF">
        <w:rPr>
          <w:rFonts w:cs="Arial"/>
        </w:rPr>
        <w:t>7/18</w:t>
      </w:r>
    </w:p>
    <w:p w:rsidR="0021168A" w:rsidRPr="004150B2" w:rsidRDefault="0021168A" w:rsidP="0021168A">
      <w:pPr>
        <w:rPr>
          <w:rFonts w:cs="Arial"/>
        </w:rPr>
      </w:pPr>
    </w:p>
    <w:p w:rsidR="005E068D" w:rsidRPr="00893EE9" w:rsidRDefault="005E068D" w:rsidP="00893EE9">
      <w:pPr>
        <w:rPr>
          <w:rFonts w:cs="Arial"/>
        </w:rPr>
      </w:pPr>
    </w:p>
    <w:sectPr w:rsidR="005E068D" w:rsidRPr="00893EE9" w:rsidSect="008E7686">
      <w:pgSz w:w="11906" w:h="16838"/>
      <w:pgMar w:top="2002"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18" w:rsidRDefault="00F32D18" w:rsidP="00BE1544">
      <w:pPr>
        <w:spacing w:line="240" w:lineRule="auto"/>
      </w:pPr>
      <w:r>
        <w:separator/>
      </w:r>
    </w:p>
  </w:endnote>
  <w:endnote w:type="continuationSeparator" w:id="0">
    <w:p w:rsidR="00F32D18" w:rsidRDefault="00F32D18"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983867"/>
      <w:docPartObj>
        <w:docPartGallery w:val="Page Numbers (Bottom of Page)"/>
        <w:docPartUnique/>
      </w:docPartObj>
    </w:sdtPr>
    <w:sdtContent>
      <w:sdt>
        <w:sdtPr>
          <w:id w:val="-1391111889"/>
          <w:docPartObj>
            <w:docPartGallery w:val="Page Numbers (Top of Page)"/>
            <w:docPartUnique/>
          </w:docPartObj>
        </w:sdtPr>
        <w:sdtContent>
          <w:p w:rsidR="00FF5B95" w:rsidRDefault="00AF01B7" w:rsidP="00BE1544">
            <w:pPr>
              <w:pStyle w:val="Footer"/>
            </w:pPr>
            <w:r w:rsidRPr="00AF01B7">
              <w:rPr>
                <w:rFonts w:cs="Arial"/>
                <w:b/>
                <w:noProof/>
                <w:sz w:val="16"/>
                <w:szCs w:val="16"/>
                <w:lang w:eastAsia="en-ZA"/>
              </w:rPr>
              <w:pict>
                <v:line id="Straight Connector 12" o:spid="_x0000_s4098"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90.5pt" to="447.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" strokecolor="#70ad47 [3209]" strokeweight=".5pt">
                  <v:stroke joinstyle="miter"/>
                  <w10:wrap anchorx="margin" anchory="page"/>
                </v:line>
              </w:pict>
            </w:r>
            <w:r w:rsidR="00FF5B95" w:rsidRPr="00BE1544">
              <w:rPr>
                <w:rFonts w:cs="Arial"/>
                <w:b/>
                <w:sz w:val="16"/>
                <w:szCs w:val="16"/>
              </w:rPr>
              <w:t>Re</w:t>
            </w:r>
            <w:r w:rsidR="00FF5B95">
              <w:rPr>
                <w:rFonts w:cs="Arial"/>
                <w:b/>
                <w:sz w:val="16"/>
                <w:szCs w:val="16"/>
              </w:rPr>
              <w:t>search Unit</w:t>
            </w:r>
            <w:r w:rsidR="00FF5B95" w:rsidRPr="00BE1544">
              <w:rPr>
                <w:rFonts w:cs="Arial"/>
                <w:b/>
                <w:sz w:val="16"/>
                <w:szCs w:val="16"/>
              </w:rPr>
              <w:t>|</w:t>
            </w:r>
            <w:r w:rsidR="00FF5B95" w:rsidRPr="00BE1544">
              <w:rPr>
                <w:rFonts w:cs="Arial"/>
                <w:sz w:val="16"/>
                <w:szCs w:val="16"/>
              </w:rPr>
              <w:t xml:space="preserve"> </w:t>
            </w:r>
            <w:r w:rsidR="00615364">
              <w:rPr>
                <w:rFonts w:cs="Arial"/>
                <w:sz w:val="16"/>
                <w:szCs w:val="16"/>
              </w:rPr>
              <w:t>Annual Performance Plan</w:t>
            </w:r>
            <w:r w:rsidR="00FF5B95">
              <w:rPr>
                <w:rFonts w:cs="Arial"/>
                <w:sz w:val="16"/>
                <w:szCs w:val="16"/>
              </w:rPr>
              <w:t xml:space="preserve">                                                                                                      </w:t>
            </w:r>
            <w:r w:rsidR="00FF5B95" w:rsidRPr="00BE1544">
              <w:rPr>
                <w:rFonts w:cs="Arial"/>
                <w:sz w:val="16"/>
                <w:szCs w:val="16"/>
              </w:rPr>
              <w:t xml:space="preserve">                          Page </w:t>
            </w:r>
            <w:r w:rsidRPr="00BE1544">
              <w:rPr>
                <w:rFonts w:cs="Arial"/>
                <w:bCs/>
                <w:sz w:val="16"/>
                <w:szCs w:val="16"/>
              </w:rPr>
              <w:fldChar w:fldCharType="begin"/>
            </w:r>
            <w:r w:rsidR="00FF5B95" w:rsidRPr="00BE1544">
              <w:rPr>
                <w:rFonts w:cs="Arial"/>
                <w:bCs/>
                <w:sz w:val="16"/>
                <w:szCs w:val="16"/>
              </w:rPr>
              <w:instrText xml:space="preserve"> PAGE </w:instrText>
            </w:r>
            <w:r w:rsidRPr="00BE1544">
              <w:rPr>
                <w:rFonts w:cs="Arial"/>
                <w:bCs/>
                <w:sz w:val="16"/>
                <w:szCs w:val="16"/>
              </w:rPr>
              <w:fldChar w:fldCharType="separate"/>
            </w:r>
            <w:r w:rsidR="00B85462">
              <w:rPr>
                <w:rFonts w:cs="Arial"/>
                <w:bCs/>
                <w:noProof/>
                <w:sz w:val="16"/>
                <w:szCs w:val="16"/>
              </w:rPr>
              <w:t>4</w:t>
            </w:r>
            <w:r w:rsidRPr="00BE1544">
              <w:rPr>
                <w:rFonts w:cs="Arial"/>
                <w:bCs/>
                <w:sz w:val="16"/>
                <w:szCs w:val="16"/>
              </w:rPr>
              <w:fldChar w:fldCharType="end"/>
            </w:r>
            <w:r w:rsidR="00FF5B95" w:rsidRPr="00BE1544">
              <w:rPr>
                <w:rFonts w:cs="Arial"/>
                <w:sz w:val="16"/>
                <w:szCs w:val="16"/>
              </w:rPr>
              <w:t xml:space="preserve"> of </w:t>
            </w:r>
            <w:r w:rsidRPr="00BE1544">
              <w:rPr>
                <w:rFonts w:cs="Arial"/>
                <w:bCs/>
                <w:sz w:val="16"/>
                <w:szCs w:val="16"/>
              </w:rPr>
              <w:fldChar w:fldCharType="begin"/>
            </w:r>
            <w:r w:rsidR="00FF5B95" w:rsidRPr="00BE1544">
              <w:rPr>
                <w:rFonts w:cs="Arial"/>
                <w:bCs/>
                <w:sz w:val="16"/>
                <w:szCs w:val="16"/>
              </w:rPr>
              <w:instrText xml:space="preserve"> NUMPAGES  </w:instrText>
            </w:r>
            <w:r w:rsidRPr="00BE1544">
              <w:rPr>
                <w:rFonts w:cs="Arial"/>
                <w:bCs/>
                <w:sz w:val="16"/>
                <w:szCs w:val="16"/>
              </w:rPr>
              <w:fldChar w:fldCharType="separate"/>
            </w:r>
            <w:r w:rsidR="00B85462">
              <w:rPr>
                <w:rFonts w:cs="Arial"/>
                <w:bCs/>
                <w:noProof/>
                <w:sz w:val="16"/>
                <w:szCs w:val="16"/>
              </w:rPr>
              <w:t>4</w:t>
            </w:r>
            <w:r w:rsidRPr="00BE1544">
              <w:rPr>
                <w:rFonts w:cs="Arial"/>
                <w:bCs/>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95" w:rsidRPr="00BE1544" w:rsidRDefault="00AF01B7">
    <w:pPr>
      <w:pStyle w:val="Footer"/>
      <w:rPr>
        <w:rFonts w:cs="Arial"/>
        <w:sz w:val="16"/>
        <w:szCs w:val="16"/>
      </w:rPr>
    </w:pPr>
    <w:r w:rsidRPr="00AF01B7">
      <w:rPr>
        <w:rFonts w:cs="Arial"/>
        <w:b/>
        <w:noProof/>
        <w:sz w:val="16"/>
        <w:szCs w:val="16"/>
        <w:lang w:eastAsia="en-ZA"/>
      </w:rPr>
      <w:pict>
        <v:line id="Straight Connector 9" o:spid="_x0000_s409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3pt,790pt" to="448.3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" strokecolor="#70ad47 [3209]" strokeweight=".5pt">
          <v:stroke joinstyle="miter"/>
          <w10:wrap anchorx="margin" anchory="page"/>
        </v:line>
      </w:pict>
    </w:r>
    <w:r w:rsidR="00FF5B95">
      <w:rPr>
        <w:rFonts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18" w:rsidRDefault="00F32D18" w:rsidP="00BE1544">
      <w:pPr>
        <w:spacing w:line="240" w:lineRule="auto"/>
      </w:pPr>
      <w:r>
        <w:separator/>
      </w:r>
    </w:p>
  </w:footnote>
  <w:footnote w:type="continuationSeparator" w:id="0">
    <w:p w:rsidR="00F32D18" w:rsidRDefault="00F32D18" w:rsidP="00BE1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95" w:rsidRDefault="00FF5B95">
    <w:pPr>
      <w:pStyle w:val="Header"/>
    </w:pPr>
    <w:r>
      <w:rPr>
        <w:noProof/>
        <w:lang w:eastAsia="en-ZA"/>
      </w:rPr>
      <w:drawing>
        <wp:anchor distT="0" distB="0" distL="114300" distR="114300" simplePos="0" relativeHeight="251659264" behindDoc="0" locked="0" layoutInCell="1" allowOverlap="1">
          <wp:simplePos x="0" y="0"/>
          <wp:positionH relativeFrom="margin">
            <wp:posOffset>4931410</wp:posOffset>
          </wp:positionH>
          <wp:positionV relativeFrom="page">
            <wp:posOffset>344643</wp:posOffset>
          </wp:positionV>
          <wp:extent cx="800100" cy="82423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p>
  <w:p w:rsidR="00FF5B95" w:rsidRDefault="00FF5B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95" w:rsidRDefault="00FF5B95">
    <w:pPr>
      <w:pStyle w:val="Header"/>
    </w:pPr>
    <w:r>
      <w:rPr>
        <w:noProof/>
        <w:lang w:eastAsia="en-ZA"/>
      </w:rPr>
      <w:drawing>
        <wp:anchor distT="0" distB="0" distL="114300" distR="114300" simplePos="0" relativeHeight="251658240" behindDoc="0" locked="0" layoutInCell="1" allowOverlap="1">
          <wp:simplePos x="0" y="0"/>
          <wp:positionH relativeFrom="margin">
            <wp:posOffset>-82388</wp:posOffset>
          </wp:positionH>
          <wp:positionV relativeFrom="page">
            <wp:posOffset>411480</wp:posOffset>
          </wp:positionV>
          <wp:extent cx="2543810" cy="824230"/>
          <wp:effectExtent l="0" t="0" r="889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Pr>
        <w:noProof/>
        <w:lang w:eastAsia="en-ZA"/>
      </w:rPr>
      <w:drawing>
        <wp:anchor distT="0" distB="0" distL="114300" distR="114300" simplePos="0" relativeHeight="251660288" behindDoc="1" locked="0" layoutInCell="1" allowOverlap="1">
          <wp:simplePos x="0" y="0"/>
          <wp:positionH relativeFrom="margin">
            <wp:posOffset>3557743</wp:posOffset>
          </wp:positionH>
          <wp:positionV relativeFrom="page">
            <wp:posOffset>560070</wp:posOffset>
          </wp:positionV>
          <wp:extent cx="2279650" cy="611505"/>
          <wp:effectExtent l="0" t="0" r="6350" b="0"/>
          <wp:wrapSquare wrapText="bothSides"/>
          <wp:docPr id="3" name="Picture 3"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UNIT-RGB-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438"/>
    <w:multiLevelType w:val="multilevel"/>
    <w:tmpl w:val="BEEAB3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866B2"/>
    <w:multiLevelType w:val="hybridMultilevel"/>
    <w:tmpl w:val="5E2E8B6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7C12D26"/>
    <w:multiLevelType w:val="multilevel"/>
    <w:tmpl w:val="8264BE9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440" w:hanging="144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800" w:hanging="180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3">
    <w:nsid w:val="17DD386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7F5AEC"/>
    <w:multiLevelType w:val="hybridMultilevel"/>
    <w:tmpl w:val="05E2FC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FE69EE"/>
    <w:multiLevelType w:val="hybridMultilevel"/>
    <w:tmpl w:val="281055DE"/>
    <w:lvl w:ilvl="0" w:tplc="98821830">
      <w:start w:val="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0AC6500"/>
    <w:multiLevelType w:val="hybridMultilevel"/>
    <w:tmpl w:val="C78A8DAC"/>
    <w:lvl w:ilvl="0" w:tplc="AC6C487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A323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C717B1"/>
    <w:multiLevelType w:val="hybridMultilevel"/>
    <w:tmpl w:val="A1582E4E"/>
    <w:lvl w:ilvl="0" w:tplc="98821830">
      <w:start w:val="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C350E07"/>
    <w:multiLevelType w:val="hybridMultilevel"/>
    <w:tmpl w:val="A0E6260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FC3644F"/>
    <w:multiLevelType w:val="hybridMultilevel"/>
    <w:tmpl w:val="8F6A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721B8"/>
    <w:multiLevelType w:val="hybridMultilevel"/>
    <w:tmpl w:val="784A20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6A578EE"/>
    <w:multiLevelType w:val="hybridMultilevel"/>
    <w:tmpl w:val="55DC42C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A52829"/>
    <w:multiLevelType w:val="multilevel"/>
    <w:tmpl w:val="A2E83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2DD2570"/>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nsid w:val="5C76624A"/>
    <w:multiLevelType w:val="hybridMultilevel"/>
    <w:tmpl w:val="AB9888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D97F37"/>
    <w:multiLevelType w:val="hybridMultilevel"/>
    <w:tmpl w:val="5EBE1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2A81F49"/>
    <w:multiLevelType w:val="hybridMultilevel"/>
    <w:tmpl w:val="CC3214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9B33D27"/>
    <w:multiLevelType w:val="hybridMultilevel"/>
    <w:tmpl w:val="A8181C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3875FE"/>
    <w:multiLevelType w:val="multilevel"/>
    <w:tmpl w:val="1C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365D55"/>
    <w:multiLevelType w:val="hybridMultilevel"/>
    <w:tmpl w:val="9B9C20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8112BC"/>
    <w:multiLevelType w:val="hybridMultilevel"/>
    <w:tmpl w:val="E910AC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F2F38E3"/>
    <w:multiLevelType w:val="hybridMultilevel"/>
    <w:tmpl w:val="9C421B3A"/>
    <w:lvl w:ilvl="0" w:tplc="1DCA2220">
      <w:start w:val="13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C0AB4"/>
    <w:multiLevelType w:val="hybridMultilevel"/>
    <w:tmpl w:val="BCBAB69E"/>
    <w:lvl w:ilvl="0" w:tplc="98821830">
      <w:start w:val="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3A37F1C"/>
    <w:multiLevelType w:val="hybridMultilevel"/>
    <w:tmpl w:val="72663C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7A3D5A18"/>
    <w:multiLevelType w:val="hybridMultilevel"/>
    <w:tmpl w:val="1E40F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5"/>
  </w:num>
  <w:num w:numId="4">
    <w:abstractNumId w:val="18"/>
  </w:num>
  <w:num w:numId="5">
    <w:abstractNumId w:val="11"/>
  </w:num>
  <w:num w:numId="6">
    <w:abstractNumId w:val="20"/>
  </w:num>
  <w:num w:numId="7">
    <w:abstractNumId w:val="13"/>
  </w:num>
  <w:num w:numId="8">
    <w:abstractNumId w:val="7"/>
  </w:num>
  <w:num w:numId="9">
    <w:abstractNumId w:val="1"/>
  </w:num>
  <w:num w:numId="10">
    <w:abstractNumId w:val="16"/>
  </w:num>
  <w:num w:numId="11">
    <w:abstractNumId w:val="4"/>
  </w:num>
  <w:num w:numId="12">
    <w:abstractNumId w:val="17"/>
  </w:num>
  <w:num w:numId="13">
    <w:abstractNumId w:val="26"/>
  </w:num>
  <w:num w:numId="14">
    <w:abstractNumId w:val="25"/>
  </w:num>
  <w:num w:numId="15">
    <w:abstractNumId w:val="3"/>
  </w:num>
  <w:num w:numId="16">
    <w:abstractNumId w:val="23"/>
  </w:num>
  <w:num w:numId="17">
    <w:abstractNumId w:val="10"/>
  </w:num>
  <w:num w:numId="18">
    <w:abstractNumId w:val="9"/>
  </w:num>
  <w:num w:numId="19">
    <w:abstractNumId w:val="19"/>
  </w:num>
  <w:num w:numId="20">
    <w:abstractNumId w:val="14"/>
  </w:num>
  <w:num w:numId="21">
    <w:abstractNumId w:val="2"/>
  </w:num>
  <w:num w:numId="22">
    <w:abstractNumId w:val="22"/>
  </w:num>
  <w:num w:numId="23">
    <w:abstractNumId w:val="6"/>
  </w:num>
  <w:num w:numId="24">
    <w:abstractNumId w:val="5"/>
  </w:num>
  <w:num w:numId="25">
    <w:abstractNumId w:val="24"/>
  </w:num>
  <w:num w:numId="26">
    <w:abstractNumId w:val="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B06A2"/>
    <w:rsid w:val="000119E3"/>
    <w:rsid w:val="00014392"/>
    <w:rsid w:val="00014784"/>
    <w:rsid w:val="00034B99"/>
    <w:rsid w:val="000434DD"/>
    <w:rsid w:val="00045BC6"/>
    <w:rsid w:val="00051647"/>
    <w:rsid w:val="00052B47"/>
    <w:rsid w:val="00056D29"/>
    <w:rsid w:val="00063DE9"/>
    <w:rsid w:val="000C4BA4"/>
    <w:rsid w:val="000F534E"/>
    <w:rsid w:val="00100817"/>
    <w:rsid w:val="00116945"/>
    <w:rsid w:val="00120CCB"/>
    <w:rsid w:val="00184D13"/>
    <w:rsid w:val="001A0FB9"/>
    <w:rsid w:val="001D0186"/>
    <w:rsid w:val="001D183E"/>
    <w:rsid w:val="001E3184"/>
    <w:rsid w:val="001F7BAD"/>
    <w:rsid w:val="00206B9C"/>
    <w:rsid w:val="0021168A"/>
    <w:rsid w:val="00226F25"/>
    <w:rsid w:val="002315EF"/>
    <w:rsid w:val="00244FAB"/>
    <w:rsid w:val="00274FE5"/>
    <w:rsid w:val="00277E87"/>
    <w:rsid w:val="00285849"/>
    <w:rsid w:val="00291C8A"/>
    <w:rsid w:val="002A1EAB"/>
    <w:rsid w:val="002B23E1"/>
    <w:rsid w:val="002C258C"/>
    <w:rsid w:val="002C2C5C"/>
    <w:rsid w:val="002D5509"/>
    <w:rsid w:val="002D6EE7"/>
    <w:rsid w:val="003001DC"/>
    <w:rsid w:val="0031278C"/>
    <w:rsid w:val="0034577E"/>
    <w:rsid w:val="00360199"/>
    <w:rsid w:val="003828CD"/>
    <w:rsid w:val="00384682"/>
    <w:rsid w:val="003939BE"/>
    <w:rsid w:val="003A0450"/>
    <w:rsid w:val="003C111E"/>
    <w:rsid w:val="003E34B4"/>
    <w:rsid w:val="003F74BA"/>
    <w:rsid w:val="00417619"/>
    <w:rsid w:val="00431158"/>
    <w:rsid w:val="00431BED"/>
    <w:rsid w:val="004467A8"/>
    <w:rsid w:val="00446AAF"/>
    <w:rsid w:val="004773A8"/>
    <w:rsid w:val="004B0CFA"/>
    <w:rsid w:val="004B7531"/>
    <w:rsid w:val="004C69C0"/>
    <w:rsid w:val="004D4B9B"/>
    <w:rsid w:val="004D67D7"/>
    <w:rsid w:val="004F40CA"/>
    <w:rsid w:val="004F5D01"/>
    <w:rsid w:val="005028B1"/>
    <w:rsid w:val="00504634"/>
    <w:rsid w:val="0052083E"/>
    <w:rsid w:val="00531588"/>
    <w:rsid w:val="00542061"/>
    <w:rsid w:val="00547711"/>
    <w:rsid w:val="00552FC6"/>
    <w:rsid w:val="00561A3E"/>
    <w:rsid w:val="005867FC"/>
    <w:rsid w:val="00586980"/>
    <w:rsid w:val="005C10E8"/>
    <w:rsid w:val="005E068D"/>
    <w:rsid w:val="005E38C8"/>
    <w:rsid w:val="006010CF"/>
    <w:rsid w:val="00602A33"/>
    <w:rsid w:val="0061358E"/>
    <w:rsid w:val="00615364"/>
    <w:rsid w:val="00663F6C"/>
    <w:rsid w:val="00676EC1"/>
    <w:rsid w:val="00690E90"/>
    <w:rsid w:val="006934A9"/>
    <w:rsid w:val="006B7E09"/>
    <w:rsid w:val="006C1B06"/>
    <w:rsid w:val="006D56A9"/>
    <w:rsid w:val="006E4BE3"/>
    <w:rsid w:val="006F5E2B"/>
    <w:rsid w:val="00720E41"/>
    <w:rsid w:val="00755E0D"/>
    <w:rsid w:val="00767419"/>
    <w:rsid w:val="007A34A8"/>
    <w:rsid w:val="007B5CAD"/>
    <w:rsid w:val="007C2D91"/>
    <w:rsid w:val="007F7D7D"/>
    <w:rsid w:val="008011CF"/>
    <w:rsid w:val="00807026"/>
    <w:rsid w:val="00810B5B"/>
    <w:rsid w:val="008168AB"/>
    <w:rsid w:val="00851496"/>
    <w:rsid w:val="00853052"/>
    <w:rsid w:val="008539A9"/>
    <w:rsid w:val="0086198C"/>
    <w:rsid w:val="00882377"/>
    <w:rsid w:val="00893EE9"/>
    <w:rsid w:val="008A1185"/>
    <w:rsid w:val="008A3F5C"/>
    <w:rsid w:val="008B06A2"/>
    <w:rsid w:val="008E7686"/>
    <w:rsid w:val="008F725D"/>
    <w:rsid w:val="008F7BC2"/>
    <w:rsid w:val="00930030"/>
    <w:rsid w:val="00943535"/>
    <w:rsid w:val="009934C3"/>
    <w:rsid w:val="009A2690"/>
    <w:rsid w:val="009B2A77"/>
    <w:rsid w:val="009B61FF"/>
    <w:rsid w:val="009E0C94"/>
    <w:rsid w:val="009E4AF4"/>
    <w:rsid w:val="00A064F3"/>
    <w:rsid w:val="00A342B4"/>
    <w:rsid w:val="00A40D76"/>
    <w:rsid w:val="00A41753"/>
    <w:rsid w:val="00A41BA9"/>
    <w:rsid w:val="00A60267"/>
    <w:rsid w:val="00A972D3"/>
    <w:rsid w:val="00A977FA"/>
    <w:rsid w:val="00AA4E85"/>
    <w:rsid w:val="00AC3D46"/>
    <w:rsid w:val="00AD0A4E"/>
    <w:rsid w:val="00AD7CA9"/>
    <w:rsid w:val="00AF01B7"/>
    <w:rsid w:val="00AF61F6"/>
    <w:rsid w:val="00B10B62"/>
    <w:rsid w:val="00B64F7C"/>
    <w:rsid w:val="00B85462"/>
    <w:rsid w:val="00B9302E"/>
    <w:rsid w:val="00BB71B6"/>
    <w:rsid w:val="00BD4E6E"/>
    <w:rsid w:val="00BD7F78"/>
    <w:rsid w:val="00BE1544"/>
    <w:rsid w:val="00BF1F9D"/>
    <w:rsid w:val="00BF7165"/>
    <w:rsid w:val="00C10BCF"/>
    <w:rsid w:val="00C17939"/>
    <w:rsid w:val="00C64A9F"/>
    <w:rsid w:val="00C7666D"/>
    <w:rsid w:val="00CA484C"/>
    <w:rsid w:val="00CA601A"/>
    <w:rsid w:val="00CB071A"/>
    <w:rsid w:val="00CC2248"/>
    <w:rsid w:val="00CC6386"/>
    <w:rsid w:val="00D323E9"/>
    <w:rsid w:val="00D343F8"/>
    <w:rsid w:val="00D349F1"/>
    <w:rsid w:val="00D5770C"/>
    <w:rsid w:val="00D6046F"/>
    <w:rsid w:val="00D7318F"/>
    <w:rsid w:val="00D772CF"/>
    <w:rsid w:val="00D8564A"/>
    <w:rsid w:val="00D86F29"/>
    <w:rsid w:val="00DB7224"/>
    <w:rsid w:val="00DE1BA6"/>
    <w:rsid w:val="00E07FB3"/>
    <w:rsid w:val="00E12972"/>
    <w:rsid w:val="00E63879"/>
    <w:rsid w:val="00E97C09"/>
    <w:rsid w:val="00EC60BD"/>
    <w:rsid w:val="00EC627F"/>
    <w:rsid w:val="00F01841"/>
    <w:rsid w:val="00F07F69"/>
    <w:rsid w:val="00F10317"/>
    <w:rsid w:val="00F128E9"/>
    <w:rsid w:val="00F14BC4"/>
    <w:rsid w:val="00F32D18"/>
    <w:rsid w:val="00F412F4"/>
    <w:rsid w:val="00F41A9D"/>
    <w:rsid w:val="00F56212"/>
    <w:rsid w:val="00F64ADF"/>
    <w:rsid w:val="00F704FF"/>
    <w:rsid w:val="00FC1886"/>
    <w:rsid w:val="00FC6BCF"/>
    <w:rsid w:val="00FF5AA9"/>
    <w:rsid w:val="00FF5B95"/>
    <w:rsid w:val="00FF7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4F7C"/>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99"/>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7"/>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styleId="BalloonText">
    <w:name w:val="Balloon Text"/>
    <w:basedOn w:val="Normal"/>
    <w:link w:val="BalloonTextChar"/>
    <w:uiPriority w:val="99"/>
    <w:semiHidden/>
    <w:unhideWhenUsed/>
    <w:rsid w:val="00F07F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amela\Desktop\Desktop%202\Budget%20Analysis%202016%20template-%20SA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4F77-62AA-4945-A7CE-4CA28DB6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2016 template- SARS</Template>
  <TotalTime>0</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Manamela</dc:creator>
  <cp:lastModifiedBy>PUMZA</cp:lastModifiedBy>
  <cp:revision>2</cp:revision>
  <cp:lastPrinted>2016-10-10T11:03:00Z</cp:lastPrinted>
  <dcterms:created xsi:type="dcterms:W3CDTF">2017-05-11T08:51:00Z</dcterms:created>
  <dcterms:modified xsi:type="dcterms:W3CDTF">2017-05-11T08:51:00Z</dcterms:modified>
</cp:coreProperties>
</file>