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7B7" w:rsidRPr="002E4F28" w:rsidRDefault="002617B7" w:rsidP="002617B7">
      <w:pPr>
        <w:spacing w:line="360" w:lineRule="auto"/>
        <w:rPr>
          <w:rFonts w:ascii="Arial" w:hAnsi="Arial" w:cs="Arial"/>
          <w:sz w:val="24"/>
          <w:szCs w:val="24"/>
        </w:rPr>
      </w:pPr>
      <w:bookmarkStart w:id="0" w:name="OLE_LINK3"/>
    </w:p>
    <w:tbl>
      <w:tblPr>
        <w:tblpPr w:leftFromText="187" w:rightFromText="187" w:horzAnchor="margin" w:tblpXSpec="right" w:tblpYSpec="top"/>
        <w:tblW w:w="2000"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3838"/>
      </w:tblGrid>
      <w:tr w:rsidR="002617B7" w:rsidRPr="002E4F28" w:rsidTr="007F791E">
        <w:tc>
          <w:tcPr>
            <w:tcW w:w="0" w:type="auto"/>
          </w:tcPr>
          <w:p w:rsidR="002617B7" w:rsidRPr="002E4F28" w:rsidRDefault="002617B7" w:rsidP="007F791E">
            <w:pPr>
              <w:pStyle w:val="NoSpacing"/>
              <w:spacing w:line="360" w:lineRule="auto"/>
              <w:rPr>
                <w:rFonts w:ascii="Arial" w:hAnsi="Arial" w:cs="Arial"/>
                <w:noProof/>
                <w:sz w:val="24"/>
                <w:szCs w:val="24"/>
              </w:rPr>
            </w:pPr>
            <w:r w:rsidRPr="002E4F28">
              <w:rPr>
                <w:rFonts w:ascii="Arial" w:hAnsi="Arial" w:cs="Arial"/>
                <w:noProof/>
                <w:sz w:val="24"/>
                <w:szCs w:val="24"/>
                <w:lang w:val="en-ZA" w:eastAsia="en-ZA"/>
              </w:rPr>
              <w:drawing>
                <wp:inline distT="0" distB="0" distL="0" distR="0" wp14:anchorId="026146CC" wp14:editId="68E59EE7">
                  <wp:extent cx="2291080" cy="894080"/>
                  <wp:effectExtent l="0" t="0" r="0" b="1270"/>
                  <wp:docPr id="2" name="Picture 2" descr="NEW NE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NEF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080" cy="894080"/>
                          </a:xfrm>
                          <a:prstGeom prst="rect">
                            <a:avLst/>
                          </a:prstGeom>
                          <a:noFill/>
                          <a:ln>
                            <a:noFill/>
                          </a:ln>
                        </pic:spPr>
                      </pic:pic>
                    </a:graphicData>
                  </a:graphic>
                </wp:inline>
              </w:drawing>
            </w:r>
          </w:p>
        </w:tc>
      </w:tr>
      <w:tr w:rsidR="002617B7" w:rsidRPr="002E4F28" w:rsidTr="007F791E">
        <w:tc>
          <w:tcPr>
            <w:tcW w:w="0" w:type="auto"/>
          </w:tcPr>
          <w:p w:rsidR="002617B7" w:rsidRPr="002E4F28" w:rsidRDefault="00EC270B" w:rsidP="007F791E">
            <w:pPr>
              <w:pStyle w:val="NoSpacing"/>
              <w:rPr>
                <w:rFonts w:ascii="Arial" w:hAnsi="Arial" w:cs="Arial"/>
                <w:sz w:val="24"/>
                <w:szCs w:val="24"/>
              </w:rPr>
            </w:pPr>
            <w:r w:rsidRPr="002E4F28">
              <w:rPr>
                <w:rFonts w:ascii="Arial" w:hAnsi="Arial" w:cs="Arial"/>
                <w:sz w:val="24"/>
                <w:szCs w:val="24"/>
              </w:rPr>
              <w:t xml:space="preserve">Submission to the </w:t>
            </w:r>
          </w:p>
          <w:p w:rsidR="00EC270B" w:rsidRPr="002E4F28" w:rsidRDefault="00EC270B" w:rsidP="007F791E">
            <w:pPr>
              <w:pStyle w:val="NoSpacing"/>
              <w:rPr>
                <w:rFonts w:ascii="Arial" w:hAnsi="Arial" w:cs="Arial"/>
                <w:b/>
                <w:sz w:val="24"/>
                <w:szCs w:val="24"/>
              </w:rPr>
            </w:pPr>
            <w:r w:rsidRPr="002E4F28">
              <w:rPr>
                <w:rFonts w:ascii="Arial" w:hAnsi="Arial" w:cs="Arial"/>
                <w:b/>
                <w:sz w:val="24"/>
                <w:szCs w:val="24"/>
              </w:rPr>
              <w:t xml:space="preserve">Parliament of the Republic of South Africa, </w:t>
            </w:r>
          </w:p>
          <w:p w:rsidR="00EC270B" w:rsidRPr="002E4F28" w:rsidRDefault="00EC270B" w:rsidP="006008D3">
            <w:pPr>
              <w:pStyle w:val="NoSpacing"/>
              <w:rPr>
                <w:rFonts w:ascii="Arial" w:hAnsi="Arial" w:cs="Arial"/>
                <w:b/>
                <w:sz w:val="24"/>
                <w:szCs w:val="24"/>
              </w:rPr>
            </w:pPr>
            <w:r w:rsidRPr="002E4F28">
              <w:rPr>
                <w:rFonts w:ascii="Arial" w:hAnsi="Arial" w:cs="Arial"/>
                <w:b/>
                <w:sz w:val="24"/>
                <w:szCs w:val="24"/>
              </w:rPr>
              <w:t>STANDING COMMITTEE</w:t>
            </w:r>
            <w:r w:rsidR="006008D3">
              <w:rPr>
                <w:rFonts w:ascii="Arial" w:hAnsi="Arial" w:cs="Arial"/>
                <w:b/>
                <w:sz w:val="24"/>
                <w:szCs w:val="24"/>
              </w:rPr>
              <w:t xml:space="preserve"> ON </w:t>
            </w:r>
            <w:r w:rsidR="006008D3" w:rsidRPr="002E4F28">
              <w:rPr>
                <w:rFonts w:ascii="Arial" w:hAnsi="Arial" w:cs="Arial"/>
                <w:b/>
                <w:sz w:val="24"/>
                <w:szCs w:val="24"/>
              </w:rPr>
              <w:t>FINANCE</w:t>
            </w:r>
          </w:p>
        </w:tc>
      </w:tr>
      <w:tr w:rsidR="002617B7" w:rsidRPr="002E4F28" w:rsidTr="007F791E">
        <w:tc>
          <w:tcPr>
            <w:tcW w:w="0" w:type="auto"/>
            <w:shd w:val="clear" w:color="auto" w:fill="auto"/>
          </w:tcPr>
          <w:p w:rsidR="00827A1C" w:rsidRPr="002E4F28" w:rsidRDefault="006008D3" w:rsidP="007F791E">
            <w:pPr>
              <w:pStyle w:val="NoSpacing"/>
              <w:spacing w:line="360" w:lineRule="auto"/>
              <w:rPr>
                <w:rFonts w:ascii="Arial" w:eastAsia="Arial Unicode MS" w:hAnsi="Arial" w:cs="Arial"/>
                <w:b/>
                <w:bCs/>
                <w:sz w:val="24"/>
                <w:szCs w:val="24"/>
              </w:rPr>
            </w:pPr>
            <w:r>
              <w:rPr>
                <w:rFonts w:ascii="Arial" w:eastAsia="Arial Unicode MS" w:hAnsi="Arial" w:cs="Arial"/>
                <w:b/>
                <w:bCs/>
                <w:sz w:val="24"/>
                <w:szCs w:val="24"/>
              </w:rPr>
              <w:t xml:space="preserve">COMMENTS ON THE TRANSFORMATION OF </w:t>
            </w:r>
            <w:r w:rsidR="00827A1C" w:rsidRPr="002E4F28">
              <w:rPr>
                <w:rFonts w:ascii="Arial" w:eastAsia="Arial Unicode MS" w:hAnsi="Arial" w:cs="Arial"/>
                <w:b/>
                <w:bCs/>
                <w:sz w:val="24"/>
                <w:szCs w:val="24"/>
              </w:rPr>
              <w:t xml:space="preserve">THE </w:t>
            </w:r>
          </w:p>
          <w:p w:rsidR="002617B7" w:rsidRPr="002E4F28" w:rsidRDefault="00827A1C" w:rsidP="007F791E">
            <w:pPr>
              <w:pStyle w:val="NoSpacing"/>
              <w:spacing w:line="360" w:lineRule="auto"/>
              <w:rPr>
                <w:rFonts w:ascii="Arial" w:hAnsi="Arial" w:cs="Arial"/>
                <w:b/>
                <w:bCs/>
                <w:color w:val="000000" w:themeColor="text1"/>
                <w:sz w:val="24"/>
                <w:szCs w:val="24"/>
                <w:lang w:val="en-GB"/>
              </w:rPr>
            </w:pPr>
            <w:r w:rsidRPr="002E4F28">
              <w:rPr>
                <w:rFonts w:ascii="Arial" w:eastAsia="Arial Unicode MS" w:hAnsi="Arial" w:cs="Arial"/>
                <w:b/>
                <w:bCs/>
                <w:sz w:val="24"/>
                <w:szCs w:val="24"/>
              </w:rPr>
              <w:t>FINANCIAL SECTOR</w:t>
            </w:r>
          </w:p>
        </w:tc>
      </w:tr>
      <w:tr w:rsidR="002617B7" w:rsidRPr="002E4F28" w:rsidTr="007F791E">
        <w:tc>
          <w:tcPr>
            <w:tcW w:w="0" w:type="auto"/>
            <w:shd w:val="clear" w:color="auto" w:fill="auto"/>
          </w:tcPr>
          <w:p w:rsidR="002617B7" w:rsidRPr="002E4F28" w:rsidRDefault="002617B7" w:rsidP="007F791E">
            <w:pPr>
              <w:pStyle w:val="NoSpacing"/>
              <w:spacing w:line="360" w:lineRule="auto"/>
              <w:rPr>
                <w:rFonts w:ascii="Arial" w:hAnsi="Arial" w:cs="Arial"/>
                <w:color w:val="000000" w:themeColor="text1"/>
                <w:sz w:val="24"/>
                <w:szCs w:val="24"/>
              </w:rPr>
            </w:pPr>
            <w:r w:rsidRPr="002E4F28">
              <w:rPr>
                <w:rFonts w:ascii="Arial" w:hAnsi="Arial" w:cs="Arial"/>
                <w:color w:val="000000" w:themeColor="text1"/>
                <w:sz w:val="24"/>
                <w:szCs w:val="24"/>
              </w:rPr>
              <w:t>Ms Philisiwe Mthethwa,</w:t>
            </w:r>
          </w:p>
          <w:p w:rsidR="006008D3" w:rsidRDefault="002617B7" w:rsidP="007F791E">
            <w:pPr>
              <w:pStyle w:val="NoSpacing"/>
              <w:spacing w:line="360" w:lineRule="auto"/>
              <w:rPr>
                <w:rFonts w:ascii="Arial" w:hAnsi="Arial" w:cs="Arial"/>
                <w:color w:val="000000" w:themeColor="text1"/>
                <w:sz w:val="24"/>
                <w:szCs w:val="24"/>
              </w:rPr>
            </w:pPr>
            <w:r w:rsidRPr="002E4F28">
              <w:rPr>
                <w:rFonts w:ascii="Arial" w:hAnsi="Arial" w:cs="Arial"/>
                <w:color w:val="000000" w:themeColor="text1"/>
                <w:sz w:val="24"/>
                <w:szCs w:val="24"/>
              </w:rPr>
              <w:t>C</w:t>
            </w:r>
            <w:r w:rsidR="00EC270B" w:rsidRPr="002E4F28">
              <w:rPr>
                <w:rFonts w:ascii="Arial" w:hAnsi="Arial" w:cs="Arial"/>
                <w:color w:val="000000" w:themeColor="text1"/>
                <w:sz w:val="24"/>
                <w:szCs w:val="24"/>
              </w:rPr>
              <w:t>hief Executive Officer</w:t>
            </w:r>
          </w:p>
          <w:p w:rsidR="002617B7" w:rsidRPr="002E4F28" w:rsidRDefault="002617B7" w:rsidP="007F791E">
            <w:pPr>
              <w:pStyle w:val="NoSpacing"/>
              <w:spacing w:line="360" w:lineRule="auto"/>
              <w:rPr>
                <w:rFonts w:ascii="Arial" w:hAnsi="Arial" w:cs="Arial"/>
                <w:color w:val="000000" w:themeColor="text1"/>
                <w:sz w:val="24"/>
                <w:szCs w:val="24"/>
              </w:rPr>
            </w:pPr>
            <w:r w:rsidRPr="002E4F28">
              <w:rPr>
                <w:rFonts w:ascii="Arial" w:hAnsi="Arial" w:cs="Arial"/>
                <w:color w:val="000000" w:themeColor="text1"/>
                <w:sz w:val="24"/>
                <w:szCs w:val="24"/>
              </w:rPr>
              <w:t>N</w:t>
            </w:r>
            <w:r w:rsidR="006008D3">
              <w:rPr>
                <w:rFonts w:ascii="Arial" w:hAnsi="Arial" w:cs="Arial"/>
                <w:color w:val="000000" w:themeColor="text1"/>
                <w:sz w:val="24"/>
                <w:szCs w:val="24"/>
              </w:rPr>
              <w:t xml:space="preserve">ational </w:t>
            </w:r>
            <w:r w:rsidRPr="002E4F28">
              <w:rPr>
                <w:rFonts w:ascii="Arial" w:hAnsi="Arial" w:cs="Arial"/>
                <w:color w:val="000000" w:themeColor="text1"/>
                <w:sz w:val="24"/>
                <w:szCs w:val="24"/>
              </w:rPr>
              <w:t>E</w:t>
            </w:r>
            <w:r w:rsidR="006008D3">
              <w:rPr>
                <w:rFonts w:ascii="Arial" w:hAnsi="Arial" w:cs="Arial"/>
                <w:color w:val="000000" w:themeColor="text1"/>
                <w:sz w:val="24"/>
                <w:szCs w:val="24"/>
              </w:rPr>
              <w:t xml:space="preserve">mpowerment </w:t>
            </w:r>
            <w:r w:rsidRPr="002E4F28">
              <w:rPr>
                <w:rFonts w:ascii="Arial" w:hAnsi="Arial" w:cs="Arial"/>
                <w:color w:val="000000" w:themeColor="text1"/>
                <w:sz w:val="24"/>
                <w:szCs w:val="24"/>
              </w:rPr>
              <w:t>F</w:t>
            </w:r>
            <w:r w:rsidR="006008D3">
              <w:rPr>
                <w:rFonts w:ascii="Arial" w:hAnsi="Arial" w:cs="Arial"/>
                <w:color w:val="000000" w:themeColor="text1"/>
                <w:sz w:val="24"/>
                <w:szCs w:val="24"/>
              </w:rPr>
              <w:t>und</w:t>
            </w:r>
          </w:p>
          <w:p w:rsidR="002617B7" w:rsidRPr="002E4F28" w:rsidRDefault="00E87BB1" w:rsidP="00EC270B">
            <w:pPr>
              <w:pStyle w:val="NoSpacing"/>
              <w:spacing w:line="360" w:lineRule="auto"/>
              <w:rPr>
                <w:rFonts w:ascii="Arial" w:hAnsi="Arial" w:cs="Arial"/>
                <w:color w:val="000000" w:themeColor="text1"/>
                <w:sz w:val="24"/>
                <w:szCs w:val="24"/>
              </w:rPr>
            </w:pPr>
            <w:r>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DATE \@ "dddd, MMMM d, yyyy" </w:instrText>
            </w:r>
            <w:r>
              <w:rPr>
                <w:rFonts w:ascii="Arial" w:hAnsi="Arial" w:cs="Arial"/>
                <w:color w:val="000000" w:themeColor="text1"/>
                <w:sz w:val="24"/>
                <w:szCs w:val="24"/>
              </w:rPr>
              <w:fldChar w:fldCharType="separate"/>
            </w:r>
            <w:r w:rsidR="00921E85">
              <w:rPr>
                <w:rFonts w:ascii="Arial" w:hAnsi="Arial" w:cs="Arial"/>
                <w:noProof/>
                <w:color w:val="000000" w:themeColor="text1"/>
                <w:sz w:val="24"/>
                <w:szCs w:val="24"/>
              </w:rPr>
              <w:t>Monday, March 13, 2017</w:t>
            </w:r>
            <w:r>
              <w:rPr>
                <w:rFonts w:ascii="Arial" w:hAnsi="Arial" w:cs="Arial"/>
                <w:color w:val="000000" w:themeColor="text1"/>
                <w:sz w:val="24"/>
                <w:szCs w:val="24"/>
              </w:rPr>
              <w:fldChar w:fldCharType="end"/>
            </w:r>
          </w:p>
        </w:tc>
      </w:tr>
    </w:tbl>
    <w:p w:rsidR="002617B7" w:rsidRPr="002E4F28" w:rsidRDefault="002617B7" w:rsidP="002617B7">
      <w:pPr>
        <w:spacing w:line="360" w:lineRule="auto"/>
        <w:rPr>
          <w:rFonts w:ascii="Arial" w:hAnsi="Arial" w:cs="Arial"/>
          <w:color w:val="000000" w:themeColor="text1"/>
          <w:sz w:val="24"/>
          <w:szCs w:val="24"/>
        </w:rPr>
      </w:pPr>
    </w:p>
    <w:p w:rsidR="002617B7" w:rsidRPr="002E4F28" w:rsidRDefault="002617B7" w:rsidP="002617B7">
      <w:pPr>
        <w:spacing w:line="360" w:lineRule="auto"/>
        <w:rPr>
          <w:rFonts w:ascii="Arial" w:hAnsi="Arial" w:cs="Arial"/>
          <w:b/>
          <w:color w:val="000000" w:themeColor="text1"/>
          <w:sz w:val="24"/>
          <w:szCs w:val="24"/>
        </w:rPr>
      </w:pPr>
      <w:r w:rsidRPr="002E4F28">
        <w:rPr>
          <w:rFonts w:ascii="Arial" w:hAnsi="Arial" w:cs="Arial"/>
          <w:color w:val="000000" w:themeColor="text1"/>
          <w:sz w:val="24"/>
          <w:szCs w:val="24"/>
        </w:rPr>
        <w:br w:type="page"/>
      </w:r>
    </w:p>
    <w:p w:rsidR="002617B7" w:rsidRPr="002E4F28" w:rsidRDefault="002617B7" w:rsidP="00E87BB1">
      <w:pPr>
        <w:pStyle w:val="ListParagraph"/>
        <w:shd w:val="clear" w:color="auto" w:fill="70AD47" w:themeFill="accent6"/>
        <w:tabs>
          <w:tab w:val="left" w:pos="720"/>
        </w:tabs>
        <w:spacing w:line="360" w:lineRule="auto"/>
        <w:ind w:left="1440" w:hanging="1440"/>
        <w:rPr>
          <w:rFonts w:ascii="Arial" w:hAnsi="Arial" w:cs="Arial"/>
          <w:b/>
        </w:rPr>
      </w:pPr>
      <w:r w:rsidRPr="002E4F28">
        <w:rPr>
          <w:rFonts w:ascii="Arial" w:hAnsi="Arial" w:cs="Arial"/>
          <w:b/>
        </w:rPr>
        <w:t>Contents</w:t>
      </w:r>
    </w:p>
    <w:p w:rsidR="002617B7" w:rsidRPr="002E4F28" w:rsidRDefault="002617B7" w:rsidP="002617B7">
      <w:pPr>
        <w:spacing w:line="360" w:lineRule="auto"/>
        <w:jc w:val="both"/>
        <w:rPr>
          <w:rFonts w:ascii="Arial" w:hAnsi="Arial" w:cs="Arial"/>
          <w:sz w:val="24"/>
          <w:szCs w:val="24"/>
        </w:rPr>
      </w:pPr>
    </w:p>
    <w:tbl>
      <w:tblPr>
        <w:tblStyle w:val="GridTable4Accent4"/>
        <w:tblW w:w="9067" w:type="dxa"/>
        <w:tblLook w:val="04A0" w:firstRow="1" w:lastRow="0" w:firstColumn="1" w:lastColumn="0" w:noHBand="0" w:noVBand="1"/>
      </w:tblPr>
      <w:tblGrid>
        <w:gridCol w:w="8217"/>
        <w:gridCol w:w="850"/>
      </w:tblGrid>
      <w:tr w:rsidR="00C930AF" w:rsidRPr="002E4F28" w:rsidTr="00C93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shd w:val="clear" w:color="auto" w:fill="ED7D31" w:themeFill="accent2"/>
          </w:tcPr>
          <w:p w:rsidR="00C930AF" w:rsidRPr="002E4F28" w:rsidRDefault="00C930AF" w:rsidP="007F791E">
            <w:pPr>
              <w:spacing w:line="360" w:lineRule="auto"/>
              <w:rPr>
                <w:rFonts w:ascii="Arial" w:hAnsi="Arial" w:cs="Arial"/>
                <w:sz w:val="24"/>
                <w:szCs w:val="24"/>
              </w:rPr>
            </w:pPr>
            <w:r w:rsidRPr="002E4F28">
              <w:rPr>
                <w:rFonts w:ascii="Arial" w:hAnsi="Arial" w:cs="Arial"/>
                <w:sz w:val="24"/>
                <w:szCs w:val="24"/>
              </w:rPr>
              <w:t>Topic</w:t>
            </w:r>
          </w:p>
        </w:tc>
        <w:tc>
          <w:tcPr>
            <w:tcW w:w="850" w:type="dxa"/>
            <w:shd w:val="clear" w:color="auto" w:fill="ED7D31" w:themeFill="accent2"/>
            <w:vAlign w:val="center"/>
          </w:tcPr>
          <w:p w:rsidR="00C930AF" w:rsidRPr="002E4F28" w:rsidRDefault="00C930AF" w:rsidP="007F791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E4F28">
              <w:rPr>
                <w:rFonts w:ascii="Arial" w:hAnsi="Arial" w:cs="Arial"/>
                <w:sz w:val="24"/>
                <w:szCs w:val="24"/>
              </w:rPr>
              <w:t>Page</w:t>
            </w:r>
          </w:p>
        </w:tc>
      </w:tr>
      <w:tr w:rsidR="00C930AF" w:rsidRPr="002E4F28" w:rsidTr="00C93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C930AF" w:rsidRPr="00C930AF" w:rsidRDefault="00C930AF" w:rsidP="00C930AF">
            <w:pPr>
              <w:pStyle w:val="ListParagraph"/>
              <w:numPr>
                <w:ilvl w:val="0"/>
                <w:numId w:val="38"/>
              </w:numPr>
              <w:spacing w:line="360" w:lineRule="auto"/>
              <w:jc w:val="both"/>
              <w:rPr>
                <w:rFonts w:ascii="Arial" w:hAnsi="Arial" w:cs="Arial"/>
                <w:b w:val="0"/>
              </w:rPr>
            </w:pPr>
            <w:r w:rsidRPr="00C930AF">
              <w:rPr>
                <w:rFonts w:ascii="Arial" w:hAnsi="Arial" w:cs="Arial"/>
                <w:b w:val="0"/>
              </w:rPr>
              <w:t xml:space="preserve">Introduction </w:t>
            </w:r>
          </w:p>
        </w:tc>
        <w:tc>
          <w:tcPr>
            <w:tcW w:w="850" w:type="dxa"/>
            <w:vAlign w:val="center"/>
          </w:tcPr>
          <w:p w:rsidR="00C930AF" w:rsidRPr="002E4F28" w:rsidRDefault="00C930AF" w:rsidP="007F791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4F28">
              <w:rPr>
                <w:rFonts w:ascii="Arial" w:hAnsi="Arial" w:cs="Arial"/>
                <w:sz w:val="24"/>
                <w:szCs w:val="24"/>
              </w:rPr>
              <w:t>3</w:t>
            </w:r>
          </w:p>
        </w:tc>
      </w:tr>
      <w:tr w:rsidR="00C930AF" w:rsidRPr="002E4F28" w:rsidTr="00C930AF">
        <w:tc>
          <w:tcPr>
            <w:cnfStyle w:val="001000000000" w:firstRow="0" w:lastRow="0" w:firstColumn="1" w:lastColumn="0" w:oddVBand="0" w:evenVBand="0" w:oddHBand="0" w:evenHBand="0" w:firstRowFirstColumn="0" w:firstRowLastColumn="0" w:lastRowFirstColumn="0" w:lastRowLastColumn="0"/>
            <w:tcW w:w="8217" w:type="dxa"/>
          </w:tcPr>
          <w:p w:rsidR="00C930AF" w:rsidRPr="00C930AF" w:rsidRDefault="00C930AF" w:rsidP="00C930AF">
            <w:pPr>
              <w:pStyle w:val="ListParagraph"/>
              <w:numPr>
                <w:ilvl w:val="0"/>
                <w:numId w:val="38"/>
              </w:numPr>
              <w:spacing w:line="360" w:lineRule="auto"/>
              <w:rPr>
                <w:rFonts w:ascii="Arial" w:hAnsi="Arial" w:cs="Arial"/>
                <w:b w:val="0"/>
              </w:rPr>
            </w:pPr>
            <w:r w:rsidRPr="00C930AF">
              <w:rPr>
                <w:rFonts w:ascii="Arial" w:hAnsi="Arial" w:cs="Arial"/>
                <w:b w:val="0"/>
              </w:rPr>
              <w:t>About the NEF</w:t>
            </w:r>
          </w:p>
        </w:tc>
        <w:tc>
          <w:tcPr>
            <w:tcW w:w="850" w:type="dxa"/>
            <w:vAlign w:val="center"/>
          </w:tcPr>
          <w:p w:rsidR="00C930AF" w:rsidRPr="002E4F28" w:rsidRDefault="00C930AF" w:rsidP="007F79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w:t>
            </w:r>
          </w:p>
        </w:tc>
      </w:tr>
      <w:tr w:rsidR="00C930AF" w:rsidRPr="002E4F28" w:rsidTr="00C93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C930AF" w:rsidRPr="00C930AF" w:rsidRDefault="00C930AF" w:rsidP="00C930AF">
            <w:pPr>
              <w:pStyle w:val="ListParagraph"/>
              <w:numPr>
                <w:ilvl w:val="0"/>
                <w:numId w:val="38"/>
              </w:numPr>
              <w:spacing w:line="360" w:lineRule="auto"/>
              <w:rPr>
                <w:rFonts w:ascii="Arial" w:hAnsi="Arial" w:cs="Arial"/>
                <w:b w:val="0"/>
              </w:rPr>
            </w:pPr>
            <w:r w:rsidRPr="00C930AF">
              <w:rPr>
                <w:rFonts w:ascii="Arial" w:hAnsi="Arial" w:cs="Arial"/>
                <w:b w:val="0"/>
              </w:rPr>
              <w:t xml:space="preserve">Journey of South Africa’s transformation </w:t>
            </w:r>
          </w:p>
        </w:tc>
        <w:tc>
          <w:tcPr>
            <w:tcW w:w="850" w:type="dxa"/>
            <w:vAlign w:val="center"/>
          </w:tcPr>
          <w:p w:rsidR="00C930AF" w:rsidRPr="002E4F28" w:rsidRDefault="00C930AF" w:rsidP="0036370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w:t>
            </w:r>
          </w:p>
        </w:tc>
      </w:tr>
      <w:tr w:rsidR="00C930AF" w:rsidRPr="002E4F28" w:rsidTr="00C930AF">
        <w:tc>
          <w:tcPr>
            <w:cnfStyle w:val="001000000000" w:firstRow="0" w:lastRow="0" w:firstColumn="1" w:lastColumn="0" w:oddVBand="0" w:evenVBand="0" w:oddHBand="0" w:evenHBand="0" w:firstRowFirstColumn="0" w:firstRowLastColumn="0" w:lastRowFirstColumn="0" w:lastRowLastColumn="0"/>
            <w:tcW w:w="8217" w:type="dxa"/>
          </w:tcPr>
          <w:p w:rsidR="00C930AF" w:rsidRPr="00C930AF" w:rsidRDefault="00C930AF" w:rsidP="00C930AF">
            <w:pPr>
              <w:pStyle w:val="ListParagraph"/>
              <w:numPr>
                <w:ilvl w:val="0"/>
                <w:numId w:val="38"/>
              </w:numPr>
              <w:spacing w:line="360" w:lineRule="auto"/>
              <w:jc w:val="both"/>
              <w:rPr>
                <w:rFonts w:ascii="Arial" w:hAnsi="Arial" w:cs="Arial"/>
                <w:b w:val="0"/>
              </w:rPr>
            </w:pPr>
            <w:r w:rsidRPr="00C930AF">
              <w:rPr>
                <w:rFonts w:ascii="Arial" w:hAnsi="Arial" w:cs="Arial"/>
                <w:b w:val="0"/>
              </w:rPr>
              <w:t xml:space="preserve">Summary B-BBEE performance of JSE listed financial services companies </w:t>
            </w:r>
          </w:p>
        </w:tc>
        <w:tc>
          <w:tcPr>
            <w:tcW w:w="850" w:type="dxa"/>
            <w:vAlign w:val="center"/>
          </w:tcPr>
          <w:p w:rsidR="00C930AF" w:rsidRPr="002E4F28" w:rsidRDefault="00C930AF" w:rsidP="0036370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w:t>
            </w:r>
          </w:p>
        </w:tc>
      </w:tr>
      <w:tr w:rsidR="00C930AF" w:rsidRPr="002E4F28" w:rsidTr="00C93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C930AF" w:rsidRPr="00C930AF" w:rsidRDefault="00C930AF" w:rsidP="00EC3518">
            <w:pPr>
              <w:pStyle w:val="ListParagraph"/>
              <w:numPr>
                <w:ilvl w:val="0"/>
                <w:numId w:val="38"/>
              </w:numPr>
              <w:spacing w:line="360" w:lineRule="auto"/>
              <w:jc w:val="both"/>
              <w:rPr>
                <w:rFonts w:ascii="Arial" w:hAnsi="Arial" w:cs="Arial"/>
                <w:b w:val="0"/>
              </w:rPr>
            </w:pPr>
            <w:r w:rsidRPr="00C930AF">
              <w:rPr>
                <w:rFonts w:ascii="Arial" w:hAnsi="Arial" w:cs="Arial"/>
                <w:b w:val="0"/>
              </w:rPr>
              <w:t>Comparison of the Codes</w:t>
            </w:r>
            <w:r w:rsidR="00EC3518">
              <w:rPr>
                <w:rFonts w:ascii="Arial" w:hAnsi="Arial" w:cs="Arial"/>
                <w:b w:val="0"/>
              </w:rPr>
              <w:t xml:space="preserve"> </w:t>
            </w:r>
            <w:r w:rsidRPr="00C930AF">
              <w:rPr>
                <w:rFonts w:ascii="Arial" w:hAnsi="Arial" w:cs="Arial"/>
                <w:b w:val="0"/>
              </w:rPr>
              <w:t xml:space="preserve">and the </w:t>
            </w:r>
            <w:r w:rsidR="00EC3518">
              <w:rPr>
                <w:rFonts w:ascii="Arial" w:hAnsi="Arial" w:cs="Arial"/>
                <w:b w:val="0"/>
              </w:rPr>
              <w:t>Financial Sector Codes</w:t>
            </w:r>
            <w:r w:rsidR="00EC3518" w:rsidRPr="00C930AF">
              <w:rPr>
                <w:rFonts w:ascii="Arial" w:hAnsi="Arial" w:cs="Arial"/>
                <w:b w:val="0"/>
              </w:rPr>
              <w:t xml:space="preserve"> </w:t>
            </w:r>
          </w:p>
        </w:tc>
        <w:tc>
          <w:tcPr>
            <w:tcW w:w="850" w:type="dxa"/>
            <w:vAlign w:val="center"/>
          </w:tcPr>
          <w:p w:rsidR="00C930AF" w:rsidRPr="002E4F28" w:rsidRDefault="00EC3518" w:rsidP="0036370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13</w:t>
            </w:r>
          </w:p>
        </w:tc>
      </w:tr>
      <w:tr w:rsidR="00EC3518" w:rsidRPr="002E4F28" w:rsidTr="00C930AF">
        <w:tc>
          <w:tcPr>
            <w:cnfStyle w:val="001000000000" w:firstRow="0" w:lastRow="0" w:firstColumn="1" w:lastColumn="0" w:oddVBand="0" w:evenVBand="0" w:oddHBand="0" w:evenHBand="0" w:firstRowFirstColumn="0" w:firstRowLastColumn="0" w:lastRowFirstColumn="0" w:lastRowLastColumn="0"/>
            <w:tcW w:w="8217" w:type="dxa"/>
          </w:tcPr>
          <w:p w:rsidR="00EC3518" w:rsidRPr="00C930AF" w:rsidRDefault="00EC3518" w:rsidP="00EC3518">
            <w:pPr>
              <w:pStyle w:val="ListParagraph"/>
              <w:numPr>
                <w:ilvl w:val="0"/>
                <w:numId w:val="38"/>
              </w:numPr>
              <w:spacing w:line="360" w:lineRule="auto"/>
              <w:jc w:val="both"/>
              <w:rPr>
                <w:rFonts w:ascii="Arial" w:hAnsi="Arial" w:cs="Arial"/>
                <w:b w:val="0"/>
              </w:rPr>
            </w:pPr>
            <w:r>
              <w:rPr>
                <w:rFonts w:ascii="Arial" w:hAnsi="Arial" w:cs="Arial"/>
                <w:b w:val="0"/>
              </w:rPr>
              <w:t>Rationale for the establishment of a Black owned bank</w:t>
            </w:r>
          </w:p>
        </w:tc>
        <w:tc>
          <w:tcPr>
            <w:tcW w:w="850" w:type="dxa"/>
            <w:vAlign w:val="center"/>
          </w:tcPr>
          <w:p w:rsidR="00EC3518" w:rsidRDefault="00EC3518" w:rsidP="0036370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14</w:t>
            </w:r>
          </w:p>
        </w:tc>
      </w:tr>
      <w:tr w:rsidR="00C930AF" w:rsidRPr="002E4F28" w:rsidTr="00C93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C930AF" w:rsidRPr="00C930AF" w:rsidRDefault="00C930AF" w:rsidP="00C930AF">
            <w:pPr>
              <w:pStyle w:val="ListParagraph"/>
              <w:numPr>
                <w:ilvl w:val="0"/>
                <w:numId w:val="38"/>
              </w:numPr>
              <w:spacing w:line="360" w:lineRule="auto"/>
              <w:jc w:val="both"/>
              <w:rPr>
                <w:rFonts w:ascii="Arial" w:hAnsi="Arial" w:cs="Arial"/>
                <w:b w:val="0"/>
              </w:rPr>
            </w:pPr>
            <w:r w:rsidRPr="00C930AF">
              <w:rPr>
                <w:rFonts w:ascii="Arial" w:hAnsi="Arial" w:cs="Arial"/>
                <w:b w:val="0"/>
              </w:rPr>
              <w:t>Proposed improvements to the Revised 2016 FSC</w:t>
            </w:r>
          </w:p>
        </w:tc>
        <w:tc>
          <w:tcPr>
            <w:tcW w:w="850" w:type="dxa"/>
            <w:vAlign w:val="center"/>
          </w:tcPr>
          <w:p w:rsidR="00C930AF" w:rsidRPr="002E4F28" w:rsidRDefault="00EC3518" w:rsidP="0036370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r w:rsidR="00C930AF">
              <w:rPr>
                <w:rFonts w:ascii="Arial" w:hAnsi="Arial" w:cs="Arial"/>
                <w:sz w:val="24"/>
                <w:szCs w:val="24"/>
              </w:rPr>
              <w:t>9</w:t>
            </w:r>
          </w:p>
        </w:tc>
      </w:tr>
      <w:tr w:rsidR="00C930AF" w:rsidRPr="002E4F28" w:rsidTr="00C930AF">
        <w:tc>
          <w:tcPr>
            <w:cnfStyle w:val="001000000000" w:firstRow="0" w:lastRow="0" w:firstColumn="1" w:lastColumn="0" w:oddVBand="0" w:evenVBand="0" w:oddHBand="0" w:evenHBand="0" w:firstRowFirstColumn="0" w:firstRowLastColumn="0" w:lastRowFirstColumn="0" w:lastRowLastColumn="0"/>
            <w:tcW w:w="8217" w:type="dxa"/>
          </w:tcPr>
          <w:p w:rsidR="00C930AF" w:rsidRPr="00C930AF" w:rsidRDefault="00C930AF" w:rsidP="00C930AF">
            <w:pPr>
              <w:pStyle w:val="Default"/>
              <w:numPr>
                <w:ilvl w:val="0"/>
                <w:numId w:val="38"/>
              </w:numPr>
              <w:rPr>
                <w:rFonts w:ascii="Arial" w:hAnsi="Arial" w:cs="Arial"/>
                <w:b w:val="0"/>
                <w:color w:val="auto"/>
                <w:lang w:val="en-GB"/>
              </w:rPr>
            </w:pPr>
            <w:r w:rsidRPr="00C930AF">
              <w:rPr>
                <w:rFonts w:ascii="Arial" w:hAnsi="Arial" w:cs="Arial"/>
                <w:b w:val="0"/>
                <w:color w:val="auto"/>
                <w:lang w:val="en-GB"/>
              </w:rPr>
              <w:t>Conclusion</w:t>
            </w:r>
          </w:p>
          <w:p w:rsidR="00C930AF" w:rsidRPr="00C930AF" w:rsidRDefault="00C930AF" w:rsidP="00363707">
            <w:pPr>
              <w:pStyle w:val="Default"/>
              <w:rPr>
                <w:rFonts w:ascii="Arial" w:hAnsi="Arial" w:cs="Arial"/>
                <w:b w:val="0"/>
                <w:color w:val="auto"/>
                <w:lang w:val="en-GB"/>
              </w:rPr>
            </w:pPr>
          </w:p>
        </w:tc>
        <w:tc>
          <w:tcPr>
            <w:tcW w:w="850" w:type="dxa"/>
            <w:vAlign w:val="center"/>
          </w:tcPr>
          <w:p w:rsidR="00C930AF" w:rsidRPr="002E4F28" w:rsidRDefault="00EC3518" w:rsidP="0036370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27</w:t>
            </w:r>
          </w:p>
        </w:tc>
      </w:tr>
    </w:tbl>
    <w:p w:rsidR="002617B7" w:rsidRDefault="002617B7" w:rsidP="002617B7">
      <w:pPr>
        <w:spacing w:line="360" w:lineRule="auto"/>
        <w:jc w:val="both"/>
        <w:rPr>
          <w:rFonts w:ascii="Arial" w:hAnsi="Arial" w:cs="Arial"/>
          <w:sz w:val="24"/>
          <w:szCs w:val="24"/>
        </w:rPr>
      </w:pPr>
    </w:p>
    <w:p w:rsidR="0002293F" w:rsidRDefault="0002293F" w:rsidP="002617B7">
      <w:pPr>
        <w:spacing w:line="360" w:lineRule="auto"/>
        <w:jc w:val="both"/>
        <w:rPr>
          <w:rFonts w:ascii="Arial" w:hAnsi="Arial" w:cs="Arial"/>
          <w:sz w:val="24"/>
          <w:szCs w:val="24"/>
        </w:rPr>
      </w:pPr>
    </w:p>
    <w:p w:rsidR="0002293F" w:rsidRDefault="0002293F" w:rsidP="002617B7">
      <w:pPr>
        <w:spacing w:line="360" w:lineRule="auto"/>
        <w:jc w:val="both"/>
        <w:rPr>
          <w:rFonts w:ascii="Arial" w:hAnsi="Arial" w:cs="Arial"/>
          <w:sz w:val="24"/>
          <w:szCs w:val="24"/>
        </w:rPr>
      </w:pPr>
    </w:p>
    <w:p w:rsidR="0002293F" w:rsidRDefault="0002293F" w:rsidP="002617B7">
      <w:pPr>
        <w:spacing w:line="360" w:lineRule="auto"/>
        <w:jc w:val="both"/>
        <w:rPr>
          <w:rFonts w:ascii="Arial" w:hAnsi="Arial" w:cs="Arial"/>
          <w:sz w:val="24"/>
          <w:szCs w:val="24"/>
        </w:rPr>
      </w:pPr>
    </w:p>
    <w:p w:rsidR="0002293F" w:rsidRDefault="0002293F" w:rsidP="002617B7">
      <w:pPr>
        <w:spacing w:line="360" w:lineRule="auto"/>
        <w:jc w:val="both"/>
        <w:rPr>
          <w:rFonts w:ascii="Arial" w:hAnsi="Arial" w:cs="Arial"/>
          <w:sz w:val="24"/>
          <w:szCs w:val="24"/>
        </w:rPr>
      </w:pPr>
    </w:p>
    <w:p w:rsidR="0002293F" w:rsidRDefault="0002293F" w:rsidP="002617B7">
      <w:pPr>
        <w:spacing w:line="360" w:lineRule="auto"/>
        <w:jc w:val="both"/>
        <w:rPr>
          <w:rFonts w:ascii="Arial" w:hAnsi="Arial" w:cs="Arial"/>
          <w:sz w:val="24"/>
          <w:szCs w:val="24"/>
        </w:rPr>
      </w:pPr>
    </w:p>
    <w:p w:rsidR="00D22AD0" w:rsidRDefault="00D22AD0" w:rsidP="002617B7">
      <w:pPr>
        <w:spacing w:line="360" w:lineRule="auto"/>
        <w:jc w:val="both"/>
        <w:rPr>
          <w:rFonts w:ascii="Arial" w:hAnsi="Arial" w:cs="Arial"/>
          <w:sz w:val="24"/>
          <w:szCs w:val="24"/>
        </w:rPr>
      </w:pPr>
    </w:p>
    <w:p w:rsidR="00C930AF" w:rsidRDefault="00C930AF" w:rsidP="002617B7">
      <w:pPr>
        <w:spacing w:line="360" w:lineRule="auto"/>
        <w:jc w:val="both"/>
        <w:rPr>
          <w:rFonts w:ascii="Arial" w:hAnsi="Arial" w:cs="Arial"/>
          <w:sz w:val="24"/>
          <w:szCs w:val="24"/>
        </w:rPr>
      </w:pPr>
    </w:p>
    <w:p w:rsidR="00C930AF" w:rsidRDefault="00C930AF" w:rsidP="002617B7">
      <w:pPr>
        <w:spacing w:line="360" w:lineRule="auto"/>
        <w:jc w:val="both"/>
        <w:rPr>
          <w:rFonts w:ascii="Arial" w:hAnsi="Arial" w:cs="Arial"/>
          <w:sz w:val="24"/>
          <w:szCs w:val="24"/>
        </w:rPr>
      </w:pPr>
    </w:p>
    <w:p w:rsidR="006008D3" w:rsidRDefault="006008D3" w:rsidP="002617B7">
      <w:pPr>
        <w:spacing w:line="360" w:lineRule="auto"/>
        <w:jc w:val="both"/>
        <w:rPr>
          <w:rFonts w:ascii="Arial" w:hAnsi="Arial" w:cs="Arial"/>
          <w:sz w:val="24"/>
          <w:szCs w:val="24"/>
        </w:rPr>
      </w:pPr>
    </w:p>
    <w:p w:rsidR="00EC3518" w:rsidRDefault="00EC3518" w:rsidP="002617B7">
      <w:pPr>
        <w:spacing w:line="360" w:lineRule="auto"/>
        <w:jc w:val="both"/>
        <w:rPr>
          <w:rFonts w:ascii="Arial" w:hAnsi="Arial" w:cs="Arial"/>
          <w:sz w:val="24"/>
          <w:szCs w:val="24"/>
        </w:rPr>
      </w:pPr>
    </w:p>
    <w:p w:rsidR="002617B7" w:rsidRPr="002E4F28" w:rsidRDefault="002617B7" w:rsidP="002617B7">
      <w:pPr>
        <w:pStyle w:val="ListParagraph"/>
        <w:numPr>
          <w:ilvl w:val="0"/>
          <w:numId w:val="1"/>
        </w:numPr>
        <w:shd w:val="clear" w:color="auto" w:fill="70AD47" w:themeFill="accent6"/>
        <w:tabs>
          <w:tab w:val="left" w:pos="720"/>
        </w:tabs>
        <w:spacing w:line="360" w:lineRule="auto"/>
        <w:ind w:hanging="1440"/>
        <w:rPr>
          <w:rFonts w:ascii="Arial" w:hAnsi="Arial" w:cs="Arial"/>
          <w:b/>
        </w:rPr>
      </w:pPr>
      <w:r w:rsidRPr="002E4F28">
        <w:rPr>
          <w:rFonts w:ascii="Arial" w:hAnsi="Arial" w:cs="Arial"/>
          <w:b/>
        </w:rPr>
        <w:t xml:space="preserve">Introduction </w:t>
      </w:r>
    </w:p>
    <w:p w:rsidR="002617B7" w:rsidRPr="002E4F28" w:rsidRDefault="002617B7" w:rsidP="002617B7">
      <w:pPr>
        <w:spacing w:after="0" w:line="240" w:lineRule="auto"/>
        <w:jc w:val="both"/>
        <w:rPr>
          <w:rFonts w:ascii="Arial" w:hAnsi="Arial" w:cs="Arial"/>
          <w:sz w:val="24"/>
          <w:szCs w:val="24"/>
          <w:lang w:val="en-US"/>
        </w:rPr>
      </w:pPr>
    </w:p>
    <w:p w:rsidR="002547BB" w:rsidRPr="007577C4" w:rsidRDefault="002547BB" w:rsidP="00BF54B4">
      <w:pPr>
        <w:pStyle w:val="Heading1"/>
        <w:numPr>
          <w:ilvl w:val="1"/>
          <w:numId w:val="13"/>
        </w:numPr>
        <w:rPr>
          <w:rFonts w:ascii="Arial" w:hAnsi="Arial" w:cs="Arial"/>
          <w:b/>
          <w:color w:val="auto"/>
          <w:sz w:val="24"/>
          <w:szCs w:val="24"/>
          <w:lang w:val="en-US"/>
        </w:rPr>
      </w:pPr>
      <w:r w:rsidRPr="007577C4">
        <w:rPr>
          <w:rFonts w:ascii="Arial" w:hAnsi="Arial" w:cs="Arial"/>
          <w:b/>
          <w:color w:val="auto"/>
          <w:sz w:val="24"/>
          <w:szCs w:val="24"/>
          <w:lang w:val="en-US"/>
        </w:rPr>
        <w:t>Background</w:t>
      </w:r>
    </w:p>
    <w:p w:rsidR="007577C4" w:rsidRDefault="00D52A12" w:rsidP="00D52A12">
      <w:pPr>
        <w:spacing w:after="0" w:line="240" w:lineRule="auto"/>
        <w:jc w:val="both"/>
        <w:rPr>
          <w:rFonts w:ascii="Arial" w:hAnsi="Arial" w:cs="Arial"/>
          <w:sz w:val="24"/>
          <w:szCs w:val="24"/>
          <w:lang w:val="en-US"/>
        </w:rPr>
      </w:pPr>
      <w:r w:rsidRPr="002E4F28">
        <w:rPr>
          <w:rFonts w:ascii="Arial" w:hAnsi="Arial" w:cs="Arial"/>
          <w:sz w:val="24"/>
          <w:szCs w:val="24"/>
          <w:lang w:val="en-US"/>
        </w:rPr>
        <w:t xml:space="preserve">In February 2017 the Hon. Yunus Ismail Carrim, MP and Chairperson of the Standing Committee on Finance, as well as the Hon. Joan Fubbs, MP and Chairperson of the Portfolio Committee on Trade and Industry, issued the following public invitation: </w:t>
      </w:r>
    </w:p>
    <w:p w:rsidR="007577C4" w:rsidRDefault="007577C4" w:rsidP="00D52A12">
      <w:pPr>
        <w:spacing w:after="0" w:line="240" w:lineRule="auto"/>
        <w:jc w:val="both"/>
        <w:rPr>
          <w:rFonts w:ascii="Arial" w:hAnsi="Arial" w:cs="Arial"/>
          <w:sz w:val="24"/>
          <w:szCs w:val="24"/>
          <w:lang w:val="en-US"/>
        </w:rPr>
      </w:pPr>
    </w:p>
    <w:p w:rsidR="00D52A12" w:rsidRDefault="00D52A12" w:rsidP="00D52A12">
      <w:pPr>
        <w:spacing w:after="0" w:line="240" w:lineRule="auto"/>
        <w:jc w:val="both"/>
        <w:rPr>
          <w:rFonts w:ascii="Arial" w:hAnsi="Arial" w:cs="Arial"/>
          <w:i/>
          <w:sz w:val="24"/>
          <w:szCs w:val="24"/>
          <w:lang w:val="en-US"/>
        </w:rPr>
      </w:pPr>
      <w:r w:rsidRPr="00C444F0">
        <w:rPr>
          <w:rFonts w:ascii="Arial" w:hAnsi="Arial" w:cs="Arial"/>
          <w:i/>
          <w:sz w:val="24"/>
          <w:szCs w:val="24"/>
          <w:lang w:val="en-US"/>
        </w:rPr>
        <w:t>“The Standing Committee on Finance (SCOF) hereby invites members of the public, interested and affected parties and stakeholders to make comments on the transformation of the Financial Sector. This will include a focus on its deracialisation; high level of monopoly; progress on implementation of the Financial Sector Charter and other related matters.”</w:t>
      </w:r>
    </w:p>
    <w:p w:rsidR="002547BB" w:rsidRPr="002B0516" w:rsidRDefault="0074740C" w:rsidP="00BF54B4">
      <w:pPr>
        <w:pStyle w:val="Heading1"/>
        <w:numPr>
          <w:ilvl w:val="1"/>
          <w:numId w:val="13"/>
        </w:numPr>
        <w:rPr>
          <w:rFonts w:ascii="Arial" w:hAnsi="Arial" w:cs="Arial"/>
          <w:b/>
          <w:color w:val="auto"/>
          <w:sz w:val="24"/>
          <w:szCs w:val="24"/>
          <w:lang w:val="en-US"/>
        </w:rPr>
      </w:pPr>
      <w:r>
        <w:rPr>
          <w:rFonts w:ascii="Arial" w:hAnsi="Arial" w:cs="Arial"/>
          <w:b/>
          <w:color w:val="auto"/>
          <w:sz w:val="24"/>
          <w:szCs w:val="24"/>
          <w:lang w:val="en-US"/>
        </w:rPr>
        <w:t>Purpose of this</w:t>
      </w:r>
      <w:r w:rsidR="002547BB" w:rsidRPr="00E57828">
        <w:rPr>
          <w:rFonts w:ascii="Arial" w:hAnsi="Arial" w:cs="Arial"/>
          <w:b/>
          <w:color w:val="auto"/>
          <w:sz w:val="24"/>
          <w:szCs w:val="24"/>
          <w:lang w:val="en-US"/>
        </w:rPr>
        <w:t xml:space="preserve"> submission</w:t>
      </w:r>
    </w:p>
    <w:p w:rsidR="002547BB" w:rsidRDefault="00D52A12" w:rsidP="002547BB">
      <w:pPr>
        <w:spacing w:after="0" w:line="240" w:lineRule="auto"/>
        <w:jc w:val="both"/>
        <w:rPr>
          <w:rFonts w:ascii="Arial" w:hAnsi="Arial" w:cs="Arial"/>
          <w:sz w:val="24"/>
          <w:szCs w:val="24"/>
          <w:lang w:val="en-US"/>
        </w:rPr>
      </w:pPr>
      <w:r w:rsidRPr="002E4F28">
        <w:rPr>
          <w:rFonts w:ascii="Arial" w:hAnsi="Arial" w:cs="Arial"/>
          <w:sz w:val="24"/>
          <w:szCs w:val="24"/>
          <w:lang w:val="en-US"/>
        </w:rPr>
        <w:t>Th</w:t>
      </w:r>
      <w:r w:rsidR="00886AD4">
        <w:rPr>
          <w:rFonts w:ascii="Arial" w:hAnsi="Arial" w:cs="Arial"/>
          <w:sz w:val="24"/>
          <w:szCs w:val="24"/>
          <w:lang w:val="en-US"/>
        </w:rPr>
        <w:t>e purpose of th</w:t>
      </w:r>
      <w:r w:rsidR="002B0516">
        <w:rPr>
          <w:rFonts w:ascii="Arial" w:hAnsi="Arial" w:cs="Arial"/>
          <w:sz w:val="24"/>
          <w:szCs w:val="24"/>
          <w:lang w:val="en-US"/>
        </w:rPr>
        <w:t>is submission by the</w:t>
      </w:r>
      <w:r w:rsidR="00D72132">
        <w:rPr>
          <w:rFonts w:ascii="Arial" w:hAnsi="Arial" w:cs="Arial"/>
          <w:sz w:val="24"/>
          <w:szCs w:val="24"/>
          <w:lang w:val="en-US"/>
        </w:rPr>
        <w:t xml:space="preserve"> </w:t>
      </w:r>
      <w:r w:rsidRPr="002E4F28">
        <w:rPr>
          <w:rFonts w:ascii="Arial" w:hAnsi="Arial" w:cs="Arial"/>
          <w:sz w:val="24"/>
          <w:szCs w:val="24"/>
          <w:lang w:val="en-US"/>
        </w:rPr>
        <w:t>National Empowerment Fund (NEF)</w:t>
      </w:r>
      <w:r w:rsidR="00886AD4">
        <w:rPr>
          <w:rFonts w:ascii="Arial" w:hAnsi="Arial" w:cs="Arial"/>
          <w:sz w:val="24"/>
          <w:szCs w:val="24"/>
          <w:lang w:val="en-US"/>
        </w:rPr>
        <w:t xml:space="preserve"> </w:t>
      </w:r>
      <w:r w:rsidRPr="002E4F28">
        <w:rPr>
          <w:rFonts w:ascii="Arial" w:hAnsi="Arial" w:cs="Arial"/>
          <w:sz w:val="24"/>
          <w:szCs w:val="24"/>
          <w:lang w:val="en-US"/>
        </w:rPr>
        <w:t xml:space="preserve">is in response to the invitation by the Parliament of the Republic of South Africa through the Standing Committee on Finance for written or oral submissions at public hearings that will be held </w:t>
      </w:r>
      <w:r w:rsidR="002B0516">
        <w:rPr>
          <w:rFonts w:ascii="Arial" w:hAnsi="Arial" w:cs="Arial"/>
          <w:sz w:val="24"/>
          <w:szCs w:val="24"/>
          <w:lang w:val="en-US"/>
        </w:rPr>
        <w:t xml:space="preserve">in </w:t>
      </w:r>
      <w:r w:rsidRPr="002E4F28">
        <w:rPr>
          <w:rFonts w:ascii="Arial" w:hAnsi="Arial" w:cs="Arial"/>
          <w:sz w:val="24"/>
          <w:szCs w:val="24"/>
          <w:lang w:val="en-US"/>
        </w:rPr>
        <w:t xml:space="preserve">March 2017 on the transformation of the </w:t>
      </w:r>
      <w:r w:rsidR="002B0516">
        <w:rPr>
          <w:rFonts w:ascii="Arial" w:hAnsi="Arial" w:cs="Arial"/>
          <w:sz w:val="24"/>
          <w:szCs w:val="24"/>
          <w:lang w:val="en-US"/>
        </w:rPr>
        <w:t>f</w:t>
      </w:r>
      <w:r w:rsidR="002B0516" w:rsidRPr="002E4F28">
        <w:rPr>
          <w:rFonts w:ascii="Arial" w:hAnsi="Arial" w:cs="Arial"/>
          <w:sz w:val="24"/>
          <w:szCs w:val="24"/>
          <w:lang w:val="en-US"/>
        </w:rPr>
        <w:t xml:space="preserve">inancial </w:t>
      </w:r>
      <w:r w:rsidR="002B0516">
        <w:rPr>
          <w:rFonts w:ascii="Arial" w:hAnsi="Arial" w:cs="Arial"/>
          <w:sz w:val="24"/>
          <w:szCs w:val="24"/>
          <w:lang w:val="en-US"/>
        </w:rPr>
        <w:t>s</w:t>
      </w:r>
      <w:r w:rsidR="002B0516" w:rsidRPr="002E4F28">
        <w:rPr>
          <w:rFonts w:ascii="Arial" w:hAnsi="Arial" w:cs="Arial"/>
          <w:sz w:val="24"/>
          <w:szCs w:val="24"/>
          <w:lang w:val="en-US"/>
        </w:rPr>
        <w:t>ector</w:t>
      </w:r>
      <w:r w:rsidRPr="002E4F28">
        <w:rPr>
          <w:rFonts w:ascii="Arial" w:hAnsi="Arial" w:cs="Arial"/>
          <w:sz w:val="24"/>
          <w:szCs w:val="24"/>
          <w:lang w:val="en-US"/>
        </w:rPr>
        <w:t xml:space="preserve">. </w:t>
      </w:r>
      <w:r w:rsidR="00886AD4">
        <w:rPr>
          <w:rFonts w:ascii="Arial" w:hAnsi="Arial" w:cs="Arial"/>
          <w:sz w:val="24"/>
          <w:szCs w:val="24"/>
          <w:lang w:val="en-US"/>
        </w:rPr>
        <w:t xml:space="preserve">Through this </w:t>
      </w:r>
      <w:r w:rsidR="002B0516">
        <w:rPr>
          <w:rFonts w:ascii="Arial" w:hAnsi="Arial" w:cs="Arial"/>
          <w:sz w:val="24"/>
          <w:szCs w:val="24"/>
          <w:lang w:val="en-US"/>
        </w:rPr>
        <w:t>submission the</w:t>
      </w:r>
      <w:r w:rsidR="00886AD4">
        <w:rPr>
          <w:rFonts w:ascii="Arial" w:hAnsi="Arial" w:cs="Arial"/>
          <w:sz w:val="24"/>
          <w:szCs w:val="24"/>
          <w:lang w:val="en-US"/>
        </w:rPr>
        <w:t xml:space="preserve"> NEF seeks to </w:t>
      </w:r>
      <w:r w:rsidR="002547BB">
        <w:rPr>
          <w:rFonts w:ascii="Arial" w:hAnsi="Arial" w:cs="Arial"/>
          <w:sz w:val="24"/>
          <w:szCs w:val="24"/>
          <w:lang w:val="en-US"/>
        </w:rPr>
        <w:t xml:space="preserve">provide the following: </w:t>
      </w:r>
    </w:p>
    <w:p w:rsidR="002B0516" w:rsidRDefault="002B0516" w:rsidP="002547BB">
      <w:pPr>
        <w:spacing w:after="0" w:line="240" w:lineRule="auto"/>
        <w:jc w:val="both"/>
        <w:rPr>
          <w:rFonts w:ascii="Arial" w:hAnsi="Arial" w:cs="Arial"/>
          <w:sz w:val="24"/>
          <w:szCs w:val="24"/>
          <w:lang w:val="en-US"/>
        </w:rPr>
      </w:pPr>
    </w:p>
    <w:p w:rsidR="002547BB" w:rsidRPr="00C444F0" w:rsidRDefault="009D5F9E" w:rsidP="00BF54B4">
      <w:pPr>
        <w:pStyle w:val="ListParagraph"/>
        <w:numPr>
          <w:ilvl w:val="0"/>
          <w:numId w:val="12"/>
        </w:numPr>
        <w:jc w:val="both"/>
        <w:rPr>
          <w:rFonts w:ascii="Arial" w:hAnsi="Arial" w:cs="Arial"/>
          <w:lang w:val="en-US"/>
        </w:rPr>
      </w:pPr>
      <w:r>
        <w:rPr>
          <w:rFonts w:ascii="Arial" w:hAnsi="Arial" w:cs="Arial"/>
          <w:lang w:val="en-US"/>
        </w:rPr>
        <w:t>A p</w:t>
      </w:r>
      <w:r w:rsidR="002547BB" w:rsidRPr="00C444F0">
        <w:rPr>
          <w:rFonts w:ascii="Arial" w:hAnsi="Arial" w:cs="Arial"/>
          <w:lang w:val="en-US"/>
        </w:rPr>
        <w:t xml:space="preserve">erspective </w:t>
      </w:r>
      <w:r>
        <w:rPr>
          <w:rFonts w:ascii="Arial" w:hAnsi="Arial" w:cs="Arial"/>
          <w:lang w:val="en-US"/>
        </w:rPr>
        <w:t xml:space="preserve">on the </w:t>
      </w:r>
      <w:r w:rsidR="002547BB" w:rsidRPr="00C444F0">
        <w:rPr>
          <w:rFonts w:ascii="Arial" w:hAnsi="Arial" w:cs="Arial"/>
          <w:lang w:val="en-US"/>
        </w:rPr>
        <w:t xml:space="preserve"> transformation journey of the financial sector;</w:t>
      </w:r>
    </w:p>
    <w:p w:rsidR="00886AD4" w:rsidRDefault="009D5F9E" w:rsidP="00BF54B4">
      <w:pPr>
        <w:pStyle w:val="ListParagraph"/>
        <w:numPr>
          <w:ilvl w:val="0"/>
          <w:numId w:val="12"/>
        </w:numPr>
        <w:jc w:val="both"/>
        <w:rPr>
          <w:rFonts w:ascii="Arial" w:hAnsi="Arial" w:cs="Arial"/>
          <w:lang w:val="en-US"/>
        </w:rPr>
      </w:pPr>
      <w:r>
        <w:rPr>
          <w:rFonts w:ascii="Arial" w:hAnsi="Arial" w:cs="Arial"/>
          <w:lang w:val="en-US"/>
        </w:rPr>
        <w:t xml:space="preserve">An analysis of ownership </w:t>
      </w:r>
      <w:r w:rsidRPr="00886AD4">
        <w:rPr>
          <w:rFonts w:ascii="Arial" w:hAnsi="Arial" w:cs="Arial"/>
          <w:lang w:val="en-US"/>
        </w:rPr>
        <w:t xml:space="preserve">of </w:t>
      </w:r>
      <w:r>
        <w:rPr>
          <w:rFonts w:ascii="Arial" w:hAnsi="Arial" w:cs="Arial"/>
          <w:lang w:val="en-US"/>
        </w:rPr>
        <w:t>financial services companies listed on the Johannesburg Stock Exchange (</w:t>
      </w:r>
      <w:r w:rsidRPr="00886AD4">
        <w:rPr>
          <w:rFonts w:ascii="Arial" w:hAnsi="Arial" w:cs="Arial"/>
          <w:lang w:val="en-US"/>
        </w:rPr>
        <w:t>JSE</w:t>
      </w:r>
      <w:r>
        <w:rPr>
          <w:rFonts w:ascii="Arial" w:hAnsi="Arial" w:cs="Arial"/>
          <w:lang w:val="en-US"/>
        </w:rPr>
        <w:t>) in terms  of Broad-</w:t>
      </w:r>
      <w:r w:rsidR="0063647B">
        <w:rPr>
          <w:rFonts w:ascii="Arial" w:hAnsi="Arial" w:cs="Arial"/>
          <w:lang w:val="en-US"/>
        </w:rPr>
        <w:t>Based Black Economic Empowerment (</w:t>
      </w:r>
      <w:r w:rsidR="00886AD4" w:rsidRPr="00886AD4">
        <w:rPr>
          <w:rFonts w:ascii="Arial" w:hAnsi="Arial" w:cs="Arial"/>
          <w:lang w:val="en-US"/>
        </w:rPr>
        <w:t>B-BBEE</w:t>
      </w:r>
      <w:r w:rsidR="0063647B">
        <w:rPr>
          <w:rFonts w:ascii="Arial" w:hAnsi="Arial" w:cs="Arial"/>
          <w:lang w:val="en-US"/>
        </w:rPr>
        <w:t>)</w:t>
      </w:r>
      <w:r w:rsidR="00886AD4" w:rsidRPr="00886AD4">
        <w:rPr>
          <w:rFonts w:ascii="Arial" w:hAnsi="Arial" w:cs="Arial"/>
          <w:lang w:val="en-US"/>
        </w:rPr>
        <w:t xml:space="preserve"> performance</w:t>
      </w:r>
      <w:r w:rsidR="002B0516">
        <w:rPr>
          <w:rFonts w:ascii="Arial" w:hAnsi="Arial" w:cs="Arial"/>
          <w:lang w:val="en-US"/>
        </w:rPr>
        <w:t>;</w:t>
      </w:r>
    </w:p>
    <w:p w:rsidR="00886AD4" w:rsidRPr="00886AD4" w:rsidRDefault="00886AD4" w:rsidP="00BF54B4">
      <w:pPr>
        <w:pStyle w:val="ListParagraph"/>
        <w:numPr>
          <w:ilvl w:val="0"/>
          <w:numId w:val="12"/>
        </w:numPr>
        <w:jc w:val="both"/>
        <w:rPr>
          <w:rFonts w:ascii="Arial" w:hAnsi="Arial" w:cs="Arial"/>
          <w:lang w:val="en-US"/>
        </w:rPr>
      </w:pPr>
      <w:r w:rsidRPr="00886AD4">
        <w:rPr>
          <w:rFonts w:ascii="Arial" w:hAnsi="Arial" w:cs="Arial"/>
          <w:lang w:val="en-US"/>
        </w:rPr>
        <w:t xml:space="preserve">Comparison of the </w:t>
      </w:r>
      <w:r w:rsidR="0084058E">
        <w:rPr>
          <w:rFonts w:ascii="Arial" w:hAnsi="Arial" w:cs="Arial"/>
          <w:lang w:val="en-US"/>
        </w:rPr>
        <w:t xml:space="preserve">Draft Amended </w:t>
      </w:r>
      <w:r w:rsidRPr="00886AD4">
        <w:rPr>
          <w:rFonts w:ascii="Arial" w:hAnsi="Arial" w:cs="Arial"/>
          <w:lang w:val="en-US"/>
        </w:rPr>
        <w:t>F</w:t>
      </w:r>
      <w:r w:rsidR="002B0516">
        <w:rPr>
          <w:rFonts w:ascii="Arial" w:hAnsi="Arial" w:cs="Arial"/>
          <w:lang w:val="en-US"/>
        </w:rPr>
        <w:t xml:space="preserve">inancial </w:t>
      </w:r>
      <w:r w:rsidRPr="00886AD4">
        <w:rPr>
          <w:rFonts w:ascii="Arial" w:hAnsi="Arial" w:cs="Arial"/>
          <w:lang w:val="en-US"/>
        </w:rPr>
        <w:t>S</w:t>
      </w:r>
      <w:r w:rsidR="002B0516">
        <w:rPr>
          <w:rFonts w:ascii="Arial" w:hAnsi="Arial" w:cs="Arial"/>
          <w:lang w:val="en-US"/>
        </w:rPr>
        <w:t xml:space="preserve">ector </w:t>
      </w:r>
      <w:r w:rsidRPr="00886AD4">
        <w:rPr>
          <w:rFonts w:ascii="Arial" w:hAnsi="Arial" w:cs="Arial"/>
          <w:lang w:val="en-US"/>
        </w:rPr>
        <w:t>C</w:t>
      </w:r>
      <w:r w:rsidR="0063647B">
        <w:rPr>
          <w:rFonts w:ascii="Arial" w:hAnsi="Arial" w:cs="Arial"/>
          <w:lang w:val="en-US"/>
        </w:rPr>
        <w:t>ode</w:t>
      </w:r>
      <w:r w:rsidR="0084058E">
        <w:rPr>
          <w:rFonts w:ascii="Arial" w:hAnsi="Arial" w:cs="Arial"/>
          <w:lang w:val="en-US"/>
        </w:rPr>
        <w:t xml:space="preserve"> </w:t>
      </w:r>
      <w:r w:rsidR="0063647B">
        <w:rPr>
          <w:rFonts w:ascii="Arial" w:hAnsi="Arial" w:cs="Arial"/>
          <w:lang w:val="en-US"/>
        </w:rPr>
        <w:t xml:space="preserve"> (</w:t>
      </w:r>
      <w:r w:rsidR="0084058E">
        <w:rPr>
          <w:rFonts w:ascii="Arial" w:hAnsi="Arial" w:cs="Arial"/>
          <w:lang w:val="en-US"/>
        </w:rPr>
        <w:t xml:space="preserve">Draft Amended </w:t>
      </w:r>
      <w:r w:rsidR="0063647B">
        <w:rPr>
          <w:rFonts w:ascii="Arial" w:hAnsi="Arial" w:cs="Arial"/>
          <w:lang w:val="en-US"/>
        </w:rPr>
        <w:t>FSC)</w:t>
      </w:r>
      <w:r w:rsidRPr="00886AD4">
        <w:rPr>
          <w:rFonts w:ascii="Arial" w:hAnsi="Arial" w:cs="Arial"/>
          <w:lang w:val="en-US"/>
        </w:rPr>
        <w:t xml:space="preserve"> against the </w:t>
      </w:r>
      <w:r w:rsidR="0063647B">
        <w:rPr>
          <w:rFonts w:ascii="Arial" w:hAnsi="Arial" w:cs="Arial"/>
          <w:lang w:val="en-US"/>
        </w:rPr>
        <w:t xml:space="preserve">Amended Codes of Good Practice (the </w:t>
      </w:r>
      <w:r w:rsidRPr="00886AD4">
        <w:rPr>
          <w:rFonts w:ascii="Arial" w:hAnsi="Arial" w:cs="Arial"/>
          <w:lang w:val="en-US"/>
        </w:rPr>
        <w:t>Codes</w:t>
      </w:r>
      <w:r w:rsidR="0063647B">
        <w:rPr>
          <w:rFonts w:ascii="Arial" w:hAnsi="Arial" w:cs="Arial"/>
          <w:lang w:val="en-US"/>
        </w:rPr>
        <w:t>)</w:t>
      </w:r>
      <w:r w:rsidRPr="00886AD4">
        <w:rPr>
          <w:rFonts w:ascii="Arial" w:hAnsi="Arial" w:cs="Arial"/>
          <w:lang w:val="en-US"/>
        </w:rPr>
        <w:t xml:space="preserve"> and the 2012 FSC</w:t>
      </w:r>
      <w:r w:rsidR="002B0516">
        <w:rPr>
          <w:rFonts w:ascii="Arial" w:hAnsi="Arial" w:cs="Arial"/>
          <w:lang w:val="en-US"/>
        </w:rPr>
        <w:t>;</w:t>
      </w:r>
      <w:r w:rsidRPr="00886AD4">
        <w:rPr>
          <w:rFonts w:ascii="Arial" w:hAnsi="Arial" w:cs="Arial"/>
          <w:lang w:val="en-US"/>
        </w:rPr>
        <w:t xml:space="preserve">  </w:t>
      </w:r>
    </w:p>
    <w:p w:rsidR="00886AD4" w:rsidRPr="00886AD4" w:rsidRDefault="0063647B" w:rsidP="00BF54B4">
      <w:pPr>
        <w:pStyle w:val="ListParagraph"/>
        <w:numPr>
          <w:ilvl w:val="0"/>
          <w:numId w:val="12"/>
        </w:numPr>
        <w:jc w:val="both"/>
        <w:rPr>
          <w:rFonts w:ascii="Arial" w:hAnsi="Arial" w:cs="Arial"/>
          <w:lang w:val="en-US"/>
        </w:rPr>
      </w:pPr>
      <w:r>
        <w:rPr>
          <w:rFonts w:ascii="Arial" w:hAnsi="Arial" w:cs="Arial"/>
          <w:lang w:val="en-US"/>
        </w:rPr>
        <w:t>P</w:t>
      </w:r>
      <w:r w:rsidR="00886AD4" w:rsidRPr="00886AD4">
        <w:rPr>
          <w:rFonts w:ascii="Arial" w:hAnsi="Arial" w:cs="Arial"/>
          <w:lang w:val="en-US"/>
        </w:rPr>
        <w:t xml:space="preserve">roposed </w:t>
      </w:r>
      <w:r>
        <w:rPr>
          <w:rFonts w:ascii="Arial" w:hAnsi="Arial" w:cs="Arial"/>
          <w:lang w:val="en-US"/>
        </w:rPr>
        <w:t xml:space="preserve">NEF </w:t>
      </w:r>
      <w:r w:rsidR="00886AD4" w:rsidRPr="00886AD4">
        <w:rPr>
          <w:rFonts w:ascii="Arial" w:hAnsi="Arial" w:cs="Arial"/>
          <w:lang w:val="en-US"/>
        </w:rPr>
        <w:t xml:space="preserve">improvements to the </w:t>
      </w:r>
      <w:r w:rsidR="0084058E">
        <w:rPr>
          <w:rFonts w:ascii="Arial" w:hAnsi="Arial" w:cs="Arial"/>
          <w:lang w:val="en-US"/>
        </w:rPr>
        <w:t>Draft Amended FSC</w:t>
      </w:r>
      <w:r w:rsidR="002B0516">
        <w:rPr>
          <w:rFonts w:ascii="Arial" w:hAnsi="Arial" w:cs="Arial"/>
          <w:lang w:val="en-US"/>
        </w:rPr>
        <w:t>; and</w:t>
      </w:r>
    </w:p>
    <w:p w:rsidR="002B0516" w:rsidRDefault="00886AD4" w:rsidP="00BF54B4">
      <w:pPr>
        <w:pStyle w:val="ListParagraph"/>
        <w:numPr>
          <w:ilvl w:val="0"/>
          <w:numId w:val="12"/>
        </w:numPr>
        <w:jc w:val="both"/>
        <w:rPr>
          <w:rFonts w:ascii="Arial" w:hAnsi="Arial" w:cs="Arial"/>
          <w:lang w:val="en-US"/>
        </w:rPr>
      </w:pPr>
      <w:r w:rsidRPr="00886AD4">
        <w:rPr>
          <w:rFonts w:ascii="Arial" w:hAnsi="Arial" w:cs="Arial"/>
          <w:lang w:val="en-US"/>
        </w:rPr>
        <w:t>Opportunities for further transformation in the financial services sector</w:t>
      </w:r>
      <w:r w:rsidR="0084058E">
        <w:rPr>
          <w:rFonts w:ascii="Arial" w:hAnsi="Arial" w:cs="Arial"/>
          <w:lang w:val="en-US"/>
        </w:rPr>
        <w:t xml:space="preserve"> such as the establishment of a directly owned Black bank.</w:t>
      </w:r>
      <w:r w:rsidRPr="00886AD4">
        <w:rPr>
          <w:rFonts w:ascii="Arial" w:hAnsi="Arial" w:cs="Arial"/>
          <w:lang w:val="en-US"/>
        </w:rPr>
        <w:t xml:space="preserve"> </w:t>
      </w:r>
    </w:p>
    <w:p w:rsidR="00886AD4" w:rsidRPr="00886AD4" w:rsidRDefault="00886AD4" w:rsidP="0084058E">
      <w:pPr>
        <w:pStyle w:val="ListParagraph"/>
        <w:jc w:val="both"/>
        <w:rPr>
          <w:rFonts w:ascii="Arial" w:hAnsi="Arial" w:cs="Arial"/>
          <w:lang w:val="en-US"/>
        </w:rPr>
      </w:pPr>
      <w:r w:rsidRPr="00886AD4">
        <w:rPr>
          <w:rFonts w:ascii="Arial" w:hAnsi="Arial" w:cs="Arial"/>
          <w:lang w:val="en-US"/>
        </w:rPr>
        <w:t xml:space="preserve"> </w:t>
      </w:r>
    </w:p>
    <w:p w:rsidR="005D39F7" w:rsidRDefault="005D39F7" w:rsidP="004C1B3A">
      <w:pPr>
        <w:spacing w:after="0" w:line="240" w:lineRule="auto"/>
        <w:jc w:val="both"/>
        <w:rPr>
          <w:rFonts w:ascii="Arial" w:hAnsi="Arial" w:cs="Arial"/>
          <w:sz w:val="24"/>
          <w:szCs w:val="24"/>
          <w:lang w:val="en-US"/>
        </w:rPr>
      </w:pPr>
      <w:r>
        <w:rPr>
          <w:rFonts w:ascii="Arial" w:hAnsi="Arial" w:cs="Arial"/>
          <w:sz w:val="24"/>
          <w:szCs w:val="24"/>
          <w:lang w:val="en-US"/>
        </w:rPr>
        <w:t>In particular, the NEF wishes to see improvements</w:t>
      </w:r>
      <w:r w:rsidRPr="005D39F7">
        <w:rPr>
          <w:rFonts w:ascii="Arial" w:hAnsi="Arial" w:cs="Arial"/>
          <w:sz w:val="24"/>
          <w:szCs w:val="24"/>
          <w:lang w:val="en-US"/>
        </w:rPr>
        <w:t xml:space="preserve"> </w:t>
      </w:r>
      <w:r>
        <w:rPr>
          <w:rFonts w:ascii="Arial" w:hAnsi="Arial" w:cs="Arial"/>
          <w:sz w:val="24"/>
          <w:szCs w:val="24"/>
          <w:lang w:val="en-US"/>
        </w:rPr>
        <w:t>in the following key areas:</w:t>
      </w:r>
    </w:p>
    <w:p w:rsidR="009C7B6B" w:rsidRPr="009C7B6B" w:rsidRDefault="009C7B6B" w:rsidP="00BF54B4">
      <w:pPr>
        <w:pStyle w:val="ListParagraph"/>
        <w:numPr>
          <w:ilvl w:val="0"/>
          <w:numId w:val="28"/>
        </w:numPr>
        <w:jc w:val="both"/>
        <w:rPr>
          <w:rFonts w:ascii="Arial" w:hAnsi="Arial" w:cs="Arial"/>
          <w:lang w:val="en-US"/>
        </w:rPr>
      </w:pPr>
      <w:r w:rsidRPr="009C7B6B">
        <w:rPr>
          <w:rFonts w:ascii="Arial" w:hAnsi="Arial" w:cs="Arial"/>
          <w:lang w:val="en-US"/>
        </w:rPr>
        <w:t xml:space="preserve">Targeted Investment </w:t>
      </w:r>
    </w:p>
    <w:p w:rsidR="009C7B6B" w:rsidRPr="009C7B6B" w:rsidRDefault="009C7B6B" w:rsidP="00BF54B4">
      <w:pPr>
        <w:pStyle w:val="ListParagraph"/>
        <w:numPr>
          <w:ilvl w:val="1"/>
          <w:numId w:val="28"/>
        </w:numPr>
        <w:jc w:val="both"/>
        <w:rPr>
          <w:rFonts w:ascii="Arial" w:hAnsi="Arial" w:cs="Arial"/>
          <w:lang w:val="en-US"/>
        </w:rPr>
      </w:pPr>
      <w:r w:rsidRPr="009C7B6B">
        <w:rPr>
          <w:rFonts w:ascii="Arial" w:hAnsi="Arial" w:cs="Arial"/>
          <w:lang w:val="en-US"/>
        </w:rPr>
        <w:t>Transformational Infrastructure</w:t>
      </w:r>
    </w:p>
    <w:p w:rsidR="009C7B6B" w:rsidRPr="009C7B6B" w:rsidRDefault="009C7B6B" w:rsidP="00BF54B4">
      <w:pPr>
        <w:pStyle w:val="ListParagraph"/>
        <w:numPr>
          <w:ilvl w:val="1"/>
          <w:numId w:val="28"/>
        </w:numPr>
        <w:jc w:val="both"/>
        <w:rPr>
          <w:rFonts w:ascii="Arial" w:hAnsi="Arial" w:cs="Arial"/>
          <w:lang w:val="en-US"/>
        </w:rPr>
      </w:pPr>
      <w:r w:rsidRPr="009C7B6B">
        <w:rPr>
          <w:rFonts w:ascii="Arial" w:hAnsi="Arial" w:cs="Arial"/>
          <w:lang w:val="en-US"/>
        </w:rPr>
        <w:t>Black SME Financing</w:t>
      </w:r>
    </w:p>
    <w:p w:rsidR="009C7B6B" w:rsidRPr="009C7B6B" w:rsidRDefault="009C7B6B" w:rsidP="00BF54B4">
      <w:pPr>
        <w:pStyle w:val="ListParagraph"/>
        <w:numPr>
          <w:ilvl w:val="1"/>
          <w:numId w:val="28"/>
        </w:numPr>
        <w:jc w:val="both"/>
        <w:rPr>
          <w:rFonts w:ascii="Arial" w:hAnsi="Arial" w:cs="Arial"/>
          <w:lang w:val="en-US"/>
        </w:rPr>
      </w:pPr>
      <w:r w:rsidRPr="009C7B6B">
        <w:rPr>
          <w:rFonts w:ascii="Arial" w:hAnsi="Arial" w:cs="Arial"/>
          <w:lang w:val="en-US"/>
        </w:rPr>
        <w:t>Black agricultural financing</w:t>
      </w:r>
    </w:p>
    <w:p w:rsidR="009C7B6B" w:rsidRPr="009C7B6B" w:rsidRDefault="009C7B6B" w:rsidP="00BF54B4">
      <w:pPr>
        <w:pStyle w:val="ListParagraph"/>
        <w:numPr>
          <w:ilvl w:val="1"/>
          <w:numId w:val="28"/>
        </w:numPr>
        <w:jc w:val="both"/>
        <w:rPr>
          <w:rFonts w:ascii="Arial" w:hAnsi="Arial" w:cs="Arial"/>
          <w:lang w:val="en-US"/>
        </w:rPr>
      </w:pPr>
      <w:r w:rsidRPr="009C7B6B">
        <w:rPr>
          <w:rFonts w:ascii="Arial" w:hAnsi="Arial" w:cs="Arial"/>
          <w:lang w:val="en-US"/>
        </w:rPr>
        <w:t>Affordable housing</w:t>
      </w:r>
    </w:p>
    <w:p w:rsidR="009C7B6B" w:rsidRDefault="009C7B6B" w:rsidP="00BF54B4">
      <w:pPr>
        <w:pStyle w:val="ListParagraph"/>
        <w:numPr>
          <w:ilvl w:val="0"/>
          <w:numId w:val="28"/>
        </w:numPr>
        <w:jc w:val="both"/>
        <w:rPr>
          <w:rFonts w:ascii="Arial" w:hAnsi="Arial" w:cs="Arial"/>
          <w:lang w:val="en-US"/>
        </w:rPr>
      </w:pPr>
      <w:r w:rsidRPr="009C7B6B">
        <w:rPr>
          <w:rFonts w:ascii="Arial" w:hAnsi="Arial" w:cs="Arial"/>
          <w:lang w:val="en-US"/>
        </w:rPr>
        <w:t xml:space="preserve">BEE Transaction Financing and risk capital to support economic growth through </w:t>
      </w:r>
      <w:r w:rsidR="0084058E">
        <w:rPr>
          <w:rFonts w:ascii="Arial" w:hAnsi="Arial" w:cs="Arial"/>
          <w:lang w:val="en-US"/>
        </w:rPr>
        <w:t>B</w:t>
      </w:r>
      <w:r w:rsidRPr="009C7B6B">
        <w:rPr>
          <w:rFonts w:ascii="Arial" w:hAnsi="Arial" w:cs="Arial"/>
          <w:lang w:val="en-US"/>
        </w:rPr>
        <w:t xml:space="preserve">lack </w:t>
      </w:r>
      <w:r w:rsidR="0084058E">
        <w:rPr>
          <w:rFonts w:ascii="Arial" w:hAnsi="Arial" w:cs="Arial"/>
          <w:lang w:val="en-US"/>
        </w:rPr>
        <w:t>industrialisation;</w:t>
      </w:r>
    </w:p>
    <w:p w:rsidR="004C1B3A" w:rsidRPr="002B0516" w:rsidRDefault="005D39F7" w:rsidP="00BF54B4">
      <w:pPr>
        <w:pStyle w:val="ListParagraph"/>
        <w:numPr>
          <w:ilvl w:val="0"/>
          <w:numId w:val="28"/>
        </w:numPr>
        <w:jc w:val="both"/>
        <w:rPr>
          <w:rFonts w:ascii="Arial" w:hAnsi="Arial" w:cs="Arial"/>
          <w:lang w:val="en-US"/>
        </w:rPr>
      </w:pPr>
      <w:r w:rsidRPr="002B0516">
        <w:rPr>
          <w:rFonts w:ascii="Arial" w:hAnsi="Arial" w:cs="Arial"/>
          <w:lang w:val="en-US"/>
        </w:rPr>
        <w:t>Monitoring and Evaluation (M&amp;E); and</w:t>
      </w:r>
      <w:r w:rsidR="004C1B3A" w:rsidRPr="002B0516">
        <w:rPr>
          <w:rFonts w:ascii="Arial" w:hAnsi="Arial" w:cs="Arial"/>
          <w:lang w:val="en-US"/>
        </w:rPr>
        <w:t xml:space="preserve"> </w:t>
      </w:r>
    </w:p>
    <w:p w:rsidR="005D39F7" w:rsidRDefault="009C7B6B" w:rsidP="00BF54B4">
      <w:pPr>
        <w:pStyle w:val="ListParagraph"/>
        <w:numPr>
          <w:ilvl w:val="0"/>
          <w:numId w:val="28"/>
        </w:numPr>
        <w:jc w:val="both"/>
        <w:rPr>
          <w:rFonts w:ascii="Arial" w:hAnsi="Arial" w:cs="Arial"/>
          <w:lang w:val="en-US"/>
        </w:rPr>
      </w:pPr>
      <w:r>
        <w:rPr>
          <w:rFonts w:ascii="Arial" w:hAnsi="Arial" w:cs="Arial"/>
          <w:lang w:val="en-US"/>
        </w:rPr>
        <w:t>T</w:t>
      </w:r>
      <w:r w:rsidR="005D39F7">
        <w:rPr>
          <w:rFonts w:ascii="Arial" w:hAnsi="Arial" w:cs="Arial"/>
          <w:lang w:val="en-US"/>
        </w:rPr>
        <w:t xml:space="preserve">ransformative </w:t>
      </w:r>
      <w:r w:rsidR="005D39F7" w:rsidRPr="005D39F7">
        <w:rPr>
          <w:rFonts w:ascii="Arial" w:hAnsi="Arial" w:cs="Arial"/>
          <w:lang w:val="en-US"/>
        </w:rPr>
        <w:t>comp</w:t>
      </w:r>
      <w:r w:rsidR="005D39F7" w:rsidRPr="002B0516">
        <w:rPr>
          <w:rFonts w:ascii="Arial" w:hAnsi="Arial" w:cs="Arial"/>
          <w:lang w:val="en-US"/>
        </w:rPr>
        <w:t>eti</w:t>
      </w:r>
      <w:r w:rsidR="005D39F7">
        <w:rPr>
          <w:rFonts w:ascii="Arial" w:hAnsi="Arial" w:cs="Arial"/>
          <w:lang w:val="en-US"/>
        </w:rPr>
        <w:t>ti</w:t>
      </w:r>
      <w:r w:rsidR="005D39F7" w:rsidRPr="002B0516">
        <w:rPr>
          <w:rFonts w:ascii="Arial" w:hAnsi="Arial" w:cs="Arial"/>
          <w:lang w:val="en-US"/>
        </w:rPr>
        <w:t xml:space="preserve">on. </w:t>
      </w:r>
    </w:p>
    <w:p w:rsidR="009C7B6B" w:rsidRDefault="009C7B6B" w:rsidP="0084058E">
      <w:pPr>
        <w:ind w:left="720"/>
        <w:jc w:val="both"/>
        <w:rPr>
          <w:rFonts w:ascii="Arial" w:hAnsi="Arial" w:cs="Arial"/>
          <w:lang w:val="en-US"/>
        </w:rPr>
      </w:pPr>
    </w:p>
    <w:p w:rsidR="009C7B6B" w:rsidRDefault="009C7B6B" w:rsidP="0084058E">
      <w:pPr>
        <w:jc w:val="both"/>
        <w:rPr>
          <w:rFonts w:ascii="Arial" w:hAnsi="Arial" w:cs="Arial"/>
          <w:lang w:val="en-US"/>
        </w:rPr>
      </w:pPr>
    </w:p>
    <w:p w:rsidR="009C7B6B" w:rsidRPr="0084058E" w:rsidRDefault="009C7B6B" w:rsidP="0084058E">
      <w:pPr>
        <w:jc w:val="both"/>
        <w:rPr>
          <w:rFonts w:ascii="Arial" w:hAnsi="Arial" w:cs="Arial"/>
          <w:lang w:val="en-US"/>
        </w:rPr>
      </w:pPr>
    </w:p>
    <w:p w:rsidR="002547BB" w:rsidRPr="00E57828" w:rsidRDefault="002547BB" w:rsidP="0061686E">
      <w:pPr>
        <w:spacing w:after="0" w:line="240" w:lineRule="auto"/>
        <w:jc w:val="both"/>
        <w:rPr>
          <w:rFonts w:ascii="Arial" w:hAnsi="Arial" w:cs="Arial"/>
          <w:i/>
          <w:sz w:val="24"/>
          <w:szCs w:val="24"/>
          <w:lang w:val="en-US"/>
        </w:rPr>
      </w:pPr>
    </w:p>
    <w:p w:rsidR="00900B36" w:rsidRDefault="00900B36" w:rsidP="0061686E">
      <w:pPr>
        <w:spacing w:after="0" w:line="240" w:lineRule="auto"/>
        <w:jc w:val="both"/>
        <w:rPr>
          <w:rFonts w:ascii="Arial" w:hAnsi="Arial" w:cs="Arial"/>
          <w:sz w:val="24"/>
          <w:szCs w:val="24"/>
          <w:lang w:val="en-US"/>
        </w:rPr>
      </w:pPr>
    </w:p>
    <w:p w:rsidR="00900B36" w:rsidRPr="002E4F28" w:rsidRDefault="006D4631" w:rsidP="00900B36">
      <w:pPr>
        <w:pStyle w:val="ListParagraph"/>
        <w:numPr>
          <w:ilvl w:val="0"/>
          <w:numId w:val="1"/>
        </w:numPr>
        <w:shd w:val="clear" w:color="auto" w:fill="70AD47" w:themeFill="accent6"/>
        <w:tabs>
          <w:tab w:val="left" w:pos="720"/>
        </w:tabs>
        <w:spacing w:line="360" w:lineRule="auto"/>
        <w:ind w:hanging="1440"/>
        <w:rPr>
          <w:rFonts w:ascii="Arial" w:hAnsi="Arial" w:cs="Arial"/>
          <w:b/>
        </w:rPr>
      </w:pPr>
      <w:r>
        <w:rPr>
          <w:rFonts w:ascii="Arial" w:hAnsi="Arial" w:cs="Arial"/>
          <w:b/>
        </w:rPr>
        <w:t xml:space="preserve">About the NEF </w:t>
      </w:r>
      <w:r w:rsidR="00900B36" w:rsidRPr="002E4F28">
        <w:rPr>
          <w:rFonts w:ascii="Arial" w:hAnsi="Arial" w:cs="Arial"/>
          <w:b/>
        </w:rPr>
        <w:t xml:space="preserve"> </w:t>
      </w:r>
    </w:p>
    <w:p w:rsidR="00900B36" w:rsidRPr="002E4F28" w:rsidRDefault="00900B36" w:rsidP="00900B36">
      <w:pPr>
        <w:spacing w:after="0" w:line="240" w:lineRule="auto"/>
        <w:jc w:val="both"/>
        <w:rPr>
          <w:rFonts w:ascii="Arial" w:hAnsi="Arial" w:cs="Arial"/>
          <w:sz w:val="24"/>
          <w:szCs w:val="24"/>
          <w:lang w:val="en-US"/>
        </w:rPr>
      </w:pPr>
    </w:p>
    <w:p w:rsidR="00B701DE" w:rsidRDefault="00B701DE" w:rsidP="00B701DE">
      <w:pPr>
        <w:spacing w:after="0" w:line="240" w:lineRule="auto"/>
        <w:jc w:val="both"/>
        <w:rPr>
          <w:rFonts w:ascii="Arial" w:hAnsi="Arial" w:cs="Arial"/>
          <w:sz w:val="24"/>
          <w:szCs w:val="24"/>
          <w:lang w:val="en-US"/>
        </w:rPr>
      </w:pPr>
      <w:r w:rsidRPr="006D4631">
        <w:rPr>
          <w:rFonts w:ascii="Arial" w:hAnsi="Arial" w:cs="Arial"/>
          <w:sz w:val="24"/>
          <w:szCs w:val="24"/>
          <w:lang w:val="en-US"/>
        </w:rPr>
        <w:t xml:space="preserve">Established by the National Empowerment Fund Act No. 105 of 1998, the NEF is a driver and a thought-leader in promoting and facilitating black economic participation through the provision of financial and non-financial support to black businesses, as well as by promoting a culture of savings and investment among black people. </w:t>
      </w:r>
    </w:p>
    <w:p w:rsidR="00B701DE" w:rsidRPr="006D4631" w:rsidRDefault="00B701DE" w:rsidP="00B701DE">
      <w:pPr>
        <w:spacing w:after="0" w:line="240" w:lineRule="auto"/>
        <w:jc w:val="both"/>
        <w:rPr>
          <w:rFonts w:ascii="Arial" w:hAnsi="Arial" w:cs="Arial"/>
          <w:sz w:val="24"/>
          <w:szCs w:val="24"/>
          <w:lang w:val="en-US"/>
        </w:rPr>
      </w:pPr>
      <w:r w:rsidRPr="006D4631">
        <w:rPr>
          <w:rFonts w:ascii="Arial" w:hAnsi="Arial" w:cs="Arial"/>
          <w:sz w:val="24"/>
          <w:szCs w:val="24"/>
          <w:lang w:val="en-US"/>
        </w:rPr>
        <w:t xml:space="preserve"> </w:t>
      </w:r>
    </w:p>
    <w:p w:rsidR="00B701DE" w:rsidRDefault="00B701DE" w:rsidP="00B701DE">
      <w:pPr>
        <w:spacing w:after="0" w:line="240" w:lineRule="auto"/>
        <w:jc w:val="both"/>
        <w:rPr>
          <w:rFonts w:ascii="Arial" w:hAnsi="Arial" w:cs="Arial"/>
          <w:sz w:val="24"/>
          <w:szCs w:val="24"/>
          <w:lang w:val="en-US"/>
        </w:rPr>
      </w:pPr>
      <w:r w:rsidRPr="006D4631">
        <w:rPr>
          <w:rFonts w:ascii="Arial" w:hAnsi="Arial" w:cs="Arial"/>
          <w:sz w:val="24"/>
          <w:szCs w:val="24"/>
          <w:lang w:val="en-US"/>
        </w:rPr>
        <w:t xml:space="preserve">As the only Development Finance Institution (DFI) that is exclusively mandated to grow black economic participation in South Africa, the NEF makes this submission inspired by the recognition of the historic imperative for a just, progressive and enabling policy regime that will help the financial sector to accelerate transformation and to bridge the economic divide. </w:t>
      </w:r>
    </w:p>
    <w:p w:rsidR="00B701DE" w:rsidRPr="006D4631" w:rsidRDefault="00B701DE" w:rsidP="00B701DE">
      <w:pPr>
        <w:spacing w:after="0" w:line="240" w:lineRule="auto"/>
        <w:jc w:val="both"/>
        <w:rPr>
          <w:rFonts w:ascii="Arial" w:hAnsi="Arial" w:cs="Arial"/>
          <w:sz w:val="24"/>
          <w:szCs w:val="24"/>
          <w:lang w:val="en-US"/>
        </w:rPr>
      </w:pPr>
      <w:r w:rsidRPr="006D4631">
        <w:rPr>
          <w:rFonts w:ascii="Arial" w:hAnsi="Arial" w:cs="Arial"/>
          <w:sz w:val="24"/>
          <w:szCs w:val="24"/>
          <w:lang w:val="en-US"/>
        </w:rPr>
        <w:t xml:space="preserve"> </w:t>
      </w:r>
    </w:p>
    <w:p w:rsidR="00B701DE" w:rsidRDefault="00B701DE" w:rsidP="00B701DE">
      <w:pPr>
        <w:spacing w:after="0" w:line="240" w:lineRule="auto"/>
        <w:jc w:val="both"/>
        <w:rPr>
          <w:rFonts w:ascii="Arial" w:hAnsi="Arial" w:cs="Arial"/>
          <w:sz w:val="24"/>
          <w:szCs w:val="24"/>
          <w:lang w:val="en-US"/>
        </w:rPr>
      </w:pPr>
      <w:r w:rsidRPr="006D4631">
        <w:rPr>
          <w:rFonts w:ascii="Arial" w:hAnsi="Arial" w:cs="Arial"/>
          <w:sz w:val="24"/>
          <w:szCs w:val="24"/>
          <w:lang w:val="en-US"/>
        </w:rPr>
        <w:t xml:space="preserve">Among its many milestones the NEF has approved 839 transactions worth more than R8.5 billion for black-owned and managed businesses across the country, since its capitalisation by </w:t>
      </w:r>
      <w:r>
        <w:rPr>
          <w:rFonts w:ascii="Arial" w:hAnsi="Arial" w:cs="Arial"/>
          <w:sz w:val="24"/>
          <w:szCs w:val="24"/>
          <w:lang w:val="en-US"/>
        </w:rPr>
        <w:t>Government</w:t>
      </w:r>
      <w:r w:rsidRPr="006D4631">
        <w:rPr>
          <w:rFonts w:ascii="Arial" w:hAnsi="Arial" w:cs="Arial"/>
          <w:sz w:val="24"/>
          <w:szCs w:val="24"/>
          <w:lang w:val="en-US"/>
        </w:rPr>
        <w:t xml:space="preserve"> to the tune of R2</w:t>
      </w:r>
      <w:r>
        <w:rPr>
          <w:rFonts w:ascii="Arial" w:hAnsi="Arial" w:cs="Arial"/>
          <w:sz w:val="24"/>
          <w:szCs w:val="24"/>
          <w:lang w:val="en-US"/>
        </w:rPr>
        <w:t>.</w:t>
      </w:r>
      <w:r w:rsidRPr="006D4631">
        <w:rPr>
          <w:rFonts w:ascii="Arial" w:hAnsi="Arial" w:cs="Arial"/>
          <w:sz w:val="24"/>
          <w:szCs w:val="24"/>
          <w:lang w:val="en-US"/>
        </w:rPr>
        <w:t>4 billion between 2005 and 2010.</w:t>
      </w:r>
      <w:r>
        <w:rPr>
          <w:rFonts w:ascii="Arial" w:hAnsi="Arial" w:cs="Arial"/>
          <w:sz w:val="24"/>
          <w:szCs w:val="24"/>
          <w:lang w:val="en-US"/>
        </w:rPr>
        <w:t xml:space="preserve"> </w:t>
      </w:r>
      <w:r w:rsidRPr="006D4631">
        <w:rPr>
          <w:rFonts w:ascii="Arial" w:hAnsi="Arial" w:cs="Arial"/>
          <w:sz w:val="24"/>
          <w:szCs w:val="24"/>
          <w:lang w:val="en-US"/>
        </w:rPr>
        <w:t xml:space="preserve">Through its funding activities the NEF has supported in excess of 89 000 jobs countrywide, and has implemented programmes to provide investor education, business-planning, entrepreneurship training, incubation and mentorship support for the benefit of black communities and entrepreneurs countrywide. </w:t>
      </w:r>
      <w:r w:rsidRPr="006D4631">
        <w:rPr>
          <w:rFonts w:ascii="Arial" w:hAnsi="Arial" w:cs="Arial"/>
          <w:sz w:val="24"/>
          <w:szCs w:val="24"/>
          <w:lang w:val="en-US"/>
        </w:rPr>
        <w:tab/>
      </w:r>
    </w:p>
    <w:p w:rsidR="00B701DE" w:rsidRPr="006D4631" w:rsidRDefault="00B701DE" w:rsidP="00B701DE">
      <w:pPr>
        <w:spacing w:after="0" w:line="240" w:lineRule="auto"/>
        <w:jc w:val="both"/>
        <w:rPr>
          <w:rFonts w:ascii="Arial" w:hAnsi="Arial" w:cs="Arial"/>
          <w:sz w:val="24"/>
          <w:szCs w:val="24"/>
          <w:lang w:val="en-US"/>
        </w:rPr>
      </w:pPr>
    </w:p>
    <w:p w:rsidR="00886AD4" w:rsidRDefault="00B701DE" w:rsidP="006D4631">
      <w:pPr>
        <w:spacing w:after="0" w:line="240" w:lineRule="auto"/>
        <w:jc w:val="both"/>
        <w:rPr>
          <w:rFonts w:ascii="Arial" w:hAnsi="Arial" w:cs="Arial"/>
          <w:sz w:val="24"/>
          <w:szCs w:val="24"/>
          <w:lang w:val="en-US"/>
        </w:rPr>
      </w:pPr>
      <w:r w:rsidRPr="006D4631">
        <w:rPr>
          <w:rFonts w:ascii="Arial" w:hAnsi="Arial" w:cs="Arial"/>
          <w:sz w:val="24"/>
          <w:szCs w:val="24"/>
          <w:lang w:val="en-US"/>
        </w:rPr>
        <w:t>As an early proponent of efforts to support the emergence of black industrialists, the NEF has developed over 20 strategic and industrial projects in partnership with local and international partners across sectors identified in both the Industrial Policy Action Plan and the National Development Plan, spanning Renewable Energy, Mineral Beneficiation, Agro-processing, Information and Communication Technology, Infrastructure and Tourism. The projects are valued in excess R20 billion and have the potential to support a further 86 500 jobs</w:t>
      </w:r>
      <w:r w:rsidR="0084058E">
        <w:rPr>
          <w:rFonts w:ascii="Arial" w:hAnsi="Arial" w:cs="Arial"/>
          <w:sz w:val="24"/>
          <w:szCs w:val="24"/>
          <w:lang w:val="en-US"/>
        </w:rPr>
        <w:t>.</w:t>
      </w:r>
    </w:p>
    <w:p w:rsidR="00635FE4" w:rsidRDefault="00635FE4" w:rsidP="006D4631">
      <w:pPr>
        <w:spacing w:after="0" w:line="240" w:lineRule="auto"/>
        <w:jc w:val="both"/>
        <w:rPr>
          <w:rFonts w:ascii="Arial" w:hAnsi="Arial" w:cs="Arial"/>
          <w:sz w:val="24"/>
          <w:szCs w:val="24"/>
          <w:lang w:val="en-US"/>
        </w:rPr>
      </w:pPr>
    </w:p>
    <w:p w:rsidR="002617B7" w:rsidRPr="00900B36" w:rsidRDefault="004B671A" w:rsidP="00900B36">
      <w:pPr>
        <w:pStyle w:val="ListParagraph"/>
        <w:numPr>
          <w:ilvl w:val="0"/>
          <w:numId w:val="1"/>
        </w:numPr>
        <w:shd w:val="clear" w:color="auto" w:fill="70AD47" w:themeFill="accent6"/>
        <w:tabs>
          <w:tab w:val="left" w:pos="720"/>
        </w:tabs>
        <w:spacing w:line="360" w:lineRule="auto"/>
        <w:ind w:hanging="1440"/>
        <w:rPr>
          <w:rFonts w:ascii="Arial" w:hAnsi="Arial" w:cs="Arial"/>
          <w:b/>
        </w:rPr>
      </w:pPr>
      <w:r w:rsidRPr="00900B36">
        <w:rPr>
          <w:rFonts w:ascii="Arial" w:hAnsi="Arial" w:cs="Arial"/>
          <w:b/>
        </w:rPr>
        <w:t xml:space="preserve">Journey </w:t>
      </w:r>
      <w:r w:rsidR="00F8196B" w:rsidRPr="00E57828">
        <w:rPr>
          <w:rFonts w:ascii="Arial" w:hAnsi="Arial" w:cs="Arial"/>
          <w:b/>
        </w:rPr>
        <w:t>of South Africa’s transformation</w:t>
      </w:r>
    </w:p>
    <w:p w:rsidR="00E87BB1" w:rsidRDefault="00E87BB1" w:rsidP="0061686E">
      <w:pPr>
        <w:spacing w:after="0" w:line="240" w:lineRule="auto"/>
        <w:jc w:val="both"/>
        <w:rPr>
          <w:rFonts w:ascii="Arial" w:hAnsi="Arial" w:cs="Arial"/>
          <w:sz w:val="24"/>
          <w:szCs w:val="24"/>
          <w:lang w:val="en-US"/>
        </w:rPr>
      </w:pPr>
    </w:p>
    <w:p w:rsidR="001F678C" w:rsidRPr="002E4F28" w:rsidRDefault="001F678C" w:rsidP="001F678C">
      <w:pPr>
        <w:spacing w:after="0" w:line="240" w:lineRule="auto"/>
        <w:jc w:val="both"/>
        <w:rPr>
          <w:rFonts w:ascii="Arial" w:hAnsi="Arial" w:cs="Arial"/>
          <w:sz w:val="24"/>
          <w:szCs w:val="24"/>
          <w:lang w:val="en-US"/>
        </w:rPr>
      </w:pPr>
      <w:r w:rsidRPr="002E4F28">
        <w:rPr>
          <w:rFonts w:ascii="Arial" w:hAnsi="Arial" w:cs="Arial"/>
          <w:sz w:val="24"/>
          <w:szCs w:val="24"/>
          <w:lang w:val="en-US"/>
        </w:rPr>
        <w:t xml:space="preserve">It could be argued that transformation in South Africa began as early as 1990 with the unbanning of political movements and between 1990 and 1994, the extensive apartheid laws were repealed and finally in 1994, a democratically elected </w:t>
      </w:r>
      <w:r>
        <w:rPr>
          <w:rFonts w:ascii="Arial" w:hAnsi="Arial" w:cs="Arial"/>
          <w:sz w:val="24"/>
          <w:szCs w:val="24"/>
          <w:lang w:val="en-US"/>
        </w:rPr>
        <w:t xml:space="preserve">Government </w:t>
      </w:r>
      <w:r w:rsidRPr="002E4F28">
        <w:rPr>
          <w:rFonts w:ascii="Arial" w:hAnsi="Arial" w:cs="Arial"/>
          <w:sz w:val="24"/>
          <w:szCs w:val="24"/>
          <w:lang w:val="en-US"/>
        </w:rPr>
        <w:t>was put into power by the will of the people.</w:t>
      </w:r>
    </w:p>
    <w:p w:rsidR="001F678C" w:rsidRPr="002E4F28" w:rsidRDefault="001F678C" w:rsidP="001F678C">
      <w:pPr>
        <w:spacing w:after="0" w:line="240" w:lineRule="auto"/>
        <w:jc w:val="both"/>
        <w:rPr>
          <w:rFonts w:ascii="Arial" w:hAnsi="Arial" w:cs="Arial"/>
          <w:sz w:val="24"/>
          <w:szCs w:val="24"/>
          <w:lang w:val="en-US"/>
        </w:rPr>
      </w:pPr>
    </w:p>
    <w:p w:rsidR="001F678C" w:rsidRDefault="001F678C" w:rsidP="001F678C">
      <w:pPr>
        <w:spacing w:after="0" w:line="240" w:lineRule="auto"/>
        <w:jc w:val="both"/>
        <w:rPr>
          <w:rFonts w:ascii="Arial" w:hAnsi="Arial" w:cs="Arial"/>
          <w:sz w:val="24"/>
          <w:szCs w:val="24"/>
          <w:lang w:val="en-US"/>
        </w:rPr>
      </w:pPr>
      <w:r w:rsidRPr="002E4F28">
        <w:rPr>
          <w:rFonts w:ascii="Arial" w:hAnsi="Arial" w:cs="Arial"/>
          <w:sz w:val="24"/>
          <w:szCs w:val="24"/>
          <w:lang w:val="en-US"/>
        </w:rPr>
        <w:t>However, the deep economic divide across colour lines was too obvious to ignore and true transformation still need to be addressed.  Black people in this country still live with too many of the reminders of apartheid policies, match box houses, poor infrastructure in the townships, lack of access to decent education and job opportunities</w:t>
      </w:r>
      <w:r>
        <w:rPr>
          <w:rFonts w:ascii="Arial" w:hAnsi="Arial" w:cs="Arial"/>
          <w:sz w:val="24"/>
          <w:szCs w:val="24"/>
          <w:lang w:val="en-US"/>
        </w:rPr>
        <w:t xml:space="preserve">, systematic exclusions from participating in the mainstream of the economy </w:t>
      </w:r>
      <w:r w:rsidRPr="002E4F28">
        <w:rPr>
          <w:rFonts w:ascii="Arial" w:hAnsi="Arial" w:cs="Arial"/>
          <w:sz w:val="24"/>
          <w:szCs w:val="24"/>
          <w:lang w:val="en-US"/>
        </w:rPr>
        <w:t xml:space="preserve"> to name but a few.</w:t>
      </w:r>
    </w:p>
    <w:p w:rsidR="001F678C" w:rsidRDefault="001F678C" w:rsidP="001F678C">
      <w:pPr>
        <w:spacing w:after="0" w:line="240" w:lineRule="auto"/>
        <w:jc w:val="both"/>
        <w:rPr>
          <w:rFonts w:ascii="Arial" w:hAnsi="Arial" w:cs="Arial"/>
          <w:sz w:val="24"/>
          <w:szCs w:val="24"/>
          <w:lang w:val="en-US"/>
        </w:rPr>
      </w:pPr>
    </w:p>
    <w:p w:rsidR="001F678C" w:rsidRPr="00635FE4" w:rsidRDefault="001F678C" w:rsidP="00BF54B4">
      <w:pPr>
        <w:pStyle w:val="Heading1"/>
        <w:numPr>
          <w:ilvl w:val="1"/>
          <w:numId w:val="14"/>
        </w:numPr>
        <w:rPr>
          <w:rFonts w:ascii="Arial" w:hAnsi="Arial" w:cs="Arial"/>
          <w:b/>
          <w:color w:val="auto"/>
          <w:sz w:val="24"/>
          <w:szCs w:val="24"/>
          <w:lang w:val="en-US"/>
        </w:rPr>
      </w:pPr>
      <w:r w:rsidRPr="001F678C">
        <w:rPr>
          <w:rFonts w:ascii="Arial" w:hAnsi="Arial" w:cs="Arial"/>
          <w:b/>
          <w:color w:val="auto"/>
          <w:sz w:val="24"/>
          <w:szCs w:val="24"/>
          <w:lang w:val="en-US"/>
        </w:rPr>
        <w:t>Financial Sector Charter timeline</w:t>
      </w:r>
    </w:p>
    <w:p w:rsidR="001F678C" w:rsidRPr="002E4F28" w:rsidRDefault="001F678C" w:rsidP="001F678C">
      <w:pPr>
        <w:spacing w:after="0" w:line="240" w:lineRule="auto"/>
        <w:jc w:val="both"/>
        <w:rPr>
          <w:rFonts w:ascii="Arial" w:hAnsi="Arial" w:cs="Arial"/>
          <w:sz w:val="24"/>
          <w:szCs w:val="24"/>
          <w:lang w:val="en-US"/>
        </w:rPr>
      </w:pPr>
      <w:r w:rsidRPr="002E4F28">
        <w:rPr>
          <w:rFonts w:ascii="Arial" w:hAnsi="Arial" w:cs="Arial"/>
          <w:sz w:val="24"/>
          <w:szCs w:val="24"/>
          <w:lang w:val="en-US"/>
        </w:rPr>
        <w:t>In January 2004, the Financial Sector Charter came into effect as a transformation policy based on the terms of the Broad-based Black Economic Empowerment (B-BBEE) Act (53 of 2003).</w:t>
      </w:r>
    </w:p>
    <w:p w:rsidR="001F678C" w:rsidRPr="002E4F28" w:rsidRDefault="001F678C" w:rsidP="001F678C">
      <w:pPr>
        <w:spacing w:after="0" w:line="240" w:lineRule="auto"/>
        <w:jc w:val="both"/>
        <w:rPr>
          <w:rFonts w:ascii="Arial" w:hAnsi="Arial" w:cs="Arial"/>
          <w:sz w:val="24"/>
          <w:szCs w:val="24"/>
          <w:lang w:val="en-US"/>
        </w:rPr>
      </w:pPr>
    </w:p>
    <w:p w:rsidR="001F678C" w:rsidRDefault="001F678C" w:rsidP="001F678C">
      <w:pPr>
        <w:spacing w:after="0" w:line="240" w:lineRule="auto"/>
        <w:jc w:val="both"/>
        <w:rPr>
          <w:rFonts w:ascii="Arial" w:hAnsi="Arial" w:cs="Arial"/>
          <w:sz w:val="24"/>
          <w:szCs w:val="24"/>
          <w:lang w:val="en-US"/>
        </w:rPr>
      </w:pPr>
      <w:r w:rsidRPr="002E4F28">
        <w:rPr>
          <w:rFonts w:ascii="Arial" w:hAnsi="Arial" w:cs="Arial"/>
          <w:sz w:val="24"/>
          <w:szCs w:val="24"/>
          <w:lang w:val="en-US"/>
        </w:rPr>
        <w:t xml:space="preserve">This was formed as a voluntary agreement by all National Economic Development and Labour Council (NEDLAC) members in 2002.  NEDLAC is a multilateral social dialogue forum which brings together government, business, labour and the community members to promote social and economic integration and access to the financial services </w:t>
      </w:r>
      <w:r w:rsidRPr="00635FE4">
        <w:rPr>
          <w:rFonts w:ascii="Arial" w:hAnsi="Arial" w:cs="Arial"/>
          <w:szCs w:val="24"/>
          <w:lang w:val="en-US"/>
        </w:rPr>
        <w:t xml:space="preserve">sector. </w:t>
      </w:r>
      <w:r w:rsidR="00C4700E">
        <w:rPr>
          <w:rFonts w:ascii="Arial" w:hAnsi="Arial" w:cs="Arial"/>
          <w:szCs w:val="24"/>
          <w:lang w:val="en-US"/>
        </w:rPr>
        <w:fldChar w:fldCharType="begin"/>
      </w:r>
      <w:r w:rsidR="00C4700E">
        <w:rPr>
          <w:rFonts w:ascii="Arial" w:hAnsi="Arial" w:cs="Arial"/>
          <w:szCs w:val="24"/>
          <w:lang w:val="en-US"/>
        </w:rPr>
        <w:instrText xml:space="preserve"> REF _Ref476945644 \h </w:instrText>
      </w:r>
      <w:r w:rsidR="00C4700E">
        <w:rPr>
          <w:rFonts w:ascii="Arial" w:hAnsi="Arial" w:cs="Arial"/>
          <w:szCs w:val="24"/>
          <w:lang w:val="en-US"/>
        </w:rPr>
      </w:r>
      <w:r w:rsidR="00C4700E">
        <w:rPr>
          <w:rFonts w:ascii="Arial" w:hAnsi="Arial" w:cs="Arial"/>
          <w:szCs w:val="24"/>
          <w:lang w:val="en-US"/>
        </w:rPr>
        <w:fldChar w:fldCharType="separate"/>
      </w:r>
      <w:r w:rsidR="00C4700E">
        <w:t xml:space="preserve">Figure </w:t>
      </w:r>
      <w:r w:rsidR="00C4700E">
        <w:rPr>
          <w:noProof/>
        </w:rPr>
        <w:t>1</w:t>
      </w:r>
      <w:r w:rsidR="00C4700E">
        <w:rPr>
          <w:rFonts w:ascii="Arial" w:hAnsi="Arial" w:cs="Arial"/>
          <w:szCs w:val="24"/>
          <w:lang w:val="en-US"/>
        </w:rPr>
        <w:fldChar w:fldCharType="end"/>
      </w:r>
      <w:r w:rsidR="00C4700E">
        <w:rPr>
          <w:rFonts w:ascii="Arial" w:hAnsi="Arial" w:cs="Arial"/>
          <w:szCs w:val="24"/>
          <w:lang w:val="en-US"/>
        </w:rPr>
        <w:t xml:space="preserve">  de</w:t>
      </w:r>
      <w:r w:rsidRPr="001F678C">
        <w:rPr>
          <w:rFonts w:ascii="Arial" w:hAnsi="Arial" w:cs="Arial"/>
          <w:szCs w:val="24"/>
          <w:lang w:val="en-US"/>
        </w:rPr>
        <w:t>pic</w:t>
      </w:r>
      <w:r w:rsidRPr="00635FE4">
        <w:rPr>
          <w:rFonts w:ascii="Arial" w:hAnsi="Arial" w:cs="Arial"/>
          <w:szCs w:val="24"/>
          <w:lang w:val="en-US"/>
        </w:rPr>
        <w:t xml:space="preserve">ts </w:t>
      </w:r>
      <w:r w:rsidRPr="001F678C">
        <w:rPr>
          <w:rFonts w:ascii="Arial" w:hAnsi="Arial" w:cs="Arial"/>
          <w:sz w:val="24"/>
          <w:szCs w:val="24"/>
          <w:lang w:val="en-US"/>
        </w:rPr>
        <w:t>the FSC implementation timeline:</w:t>
      </w:r>
    </w:p>
    <w:p w:rsidR="001F678C" w:rsidRPr="002E4F28" w:rsidRDefault="001F678C" w:rsidP="001F678C">
      <w:pPr>
        <w:spacing w:after="0" w:line="240" w:lineRule="auto"/>
        <w:jc w:val="both"/>
        <w:rPr>
          <w:rFonts w:ascii="Arial" w:hAnsi="Arial" w:cs="Arial"/>
          <w:sz w:val="24"/>
          <w:szCs w:val="24"/>
          <w:lang w:val="en-US"/>
        </w:rPr>
      </w:pPr>
    </w:p>
    <w:p w:rsidR="001F678C" w:rsidRDefault="001F678C" w:rsidP="00011950">
      <w:pPr>
        <w:pStyle w:val="Caption"/>
        <w:jc w:val="center"/>
      </w:pPr>
      <w:r w:rsidRPr="002E4F28">
        <w:rPr>
          <w:rFonts w:ascii="Arial" w:hAnsi="Arial" w:cs="Arial"/>
          <w:noProof/>
          <w:sz w:val="24"/>
          <w:szCs w:val="24"/>
          <w:lang w:eastAsia="en-ZA"/>
        </w:rPr>
        <w:drawing>
          <wp:inline distT="0" distB="0" distL="0" distR="0" wp14:anchorId="299FF196" wp14:editId="7803D929">
            <wp:extent cx="5731510" cy="5136809"/>
            <wp:effectExtent l="38100" t="19050" r="21590" b="2603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F678C" w:rsidRPr="00307011" w:rsidRDefault="00466F76" w:rsidP="00011950">
      <w:pPr>
        <w:pStyle w:val="Caption"/>
        <w:jc w:val="center"/>
      </w:pPr>
      <w:bookmarkStart w:id="1" w:name="_Ref476945644"/>
      <w:r>
        <w:t xml:space="preserve">Figure </w:t>
      </w:r>
      <w:r w:rsidR="00D51529">
        <w:fldChar w:fldCharType="begin"/>
      </w:r>
      <w:r w:rsidR="00D51529">
        <w:instrText xml:space="preserve"> SEQ Figure \* ARABIC </w:instrText>
      </w:r>
      <w:r w:rsidR="00D51529">
        <w:fldChar w:fldCharType="separate"/>
      </w:r>
      <w:r w:rsidR="00011950">
        <w:rPr>
          <w:noProof/>
        </w:rPr>
        <w:t>1</w:t>
      </w:r>
      <w:r w:rsidR="00D51529">
        <w:rPr>
          <w:noProof/>
        </w:rPr>
        <w:fldChar w:fldCharType="end"/>
      </w:r>
      <w:bookmarkEnd w:id="1"/>
      <w:r w:rsidR="001F678C">
        <w:t>: FSC Charter timeline</w:t>
      </w:r>
    </w:p>
    <w:p w:rsidR="001F678C" w:rsidRDefault="001F678C" w:rsidP="00635FE4">
      <w:pPr>
        <w:ind w:firstLine="720"/>
      </w:pPr>
    </w:p>
    <w:p w:rsidR="001F678C" w:rsidRPr="00635FE4" w:rsidRDefault="001F678C" w:rsidP="00BF54B4">
      <w:pPr>
        <w:pStyle w:val="ListParagraph"/>
        <w:numPr>
          <w:ilvl w:val="0"/>
          <w:numId w:val="29"/>
        </w:numPr>
        <w:jc w:val="both"/>
        <w:rPr>
          <w:rFonts w:ascii="Arial" w:hAnsi="Arial" w:cs="Arial"/>
          <w:lang w:val="en-US"/>
        </w:rPr>
      </w:pPr>
      <w:r w:rsidRPr="00635FE4">
        <w:rPr>
          <w:rFonts w:ascii="Arial" w:hAnsi="Arial" w:cs="Arial"/>
          <w:lang w:val="en-US"/>
        </w:rPr>
        <w:t>The Financial Sector Charter (FSC) came into effect in January 2004 and was the first voluntary BEE Charter that represented commitment from an entire sector of the economy to transform the financial services industry in line with the B-BBEE Act with the primary objective of reducing inequalities across the economy.</w:t>
      </w:r>
    </w:p>
    <w:p w:rsidR="001F678C" w:rsidRDefault="001F678C" w:rsidP="001F678C">
      <w:pPr>
        <w:spacing w:after="0" w:line="240" w:lineRule="auto"/>
        <w:jc w:val="both"/>
        <w:rPr>
          <w:rFonts w:ascii="Arial" w:hAnsi="Arial" w:cs="Arial"/>
          <w:sz w:val="24"/>
          <w:szCs w:val="24"/>
          <w:lang w:val="en-US"/>
        </w:rPr>
      </w:pPr>
    </w:p>
    <w:p w:rsidR="001F678C" w:rsidRPr="00635FE4" w:rsidRDefault="001F678C" w:rsidP="00BF54B4">
      <w:pPr>
        <w:pStyle w:val="ListParagraph"/>
        <w:numPr>
          <w:ilvl w:val="0"/>
          <w:numId w:val="29"/>
        </w:numPr>
        <w:jc w:val="both"/>
        <w:rPr>
          <w:rFonts w:ascii="Arial" w:hAnsi="Arial" w:cs="Arial"/>
          <w:lang w:val="en-US"/>
        </w:rPr>
      </w:pPr>
      <w:r w:rsidRPr="00635FE4">
        <w:rPr>
          <w:rFonts w:ascii="Arial" w:hAnsi="Arial" w:cs="Arial"/>
          <w:lang w:val="en-US"/>
        </w:rPr>
        <w:t xml:space="preserve">As indicated above, the Codes of Good Practice on B-BBEE were gazetted in 2007, four years after the act had been gazetted.  The Codes were gazetted under section 9(1) of the B-BBEE Act and this gave the codes a superior legal status to that of the charters gazetted under section 12.  </w:t>
      </w:r>
    </w:p>
    <w:p w:rsidR="001F678C" w:rsidRPr="002E4F28" w:rsidRDefault="001F678C" w:rsidP="001F678C">
      <w:pPr>
        <w:spacing w:after="0" w:line="240" w:lineRule="auto"/>
        <w:jc w:val="both"/>
        <w:rPr>
          <w:rFonts w:ascii="Arial" w:hAnsi="Arial" w:cs="Arial"/>
          <w:sz w:val="24"/>
          <w:szCs w:val="24"/>
          <w:lang w:val="en-US"/>
        </w:rPr>
      </w:pPr>
    </w:p>
    <w:p w:rsidR="001F678C" w:rsidRPr="00635FE4" w:rsidRDefault="001F678C" w:rsidP="00BF54B4">
      <w:pPr>
        <w:pStyle w:val="ListParagraph"/>
        <w:numPr>
          <w:ilvl w:val="0"/>
          <w:numId w:val="29"/>
        </w:numPr>
        <w:jc w:val="both"/>
        <w:rPr>
          <w:rFonts w:ascii="Arial" w:hAnsi="Arial" w:cs="Arial"/>
          <w:lang w:val="en-US"/>
        </w:rPr>
      </w:pPr>
      <w:r w:rsidRPr="00635FE4">
        <w:rPr>
          <w:rFonts w:ascii="Arial" w:hAnsi="Arial" w:cs="Arial"/>
          <w:lang w:val="en-US"/>
        </w:rPr>
        <w:t xml:space="preserve">From 2007 to 2011, the Charter constituencies were engaged in discussion to align the FSC to the Codes with the aim of gazetting the FSC under section 9 of the Act to have the same legal status as the Codes. </w:t>
      </w:r>
    </w:p>
    <w:p w:rsidR="001F678C" w:rsidRPr="002E4F28" w:rsidRDefault="001F678C" w:rsidP="001F678C">
      <w:pPr>
        <w:spacing w:after="0" w:line="240" w:lineRule="auto"/>
        <w:jc w:val="both"/>
        <w:rPr>
          <w:rFonts w:ascii="Arial" w:hAnsi="Arial" w:cs="Arial"/>
          <w:sz w:val="24"/>
          <w:szCs w:val="24"/>
          <w:lang w:val="en-US"/>
        </w:rPr>
      </w:pPr>
    </w:p>
    <w:p w:rsidR="001F678C" w:rsidRPr="00635FE4" w:rsidRDefault="001F678C" w:rsidP="00BF54B4">
      <w:pPr>
        <w:pStyle w:val="ListParagraph"/>
        <w:numPr>
          <w:ilvl w:val="0"/>
          <w:numId w:val="29"/>
        </w:numPr>
        <w:jc w:val="both"/>
        <w:rPr>
          <w:rFonts w:ascii="Arial" w:hAnsi="Arial" w:cs="Arial"/>
          <w:lang w:val="en-US"/>
        </w:rPr>
      </w:pPr>
      <w:r w:rsidRPr="00635FE4">
        <w:rPr>
          <w:rFonts w:ascii="Arial" w:hAnsi="Arial" w:cs="Arial"/>
          <w:lang w:val="en-US"/>
        </w:rPr>
        <w:t>In December 2011 phase 1 of the draft sector code was gazetted for public comment. In November 2012 a Financial Sector Code was gazetted under section 9 (1) of the Act.</w:t>
      </w:r>
    </w:p>
    <w:p w:rsidR="001F678C" w:rsidRPr="002E4F28" w:rsidRDefault="001F678C" w:rsidP="001F678C">
      <w:pPr>
        <w:spacing w:after="0" w:line="240" w:lineRule="auto"/>
        <w:jc w:val="both"/>
        <w:rPr>
          <w:rFonts w:ascii="Arial" w:hAnsi="Arial" w:cs="Arial"/>
          <w:sz w:val="24"/>
          <w:szCs w:val="24"/>
          <w:lang w:val="en-US"/>
        </w:rPr>
      </w:pPr>
    </w:p>
    <w:p w:rsidR="001F678C" w:rsidRDefault="001F678C" w:rsidP="00BF54B4">
      <w:pPr>
        <w:pStyle w:val="Heading1"/>
        <w:numPr>
          <w:ilvl w:val="1"/>
          <w:numId w:val="14"/>
        </w:numPr>
        <w:rPr>
          <w:rFonts w:ascii="Arial" w:hAnsi="Arial" w:cs="Arial"/>
          <w:b/>
          <w:color w:val="auto"/>
          <w:sz w:val="24"/>
          <w:szCs w:val="24"/>
          <w:lang w:val="en-US"/>
        </w:rPr>
      </w:pPr>
      <w:r w:rsidRPr="002E4F28">
        <w:rPr>
          <w:rFonts w:ascii="Arial" w:hAnsi="Arial" w:cs="Arial"/>
          <w:b/>
          <w:color w:val="auto"/>
          <w:sz w:val="24"/>
          <w:szCs w:val="24"/>
          <w:lang w:val="en-US"/>
        </w:rPr>
        <w:t>Key objectives in respect of the financial sector code</w:t>
      </w:r>
    </w:p>
    <w:p w:rsidR="001F678C" w:rsidRPr="002E4F28" w:rsidRDefault="001F678C" w:rsidP="001F678C">
      <w:pPr>
        <w:spacing w:after="0" w:line="240" w:lineRule="auto"/>
        <w:jc w:val="both"/>
        <w:rPr>
          <w:rFonts w:ascii="Arial" w:hAnsi="Arial" w:cs="Arial"/>
          <w:sz w:val="24"/>
          <w:szCs w:val="24"/>
          <w:lang w:val="en-US"/>
        </w:rPr>
      </w:pPr>
      <w:r w:rsidRPr="002E4F28">
        <w:rPr>
          <w:rFonts w:ascii="Arial" w:hAnsi="Arial" w:cs="Arial"/>
          <w:sz w:val="24"/>
          <w:szCs w:val="24"/>
          <w:lang w:val="en-US"/>
        </w:rPr>
        <w:t xml:space="preserve">The financial sector code measures transformation in respect of the pillars of the generic codes, being, ownership, management control, skills development, enterprise and supplier development and socio-economic development.  In addition to these pillars, the FSC also introduced two pillars, empowerment financing and access to financial services. </w:t>
      </w:r>
    </w:p>
    <w:p w:rsidR="001F678C" w:rsidRPr="002E4F28" w:rsidRDefault="001F678C" w:rsidP="001F678C">
      <w:pPr>
        <w:spacing w:after="0" w:line="240" w:lineRule="auto"/>
        <w:jc w:val="both"/>
        <w:rPr>
          <w:rFonts w:ascii="Arial" w:hAnsi="Arial" w:cs="Arial"/>
          <w:sz w:val="24"/>
          <w:szCs w:val="24"/>
          <w:lang w:val="en-US"/>
        </w:rPr>
      </w:pPr>
    </w:p>
    <w:p w:rsidR="001F678C" w:rsidRPr="002E4F28" w:rsidRDefault="001F678C" w:rsidP="001F678C">
      <w:pPr>
        <w:spacing w:after="0" w:line="240" w:lineRule="auto"/>
        <w:jc w:val="both"/>
        <w:rPr>
          <w:rFonts w:ascii="Arial" w:hAnsi="Arial" w:cs="Arial"/>
          <w:sz w:val="24"/>
          <w:szCs w:val="24"/>
          <w:lang w:val="en-US"/>
        </w:rPr>
      </w:pPr>
      <w:r w:rsidRPr="002E4F28">
        <w:rPr>
          <w:rFonts w:ascii="Arial" w:hAnsi="Arial" w:cs="Arial"/>
          <w:sz w:val="24"/>
          <w:szCs w:val="24"/>
          <w:lang w:val="en-US"/>
        </w:rPr>
        <w:t>The focus of these two pillars is on making financial services accessible to the previously unbanked and underserved, as well as empowering the previously disenfranchised through the provision of affordable housing, financing of black SMMEs and rural entrepreneurs through agricultural financing, and investing in various forms of transformational infrastructure to create the necessary platform to grow the economy on an equitable basis.</w:t>
      </w:r>
    </w:p>
    <w:p w:rsidR="001F678C" w:rsidRDefault="001F678C" w:rsidP="002B0516">
      <w:pPr>
        <w:spacing w:after="0" w:line="240" w:lineRule="auto"/>
        <w:jc w:val="both"/>
        <w:rPr>
          <w:rFonts w:ascii="Arial" w:hAnsi="Arial" w:cs="Arial"/>
          <w:sz w:val="24"/>
          <w:szCs w:val="24"/>
          <w:lang w:val="en-US"/>
        </w:rPr>
      </w:pPr>
    </w:p>
    <w:p w:rsidR="002B0516" w:rsidRPr="002E4F28" w:rsidRDefault="002B0516" w:rsidP="002B0516">
      <w:pPr>
        <w:spacing w:after="0" w:line="240" w:lineRule="auto"/>
        <w:jc w:val="both"/>
        <w:rPr>
          <w:rFonts w:ascii="Arial" w:hAnsi="Arial" w:cs="Arial"/>
          <w:sz w:val="24"/>
          <w:szCs w:val="24"/>
          <w:lang w:val="en-US"/>
        </w:rPr>
      </w:pPr>
      <w:r w:rsidRPr="002E4F28">
        <w:rPr>
          <w:rFonts w:ascii="Arial" w:hAnsi="Arial" w:cs="Arial"/>
          <w:sz w:val="24"/>
          <w:szCs w:val="24"/>
          <w:lang w:val="en-US"/>
        </w:rPr>
        <w:t>In 2003 the B</w:t>
      </w:r>
      <w:r>
        <w:rPr>
          <w:rFonts w:ascii="Arial" w:hAnsi="Arial" w:cs="Arial"/>
          <w:sz w:val="24"/>
          <w:szCs w:val="24"/>
          <w:lang w:val="en-US"/>
        </w:rPr>
        <w:t xml:space="preserve">lack </w:t>
      </w:r>
      <w:r w:rsidRPr="002E4F28">
        <w:rPr>
          <w:rFonts w:ascii="Arial" w:hAnsi="Arial" w:cs="Arial"/>
          <w:sz w:val="24"/>
          <w:szCs w:val="24"/>
          <w:lang w:val="en-US"/>
        </w:rPr>
        <w:t>E</w:t>
      </w:r>
      <w:r>
        <w:rPr>
          <w:rFonts w:ascii="Arial" w:hAnsi="Arial" w:cs="Arial"/>
          <w:sz w:val="24"/>
          <w:szCs w:val="24"/>
          <w:lang w:val="en-US"/>
        </w:rPr>
        <w:t xml:space="preserve">conomic </w:t>
      </w:r>
      <w:r w:rsidRPr="002E4F28">
        <w:rPr>
          <w:rFonts w:ascii="Arial" w:hAnsi="Arial" w:cs="Arial"/>
          <w:sz w:val="24"/>
          <w:szCs w:val="24"/>
          <w:lang w:val="en-US"/>
        </w:rPr>
        <w:t>E</w:t>
      </w:r>
      <w:r>
        <w:rPr>
          <w:rFonts w:ascii="Arial" w:hAnsi="Arial" w:cs="Arial"/>
          <w:sz w:val="24"/>
          <w:szCs w:val="24"/>
          <w:lang w:val="en-US"/>
        </w:rPr>
        <w:t>mpowerment (BEE)</w:t>
      </w:r>
      <w:r w:rsidRPr="002E4F28">
        <w:rPr>
          <w:rFonts w:ascii="Arial" w:hAnsi="Arial" w:cs="Arial"/>
          <w:sz w:val="24"/>
          <w:szCs w:val="24"/>
          <w:lang w:val="en-US"/>
        </w:rPr>
        <w:t xml:space="preserve"> Strategy document was drafted to provide clarity and certainty about </w:t>
      </w:r>
      <w:r>
        <w:rPr>
          <w:rFonts w:ascii="Arial" w:hAnsi="Arial" w:cs="Arial"/>
          <w:sz w:val="24"/>
          <w:szCs w:val="24"/>
          <w:lang w:val="en-US"/>
        </w:rPr>
        <w:t>G</w:t>
      </w:r>
      <w:r w:rsidRPr="002E4F28">
        <w:rPr>
          <w:rFonts w:ascii="Arial" w:hAnsi="Arial" w:cs="Arial"/>
          <w:sz w:val="24"/>
          <w:szCs w:val="24"/>
          <w:lang w:val="en-US"/>
        </w:rPr>
        <w:t>overnment’s approach</w:t>
      </w:r>
      <w:r>
        <w:rPr>
          <w:rFonts w:ascii="Arial" w:hAnsi="Arial" w:cs="Arial"/>
          <w:sz w:val="24"/>
          <w:szCs w:val="24"/>
          <w:lang w:val="en-US"/>
        </w:rPr>
        <w:t xml:space="preserve"> to</w:t>
      </w:r>
      <w:r w:rsidRPr="002E4F28">
        <w:rPr>
          <w:rFonts w:ascii="Arial" w:hAnsi="Arial" w:cs="Arial"/>
          <w:sz w:val="24"/>
          <w:szCs w:val="24"/>
          <w:lang w:val="en-US"/>
        </w:rPr>
        <w:t xml:space="preserve"> </w:t>
      </w:r>
      <w:r>
        <w:rPr>
          <w:rFonts w:ascii="Arial" w:hAnsi="Arial" w:cs="Arial"/>
          <w:sz w:val="24"/>
          <w:szCs w:val="24"/>
          <w:lang w:val="en-US"/>
        </w:rPr>
        <w:t>BEE. It</w:t>
      </w:r>
      <w:r w:rsidRPr="002E4F28">
        <w:rPr>
          <w:rFonts w:ascii="Arial" w:hAnsi="Arial" w:cs="Arial"/>
          <w:sz w:val="24"/>
          <w:szCs w:val="24"/>
          <w:lang w:val="en-US"/>
        </w:rPr>
        <w:t xml:space="preserve"> represented a call to action for all sectors of South Africa to take active steps to contribute towards the process of </w:t>
      </w:r>
      <w:r>
        <w:rPr>
          <w:rFonts w:ascii="Arial" w:hAnsi="Arial" w:cs="Arial"/>
          <w:sz w:val="24"/>
          <w:szCs w:val="24"/>
          <w:lang w:val="en-US"/>
        </w:rPr>
        <w:t xml:space="preserve">BEE implementation. </w:t>
      </w:r>
    </w:p>
    <w:p w:rsidR="002B0516" w:rsidRPr="002E4F28" w:rsidRDefault="002B0516" w:rsidP="002B0516">
      <w:pPr>
        <w:spacing w:after="0" w:line="240" w:lineRule="auto"/>
        <w:jc w:val="both"/>
        <w:rPr>
          <w:rFonts w:ascii="Arial" w:hAnsi="Arial" w:cs="Arial"/>
          <w:sz w:val="24"/>
          <w:szCs w:val="24"/>
          <w:lang w:val="en-US"/>
        </w:rPr>
      </w:pPr>
    </w:p>
    <w:p w:rsidR="002B0516" w:rsidRDefault="002B0516" w:rsidP="002B0516">
      <w:pPr>
        <w:spacing w:after="0" w:line="240" w:lineRule="auto"/>
        <w:jc w:val="both"/>
        <w:rPr>
          <w:rFonts w:ascii="Arial" w:hAnsi="Arial" w:cs="Arial"/>
          <w:sz w:val="24"/>
          <w:szCs w:val="24"/>
          <w:lang w:val="en-US"/>
        </w:rPr>
      </w:pPr>
      <w:r>
        <w:rPr>
          <w:rFonts w:ascii="Arial" w:hAnsi="Arial" w:cs="Arial"/>
          <w:sz w:val="24"/>
          <w:szCs w:val="24"/>
          <w:lang w:val="en-US"/>
        </w:rPr>
        <w:t>In 2007, T</w:t>
      </w:r>
      <w:r w:rsidRPr="002E4F28">
        <w:rPr>
          <w:rFonts w:ascii="Arial" w:hAnsi="Arial" w:cs="Arial"/>
          <w:sz w:val="24"/>
          <w:szCs w:val="24"/>
          <w:lang w:val="en-US"/>
        </w:rPr>
        <w:t xml:space="preserve">he Codes of Good Practice on B-BBEE </w:t>
      </w:r>
      <w:r>
        <w:rPr>
          <w:rFonts w:ascii="Arial" w:hAnsi="Arial" w:cs="Arial"/>
          <w:sz w:val="24"/>
          <w:szCs w:val="24"/>
          <w:lang w:val="en-US"/>
        </w:rPr>
        <w:t xml:space="preserve">(“The Codes”) </w:t>
      </w:r>
      <w:r w:rsidRPr="002E4F28">
        <w:rPr>
          <w:rFonts w:ascii="Arial" w:hAnsi="Arial" w:cs="Arial"/>
          <w:sz w:val="24"/>
          <w:szCs w:val="24"/>
          <w:lang w:val="en-US"/>
        </w:rPr>
        <w:t xml:space="preserve">were </w:t>
      </w:r>
      <w:r>
        <w:rPr>
          <w:rFonts w:ascii="Arial" w:hAnsi="Arial" w:cs="Arial"/>
          <w:sz w:val="24"/>
          <w:szCs w:val="24"/>
          <w:lang w:val="en-US"/>
        </w:rPr>
        <w:t xml:space="preserve">gazetted. They were </w:t>
      </w:r>
      <w:r w:rsidRPr="002E4F28">
        <w:rPr>
          <w:rFonts w:ascii="Arial" w:hAnsi="Arial" w:cs="Arial"/>
          <w:sz w:val="24"/>
          <w:szCs w:val="24"/>
          <w:lang w:val="en-US"/>
        </w:rPr>
        <w:t xml:space="preserve">addressing the broader aspects of </w:t>
      </w:r>
      <w:r w:rsidR="0084058E">
        <w:rPr>
          <w:rFonts w:ascii="Arial" w:hAnsi="Arial" w:cs="Arial"/>
          <w:sz w:val="24"/>
          <w:szCs w:val="24"/>
          <w:lang w:val="en-US"/>
        </w:rPr>
        <w:t>BEE</w:t>
      </w:r>
      <w:r w:rsidRPr="002E4F28">
        <w:rPr>
          <w:rFonts w:ascii="Arial" w:hAnsi="Arial" w:cs="Arial"/>
          <w:sz w:val="24"/>
          <w:szCs w:val="24"/>
          <w:lang w:val="en-US"/>
        </w:rPr>
        <w:t>, being</w:t>
      </w:r>
      <w:r>
        <w:rPr>
          <w:rFonts w:ascii="Arial" w:hAnsi="Arial" w:cs="Arial"/>
          <w:sz w:val="24"/>
          <w:szCs w:val="24"/>
          <w:lang w:val="en-US"/>
        </w:rPr>
        <w:t>:</w:t>
      </w:r>
    </w:p>
    <w:p w:rsidR="002B0516" w:rsidRPr="007C2161" w:rsidRDefault="002B0516" w:rsidP="00BF54B4">
      <w:pPr>
        <w:pStyle w:val="ListParagraph"/>
        <w:numPr>
          <w:ilvl w:val="0"/>
          <w:numId w:val="26"/>
        </w:numPr>
        <w:jc w:val="both"/>
        <w:rPr>
          <w:rFonts w:ascii="Arial" w:hAnsi="Arial" w:cs="Arial"/>
          <w:lang w:val="en-US"/>
        </w:rPr>
      </w:pPr>
      <w:r w:rsidRPr="007C2161">
        <w:rPr>
          <w:rFonts w:ascii="Arial" w:hAnsi="Arial" w:cs="Arial"/>
          <w:lang w:val="en-US"/>
        </w:rPr>
        <w:t>Ownership;</w:t>
      </w:r>
    </w:p>
    <w:p w:rsidR="002B0516" w:rsidRDefault="002B0516" w:rsidP="00BF54B4">
      <w:pPr>
        <w:pStyle w:val="ListParagraph"/>
        <w:numPr>
          <w:ilvl w:val="0"/>
          <w:numId w:val="26"/>
        </w:numPr>
        <w:jc w:val="both"/>
        <w:rPr>
          <w:rFonts w:ascii="Arial" w:hAnsi="Arial" w:cs="Arial"/>
          <w:lang w:val="en-US"/>
        </w:rPr>
      </w:pPr>
      <w:r w:rsidRPr="007C2161">
        <w:rPr>
          <w:rFonts w:ascii="Arial" w:hAnsi="Arial" w:cs="Arial"/>
          <w:lang w:val="en-US"/>
        </w:rPr>
        <w:t xml:space="preserve">Management; </w:t>
      </w:r>
    </w:p>
    <w:p w:rsidR="002B0516" w:rsidRPr="007C2161" w:rsidRDefault="002B0516" w:rsidP="00BF54B4">
      <w:pPr>
        <w:pStyle w:val="ListParagraph"/>
        <w:numPr>
          <w:ilvl w:val="0"/>
          <w:numId w:val="26"/>
        </w:numPr>
        <w:jc w:val="both"/>
        <w:rPr>
          <w:rFonts w:ascii="Arial" w:hAnsi="Arial" w:cs="Arial"/>
          <w:lang w:val="en-US"/>
        </w:rPr>
      </w:pPr>
      <w:r w:rsidRPr="007C2161">
        <w:rPr>
          <w:rFonts w:ascii="Arial" w:hAnsi="Arial" w:cs="Arial"/>
          <w:lang w:val="en-US"/>
        </w:rPr>
        <w:t>Employment equity;</w:t>
      </w:r>
    </w:p>
    <w:p w:rsidR="002B0516" w:rsidRPr="007C2161" w:rsidRDefault="002B0516" w:rsidP="00BF54B4">
      <w:pPr>
        <w:pStyle w:val="ListParagraph"/>
        <w:numPr>
          <w:ilvl w:val="0"/>
          <w:numId w:val="26"/>
        </w:numPr>
        <w:jc w:val="both"/>
        <w:rPr>
          <w:rFonts w:ascii="Arial" w:hAnsi="Arial" w:cs="Arial"/>
          <w:lang w:val="en-US"/>
        </w:rPr>
      </w:pPr>
      <w:r w:rsidRPr="007C2161">
        <w:rPr>
          <w:rFonts w:ascii="Arial" w:hAnsi="Arial" w:cs="Arial"/>
          <w:lang w:val="en-US"/>
        </w:rPr>
        <w:t>Skills development;</w:t>
      </w:r>
    </w:p>
    <w:p w:rsidR="002B0516" w:rsidRPr="007C2161" w:rsidRDefault="002B0516" w:rsidP="00BF54B4">
      <w:pPr>
        <w:pStyle w:val="ListParagraph"/>
        <w:numPr>
          <w:ilvl w:val="0"/>
          <w:numId w:val="26"/>
        </w:numPr>
        <w:jc w:val="both"/>
        <w:rPr>
          <w:rFonts w:ascii="Arial" w:hAnsi="Arial" w:cs="Arial"/>
          <w:lang w:val="en-US"/>
        </w:rPr>
      </w:pPr>
      <w:r w:rsidRPr="007C2161">
        <w:rPr>
          <w:rFonts w:ascii="Arial" w:hAnsi="Arial" w:cs="Arial"/>
          <w:lang w:val="en-US"/>
        </w:rPr>
        <w:t>Preferential procurement;</w:t>
      </w:r>
    </w:p>
    <w:p w:rsidR="002B0516" w:rsidRPr="007C2161" w:rsidRDefault="002B0516" w:rsidP="00BF54B4">
      <w:pPr>
        <w:pStyle w:val="ListParagraph"/>
        <w:numPr>
          <w:ilvl w:val="0"/>
          <w:numId w:val="26"/>
        </w:numPr>
        <w:jc w:val="both"/>
        <w:rPr>
          <w:rFonts w:ascii="Arial" w:hAnsi="Arial" w:cs="Arial"/>
          <w:lang w:val="en-US"/>
        </w:rPr>
      </w:pPr>
      <w:r w:rsidRPr="007C2161">
        <w:rPr>
          <w:rFonts w:ascii="Arial" w:hAnsi="Arial" w:cs="Arial"/>
          <w:lang w:val="en-US"/>
        </w:rPr>
        <w:t xml:space="preserve">Enterprise development; and </w:t>
      </w:r>
    </w:p>
    <w:p w:rsidR="002B0516" w:rsidRPr="007C2161" w:rsidRDefault="002B0516" w:rsidP="00BF54B4">
      <w:pPr>
        <w:pStyle w:val="ListParagraph"/>
        <w:numPr>
          <w:ilvl w:val="0"/>
          <w:numId w:val="26"/>
        </w:numPr>
        <w:jc w:val="both"/>
        <w:rPr>
          <w:rFonts w:ascii="Arial" w:hAnsi="Arial" w:cs="Arial"/>
          <w:lang w:val="en-US"/>
        </w:rPr>
      </w:pPr>
      <w:r w:rsidRPr="007C2161">
        <w:rPr>
          <w:rFonts w:ascii="Arial" w:hAnsi="Arial" w:cs="Arial"/>
          <w:lang w:val="en-US"/>
        </w:rPr>
        <w:t xml:space="preserve">Socio-economic development. </w:t>
      </w:r>
    </w:p>
    <w:p w:rsidR="002B0516" w:rsidRPr="002E4F28" w:rsidRDefault="002B0516" w:rsidP="002B0516">
      <w:pPr>
        <w:spacing w:after="0" w:line="240" w:lineRule="auto"/>
        <w:jc w:val="both"/>
        <w:rPr>
          <w:rFonts w:ascii="Arial" w:hAnsi="Arial" w:cs="Arial"/>
          <w:sz w:val="24"/>
          <w:szCs w:val="24"/>
          <w:lang w:val="en-US"/>
        </w:rPr>
      </w:pPr>
    </w:p>
    <w:p w:rsidR="002B0516" w:rsidRDefault="002B0516" w:rsidP="002B0516">
      <w:pPr>
        <w:spacing w:after="0" w:line="240" w:lineRule="auto"/>
        <w:jc w:val="both"/>
        <w:rPr>
          <w:rFonts w:ascii="Arial" w:hAnsi="Arial" w:cs="Arial"/>
          <w:sz w:val="24"/>
          <w:szCs w:val="24"/>
          <w:lang w:val="en-US"/>
        </w:rPr>
      </w:pPr>
      <w:r w:rsidRPr="002E4F28">
        <w:rPr>
          <w:rFonts w:ascii="Arial" w:hAnsi="Arial" w:cs="Arial"/>
          <w:sz w:val="24"/>
          <w:szCs w:val="24"/>
          <w:lang w:val="en-US"/>
        </w:rPr>
        <w:t xml:space="preserve">It is through these </w:t>
      </w:r>
      <w:r>
        <w:rPr>
          <w:rFonts w:ascii="Arial" w:hAnsi="Arial" w:cs="Arial"/>
          <w:sz w:val="24"/>
          <w:szCs w:val="24"/>
          <w:lang w:val="en-US"/>
        </w:rPr>
        <w:t>C</w:t>
      </w:r>
      <w:r w:rsidRPr="002E4F28">
        <w:rPr>
          <w:rFonts w:ascii="Arial" w:hAnsi="Arial" w:cs="Arial"/>
          <w:sz w:val="24"/>
          <w:szCs w:val="24"/>
          <w:lang w:val="en-US"/>
        </w:rPr>
        <w:t xml:space="preserve">odes that </w:t>
      </w:r>
      <w:r>
        <w:rPr>
          <w:rFonts w:ascii="Arial" w:hAnsi="Arial" w:cs="Arial"/>
          <w:sz w:val="24"/>
          <w:szCs w:val="24"/>
          <w:lang w:val="en-US"/>
        </w:rPr>
        <w:t xml:space="preserve">the Transformation </w:t>
      </w:r>
      <w:r w:rsidRPr="002E4F28">
        <w:rPr>
          <w:rFonts w:ascii="Arial" w:hAnsi="Arial" w:cs="Arial"/>
          <w:sz w:val="24"/>
          <w:szCs w:val="24"/>
          <w:lang w:val="en-US"/>
        </w:rPr>
        <w:t>targets were clarified</w:t>
      </w:r>
      <w:r>
        <w:rPr>
          <w:rFonts w:ascii="Arial" w:hAnsi="Arial" w:cs="Arial"/>
          <w:sz w:val="24"/>
          <w:szCs w:val="24"/>
          <w:lang w:val="en-US"/>
        </w:rPr>
        <w:t xml:space="preserve"> and therefore, </w:t>
      </w:r>
      <w:r w:rsidRPr="002E4F28">
        <w:rPr>
          <w:rFonts w:ascii="Arial" w:hAnsi="Arial" w:cs="Arial"/>
          <w:sz w:val="24"/>
          <w:szCs w:val="24"/>
          <w:lang w:val="en-US"/>
        </w:rPr>
        <w:t>companies could be measured on their commitments on transformation on an equitable basis</w:t>
      </w:r>
      <w:r>
        <w:rPr>
          <w:rFonts w:ascii="Arial" w:hAnsi="Arial" w:cs="Arial"/>
          <w:sz w:val="24"/>
          <w:szCs w:val="24"/>
          <w:lang w:val="en-US"/>
        </w:rPr>
        <w:t>. Whereas, t</w:t>
      </w:r>
      <w:r w:rsidRPr="001C1C63">
        <w:rPr>
          <w:rFonts w:ascii="Arial" w:hAnsi="Arial" w:cs="Arial"/>
          <w:sz w:val="24"/>
          <w:szCs w:val="24"/>
          <w:lang w:val="en-US"/>
        </w:rPr>
        <w:t>he Financial Sector Charter (the Charter) came into effect in January 2004 as a result of a voluntary offer to develop an</w:t>
      </w:r>
      <w:r>
        <w:rPr>
          <w:rFonts w:ascii="Arial" w:hAnsi="Arial" w:cs="Arial"/>
          <w:sz w:val="24"/>
          <w:szCs w:val="24"/>
          <w:lang w:val="en-US"/>
        </w:rPr>
        <w:t xml:space="preserve"> industry transformation c</w:t>
      </w:r>
      <w:r w:rsidRPr="001C1C63">
        <w:rPr>
          <w:rFonts w:ascii="Arial" w:hAnsi="Arial" w:cs="Arial"/>
          <w:sz w:val="24"/>
          <w:szCs w:val="24"/>
          <w:lang w:val="en-US"/>
        </w:rPr>
        <w:t>harter by the financial sector</w:t>
      </w:r>
      <w:r>
        <w:rPr>
          <w:rFonts w:ascii="Arial" w:hAnsi="Arial" w:cs="Arial"/>
          <w:sz w:val="24"/>
          <w:szCs w:val="24"/>
          <w:lang w:val="en-US"/>
        </w:rPr>
        <w:t xml:space="preserve">. </w:t>
      </w:r>
    </w:p>
    <w:p w:rsidR="002B0516" w:rsidRDefault="002B0516" w:rsidP="0061686E">
      <w:pPr>
        <w:spacing w:after="0" w:line="240" w:lineRule="auto"/>
        <w:jc w:val="both"/>
        <w:rPr>
          <w:rFonts w:ascii="Arial" w:hAnsi="Arial" w:cs="Arial"/>
          <w:sz w:val="24"/>
          <w:szCs w:val="24"/>
          <w:lang w:val="en-US"/>
        </w:rPr>
      </w:pPr>
    </w:p>
    <w:p w:rsidR="002547BB" w:rsidRPr="00635FE4" w:rsidRDefault="002547BB" w:rsidP="00BF54B4">
      <w:pPr>
        <w:pStyle w:val="ListParagraph"/>
        <w:numPr>
          <w:ilvl w:val="0"/>
          <w:numId w:val="27"/>
        </w:numPr>
        <w:jc w:val="both"/>
        <w:rPr>
          <w:rFonts w:ascii="Arial" w:hAnsi="Arial" w:cs="Arial"/>
          <w:lang w:val="en-US"/>
        </w:rPr>
      </w:pPr>
      <w:r w:rsidRPr="00635FE4">
        <w:rPr>
          <w:rFonts w:ascii="Arial" w:hAnsi="Arial" w:cs="Arial"/>
          <w:lang w:val="en-US"/>
        </w:rPr>
        <w:t xml:space="preserve">As indicated </w:t>
      </w:r>
      <w:r w:rsidR="00C930AF" w:rsidRPr="00635FE4">
        <w:rPr>
          <w:rFonts w:ascii="Arial" w:hAnsi="Arial" w:cs="Arial"/>
          <w:lang w:val="en-US"/>
        </w:rPr>
        <w:t>in</w:t>
      </w:r>
      <w:r w:rsidR="00C930AF">
        <w:rPr>
          <w:rFonts w:ascii="Arial" w:hAnsi="Arial" w:cs="Arial"/>
          <w:lang w:val="en-US"/>
        </w:rPr>
        <w:t xml:space="preserve"> </w:t>
      </w:r>
      <w:r w:rsidR="00064DB0" w:rsidRPr="00635FE4">
        <w:rPr>
          <w:rFonts w:ascii="Arial" w:hAnsi="Arial" w:cs="Arial"/>
          <w:lang w:val="en-US"/>
        </w:rPr>
        <w:fldChar w:fldCharType="begin"/>
      </w:r>
      <w:r w:rsidR="00064DB0" w:rsidRPr="00635FE4">
        <w:rPr>
          <w:rFonts w:ascii="Arial" w:hAnsi="Arial" w:cs="Arial"/>
          <w:lang w:val="en-US"/>
        </w:rPr>
        <w:instrText xml:space="preserve"> REF _Ref476933563 \h </w:instrText>
      </w:r>
      <w:r w:rsidR="00064DB0" w:rsidRPr="00635FE4">
        <w:rPr>
          <w:rFonts w:ascii="Arial" w:hAnsi="Arial" w:cs="Arial"/>
          <w:lang w:val="en-US"/>
        </w:rPr>
      </w:r>
      <w:r w:rsidR="00064DB0" w:rsidRPr="00635FE4">
        <w:rPr>
          <w:rFonts w:ascii="Arial" w:hAnsi="Arial" w:cs="Arial"/>
          <w:lang w:val="en-US"/>
        </w:rPr>
        <w:fldChar w:fldCharType="separate"/>
      </w:r>
      <w:r w:rsidR="00C930AF">
        <w:rPr>
          <w:rFonts w:ascii="Arial" w:hAnsi="Arial" w:cs="Arial"/>
          <w:lang w:val="en-US"/>
        </w:rPr>
        <w:fldChar w:fldCharType="begin"/>
      </w:r>
      <w:r w:rsidR="00C930AF">
        <w:rPr>
          <w:rFonts w:ascii="Arial" w:hAnsi="Arial" w:cs="Arial"/>
          <w:lang w:val="en-US"/>
        </w:rPr>
        <w:instrText xml:space="preserve"> REF _Ref476945644 \h </w:instrText>
      </w:r>
      <w:r w:rsidR="00C930AF">
        <w:rPr>
          <w:rFonts w:ascii="Arial" w:hAnsi="Arial" w:cs="Arial"/>
          <w:lang w:val="en-US"/>
        </w:rPr>
      </w:r>
      <w:r w:rsidR="00C930AF">
        <w:rPr>
          <w:rFonts w:ascii="Arial" w:hAnsi="Arial" w:cs="Arial"/>
          <w:lang w:val="en-US"/>
        </w:rPr>
        <w:fldChar w:fldCharType="separate"/>
      </w:r>
      <w:r w:rsidR="00C930AF">
        <w:t xml:space="preserve">Figure </w:t>
      </w:r>
      <w:r w:rsidR="00C930AF">
        <w:rPr>
          <w:noProof/>
        </w:rPr>
        <w:t>1</w:t>
      </w:r>
      <w:r w:rsidR="00C930AF">
        <w:rPr>
          <w:rFonts w:ascii="Arial" w:hAnsi="Arial" w:cs="Arial"/>
          <w:lang w:val="en-US"/>
        </w:rPr>
        <w:fldChar w:fldCharType="end"/>
      </w:r>
      <w:r w:rsidR="00064DB0" w:rsidRPr="00635FE4">
        <w:rPr>
          <w:rFonts w:ascii="Arial" w:hAnsi="Arial" w:cs="Arial"/>
          <w:lang w:val="en-US"/>
        </w:rPr>
        <w:fldChar w:fldCharType="end"/>
      </w:r>
      <w:r w:rsidR="00064DB0" w:rsidRPr="00635FE4">
        <w:rPr>
          <w:rFonts w:ascii="Arial" w:hAnsi="Arial" w:cs="Arial"/>
          <w:lang w:val="en-US"/>
        </w:rPr>
        <w:t xml:space="preserve">, the Codes </w:t>
      </w:r>
      <w:r w:rsidRPr="00635FE4">
        <w:rPr>
          <w:rFonts w:ascii="Arial" w:hAnsi="Arial" w:cs="Arial"/>
          <w:lang w:val="en-US"/>
        </w:rPr>
        <w:t>were gazetted in 2007, four years after the</w:t>
      </w:r>
      <w:r w:rsidR="005D39F7">
        <w:rPr>
          <w:rFonts w:ascii="Arial" w:hAnsi="Arial" w:cs="Arial"/>
          <w:lang w:val="en-US"/>
        </w:rPr>
        <w:t xml:space="preserve"> Black Economic Empowerment </w:t>
      </w:r>
      <w:r w:rsidR="005D39F7" w:rsidRPr="005D39F7">
        <w:rPr>
          <w:rFonts w:ascii="Arial" w:hAnsi="Arial" w:cs="Arial"/>
          <w:lang w:val="en-US"/>
        </w:rPr>
        <w:t>A</w:t>
      </w:r>
      <w:r w:rsidRPr="00635FE4">
        <w:rPr>
          <w:rFonts w:ascii="Arial" w:hAnsi="Arial" w:cs="Arial"/>
          <w:lang w:val="en-US"/>
        </w:rPr>
        <w:t>ct</w:t>
      </w:r>
      <w:r w:rsidR="005D39F7">
        <w:rPr>
          <w:rFonts w:ascii="Arial" w:hAnsi="Arial" w:cs="Arial"/>
          <w:lang w:val="en-US"/>
        </w:rPr>
        <w:t xml:space="preserve"> (BEE Act)</w:t>
      </w:r>
      <w:r w:rsidRPr="00635FE4">
        <w:rPr>
          <w:rFonts w:ascii="Arial" w:hAnsi="Arial" w:cs="Arial"/>
          <w:lang w:val="en-US"/>
        </w:rPr>
        <w:t xml:space="preserve"> had been gazetted.  The Codes were gazetted under </w:t>
      </w:r>
      <w:r w:rsidR="00064DB0">
        <w:rPr>
          <w:rFonts w:ascii="Arial" w:hAnsi="Arial" w:cs="Arial"/>
          <w:lang w:val="en-US"/>
        </w:rPr>
        <w:t xml:space="preserve">the </w:t>
      </w:r>
      <w:r w:rsidR="005D39F7">
        <w:rPr>
          <w:rFonts w:ascii="Arial" w:hAnsi="Arial" w:cs="Arial"/>
          <w:lang w:val="en-US"/>
        </w:rPr>
        <w:t xml:space="preserve">BEE </w:t>
      </w:r>
      <w:r w:rsidR="00064DB0">
        <w:rPr>
          <w:rFonts w:ascii="Arial" w:hAnsi="Arial" w:cs="Arial"/>
          <w:lang w:val="en-US"/>
        </w:rPr>
        <w:t xml:space="preserve">Act they </w:t>
      </w:r>
      <w:r w:rsidR="00064DB0" w:rsidRPr="00064DB0">
        <w:rPr>
          <w:rFonts w:ascii="Arial" w:hAnsi="Arial" w:cs="Arial"/>
          <w:lang w:val="en-US"/>
        </w:rPr>
        <w:t xml:space="preserve">have </w:t>
      </w:r>
      <w:r w:rsidRPr="00635FE4">
        <w:rPr>
          <w:rFonts w:ascii="Arial" w:hAnsi="Arial" w:cs="Arial"/>
          <w:lang w:val="en-US"/>
        </w:rPr>
        <w:t>a superior legal status to that of the charters</w:t>
      </w:r>
      <w:r w:rsidR="00064DB0" w:rsidRPr="00064DB0">
        <w:rPr>
          <w:rFonts w:ascii="Arial" w:hAnsi="Arial" w:cs="Arial"/>
          <w:lang w:val="en-US"/>
        </w:rPr>
        <w:t xml:space="preserve">. </w:t>
      </w:r>
      <w:r w:rsidRPr="00635FE4">
        <w:rPr>
          <w:rFonts w:ascii="Arial" w:hAnsi="Arial" w:cs="Arial"/>
          <w:lang w:val="en-US"/>
        </w:rPr>
        <w:t xml:space="preserve"> From 2007 to 2011, the Charter constituencies were engaged in discussion to align the </w:t>
      </w:r>
      <w:r w:rsidR="005D39F7">
        <w:rPr>
          <w:rFonts w:ascii="Arial" w:hAnsi="Arial" w:cs="Arial"/>
          <w:lang w:val="en-US"/>
        </w:rPr>
        <w:t xml:space="preserve">Charter </w:t>
      </w:r>
      <w:r w:rsidRPr="00635FE4">
        <w:rPr>
          <w:rFonts w:ascii="Arial" w:hAnsi="Arial" w:cs="Arial"/>
          <w:lang w:val="en-US"/>
        </w:rPr>
        <w:t xml:space="preserve">to the Codes with the aim of gazetting the </w:t>
      </w:r>
      <w:r w:rsidR="005D39F7">
        <w:rPr>
          <w:rFonts w:ascii="Arial" w:hAnsi="Arial" w:cs="Arial"/>
          <w:lang w:val="en-US"/>
        </w:rPr>
        <w:t xml:space="preserve">Charter </w:t>
      </w:r>
      <w:r w:rsidRPr="00635FE4">
        <w:rPr>
          <w:rFonts w:ascii="Arial" w:hAnsi="Arial" w:cs="Arial"/>
          <w:lang w:val="en-US"/>
        </w:rPr>
        <w:t xml:space="preserve">under section 9 of the </w:t>
      </w:r>
      <w:r w:rsidR="005D39F7">
        <w:rPr>
          <w:rFonts w:ascii="Arial" w:hAnsi="Arial" w:cs="Arial"/>
          <w:lang w:val="en-US"/>
        </w:rPr>
        <w:t xml:space="preserve">BEE </w:t>
      </w:r>
      <w:r w:rsidRPr="00635FE4">
        <w:rPr>
          <w:rFonts w:ascii="Arial" w:hAnsi="Arial" w:cs="Arial"/>
          <w:lang w:val="en-US"/>
        </w:rPr>
        <w:t xml:space="preserve">Act to have the same legal status as the Codes. </w:t>
      </w:r>
    </w:p>
    <w:p w:rsidR="002547BB" w:rsidRPr="002E4F28" w:rsidRDefault="002547BB" w:rsidP="002547BB">
      <w:pPr>
        <w:spacing w:after="0" w:line="240" w:lineRule="auto"/>
        <w:jc w:val="both"/>
        <w:rPr>
          <w:rFonts w:ascii="Arial" w:hAnsi="Arial" w:cs="Arial"/>
          <w:sz w:val="24"/>
          <w:szCs w:val="24"/>
          <w:lang w:val="en-US"/>
        </w:rPr>
      </w:pPr>
    </w:p>
    <w:p w:rsidR="005D39F7" w:rsidRDefault="002547BB" w:rsidP="00BF54B4">
      <w:pPr>
        <w:pStyle w:val="ListParagraph"/>
        <w:numPr>
          <w:ilvl w:val="0"/>
          <w:numId w:val="27"/>
        </w:numPr>
        <w:jc w:val="both"/>
        <w:rPr>
          <w:rFonts w:ascii="Arial" w:hAnsi="Arial" w:cs="Arial"/>
          <w:lang w:val="en-US"/>
        </w:rPr>
      </w:pPr>
      <w:r w:rsidRPr="00635FE4">
        <w:rPr>
          <w:rFonts w:ascii="Arial" w:hAnsi="Arial" w:cs="Arial"/>
          <w:lang w:val="en-US"/>
        </w:rPr>
        <w:t xml:space="preserve">In December 2011 phase 1 of the draft sector code was gazetted for public comment. </w:t>
      </w:r>
    </w:p>
    <w:p w:rsidR="005D39F7" w:rsidRPr="00635FE4" w:rsidRDefault="005D39F7" w:rsidP="00635FE4">
      <w:pPr>
        <w:pStyle w:val="ListParagraph"/>
        <w:rPr>
          <w:rFonts w:ascii="Arial" w:hAnsi="Arial" w:cs="Arial"/>
          <w:lang w:val="en-US"/>
        </w:rPr>
      </w:pPr>
    </w:p>
    <w:p w:rsidR="002547BB" w:rsidRPr="00635FE4" w:rsidRDefault="002547BB" w:rsidP="00BF54B4">
      <w:pPr>
        <w:pStyle w:val="ListParagraph"/>
        <w:numPr>
          <w:ilvl w:val="0"/>
          <w:numId w:val="27"/>
        </w:numPr>
        <w:jc w:val="both"/>
        <w:rPr>
          <w:rFonts w:ascii="Arial" w:hAnsi="Arial" w:cs="Arial"/>
          <w:lang w:val="en-US"/>
        </w:rPr>
      </w:pPr>
      <w:r w:rsidRPr="00635FE4">
        <w:rPr>
          <w:rFonts w:ascii="Arial" w:hAnsi="Arial" w:cs="Arial"/>
          <w:lang w:val="en-US"/>
        </w:rPr>
        <w:t>In November 2012 a Financial Sector Code was gazetted under section 9 (1) of the Act.</w:t>
      </w:r>
    </w:p>
    <w:p w:rsidR="002547BB" w:rsidRDefault="002547BB" w:rsidP="00BF54B4">
      <w:pPr>
        <w:pStyle w:val="Heading1"/>
        <w:numPr>
          <w:ilvl w:val="1"/>
          <w:numId w:val="14"/>
        </w:numPr>
        <w:rPr>
          <w:rFonts w:ascii="Arial" w:hAnsi="Arial" w:cs="Arial"/>
          <w:b/>
          <w:color w:val="auto"/>
          <w:sz w:val="24"/>
          <w:szCs w:val="24"/>
          <w:lang w:val="en-US"/>
        </w:rPr>
      </w:pPr>
      <w:r w:rsidRPr="002E4F28">
        <w:rPr>
          <w:rFonts w:ascii="Arial" w:hAnsi="Arial" w:cs="Arial"/>
          <w:b/>
          <w:color w:val="auto"/>
          <w:sz w:val="24"/>
          <w:szCs w:val="24"/>
          <w:lang w:val="en-US"/>
        </w:rPr>
        <w:t xml:space="preserve">Key objectives in respect of the </w:t>
      </w:r>
      <w:r w:rsidR="005800A7">
        <w:rPr>
          <w:rFonts w:ascii="Arial" w:hAnsi="Arial" w:cs="Arial"/>
          <w:b/>
          <w:color w:val="auto"/>
          <w:sz w:val="24"/>
          <w:szCs w:val="24"/>
          <w:lang w:val="en-US"/>
        </w:rPr>
        <w:t xml:space="preserve">Charter </w:t>
      </w:r>
    </w:p>
    <w:p w:rsidR="002547BB" w:rsidRPr="002E4F28" w:rsidRDefault="002547BB" w:rsidP="002547BB">
      <w:pPr>
        <w:spacing w:after="0" w:line="240" w:lineRule="auto"/>
        <w:jc w:val="both"/>
        <w:rPr>
          <w:rFonts w:ascii="Arial" w:hAnsi="Arial" w:cs="Arial"/>
          <w:sz w:val="24"/>
          <w:szCs w:val="24"/>
          <w:lang w:val="en-US"/>
        </w:rPr>
      </w:pPr>
      <w:r w:rsidRPr="002E4F28">
        <w:rPr>
          <w:rFonts w:ascii="Arial" w:hAnsi="Arial" w:cs="Arial"/>
          <w:sz w:val="24"/>
          <w:szCs w:val="24"/>
          <w:lang w:val="en-US"/>
        </w:rPr>
        <w:t xml:space="preserve">The financial sector </w:t>
      </w:r>
      <w:r w:rsidR="005800A7">
        <w:rPr>
          <w:rFonts w:ascii="Arial" w:hAnsi="Arial" w:cs="Arial"/>
          <w:sz w:val="24"/>
          <w:szCs w:val="24"/>
          <w:lang w:val="en-US"/>
        </w:rPr>
        <w:t>Charter</w:t>
      </w:r>
      <w:r w:rsidR="005800A7" w:rsidRPr="002E4F28">
        <w:rPr>
          <w:rFonts w:ascii="Arial" w:hAnsi="Arial" w:cs="Arial"/>
          <w:sz w:val="24"/>
          <w:szCs w:val="24"/>
          <w:lang w:val="en-US"/>
        </w:rPr>
        <w:t xml:space="preserve"> </w:t>
      </w:r>
      <w:r w:rsidRPr="002E4F28">
        <w:rPr>
          <w:rFonts w:ascii="Arial" w:hAnsi="Arial" w:cs="Arial"/>
          <w:sz w:val="24"/>
          <w:szCs w:val="24"/>
          <w:lang w:val="en-US"/>
        </w:rPr>
        <w:t xml:space="preserve">measures transformation in respect of the pillars of the generic codes, being, ownership, management control, skills development, enterprise and supplier development and socio-economic development.  In addition to these pillars, the FSC also introduced two pillars, empowerment financing and access to financial services. </w:t>
      </w:r>
    </w:p>
    <w:p w:rsidR="002547BB" w:rsidRPr="002E4F28" w:rsidRDefault="002547BB" w:rsidP="002547BB">
      <w:pPr>
        <w:spacing w:after="0" w:line="240" w:lineRule="auto"/>
        <w:jc w:val="both"/>
        <w:rPr>
          <w:rFonts w:ascii="Arial" w:hAnsi="Arial" w:cs="Arial"/>
          <w:sz w:val="24"/>
          <w:szCs w:val="24"/>
          <w:lang w:val="en-US"/>
        </w:rPr>
      </w:pPr>
    </w:p>
    <w:p w:rsidR="002547BB" w:rsidRPr="002E4F28" w:rsidRDefault="002547BB" w:rsidP="002547BB">
      <w:pPr>
        <w:spacing w:after="0" w:line="240" w:lineRule="auto"/>
        <w:jc w:val="both"/>
        <w:rPr>
          <w:rFonts w:ascii="Arial" w:hAnsi="Arial" w:cs="Arial"/>
          <w:sz w:val="24"/>
          <w:szCs w:val="24"/>
          <w:lang w:val="en-US"/>
        </w:rPr>
      </w:pPr>
      <w:r w:rsidRPr="002E4F28">
        <w:rPr>
          <w:rFonts w:ascii="Arial" w:hAnsi="Arial" w:cs="Arial"/>
          <w:sz w:val="24"/>
          <w:szCs w:val="24"/>
          <w:lang w:val="en-US"/>
        </w:rPr>
        <w:t xml:space="preserve">The focus of these two pillars is </w:t>
      </w:r>
      <w:r w:rsidR="005800A7">
        <w:rPr>
          <w:rFonts w:ascii="Arial" w:hAnsi="Arial" w:cs="Arial"/>
          <w:sz w:val="24"/>
          <w:szCs w:val="24"/>
          <w:lang w:val="en-US"/>
        </w:rPr>
        <w:t xml:space="preserve">to </w:t>
      </w:r>
      <w:r w:rsidRPr="002E4F28">
        <w:rPr>
          <w:rFonts w:ascii="Arial" w:hAnsi="Arial" w:cs="Arial"/>
          <w:sz w:val="24"/>
          <w:szCs w:val="24"/>
          <w:lang w:val="en-US"/>
        </w:rPr>
        <w:t>mak</w:t>
      </w:r>
      <w:r w:rsidR="005800A7">
        <w:rPr>
          <w:rFonts w:ascii="Arial" w:hAnsi="Arial" w:cs="Arial"/>
          <w:sz w:val="24"/>
          <w:szCs w:val="24"/>
          <w:lang w:val="en-US"/>
        </w:rPr>
        <w:t xml:space="preserve">e </w:t>
      </w:r>
      <w:r w:rsidRPr="002E4F28">
        <w:rPr>
          <w:rFonts w:ascii="Arial" w:hAnsi="Arial" w:cs="Arial"/>
          <w:sz w:val="24"/>
          <w:szCs w:val="24"/>
          <w:lang w:val="en-US"/>
        </w:rPr>
        <w:t>financial services accessible to the previously unbanked and underserved, as well as empowering the previously disenfranchised through the provision of affordable housing, financing of black SMMEs and rural entrepreneurs through agricultural financing, and investing in various forms of transformational infrastructure to create the necessary platform to grow the economy on an equitable basis.</w:t>
      </w:r>
    </w:p>
    <w:p w:rsidR="00114021" w:rsidRDefault="00114021" w:rsidP="0061686E">
      <w:pPr>
        <w:spacing w:after="0" w:line="240" w:lineRule="auto"/>
        <w:jc w:val="both"/>
        <w:rPr>
          <w:rFonts w:ascii="Arial" w:hAnsi="Arial" w:cs="Arial"/>
          <w:sz w:val="24"/>
          <w:szCs w:val="24"/>
          <w:lang w:val="en-US"/>
        </w:rPr>
      </w:pPr>
    </w:p>
    <w:p w:rsidR="00114021" w:rsidRDefault="00114021" w:rsidP="0061686E">
      <w:pPr>
        <w:spacing w:after="0" w:line="240" w:lineRule="auto"/>
        <w:jc w:val="both"/>
        <w:rPr>
          <w:rFonts w:ascii="Arial" w:hAnsi="Arial" w:cs="Arial"/>
          <w:sz w:val="24"/>
          <w:szCs w:val="24"/>
          <w:lang w:val="en-US"/>
        </w:rPr>
      </w:pPr>
    </w:p>
    <w:p w:rsidR="00D52A12" w:rsidRPr="00900B36" w:rsidRDefault="00C930AF" w:rsidP="00D52A12">
      <w:pPr>
        <w:pStyle w:val="ListParagraph"/>
        <w:numPr>
          <w:ilvl w:val="0"/>
          <w:numId w:val="1"/>
        </w:numPr>
        <w:shd w:val="clear" w:color="auto" w:fill="70AD47" w:themeFill="accent6"/>
        <w:tabs>
          <w:tab w:val="left" w:pos="720"/>
        </w:tabs>
        <w:spacing w:line="360" w:lineRule="auto"/>
        <w:ind w:hanging="1440"/>
        <w:rPr>
          <w:rFonts w:ascii="Arial" w:hAnsi="Arial" w:cs="Arial"/>
          <w:b/>
        </w:rPr>
      </w:pPr>
      <w:r w:rsidRPr="00C930AF">
        <w:rPr>
          <w:rFonts w:ascii="Arial" w:hAnsi="Arial" w:cs="Arial"/>
          <w:b/>
        </w:rPr>
        <w:t xml:space="preserve">Summary B-BBEE performance of JSE listed financial services </w:t>
      </w:r>
      <w:r>
        <w:rPr>
          <w:rFonts w:ascii="Arial" w:hAnsi="Arial" w:cs="Arial"/>
          <w:b/>
        </w:rPr>
        <w:t>c</w:t>
      </w:r>
      <w:r w:rsidRPr="00C930AF">
        <w:rPr>
          <w:rFonts w:ascii="Arial" w:hAnsi="Arial" w:cs="Arial"/>
          <w:b/>
        </w:rPr>
        <w:t>ompanies</w:t>
      </w:r>
    </w:p>
    <w:p w:rsidR="00D52A12" w:rsidRDefault="00D52A12" w:rsidP="00D52A12">
      <w:pPr>
        <w:spacing w:after="0" w:line="240" w:lineRule="auto"/>
        <w:jc w:val="both"/>
        <w:rPr>
          <w:rFonts w:ascii="Arial" w:hAnsi="Arial" w:cs="Arial"/>
          <w:sz w:val="24"/>
          <w:szCs w:val="24"/>
          <w:lang w:val="en-US"/>
        </w:rPr>
      </w:pPr>
    </w:p>
    <w:p w:rsidR="00836211" w:rsidRDefault="00CC76FC" w:rsidP="004D78ED">
      <w:pPr>
        <w:spacing w:after="0" w:line="240" w:lineRule="auto"/>
        <w:jc w:val="both"/>
        <w:rPr>
          <w:rFonts w:ascii="Arial" w:hAnsi="Arial" w:cs="Arial"/>
          <w:sz w:val="24"/>
          <w:szCs w:val="24"/>
          <w:lang w:val="en-US"/>
        </w:rPr>
      </w:pPr>
      <w:r>
        <w:rPr>
          <w:rFonts w:ascii="Arial" w:hAnsi="Arial" w:cs="Arial"/>
          <w:sz w:val="24"/>
          <w:szCs w:val="24"/>
          <w:lang w:val="en-US"/>
        </w:rPr>
        <w:t>It appears that the</w:t>
      </w:r>
      <w:r w:rsidRPr="00B446D5">
        <w:rPr>
          <w:rFonts w:ascii="Arial" w:hAnsi="Arial" w:cs="Arial"/>
          <w:sz w:val="24"/>
          <w:szCs w:val="24"/>
          <w:lang w:val="en-US"/>
        </w:rPr>
        <w:t xml:space="preserve"> </w:t>
      </w:r>
      <w:r w:rsidR="00B446D5" w:rsidRPr="00B446D5">
        <w:rPr>
          <w:rFonts w:ascii="Arial" w:hAnsi="Arial" w:cs="Arial"/>
          <w:sz w:val="24"/>
          <w:szCs w:val="24"/>
          <w:lang w:val="en-US"/>
        </w:rPr>
        <w:t>achievements of the sector are a far cry from</w:t>
      </w:r>
      <w:r>
        <w:rPr>
          <w:rFonts w:ascii="Arial" w:hAnsi="Arial" w:cs="Arial"/>
          <w:sz w:val="24"/>
          <w:szCs w:val="24"/>
          <w:lang w:val="en-US"/>
        </w:rPr>
        <w:t xml:space="preserve"> the targets set by the 2012 FSC</w:t>
      </w:r>
      <w:r w:rsidR="00B446D5" w:rsidRPr="00B446D5">
        <w:rPr>
          <w:rFonts w:ascii="Arial" w:hAnsi="Arial" w:cs="Arial"/>
          <w:sz w:val="24"/>
          <w:szCs w:val="24"/>
          <w:lang w:val="en-US"/>
        </w:rPr>
        <w:t xml:space="preserve"> </w:t>
      </w:r>
      <w:r w:rsidR="00836211">
        <w:rPr>
          <w:rFonts w:ascii="Arial" w:hAnsi="Arial" w:cs="Arial"/>
          <w:sz w:val="24"/>
          <w:szCs w:val="24"/>
          <w:lang w:val="en-US"/>
        </w:rPr>
        <w:t xml:space="preserve">and </w:t>
      </w:r>
      <w:r>
        <w:rPr>
          <w:rFonts w:ascii="Arial" w:hAnsi="Arial" w:cs="Arial"/>
          <w:sz w:val="24"/>
          <w:szCs w:val="24"/>
          <w:lang w:val="en-US"/>
        </w:rPr>
        <w:t xml:space="preserve">further </w:t>
      </w:r>
      <w:r w:rsidR="00836211">
        <w:rPr>
          <w:rFonts w:ascii="Arial" w:hAnsi="Arial" w:cs="Arial"/>
          <w:sz w:val="24"/>
          <w:szCs w:val="24"/>
          <w:lang w:val="en-US"/>
        </w:rPr>
        <w:t>undermine the efforts and aspirations of the C</w:t>
      </w:r>
      <w:r w:rsidR="00B871A3">
        <w:rPr>
          <w:rFonts w:ascii="Arial" w:hAnsi="Arial" w:cs="Arial"/>
          <w:sz w:val="24"/>
          <w:szCs w:val="24"/>
          <w:lang w:val="en-US"/>
        </w:rPr>
        <w:t xml:space="preserve">odes, </w:t>
      </w:r>
      <w:r w:rsidR="008003B3">
        <w:rPr>
          <w:rFonts w:ascii="Arial" w:hAnsi="Arial" w:cs="Arial"/>
          <w:sz w:val="24"/>
          <w:szCs w:val="24"/>
          <w:lang w:val="en-US"/>
        </w:rPr>
        <w:t>as evidenced by the following</w:t>
      </w:r>
      <w:r w:rsidR="00836211">
        <w:rPr>
          <w:rFonts w:ascii="Arial" w:hAnsi="Arial" w:cs="Arial"/>
          <w:sz w:val="24"/>
          <w:szCs w:val="24"/>
          <w:lang w:val="en-US"/>
        </w:rPr>
        <w:t>:</w:t>
      </w:r>
    </w:p>
    <w:p w:rsidR="008003B3" w:rsidRPr="008003B3" w:rsidRDefault="00836211" w:rsidP="00BF54B4">
      <w:pPr>
        <w:pStyle w:val="Heading1"/>
        <w:numPr>
          <w:ilvl w:val="1"/>
          <w:numId w:val="15"/>
        </w:numPr>
        <w:rPr>
          <w:rFonts w:ascii="Arial" w:hAnsi="Arial" w:cs="Arial"/>
          <w:b/>
          <w:color w:val="auto"/>
          <w:sz w:val="24"/>
          <w:szCs w:val="24"/>
          <w:lang w:val="en-US"/>
        </w:rPr>
      </w:pPr>
      <w:r w:rsidRPr="008003B3">
        <w:rPr>
          <w:rFonts w:ascii="Arial" w:hAnsi="Arial" w:cs="Arial"/>
          <w:b/>
          <w:color w:val="auto"/>
          <w:sz w:val="24"/>
          <w:szCs w:val="24"/>
          <w:lang w:val="en-US"/>
        </w:rPr>
        <w:t>Ownership</w:t>
      </w:r>
    </w:p>
    <w:p w:rsidR="0074740C" w:rsidRDefault="00B04C6F" w:rsidP="008003B3">
      <w:pPr>
        <w:jc w:val="both"/>
        <w:rPr>
          <w:rFonts w:ascii="Arial" w:hAnsi="Arial" w:cs="Arial"/>
          <w:lang w:val="en-US"/>
        </w:rPr>
      </w:pPr>
      <w:r>
        <w:rPr>
          <w:rFonts w:ascii="Arial" w:hAnsi="Arial" w:cs="Arial"/>
          <w:lang w:val="en-US"/>
        </w:rPr>
        <w:t xml:space="preserve">A sample analysis of the top 17 financial services companies by market capitalisation as listed on the JSE shows underperformance against the set 2012 FSC target of 10%. The findings of the analysis indicate that the black ownership achieved is 6.0% as extensively highlighted in </w:t>
      </w:r>
      <w:r>
        <w:rPr>
          <w:rFonts w:ascii="Arial" w:hAnsi="Arial" w:cs="Arial"/>
          <w:lang w:val="en-US"/>
        </w:rPr>
        <w:fldChar w:fldCharType="begin"/>
      </w:r>
      <w:r>
        <w:rPr>
          <w:rFonts w:ascii="Arial" w:hAnsi="Arial" w:cs="Arial"/>
          <w:lang w:val="en-US"/>
        </w:rPr>
        <w:instrText xml:space="preserve"> REF _Ref476945523 \h  \* MERGEFORMAT </w:instrText>
      </w:r>
      <w:r>
        <w:rPr>
          <w:rFonts w:ascii="Arial" w:hAnsi="Arial" w:cs="Arial"/>
          <w:lang w:val="en-US"/>
        </w:rPr>
      </w:r>
      <w:r>
        <w:rPr>
          <w:rFonts w:ascii="Arial" w:hAnsi="Arial" w:cs="Arial"/>
          <w:lang w:val="en-US"/>
        </w:rPr>
        <w:fldChar w:fldCharType="separate"/>
      </w:r>
      <w:r w:rsidR="00011950" w:rsidRPr="00011950">
        <w:rPr>
          <w:rFonts w:ascii="Arial" w:hAnsi="Arial" w:cs="Arial"/>
          <w:lang w:val="en-US"/>
        </w:rPr>
        <w:t>Table 1</w:t>
      </w:r>
      <w:r>
        <w:rPr>
          <w:rFonts w:ascii="Arial" w:hAnsi="Arial" w:cs="Arial"/>
          <w:lang w:val="en-US"/>
        </w:rPr>
        <w:fldChar w:fldCharType="end"/>
      </w:r>
      <w:r>
        <w:rPr>
          <w:rFonts w:ascii="Arial" w:hAnsi="Arial" w:cs="Arial"/>
          <w:lang w:val="en-US"/>
        </w:rPr>
        <w:t>. Furthermore,</w:t>
      </w:r>
      <w:r w:rsidR="00D27C8A">
        <w:rPr>
          <w:rFonts w:ascii="Arial" w:hAnsi="Arial" w:cs="Arial"/>
          <w:lang w:val="en-US"/>
        </w:rPr>
        <w:t xml:space="preserve"> the methodology of computing the ownership target is based on 2010 baseline market capitalisation as</w:t>
      </w:r>
      <w:r w:rsidR="00125B19">
        <w:rPr>
          <w:rFonts w:ascii="Arial" w:hAnsi="Arial" w:cs="Arial"/>
          <w:lang w:val="en-US"/>
        </w:rPr>
        <w:t xml:space="preserve"> per the 2012 FSC. It would be instructive to use current market capitalisation data on an ongoing basis as this would provide accurate and up to date figures</w:t>
      </w:r>
      <w:r w:rsidR="0074740C">
        <w:rPr>
          <w:rFonts w:ascii="Arial" w:hAnsi="Arial" w:cs="Arial"/>
          <w:lang w:val="en-US"/>
        </w:rPr>
        <w:t>.</w:t>
      </w:r>
    </w:p>
    <w:p w:rsidR="008003B3" w:rsidRPr="008003B3" w:rsidRDefault="00836211" w:rsidP="00BF54B4">
      <w:pPr>
        <w:pStyle w:val="Heading1"/>
        <w:numPr>
          <w:ilvl w:val="1"/>
          <w:numId w:val="15"/>
        </w:numPr>
        <w:rPr>
          <w:rFonts w:ascii="Arial" w:hAnsi="Arial" w:cs="Arial"/>
          <w:b/>
          <w:sz w:val="24"/>
          <w:szCs w:val="24"/>
          <w:lang w:val="en-US"/>
        </w:rPr>
      </w:pPr>
      <w:r w:rsidRPr="008003B3">
        <w:rPr>
          <w:rFonts w:ascii="Arial" w:hAnsi="Arial" w:cs="Arial"/>
          <w:b/>
          <w:color w:val="auto"/>
          <w:sz w:val="24"/>
          <w:szCs w:val="24"/>
          <w:lang w:val="en-US"/>
        </w:rPr>
        <w:t>Empowerment financing</w:t>
      </w:r>
    </w:p>
    <w:p w:rsidR="00F50539" w:rsidRDefault="00F50539" w:rsidP="008003B3">
      <w:pPr>
        <w:jc w:val="both"/>
        <w:rPr>
          <w:rFonts w:ascii="Arial" w:hAnsi="Arial" w:cs="Arial"/>
          <w:lang w:val="en-US"/>
        </w:rPr>
      </w:pPr>
      <w:r>
        <w:rPr>
          <w:rFonts w:ascii="Arial" w:hAnsi="Arial" w:cs="Arial"/>
          <w:lang w:val="en-US"/>
        </w:rPr>
        <w:t>Claims by</w:t>
      </w:r>
      <w:r w:rsidR="005C2FDC" w:rsidRPr="008003B3">
        <w:rPr>
          <w:rFonts w:ascii="Arial" w:hAnsi="Arial" w:cs="Arial"/>
          <w:lang w:val="en-US"/>
        </w:rPr>
        <w:t xml:space="preserve"> the majority of the financial institutions </w:t>
      </w:r>
      <w:r>
        <w:rPr>
          <w:rFonts w:ascii="Arial" w:hAnsi="Arial" w:cs="Arial"/>
          <w:lang w:val="en-US"/>
        </w:rPr>
        <w:t xml:space="preserve">indicate that they </w:t>
      </w:r>
      <w:r w:rsidR="005C2FDC" w:rsidRPr="008003B3">
        <w:rPr>
          <w:rFonts w:ascii="Arial" w:hAnsi="Arial" w:cs="Arial"/>
          <w:lang w:val="en-US"/>
        </w:rPr>
        <w:t xml:space="preserve">have </w:t>
      </w:r>
      <w:r>
        <w:rPr>
          <w:rFonts w:ascii="Arial" w:hAnsi="Arial" w:cs="Arial"/>
          <w:lang w:val="en-US"/>
        </w:rPr>
        <w:t>complied with the empowerment financing element. However, the claims c</w:t>
      </w:r>
      <w:r w:rsidR="00D2746F">
        <w:rPr>
          <w:rFonts w:ascii="Arial" w:hAnsi="Arial" w:cs="Arial"/>
          <w:lang w:val="en-US"/>
        </w:rPr>
        <w:t>a</w:t>
      </w:r>
      <w:r>
        <w:rPr>
          <w:rFonts w:ascii="Arial" w:hAnsi="Arial" w:cs="Arial"/>
          <w:lang w:val="en-US"/>
        </w:rPr>
        <w:t xml:space="preserve">nnot be validated due to poor reporting and the absence of effective monitoring. Furthermore, </w:t>
      </w:r>
      <w:r w:rsidR="00D2746F">
        <w:rPr>
          <w:rFonts w:ascii="Arial" w:hAnsi="Arial" w:cs="Arial"/>
          <w:lang w:val="en-US"/>
        </w:rPr>
        <w:t>the</w:t>
      </w:r>
      <w:r w:rsidR="001E7486">
        <w:rPr>
          <w:rFonts w:ascii="Arial" w:hAnsi="Arial" w:cs="Arial"/>
          <w:lang w:val="en-US"/>
        </w:rPr>
        <w:t>re</w:t>
      </w:r>
      <w:r w:rsidR="00D2746F">
        <w:rPr>
          <w:rFonts w:ascii="Arial" w:hAnsi="Arial" w:cs="Arial"/>
          <w:lang w:val="en-US"/>
        </w:rPr>
        <w:t xml:space="preserve"> are four (4) sub-elements</w:t>
      </w:r>
      <w:r w:rsidR="001D6268">
        <w:rPr>
          <w:rFonts w:ascii="Arial" w:hAnsi="Arial" w:cs="Arial"/>
          <w:lang w:val="en-US"/>
        </w:rPr>
        <w:t xml:space="preserve"> to empowerment financing being:</w:t>
      </w:r>
    </w:p>
    <w:p w:rsidR="00D2746F" w:rsidRDefault="00593358" w:rsidP="00BF54B4">
      <w:pPr>
        <w:pStyle w:val="ListParagraph"/>
        <w:numPr>
          <w:ilvl w:val="0"/>
          <w:numId w:val="31"/>
        </w:numPr>
        <w:jc w:val="both"/>
        <w:rPr>
          <w:rFonts w:ascii="Arial" w:hAnsi="Arial" w:cs="Arial"/>
          <w:lang w:val="en-US"/>
        </w:rPr>
      </w:pPr>
      <w:r>
        <w:rPr>
          <w:rFonts w:ascii="Arial" w:hAnsi="Arial" w:cs="Arial"/>
          <w:lang w:val="en-US"/>
        </w:rPr>
        <w:t>t</w:t>
      </w:r>
      <w:r w:rsidR="00D2746F">
        <w:rPr>
          <w:rFonts w:ascii="Arial" w:hAnsi="Arial" w:cs="Arial"/>
          <w:lang w:val="en-US"/>
        </w:rPr>
        <w:t>ransformational infrastructure</w:t>
      </w:r>
      <w:r>
        <w:rPr>
          <w:rFonts w:ascii="Arial" w:hAnsi="Arial" w:cs="Arial"/>
          <w:lang w:val="en-US"/>
        </w:rPr>
        <w:t>;</w:t>
      </w:r>
    </w:p>
    <w:p w:rsidR="00D2746F" w:rsidRDefault="00593358" w:rsidP="00BF54B4">
      <w:pPr>
        <w:pStyle w:val="ListParagraph"/>
        <w:numPr>
          <w:ilvl w:val="0"/>
          <w:numId w:val="31"/>
        </w:numPr>
        <w:jc w:val="both"/>
        <w:rPr>
          <w:rFonts w:ascii="Arial" w:hAnsi="Arial" w:cs="Arial"/>
          <w:lang w:val="en-US"/>
        </w:rPr>
      </w:pPr>
      <w:r>
        <w:rPr>
          <w:rFonts w:ascii="Arial" w:hAnsi="Arial" w:cs="Arial"/>
          <w:lang w:val="en-US"/>
        </w:rPr>
        <w:t>b</w:t>
      </w:r>
      <w:r w:rsidR="00D2746F">
        <w:rPr>
          <w:rFonts w:ascii="Arial" w:hAnsi="Arial" w:cs="Arial"/>
          <w:lang w:val="en-US"/>
        </w:rPr>
        <w:t>lack SME financing;</w:t>
      </w:r>
    </w:p>
    <w:p w:rsidR="00D2746F" w:rsidRDefault="00593358" w:rsidP="00BF54B4">
      <w:pPr>
        <w:pStyle w:val="ListParagraph"/>
        <w:numPr>
          <w:ilvl w:val="0"/>
          <w:numId w:val="31"/>
        </w:numPr>
        <w:jc w:val="both"/>
        <w:rPr>
          <w:rFonts w:ascii="Arial" w:hAnsi="Arial" w:cs="Arial"/>
          <w:lang w:val="en-US"/>
        </w:rPr>
      </w:pPr>
      <w:r>
        <w:rPr>
          <w:rFonts w:ascii="Arial" w:hAnsi="Arial" w:cs="Arial"/>
          <w:lang w:val="en-US"/>
        </w:rPr>
        <w:t>b</w:t>
      </w:r>
      <w:r w:rsidR="00D2746F">
        <w:rPr>
          <w:rFonts w:ascii="Arial" w:hAnsi="Arial" w:cs="Arial"/>
          <w:lang w:val="en-US"/>
        </w:rPr>
        <w:t>lack agricultural financing; and</w:t>
      </w:r>
    </w:p>
    <w:p w:rsidR="00D2746F" w:rsidRPr="00D2746F" w:rsidRDefault="00593358" w:rsidP="00BF54B4">
      <w:pPr>
        <w:pStyle w:val="ListParagraph"/>
        <w:numPr>
          <w:ilvl w:val="0"/>
          <w:numId w:val="31"/>
        </w:numPr>
        <w:jc w:val="both"/>
        <w:rPr>
          <w:rFonts w:ascii="Arial" w:hAnsi="Arial" w:cs="Arial"/>
          <w:lang w:val="en-US"/>
        </w:rPr>
      </w:pPr>
      <w:r>
        <w:rPr>
          <w:rFonts w:ascii="Arial" w:hAnsi="Arial" w:cs="Arial"/>
          <w:lang w:val="en-US"/>
        </w:rPr>
        <w:t>a</w:t>
      </w:r>
      <w:r w:rsidR="00D2746F">
        <w:rPr>
          <w:rFonts w:ascii="Arial" w:hAnsi="Arial" w:cs="Arial"/>
          <w:lang w:val="en-US"/>
        </w:rPr>
        <w:t>ffordable housing</w:t>
      </w:r>
      <w:r>
        <w:rPr>
          <w:rFonts w:ascii="Arial" w:hAnsi="Arial" w:cs="Arial"/>
          <w:lang w:val="en-US"/>
        </w:rPr>
        <w:t>.</w:t>
      </w:r>
    </w:p>
    <w:p w:rsidR="00F50539" w:rsidRDefault="00F50539" w:rsidP="008003B3">
      <w:pPr>
        <w:jc w:val="both"/>
        <w:rPr>
          <w:rFonts w:ascii="Arial" w:hAnsi="Arial" w:cs="Arial"/>
          <w:lang w:val="en-US"/>
        </w:rPr>
      </w:pPr>
    </w:p>
    <w:p w:rsidR="00885A95" w:rsidRDefault="000C2F45" w:rsidP="00885A95">
      <w:pPr>
        <w:jc w:val="both"/>
        <w:rPr>
          <w:rFonts w:ascii="Arial" w:hAnsi="Arial" w:cs="Arial"/>
          <w:lang w:val="en-US"/>
        </w:rPr>
      </w:pPr>
      <w:r>
        <w:rPr>
          <w:rFonts w:ascii="Arial" w:hAnsi="Arial" w:cs="Arial"/>
          <w:lang w:val="en-US"/>
        </w:rPr>
        <w:t xml:space="preserve">Financial services companies would earn </w:t>
      </w:r>
      <w:r w:rsidR="00322DB6">
        <w:rPr>
          <w:rFonts w:ascii="Arial" w:hAnsi="Arial" w:cs="Arial"/>
          <w:lang w:val="en-US"/>
        </w:rPr>
        <w:t>twelve (</w:t>
      </w:r>
      <w:r w:rsidR="005C2FDC" w:rsidRPr="008003B3">
        <w:rPr>
          <w:rFonts w:ascii="Arial" w:hAnsi="Arial" w:cs="Arial"/>
          <w:lang w:val="en-US"/>
        </w:rPr>
        <w:t>12</w:t>
      </w:r>
      <w:r w:rsidR="00322DB6">
        <w:rPr>
          <w:rFonts w:ascii="Arial" w:hAnsi="Arial" w:cs="Arial"/>
          <w:lang w:val="en-US"/>
        </w:rPr>
        <w:t>)</w:t>
      </w:r>
      <w:r w:rsidR="005C2FDC" w:rsidRPr="008003B3">
        <w:rPr>
          <w:rFonts w:ascii="Arial" w:hAnsi="Arial" w:cs="Arial"/>
          <w:lang w:val="en-US"/>
        </w:rPr>
        <w:t xml:space="preserve"> points in respect of </w:t>
      </w:r>
      <w:r w:rsidR="00C35259">
        <w:rPr>
          <w:rFonts w:ascii="Arial" w:hAnsi="Arial" w:cs="Arial"/>
          <w:lang w:val="en-US"/>
        </w:rPr>
        <w:t xml:space="preserve">the </w:t>
      </w:r>
      <w:r w:rsidR="005C2FDC" w:rsidRPr="008003B3">
        <w:rPr>
          <w:rFonts w:ascii="Arial" w:hAnsi="Arial" w:cs="Arial"/>
          <w:lang w:val="en-US"/>
        </w:rPr>
        <w:t>R48 bill</w:t>
      </w:r>
      <w:r w:rsidR="00322DB6">
        <w:rPr>
          <w:rFonts w:ascii="Arial" w:hAnsi="Arial" w:cs="Arial"/>
          <w:lang w:val="en-US"/>
        </w:rPr>
        <w:t>ion target set for the industry</w:t>
      </w:r>
      <w:r>
        <w:rPr>
          <w:rFonts w:ascii="Arial" w:hAnsi="Arial" w:cs="Arial"/>
          <w:lang w:val="en-US"/>
        </w:rPr>
        <w:t xml:space="preserve"> in empowerment financing. However, </w:t>
      </w:r>
      <w:r w:rsidR="001D6268">
        <w:rPr>
          <w:rFonts w:ascii="Arial" w:hAnsi="Arial" w:cs="Arial"/>
          <w:lang w:val="en-US"/>
        </w:rPr>
        <w:t xml:space="preserve">financial institutions have enjoyed the liberty of cherry picking their preferred sub-element of empowerment financing to the detriment of others e.g. </w:t>
      </w:r>
      <w:r w:rsidR="001D6268" w:rsidRPr="008003B3">
        <w:rPr>
          <w:rFonts w:ascii="Arial" w:hAnsi="Arial" w:cs="Arial"/>
          <w:lang w:val="en-US"/>
        </w:rPr>
        <w:t xml:space="preserve">most financial institutions are </w:t>
      </w:r>
      <w:r w:rsidR="001D6268">
        <w:rPr>
          <w:rFonts w:ascii="Arial" w:hAnsi="Arial" w:cs="Arial"/>
          <w:lang w:val="en-US"/>
        </w:rPr>
        <w:t>more</w:t>
      </w:r>
      <w:r w:rsidR="001D6268" w:rsidRPr="008003B3">
        <w:rPr>
          <w:rFonts w:ascii="Arial" w:hAnsi="Arial" w:cs="Arial"/>
          <w:lang w:val="en-US"/>
        </w:rPr>
        <w:t xml:space="preserve"> likely to </w:t>
      </w:r>
      <w:r w:rsidR="001D6268">
        <w:rPr>
          <w:rFonts w:ascii="Arial" w:hAnsi="Arial" w:cs="Arial"/>
          <w:lang w:val="en-US"/>
        </w:rPr>
        <w:t xml:space="preserve">utilise Government-backed securities and financial instruments in fulfilment of empowerment financing. </w:t>
      </w:r>
      <w:r w:rsidR="007D26AC">
        <w:rPr>
          <w:rFonts w:ascii="Arial" w:hAnsi="Arial" w:cs="Arial"/>
          <w:lang w:val="en-US"/>
        </w:rPr>
        <w:t>In fifteen (15) years,</w:t>
      </w:r>
      <w:r w:rsidR="001D6268">
        <w:rPr>
          <w:rFonts w:ascii="Arial" w:hAnsi="Arial" w:cs="Arial"/>
          <w:lang w:val="en-US"/>
        </w:rPr>
        <w:t xml:space="preserve"> the R48 billion </w:t>
      </w:r>
      <w:r w:rsidR="007D26AC">
        <w:rPr>
          <w:rFonts w:ascii="Arial" w:hAnsi="Arial" w:cs="Arial"/>
          <w:lang w:val="en-US"/>
        </w:rPr>
        <w:t xml:space="preserve">baseline </w:t>
      </w:r>
      <w:r w:rsidR="001D6268">
        <w:rPr>
          <w:rFonts w:ascii="Arial" w:hAnsi="Arial" w:cs="Arial"/>
          <w:lang w:val="en-US"/>
        </w:rPr>
        <w:t xml:space="preserve">target </w:t>
      </w:r>
      <w:r w:rsidR="007D26AC">
        <w:rPr>
          <w:rFonts w:ascii="Arial" w:hAnsi="Arial" w:cs="Arial"/>
          <w:lang w:val="en-US"/>
        </w:rPr>
        <w:t>set in 200</w:t>
      </w:r>
      <w:r w:rsidR="00117D16">
        <w:rPr>
          <w:rFonts w:ascii="Arial" w:hAnsi="Arial" w:cs="Arial"/>
          <w:lang w:val="en-US"/>
        </w:rPr>
        <w:t xml:space="preserve">2 </w:t>
      </w:r>
      <w:r w:rsidR="001D6268">
        <w:rPr>
          <w:rFonts w:ascii="Arial" w:hAnsi="Arial" w:cs="Arial"/>
          <w:lang w:val="en-US"/>
        </w:rPr>
        <w:t>has neither been adjusted</w:t>
      </w:r>
      <w:r w:rsidR="00117D16">
        <w:rPr>
          <w:rFonts w:ascii="Arial" w:hAnsi="Arial" w:cs="Arial"/>
          <w:lang w:val="en-US"/>
        </w:rPr>
        <w:t xml:space="preserve"> for inflation nor</w:t>
      </w:r>
      <w:r w:rsidR="001D6268">
        <w:rPr>
          <w:rFonts w:ascii="Arial" w:hAnsi="Arial" w:cs="Arial"/>
          <w:lang w:val="en-US"/>
        </w:rPr>
        <w:t xml:space="preserve"> </w:t>
      </w:r>
      <w:r w:rsidR="00117D16">
        <w:rPr>
          <w:rFonts w:ascii="Arial" w:hAnsi="Arial" w:cs="Arial"/>
          <w:lang w:val="en-US"/>
        </w:rPr>
        <w:t xml:space="preserve">to meet </w:t>
      </w:r>
      <w:r w:rsidR="001D6268">
        <w:rPr>
          <w:rFonts w:ascii="Arial" w:hAnsi="Arial" w:cs="Arial"/>
          <w:lang w:val="en-US"/>
        </w:rPr>
        <w:t>the considerable</w:t>
      </w:r>
      <w:r w:rsidR="00117D16">
        <w:rPr>
          <w:rFonts w:ascii="Arial" w:hAnsi="Arial" w:cs="Arial"/>
          <w:lang w:val="en-US"/>
        </w:rPr>
        <w:t xml:space="preserve"> needs of empowerment financing.</w:t>
      </w:r>
    </w:p>
    <w:p w:rsidR="00885A95" w:rsidRPr="008003B3" w:rsidRDefault="00A07A71" w:rsidP="00BF54B4">
      <w:pPr>
        <w:pStyle w:val="Heading1"/>
        <w:numPr>
          <w:ilvl w:val="1"/>
          <w:numId w:val="15"/>
        </w:numPr>
        <w:rPr>
          <w:rFonts w:ascii="Arial" w:hAnsi="Arial" w:cs="Arial"/>
          <w:b/>
          <w:sz w:val="24"/>
          <w:szCs w:val="24"/>
          <w:lang w:val="en-US"/>
        </w:rPr>
      </w:pPr>
      <w:r>
        <w:rPr>
          <w:rFonts w:ascii="Arial" w:hAnsi="Arial" w:cs="Arial"/>
          <w:b/>
          <w:color w:val="auto"/>
          <w:sz w:val="24"/>
          <w:szCs w:val="24"/>
          <w:lang w:val="en-US"/>
        </w:rPr>
        <w:t>Access to financial services</w:t>
      </w:r>
    </w:p>
    <w:p w:rsidR="00A07A71" w:rsidRPr="00A07A71" w:rsidRDefault="00A07A71" w:rsidP="00A07A71">
      <w:pPr>
        <w:jc w:val="both"/>
        <w:rPr>
          <w:rFonts w:ascii="Arial" w:hAnsi="Arial" w:cs="Arial"/>
          <w:lang w:val="en-US"/>
        </w:rPr>
      </w:pPr>
      <w:r w:rsidRPr="00A07A71">
        <w:rPr>
          <w:rFonts w:ascii="Arial" w:hAnsi="Arial" w:cs="Arial"/>
          <w:lang w:val="en-US"/>
        </w:rPr>
        <w:t>The 2012 FSC set a target of R32 billion regarding access to funding. However, this amount is also based on the 2002 baseline and doesn’t cater inflationary increases, population and economic growth. Furthermore, the amount has not been adjusted to cater for the growth in assets held by the respective participants.</w:t>
      </w:r>
    </w:p>
    <w:p w:rsidR="004D78ED" w:rsidRPr="00E57828" w:rsidRDefault="004D78ED" w:rsidP="00BF54B4">
      <w:pPr>
        <w:pStyle w:val="Heading1"/>
        <w:numPr>
          <w:ilvl w:val="1"/>
          <w:numId w:val="15"/>
        </w:numPr>
        <w:rPr>
          <w:rFonts w:ascii="Arial" w:hAnsi="Arial" w:cs="Arial"/>
          <w:b/>
          <w:sz w:val="24"/>
          <w:szCs w:val="24"/>
          <w:lang w:val="en-US"/>
        </w:rPr>
      </w:pPr>
      <w:r w:rsidRPr="00B871A3">
        <w:rPr>
          <w:rFonts w:ascii="Arial" w:hAnsi="Arial" w:cs="Arial"/>
          <w:b/>
          <w:color w:val="auto"/>
          <w:sz w:val="24"/>
          <w:szCs w:val="24"/>
          <w:lang w:val="en-US"/>
        </w:rPr>
        <w:t>Shortfalls of the traditional B-BBEE funding structures</w:t>
      </w:r>
    </w:p>
    <w:p w:rsidR="00836211" w:rsidRPr="002E4F28" w:rsidRDefault="00077067" w:rsidP="00836211">
      <w:pPr>
        <w:spacing w:after="0" w:line="240" w:lineRule="auto"/>
        <w:jc w:val="both"/>
        <w:rPr>
          <w:rFonts w:ascii="Arial" w:hAnsi="Arial" w:cs="Arial"/>
          <w:sz w:val="24"/>
          <w:szCs w:val="24"/>
          <w:lang w:val="en-US"/>
        </w:rPr>
      </w:pPr>
      <w:r>
        <w:rPr>
          <w:rFonts w:ascii="Arial" w:hAnsi="Arial" w:cs="Arial"/>
          <w:sz w:val="24"/>
          <w:szCs w:val="24"/>
          <w:lang w:val="en-US"/>
        </w:rPr>
        <w:t>In 1993, one of the first Black E</w:t>
      </w:r>
      <w:r w:rsidR="00836211" w:rsidRPr="002E4F28">
        <w:rPr>
          <w:rFonts w:ascii="Arial" w:hAnsi="Arial" w:cs="Arial"/>
          <w:sz w:val="24"/>
          <w:szCs w:val="24"/>
          <w:lang w:val="en-US"/>
        </w:rPr>
        <w:t xml:space="preserve">conomic </w:t>
      </w:r>
      <w:r>
        <w:rPr>
          <w:rFonts w:ascii="Arial" w:hAnsi="Arial" w:cs="Arial"/>
          <w:sz w:val="24"/>
          <w:szCs w:val="24"/>
          <w:lang w:val="en-US"/>
        </w:rPr>
        <w:t>E</w:t>
      </w:r>
      <w:r w:rsidR="00836211" w:rsidRPr="002E4F28">
        <w:rPr>
          <w:rFonts w:ascii="Arial" w:hAnsi="Arial" w:cs="Arial"/>
          <w:sz w:val="24"/>
          <w:szCs w:val="24"/>
          <w:lang w:val="en-US"/>
        </w:rPr>
        <w:t>mpowerment (BEE) transactions was concluded when Sanlam sold Metropolitan Life to a black-owned consortium that led to the establishment of New Afr</w:t>
      </w:r>
      <w:r w:rsidR="000B2791">
        <w:rPr>
          <w:rFonts w:ascii="Arial" w:hAnsi="Arial" w:cs="Arial"/>
          <w:sz w:val="24"/>
          <w:szCs w:val="24"/>
          <w:lang w:val="en-US"/>
        </w:rPr>
        <w:t>ica Investments Limited (NAIL).</w:t>
      </w:r>
      <w:r w:rsidR="00836211" w:rsidRPr="002E4F28">
        <w:rPr>
          <w:rFonts w:ascii="Arial" w:hAnsi="Arial" w:cs="Arial"/>
          <w:sz w:val="24"/>
          <w:szCs w:val="24"/>
          <w:lang w:val="en-US"/>
        </w:rPr>
        <w:t xml:space="preserve"> This signaled the wave of BEE transactions which typically focused on ownership by black people and some limited level of control through non-executive directorships by black people.</w:t>
      </w:r>
      <w:r w:rsidR="00E54844">
        <w:rPr>
          <w:rFonts w:ascii="Arial" w:hAnsi="Arial" w:cs="Arial"/>
          <w:sz w:val="24"/>
          <w:szCs w:val="24"/>
          <w:lang w:val="en-US"/>
        </w:rPr>
        <w:t xml:space="preserve"> Below is a synopsis of the typical BEE deals of the past:</w:t>
      </w:r>
    </w:p>
    <w:p w:rsidR="00836211" w:rsidRDefault="00836211" w:rsidP="004D78ED">
      <w:pPr>
        <w:spacing w:after="0" w:line="240" w:lineRule="auto"/>
        <w:jc w:val="both"/>
        <w:rPr>
          <w:rFonts w:ascii="Arial" w:hAnsi="Arial" w:cs="Arial"/>
          <w:sz w:val="24"/>
          <w:szCs w:val="24"/>
          <w:lang w:val="en-US"/>
        </w:rPr>
      </w:pPr>
    </w:p>
    <w:p w:rsidR="00F8196B" w:rsidRPr="00E57828" w:rsidRDefault="00F8196B" w:rsidP="00BF54B4">
      <w:pPr>
        <w:pStyle w:val="ListParagraph"/>
        <w:numPr>
          <w:ilvl w:val="0"/>
          <w:numId w:val="19"/>
        </w:numPr>
        <w:jc w:val="both"/>
        <w:rPr>
          <w:rFonts w:ascii="Arial" w:hAnsi="Arial" w:cs="Arial"/>
          <w:lang w:val="en-US"/>
        </w:rPr>
      </w:pPr>
      <w:r w:rsidRPr="00E57828">
        <w:rPr>
          <w:rFonts w:ascii="Arial" w:hAnsi="Arial" w:cs="Arial"/>
          <w:lang w:val="en-US"/>
        </w:rPr>
        <w:t>The majority of transactions were done at the peak of the economy and concluded on the basis of high valuations that obviously increased the repayment amounts.</w:t>
      </w:r>
    </w:p>
    <w:p w:rsidR="00F8196B" w:rsidRDefault="00F8196B" w:rsidP="004D78ED">
      <w:pPr>
        <w:spacing w:after="0" w:line="240" w:lineRule="auto"/>
        <w:jc w:val="both"/>
        <w:rPr>
          <w:rFonts w:ascii="Arial" w:hAnsi="Arial" w:cs="Arial"/>
          <w:sz w:val="24"/>
          <w:szCs w:val="24"/>
          <w:lang w:val="en-US"/>
        </w:rPr>
      </w:pPr>
    </w:p>
    <w:p w:rsidR="004D78ED" w:rsidRPr="00E57828" w:rsidRDefault="004D78ED" w:rsidP="00BF54B4">
      <w:pPr>
        <w:pStyle w:val="ListParagraph"/>
        <w:numPr>
          <w:ilvl w:val="0"/>
          <w:numId w:val="19"/>
        </w:numPr>
        <w:jc w:val="both"/>
        <w:rPr>
          <w:rFonts w:ascii="Arial" w:hAnsi="Arial" w:cs="Arial"/>
          <w:lang w:val="en-US"/>
        </w:rPr>
      </w:pPr>
      <w:r w:rsidRPr="00E57828">
        <w:rPr>
          <w:rFonts w:ascii="Arial" w:hAnsi="Arial" w:cs="Arial"/>
          <w:lang w:val="en-US"/>
        </w:rPr>
        <w:t>Many of the transactions entered into between 1990 and 1998 were highly geared (over indebted) such that the real beneficiaries of these transactions were the financial institutions that funded them.</w:t>
      </w:r>
    </w:p>
    <w:p w:rsidR="004D78ED" w:rsidRPr="002E4F28" w:rsidRDefault="004D78ED" w:rsidP="004D78ED">
      <w:pPr>
        <w:spacing w:after="0" w:line="240" w:lineRule="auto"/>
        <w:jc w:val="both"/>
        <w:rPr>
          <w:rFonts w:ascii="Arial" w:hAnsi="Arial" w:cs="Arial"/>
          <w:sz w:val="24"/>
          <w:szCs w:val="24"/>
          <w:lang w:val="en-US"/>
        </w:rPr>
      </w:pPr>
    </w:p>
    <w:p w:rsidR="004D78ED" w:rsidRPr="00E57828" w:rsidRDefault="004D78ED" w:rsidP="00BF54B4">
      <w:pPr>
        <w:pStyle w:val="ListParagraph"/>
        <w:numPr>
          <w:ilvl w:val="0"/>
          <w:numId w:val="19"/>
        </w:numPr>
        <w:jc w:val="both"/>
        <w:rPr>
          <w:rFonts w:ascii="Arial" w:hAnsi="Arial" w:cs="Arial"/>
          <w:lang w:val="en-US"/>
        </w:rPr>
      </w:pPr>
      <w:r w:rsidRPr="00E57828">
        <w:rPr>
          <w:rFonts w:ascii="Arial" w:hAnsi="Arial" w:cs="Arial"/>
          <w:lang w:val="en-US"/>
        </w:rPr>
        <w:t>There was high reliance on value realisation from share price increases and not the cash flows of acquired companies. The global financial crisis of 1998 proved to be too much of a challenge to this model of equity structuring as black shareholders found themselves in a precarious position as they held more debt in these structures than the value of equity realised when global markets crashed.</w:t>
      </w:r>
    </w:p>
    <w:p w:rsidR="004D78ED" w:rsidRDefault="004D78ED" w:rsidP="004D78ED">
      <w:pPr>
        <w:spacing w:after="0" w:line="240" w:lineRule="auto"/>
        <w:jc w:val="both"/>
        <w:rPr>
          <w:rFonts w:ascii="Arial" w:hAnsi="Arial" w:cs="Arial"/>
          <w:sz w:val="24"/>
          <w:szCs w:val="24"/>
          <w:lang w:val="en-US"/>
        </w:rPr>
      </w:pPr>
    </w:p>
    <w:p w:rsidR="004D78ED" w:rsidRPr="00E57828" w:rsidRDefault="004D78ED" w:rsidP="00BF54B4">
      <w:pPr>
        <w:pStyle w:val="ListParagraph"/>
        <w:numPr>
          <w:ilvl w:val="0"/>
          <w:numId w:val="19"/>
        </w:numPr>
        <w:jc w:val="both"/>
        <w:rPr>
          <w:rFonts w:ascii="Arial" w:hAnsi="Arial" w:cs="Arial"/>
          <w:lang w:val="en-US"/>
        </w:rPr>
      </w:pPr>
      <w:r w:rsidRPr="00E57828">
        <w:rPr>
          <w:rFonts w:ascii="Arial" w:hAnsi="Arial" w:cs="Arial"/>
          <w:lang w:val="en-US"/>
        </w:rPr>
        <w:t xml:space="preserve">The shares in the hands of black people that had been held as security (guarantees) for the debt raised from the funders depreciated due to adverse market movements, resulting in capital calls to maintain the adequate assets (collateral to maintain the level of security required).   Black people historically do not have access to capital and therefore they would not be able to financially respond to the capital call requirements, leading to the dilution of the acquired shares in the transactions.  </w:t>
      </w:r>
    </w:p>
    <w:p w:rsidR="004D78ED" w:rsidRPr="002E4F28" w:rsidRDefault="004D78ED" w:rsidP="004D78ED">
      <w:pPr>
        <w:spacing w:after="0" w:line="240" w:lineRule="auto"/>
        <w:jc w:val="both"/>
        <w:rPr>
          <w:rFonts w:ascii="Arial" w:hAnsi="Arial" w:cs="Arial"/>
          <w:sz w:val="24"/>
          <w:szCs w:val="24"/>
          <w:lang w:val="en-US"/>
        </w:rPr>
      </w:pPr>
    </w:p>
    <w:p w:rsidR="004D78ED" w:rsidRPr="002E4F28" w:rsidRDefault="00EE57DD" w:rsidP="004D78ED">
      <w:pPr>
        <w:spacing w:after="0" w:line="240" w:lineRule="auto"/>
        <w:jc w:val="both"/>
        <w:rPr>
          <w:rFonts w:ascii="Arial" w:hAnsi="Arial" w:cs="Arial"/>
          <w:sz w:val="24"/>
          <w:szCs w:val="24"/>
          <w:lang w:val="en-US"/>
        </w:rPr>
      </w:pPr>
      <w:r w:rsidRPr="00985DCF">
        <w:rPr>
          <w:rFonts w:ascii="Arial" w:hAnsi="Arial" w:cs="Arial"/>
          <w:sz w:val="24"/>
          <w:szCs w:val="24"/>
          <w:lang w:val="en-US"/>
        </w:rPr>
        <w:fldChar w:fldCharType="begin"/>
      </w:r>
      <w:r w:rsidRPr="00985DCF">
        <w:rPr>
          <w:rFonts w:ascii="Arial" w:hAnsi="Arial" w:cs="Arial"/>
          <w:sz w:val="24"/>
          <w:szCs w:val="24"/>
          <w:lang w:val="en-US"/>
        </w:rPr>
        <w:instrText xml:space="preserve"> REF _Ref476945214 \h </w:instrText>
      </w:r>
      <w:r w:rsidR="00985DCF">
        <w:rPr>
          <w:rFonts w:ascii="Arial" w:hAnsi="Arial" w:cs="Arial"/>
          <w:sz w:val="24"/>
          <w:szCs w:val="24"/>
          <w:lang w:val="en-US"/>
        </w:rPr>
        <w:instrText xml:space="preserve"> \* MERGEFORMAT </w:instrText>
      </w:r>
      <w:r w:rsidRPr="00985DCF">
        <w:rPr>
          <w:rFonts w:ascii="Arial" w:hAnsi="Arial" w:cs="Arial"/>
          <w:sz w:val="24"/>
          <w:szCs w:val="24"/>
          <w:lang w:val="en-US"/>
        </w:rPr>
      </w:r>
      <w:r w:rsidRPr="00985DCF">
        <w:rPr>
          <w:rFonts w:ascii="Arial" w:hAnsi="Arial" w:cs="Arial"/>
          <w:sz w:val="24"/>
          <w:szCs w:val="24"/>
          <w:lang w:val="en-US"/>
        </w:rPr>
        <w:fldChar w:fldCharType="separate"/>
      </w:r>
      <w:r w:rsidR="00011950" w:rsidRPr="00011950">
        <w:rPr>
          <w:rFonts w:ascii="Arial" w:hAnsi="Arial" w:cs="Arial"/>
          <w:sz w:val="24"/>
          <w:szCs w:val="24"/>
          <w:lang w:val="en-US"/>
        </w:rPr>
        <w:t>Figure 2</w:t>
      </w:r>
      <w:r w:rsidRPr="00985DCF">
        <w:rPr>
          <w:rFonts w:ascii="Arial" w:hAnsi="Arial" w:cs="Arial"/>
          <w:sz w:val="24"/>
          <w:szCs w:val="24"/>
          <w:lang w:val="en-US"/>
        </w:rPr>
        <w:fldChar w:fldCharType="end"/>
      </w:r>
      <w:r w:rsidRPr="00985DCF">
        <w:rPr>
          <w:rFonts w:ascii="Arial" w:hAnsi="Arial" w:cs="Arial"/>
          <w:sz w:val="24"/>
          <w:szCs w:val="24"/>
          <w:lang w:val="en-US"/>
        </w:rPr>
        <w:t xml:space="preserve"> </w:t>
      </w:r>
      <w:r w:rsidR="00466F76" w:rsidRPr="00985DCF">
        <w:rPr>
          <w:rFonts w:ascii="Arial" w:hAnsi="Arial" w:cs="Arial"/>
          <w:sz w:val="24"/>
          <w:szCs w:val="24"/>
          <w:lang w:val="en-US"/>
        </w:rPr>
        <w:t xml:space="preserve">and </w:t>
      </w:r>
      <w:r w:rsidRPr="00985DCF">
        <w:rPr>
          <w:rFonts w:ascii="Arial" w:hAnsi="Arial" w:cs="Arial"/>
          <w:sz w:val="24"/>
          <w:szCs w:val="24"/>
          <w:lang w:val="en-US"/>
        </w:rPr>
        <w:fldChar w:fldCharType="begin"/>
      </w:r>
      <w:r w:rsidRPr="00985DCF">
        <w:rPr>
          <w:rFonts w:ascii="Arial" w:hAnsi="Arial" w:cs="Arial"/>
          <w:sz w:val="24"/>
          <w:szCs w:val="24"/>
          <w:lang w:val="en-US"/>
        </w:rPr>
        <w:instrText xml:space="preserve"> REF _Ref476945220 \h </w:instrText>
      </w:r>
      <w:r w:rsidR="00985DCF">
        <w:rPr>
          <w:rFonts w:ascii="Arial" w:hAnsi="Arial" w:cs="Arial"/>
          <w:sz w:val="24"/>
          <w:szCs w:val="24"/>
          <w:lang w:val="en-US"/>
        </w:rPr>
        <w:instrText xml:space="preserve"> \* MERGEFORMAT </w:instrText>
      </w:r>
      <w:r w:rsidRPr="00985DCF">
        <w:rPr>
          <w:rFonts w:ascii="Arial" w:hAnsi="Arial" w:cs="Arial"/>
          <w:sz w:val="24"/>
          <w:szCs w:val="24"/>
          <w:lang w:val="en-US"/>
        </w:rPr>
      </w:r>
      <w:r w:rsidRPr="00985DCF">
        <w:rPr>
          <w:rFonts w:ascii="Arial" w:hAnsi="Arial" w:cs="Arial"/>
          <w:sz w:val="24"/>
          <w:szCs w:val="24"/>
          <w:lang w:val="en-US"/>
        </w:rPr>
        <w:fldChar w:fldCharType="separate"/>
      </w:r>
      <w:r w:rsidR="00011950" w:rsidRPr="00011950">
        <w:rPr>
          <w:rFonts w:ascii="Arial" w:hAnsi="Arial" w:cs="Arial"/>
          <w:sz w:val="24"/>
          <w:szCs w:val="24"/>
          <w:lang w:val="en-US"/>
        </w:rPr>
        <w:t>Figure 3</w:t>
      </w:r>
      <w:r w:rsidRPr="00985DCF">
        <w:rPr>
          <w:rFonts w:ascii="Arial" w:hAnsi="Arial" w:cs="Arial"/>
          <w:sz w:val="24"/>
          <w:szCs w:val="24"/>
          <w:lang w:val="en-US"/>
        </w:rPr>
        <w:fldChar w:fldCharType="end"/>
      </w:r>
      <w:r w:rsidRPr="00985DCF">
        <w:rPr>
          <w:rFonts w:ascii="Arial" w:hAnsi="Arial" w:cs="Arial"/>
          <w:sz w:val="24"/>
          <w:szCs w:val="24"/>
          <w:lang w:val="en-US"/>
        </w:rPr>
        <w:t xml:space="preserve"> </w:t>
      </w:r>
      <w:r w:rsidR="004D78ED" w:rsidRPr="002E4F28">
        <w:rPr>
          <w:rFonts w:ascii="Arial" w:hAnsi="Arial" w:cs="Arial"/>
          <w:sz w:val="24"/>
          <w:szCs w:val="24"/>
          <w:lang w:val="en-US"/>
        </w:rPr>
        <w:t>depict the typical scenario</w:t>
      </w:r>
      <w:r w:rsidR="00466F76">
        <w:rPr>
          <w:rFonts w:ascii="Arial" w:hAnsi="Arial" w:cs="Arial"/>
          <w:sz w:val="24"/>
          <w:szCs w:val="24"/>
          <w:lang w:val="en-US"/>
        </w:rPr>
        <w:t>s</w:t>
      </w:r>
      <w:r w:rsidR="004D78ED" w:rsidRPr="002E4F28">
        <w:rPr>
          <w:rFonts w:ascii="Arial" w:hAnsi="Arial" w:cs="Arial"/>
          <w:sz w:val="24"/>
          <w:szCs w:val="24"/>
          <w:lang w:val="en-US"/>
        </w:rPr>
        <w:t xml:space="preserve"> where black shareholders entered into a transaction in the early days of BEE where deals would be under water</w:t>
      </w:r>
      <w:r w:rsidR="004D78ED">
        <w:rPr>
          <w:rFonts w:ascii="Arial" w:hAnsi="Arial" w:cs="Arial"/>
          <w:sz w:val="24"/>
          <w:szCs w:val="24"/>
          <w:lang w:val="en-US"/>
        </w:rPr>
        <w:t xml:space="preserve"> (where value of debt raised is higher than the value of the shares purchased) for</w:t>
      </w:r>
      <w:r w:rsidR="004D78ED" w:rsidRPr="002E4F28">
        <w:rPr>
          <w:rFonts w:ascii="Arial" w:hAnsi="Arial" w:cs="Arial"/>
          <w:sz w:val="24"/>
          <w:szCs w:val="24"/>
          <w:lang w:val="en-US"/>
        </w:rPr>
        <w:t xml:space="preserve"> long</w:t>
      </w:r>
      <w:r w:rsidR="004D78ED">
        <w:rPr>
          <w:rFonts w:ascii="Arial" w:hAnsi="Arial" w:cs="Arial"/>
          <w:sz w:val="24"/>
          <w:szCs w:val="24"/>
          <w:lang w:val="en-US"/>
        </w:rPr>
        <w:t xml:space="preserve"> periods</w:t>
      </w:r>
      <w:r w:rsidR="004D78ED" w:rsidRPr="002E4F28">
        <w:rPr>
          <w:rFonts w:ascii="Arial" w:hAnsi="Arial" w:cs="Arial"/>
          <w:sz w:val="24"/>
          <w:szCs w:val="24"/>
          <w:lang w:val="en-US"/>
        </w:rPr>
        <w:t xml:space="preserve"> but the companies would recognise BEE </w:t>
      </w:r>
      <w:r w:rsidR="004D78ED">
        <w:rPr>
          <w:rFonts w:ascii="Arial" w:hAnsi="Arial" w:cs="Arial"/>
          <w:sz w:val="24"/>
          <w:szCs w:val="24"/>
          <w:lang w:val="en-US"/>
        </w:rPr>
        <w:t>points</w:t>
      </w:r>
      <w:r w:rsidR="004D78ED" w:rsidRPr="002E4F28">
        <w:rPr>
          <w:rFonts w:ascii="Arial" w:hAnsi="Arial" w:cs="Arial"/>
          <w:sz w:val="24"/>
          <w:szCs w:val="24"/>
          <w:lang w:val="en-US"/>
        </w:rPr>
        <w:t xml:space="preserve"> even though the BEE shareholder did not realise any form of value</w:t>
      </w:r>
      <w:r w:rsidR="004D78ED">
        <w:rPr>
          <w:rFonts w:ascii="Arial" w:hAnsi="Arial" w:cs="Arial"/>
          <w:sz w:val="24"/>
          <w:szCs w:val="24"/>
          <w:lang w:val="en-US"/>
        </w:rPr>
        <w:t>:</w:t>
      </w:r>
    </w:p>
    <w:p w:rsidR="004D78ED" w:rsidRPr="002E4F28" w:rsidRDefault="004D78ED" w:rsidP="004D78ED">
      <w:pPr>
        <w:spacing w:after="0" w:line="240" w:lineRule="auto"/>
        <w:jc w:val="both"/>
        <w:rPr>
          <w:rFonts w:ascii="Arial" w:hAnsi="Arial" w:cs="Arial"/>
          <w:sz w:val="24"/>
          <w:szCs w:val="24"/>
          <w:lang w:val="en-US"/>
        </w:rPr>
      </w:pPr>
    </w:p>
    <w:p w:rsidR="004D78ED" w:rsidRDefault="0057355A" w:rsidP="00466F76">
      <w:pPr>
        <w:spacing w:after="0" w:line="240" w:lineRule="auto"/>
        <w:jc w:val="center"/>
        <w:rPr>
          <w:rFonts w:ascii="Arial" w:hAnsi="Arial" w:cs="Arial"/>
          <w:sz w:val="24"/>
          <w:szCs w:val="24"/>
          <w:lang w:val="en-US"/>
        </w:rPr>
      </w:pPr>
      <w:r>
        <w:rPr>
          <w:noProof/>
          <w:lang w:eastAsia="en-ZA"/>
        </w:rPr>
        <w:drawing>
          <wp:inline distT="0" distB="0" distL="0" distR="0" wp14:anchorId="46AEF9A6" wp14:editId="41AC239B">
            <wp:extent cx="5731510" cy="3384296"/>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384296"/>
                    </a:xfrm>
                    <a:prstGeom prst="rect">
                      <a:avLst/>
                    </a:prstGeom>
                    <a:noFill/>
                  </pic:spPr>
                </pic:pic>
              </a:graphicData>
            </a:graphic>
          </wp:inline>
        </w:drawing>
      </w:r>
    </w:p>
    <w:p w:rsidR="004D78ED" w:rsidRPr="002E4F28" w:rsidRDefault="00466F76" w:rsidP="00466F76">
      <w:pPr>
        <w:pStyle w:val="Caption"/>
        <w:jc w:val="center"/>
        <w:rPr>
          <w:rFonts w:ascii="Arial" w:hAnsi="Arial" w:cs="Arial"/>
          <w:sz w:val="24"/>
          <w:szCs w:val="24"/>
          <w:lang w:val="en-US"/>
        </w:rPr>
      </w:pPr>
      <w:bookmarkStart w:id="2" w:name="_Ref476945214"/>
      <w:r>
        <w:t xml:space="preserve">Figure </w:t>
      </w:r>
      <w:r w:rsidR="00D51529">
        <w:fldChar w:fldCharType="begin"/>
      </w:r>
      <w:r w:rsidR="00D51529">
        <w:instrText xml:space="preserve"> SEQ Figure \* ARABIC </w:instrText>
      </w:r>
      <w:r w:rsidR="00D51529">
        <w:fldChar w:fldCharType="separate"/>
      </w:r>
      <w:r w:rsidR="00011950">
        <w:rPr>
          <w:noProof/>
        </w:rPr>
        <w:t>2</w:t>
      </w:r>
      <w:r w:rsidR="00D51529">
        <w:rPr>
          <w:noProof/>
        </w:rPr>
        <w:fldChar w:fldCharType="end"/>
      </w:r>
      <w:bookmarkEnd w:id="2"/>
      <w:r w:rsidR="004D78ED">
        <w:t>: Early BEE deal structures</w:t>
      </w:r>
    </w:p>
    <w:p w:rsidR="004D78ED" w:rsidRPr="002E4F28" w:rsidRDefault="004D78ED" w:rsidP="004D78ED">
      <w:pPr>
        <w:spacing w:after="0" w:line="240" w:lineRule="auto"/>
        <w:jc w:val="both"/>
        <w:rPr>
          <w:rFonts w:ascii="Arial" w:hAnsi="Arial" w:cs="Arial"/>
          <w:sz w:val="24"/>
          <w:szCs w:val="24"/>
          <w:lang w:val="en-US"/>
        </w:rPr>
      </w:pPr>
    </w:p>
    <w:p w:rsidR="004D78ED" w:rsidRDefault="004D78ED" w:rsidP="004D78ED">
      <w:pPr>
        <w:spacing w:after="0" w:line="240" w:lineRule="auto"/>
        <w:jc w:val="both"/>
        <w:rPr>
          <w:rFonts w:ascii="Arial" w:hAnsi="Arial" w:cs="Arial"/>
          <w:sz w:val="24"/>
          <w:szCs w:val="24"/>
          <w:lang w:val="en-US"/>
        </w:rPr>
      </w:pPr>
      <w:r w:rsidRPr="002E4F28">
        <w:rPr>
          <w:rFonts w:ascii="Arial" w:hAnsi="Arial" w:cs="Arial"/>
          <w:sz w:val="24"/>
          <w:szCs w:val="24"/>
          <w:lang w:val="en-US"/>
        </w:rPr>
        <w:t xml:space="preserve">The requirements </w:t>
      </w:r>
      <w:r>
        <w:rPr>
          <w:rFonts w:ascii="Arial" w:hAnsi="Arial" w:cs="Arial"/>
          <w:sz w:val="24"/>
          <w:szCs w:val="24"/>
          <w:lang w:val="en-US"/>
        </w:rPr>
        <w:t xml:space="preserve">of the codes </w:t>
      </w:r>
      <w:r w:rsidRPr="002E4F28">
        <w:rPr>
          <w:rFonts w:ascii="Arial" w:hAnsi="Arial" w:cs="Arial"/>
          <w:sz w:val="24"/>
          <w:szCs w:val="24"/>
          <w:lang w:val="en-US"/>
        </w:rPr>
        <w:t xml:space="preserve">in respect of ownership and in particular the requirement to measure the proportion of </w:t>
      </w:r>
      <w:r>
        <w:rPr>
          <w:rFonts w:ascii="Arial" w:hAnsi="Arial" w:cs="Arial"/>
          <w:sz w:val="24"/>
          <w:szCs w:val="24"/>
          <w:lang w:val="en-US"/>
        </w:rPr>
        <w:t xml:space="preserve">the debt free portion of </w:t>
      </w:r>
      <w:r w:rsidRPr="002E4F28">
        <w:rPr>
          <w:rFonts w:ascii="Arial" w:hAnsi="Arial" w:cs="Arial"/>
          <w:sz w:val="24"/>
          <w:szCs w:val="24"/>
          <w:lang w:val="en-US"/>
        </w:rPr>
        <w:t xml:space="preserve">equity </w:t>
      </w:r>
      <w:r>
        <w:rPr>
          <w:rFonts w:ascii="Arial" w:hAnsi="Arial" w:cs="Arial"/>
          <w:sz w:val="24"/>
          <w:szCs w:val="24"/>
          <w:lang w:val="en-US"/>
        </w:rPr>
        <w:t xml:space="preserve">in the hands of black people </w:t>
      </w:r>
      <w:r w:rsidRPr="002E4F28">
        <w:rPr>
          <w:rFonts w:ascii="Arial" w:hAnsi="Arial" w:cs="Arial"/>
          <w:sz w:val="24"/>
          <w:szCs w:val="24"/>
          <w:lang w:val="en-US"/>
        </w:rPr>
        <w:t>allowed for alternative funding mechanisms to be employed so that black</w:t>
      </w:r>
      <w:r>
        <w:rPr>
          <w:rFonts w:ascii="Arial" w:hAnsi="Arial" w:cs="Arial"/>
          <w:sz w:val="24"/>
          <w:szCs w:val="24"/>
          <w:lang w:val="en-US"/>
        </w:rPr>
        <w:t xml:space="preserve"> shareholders</w:t>
      </w:r>
      <w:r w:rsidRPr="002E4F28">
        <w:rPr>
          <w:rFonts w:ascii="Arial" w:hAnsi="Arial" w:cs="Arial"/>
          <w:sz w:val="24"/>
          <w:szCs w:val="24"/>
          <w:lang w:val="en-US"/>
        </w:rPr>
        <w:t xml:space="preserve"> could derive value during the life of the transaction.</w:t>
      </w:r>
      <w:r>
        <w:rPr>
          <w:rFonts w:ascii="Arial" w:hAnsi="Arial" w:cs="Arial"/>
          <w:sz w:val="24"/>
          <w:szCs w:val="24"/>
          <w:lang w:val="en-US"/>
        </w:rPr>
        <w:t xml:space="preserve">  This saw a move from share appreciation to cashflows driven structures.</w:t>
      </w:r>
    </w:p>
    <w:p w:rsidR="004D78ED" w:rsidRDefault="004D78ED" w:rsidP="004D78ED">
      <w:pPr>
        <w:spacing w:after="0" w:line="240" w:lineRule="auto"/>
        <w:jc w:val="both"/>
        <w:rPr>
          <w:rFonts w:ascii="Arial" w:hAnsi="Arial" w:cs="Arial"/>
          <w:sz w:val="24"/>
          <w:szCs w:val="24"/>
          <w:lang w:val="en-US"/>
        </w:rPr>
      </w:pPr>
    </w:p>
    <w:p w:rsidR="004D78ED" w:rsidRDefault="004D78ED" w:rsidP="004D78ED">
      <w:pPr>
        <w:spacing w:after="0" w:line="240" w:lineRule="auto"/>
        <w:jc w:val="both"/>
        <w:rPr>
          <w:rFonts w:ascii="Arial" w:hAnsi="Arial" w:cs="Arial"/>
          <w:sz w:val="24"/>
          <w:szCs w:val="24"/>
          <w:lang w:val="en-US"/>
        </w:rPr>
      </w:pPr>
      <w:r>
        <w:rPr>
          <w:rFonts w:ascii="Arial" w:hAnsi="Arial" w:cs="Arial"/>
          <w:sz w:val="24"/>
          <w:szCs w:val="24"/>
          <w:lang w:val="en-US"/>
        </w:rPr>
        <w:t>The black shareholder’s ability to service the debt linked to their shares relied on receiving dividends for the shares purchased and this therefore meant that they were at the mercy of the dividend policies of the companies.</w:t>
      </w:r>
    </w:p>
    <w:p w:rsidR="004D78ED" w:rsidRDefault="004D78ED" w:rsidP="004D78ED">
      <w:pPr>
        <w:spacing w:after="0" w:line="240" w:lineRule="auto"/>
        <w:jc w:val="both"/>
        <w:rPr>
          <w:rFonts w:ascii="Arial" w:hAnsi="Arial" w:cs="Arial"/>
          <w:sz w:val="24"/>
          <w:szCs w:val="24"/>
          <w:lang w:val="en-US"/>
        </w:rPr>
      </w:pPr>
    </w:p>
    <w:p w:rsidR="004D78ED" w:rsidRDefault="004D78ED" w:rsidP="004D78ED">
      <w:pPr>
        <w:spacing w:after="0" w:line="240" w:lineRule="auto"/>
        <w:jc w:val="both"/>
        <w:rPr>
          <w:rFonts w:ascii="Arial" w:hAnsi="Arial" w:cs="Arial"/>
          <w:sz w:val="24"/>
          <w:szCs w:val="24"/>
          <w:lang w:val="en-US"/>
        </w:rPr>
      </w:pPr>
      <w:r>
        <w:rPr>
          <w:rFonts w:ascii="Arial" w:hAnsi="Arial" w:cs="Arial"/>
          <w:sz w:val="24"/>
          <w:szCs w:val="24"/>
          <w:lang w:val="en-US"/>
        </w:rPr>
        <w:t>The ring-fencing of the debt to Special Purpose Vehicles (SPVs) when funding shares purchased by black shareholders was a clear misalignment to the original intent of BEE.  Where the target company is not financially exposed to the debt raised for the acquisition of the black shareholder’s portion of equity, they are less likely to have dividend policies that allow the repayment of acquisition debt at a quicker pace.  The introduction of the concept of net value (debt free portion of equity in the hands of black people) in the 2007 codes addressed to some extent this misalignment as full points on the ownership scorecard could not be allocated where the debt remained unpaid.</w:t>
      </w:r>
    </w:p>
    <w:p w:rsidR="004D78ED" w:rsidRDefault="004D78ED" w:rsidP="004D78ED">
      <w:pPr>
        <w:spacing w:after="0" w:line="240" w:lineRule="auto"/>
        <w:jc w:val="both"/>
        <w:rPr>
          <w:rFonts w:ascii="Arial" w:hAnsi="Arial" w:cs="Arial"/>
          <w:sz w:val="24"/>
          <w:szCs w:val="24"/>
          <w:lang w:val="en-US"/>
        </w:rPr>
      </w:pPr>
    </w:p>
    <w:p w:rsidR="004D78ED" w:rsidRDefault="0057355A" w:rsidP="004D78ED">
      <w:pPr>
        <w:spacing w:after="0" w:line="240" w:lineRule="auto"/>
        <w:jc w:val="center"/>
        <w:rPr>
          <w:rFonts w:ascii="Arial" w:hAnsi="Arial" w:cs="Arial"/>
          <w:sz w:val="24"/>
          <w:szCs w:val="24"/>
          <w:lang w:val="en-US"/>
        </w:rPr>
      </w:pPr>
      <w:r>
        <w:rPr>
          <w:noProof/>
          <w:lang w:eastAsia="en-ZA"/>
        </w:rPr>
        <w:drawing>
          <wp:inline distT="0" distB="0" distL="0" distR="0" wp14:anchorId="03DEC409" wp14:editId="14132EC4">
            <wp:extent cx="5731510" cy="36979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97950"/>
                    </a:xfrm>
                    <a:prstGeom prst="rect">
                      <a:avLst/>
                    </a:prstGeom>
                    <a:noFill/>
                  </pic:spPr>
                </pic:pic>
              </a:graphicData>
            </a:graphic>
          </wp:inline>
        </w:drawing>
      </w:r>
    </w:p>
    <w:p w:rsidR="004D78ED" w:rsidRPr="002E4F28" w:rsidRDefault="004D78ED" w:rsidP="004D78ED">
      <w:pPr>
        <w:pStyle w:val="Caption"/>
        <w:jc w:val="center"/>
        <w:rPr>
          <w:rFonts w:ascii="Arial" w:hAnsi="Arial" w:cs="Arial"/>
          <w:sz w:val="24"/>
          <w:szCs w:val="24"/>
          <w:lang w:val="en-US"/>
        </w:rPr>
      </w:pPr>
      <w:bookmarkStart w:id="3" w:name="_Ref476945220"/>
      <w:r>
        <w:t xml:space="preserve">Figure </w:t>
      </w:r>
      <w:r w:rsidR="00D51529">
        <w:fldChar w:fldCharType="begin"/>
      </w:r>
      <w:r w:rsidR="00D51529">
        <w:instrText xml:space="preserve"> SEQ Figure \* ARABIC </w:instrText>
      </w:r>
      <w:r w:rsidR="00D51529">
        <w:fldChar w:fldCharType="separate"/>
      </w:r>
      <w:r w:rsidR="00011950">
        <w:rPr>
          <w:noProof/>
        </w:rPr>
        <w:t>3</w:t>
      </w:r>
      <w:r w:rsidR="00D51529">
        <w:rPr>
          <w:noProof/>
        </w:rPr>
        <w:fldChar w:fldCharType="end"/>
      </w:r>
      <w:bookmarkEnd w:id="3"/>
      <w:r>
        <w:t>: Effect of B-BBEE Codes provisions</w:t>
      </w:r>
    </w:p>
    <w:p w:rsidR="004D78ED" w:rsidRPr="002E4F28" w:rsidRDefault="004D78ED" w:rsidP="004D78ED">
      <w:pPr>
        <w:spacing w:after="0" w:line="240" w:lineRule="auto"/>
        <w:jc w:val="both"/>
        <w:rPr>
          <w:rFonts w:ascii="Arial" w:hAnsi="Arial" w:cs="Arial"/>
          <w:sz w:val="24"/>
          <w:szCs w:val="24"/>
          <w:lang w:val="en-US"/>
        </w:rPr>
      </w:pPr>
    </w:p>
    <w:p w:rsidR="00D52A12" w:rsidRPr="002E4F28" w:rsidRDefault="004D78ED" w:rsidP="00BF54B4">
      <w:pPr>
        <w:pStyle w:val="Heading1"/>
        <w:numPr>
          <w:ilvl w:val="1"/>
          <w:numId w:val="15"/>
        </w:numPr>
        <w:rPr>
          <w:rFonts w:ascii="Arial" w:hAnsi="Arial" w:cs="Arial"/>
          <w:b/>
          <w:color w:val="auto"/>
          <w:sz w:val="24"/>
          <w:szCs w:val="24"/>
          <w:lang w:val="en-US"/>
        </w:rPr>
      </w:pPr>
      <w:r>
        <w:rPr>
          <w:rFonts w:ascii="Arial" w:hAnsi="Arial" w:cs="Arial"/>
          <w:b/>
          <w:color w:val="auto"/>
          <w:sz w:val="24"/>
          <w:szCs w:val="24"/>
          <w:lang w:val="en-US"/>
        </w:rPr>
        <w:t>Analysis of t</w:t>
      </w:r>
      <w:r w:rsidR="00D52A12" w:rsidRPr="002E4F28">
        <w:rPr>
          <w:rFonts w:ascii="Arial" w:hAnsi="Arial" w:cs="Arial"/>
          <w:b/>
          <w:color w:val="auto"/>
          <w:sz w:val="24"/>
          <w:szCs w:val="24"/>
          <w:lang w:val="en-US"/>
        </w:rPr>
        <w:t xml:space="preserve">ransformation of </w:t>
      </w:r>
      <w:r>
        <w:rPr>
          <w:rFonts w:ascii="Arial" w:hAnsi="Arial" w:cs="Arial"/>
          <w:b/>
          <w:color w:val="auto"/>
          <w:sz w:val="24"/>
          <w:szCs w:val="24"/>
          <w:lang w:val="en-US"/>
        </w:rPr>
        <w:t xml:space="preserve">the </w:t>
      </w:r>
      <w:r w:rsidR="00985DCF">
        <w:rPr>
          <w:rFonts w:ascii="Arial" w:hAnsi="Arial" w:cs="Arial"/>
          <w:b/>
          <w:color w:val="auto"/>
          <w:sz w:val="24"/>
          <w:szCs w:val="24"/>
          <w:lang w:val="en-US"/>
        </w:rPr>
        <w:t>JSE-</w:t>
      </w:r>
      <w:r w:rsidR="00D52A12" w:rsidRPr="002E4F28">
        <w:rPr>
          <w:rFonts w:ascii="Arial" w:hAnsi="Arial" w:cs="Arial"/>
          <w:b/>
          <w:color w:val="auto"/>
          <w:sz w:val="24"/>
          <w:szCs w:val="24"/>
          <w:lang w:val="en-US"/>
        </w:rPr>
        <w:t>listed financial sector companies</w:t>
      </w:r>
    </w:p>
    <w:p w:rsidR="004D78ED" w:rsidRDefault="004D78ED" w:rsidP="004D78ED">
      <w:pPr>
        <w:spacing w:after="0" w:line="240" w:lineRule="auto"/>
        <w:jc w:val="both"/>
        <w:rPr>
          <w:rFonts w:ascii="Arial" w:hAnsi="Arial" w:cs="Arial"/>
          <w:sz w:val="24"/>
          <w:szCs w:val="24"/>
          <w:lang w:val="en-US"/>
        </w:rPr>
      </w:pPr>
    </w:p>
    <w:p w:rsidR="002B4992" w:rsidRDefault="004D78ED" w:rsidP="004D78ED">
      <w:pPr>
        <w:spacing w:after="0" w:line="240" w:lineRule="auto"/>
        <w:jc w:val="both"/>
        <w:rPr>
          <w:rFonts w:ascii="Arial" w:hAnsi="Arial" w:cs="Arial"/>
          <w:sz w:val="24"/>
          <w:szCs w:val="24"/>
          <w:lang w:val="en-US"/>
        </w:rPr>
      </w:pPr>
      <w:r w:rsidRPr="002E4F28">
        <w:rPr>
          <w:rFonts w:ascii="Arial" w:hAnsi="Arial" w:cs="Arial"/>
          <w:sz w:val="24"/>
          <w:szCs w:val="24"/>
          <w:lang w:val="en-US"/>
        </w:rPr>
        <w:t>The Most Empowered Companies Survey published annually since 2004 has shown some level of transformation on the basis of verified scorecards of companies listed on the JSE.</w:t>
      </w:r>
      <w:r>
        <w:rPr>
          <w:rFonts w:ascii="Arial" w:hAnsi="Arial" w:cs="Arial"/>
          <w:sz w:val="24"/>
          <w:szCs w:val="24"/>
          <w:lang w:val="en-US"/>
        </w:rPr>
        <w:t xml:space="preserve"> </w:t>
      </w:r>
      <w:r w:rsidR="002B4992">
        <w:rPr>
          <w:rFonts w:ascii="Arial" w:hAnsi="Arial" w:cs="Arial"/>
          <w:sz w:val="24"/>
          <w:szCs w:val="24"/>
          <w:lang w:val="en-US"/>
        </w:rPr>
        <w:t>Since 2009, t</w:t>
      </w:r>
      <w:r w:rsidRPr="002E4F28">
        <w:rPr>
          <w:rFonts w:ascii="Arial" w:hAnsi="Arial" w:cs="Arial"/>
          <w:sz w:val="24"/>
          <w:szCs w:val="24"/>
          <w:lang w:val="en-US"/>
        </w:rPr>
        <w:t xml:space="preserve">hese companies have been consistently featuring in the </w:t>
      </w:r>
      <w:r w:rsidR="002B4992">
        <w:rPr>
          <w:rFonts w:ascii="Arial" w:hAnsi="Arial" w:cs="Arial"/>
          <w:sz w:val="24"/>
          <w:szCs w:val="24"/>
          <w:lang w:val="en-US"/>
        </w:rPr>
        <w:t>top 10 of these results with</w:t>
      </w:r>
      <w:r w:rsidRPr="002E4F28">
        <w:rPr>
          <w:rFonts w:ascii="Arial" w:hAnsi="Arial" w:cs="Arial"/>
          <w:sz w:val="24"/>
          <w:szCs w:val="24"/>
          <w:lang w:val="en-US"/>
        </w:rPr>
        <w:t xml:space="preserve"> one or more of</w:t>
      </w:r>
      <w:r w:rsidR="002B4992">
        <w:rPr>
          <w:rFonts w:ascii="Arial" w:hAnsi="Arial" w:cs="Arial"/>
          <w:sz w:val="24"/>
          <w:szCs w:val="24"/>
          <w:lang w:val="en-US"/>
        </w:rPr>
        <w:t xml:space="preserve"> the</w:t>
      </w:r>
      <w:r w:rsidRPr="002E4F28">
        <w:rPr>
          <w:rFonts w:ascii="Arial" w:hAnsi="Arial" w:cs="Arial"/>
          <w:sz w:val="24"/>
          <w:szCs w:val="24"/>
          <w:lang w:val="en-US"/>
        </w:rPr>
        <w:t xml:space="preserve"> banks being ranked in the top 3 consistently.  This can be attributed to the application by companies in this sector of the </w:t>
      </w:r>
      <w:r w:rsidR="00C3359A">
        <w:rPr>
          <w:rFonts w:ascii="Arial" w:hAnsi="Arial" w:cs="Arial"/>
          <w:sz w:val="24"/>
          <w:szCs w:val="24"/>
          <w:lang w:val="en-US"/>
        </w:rPr>
        <w:t>FSC</w:t>
      </w:r>
      <w:r w:rsidRPr="002E4F28">
        <w:rPr>
          <w:rFonts w:ascii="Arial" w:hAnsi="Arial" w:cs="Arial"/>
          <w:sz w:val="24"/>
          <w:szCs w:val="24"/>
          <w:lang w:val="en-US"/>
        </w:rPr>
        <w:t xml:space="preserve"> 2012.</w:t>
      </w:r>
    </w:p>
    <w:p w:rsidR="002B4992" w:rsidRDefault="002B4992" w:rsidP="004D78ED">
      <w:pPr>
        <w:spacing w:after="0" w:line="240" w:lineRule="auto"/>
        <w:jc w:val="both"/>
        <w:rPr>
          <w:rFonts w:ascii="Arial" w:hAnsi="Arial" w:cs="Arial"/>
          <w:sz w:val="24"/>
          <w:szCs w:val="24"/>
          <w:lang w:val="en-US"/>
        </w:rPr>
      </w:pPr>
    </w:p>
    <w:p w:rsidR="00D52A12" w:rsidRPr="00EF192E" w:rsidRDefault="00A90E34" w:rsidP="00EF192E">
      <w:pPr>
        <w:spacing w:after="0" w:line="240" w:lineRule="auto"/>
        <w:jc w:val="both"/>
        <w:rPr>
          <w:rFonts w:ascii="Arial" w:hAnsi="Arial" w:cs="Arial"/>
          <w:sz w:val="24"/>
          <w:szCs w:val="24"/>
          <w:lang w:val="en-US"/>
        </w:rPr>
        <w:sectPr w:rsidR="00D52A12" w:rsidRPr="00EF192E" w:rsidSect="007F791E">
          <w:headerReference w:type="even" r:id="rId17"/>
          <w:headerReference w:type="default" r:id="rId18"/>
          <w:footerReference w:type="even" r:id="rId19"/>
          <w:footerReference w:type="default" r:id="rId20"/>
          <w:headerReference w:type="first" r:id="rId21"/>
          <w:footerReference w:type="first" r:id="rId22"/>
          <w:pgSz w:w="11906" w:h="16838"/>
          <w:pgMar w:top="1267" w:right="1440" w:bottom="1440" w:left="1440" w:header="720" w:footer="1440" w:gutter="0"/>
          <w:cols w:space="720"/>
          <w:docGrid w:linePitch="360"/>
        </w:sectPr>
      </w:pPr>
      <w:r>
        <w:rPr>
          <w:rFonts w:ascii="Arial" w:hAnsi="Arial" w:cs="Arial"/>
          <w:sz w:val="24"/>
          <w:szCs w:val="24"/>
          <w:lang w:val="en-US"/>
        </w:rPr>
        <w:t>However</w:t>
      </w:r>
      <w:r w:rsidR="00985DCF">
        <w:rPr>
          <w:rFonts w:ascii="Arial" w:hAnsi="Arial" w:cs="Arial"/>
          <w:sz w:val="24"/>
          <w:szCs w:val="24"/>
          <w:lang w:val="en-US"/>
        </w:rPr>
        <w:t>,</w:t>
      </w:r>
      <w:r>
        <w:rPr>
          <w:rFonts w:ascii="Arial" w:hAnsi="Arial" w:cs="Arial"/>
          <w:sz w:val="24"/>
          <w:szCs w:val="24"/>
          <w:lang w:val="en-US"/>
        </w:rPr>
        <w:t xml:space="preserve"> it is important to note that these companies have and/or would have performed poorly against the Codes, because the Codes have higher targets than the 2012 FSC.</w:t>
      </w:r>
      <w:r w:rsidR="00EF192E">
        <w:rPr>
          <w:rFonts w:ascii="Arial" w:hAnsi="Arial" w:cs="Arial"/>
          <w:sz w:val="24"/>
          <w:szCs w:val="24"/>
          <w:lang w:val="en-US"/>
        </w:rPr>
        <w:t xml:space="preserve"> </w:t>
      </w:r>
      <w:r w:rsidR="00D52A12" w:rsidRPr="002E4F28">
        <w:rPr>
          <w:rFonts w:ascii="Arial" w:eastAsia="Times New Roman" w:hAnsi="Arial" w:cs="Arial"/>
          <w:sz w:val="24"/>
          <w:szCs w:val="24"/>
          <w:lang w:val="en-US" w:eastAsia="en-GB"/>
        </w:rPr>
        <w:t xml:space="preserve">The focus of this report in respect of transformation in the financial sector is based on data relating to JSE listed companies for which </w:t>
      </w:r>
      <w:r w:rsidR="00D52A12">
        <w:rPr>
          <w:rFonts w:ascii="Arial" w:eastAsia="Times New Roman" w:hAnsi="Arial" w:cs="Arial"/>
          <w:sz w:val="24"/>
          <w:szCs w:val="24"/>
          <w:lang w:val="en-US" w:eastAsia="en-GB"/>
        </w:rPr>
        <w:t xml:space="preserve">such </w:t>
      </w:r>
      <w:r w:rsidR="00D52A12" w:rsidRPr="002E4F28">
        <w:rPr>
          <w:rFonts w:ascii="Arial" w:eastAsia="Times New Roman" w:hAnsi="Arial" w:cs="Arial"/>
          <w:sz w:val="24"/>
          <w:szCs w:val="24"/>
          <w:lang w:val="en-US" w:eastAsia="en-GB"/>
        </w:rPr>
        <w:t>data was readily available. In 2015, the Financial Sector Charter</w:t>
      </w:r>
      <w:r w:rsidR="00D52A12" w:rsidRPr="002E4F28">
        <w:rPr>
          <w:rFonts w:ascii="Arial" w:hAnsi="Arial" w:cs="Arial"/>
          <w:sz w:val="24"/>
          <w:szCs w:val="24"/>
        </w:rPr>
        <w:t xml:space="preserve"> Council commissioned a report to assess the B-BBEE ownership position</w:t>
      </w:r>
      <w:r w:rsidR="00D52A12" w:rsidRPr="002E4F28">
        <w:rPr>
          <w:rFonts w:ascii="Arial" w:hAnsi="Arial" w:cs="Arial"/>
          <w:i/>
          <w:iCs/>
          <w:sz w:val="24"/>
          <w:szCs w:val="24"/>
        </w:rPr>
        <w:t xml:space="preserve"> </w:t>
      </w:r>
      <w:r w:rsidR="00D52A12" w:rsidRPr="002E4F28">
        <w:rPr>
          <w:rFonts w:ascii="Arial" w:hAnsi="Arial" w:cs="Arial"/>
          <w:sz w:val="24"/>
          <w:szCs w:val="24"/>
        </w:rPr>
        <w:t>of large firms in the financial sector, an extract of the updated (as at 31 December 2016) outcome of this s</w:t>
      </w:r>
      <w:r w:rsidR="00D52A12">
        <w:rPr>
          <w:rFonts w:ascii="Arial" w:hAnsi="Arial" w:cs="Arial"/>
          <w:sz w:val="24"/>
          <w:szCs w:val="24"/>
        </w:rPr>
        <w:t xml:space="preserve">tudy by Intellidex (Pty) Ltd </w:t>
      </w:r>
      <w:r w:rsidR="00D52A12" w:rsidRPr="002E4F28">
        <w:rPr>
          <w:rFonts w:ascii="Arial" w:hAnsi="Arial" w:cs="Arial"/>
          <w:sz w:val="24"/>
          <w:szCs w:val="24"/>
        </w:rPr>
        <w:t xml:space="preserve">as </w:t>
      </w:r>
      <w:r w:rsidR="00D52A12">
        <w:rPr>
          <w:rFonts w:ascii="Arial" w:hAnsi="Arial" w:cs="Arial"/>
          <w:sz w:val="24"/>
          <w:szCs w:val="24"/>
        </w:rPr>
        <w:t>depicted in</w:t>
      </w:r>
      <w:r w:rsidR="00EE57DD">
        <w:rPr>
          <w:rFonts w:ascii="Arial" w:hAnsi="Arial" w:cs="Arial"/>
          <w:sz w:val="24"/>
          <w:szCs w:val="24"/>
        </w:rPr>
        <w:t xml:space="preserve"> </w:t>
      </w:r>
      <w:r w:rsidR="00EE57DD">
        <w:rPr>
          <w:rFonts w:ascii="Arial" w:hAnsi="Arial" w:cs="Arial"/>
          <w:sz w:val="24"/>
          <w:szCs w:val="24"/>
        </w:rPr>
        <w:fldChar w:fldCharType="begin"/>
      </w:r>
      <w:r w:rsidR="00EE57DD">
        <w:rPr>
          <w:rFonts w:ascii="Arial" w:hAnsi="Arial" w:cs="Arial"/>
          <w:sz w:val="24"/>
          <w:szCs w:val="24"/>
        </w:rPr>
        <w:instrText xml:space="preserve"> REF _Ref476945523 \h </w:instrText>
      </w:r>
      <w:r w:rsidR="00325E99">
        <w:rPr>
          <w:rFonts w:ascii="Arial" w:hAnsi="Arial" w:cs="Arial"/>
          <w:sz w:val="24"/>
          <w:szCs w:val="24"/>
        </w:rPr>
        <w:instrText xml:space="preserve"> \* MERGEFORMAT </w:instrText>
      </w:r>
      <w:r w:rsidR="00EE57DD">
        <w:rPr>
          <w:rFonts w:ascii="Arial" w:hAnsi="Arial" w:cs="Arial"/>
          <w:sz w:val="24"/>
          <w:szCs w:val="24"/>
        </w:rPr>
      </w:r>
      <w:r w:rsidR="00EE57DD">
        <w:rPr>
          <w:rFonts w:ascii="Arial" w:hAnsi="Arial" w:cs="Arial"/>
          <w:sz w:val="24"/>
          <w:szCs w:val="24"/>
        </w:rPr>
        <w:fldChar w:fldCharType="separate"/>
      </w:r>
      <w:r w:rsidR="00011950" w:rsidRPr="00011950">
        <w:rPr>
          <w:rFonts w:ascii="Arial" w:hAnsi="Arial" w:cs="Arial"/>
          <w:sz w:val="24"/>
          <w:szCs w:val="24"/>
        </w:rPr>
        <w:t>Table 1</w:t>
      </w:r>
      <w:r w:rsidR="00EE57DD">
        <w:rPr>
          <w:rFonts w:ascii="Arial" w:hAnsi="Arial" w:cs="Arial"/>
          <w:sz w:val="24"/>
          <w:szCs w:val="24"/>
        </w:rPr>
        <w:fldChar w:fldCharType="end"/>
      </w:r>
      <w:r w:rsidR="00EE57DD">
        <w:rPr>
          <w:rFonts w:ascii="Arial" w:hAnsi="Arial" w:cs="Arial"/>
          <w:sz w:val="24"/>
          <w:szCs w:val="24"/>
        </w:rPr>
        <w:t>.</w:t>
      </w:r>
      <w:r w:rsidR="00D52A12">
        <w:rPr>
          <w:rFonts w:ascii="Arial" w:hAnsi="Arial" w:cs="Arial"/>
          <w:sz w:val="24"/>
          <w:szCs w:val="24"/>
        </w:rPr>
        <w:t xml:space="preserve">  </w:t>
      </w:r>
      <w:r w:rsidR="00EE57DD">
        <w:rPr>
          <w:rFonts w:ascii="Arial" w:hAnsi="Arial" w:cs="Arial"/>
          <w:sz w:val="24"/>
          <w:szCs w:val="24"/>
        </w:rPr>
        <w:t xml:space="preserve">  </w:t>
      </w:r>
    </w:p>
    <w:p w:rsidR="00B608C0" w:rsidRPr="00B608C0" w:rsidRDefault="00EE57DD" w:rsidP="00EE57DD">
      <w:pPr>
        <w:pStyle w:val="Caption"/>
        <w:rPr>
          <w:rFonts w:ascii="Arial" w:hAnsi="Arial" w:cs="Arial"/>
          <w:noProof/>
          <w:color w:val="auto"/>
          <w:szCs w:val="24"/>
          <w:lang w:val="en-US"/>
        </w:rPr>
      </w:pPr>
      <w:bookmarkStart w:id="4" w:name="_Ref476945523"/>
      <w:r>
        <w:t xml:space="preserve">Table </w:t>
      </w:r>
      <w:r w:rsidR="00D51529">
        <w:fldChar w:fldCharType="begin"/>
      </w:r>
      <w:r w:rsidR="00D51529">
        <w:instrText xml:space="preserve"> SEQ Table \* ARABIC </w:instrText>
      </w:r>
      <w:r w:rsidR="00D51529">
        <w:fldChar w:fldCharType="separate"/>
      </w:r>
      <w:r w:rsidR="00C930AF">
        <w:rPr>
          <w:noProof/>
        </w:rPr>
        <w:t>1</w:t>
      </w:r>
      <w:r w:rsidR="00D51529">
        <w:rPr>
          <w:noProof/>
        </w:rPr>
        <w:fldChar w:fldCharType="end"/>
      </w:r>
      <w:bookmarkEnd w:id="4"/>
      <w:r w:rsidR="00D52A12">
        <w:t xml:space="preserve">: </w:t>
      </w:r>
      <w:r w:rsidR="00D52A12" w:rsidRPr="00AE7CCD">
        <w:t>To</w:t>
      </w:r>
      <w:r w:rsidR="00D52A12">
        <w:t>p 17 FSC Ranked Companie</w:t>
      </w:r>
      <w:r w:rsidR="00D52A12" w:rsidRPr="00AE7CCD">
        <w:t>s by Market Capitalisa</w:t>
      </w:r>
      <w:r w:rsidR="00B608C0">
        <w:t>tion (updated as at 31 Dec 2016</w:t>
      </w:r>
    </w:p>
    <w:p w:rsidR="00B608C0" w:rsidRDefault="00D75458" w:rsidP="00B608C0">
      <w:pPr>
        <w:pStyle w:val="FootnoteText"/>
      </w:pPr>
      <w:r w:rsidRPr="00D75458">
        <w:rPr>
          <w:noProof/>
          <w:lang w:eastAsia="en-ZA"/>
        </w:rPr>
        <w:drawing>
          <wp:inline distT="0" distB="0" distL="0" distR="0" wp14:anchorId="3EF5D019" wp14:editId="773D2014">
            <wp:extent cx="8973185" cy="44201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73185" cy="4420102"/>
                    </a:xfrm>
                    <a:prstGeom prst="rect">
                      <a:avLst/>
                    </a:prstGeom>
                    <a:noFill/>
                    <a:ln>
                      <a:noFill/>
                    </a:ln>
                  </pic:spPr>
                </pic:pic>
              </a:graphicData>
            </a:graphic>
          </wp:inline>
        </w:drawing>
      </w:r>
    </w:p>
    <w:p w:rsidR="00B608C0" w:rsidRDefault="00B608C0" w:rsidP="00B608C0">
      <w:pPr>
        <w:pStyle w:val="FootnoteText"/>
      </w:pPr>
    </w:p>
    <w:p w:rsidR="00B608C0" w:rsidRDefault="00B608C0" w:rsidP="00B608C0">
      <w:pPr>
        <w:pStyle w:val="FootnoteText"/>
      </w:pPr>
      <w:r>
        <w:rPr>
          <w:rStyle w:val="FootnoteReference"/>
        </w:rPr>
        <w:footnoteRef/>
      </w:r>
      <w:r>
        <w:t xml:space="preserve"> Concluded refers to transactions where the vesting period has been fulfilled and the black shareholders are no longer bound by lock-ins</w:t>
      </w:r>
    </w:p>
    <w:p w:rsidR="00B608C0" w:rsidRDefault="00B608C0" w:rsidP="00D52A12">
      <w:pPr>
        <w:jc w:val="both"/>
        <w:rPr>
          <w:rFonts w:ascii="Arial" w:hAnsi="Arial" w:cs="Arial"/>
          <w:sz w:val="24"/>
          <w:szCs w:val="24"/>
        </w:rPr>
      </w:pPr>
    </w:p>
    <w:p w:rsidR="00B608C0" w:rsidRPr="002E4F28" w:rsidRDefault="00B608C0" w:rsidP="00D52A12">
      <w:pPr>
        <w:jc w:val="both"/>
        <w:rPr>
          <w:rFonts w:ascii="Arial" w:hAnsi="Arial" w:cs="Arial"/>
          <w:sz w:val="24"/>
          <w:szCs w:val="24"/>
        </w:rPr>
        <w:sectPr w:rsidR="00B608C0" w:rsidRPr="002E4F28" w:rsidSect="007F791E">
          <w:pgSz w:w="16838" w:h="11906" w:orient="landscape"/>
          <w:pgMar w:top="1440" w:right="1267" w:bottom="1440" w:left="1440" w:header="720" w:footer="1440" w:gutter="0"/>
          <w:cols w:space="720"/>
          <w:docGrid w:linePitch="360"/>
        </w:sectPr>
      </w:pPr>
    </w:p>
    <w:p w:rsidR="00D52A12" w:rsidRPr="0036653E" w:rsidRDefault="00D52A12" w:rsidP="00BF54B4">
      <w:pPr>
        <w:pStyle w:val="ListParagraph"/>
        <w:numPr>
          <w:ilvl w:val="0"/>
          <w:numId w:val="30"/>
        </w:numPr>
        <w:jc w:val="both"/>
        <w:rPr>
          <w:rFonts w:ascii="Arial" w:hAnsi="Arial" w:cs="Arial"/>
        </w:rPr>
      </w:pPr>
      <w:r w:rsidRPr="0036653E">
        <w:rPr>
          <w:rFonts w:ascii="Arial" w:hAnsi="Arial" w:cs="Arial"/>
        </w:rPr>
        <w:t>The market capitalisation, as at 31 December 2016, of the 17 financial services companies identified above totals R1, 6 trillion. The values of transactions in these companies, live and concluded, were measured in the study to be approximately R98 billion in total.</w:t>
      </w:r>
    </w:p>
    <w:p w:rsidR="00D52A12" w:rsidRPr="0036653E" w:rsidRDefault="00D52A12" w:rsidP="00BF54B4">
      <w:pPr>
        <w:pStyle w:val="ListParagraph"/>
        <w:numPr>
          <w:ilvl w:val="0"/>
          <w:numId w:val="30"/>
        </w:numPr>
        <w:jc w:val="both"/>
        <w:rPr>
          <w:rFonts w:ascii="Arial" w:hAnsi="Arial" w:cs="Arial"/>
        </w:rPr>
      </w:pPr>
      <w:r w:rsidRPr="0036653E">
        <w:rPr>
          <w:rFonts w:ascii="Arial" w:hAnsi="Arial" w:cs="Arial"/>
        </w:rPr>
        <w:t>This equates to approximately 6.03% of the market capitalisation at 31 Dec 2016 of value of transactions concluded to date in the sector for BEE purposes</w:t>
      </w:r>
    </w:p>
    <w:p w:rsidR="00D52A12" w:rsidRPr="0036653E" w:rsidRDefault="00D52A12" w:rsidP="00BF54B4">
      <w:pPr>
        <w:pStyle w:val="ListParagraph"/>
        <w:numPr>
          <w:ilvl w:val="0"/>
          <w:numId w:val="30"/>
        </w:numPr>
        <w:jc w:val="both"/>
        <w:rPr>
          <w:rFonts w:ascii="Arial" w:hAnsi="Arial" w:cs="Arial"/>
        </w:rPr>
      </w:pPr>
      <w:r w:rsidRPr="0036653E">
        <w:rPr>
          <w:rFonts w:ascii="Arial" w:hAnsi="Arial" w:cs="Arial"/>
        </w:rPr>
        <w:t>The FSC code allows for equity enhancements including investments made by institutional investors using public funds (mandated investments), exclusion of foreign operations, modified flow through adjustments, etc.  These enhancements lead to the recognition of higher black ownership than the actual equity held.</w:t>
      </w:r>
    </w:p>
    <w:p w:rsidR="00D52A12" w:rsidRPr="0036653E" w:rsidRDefault="00D52A12" w:rsidP="00BF54B4">
      <w:pPr>
        <w:pStyle w:val="ListParagraph"/>
        <w:numPr>
          <w:ilvl w:val="0"/>
          <w:numId w:val="30"/>
        </w:numPr>
        <w:jc w:val="both"/>
        <w:rPr>
          <w:rFonts w:ascii="Arial" w:hAnsi="Arial" w:cs="Arial"/>
        </w:rPr>
      </w:pPr>
      <w:r w:rsidRPr="0036653E">
        <w:rPr>
          <w:rFonts w:ascii="Arial" w:hAnsi="Arial" w:cs="Arial"/>
        </w:rPr>
        <w:t>At least half of these transactions were concluded on behalf of strategic partners with the balance shared between staff schemes and community schemes.</w:t>
      </w:r>
    </w:p>
    <w:p w:rsidR="00D52A12" w:rsidRPr="0036653E" w:rsidRDefault="00D52A12" w:rsidP="00BF54B4">
      <w:pPr>
        <w:pStyle w:val="ListParagraph"/>
        <w:numPr>
          <w:ilvl w:val="0"/>
          <w:numId w:val="30"/>
        </w:numPr>
        <w:jc w:val="both"/>
        <w:rPr>
          <w:rFonts w:ascii="Arial" w:hAnsi="Arial" w:cs="Arial"/>
        </w:rPr>
      </w:pPr>
      <w:r w:rsidRPr="0036653E">
        <w:rPr>
          <w:rFonts w:ascii="Arial" w:hAnsi="Arial" w:cs="Arial"/>
        </w:rPr>
        <w:t>From the data gathered, FirstRand and Sanlam had the largest value of transactions concluded on behalf of communities (totalling R21 billion) and these transactions were both concluded in 2014.</w:t>
      </w:r>
    </w:p>
    <w:p w:rsidR="00D52A12" w:rsidRPr="0036653E" w:rsidRDefault="00D52A12" w:rsidP="00BF54B4">
      <w:pPr>
        <w:pStyle w:val="ListParagraph"/>
        <w:numPr>
          <w:ilvl w:val="0"/>
          <w:numId w:val="30"/>
        </w:numPr>
        <w:jc w:val="both"/>
        <w:rPr>
          <w:rFonts w:ascii="Arial" w:hAnsi="Arial" w:cs="Arial"/>
        </w:rPr>
      </w:pPr>
      <w:r w:rsidRPr="0036653E">
        <w:rPr>
          <w:rFonts w:ascii="Arial" w:hAnsi="Arial" w:cs="Arial"/>
        </w:rPr>
        <w:t xml:space="preserve">The question remains whether or not there has been any real value realised by the communities for whom these deals were structured.  The majority of these shares in respect of these community structures are housed in trusts which may result in value leakage in respect of the accrual of benefits to the ultimate beneficiaries as there are costs associated with the running of these trusts. </w:t>
      </w:r>
    </w:p>
    <w:p w:rsidR="00D52A12" w:rsidRDefault="00D52A12" w:rsidP="00BF54B4">
      <w:pPr>
        <w:pStyle w:val="ListParagraph"/>
        <w:numPr>
          <w:ilvl w:val="0"/>
          <w:numId w:val="30"/>
        </w:numPr>
        <w:jc w:val="both"/>
        <w:rPr>
          <w:rFonts w:ascii="Arial" w:hAnsi="Arial" w:cs="Arial"/>
        </w:rPr>
      </w:pPr>
      <w:r w:rsidRPr="0036653E">
        <w:rPr>
          <w:rFonts w:ascii="Arial" w:hAnsi="Arial" w:cs="Arial"/>
        </w:rPr>
        <w:t xml:space="preserve">The staff schemes are for the benefit of employees, this may include management and directors in some instances and may be perpetuating inequality where the benefits are weighted favourably towards higher earning employees vs. lower skilled workers and lower income earners. </w:t>
      </w:r>
    </w:p>
    <w:p w:rsidR="0036653E" w:rsidRPr="0036653E" w:rsidRDefault="0036653E" w:rsidP="0036653E">
      <w:pPr>
        <w:pStyle w:val="ListParagraph"/>
        <w:jc w:val="both"/>
        <w:rPr>
          <w:rFonts w:ascii="Arial" w:hAnsi="Arial" w:cs="Arial"/>
        </w:rPr>
      </w:pPr>
    </w:p>
    <w:p w:rsidR="00D52A12" w:rsidRDefault="00D52A12" w:rsidP="00D52A12">
      <w:pPr>
        <w:jc w:val="both"/>
        <w:rPr>
          <w:rFonts w:ascii="Arial" w:hAnsi="Arial" w:cs="Arial"/>
          <w:sz w:val="24"/>
          <w:szCs w:val="24"/>
        </w:rPr>
      </w:pPr>
      <w:r w:rsidRPr="002E4F28">
        <w:rPr>
          <w:rFonts w:ascii="Arial" w:hAnsi="Arial" w:cs="Arial"/>
          <w:sz w:val="24"/>
          <w:szCs w:val="24"/>
        </w:rPr>
        <w:t>In the 2016 calendar year, no new</w:t>
      </w:r>
      <w:r>
        <w:rPr>
          <w:rFonts w:ascii="Arial" w:hAnsi="Arial" w:cs="Arial"/>
          <w:sz w:val="24"/>
          <w:szCs w:val="24"/>
        </w:rPr>
        <w:t xml:space="preserve"> transactions</w:t>
      </w:r>
      <w:r w:rsidRPr="002E4F28">
        <w:rPr>
          <w:rFonts w:ascii="Arial" w:hAnsi="Arial" w:cs="Arial"/>
          <w:sz w:val="24"/>
          <w:szCs w:val="24"/>
        </w:rPr>
        <w:t xml:space="preserve"> were entered into</w:t>
      </w:r>
      <w:r w:rsidR="00B9703E">
        <w:rPr>
          <w:rFonts w:ascii="Arial" w:hAnsi="Arial" w:cs="Arial"/>
          <w:sz w:val="24"/>
          <w:szCs w:val="24"/>
        </w:rPr>
        <w:t xml:space="preserve"> in this sector</w:t>
      </w:r>
      <w:r w:rsidRPr="002E4F28">
        <w:rPr>
          <w:rFonts w:ascii="Arial" w:hAnsi="Arial" w:cs="Arial"/>
          <w:sz w:val="24"/>
          <w:szCs w:val="24"/>
        </w:rPr>
        <w:t>,</w:t>
      </w:r>
      <w:r w:rsidR="00B9703E">
        <w:rPr>
          <w:rFonts w:ascii="Arial" w:hAnsi="Arial" w:cs="Arial"/>
          <w:sz w:val="24"/>
          <w:szCs w:val="24"/>
        </w:rPr>
        <w:t xml:space="preserve"> wit</w:t>
      </w:r>
      <w:r w:rsidR="00A50B6E">
        <w:rPr>
          <w:rFonts w:ascii="Arial" w:hAnsi="Arial" w:cs="Arial"/>
          <w:sz w:val="24"/>
          <w:szCs w:val="24"/>
        </w:rPr>
        <w:t>h</w:t>
      </w:r>
      <w:r w:rsidRPr="002E4F28">
        <w:rPr>
          <w:rFonts w:ascii="Arial" w:hAnsi="Arial" w:cs="Arial"/>
          <w:sz w:val="24"/>
          <w:szCs w:val="24"/>
        </w:rPr>
        <w:t xml:space="preserve"> the majority of </w:t>
      </w:r>
      <w:r>
        <w:rPr>
          <w:rFonts w:ascii="Arial" w:hAnsi="Arial" w:cs="Arial"/>
          <w:sz w:val="24"/>
          <w:szCs w:val="24"/>
        </w:rPr>
        <w:t>transactions</w:t>
      </w:r>
      <w:r w:rsidRPr="002E4F28">
        <w:rPr>
          <w:rFonts w:ascii="Arial" w:hAnsi="Arial" w:cs="Arial"/>
          <w:sz w:val="24"/>
          <w:szCs w:val="24"/>
        </w:rPr>
        <w:t xml:space="preserve"> entered into in 2005 </w:t>
      </w:r>
      <w:r w:rsidR="00B9703E">
        <w:rPr>
          <w:rFonts w:ascii="Arial" w:hAnsi="Arial" w:cs="Arial"/>
          <w:sz w:val="24"/>
          <w:szCs w:val="24"/>
        </w:rPr>
        <w:t>that</w:t>
      </w:r>
      <w:r w:rsidR="00B9703E" w:rsidRPr="002E4F28">
        <w:rPr>
          <w:rFonts w:ascii="Arial" w:hAnsi="Arial" w:cs="Arial"/>
          <w:sz w:val="24"/>
          <w:szCs w:val="24"/>
        </w:rPr>
        <w:t xml:space="preserve"> </w:t>
      </w:r>
      <w:r w:rsidRPr="002E4F28">
        <w:rPr>
          <w:rFonts w:ascii="Arial" w:hAnsi="Arial" w:cs="Arial"/>
          <w:sz w:val="24"/>
          <w:szCs w:val="24"/>
        </w:rPr>
        <w:t xml:space="preserve">have since concluded </w:t>
      </w:r>
      <w:r>
        <w:rPr>
          <w:rFonts w:ascii="Arial" w:hAnsi="Arial" w:cs="Arial"/>
          <w:sz w:val="24"/>
          <w:szCs w:val="24"/>
        </w:rPr>
        <w:t xml:space="preserve">with typical </w:t>
      </w:r>
      <w:r w:rsidR="00B9703E">
        <w:rPr>
          <w:rFonts w:ascii="Arial" w:hAnsi="Arial" w:cs="Arial"/>
          <w:sz w:val="24"/>
          <w:szCs w:val="24"/>
        </w:rPr>
        <w:t>10-</w:t>
      </w:r>
      <w:r>
        <w:rPr>
          <w:rFonts w:ascii="Arial" w:hAnsi="Arial" w:cs="Arial"/>
          <w:sz w:val="24"/>
          <w:szCs w:val="24"/>
        </w:rPr>
        <w:t xml:space="preserve">year lock-in periods </w:t>
      </w:r>
      <w:r w:rsidR="00B9703E">
        <w:rPr>
          <w:rFonts w:ascii="Arial" w:hAnsi="Arial" w:cs="Arial"/>
          <w:sz w:val="24"/>
          <w:szCs w:val="24"/>
        </w:rPr>
        <w:t xml:space="preserve">that have </w:t>
      </w:r>
      <w:r w:rsidR="00CB03DB">
        <w:rPr>
          <w:rFonts w:ascii="Arial" w:hAnsi="Arial" w:cs="Arial"/>
          <w:sz w:val="24"/>
          <w:szCs w:val="24"/>
        </w:rPr>
        <w:t>expired.</w:t>
      </w:r>
      <w:r>
        <w:rPr>
          <w:rFonts w:ascii="Arial" w:hAnsi="Arial" w:cs="Arial"/>
          <w:sz w:val="24"/>
          <w:szCs w:val="24"/>
        </w:rPr>
        <w:t xml:space="preserve"> T</w:t>
      </w:r>
      <w:r w:rsidRPr="002E4F28">
        <w:rPr>
          <w:rFonts w:ascii="Arial" w:hAnsi="Arial" w:cs="Arial"/>
          <w:sz w:val="24"/>
          <w:szCs w:val="24"/>
        </w:rPr>
        <w:t xml:space="preserve">his means that those companies </w:t>
      </w:r>
      <w:r w:rsidR="00CB03DB">
        <w:rPr>
          <w:rFonts w:ascii="Arial" w:hAnsi="Arial" w:cs="Arial"/>
          <w:sz w:val="24"/>
          <w:szCs w:val="24"/>
        </w:rPr>
        <w:t>that</w:t>
      </w:r>
      <w:r w:rsidR="00CB03DB" w:rsidRPr="002E4F28">
        <w:rPr>
          <w:rFonts w:ascii="Arial" w:hAnsi="Arial" w:cs="Arial"/>
          <w:sz w:val="24"/>
          <w:szCs w:val="24"/>
        </w:rPr>
        <w:t xml:space="preserve"> </w:t>
      </w:r>
      <w:r w:rsidRPr="002E4F28">
        <w:rPr>
          <w:rFonts w:ascii="Arial" w:hAnsi="Arial" w:cs="Arial"/>
          <w:sz w:val="24"/>
          <w:szCs w:val="24"/>
        </w:rPr>
        <w:t>do not have active</w:t>
      </w:r>
      <w:r>
        <w:rPr>
          <w:rFonts w:ascii="Arial" w:hAnsi="Arial" w:cs="Arial"/>
          <w:sz w:val="24"/>
          <w:szCs w:val="24"/>
        </w:rPr>
        <w:t xml:space="preserve"> transactions </w:t>
      </w:r>
      <w:r w:rsidRPr="002E4F28">
        <w:rPr>
          <w:rFonts w:ascii="Arial" w:hAnsi="Arial" w:cs="Arial"/>
          <w:sz w:val="24"/>
          <w:szCs w:val="24"/>
        </w:rPr>
        <w:t>may be benefitting from the Once Empowered Always Empowered (continuing consequences) principle.</w:t>
      </w:r>
    </w:p>
    <w:p w:rsidR="00B446D5" w:rsidRPr="00446E4D" w:rsidRDefault="00B446D5" w:rsidP="00B446D5">
      <w:pPr>
        <w:spacing w:before="100" w:beforeAutospacing="1" w:after="100" w:afterAutospacing="1"/>
        <w:jc w:val="both"/>
        <w:rPr>
          <w:rFonts w:ascii="Arial" w:hAnsi="Arial" w:cs="Arial"/>
          <w:sz w:val="24"/>
          <w:szCs w:val="24"/>
        </w:rPr>
      </w:pPr>
      <w:r w:rsidRPr="00446E4D">
        <w:rPr>
          <w:rFonts w:ascii="Arial" w:hAnsi="Arial" w:cs="Arial"/>
          <w:sz w:val="24"/>
          <w:szCs w:val="24"/>
        </w:rPr>
        <w:t>The 2016 Most Empowered Companies’ survey released by Empowerdex, revealed those financial institutions which must fulfil the requirements for empowerment financing are by and large scoring full points.  Contributions to this pillar of the financial sector code are geared towards transformational infrastructure, mostly financing projects that support economic development in the country.</w:t>
      </w:r>
    </w:p>
    <w:p w:rsidR="00B446D5" w:rsidRPr="002E44B2" w:rsidRDefault="00B446D5" w:rsidP="00BF54B4">
      <w:pPr>
        <w:pStyle w:val="ListParagraph"/>
        <w:numPr>
          <w:ilvl w:val="0"/>
          <w:numId w:val="7"/>
        </w:numPr>
        <w:spacing w:before="100" w:beforeAutospacing="1" w:after="100" w:afterAutospacing="1"/>
        <w:jc w:val="both"/>
        <w:rPr>
          <w:rFonts w:ascii="Arial" w:hAnsi="Arial" w:cs="Arial"/>
        </w:rPr>
      </w:pPr>
      <w:r w:rsidRPr="002E44B2">
        <w:rPr>
          <w:rFonts w:ascii="Arial" w:hAnsi="Arial" w:cs="Arial"/>
        </w:rPr>
        <w:t xml:space="preserve">The aggregation of the score allows for the financial institutions to opt for those products that are perceived lower risk and reduces the likelihood for funding of rural entrepreneurs, new industries and black SMMEs in general.  In order to see real impact in this area of the scorecard, it would be necessary to split out the target of R 48 billion amongst the different sub-pillars and allocate a higher target for Black SME Financing and black agricultural financing, for example 60% of the target.  </w:t>
      </w:r>
    </w:p>
    <w:p w:rsidR="00B446D5" w:rsidRDefault="00B446D5" w:rsidP="00BF54B4">
      <w:pPr>
        <w:pStyle w:val="ListParagraph"/>
        <w:numPr>
          <w:ilvl w:val="0"/>
          <w:numId w:val="7"/>
        </w:numPr>
        <w:spacing w:before="100" w:beforeAutospacing="1" w:after="100" w:afterAutospacing="1"/>
        <w:jc w:val="both"/>
        <w:rPr>
          <w:rFonts w:ascii="Arial" w:hAnsi="Arial" w:cs="Arial"/>
        </w:rPr>
      </w:pPr>
      <w:r w:rsidRPr="002E44B2">
        <w:rPr>
          <w:rFonts w:ascii="Arial" w:hAnsi="Arial" w:cs="Arial"/>
        </w:rPr>
        <w:t xml:space="preserve">The draft FSC has set aside R32 billion for transaction financing and risk capital support for the black industrialisation programme. This fund are still loans that needs to be repaid back with an interest. </w:t>
      </w:r>
    </w:p>
    <w:p w:rsidR="00B446D5" w:rsidRDefault="00B446D5" w:rsidP="006D4DF9">
      <w:pPr>
        <w:spacing w:after="0" w:line="240" w:lineRule="auto"/>
        <w:jc w:val="both"/>
        <w:rPr>
          <w:rFonts w:ascii="Arial" w:hAnsi="Arial" w:cs="Arial"/>
          <w:sz w:val="24"/>
          <w:szCs w:val="24"/>
          <w:lang w:val="en-US"/>
        </w:rPr>
      </w:pPr>
      <w:r w:rsidRPr="006D4DF9">
        <w:rPr>
          <w:rFonts w:ascii="Arial" w:hAnsi="Arial" w:cs="Arial"/>
          <w:sz w:val="24"/>
          <w:szCs w:val="24"/>
          <w:lang w:val="en-US"/>
        </w:rPr>
        <w:t xml:space="preserve">It is difficult to conclusively quantify the proportion of funding raised by the financial </w:t>
      </w:r>
      <w:r w:rsidR="006D4DF9" w:rsidRPr="006D4DF9">
        <w:rPr>
          <w:rFonts w:ascii="Arial" w:hAnsi="Arial" w:cs="Arial"/>
          <w:sz w:val="24"/>
          <w:szCs w:val="24"/>
          <w:lang w:val="en-US"/>
        </w:rPr>
        <w:t>‘</w:t>
      </w:r>
      <w:r w:rsidRPr="006D4DF9">
        <w:rPr>
          <w:rFonts w:ascii="Arial" w:hAnsi="Arial" w:cs="Arial"/>
          <w:sz w:val="24"/>
          <w:szCs w:val="24"/>
          <w:lang w:val="en-US"/>
        </w:rPr>
        <w:t>institutions towards each of the four (4) empowerment financing sub-pillars and a full research study would need to be conducted to provide this granular level of data.</w:t>
      </w:r>
    </w:p>
    <w:p w:rsidR="006D4DF9" w:rsidRPr="006D4DF9" w:rsidRDefault="006D4DF9" w:rsidP="006D4DF9">
      <w:pPr>
        <w:spacing w:after="0" w:line="240" w:lineRule="auto"/>
        <w:jc w:val="both"/>
        <w:rPr>
          <w:rFonts w:ascii="Arial" w:hAnsi="Arial" w:cs="Arial"/>
          <w:sz w:val="24"/>
          <w:szCs w:val="24"/>
          <w:lang w:val="en-US"/>
        </w:rPr>
      </w:pPr>
    </w:p>
    <w:p w:rsidR="00E54844" w:rsidRPr="002E4F28" w:rsidRDefault="00E54844" w:rsidP="00E54844">
      <w:pPr>
        <w:spacing w:after="0" w:line="240" w:lineRule="auto"/>
        <w:jc w:val="both"/>
        <w:rPr>
          <w:rFonts w:ascii="Arial" w:hAnsi="Arial" w:cs="Arial"/>
          <w:sz w:val="24"/>
          <w:szCs w:val="24"/>
          <w:lang w:val="en-US"/>
        </w:rPr>
      </w:pPr>
      <w:r w:rsidRPr="002E4F28">
        <w:rPr>
          <w:rFonts w:ascii="Arial" w:hAnsi="Arial" w:cs="Arial"/>
          <w:sz w:val="24"/>
          <w:szCs w:val="24"/>
          <w:lang w:val="en-US"/>
        </w:rPr>
        <w:t xml:space="preserve">Although the codes went a long way in addressing the need for transformation, the slow pace of change remained a challenge as more and more of the population remained disgruntled at being left out of the transformative process. </w:t>
      </w:r>
    </w:p>
    <w:p w:rsidR="00E54844" w:rsidRPr="002E4F28" w:rsidRDefault="00E54844" w:rsidP="00E54844">
      <w:pPr>
        <w:spacing w:after="0" w:line="240" w:lineRule="auto"/>
        <w:jc w:val="both"/>
        <w:rPr>
          <w:rFonts w:ascii="Arial" w:hAnsi="Arial" w:cs="Arial"/>
          <w:sz w:val="24"/>
          <w:szCs w:val="24"/>
          <w:lang w:val="en-US"/>
        </w:rPr>
      </w:pPr>
    </w:p>
    <w:p w:rsidR="00E54844" w:rsidRPr="002E4F28" w:rsidRDefault="00E54844" w:rsidP="00E54844">
      <w:pPr>
        <w:spacing w:after="0" w:line="240" w:lineRule="auto"/>
        <w:jc w:val="both"/>
        <w:rPr>
          <w:rFonts w:ascii="Arial" w:hAnsi="Arial" w:cs="Arial"/>
          <w:sz w:val="24"/>
          <w:szCs w:val="24"/>
          <w:lang w:val="en-US"/>
        </w:rPr>
      </w:pPr>
      <w:r>
        <w:rPr>
          <w:rFonts w:ascii="Arial" w:hAnsi="Arial" w:cs="Arial"/>
          <w:sz w:val="24"/>
          <w:szCs w:val="24"/>
          <w:lang w:val="en-US"/>
        </w:rPr>
        <w:t xml:space="preserve">Section 1 (c) of the </w:t>
      </w:r>
      <w:r w:rsidRPr="002E4F28">
        <w:rPr>
          <w:rFonts w:ascii="Arial" w:hAnsi="Arial" w:cs="Arial"/>
          <w:sz w:val="24"/>
          <w:szCs w:val="24"/>
          <w:lang w:val="en-US"/>
        </w:rPr>
        <w:t>BEE Act was gazetted with its objectives clearly outlined to facilitate broad-based black economic empowerment by:</w:t>
      </w:r>
    </w:p>
    <w:p w:rsidR="00E54844" w:rsidRPr="002E4F28" w:rsidRDefault="00E54844" w:rsidP="00BF54B4">
      <w:pPr>
        <w:pStyle w:val="ListParagraph"/>
        <w:numPr>
          <w:ilvl w:val="0"/>
          <w:numId w:val="2"/>
        </w:numPr>
        <w:jc w:val="both"/>
        <w:rPr>
          <w:rFonts w:ascii="Arial" w:hAnsi="Arial" w:cs="Arial"/>
          <w:lang w:val="en-US"/>
        </w:rPr>
      </w:pPr>
      <w:r w:rsidRPr="002E4F28">
        <w:rPr>
          <w:rFonts w:ascii="Arial" w:hAnsi="Arial" w:cs="Arial"/>
          <w:lang w:val="en-US"/>
        </w:rPr>
        <w:t xml:space="preserve">promoting economic transformation in order to enable meaningful participation of black people in the economy; </w:t>
      </w:r>
    </w:p>
    <w:p w:rsidR="00E54844" w:rsidRPr="002E4F28" w:rsidRDefault="00E54844" w:rsidP="00BF54B4">
      <w:pPr>
        <w:pStyle w:val="ListParagraph"/>
        <w:numPr>
          <w:ilvl w:val="0"/>
          <w:numId w:val="2"/>
        </w:numPr>
        <w:jc w:val="both"/>
        <w:rPr>
          <w:rFonts w:ascii="Arial" w:hAnsi="Arial" w:cs="Arial"/>
          <w:lang w:val="en-US"/>
        </w:rPr>
      </w:pPr>
      <w:r w:rsidRPr="002E4F28">
        <w:rPr>
          <w:rFonts w:ascii="Arial" w:hAnsi="Arial" w:cs="Arial"/>
          <w:lang w:val="en-US"/>
        </w:rPr>
        <w:t>achieving a substantial change in the racial composition of ownership and management structures and in the skilled occupations of existing and new enterprises</w:t>
      </w:r>
      <w:r>
        <w:rPr>
          <w:rFonts w:ascii="Arial" w:hAnsi="Arial" w:cs="Arial"/>
          <w:lang w:val="en-US"/>
        </w:rPr>
        <w:t>;</w:t>
      </w:r>
    </w:p>
    <w:p w:rsidR="00E54844" w:rsidRPr="002E4F28" w:rsidRDefault="00E54844" w:rsidP="00BF54B4">
      <w:pPr>
        <w:pStyle w:val="ListParagraph"/>
        <w:numPr>
          <w:ilvl w:val="0"/>
          <w:numId w:val="2"/>
        </w:numPr>
        <w:jc w:val="both"/>
        <w:rPr>
          <w:rFonts w:ascii="Arial" w:hAnsi="Arial" w:cs="Arial"/>
          <w:lang w:val="en-US"/>
        </w:rPr>
      </w:pPr>
      <w:r w:rsidRPr="002E4F28">
        <w:rPr>
          <w:rFonts w:ascii="Arial" w:hAnsi="Arial" w:cs="Arial"/>
          <w:lang w:val="en-US"/>
        </w:rPr>
        <w:t>increasing the extent to which communities, workers</w:t>
      </w:r>
      <w:r>
        <w:rPr>
          <w:rFonts w:ascii="Arial" w:hAnsi="Arial" w:cs="Arial"/>
          <w:lang w:val="en-US"/>
        </w:rPr>
        <w:t>,</w:t>
      </w:r>
      <w:r w:rsidRPr="002E4F28">
        <w:rPr>
          <w:rFonts w:ascii="Arial" w:hAnsi="Arial" w:cs="Arial"/>
          <w:lang w:val="en-US"/>
        </w:rPr>
        <w:t xml:space="preserve"> cooperatives and other collective enterprises own and manage existing and new enterprises and increasing their access to economic activities, infrastructure and skills training</w:t>
      </w:r>
    </w:p>
    <w:p w:rsidR="00E54844" w:rsidRPr="002E4F28" w:rsidRDefault="00E54844" w:rsidP="00BF54B4">
      <w:pPr>
        <w:pStyle w:val="ListParagraph"/>
        <w:numPr>
          <w:ilvl w:val="0"/>
          <w:numId w:val="2"/>
        </w:numPr>
        <w:jc w:val="both"/>
        <w:rPr>
          <w:rFonts w:ascii="Arial" w:hAnsi="Arial" w:cs="Arial"/>
          <w:lang w:val="en-US"/>
        </w:rPr>
      </w:pPr>
      <w:r w:rsidRPr="002E4F28">
        <w:rPr>
          <w:rFonts w:ascii="Arial" w:hAnsi="Arial" w:cs="Arial"/>
          <w:lang w:val="en-US"/>
        </w:rPr>
        <w:t>increasing the extent to which black women own and manage existing and new enterprises, and increasing their access to economic activities, infrastructure and skills training;</w:t>
      </w:r>
    </w:p>
    <w:p w:rsidR="00E54844" w:rsidRPr="002E4F28" w:rsidRDefault="00E54844" w:rsidP="00BF54B4">
      <w:pPr>
        <w:pStyle w:val="ListParagraph"/>
        <w:numPr>
          <w:ilvl w:val="0"/>
          <w:numId w:val="2"/>
        </w:numPr>
        <w:jc w:val="both"/>
        <w:rPr>
          <w:rFonts w:ascii="Arial" w:hAnsi="Arial" w:cs="Arial"/>
          <w:lang w:val="en-US"/>
        </w:rPr>
      </w:pPr>
      <w:r w:rsidRPr="002E4F28">
        <w:rPr>
          <w:rFonts w:ascii="Arial" w:hAnsi="Arial" w:cs="Arial"/>
          <w:lang w:val="en-US"/>
        </w:rPr>
        <w:t xml:space="preserve">promoting investment programmes that lead to broad-based and meaningful participation in the economy by black people in order to achieve sustainable development and general prosperity; </w:t>
      </w:r>
    </w:p>
    <w:p w:rsidR="00E54844" w:rsidRPr="002E4F28" w:rsidRDefault="00E54844" w:rsidP="00BF54B4">
      <w:pPr>
        <w:pStyle w:val="ListParagraph"/>
        <w:numPr>
          <w:ilvl w:val="0"/>
          <w:numId w:val="2"/>
        </w:numPr>
        <w:jc w:val="both"/>
        <w:rPr>
          <w:rFonts w:ascii="Arial" w:hAnsi="Arial" w:cs="Arial"/>
          <w:lang w:val="en-US"/>
        </w:rPr>
      </w:pPr>
      <w:r w:rsidRPr="002E4F28">
        <w:rPr>
          <w:rFonts w:ascii="Arial" w:hAnsi="Arial" w:cs="Arial"/>
          <w:lang w:val="en-US"/>
        </w:rPr>
        <w:t xml:space="preserve">empowering rural and local communities by enabling access to economic activities. land, infrastructure, ownership and skills; and </w:t>
      </w:r>
    </w:p>
    <w:p w:rsidR="00E54844" w:rsidRPr="002E4F28" w:rsidRDefault="00E54844" w:rsidP="00BF54B4">
      <w:pPr>
        <w:pStyle w:val="ListParagraph"/>
        <w:numPr>
          <w:ilvl w:val="0"/>
          <w:numId w:val="2"/>
        </w:numPr>
        <w:jc w:val="both"/>
        <w:rPr>
          <w:rFonts w:ascii="Arial" w:hAnsi="Arial" w:cs="Arial"/>
          <w:lang w:val="en-US"/>
        </w:rPr>
      </w:pPr>
      <w:r w:rsidRPr="002E4F28">
        <w:rPr>
          <w:rFonts w:ascii="Arial" w:hAnsi="Arial" w:cs="Arial"/>
          <w:lang w:val="en-US"/>
        </w:rPr>
        <w:t>promoting access to finance for black economic empowerment.</w:t>
      </w:r>
    </w:p>
    <w:p w:rsidR="00363707" w:rsidRDefault="00363707" w:rsidP="004A2707">
      <w:pPr>
        <w:spacing w:after="0" w:line="240" w:lineRule="auto"/>
        <w:jc w:val="both"/>
        <w:rPr>
          <w:rFonts w:ascii="Arial" w:hAnsi="Arial" w:cs="Arial"/>
          <w:sz w:val="24"/>
          <w:szCs w:val="24"/>
          <w:lang w:val="en-US"/>
        </w:rPr>
      </w:pPr>
    </w:p>
    <w:p w:rsidR="00EC3518" w:rsidRDefault="00EC3518" w:rsidP="004A2707">
      <w:pPr>
        <w:spacing w:after="0" w:line="240" w:lineRule="auto"/>
        <w:jc w:val="both"/>
        <w:rPr>
          <w:rFonts w:ascii="Arial" w:hAnsi="Arial" w:cs="Arial"/>
          <w:sz w:val="24"/>
          <w:szCs w:val="24"/>
          <w:lang w:val="en-US"/>
        </w:rPr>
      </w:pPr>
    </w:p>
    <w:p w:rsidR="00EC3518" w:rsidRDefault="00EC3518" w:rsidP="004A2707">
      <w:pPr>
        <w:spacing w:after="0" w:line="240" w:lineRule="auto"/>
        <w:jc w:val="both"/>
        <w:rPr>
          <w:rFonts w:ascii="Arial" w:hAnsi="Arial" w:cs="Arial"/>
          <w:sz w:val="24"/>
          <w:szCs w:val="24"/>
          <w:lang w:val="en-US"/>
        </w:rPr>
      </w:pPr>
    </w:p>
    <w:p w:rsidR="00EC3518" w:rsidRDefault="00EC3518" w:rsidP="004A2707">
      <w:pPr>
        <w:spacing w:after="0" w:line="240" w:lineRule="auto"/>
        <w:jc w:val="both"/>
        <w:rPr>
          <w:rFonts w:ascii="Arial" w:hAnsi="Arial" w:cs="Arial"/>
          <w:sz w:val="24"/>
          <w:szCs w:val="24"/>
          <w:lang w:val="en-US"/>
        </w:rPr>
      </w:pPr>
    </w:p>
    <w:p w:rsidR="00EC3518" w:rsidRDefault="00EC3518" w:rsidP="004A2707">
      <w:pPr>
        <w:spacing w:after="0" w:line="240" w:lineRule="auto"/>
        <w:jc w:val="both"/>
        <w:rPr>
          <w:rFonts w:ascii="Arial" w:hAnsi="Arial" w:cs="Arial"/>
          <w:sz w:val="24"/>
          <w:szCs w:val="24"/>
          <w:lang w:val="en-US"/>
        </w:rPr>
      </w:pPr>
    </w:p>
    <w:p w:rsidR="00EC3518" w:rsidRDefault="00EC3518" w:rsidP="004A2707">
      <w:pPr>
        <w:spacing w:after="0" w:line="240" w:lineRule="auto"/>
        <w:jc w:val="both"/>
        <w:rPr>
          <w:rFonts w:ascii="Arial" w:hAnsi="Arial" w:cs="Arial"/>
          <w:sz w:val="24"/>
          <w:szCs w:val="24"/>
          <w:lang w:val="en-US"/>
        </w:rPr>
      </w:pPr>
    </w:p>
    <w:p w:rsidR="00EC3518" w:rsidRDefault="00EC3518" w:rsidP="004A2707">
      <w:pPr>
        <w:spacing w:after="0" w:line="240" w:lineRule="auto"/>
        <w:jc w:val="both"/>
        <w:rPr>
          <w:rFonts w:ascii="Arial" w:hAnsi="Arial" w:cs="Arial"/>
          <w:sz w:val="24"/>
          <w:szCs w:val="24"/>
          <w:lang w:val="en-US"/>
        </w:rPr>
      </w:pPr>
    </w:p>
    <w:p w:rsidR="00EC3518" w:rsidRDefault="00EC3518" w:rsidP="004A2707">
      <w:pPr>
        <w:spacing w:after="0" w:line="240" w:lineRule="auto"/>
        <w:jc w:val="both"/>
        <w:rPr>
          <w:rFonts w:ascii="Arial" w:hAnsi="Arial" w:cs="Arial"/>
          <w:sz w:val="24"/>
          <w:szCs w:val="24"/>
          <w:lang w:val="en-US"/>
        </w:rPr>
      </w:pPr>
    </w:p>
    <w:p w:rsidR="00EC3518" w:rsidRDefault="00EC3518" w:rsidP="004A2707">
      <w:pPr>
        <w:spacing w:after="0" w:line="240" w:lineRule="auto"/>
        <w:jc w:val="both"/>
        <w:rPr>
          <w:rFonts w:ascii="Arial" w:hAnsi="Arial" w:cs="Arial"/>
          <w:sz w:val="24"/>
          <w:szCs w:val="24"/>
          <w:lang w:val="en-US"/>
        </w:rPr>
      </w:pPr>
    </w:p>
    <w:p w:rsidR="00EC3518" w:rsidRDefault="00EC3518" w:rsidP="004A2707">
      <w:pPr>
        <w:spacing w:after="0" w:line="240" w:lineRule="auto"/>
        <w:jc w:val="both"/>
        <w:rPr>
          <w:rFonts w:ascii="Arial" w:hAnsi="Arial" w:cs="Arial"/>
          <w:sz w:val="24"/>
          <w:szCs w:val="24"/>
          <w:lang w:val="en-US"/>
        </w:rPr>
      </w:pPr>
    </w:p>
    <w:p w:rsidR="00EC3518" w:rsidRDefault="00EC3518" w:rsidP="004A2707">
      <w:pPr>
        <w:spacing w:after="0" w:line="240" w:lineRule="auto"/>
        <w:jc w:val="both"/>
        <w:rPr>
          <w:rFonts w:ascii="Arial" w:hAnsi="Arial" w:cs="Arial"/>
          <w:sz w:val="24"/>
          <w:szCs w:val="24"/>
          <w:lang w:val="en-US"/>
        </w:rPr>
      </w:pPr>
    </w:p>
    <w:p w:rsidR="00EC3518" w:rsidRDefault="00EC3518" w:rsidP="004A2707">
      <w:pPr>
        <w:spacing w:after="0" w:line="240" w:lineRule="auto"/>
        <w:jc w:val="both"/>
        <w:rPr>
          <w:rFonts w:ascii="Arial" w:hAnsi="Arial" w:cs="Arial"/>
          <w:sz w:val="24"/>
          <w:szCs w:val="24"/>
          <w:lang w:val="en-US"/>
        </w:rPr>
      </w:pPr>
    </w:p>
    <w:p w:rsidR="00EC3518" w:rsidRDefault="00EC3518" w:rsidP="004A2707">
      <w:pPr>
        <w:spacing w:after="0" w:line="240" w:lineRule="auto"/>
        <w:jc w:val="both"/>
        <w:rPr>
          <w:rFonts w:ascii="Arial" w:hAnsi="Arial" w:cs="Arial"/>
          <w:sz w:val="24"/>
          <w:szCs w:val="24"/>
          <w:lang w:val="en-US"/>
        </w:rPr>
      </w:pPr>
    </w:p>
    <w:p w:rsidR="00EC3518" w:rsidRDefault="00EC3518" w:rsidP="004A2707">
      <w:pPr>
        <w:spacing w:after="0" w:line="240" w:lineRule="auto"/>
        <w:jc w:val="both"/>
        <w:rPr>
          <w:rFonts w:ascii="Arial" w:hAnsi="Arial" w:cs="Arial"/>
          <w:sz w:val="24"/>
          <w:szCs w:val="24"/>
          <w:lang w:val="en-US"/>
        </w:rPr>
      </w:pPr>
    </w:p>
    <w:p w:rsidR="00EC3518" w:rsidRDefault="00EC3518" w:rsidP="004A2707">
      <w:pPr>
        <w:spacing w:after="0" w:line="240" w:lineRule="auto"/>
        <w:jc w:val="both"/>
        <w:rPr>
          <w:rFonts w:ascii="Arial" w:hAnsi="Arial" w:cs="Arial"/>
          <w:sz w:val="24"/>
          <w:szCs w:val="24"/>
          <w:lang w:val="en-US"/>
        </w:rPr>
      </w:pPr>
    </w:p>
    <w:p w:rsidR="00EC3518" w:rsidRDefault="00EC3518" w:rsidP="004A2707">
      <w:pPr>
        <w:spacing w:after="0" w:line="240" w:lineRule="auto"/>
        <w:jc w:val="both"/>
        <w:rPr>
          <w:rFonts w:ascii="Arial" w:hAnsi="Arial" w:cs="Arial"/>
          <w:sz w:val="24"/>
          <w:szCs w:val="24"/>
          <w:lang w:val="en-US"/>
        </w:rPr>
      </w:pPr>
    </w:p>
    <w:p w:rsidR="00EC3518" w:rsidRDefault="00EC3518" w:rsidP="004A2707">
      <w:pPr>
        <w:spacing w:after="0" w:line="240" w:lineRule="auto"/>
        <w:jc w:val="both"/>
        <w:rPr>
          <w:rFonts w:ascii="Arial" w:hAnsi="Arial" w:cs="Arial"/>
          <w:sz w:val="24"/>
          <w:szCs w:val="24"/>
          <w:lang w:val="en-US"/>
        </w:rPr>
      </w:pPr>
    </w:p>
    <w:p w:rsidR="00225A35" w:rsidRPr="002E4F28" w:rsidRDefault="00225A35" w:rsidP="0061686E">
      <w:pPr>
        <w:spacing w:after="0" w:line="240" w:lineRule="auto"/>
        <w:jc w:val="both"/>
        <w:rPr>
          <w:rFonts w:ascii="Arial" w:hAnsi="Arial" w:cs="Arial"/>
          <w:sz w:val="24"/>
          <w:szCs w:val="24"/>
          <w:lang w:val="en-US"/>
        </w:rPr>
      </w:pPr>
    </w:p>
    <w:p w:rsidR="00324122" w:rsidRPr="00900B36" w:rsidRDefault="002547BB" w:rsidP="00900B36">
      <w:pPr>
        <w:pStyle w:val="ListParagraph"/>
        <w:numPr>
          <w:ilvl w:val="0"/>
          <w:numId w:val="1"/>
        </w:numPr>
        <w:shd w:val="clear" w:color="auto" w:fill="70AD47" w:themeFill="accent6"/>
        <w:tabs>
          <w:tab w:val="left" w:pos="720"/>
        </w:tabs>
        <w:spacing w:line="360" w:lineRule="auto"/>
        <w:ind w:hanging="1440"/>
        <w:rPr>
          <w:rFonts w:ascii="Arial" w:hAnsi="Arial" w:cs="Arial"/>
          <w:b/>
        </w:rPr>
      </w:pPr>
      <w:r>
        <w:rPr>
          <w:rFonts w:ascii="Arial" w:hAnsi="Arial" w:cs="Arial"/>
          <w:b/>
        </w:rPr>
        <w:t>Comparison of the Co</w:t>
      </w:r>
      <w:r w:rsidR="006D4DF9">
        <w:rPr>
          <w:rFonts w:ascii="Arial" w:hAnsi="Arial" w:cs="Arial"/>
          <w:b/>
        </w:rPr>
        <w:t xml:space="preserve">des and </w:t>
      </w:r>
      <w:r w:rsidR="00EC3518">
        <w:rPr>
          <w:rFonts w:ascii="Arial" w:hAnsi="Arial" w:cs="Arial"/>
          <w:b/>
        </w:rPr>
        <w:t>the Financial Sector Codes</w:t>
      </w:r>
    </w:p>
    <w:p w:rsidR="00BD3E07" w:rsidRDefault="00BD3E07" w:rsidP="006C3012">
      <w:pPr>
        <w:spacing w:after="0" w:line="240" w:lineRule="auto"/>
        <w:jc w:val="both"/>
        <w:rPr>
          <w:rFonts w:ascii="Arial" w:hAnsi="Arial" w:cs="Arial"/>
          <w:sz w:val="24"/>
          <w:szCs w:val="24"/>
          <w:lang w:val="en-US"/>
        </w:rPr>
      </w:pPr>
    </w:p>
    <w:p w:rsidR="002547BB" w:rsidRPr="002E4F28" w:rsidRDefault="002547BB" w:rsidP="006D4DF9">
      <w:pPr>
        <w:spacing w:after="0" w:line="240" w:lineRule="auto"/>
        <w:jc w:val="both"/>
        <w:rPr>
          <w:rFonts w:ascii="Arial" w:hAnsi="Arial" w:cs="Arial"/>
          <w:sz w:val="24"/>
          <w:szCs w:val="24"/>
          <w:lang w:val="en-US"/>
        </w:rPr>
      </w:pPr>
      <w:r>
        <w:rPr>
          <w:rFonts w:ascii="Arial" w:hAnsi="Arial" w:cs="Arial"/>
          <w:sz w:val="24"/>
          <w:szCs w:val="24"/>
          <w:lang w:val="en-US"/>
        </w:rPr>
        <w:t xml:space="preserve">Within four </w:t>
      </w:r>
      <w:r w:rsidRPr="002E4F28">
        <w:rPr>
          <w:rFonts w:ascii="Arial" w:hAnsi="Arial" w:cs="Arial"/>
          <w:sz w:val="24"/>
          <w:szCs w:val="24"/>
          <w:lang w:val="en-US"/>
        </w:rPr>
        <w:t>years of the pronouncement of the BEE Act, the Codes of Good Practice on Broad-Based Black Economic Empowerment were gazetted and introduced the measurement criteria of the focus areas of the Act.</w:t>
      </w:r>
      <w:r w:rsidR="006D4DF9">
        <w:rPr>
          <w:rFonts w:ascii="Arial" w:hAnsi="Arial" w:cs="Arial"/>
          <w:sz w:val="24"/>
          <w:szCs w:val="24"/>
          <w:lang w:val="en-US"/>
        </w:rPr>
        <w:t xml:space="preserve"> </w:t>
      </w:r>
      <w:r w:rsidR="0036653E" w:rsidRPr="006D4DF9">
        <w:rPr>
          <w:rFonts w:ascii="Arial" w:hAnsi="Arial" w:cs="Arial"/>
          <w:sz w:val="24"/>
          <w:szCs w:val="24"/>
          <w:lang w:val="en-US"/>
        </w:rPr>
        <w:fldChar w:fldCharType="begin"/>
      </w:r>
      <w:r w:rsidR="0036653E" w:rsidRPr="006D4DF9">
        <w:rPr>
          <w:rFonts w:ascii="Arial" w:hAnsi="Arial" w:cs="Arial"/>
          <w:sz w:val="24"/>
          <w:szCs w:val="24"/>
          <w:lang w:val="en-US"/>
        </w:rPr>
        <w:instrText xml:space="preserve"> REF _Ref476945644 \h </w:instrText>
      </w:r>
      <w:r w:rsidR="006D4DF9">
        <w:rPr>
          <w:rFonts w:ascii="Arial" w:hAnsi="Arial" w:cs="Arial"/>
          <w:sz w:val="24"/>
          <w:szCs w:val="24"/>
          <w:lang w:val="en-US"/>
        </w:rPr>
        <w:instrText xml:space="preserve"> \* MERGEFORMAT </w:instrText>
      </w:r>
      <w:r w:rsidR="0036653E" w:rsidRPr="006D4DF9">
        <w:rPr>
          <w:rFonts w:ascii="Arial" w:hAnsi="Arial" w:cs="Arial"/>
          <w:sz w:val="24"/>
          <w:szCs w:val="24"/>
          <w:lang w:val="en-US"/>
        </w:rPr>
      </w:r>
      <w:r w:rsidR="0036653E" w:rsidRPr="006D4DF9">
        <w:rPr>
          <w:rFonts w:ascii="Arial" w:hAnsi="Arial" w:cs="Arial"/>
          <w:sz w:val="24"/>
          <w:szCs w:val="24"/>
          <w:lang w:val="en-US"/>
        </w:rPr>
        <w:fldChar w:fldCharType="separate"/>
      </w:r>
      <w:r w:rsidR="00011950" w:rsidRPr="00011950">
        <w:rPr>
          <w:rFonts w:ascii="Arial" w:hAnsi="Arial" w:cs="Arial"/>
          <w:sz w:val="24"/>
          <w:szCs w:val="24"/>
          <w:lang w:val="en-US"/>
        </w:rPr>
        <w:t>Figure 1</w:t>
      </w:r>
      <w:r w:rsidR="0036653E" w:rsidRPr="006D4DF9">
        <w:rPr>
          <w:rFonts w:ascii="Arial" w:hAnsi="Arial" w:cs="Arial"/>
          <w:sz w:val="24"/>
          <w:szCs w:val="24"/>
          <w:lang w:val="en-US"/>
        </w:rPr>
        <w:fldChar w:fldCharType="end"/>
      </w:r>
      <w:r w:rsidR="0036653E" w:rsidRPr="006D4DF9">
        <w:rPr>
          <w:rFonts w:ascii="Arial" w:hAnsi="Arial" w:cs="Arial"/>
          <w:sz w:val="24"/>
          <w:szCs w:val="24"/>
          <w:lang w:val="en-US"/>
        </w:rPr>
        <w:t xml:space="preserve"> </w:t>
      </w:r>
      <w:r w:rsidRPr="006D4DF9">
        <w:rPr>
          <w:rFonts w:ascii="Arial" w:hAnsi="Arial" w:cs="Arial"/>
          <w:sz w:val="24"/>
          <w:szCs w:val="24"/>
          <w:lang w:val="en-US"/>
        </w:rPr>
        <w:t>summarises</w:t>
      </w:r>
      <w:r w:rsidRPr="002E4F28">
        <w:rPr>
          <w:rFonts w:ascii="Arial" w:hAnsi="Arial" w:cs="Arial"/>
          <w:sz w:val="24"/>
          <w:szCs w:val="24"/>
          <w:lang w:val="en-US"/>
        </w:rPr>
        <w:t xml:space="preserve"> the pillars of the codes in terms of the codes of good practice as gazetted in 2007.</w:t>
      </w:r>
    </w:p>
    <w:p w:rsidR="002547BB" w:rsidRDefault="002547BB" w:rsidP="00011950">
      <w:pPr>
        <w:pStyle w:val="ListParagraph"/>
        <w:spacing w:line="360" w:lineRule="auto"/>
        <w:ind w:left="0"/>
        <w:jc w:val="center"/>
        <w:rPr>
          <w:rFonts w:ascii="Arial" w:hAnsi="Arial" w:cs="Arial"/>
        </w:rPr>
      </w:pPr>
      <w:r w:rsidRPr="002E4F28">
        <w:rPr>
          <w:rFonts w:ascii="Arial" w:hAnsi="Arial" w:cs="Arial"/>
          <w:noProof/>
          <w:lang w:eastAsia="en-ZA"/>
        </w:rPr>
        <w:drawing>
          <wp:inline distT="0" distB="0" distL="0" distR="0" wp14:anchorId="71AE0118" wp14:editId="3B6CF399">
            <wp:extent cx="5998191" cy="3451860"/>
            <wp:effectExtent l="38100" t="0" r="2222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2547BB" w:rsidRPr="002E4F28" w:rsidRDefault="0036653E" w:rsidP="00011950">
      <w:pPr>
        <w:pStyle w:val="Caption"/>
        <w:jc w:val="center"/>
        <w:rPr>
          <w:rFonts w:ascii="Arial" w:hAnsi="Arial" w:cs="Arial"/>
        </w:rPr>
      </w:pPr>
      <w:r>
        <w:t xml:space="preserve">Figure </w:t>
      </w:r>
      <w:r w:rsidR="00D51529">
        <w:fldChar w:fldCharType="begin"/>
      </w:r>
      <w:r w:rsidR="00D51529">
        <w:instrText xml:space="preserve"> SEQ Figure \* ARABIC </w:instrText>
      </w:r>
      <w:r w:rsidR="00D51529">
        <w:fldChar w:fldCharType="separate"/>
      </w:r>
      <w:r w:rsidR="00011950">
        <w:rPr>
          <w:noProof/>
        </w:rPr>
        <w:t>4</w:t>
      </w:r>
      <w:r w:rsidR="00D51529">
        <w:rPr>
          <w:noProof/>
        </w:rPr>
        <w:fldChar w:fldCharType="end"/>
      </w:r>
      <w:r w:rsidR="002547BB">
        <w:t>: Pillars of the Codes of Good Practice on B-BBEE</w:t>
      </w:r>
    </w:p>
    <w:p w:rsidR="002547BB" w:rsidRDefault="002547BB" w:rsidP="002547BB">
      <w:pPr>
        <w:spacing w:after="0" w:line="240" w:lineRule="auto"/>
        <w:jc w:val="both"/>
        <w:rPr>
          <w:rFonts w:ascii="Arial" w:hAnsi="Arial" w:cs="Arial"/>
          <w:sz w:val="24"/>
          <w:szCs w:val="24"/>
          <w:lang w:val="en-US"/>
        </w:rPr>
      </w:pPr>
    </w:p>
    <w:p w:rsidR="005C2FDC" w:rsidRPr="006D4DF9" w:rsidRDefault="001A7E6F" w:rsidP="00BF54B4">
      <w:pPr>
        <w:pStyle w:val="Heading1"/>
        <w:numPr>
          <w:ilvl w:val="1"/>
          <w:numId w:val="32"/>
        </w:numPr>
        <w:rPr>
          <w:rFonts w:ascii="Arial" w:hAnsi="Arial" w:cs="Arial"/>
          <w:b/>
          <w:color w:val="auto"/>
          <w:sz w:val="24"/>
          <w:szCs w:val="24"/>
          <w:lang w:val="en-US"/>
        </w:rPr>
      </w:pPr>
      <w:r w:rsidRPr="00E57828">
        <w:rPr>
          <w:rFonts w:ascii="Arial" w:hAnsi="Arial" w:cs="Arial"/>
          <w:b/>
          <w:color w:val="auto"/>
          <w:sz w:val="24"/>
          <w:szCs w:val="24"/>
          <w:lang w:val="en-US"/>
        </w:rPr>
        <w:t>Analysis of the revised FSC</w:t>
      </w:r>
    </w:p>
    <w:p w:rsidR="00C118B9" w:rsidRPr="00DA54DC" w:rsidRDefault="001A7E6F" w:rsidP="00DA54DC">
      <w:pPr>
        <w:jc w:val="both"/>
        <w:rPr>
          <w:rFonts w:ascii="Arial" w:hAnsi="Arial" w:cs="Arial"/>
          <w:lang w:val="en-US"/>
        </w:rPr>
      </w:pPr>
      <w:r w:rsidRPr="00DA54DC">
        <w:rPr>
          <w:rFonts w:ascii="Arial" w:hAnsi="Arial" w:cs="Arial"/>
          <w:lang w:val="en-US"/>
        </w:rPr>
        <w:t xml:space="preserve">When comparing the </w:t>
      </w:r>
      <w:r w:rsidR="00C118B9" w:rsidRPr="00DA54DC">
        <w:rPr>
          <w:rFonts w:ascii="Arial" w:hAnsi="Arial" w:cs="Arial"/>
          <w:lang w:val="en-US"/>
        </w:rPr>
        <w:t xml:space="preserve">Revised 2016 </w:t>
      </w:r>
      <w:r w:rsidRPr="00DA54DC">
        <w:rPr>
          <w:rFonts w:ascii="Arial" w:hAnsi="Arial" w:cs="Arial"/>
          <w:lang w:val="en-US"/>
        </w:rPr>
        <w:t xml:space="preserve">FSC </w:t>
      </w:r>
      <w:r w:rsidR="00C118B9" w:rsidRPr="00DA54DC">
        <w:rPr>
          <w:rFonts w:ascii="Arial" w:hAnsi="Arial" w:cs="Arial"/>
          <w:lang w:val="en-US"/>
        </w:rPr>
        <w:t xml:space="preserve">against the </w:t>
      </w:r>
      <w:r w:rsidRPr="00DA54DC">
        <w:rPr>
          <w:rFonts w:ascii="Arial" w:hAnsi="Arial" w:cs="Arial"/>
          <w:lang w:val="en-US"/>
        </w:rPr>
        <w:t>Codes a</w:t>
      </w:r>
      <w:r w:rsidR="00C118B9" w:rsidRPr="00DA54DC">
        <w:rPr>
          <w:rFonts w:ascii="Arial" w:hAnsi="Arial" w:cs="Arial"/>
          <w:lang w:val="en-US"/>
        </w:rPr>
        <w:t xml:space="preserve">s well as the 2012 FSC, </w:t>
      </w:r>
      <w:r w:rsidRPr="00DA54DC">
        <w:rPr>
          <w:rFonts w:ascii="Arial" w:hAnsi="Arial" w:cs="Arial"/>
          <w:lang w:val="en-US"/>
        </w:rPr>
        <w:t xml:space="preserve">it is evident that the </w:t>
      </w:r>
      <w:r w:rsidR="00C118B9" w:rsidRPr="00DA54DC">
        <w:rPr>
          <w:rFonts w:ascii="Arial" w:hAnsi="Arial" w:cs="Arial"/>
          <w:lang w:val="en-US"/>
        </w:rPr>
        <w:t>Revised 2016 FSC codes undermine both the Codes and the 2012 FSC as highlighted below:</w:t>
      </w:r>
    </w:p>
    <w:p w:rsidR="00C118B9" w:rsidRPr="00E57828" w:rsidRDefault="00C118B9" w:rsidP="00BF54B4">
      <w:pPr>
        <w:pStyle w:val="ListParagraph"/>
        <w:numPr>
          <w:ilvl w:val="0"/>
          <w:numId w:val="16"/>
        </w:numPr>
        <w:rPr>
          <w:rFonts w:ascii="Arial" w:hAnsi="Arial" w:cs="Arial"/>
          <w:b/>
          <w:lang w:val="en-US"/>
        </w:rPr>
      </w:pPr>
      <w:r w:rsidRPr="00E57828">
        <w:rPr>
          <w:rFonts w:ascii="Arial" w:hAnsi="Arial" w:cs="Arial"/>
          <w:b/>
          <w:lang w:val="en-US"/>
        </w:rPr>
        <w:t>Ownership</w:t>
      </w:r>
    </w:p>
    <w:p w:rsidR="00C118B9" w:rsidRPr="00E57828" w:rsidRDefault="00C118B9" w:rsidP="00E57828">
      <w:pPr>
        <w:jc w:val="both"/>
        <w:rPr>
          <w:rFonts w:ascii="Arial" w:hAnsi="Arial" w:cs="Arial"/>
          <w:lang w:val="en-US"/>
        </w:rPr>
      </w:pPr>
      <w:r w:rsidRPr="00E57828">
        <w:rPr>
          <w:rFonts w:ascii="Arial" w:hAnsi="Arial" w:cs="Arial"/>
          <w:lang w:val="en-US"/>
        </w:rPr>
        <w:t>A fundamental deficiency of the charter is the lower 10% target for direct ownership in the financial sector, which compares unfavourably with the 25% target in the Generic BEE Codes. The draft FSC code allows companies to use indirect ownership to meet the 25% ownership target. This is not allowed under the BEE Codes. Indirect ownership occurs where an institution or other investor owns shares in a company on behalf of beneficiaries and there may not be direct participation by the beneficiaries in the voting rights.</w:t>
      </w:r>
    </w:p>
    <w:p w:rsidR="00806864" w:rsidRPr="00E57828" w:rsidRDefault="00806864" w:rsidP="00806864">
      <w:pPr>
        <w:jc w:val="both"/>
        <w:rPr>
          <w:rFonts w:ascii="Arial" w:hAnsi="Arial" w:cs="Arial"/>
          <w:lang w:val="en-US"/>
        </w:rPr>
      </w:pPr>
      <w:r w:rsidRPr="00E57828">
        <w:rPr>
          <w:rFonts w:ascii="Arial" w:hAnsi="Arial" w:cs="Arial"/>
          <w:lang w:val="en-US"/>
        </w:rPr>
        <w:t>A fundamental deficiency of the charter is the lower 10% target for direct ownership in the financial sector, which compares unfavourably with the 25% target in the Generic BEE Codes. The draft FSC code allows companies to use indirect ownership to meet the 25% ownership target. This is not allowed under the BEE Codes. Indirect ownership occurs where an institution or other investor owns shares in a company on behalf of beneficiaries and there may not be direct participation by the beneficiaries in the voting rights.</w:t>
      </w:r>
    </w:p>
    <w:p w:rsidR="00C118B9" w:rsidRPr="00E57828" w:rsidRDefault="00C118B9" w:rsidP="00BF54B4">
      <w:pPr>
        <w:pStyle w:val="ListParagraph"/>
        <w:numPr>
          <w:ilvl w:val="0"/>
          <w:numId w:val="16"/>
        </w:numPr>
        <w:rPr>
          <w:rFonts w:ascii="Arial" w:hAnsi="Arial" w:cs="Arial"/>
          <w:b/>
          <w:szCs w:val="22"/>
          <w:lang w:val="en-US"/>
        </w:rPr>
      </w:pPr>
      <w:r w:rsidRPr="00E57828">
        <w:rPr>
          <w:rFonts w:ascii="Arial" w:hAnsi="Arial" w:cs="Arial"/>
          <w:b/>
          <w:szCs w:val="22"/>
          <w:lang w:val="en-US"/>
        </w:rPr>
        <w:t>Empowerment financing</w:t>
      </w:r>
    </w:p>
    <w:p w:rsidR="00C118B9" w:rsidRDefault="00C118B9" w:rsidP="00C118B9">
      <w:pPr>
        <w:jc w:val="both"/>
        <w:rPr>
          <w:rFonts w:ascii="Arial" w:hAnsi="Arial" w:cs="Arial"/>
          <w:lang w:val="en-US"/>
        </w:rPr>
      </w:pPr>
      <w:r w:rsidRPr="00E57828">
        <w:rPr>
          <w:rFonts w:ascii="Arial" w:hAnsi="Arial" w:cs="Arial"/>
          <w:lang w:val="en-US"/>
        </w:rPr>
        <w:t xml:space="preserve">The R48 billion target for Empowerment Financing is based on the 2002 baseline and has not been reviewed nor has it been adjusted to cater inflationary increases, population and economic growth. Furthermore, the amount has not </w:t>
      </w:r>
      <w:r w:rsidR="00806864" w:rsidRPr="00E57828">
        <w:rPr>
          <w:rFonts w:ascii="Arial" w:hAnsi="Arial" w:cs="Arial"/>
          <w:lang w:val="en-US"/>
        </w:rPr>
        <w:t>been adjusted to cater for the growth in assets held by the respective participants.</w:t>
      </w:r>
    </w:p>
    <w:p w:rsidR="00A252AC" w:rsidRDefault="00A252AC" w:rsidP="00C118B9">
      <w:pPr>
        <w:jc w:val="both"/>
        <w:rPr>
          <w:rFonts w:ascii="Arial" w:hAnsi="Arial" w:cs="Arial"/>
          <w:lang w:val="en-US"/>
        </w:rPr>
      </w:pPr>
    </w:p>
    <w:p w:rsidR="00A252AC" w:rsidRPr="0036653E" w:rsidRDefault="00A252AC" w:rsidP="00A252AC">
      <w:pPr>
        <w:jc w:val="both"/>
        <w:rPr>
          <w:rFonts w:ascii="Arial" w:hAnsi="Arial" w:cs="Arial"/>
          <w:sz w:val="24"/>
          <w:szCs w:val="24"/>
        </w:rPr>
      </w:pPr>
      <w:r w:rsidRPr="0036653E">
        <w:rPr>
          <w:rFonts w:ascii="Arial" w:hAnsi="Arial" w:cs="Arial"/>
          <w:sz w:val="24"/>
          <w:szCs w:val="24"/>
        </w:rPr>
        <w:t xml:space="preserve">The FSC allows for financial services companies to earn up </w:t>
      </w:r>
      <w:r w:rsidR="008D18DF">
        <w:rPr>
          <w:rFonts w:ascii="Arial" w:hAnsi="Arial" w:cs="Arial"/>
          <w:sz w:val="24"/>
          <w:szCs w:val="24"/>
        </w:rPr>
        <w:t>higher</w:t>
      </w:r>
      <w:r w:rsidRPr="0036653E">
        <w:rPr>
          <w:rFonts w:ascii="Arial" w:hAnsi="Arial" w:cs="Arial"/>
          <w:sz w:val="24"/>
          <w:szCs w:val="24"/>
        </w:rPr>
        <w:t xml:space="preserve"> points for pillars of the codes that relate specifically to the industry, i.e. empowerment financing and access to financial services (both discussed later in this document). The empowerment financing scorecard applicable to banks and life assurers is as follows:</w:t>
      </w:r>
    </w:p>
    <w:p w:rsidR="00A252AC" w:rsidRPr="00BC7165" w:rsidRDefault="00C930AF" w:rsidP="00C930AF">
      <w:pPr>
        <w:pStyle w:val="Caption"/>
        <w:rPr>
          <w:rFonts w:ascii="Arial" w:hAnsi="Arial" w:cs="Arial"/>
          <w:noProof/>
          <w:color w:val="auto"/>
          <w:sz w:val="20"/>
          <w:lang w:val="en-US"/>
        </w:rPr>
      </w:pPr>
      <w:r>
        <w:t xml:space="preserve">Table </w:t>
      </w:r>
      <w:r w:rsidR="00D51529">
        <w:fldChar w:fldCharType="begin"/>
      </w:r>
      <w:r w:rsidR="00D51529">
        <w:instrText xml:space="preserve"> SEQ Table \* ARABIC </w:instrText>
      </w:r>
      <w:r w:rsidR="00D51529">
        <w:fldChar w:fldCharType="separate"/>
      </w:r>
      <w:r>
        <w:rPr>
          <w:noProof/>
        </w:rPr>
        <w:t>2</w:t>
      </w:r>
      <w:r w:rsidR="00D51529">
        <w:rPr>
          <w:noProof/>
        </w:rPr>
        <w:fldChar w:fldCharType="end"/>
      </w:r>
      <w:r>
        <w:t xml:space="preserve">: </w:t>
      </w:r>
      <w:r w:rsidRPr="00C930AF">
        <w:t xml:space="preserve">FSC Empowerment financing targets </w:t>
      </w:r>
      <w:r w:rsidR="00A252AC" w:rsidRPr="00BC7165">
        <w:rPr>
          <w:rFonts w:ascii="Arial" w:hAnsi="Arial" w:cs="Arial"/>
          <w:noProof/>
          <w:color w:val="auto"/>
          <w:sz w:val="20"/>
          <w:lang w:val="en-US"/>
        </w:rPr>
        <w:t xml:space="preserve"> </w:t>
      </w:r>
    </w:p>
    <w:tbl>
      <w:tblPr>
        <w:tblStyle w:val="TableGrid"/>
        <w:tblW w:w="5000" w:type="pct"/>
        <w:tblLook w:val="04A0" w:firstRow="1" w:lastRow="0" w:firstColumn="1" w:lastColumn="0" w:noHBand="0" w:noVBand="1"/>
      </w:tblPr>
      <w:tblGrid>
        <w:gridCol w:w="4470"/>
        <w:gridCol w:w="1706"/>
        <w:gridCol w:w="1384"/>
        <w:gridCol w:w="1682"/>
      </w:tblGrid>
      <w:tr w:rsidR="00A252AC" w:rsidRPr="00BD3E07" w:rsidTr="00FE11AD">
        <w:trPr>
          <w:trHeight w:val="838"/>
        </w:trPr>
        <w:tc>
          <w:tcPr>
            <w:tcW w:w="2418" w:type="pct"/>
            <w:shd w:val="clear" w:color="auto" w:fill="70AD47" w:themeFill="accent6"/>
          </w:tcPr>
          <w:p w:rsidR="00A252AC" w:rsidRPr="00BD3E07" w:rsidRDefault="00A252AC" w:rsidP="00FE11AD">
            <w:pPr>
              <w:jc w:val="both"/>
              <w:rPr>
                <w:rFonts w:ascii="Arial" w:hAnsi="Arial" w:cs="Arial"/>
                <w:b/>
                <w:szCs w:val="24"/>
              </w:rPr>
            </w:pPr>
            <w:r w:rsidRPr="00BD3E07">
              <w:rPr>
                <w:rFonts w:ascii="Arial" w:hAnsi="Arial" w:cs="Arial"/>
                <w:b/>
                <w:szCs w:val="24"/>
              </w:rPr>
              <w:t>Measurement Criteria</w:t>
            </w:r>
          </w:p>
        </w:tc>
        <w:tc>
          <w:tcPr>
            <w:tcW w:w="923" w:type="pct"/>
            <w:shd w:val="clear" w:color="auto" w:fill="70AD47" w:themeFill="accent6"/>
          </w:tcPr>
          <w:p w:rsidR="00A252AC" w:rsidRPr="00BD3E07" w:rsidRDefault="00A252AC" w:rsidP="00FE11AD">
            <w:pPr>
              <w:jc w:val="both"/>
              <w:rPr>
                <w:rFonts w:ascii="Arial" w:hAnsi="Arial" w:cs="Arial"/>
                <w:b/>
                <w:szCs w:val="24"/>
              </w:rPr>
            </w:pPr>
            <w:r w:rsidRPr="00BD3E07">
              <w:rPr>
                <w:rFonts w:ascii="Arial" w:hAnsi="Arial" w:cs="Arial"/>
                <w:b/>
                <w:szCs w:val="24"/>
              </w:rPr>
              <w:t>Weighting Points</w:t>
            </w:r>
          </w:p>
        </w:tc>
        <w:tc>
          <w:tcPr>
            <w:tcW w:w="749" w:type="pct"/>
            <w:shd w:val="clear" w:color="auto" w:fill="70AD47" w:themeFill="accent6"/>
          </w:tcPr>
          <w:p w:rsidR="00A252AC" w:rsidRPr="00BD3E07" w:rsidRDefault="00A252AC" w:rsidP="00FE11AD">
            <w:pPr>
              <w:jc w:val="center"/>
              <w:rPr>
                <w:rFonts w:ascii="Arial" w:hAnsi="Arial" w:cs="Arial"/>
                <w:b/>
                <w:szCs w:val="24"/>
              </w:rPr>
            </w:pPr>
            <w:r w:rsidRPr="00BD3E07">
              <w:rPr>
                <w:rFonts w:ascii="Arial" w:hAnsi="Arial" w:cs="Arial"/>
                <w:b/>
                <w:szCs w:val="24"/>
              </w:rPr>
              <w:t>Banks Target</w:t>
            </w:r>
          </w:p>
        </w:tc>
        <w:tc>
          <w:tcPr>
            <w:tcW w:w="910" w:type="pct"/>
            <w:shd w:val="clear" w:color="auto" w:fill="70AD47" w:themeFill="accent6"/>
          </w:tcPr>
          <w:p w:rsidR="00A252AC" w:rsidRPr="00BD3E07" w:rsidRDefault="00A252AC" w:rsidP="00FE11AD">
            <w:pPr>
              <w:jc w:val="center"/>
              <w:rPr>
                <w:rFonts w:ascii="Arial" w:hAnsi="Arial" w:cs="Arial"/>
                <w:b/>
                <w:szCs w:val="24"/>
              </w:rPr>
            </w:pPr>
            <w:r w:rsidRPr="00BD3E07">
              <w:rPr>
                <w:rFonts w:ascii="Arial" w:hAnsi="Arial" w:cs="Arial"/>
                <w:b/>
                <w:szCs w:val="24"/>
              </w:rPr>
              <w:t xml:space="preserve">Long-term insurers target </w:t>
            </w:r>
          </w:p>
        </w:tc>
      </w:tr>
      <w:tr w:rsidR="00A252AC" w:rsidRPr="00BD3E07" w:rsidTr="00FE11AD">
        <w:trPr>
          <w:trHeight w:val="1833"/>
        </w:trPr>
        <w:tc>
          <w:tcPr>
            <w:tcW w:w="2418" w:type="pct"/>
          </w:tcPr>
          <w:p w:rsidR="00A252AC" w:rsidRPr="00BD3E07" w:rsidRDefault="00A252AC" w:rsidP="00FE11AD">
            <w:pPr>
              <w:jc w:val="both"/>
              <w:rPr>
                <w:rFonts w:ascii="Arial" w:hAnsi="Arial" w:cs="Arial"/>
                <w:b/>
                <w:szCs w:val="24"/>
              </w:rPr>
            </w:pPr>
            <w:r w:rsidRPr="00BD3E07">
              <w:rPr>
                <w:rFonts w:ascii="Arial" w:hAnsi="Arial" w:cs="Arial"/>
                <w:b/>
                <w:szCs w:val="24"/>
              </w:rPr>
              <w:t xml:space="preserve">Targeted Investment </w:t>
            </w:r>
          </w:p>
          <w:p w:rsidR="00A252AC" w:rsidRPr="00BD3E07" w:rsidRDefault="00A252AC" w:rsidP="00FE11AD">
            <w:pPr>
              <w:pStyle w:val="ListParagraph"/>
              <w:numPr>
                <w:ilvl w:val="0"/>
                <w:numId w:val="34"/>
              </w:numPr>
              <w:jc w:val="both"/>
              <w:rPr>
                <w:rFonts w:ascii="Arial" w:hAnsi="Arial" w:cs="Arial"/>
                <w:sz w:val="22"/>
              </w:rPr>
            </w:pPr>
            <w:r w:rsidRPr="00BD3E07">
              <w:rPr>
                <w:rFonts w:ascii="Arial" w:hAnsi="Arial" w:cs="Arial"/>
                <w:sz w:val="22"/>
              </w:rPr>
              <w:t>Transformational Infrastructure</w:t>
            </w:r>
          </w:p>
          <w:p w:rsidR="00A252AC" w:rsidRPr="00BD3E07" w:rsidRDefault="00A252AC" w:rsidP="00FE11AD">
            <w:pPr>
              <w:pStyle w:val="ListParagraph"/>
              <w:numPr>
                <w:ilvl w:val="0"/>
                <w:numId w:val="34"/>
              </w:numPr>
              <w:jc w:val="both"/>
              <w:rPr>
                <w:rFonts w:ascii="Arial" w:hAnsi="Arial" w:cs="Arial"/>
                <w:sz w:val="22"/>
              </w:rPr>
            </w:pPr>
            <w:r w:rsidRPr="00BD3E07">
              <w:rPr>
                <w:rFonts w:ascii="Arial" w:hAnsi="Arial" w:cs="Arial"/>
                <w:sz w:val="22"/>
              </w:rPr>
              <w:t>Black SME Financing</w:t>
            </w:r>
          </w:p>
          <w:p w:rsidR="00A252AC" w:rsidRPr="00BD3E07" w:rsidRDefault="00A252AC" w:rsidP="00FE11AD">
            <w:pPr>
              <w:pStyle w:val="ListParagraph"/>
              <w:numPr>
                <w:ilvl w:val="0"/>
                <w:numId w:val="34"/>
              </w:numPr>
              <w:jc w:val="both"/>
              <w:rPr>
                <w:rFonts w:ascii="Arial" w:hAnsi="Arial" w:cs="Arial"/>
                <w:sz w:val="22"/>
              </w:rPr>
            </w:pPr>
            <w:r w:rsidRPr="00BD3E07">
              <w:rPr>
                <w:rFonts w:ascii="Arial" w:hAnsi="Arial" w:cs="Arial"/>
                <w:sz w:val="22"/>
              </w:rPr>
              <w:t>Black agricultural financing</w:t>
            </w:r>
          </w:p>
          <w:p w:rsidR="00A252AC" w:rsidRPr="00E57828" w:rsidRDefault="00A252AC" w:rsidP="00FE11AD">
            <w:pPr>
              <w:pStyle w:val="ListParagraph"/>
              <w:numPr>
                <w:ilvl w:val="0"/>
                <w:numId w:val="34"/>
              </w:numPr>
              <w:jc w:val="both"/>
              <w:rPr>
                <w:rFonts w:ascii="Arial" w:hAnsi="Arial" w:cs="Arial"/>
                <w:sz w:val="22"/>
              </w:rPr>
            </w:pPr>
            <w:r w:rsidRPr="00C27DF2">
              <w:rPr>
                <w:rFonts w:ascii="Arial" w:hAnsi="Arial" w:cs="Arial"/>
                <w:sz w:val="22"/>
              </w:rPr>
              <w:t>Affordable housing</w:t>
            </w:r>
          </w:p>
        </w:tc>
        <w:tc>
          <w:tcPr>
            <w:tcW w:w="923" w:type="pct"/>
          </w:tcPr>
          <w:p w:rsidR="00A252AC" w:rsidRPr="00BD3E07" w:rsidRDefault="00A252AC" w:rsidP="00FE11AD">
            <w:pPr>
              <w:jc w:val="center"/>
              <w:rPr>
                <w:rFonts w:ascii="Arial" w:hAnsi="Arial" w:cs="Arial"/>
                <w:szCs w:val="24"/>
              </w:rPr>
            </w:pPr>
          </w:p>
          <w:p w:rsidR="00A252AC" w:rsidRPr="00BD3E07" w:rsidRDefault="00A252AC" w:rsidP="00FE11AD">
            <w:pPr>
              <w:jc w:val="center"/>
              <w:rPr>
                <w:rFonts w:ascii="Arial" w:hAnsi="Arial" w:cs="Arial"/>
                <w:szCs w:val="24"/>
              </w:rPr>
            </w:pPr>
          </w:p>
          <w:p w:rsidR="00A252AC" w:rsidRPr="00BD3E07" w:rsidRDefault="00A252AC" w:rsidP="00FE11AD">
            <w:pPr>
              <w:jc w:val="center"/>
              <w:rPr>
                <w:rFonts w:ascii="Arial" w:hAnsi="Arial" w:cs="Arial"/>
                <w:szCs w:val="24"/>
              </w:rPr>
            </w:pPr>
            <w:r w:rsidRPr="00BD3E07">
              <w:rPr>
                <w:rFonts w:ascii="Arial" w:hAnsi="Arial" w:cs="Arial"/>
                <w:szCs w:val="24"/>
              </w:rPr>
              <w:t>12 points</w:t>
            </w:r>
          </w:p>
        </w:tc>
        <w:tc>
          <w:tcPr>
            <w:tcW w:w="749" w:type="pct"/>
          </w:tcPr>
          <w:p w:rsidR="00A252AC" w:rsidRPr="00BD3E07" w:rsidRDefault="00A252AC" w:rsidP="00FE11AD">
            <w:pPr>
              <w:jc w:val="center"/>
              <w:rPr>
                <w:rFonts w:ascii="Arial" w:hAnsi="Arial" w:cs="Arial"/>
                <w:szCs w:val="24"/>
              </w:rPr>
            </w:pPr>
          </w:p>
          <w:p w:rsidR="00A252AC" w:rsidRPr="00BD3E07" w:rsidRDefault="00A252AC" w:rsidP="00FE11AD">
            <w:pPr>
              <w:jc w:val="center"/>
              <w:rPr>
                <w:rFonts w:ascii="Arial" w:hAnsi="Arial" w:cs="Arial"/>
                <w:szCs w:val="24"/>
              </w:rPr>
            </w:pPr>
          </w:p>
          <w:p w:rsidR="00A252AC" w:rsidRPr="00BD3E07" w:rsidRDefault="00A252AC" w:rsidP="00FE11AD">
            <w:pPr>
              <w:jc w:val="center"/>
              <w:rPr>
                <w:rFonts w:ascii="Arial" w:hAnsi="Arial" w:cs="Arial"/>
                <w:szCs w:val="24"/>
              </w:rPr>
            </w:pPr>
            <w:r w:rsidRPr="00BD3E07">
              <w:rPr>
                <w:rFonts w:ascii="Arial" w:hAnsi="Arial" w:cs="Arial"/>
                <w:szCs w:val="24"/>
              </w:rPr>
              <w:t xml:space="preserve">R 48 </w:t>
            </w:r>
            <w:r>
              <w:rPr>
                <w:rFonts w:ascii="Arial" w:hAnsi="Arial" w:cs="Arial"/>
                <w:szCs w:val="24"/>
              </w:rPr>
              <w:t>billion</w:t>
            </w:r>
          </w:p>
        </w:tc>
        <w:tc>
          <w:tcPr>
            <w:tcW w:w="910" w:type="pct"/>
          </w:tcPr>
          <w:p w:rsidR="00A252AC" w:rsidRPr="00BD3E07" w:rsidRDefault="00A252AC" w:rsidP="00FE11AD">
            <w:pPr>
              <w:jc w:val="center"/>
              <w:rPr>
                <w:rFonts w:ascii="Arial" w:hAnsi="Arial" w:cs="Arial"/>
                <w:szCs w:val="24"/>
              </w:rPr>
            </w:pPr>
          </w:p>
          <w:p w:rsidR="00A252AC" w:rsidRPr="00BD3E07" w:rsidRDefault="00A252AC" w:rsidP="00FE11AD">
            <w:pPr>
              <w:jc w:val="center"/>
              <w:rPr>
                <w:rFonts w:ascii="Arial" w:hAnsi="Arial" w:cs="Arial"/>
                <w:szCs w:val="24"/>
              </w:rPr>
            </w:pPr>
          </w:p>
          <w:p w:rsidR="00A252AC" w:rsidRPr="00BD3E07" w:rsidRDefault="00A252AC" w:rsidP="00FE11AD">
            <w:pPr>
              <w:jc w:val="center"/>
              <w:rPr>
                <w:rFonts w:ascii="Arial" w:hAnsi="Arial" w:cs="Arial"/>
                <w:szCs w:val="24"/>
              </w:rPr>
            </w:pPr>
            <w:r w:rsidRPr="00BD3E07">
              <w:rPr>
                <w:rFonts w:ascii="Arial" w:hAnsi="Arial" w:cs="Arial"/>
                <w:szCs w:val="24"/>
              </w:rPr>
              <w:t xml:space="preserve">R 27 </w:t>
            </w:r>
            <w:r>
              <w:rPr>
                <w:rFonts w:ascii="Arial" w:hAnsi="Arial" w:cs="Arial"/>
                <w:szCs w:val="24"/>
              </w:rPr>
              <w:t>billion</w:t>
            </w:r>
          </w:p>
        </w:tc>
      </w:tr>
      <w:tr w:rsidR="00A252AC" w:rsidRPr="00BD3E07" w:rsidTr="00FE11AD">
        <w:tc>
          <w:tcPr>
            <w:tcW w:w="2418" w:type="pct"/>
          </w:tcPr>
          <w:p w:rsidR="00A252AC" w:rsidRPr="00BD3E07" w:rsidRDefault="00A252AC" w:rsidP="00FE11AD">
            <w:pPr>
              <w:jc w:val="both"/>
              <w:rPr>
                <w:rFonts w:ascii="Arial" w:hAnsi="Arial" w:cs="Arial"/>
                <w:b/>
                <w:szCs w:val="24"/>
              </w:rPr>
            </w:pPr>
            <w:r w:rsidRPr="00BD3E07">
              <w:rPr>
                <w:rFonts w:ascii="Arial" w:hAnsi="Arial" w:cs="Arial"/>
                <w:b/>
                <w:szCs w:val="24"/>
              </w:rPr>
              <w:t>BEE Transaction Financing and risk capital to support economic growth through black industrialisation</w:t>
            </w:r>
          </w:p>
        </w:tc>
        <w:tc>
          <w:tcPr>
            <w:tcW w:w="923" w:type="pct"/>
          </w:tcPr>
          <w:p w:rsidR="00A252AC" w:rsidRPr="00BD3E07" w:rsidRDefault="00A252AC" w:rsidP="00FE11AD">
            <w:pPr>
              <w:jc w:val="center"/>
              <w:rPr>
                <w:rFonts w:ascii="Arial" w:hAnsi="Arial" w:cs="Arial"/>
                <w:szCs w:val="24"/>
              </w:rPr>
            </w:pPr>
          </w:p>
          <w:p w:rsidR="00A252AC" w:rsidRPr="00BD3E07" w:rsidRDefault="00A252AC" w:rsidP="00FE11AD">
            <w:pPr>
              <w:jc w:val="center"/>
              <w:rPr>
                <w:rFonts w:ascii="Arial" w:hAnsi="Arial" w:cs="Arial"/>
                <w:szCs w:val="24"/>
              </w:rPr>
            </w:pPr>
            <w:r w:rsidRPr="00BD3E07">
              <w:rPr>
                <w:rFonts w:ascii="Arial" w:hAnsi="Arial" w:cs="Arial"/>
                <w:szCs w:val="24"/>
              </w:rPr>
              <w:t>3 points</w:t>
            </w:r>
          </w:p>
        </w:tc>
        <w:tc>
          <w:tcPr>
            <w:tcW w:w="749" w:type="pct"/>
          </w:tcPr>
          <w:p w:rsidR="00A252AC" w:rsidRPr="00BD3E07" w:rsidRDefault="00A252AC" w:rsidP="00FE11AD">
            <w:pPr>
              <w:jc w:val="center"/>
              <w:rPr>
                <w:rFonts w:ascii="Arial" w:hAnsi="Arial" w:cs="Arial"/>
                <w:szCs w:val="24"/>
              </w:rPr>
            </w:pPr>
          </w:p>
          <w:p w:rsidR="00A252AC" w:rsidRPr="00BD3E07" w:rsidRDefault="00A252AC" w:rsidP="00FE11AD">
            <w:pPr>
              <w:jc w:val="center"/>
              <w:rPr>
                <w:rFonts w:ascii="Arial" w:hAnsi="Arial" w:cs="Arial"/>
                <w:szCs w:val="24"/>
              </w:rPr>
            </w:pPr>
            <w:r w:rsidRPr="00BD3E07">
              <w:rPr>
                <w:rFonts w:ascii="Arial" w:hAnsi="Arial" w:cs="Arial"/>
                <w:szCs w:val="24"/>
              </w:rPr>
              <w:t xml:space="preserve">R 32 </w:t>
            </w:r>
            <w:r>
              <w:rPr>
                <w:rFonts w:ascii="Arial" w:hAnsi="Arial" w:cs="Arial"/>
                <w:szCs w:val="24"/>
              </w:rPr>
              <w:t>billion</w:t>
            </w:r>
          </w:p>
        </w:tc>
        <w:tc>
          <w:tcPr>
            <w:tcW w:w="910" w:type="pct"/>
          </w:tcPr>
          <w:p w:rsidR="00A252AC" w:rsidRPr="00BD3E07" w:rsidRDefault="00A252AC" w:rsidP="00FE11AD">
            <w:pPr>
              <w:jc w:val="center"/>
              <w:rPr>
                <w:rFonts w:ascii="Arial" w:hAnsi="Arial" w:cs="Arial"/>
                <w:szCs w:val="24"/>
              </w:rPr>
            </w:pPr>
          </w:p>
          <w:p w:rsidR="00A252AC" w:rsidRPr="00BD3E07" w:rsidRDefault="00A252AC" w:rsidP="00FE11AD">
            <w:pPr>
              <w:jc w:val="center"/>
              <w:rPr>
                <w:rFonts w:ascii="Arial" w:hAnsi="Arial" w:cs="Arial"/>
                <w:szCs w:val="24"/>
              </w:rPr>
            </w:pPr>
            <w:r w:rsidRPr="00BD3E07">
              <w:rPr>
                <w:rFonts w:ascii="Arial" w:hAnsi="Arial" w:cs="Arial"/>
                <w:szCs w:val="24"/>
              </w:rPr>
              <w:t xml:space="preserve">R 15 </w:t>
            </w:r>
            <w:r>
              <w:rPr>
                <w:rFonts w:ascii="Arial" w:hAnsi="Arial" w:cs="Arial"/>
                <w:szCs w:val="24"/>
              </w:rPr>
              <w:t>billion</w:t>
            </w:r>
          </w:p>
        </w:tc>
      </w:tr>
      <w:tr w:rsidR="00A252AC" w:rsidRPr="00BD3E07" w:rsidTr="00FE11AD">
        <w:tc>
          <w:tcPr>
            <w:tcW w:w="2418" w:type="pct"/>
            <w:shd w:val="clear" w:color="auto" w:fill="70AD47" w:themeFill="accent6"/>
          </w:tcPr>
          <w:p w:rsidR="00A252AC" w:rsidRPr="00BD3E07" w:rsidRDefault="00A252AC" w:rsidP="00FE11AD">
            <w:pPr>
              <w:jc w:val="both"/>
              <w:rPr>
                <w:rFonts w:ascii="Arial" w:hAnsi="Arial" w:cs="Arial"/>
                <w:szCs w:val="24"/>
              </w:rPr>
            </w:pPr>
            <w:r w:rsidRPr="00BD3E07">
              <w:rPr>
                <w:rFonts w:ascii="Arial" w:hAnsi="Arial" w:cs="Arial"/>
                <w:szCs w:val="24"/>
              </w:rPr>
              <w:t xml:space="preserve">Total </w:t>
            </w:r>
          </w:p>
        </w:tc>
        <w:tc>
          <w:tcPr>
            <w:tcW w:w="923" w:type="pct"/>
            <w:shd w:val="clear" w:color="auto" w:fill="70AD47" w:themeFill="accent6"/>
          </w:tcPr>
          <w:p w:rsidR="00A252AC" w:rsidRPr="00BD3E07" w:rsidRDefault="00A252AC" w:rsidP="00FE11AD">
            <w:pPr>
              <w:jc w:val="center"/>
              <w:rPr>
                <w:rFonts w:ascii="Arial" w:hAnsi="Arial" w:cs="Arial"/>
                <w:szCs w:val="24"/>
              </w:rPr>
            </w:pPr>
            <w:r w:rsidRPr="00BD3E07">
              <w:rPr>
                <w:rFonts w:ascii="Arial" w:hAnsi="Arial" w:cs="Arial"/>
                <w:szCs w:val="24"/>
              </w:rPr>
              <w:t>15 points</w:t>
            </w:r>
          </w:p>
        </w:tc>
        <w:tc>
          <w:tcPr>
            <w:tcW w:w="749" w:type="pct"/>
            <w:shd w:val="clear" w:color="auto" w:fill="70AD47" w:themeFill="accent6"/>
          </w:tcPr>
          <w:p w:rsidR="00A252AC" w:rsidRPr="00BD3E07" w:rsidRDefault="00A252AC" w:rsidP="00FE11AD">
            <w:pPr>
              <w:jc w:val="center"/>
              <w:rPr>
                <w:rFonts w:ascii="Arial" w:hAnsi="Arial" w:cs="Arial"/>
                <w:szCs w:val="24"/>
              </w:rPr>
            </w:pPr>
          </w:p>
        </w:tc>
        <w:tc>
          <w:tcPr>
            <w:tcW w:w="910" w:type="pct"/>
            <w:shd w:val="clear" w:color="auto" w:fill="70AD47" w:themeFill="accent6"/>
          </w:tcPr>
          <w:p w:rsidR="00A252AC" w:rsidRPr="00BD3E07" w:rsidRDefault="00A252AC" w:rsidP="00FE11AD">
            <w:pPr>
              <w:jc w:val="center"/>
              <w:rPr>
                <w:rFonts w:ascii="Arial" w:hAnsi="Arial" w:cs="Arial"/>
                <w:szCs w:val="24"/>
              </w:rPr>
            </w:pPr>
          </w:p>
        </w:tc>
      </w:tr>
    </w:tbl>
    <w:p w:rsidR="00A252AC" w:rsidRPr="00E57828" w:rsidRDefault="00A252AC" w:rsidP="00C118B9">
      <w:pPr>
        <w:jc w:val="both"/>
        <w:rPr>
          <w:rFonts w:ascii="Arial" w:hAnsi="Arial" w:cs="Arial"/>
          <w:lang w:val="en-US"/>
        </w:rPr>
      </w:pPr>
    </w:p>
    <w:p w:rsidR="00806864" w:rsidRPr="00AC2EF1" w:rsidRDefault="00806864" w:rsidP="00BF54B4">
      <w:pPr>
        <w:pStyle w:val="NormalWeb"/>
        <w:numPr>
          <w:ilvl w:val="0"/>
          <w:numId w:val="17"/>
        </w:numPr>
        <w:spacing w:before="0" w:beforeAutospacing="0" w:after="0" w:afterAutospacing="0" w:line="360" w:lineRule="auto"/>
        <w:jc w:val="both"/>
        <w:rPr>
          <w:rFonts w:ascii="Arial" w:hAnsi="Arial" w:cs="Arial"/>
          <w:sz w:val="22"/>
          <w:szCs w:val="22"/>
        </w:rPr>
      </w:pPr>
      <w:r w:rsidRPr="00AC2EF1">
        <w:rPr>
          <w:rFonts w:ascii="Arial" w:hAnsi="Arial" w:cs="Arial"/>
          <w:sz w:val="22"/>
          <w:szCs w:val="22"/>
        </w:rPr>
        <w:t xml:space="preserve">the banking </w:t>
      </w:r>
      <w:r w:rsidR="00A252AC">
        <w:rPr>
          <w:rFonts w:ascii="Arial" w:hAnsi="Arial" w:cs="Arial"/>
          <w:sz w:val="22"/>
          <w:szCs w:val="22"/>
        </w:rPr>
        <w:t xml:space="preserve">and long term insurers’ </w:t>
      </w:r>
      <w:r w:rsidRPr="00AC2EF1">
        <w:rPr>
          <w:rFonts w:ascii="Arial" w:hAnsi="Arial" w:cs="Arial"/>
          <w:sz w:val="22"/>
          <w:szCs w:val="22"/>
        </w:rPr>
        <w:t>commitment to targeted investments of R48</w:t>
      </w:r>
      <w:r w:rsidR="008D18DF">
        <w:rPr>
          <w:rFonts w:ascii="Arial" w:hAnsi="Arial" w:cs="Arial"/>
          <w:sz w:val="22"/>
          <w:szCs w:val="22"/>
        </w:rPr>
        <w:t xml:space="preserve"> billion</w:t>
      </w:r>
      <w:r w:rsidR="00A252AC">
        <w:rPr>
          <w:rFonts w:ascii="Arial" w:hAnsi="Arial" w:cs="Arial"/>
          <w:sz w:val="22"/>
          <w:szCs w:val="22"/>
        </w:rPr>
        <w:t xml:space="preserve"> and R27 billion </w:t>
      </w:r>
      <w:r w:rsidRPr="00AC2EF1">
        <w:rPr>
          <w:rFonts w:ascii="Arial" w:hAnsi="Arial" w:cs="Arial"/>
          <w:sz w:val="22"/>
          <w:szCs w:val="22"/>
        </w:rPr>
        <w:t>– under the empowerment financing indicator -  is too low in an industry that had assets of R4.8 trillion in September 2016. Commissioner Ntuli rightly asks whether there is a need for such an indicator given that such empowerment financing is an “ordinary business activity” of banks “If lending is to be recognised it must be at seriously preferential rates or conditions for black people,” she said in her presentation. Empowerment Financing is currently measured in terms of a financial institution’s aggregate contributions towards the following:</w:t>
      </w:r>
    </w:p>
    <w:p w:rsidR="00806864" w:rsidRDefault="00806864" w:rsidP="00806864">
      <w:pPr>
        <w:pStyle w:val="NormalWeb"/>
        <w:spacing w:before="0" w:beforeAutospacing="0" w:after="0" w:afterAutospacing="0" w:line="360" w:lineRule="auto"/>
        <w:rPr>
          <w:rFonts w:ascii="Arial" w:hAnsi="Arial" w:cs="Arial"/>
          <w:sz w:val="22"/>
          <w:szCs w:val="22"/>
        </w:rPr>
      </w:pPr>
    </w:p>
    <w:p w:rsidR="00EC3518" w:rsidRDefault="00EC3518" w:rsidP="00806864">
      <w:pPr>
        <w:pStyle w:val="NormalWeb"/>
        <w:spacing w:before="0" w:beforeAutospacing="0" w:after="0" w:afterAutospacing="0" w:line="360" w:lineRule="auto"/>
        <w:rPr>
          <w:rFonts w:ascii="Arial" w:hAnsi="Arial" w:cs="Arial"/>
          <w:sz w:val="22"/>
          <w:szCs w:val="22"/>
        </w:rPr>
      </w:pPr>
    </w:p>
    <w:p w:rsidR="00806864" w:rsidRPr="00D14EB9" w:rsidRDefault="00806864" w:rsidP="00BF54B4">
      <w:pPr>
        <w:pStyle w:val="NormalWeb"/>
        <w:numPr>
          <w:ilvl w:val="0"/>
          <w:numId w:val="18"/>
        </w:numPr>
        <w:spacing w:before="0" w:beforeAutospacing="0" w:after="0" w:afterAutospacing="0" w:line="360" w:lineRule="auto"/>
        <w:rPr>
          <w:rFonts w:ascii="Arial" w:hAnsi="Arial" w:cs="Arial"/>
          <w:sz w:val="22"/>
          <w:szCs w:val="22"/>
        </w:rPr>
      </w:pPr>
      <w:r w:rsidRPr="00D14EB9">
        <w:rPr>
          <w:rFonts w:ascii="Arial" w:hAnsi="Arial" w:cs="Arial"/>
          <w:sz w:val="22"/>
          <w:szCs w:val="22"/>
        </w:rPr>
        <w:t>Transformational Infrastructure</w:t>
      </w:r>
    </w:p>
    <w:p w:rsidR="00806864" w:rsidRPr="00D14EB9" w:rsidRDefault="00806864" w:rsidP="00BF54B4">
      <w:pPr>
        <w:pStyle w:val="NormalWeb"/>
        <w:numPr>
          <w:ilvl w:val="0"/>
          <w:numId w:val="18"/>
        </w:numPr>
        <w:spacing w:before="0" w:beforeAutospacing="0" w:after="0" w:afterAutospacing="0" w:line="360" w:lineRule="auto"/>
        <w:rPr>
          <w:rFonts w:ascii="Arial" w:hAnsi="Arial" w:cs="Arial"/>
          <w:sz w:val="22"/>
          <w:szCs w:val="22"/>
        </w:rPr>
      </w:pPr>
      <w:r w:rsidRPr="00D14EB9">
        <w:rPr>
          <w:rFonts w:ascii="Arial" w:hAnsi="Arial" w:cs="Arial"/>
          <w:sz w:val="22"/>
          <w:szCs w:val="22"/>
        </w:rPr>
        <w:t>Black SME Financing</w:t>
      </w:r>
    </w:p>
    <w:p w:rsidR="00806864" w:rsidRPr="00D14EB9" w:rsidRDefault="00806864" w:rsidP="00BF54B4">
      <w:pPr>
        <w:pStyle w:val="NormalWeb"/>
        <w:numPr>
          <w:ilvl w:val="0"/>
          <w:numId w:val="18"/>
        </w:numPr>
        <w:spacing w:before="0" w:beforeAutospacing="0" w:after="0" w:afterAutospacing="0" w:line="360" w:lineRule="auto"/>
        <w:rPr>
          <w:rFonts w:ascii="Arial" w:hAnsi="Arial" w:cs="Arial"/>
          <w:sz w:val="22"/>
          <w:szCs w:val="22"/>
        </w:rPr>
      </w:pPr>
      <w:r w:rsidRPr="00D14EB9">
        <w:rPr>
          <w:rFonts w:ascii="Arial" w:hAnsi="Arial" w:cs="Arial"/>
          <w:sz w:val="22"/>
          <w:szCs w:val="22"/>
        </w:rPr>
        <w:t>Black agricultural financing</w:t>
      </w:r>
    </w:p>
    <w:p w:rsidR="00806864" w:rsidRDefault="00806864" w:rsidP="00BF54B4">
      <w:pPr>
        <w:pStyle w:val="NormalWeb"/>
        <w:numPr>
          <w:ilvl w:val="0"/>
          <w:numId w:val="18"/>
        </w:numPr>
        <w:spacing w:before="0" w:beforeAutospacing="0" w:after="0" w:afterAutospacing="0" w:line="360" w:lineRule="auto"/>
        <w:rPr>
          <w:rFonts w:ascii="Arial" w:hAnsi="Arial" w:cs="Arial"/>
          <w:sz w:val="22"/>
          <w:szCs w:val="22"/>
        </w:rPr>
      </w:pPr>
      <w:r w:rsidRPr="00D14EB9">
        <w:rPr>
          <w:rFonts w:ascii="Arial" w:hAnsi="Arial" w:cs="Arial"/>
          <w:sz w:val="22"/>
          <w:szCs w:val="22"/>
        </w:rPr>
        <w:t>Affordable housing</w:t>
      </w:r>
    </w:p>
    <w:p w:rsidR="00806864" w:rsidRDefault="00806864" w:rsidP="00806864">
      <w:pPr>
        <w:pStyle w:val="NormalWeb"/>
        <w:spacing w:before="0" w:beforeAutospacing="0" w:after="0" w:afterAutospacing="0" w:line="360" w:lineRule="auto"/>
        <w:rPr>
          <w:rFonts w:ascii="Arial" w:hAnsi="Arial" w:cs="Arial"/>
          <w:sz w:val="22"/>
          <w:szCs w:val="22"/>
        </w:rPr>
      </w:pPr>
    </w:p>
    <w:p w:rsidR="00806864" w:rsidRDefault="00806864" w:rsidP="00BF54B4">
      <w:pPr>
        <w:pStyle w:val="NormalWeb"/>
        <w:numPr>
          <w:ilvl w:val="0"/>
          <w:numId w:val="17"/>
        </w:numPr>
        <w:spacing w:before="0" w:beforeAutospacing="0" w:after="0" w:afterAutospacing="0" w:line="360" w:lineRule="auto"/>
        <w:jc w:val="both"/>
        <w:rPr>
          <w:rFonts w:ascii="Arial" w:hAnsi="Arial" w:cs="Arial"/>
          <w:sz w:val="22"/>
          <w:szCs w:val="22"/>
        </w:rPr>
      </w:pPr>
      <w:r w:rsidRPr="00AC2EF1">
        <w:rPr>
          <w:rFonts w:ascii="Arial" w:hAnsi="Arial" w:cs="Arial"/>
          <w:sz w:val="22"/>
          <w:szCs w:val="22"/>
        </w:rPr>
        <w:t xml:space="preserve">There are currently 12 points allocated towards targeted investments, and most financial institutions are most likely to utilise the government bonds, which are low risk instruments. From the data collected, the majority of the financial institutions have achieved the 12 points in respect of R 48 billion target set for the industry. </w:t>
      </w:r>
    </w:p>
    <w:p w:rsidR="00806864" w:rsidRDefault="00806864" w:rsidP="00E57828">
      <w:pPr>
        <w:pStyle w:val="NormalWeb"/>
        <w:spacing w:before="0" w:beforeAutospacing="0" w:after="0" w:afterAutospacing="0" w:line="360" w:lineRule="auto"/>
        <w:ind w:left="360"/>
        <w:jc w:val="both"/>
        <w:rPr>
          <w:rFonts w:ascii="Arial" w:hAnsi="Arial" w:cs="Arial"/>
          <w:sz w:val="22"/>
          <w:szCs w:val="22"/>
        </w:rPr>
      </w:pPr>
    </w:p>
    <w:p w:rsidR="00806864" w:rsidRDefault="00806864" w:rsidP="00BF54B4">
      <w:pPr>
        <w:pStyle w:val="NormalWeb"/>
        <w:numPr>
          <w:ilvl w:val="0"/>
          <w:numId w:val="17"/>
        </w:numPr>
        <w:spacing w:before="0" w:beforeAutospacing="0" w:after="0" w:afterAutospacing="0" w:line="360" w:lineRule="auto"/>
        <w:jc w:val="both"/>
        <w:rPr>
          <w:rFonts w:ascii="Arial" w:hAnsi="Arial" w:cs="Arial"/>
          <w:sz w:val="22"/>
          <w:szCs w:val="22"/>
        </w:rPr>
      </w:pPr>
      <w:r w:rsidRPr="00AC2EF1">
        <w:rPr>
          <w:rFonts w:ascii="Arial" w:hAnsi="Arial" w:cs="Arial"/>
          <w:sz w:val="22"/>
          <w:szCs w:val="22"/>
        </w:rPr>
        <w:t xml:space="preserve">The aggregation of the score allows for the financial institutions to opt for those products that are perceived lower risk and reduces the likelihood for funding of rural entrepreneurs, new industries and black SMMEs in general. In order to see real impact in this area of the scorecard, it would be necessary to split out a much higher target amongst the different sub-pillars and also allocate a higher target for Black SME Financing and black agricultural financing, for example 60% of the target. </w:t>
      </w:r>
      <w:r>
        <w:rPr>
          <w:rFonts w:ascii="Arial" w:hAnsi="Arial" w:cs="Arial"/>
          <w:sz w:val="22"/>
          <w:szCs w:val="22"/>
        </w:rPr>
        <w:t>Therefore</w:t>
      </w:r>
      <w:r w:rsidRPr="00AC2EF1">
        <w:rPr>
          <w:rFonts w:ascii="Arial" w:hAnsi="Arial" w:cs="Arial"/>
          <w:sz w:val="22"/>
          <w:szCs w:val="22"/>
        </w:rPr>
        <w:t>, we have serious reservations about this indicator.</w:t>
      </w:r>
    </w:p>
    <w:p w:rsidR="00806864" w:rsidRDefault="00806864" w:rsidP="00E57828">
      <w:pPr>
        <w:pStyle w:val="NormalWeb"/>
        <w:spacing w:before="0" w:beforeAutospacing="0" w:after="0" w:afterAutospacing="0" w:line="360" w:lineRule="auto"/>
        <w:ind w:left="360"/>
        <w:jc w:val="both"/>
        <w:rPr>
          <w:rFonts w:ascii="Arial" w:hAnsi="Arial" w:cs="Arial"/>
          <w:sz w:val="22"/>
          <w:szCs w:val="22"/>
        </w:rPr>
      </w:pPr>
    </w:p>
    <w:p w:rsidR="00806864" w:rsidRDefault="00806864" w:rsidP="00BF54B4">
      <w:pPr>
        <w:pStyle w:val="NormalWeb"/>
        <w:numPr>
          <w:ilvl w:val="0"/>
          <w:numId w:val="17"/>
        </w:numPr>
        <w:spacing w:before="0" w:beforeAutospacing="0" w:after="0" w:afterAutospacing="0" w:line="360" w:lineRule="auto"/>
        <w:jc w:val="both"/>
        <w:rPr>
          <w:rFonts w:ascii="Arial" w:hAnsi="Arial" w:cs="Arial"/>
          <w:sz w:val="22"/>
          <w:szCs w:val="22"/>
        </w:rPr>
      </w:pPr>
      <w:r w:rsidRPr="00EF3036">
        <w:rPr>
          <w:rFonts w:ascii="Arial" w:hAnsi="Arial" w:cs="Arial"/>
          <w:sz w:val="22"/>
          <w:szCs w:val="22"/>
        </w:rPr>
        <w:t>It is difficult to conclusively quantify the proportion of funding raised by the financial instituti</w:t>
      </w:r>
      <w:r>
        <w:rPr>
          <w:rFonts w:ascii="Arial" w:hAnsi="Arial" w:cs="Arial"/>
          <w:sz w:val="22"/>
          <w:szCs w:val="22"/>
        </w:rPr>
        <w:t>ons towards each of the four</w:t>
      </w:r>
      <w:r w:rsidRPr="00EF3036">
        <w:rPr>
          <w:rFonts w:ascii="Arial" w:hAnsi="Arial" w:cs="Arial"/>
          <w:sz w:val="22"/>
          <w:szCs w:val="22"/>
        </w:rPr>
        <w:t xml:space="preserve"> empowerment financing sub-pillars and a full research study would need to be conducted to provide this granular level of data. </w:t>
      </w:r>
    </w:p>
    <w:p w:rsidR="00806864" w:rsidRDefault="00806864" w:rsidP="00806864">
      <w:pPr>
        <w:pStyle w:val="NormalWeb"/>
        <w:spacing w:before="0" w:beforeAutospacing="0" w:after="0" w:afterAutospacing="0" w:line="360" w:lineRule="auto"/>
        <w:ind w:left="360"/>
        <w:jc w:val="both"/>
        <w:rPr>
          <w:rFonts w:ascii="Arial" w:hAnsi="Arial" w:cs="Arial"/>
          <w:sz w:val="22"/>
          <w:szCs w:val="22"/>
        </w:rPr>
      </w:pPr>
    </w:p>
    <w:p w:rsidR="00806864" w:rsidRDefault="00806864" w:rsidP="00BF54B4">
      <w:pPr>
        <w:pStyle w:val="NormalWeb"/>
        <w:numPr>
          <w:ilvl w:val="0"/>
          <w:numId w:val="17"/>
        </w:numPr>
        <w:spacing w:before="0" w:beforeAutospacing="0" w:after="0" w:afterAutospacing="0" w:line="360" w:lineRule="auto"/>
        <w:jc w:val="both"/>
        <w:rPr>
          <w:rFonts w:ascii="Arial" w:hAnsi="Arial" w:cs="Arial"/>
          <w:sz w:val="22"/>
          <w:szCs w:val="22"/>
        </w:rPr>
      </w:pPr>
      <w:r w:rsidRPr="00AC2EF1">
        <w:rPr>
          <w:rFonts w:ascii="Arial" w:hAnsi="Arial" w:cs="Arial"/>
          <w:sz w:val="22"/>
          <w:szCs w:val="22"/>
        </w:rPr>
        <w:t xml:space="preserve">Despite these contributions, the support provided to black SMMEs by funding institutions seems to fall through the cracks and not enough support is provided to this sector of the economy by financial institutions as well as Development Finance Institutes (DFIs). </w:t>
      </w:r>
    </w:p>
    <w:p w:rsidR="00806864" w:rsidRDefault="00806864" w:rsidP="00E57828">
      <w:pPr>
        <w:pStyle w:val="NormalWeb"/>
        <w:spacing w:before="0" w:beforeAutospacing="0" w:after="0" w:afterAutospacing="0" w:line="360" w:lineRule="auto"/>
        <w:ind w:left="360"/>
        <w:jc w:val="both"/>
        <w:rPr>
          <w:rFonts w:ascii="Arial" w:hAnsi="Arial" w:cs="Arial"/>
          <w:sz w:val="22"/>
          <w:szCs w:val="22"/>
        </w:rPr>
      </w:pPr>
    </w:p>
    <w:p w:rsidR="00806864" w:rsidRPr="00C444F0" w:rsidRDefault="00806864" w:rsidP="00BF54B4">
      <w:pPr>
        <w:pStyle w:val="ListParagraph"/>
        <w:numPr>
          <w:ilvl w:val="0"/>
          <w:numId w:val="16"/>
        </w:numPr>
        <w:rPr>
          <w:rFonts w:ascii="Arial" w:hAnsi="Arial" w:cs="Arial"/>
          <w:b/>
          <w:lang w:val="en-US"/>
        </w:rPr>
      </w:pPr>
      <w:r>
        <w:rPr>
          <w:rFonts w:ascii="Arial" w:hAnsi="Arial" w:cs="Arial"/>
          <w:b/>
          <w:lang w:val="en-US"/>
        </w:rPr>
        <w:t>Access to financial services</w:t>
      </w:r>
    </w:p>
    <w:p w:rsidR="00806864" w:rsidRPr="007002EC" w:rsidRDefault="00806864" w:rsidP="00806864">
      <w:pPr>
        <w:jc w:val="both"/>
        <w:rPr>
          <w:rFonts w:ascii="Arial" w:eastAsiaTheme="minorEastAsia" w:hAnsi="Arial" w:cs="Arial"/>
          <w:lang w:eastAsia="en-ZA"/>
        </w:rPr>
      </w:pPr>
      <w:r w:rsidRPr="007002EC">
        <w:rPr>
          <w:rFonts w:ascii="Arial" w:eastAsiaTheme="minorEastAsia" w:hAnsi="Arial" w:cs="Arial"/>
          <w:lang w:eastAsia="en-ZA"/>
        </w:rPr>
        <w:t>The 2012 FSC set a target of R32 billion regarding access to funding. However, this amount is also based on the 2002 baseline and doesn’t cater inflationary increases, population and economic growth. Furthermore, the amount has not been adjusted to cater for the growth in assets held by the respective participants.</w:t>
      </w:r>
    </w:p>
    <w:p w:rsidR="005C2FDC" w:rsidRPr="007002EC" w:rsidRDefault="005C2FDC" w:rsidP="005C2FDC">
      <w:pPr>
        <w:spacing w:before="100" w:beforeAutospacing="1" w:after="100" w:afterAutospacing="1"/>
        <w:jc w:val="both"/>
        <w:rPr>
          <w:rFonts w:ascii="Arial" w:eastAsiaTheme="minorEastAsia" w:hAnsi="Arial" w:cs="Arial"/>
          <w:lang w:eastAsia="en-ZA"/>
        </w:rPr>
      </w:pPr>
      <w:r w:rsidRPr="007002EC">
        <w:rPr>
          <w:rFonts w:ascii="Arial" w:eastAsiaTheme="minorEastAsia" w:hAnsi="Arial" w:cs="Arial"/>
          <w:lang w:eastAsia="en-ZA"/>
        </w:rPr>
        <w:t>The problems that can be highlighted with the current FSC codes (2012 Gazette) can be summarised as follows:</w:t>
      </w:r>
    </w:p>
    <w:p w:rsidR="005C2FDC" w:rsidRPr="007002EC" w:rsidRDefault="005C2FDC" w:rsidP="00BF54B4">
      <w:pPr>
        <w:pStyle w:val="NormalWeb"/>
        <w:numPr>
          <w:ilvl w:val="0"/>
          <w:numId w:val="17"/>
        </w:numPr>
        <w:spacing w:before="0" w:beforeAutospacing="0" w:after="0" w:afterAutospacing="0" w:line="360" w:lineRule="auto"/>
        <w:jc w:val="both"/>
        <w:rPr>
          <w:rFonts w:ascii="Arial" w:hAnsi="Arial" w:cs="Arial"/>
          <w:sz w:val="22"/>
          <w:szCs w:val="22"/>
        </w:rPr>
      </w:pPr>
      <w:r w:rsidRPr="007002EC">
        <w:rPr>
          <w:rFonts w:ascii="Arial" w:hAnsi="Arial" w:cs="Arial"/>
          <w:sz w:val="22"/>
          <w:szCs w:val="22"/>
        </w:rPr>
        <w:t xml:space="preserve">Some of the calculation methodology is not in compliance with the codes. E.g. the measurement of the management control pillar requires the use of the economically active population targets which principle seems to be have left out of the draft FSC. This is critical given the low representation by Black people, in particular Africans, in middle and senior management </w:t>
      </w:r>
    </w:p>
    <w:p w:rsidR="005C2FDC" w:rsidRPr="007002EC" w:rsidRDefault="005C2FDC" w:rsidP="00BF54B4">
      <w:pPr>
        <w:pStyle w:val="NormalWeb"/>
        <w:numPr>
          <w:ilvl w:val="0"/>
          <w:numId w:val="17"/>
        </w:numPr>
        <w:spacing w:before="0" w:beforeAutospacing="0" w:after="0" w:afterAutospacing="0" w:line="360" w:lineRule="auto"/>
        <w:jc w:val="both"/>
        <w:rPr>
          <w:rFonts w:ascii="Arial" w:hAnsi="Arial" w:cs="Arial"/>
          <w:sz w:val="22"/>
          <w:szCs w:val="22"/>
        </w:rPr>
      </w:pPr>
      <w:r w:rsidRPr="007002EC">
        <w:rPr>
          <w:rFonts w:ascii="Arial" w:hAnsi="Arial" w:cs="Arial"/>
          <w:sz w:val="22"/>
          <w:szCs w:val="22"/>
        </w:rPr>
        <w:t>Exempted Micro Enterprises and Qualifying Small Enterprises which have met the qualifying criteria as enterprise or supplier development beneficiaries are recognised as beneficiaries even after they have exceeded the turnover threshold for qualifying as valid beneficiaries in the draft FSC – this impedes the introduction of more beneficiaries as financial institutions continue to recognise “non-qualifying” beneficiaries long after they have ceased to qualify.</w:t>
      </w:r>
    </w:p>
    <w:p w:rsidR="005C2FDC" w:rsidRPr="007002EC" w:rsidRDefault="005C2FDC" w:rsidP="00BF54B4">
      <w:pPr>
        <w:pStyle w:val="NormalWeb"/>
        <w:numPr>
          <w:ilvl w:val="0"/>
          <w:numId w:val="17"/>
        </w:numPr>
        <w:spacing w:before="0" w:beforeAutospacing="0" w:after="0" w:afterAutospacing="0" w:line="360" w:lineRule="auto"/>
        <w:jc w:val="both"/>
        <w:rPr>
          <w:rFonts w:ascii="Arial" w:hAnsi="Arial" w:cs="Arial"/>
          <w:sz w:val="22"/>
          <w:szCs w:val="22"/>
        </w:rPr>
      </w:pPr>
      <w:r w:rsidRPr="007002EC">
        <w:rPr>
          <w:rFonts w:ascii="Arial" w:hAnsi="Arial" w:cs="Arial"/>
          <w:sz w:val="22"/>
          <w:szCs w:val="22"/>
        </w:rPr>
        <w:t>The target for Targeted Investments for financial institutions per the 2008 FSC BEE Performance Reporting Guidance Notes was R122.5 billion and this remains unchanged 14 years later.</w:t>
      </w:r>
    </w:p>
    <w:p w:rsidR="005C2FDC" w:rsidRPr="007002EC" w:rsidRDefault="005C2FDC" w:rsidP="00BF54B4">
      <w:pPr>
        <w:pStyle w:val="NormalWeb"/>
        <w:numPr>
          <w:ilvl w:val="0"/>
          <w:numId w:val="17"/>
        </w:numPr>
        <w:spacing w:before="0" w:beforeAutospacing="0" w:after="0" w:afterAutospacing="0" w:line="360" w:lineRule="auto"/>
        <w:jc w:val="both"/>
        <w:rPr>
          <w:rFonts w:ascii="Arial" w:hAnsi="Arial" w:cs="Arial"/>
          <w:sz w:val="22"/>
          <w:szCs w:val="22"/>
        </w:rPr>
      </w:pPr>
      <w:r w:rsidRPr="007002EC">
        <w:rPr>
          <w:rFonts w:ascii="Arial" w:hAnsi="Arial" w:cs="Arial"/>
          <w:sz w:val="22"/>
          <w:szCs w:val="22"/>
        </w:rPr>
        <w:t xml:space="preserve">As part of the radical economic transformation programme, there should be alignment to the codes by restricting the period in which financial institutions and all other sectors can claim continuing consequences as part of ownership. Currently, the claim under ownership is restricted to the number of years that the BEE shareholder was in place. This could for example, be restricted to a maximum of two (2) years to give the measured entity time to find another black shareholder. Failure to find such a black shareholder could result in penalties for the measured entities. </w:t>
      </w:r>
    </w:p>
    <w:p w:rsidR="005C2FDC" w:rsidRPr="007002EC" w:rsidRDefault="005C2FDC" w:rsidP="00BF54B4">
      <w:pPr>
        <w:pStyle w:val="NormalWeb"/>
        <w:numPr>
          <w:ilvl w:val="0"/>
          <w:numId w:val="17"/>
        </w:numPr>
        <w:spacing w:before="0" w:beforeAutospacing="0" w:after="0" w:afterAutospacing="0" w:line="360" w:lineRule="auto"/>
        <w:jc w:val="both"/>
        <w:rPr>
          <w:rFonts w:ascii="Arial" w:hAnsi="Arial" w:cs="Arial"/>
          <w:sz w:val="22"/>
          <w:szCs w:val="22"/>
        </w:rPr>
      </w:pPr>
      <w:r w:rsidRPr="007002EC">
        <w:rPr>
          <w:rFonts w:ascii="Arial" w:hAnsi="Arial" w:cs="Arial"/>
          <w:sz w:val="22"/>
          <w:szCs w:val="22"/>
        </w:rPr>
        <w:t>The current FSC code allows recognition of ownership on the basis of the 2010 valuation of the measured entities. This gives the financial institutions an advantage over other sectors as the ownership percentages will be favourable for the financial sector while companies in other sectors are required to apply the most current valuation and are therefore disadvantaged when compared to financial services companies.</w:t>
      </w:r>
    </w:p>
    <w:p w:rsidR="005C2FDC" w:rsidRDefault="005C2FDC" w:rsidP="002547BB">
      <w:pPr>
        <w:spacing w:after="0" w:line="240" w:lineRule="auto"/>
        <w:jc w:val="both"/>
        <w:rPr>
          <w:rFonts w:ascii="Arial" w:hAnsi="Arial" w:cs="Arial"/>
          <w:sz w:val="24"/>
          <w:szCs w:val="24"/>
          <w:lang w:val="en-US"/>
        </w:rPr>
      </w:pPr>
    </w:p>
    <w:p w:rsidR="005C2FDC" w:rsidRDefault="005C2FDC" w:rsidP="00BF54B4">
      <w:pPr>
        <w:pStyle w:val="Heading1"/>
        <w:numPr>
          <w:ilvl w:val="1"/>
          <w:numId w:val="32"/>
        </w:numPr>
        <w:rPr>
          <w:rFonts w:ascii="Arial" w:hAnsi="Arial" w:cs="Arial"/>
          <w:b/>
          <w:color w:val="auto"/>
          <w:sz w:val="24"/>
          <w:szCs w:val="24"/>
          <w:lang w:val="en-US"/>
        </w:rPr>
      </w:pPr>
      <w:r w:rsidRPr="0002293F">
        <w:rPr>
          <w:rFonts w:ascii="Arial" w:hAnsi="Arial" w:cs="Arial"/>
          <w:b/>
          <w:color w:val="auto"/>
          <w:sz w:val="24"/>
          <w:szCs w:val="24"/>
          <w:lang w:val="en-US"/>
        </w:rPr>
        <w:t>Once Empowered Always Empowered principle</w:t>
      </w:r>
      <w:r w:rsidR="00A54DB7">
        <w:rPr>
          <w:rFonts w:ascii="Arial" w:hAnsi="Arial" w:cs="Arial"/>
          <w:b/>
          <w:color w:val="auto"/>
          <w:sz w:val="24"/>
          <w:szCs w:val="24"/>
          <w:lang w:val="en-US"/>
        </w:rPr>
        <w:t xml:space="preserve"> conundrum</w:t>
      </w:r>
    </w:p>
    <w:p w:rsidR="005C2FDC" w:rsidRPr="002E4F28" w:rsidRDefault="005C2FDC" w:rsidP="005C2FDC">
      <w:pPr>
        <w:jc w:val="both"/>
        <w:rPr>
          <w:rFonts w:ascii="Arial" w:hAnsi="Arial" w:cs="Arial"/>
          <w:sz w:val="24"/>
          <w:szCs w:val="24"/>
        </w:rPr>
      </w:pPr>
      <w:r w:rsidRPr="002E4F28">
        <w:rPr>
          <w:rFonts w:ascii="Arial" w:hAnsi="Arial" w:cs="Arial"/>
          <w:sz w:val="24"/>
          <w:szCs w:val="24"/>
        </w:rPr>
        <w:t xml:space="preserve">The Chamber of Mines has approached the High Court for a declaratory order to provide guidance on the principles applicable to the assessment of the ownership pillar of the mining sector, particularly in response to the consequences of deals concluded in the earlier phases of BEE. The Department of Minerals and Resources (“DMR”) was in agreement with the approach of seeking court resolution. </w:t>
      </w:r>
    </w:p>
    <w:p w:rsidR="005C2FDC" w:rsidRPr="002E4F28" w:rsidRDefault="005C2FDC" w:rsidP="005C2FDC">
      <w:pPr>
        <w:jc w:val="both"/>
        <w:rPr>
          <w:rFonts w:ascii="Arial" w:hAnsi="Arial" w:cs="Arial"/>
          <w:sz w:val="24"/>
          <w:szCs w:val="24"/>
        </w:rPr>
      </w:pPr>
      <w:r w:rsidRPr="002E4F28">
        <w:rPr>
          <w:rFonts w:ascii="Arial" w:hAnsi="Arial" w:cs="Arial"/>
          <w:sz w:val="24"/>
          <w:szCs w:val="24"/>
        </w:rPr>
        <w:t xml:space="preserve">The application was brought about due to concerns that the DMR intended to exclude empowerment ownership transactions post-2004, which was when the Mining Charter pursuant to the Mineral and Petroleum Resources Development Act </w:t>
      </w:r>
      <w:r w:rsidR="00C27DF2">
        <w:rPr>
          <w:rFonts w:ascii="Arial" w:hAnsi="Arial" w:cs="Arial"/>
          <w:sz w:val="24"/>
          <w:szCs w:val="24"/>
        </w:rPr>
        <w:t xml:space="preserve"> (MPRDA) </w:t>
      </w:r>
      <w:r w:rsidRPr="002E4F28">
        <w:rPr>
          <w:rFonts w:ascii="Arial" w:hAnsi="Arial" w:cs="Arial"/>
          <w:sz w:val="24"/>
          <w:szCs w:val="24"/>
        </w:rPr>
        <w:t>was introduced, where historically disadvantaged South Africans (“HDSA”) have sold their participation.</w:t>
      </w:r>
    </w:p>
    <w:p w:rsidR="005C2FDC" w:rsidRPr="002E4F28" w:rsidRDefault="005C2FDC" w:rsidP="005C2FDC">
      <w:pPr>
        <w:jc w:val="both"/>
        <w:rPr>
          <w:rFonts w:ascii="Arial" w:hAnsi="Arial" w:cs="Arial"/>
          <w:sz w:val="24"/>
          <w:szCs w:val="24"/>
        </w:rPr>
      </w:pPr>
      <w:r w:rsidRPr="002E4F28">
        <w:rPr>
          <w:rFonts w:ascii="Arial" w:hAnsi="Arial" w:cs="Arial"/>
          <w:sz w:val="24"/>
          <w:szCs w:val="24"/>
        </w:rPr>
        <w:t>The Chamber is of the view that excluding such transactions would be prejudicial to mining companies and would undermine the sustainability of the sector. Post 2004, many mining companies entered into transactions that afforded historically disadvantaged South Africans the opportunity to acquire equity on terms that were beneficial to such parties. In many instances these shareholders sold their shares at a later point in time resulting in a dilution of the shareholding held previously by HDSAs in the mining companies.</w:t>
      </w:r>
    </w:p>
    <w:p w:rsidR="005C2FDC" w:rsidRPr="002E4F28" w:rsidRDefault="005C2FDC" w:rsidP="005C2FDC">
      <w:pPr>
        <w:jc w:val="both"/>
        <w:rPr>
          <w:rFonts w:ascii="Arial" w:hAnsi="Arial" w:cs="Arial"/>
          <w:sz w:val="24"/>
          <w:szCs w:val="24"/>
        </w:rPr>
      </w:pPr>
      <w:r w:rsidRPr="002E4F28">
        <w:rPr>
          <w:rFonts w:ascii="Arial" w:hAnsi="Arial" w:cs="Arial"/>
          <w:sz w:val="24"/>
          <w:szCs w:val="24"/>
        </w:rPr>
        <w:t xml:space="preserve">The Chamber argues that the ability of the HDSA shareholders to sell their equity constitutes a meaningful ownership and meets the objectives set out in MPRDA and the Mining Charter. The Chamber further says that requiring mining companies to enter into new transactions, which would also be on beneficial term, and to do so retrospectively – would be unfair. </w:t>
      </w:r>
    </w:p>
    <w:p w:rsidR="005C2FDC" w:rsidRPr="002E4F28" w:rsidRDefault="005C2FDC" w:rsidP="005C2FDC">
      <w:pPr>
        <w:jc w:val="both"/>
        <w:rPr>
          <w:rFonts w:ascii="Arial" w:hAnsi="Arial" w:cs="Arial"/>
          <w:sz w:val="24"/>
          <w:szCs w:val="24"/>
        </w:rPr>
      </w:pPr>
      <w:r w:rsidRPr="002E4F28">
        <w:rPr>
          <w:rFonts w:ascii="Arial" w:hAnsi="Arial" w:cs="Arial"/>
          <w:sz w:val="24"/>
          <w:szCs w:val="24"/>
        </w:rPr>
        <w:t xml:space="preserve">The Chamber is further of the view that the consequence of the DMR’s approach would be to cause indefinite lock-ins and that this would be contrary to the objectives of the MPRDA.  The Chamber considers that, for as long as the HDSA shareholders are able to freely dispose of their shares, the fluctuation of HDSA ownership in mining companies is inevitable. </w:t>
      </w:r>
    </w:p>
    <w:p w:rsidR="005C2FDC" w:rsidRDefault="005C2FDC" w:rsidP="005C2FDC">
      <w:pPr>
        <w:jc w:val="both"/>
        <w:rPr>
          <w:rFonts w:ascii="Arial" w:hAnsi="Arial" w:cs="Arial"/>
          <w:sz w:val="24"/>
          <w:szCs w:val="24"/>
        </w:rPr>
      </w:pPr>
      <w:r w:rsidRPr="002E4F28">
        <w:rPr>
          <w:rFonts w:ascii="Arial" w:hAnsi="Arial" w:cs="Arial"/>
          <w:sz w:val="24"/>
          <w:szCs w:val="24"/>
        </w:rPr>
        <w:t xml:space="preserve">This matter is yet to be finalised. The decision will be a game changer as the implications are hugely significant across all sectors of South Africa, and the financial services sector will not be immune to this.  A ruling in favour of “once empowered, always empowered” principle will constitute a reference point for companies operating under different sectors. </w:t>
      </w:r>
    </w:p>
    <w:p w:rsidR="005C2FDC" w:rsidRDefault="005C2FDC" w:rsidP="005C2FDC">
      <w:pPr>
        <w:jc w:val="both"/>
        <w:rPr>
          <w:rFonts w:ascii="Arial" w:hAnsi="Arial" w:cs="Arial"/>
          <w:sz w:val="24"/>
          <w:szCs w:val="24"/>
        </w:rPr>
      </w:pPr>
      <w:r>
        <w:rPr>
          <w:rFonts w:ascii="Arial" w:hAnsi="Arial" w:cs="Arial"/>
          <w:sz w:val="24"/>
          <w:szCs w:val="24"/>
        </w:rPr>
        <w:t xml:space="preserve">Issues of transfer pricing have not been investigated at length, e.g. some mining companies have dual listings or they set up other companies offshore and they would sell the commodity at cost and realise the profits at offshore companies when they sell offshore at real prices. As a result of this the mining companies in South Africa would have lower profits and thus would be unable to pay dividends. Some companies would initiate BEE transactions at their subsidiary level while the holding company continues charging management fees that divert benefits (profits) and leaving the BEE parties at subsidiary divided high and dry, while not being able to service the debt that was used to finance the acquired shares. </w:t>
      </w:r>
    </w:p>
    <w:p w:rsidR="005C2FDC" w:rsidRDefault="005C2FDC" w:rsidP="005C2FDC">
      <w:pPr>
        <w:jc w:val="both"/>
        <w:rPr>
          <w:rFonts w:ascii="Arial" w:hAnsi="Arial" w:cs="Arial"/>
          <w:sz w:val="24"/>
          <w:szCs w:val="24"/>
        </w:rPr>
      </w:pPr>
      <w:r w:rsidRPr="00AD6C24">
        <w:rPr>
          <w:rFonts w:ascii="Arial" w:hAnsi="Arial" w:cs="Arial"/>
          <w:sz w:val="24"/>
          <w:szCs w:val="24"/>
        </w:rPr>
        <w:t xml:space="preserve">The BEE Commissioner, in the 2nd Edition of their newsletter, drew a distinction between the concept of </w:t>
      </w:r>
      <w:r>
        <w:rPr>
          <w:rFonts w:ascii="Arial" w:hAnsi="Arial" w:cs="Arial"/>
          <w:sz w:val="24"/>
          <w:szCs w:val="24"/>
        </w:rPr>
        <w:t>“</w:t>
      </w:r>
      <w:r w:rsidRPr="00AD6C24">
        <w:rPr>
          <w:rFonts w:ascii="Arial" w:hAnsi="Arial" w:cs="Arial"/>
          <w:sz w:val="24"/>
          <w:szCs w:val="24"/>
        </w:rPr>
        <w:t>once empowered always empowered</w:t>
      </w:r>
      <w:r>
        <w:rPr>
          <w:rFonts w:ascii="Arial" w:hAnsi="Arial" w:cs="Arial"/>
          <w:sz w:val="24"/>
          <w:szCs w:val="24"/>
        </w:rPr>
        <w:t>”</w:t>
      </w:r>
      <w:r w:rsidRPr="00AD6C24">
        <w:rPr>
          <w:rFonts w:ascii="Arial" w:hAnsi="Arial" w:cs="Arial"/>
          <w:sz w:val="24"/>
          <w:szCs w:val="24"/>
        </w:rPr>
        <w:t xml:space="preserve"> and the continuing recognition principle.  The main difference being that the Generic Codes provide guidelines on how to measure this recognition, including limiting the amount of years it can recognised for, limiting the points on the scorecard to 40% of total ownership points, and that the value created for black participants is taken into account when assessing the applicable percentage and points derived from the sale of shares by a black participant.  These principles are contained in the FSC sector code.</w:t>
      </w:r>
    </w:p>
    <w:p w:rsidR="006F66ED" w:rsidRPr="00900B36" w:rsidRDefault="006F66ED" w:rsidP="006F66ED">
      <w:pPr>
        <w:pStyle w:val="ListParagraph"/>
        <w:numPr>
          <w:ilvl w:val="0"/>
          <w:numId w:val="1"/>
        </w:numPr>
        <w:shd w:val="clear" w:color="auto" w:fill="70AD47" w:themeFill="accent6"/>
        <w:tabs>
          <w:tab w:val="left" w:pos="720"/>
        </w:tabs>
        <w:spacing w:line="360" w:lineRule="auto"/>
        <w:ind w:hanging="1440"/>
        <w:rPr>
          <w:rFonts w:ascii="Arial" w:hAnsi="Arial" w:cs="Arial"/>
          <w:b/>
        </w:rPr>
      </w:pPr>
      <w:r>
        <w:rPr>
          <w:rFonts w:ascii="Arial" w:hAnsi="Arial" w:cs="Arial"/>
          <w:b/>
        </w:rPr>
        <w:t>Rationale for the establishment of a Black owned bank</w:t>
      </w:r>
    </w:p>
    <w:p w:rsidR="006F66ED" w:rsidRDefault="006F66ED" w:rsidP="006F66ED">
      <w:pPr>
        <w:spacing w:after="0" w:line="240" w:lineRule="auto"/>
        <w:jc w:val="both"/>
        <w:rPr>
          <w:rFonts w:ascii="Arial" w:hAnsi="Arial" w:cs="Arial"/>
          <w:sz w:val="24"/>
          <w:szCs w:val="24"/>
          <w:lang w:val="en-US"/>
        </w:rPr>
      </w:pPr>
    </w:p>
    <w:p w:rsidR="006F66ED" w:rsidRDefault="006F66ED" w:rsidP="006F66ED">
      <w:pPr>
        <w:jc w:val="both"/>
        <w:rPr>
          <w:rFonts w:ascii="Arial" w:hAnsi="Arial" w:cs="Arial"/>
          <w:sz w:val="24"/>
        </w:rPr>
      </w:pPr>
      <w:r w:rsidRPr="00470AEF">
        <w:rPr>
          <w:rFonts w:ascii="Arial" w:hAnsi="Arial" w:cs="Arial"/>
          <w:sz w:val="24"/>
        </w:rPr>
        <w:t xml:space="preserve">It is evident that the </w:t>
      </w:r>
      <w:r>
        <w:rPr>
          <w:rFonts w:ascii="Arial" w:hAnsi="Arial" w:cs="Arial"/>
          <w:sz w:val="24"/>
        </w:rPr>
        <w:t xml:space="preserve">Sector is unable and to a large extent, has not been able to meet the needs of the majority of the people. This therefore warrants for a radical shift on how Black people supported by Government should lead in the establishment of an alternative offering by establishing a directly Black owned bank. </w:t>
      </w:r>
    </w:p>
    <w:p w:rsidR="006F66ED" w:rsidRDefault="006F66ED" w:rsidP="006F66ED">
      <w:pPr>
        <w:jc w:val="both"/>
        <w:rPr>
          <w:rFonts w:ascii="Arial" w:hAnsi="Arial" w:cs="Arial"/>
        </w:rPr>
      </w:pPr>
      <w:r>
        <w:rPr>
          <w:rFonts w:ascii="Arial" w:hAnsi="Arial" w:cs="Arial"/>
        </w:rPr>
        <w:t xml:space="preserve">Such a bank would require initial capital of approximately R306 million for the acquisition of a banking license, IT infrastructure and systems, reserve requirements, a branch network and working capital, among others. </w:t>
      </w:r>
    </w:p>
    <w:p w:rsidR="006F66ED" w:rsidRDefault="006F66ED" w:rsidP="006F66ED">
      <w:pPr>
        <w:jc w:val="both"/>
        <w:rPr>
          <w:rFonts w:ascii="Arial" w:hAnsi="Arial" w:cs="Arial"/>
        </w:rPr>
      </w:pPr>
      <w:r>
        <w:rPr>
          <w:rFonts w:ascii="Arial" w:hAnsi="Arial" w:cs="Arial"/>
        </w:rPr>
        <w:t>This capital would be raised from both the Government and the black public at large across all provinces. This will be a fully-fledged bank with licenses</w:t>
      </w:r>
      <w:r w:rsidRPr="00BA73C8">
        <w:rPr>
          <w:rFonts w:ascii="Arial" w:hAnsi="Arial" w:cs="Arial"/>
        </w:rPr>
        <w:t xml:space="preserve"> to recei</w:t>
      </w:r>
      <w:r>
        <w:rPr>
          <w:rFonts w:ascii="Arial" w:hAnsi="Arial" w:cs="Arial"/>
        </w:rPr>
        <w:t xml:space="preserve">ve cash reserve deposits, make loans and offer products and services to municipalities, Government departments, SOEs, the private sector, organised labour, NGOs and CBOs and the general public. </w:t>
      </w:r>
    </w:p>
    <w:p w:rsidR="00A841B2" w:rsidRDefault="006F66ED" w:rsidP="006F66ED">
      <w:pPr>
        <w:jc w:val="both"/>
        <w:rPr>
          <w:rFonts w:ascii="Arial" w:hAnsi="Arial" w:cs="Arial"/>
        </w:rPr>
      </w:pPr>
      <w:r>
        <w:rPr>
          <w:rFonts w:ascii="Arial" w:hAnsi="Arial" w:cs="Arial"/>
        </w:rPr>
        <w:t>The bank will encompass both commercial/retail banking functions and investment banking solutions to offer various products and services that are affordable, fit for purpose, tailored to client needs, user friendly and accessible</w:t>
      </w:r>
      <w:r w:rsidRPr="00BA73C8">
        <w:rPr>
          <w:rFonts w:ascii="Arial" w:hAnsi="Arial" w:cs="Arial"/>
        </w:rPr>
        <w:t>.</w:t>
      </w:r>
      <w:r>
        <w:rPr>
          <w:rFonts w:ascii="Arial" w:hAnsi="Arial" w:cs="Arial"/>
        </w:rPr>
        <w:t xml:space="preserve"> The investment bank would operate as a quasi-development and investment bank for advancing a developmental mandate. </w:t>
      </w:r>
    </w:p>
    <w:p w:rsidR="006F66ED" w:rsidRDefault="006F66ED" w:rsidP="006F66ED">
      <w:pPr>
        <w:jc w:val="both"/>
        <w:rPr>
          <w:rFonts w:ascii="Arial" w:hAnsi="Arial" w:cs="Arial"/>
          <w:b/>
        </w:rPr>
      </w:pPr>
      <w:r w:rsidRPr="00D3634E">
        <w:rPr>
          <w:rFonts w:ascii="Arial" w:hAnsi="Arial" w:cs="Arial"/>
          <w:b/>
        </w:rPr>
        <w:t>Shareholders</w:t>
      </w:r>
      <w:r>
        <w:rPr>
          <w:rFonts w:ascii="Arial" w:hAnsi="Arial" w:cs="Arial"/>
          <w:b/>
        </w:rPr>
        <w:t xml:space="preserve"> and source of initial capital</w:t>
      </w:r>
    </w:p>
    <w:p w:rsidR="006F66ED" w:rsidRDefault="006F66ED" w:rsidP="006F66ED">
      <w:pPr>
        <w:jc w:val="both"/>
        <w:rPr>
          <w:rFonts w:ascii="Arial" w:hAnsi="Arial" w:cs="Arial"/>
        </w:rPr>
      </w:pPr>
      <w:r>
        <w:rPr>
          <w:rFonts w:ascii="Arial" w:hAnsi="Arial" w:cs="Arial"/>
        </w:rPr>
        <w:t xml:space="preserve">The R150 million initial capital will come from Government for subscription of 49% equity in the bank and the black public would subscribe for 51% for  total capital of R156 million. In the past we have witnessed the successes of BEE schemes and Initial Public Offerings such as the NEF Asonge Share Scheme and many other JSE listed BEE schemes that were oversubscribed, indicating the availability of excess capital and a desire from the black public to subscribe to shares in a black bank. </w:t>
      </w:r>
    </w:p>
    <w:p w:rsidR="00A841B2" w:rsidRDefault="00A841B2" w:rsidP="006F66ED">
      <w:pPr>
        <w:jc w:val="both"/>
        <w:rPr>
          <w:rFonts w:ascii="Arial" w:hAnsi="Arial" w:cs="Arial"/>
          <w:b/>
        </w:rPr>
      </w:pPr>
    </w:p>
    <w:p w:rsidR="00A841B2" w:rsidRDefault="00A841B2" w:rsidP="006F66ED">
      <w:pPr>
        <w:jc w:val="both"/>
        <w:rPr>
          <w:rFonts w:ascii="Arial" w:hAnsi="Arial" w:cs="Arial"/>
          <w:b/>
        </w:rPr>
      </w:pPr>
    </w:p>
    <w:p w:rsidR="006F66ED" w:rsidRDefault="006F66ED" w:rsidP="006F66ED">
      <w:pPr>
        <w:jc w:val="both"/>
        <w:rPr>
          <w:rFonts w:ascii="Arial" w:hAnsi="Arial" w:cs="Arial"/>
        </w:rPr>
      </w:pPr>
      <w:r>
        <w:rPr>
          <w:rFonts w:ascii="Arial" w:hAnsi="Arial" w:cs="Arial"/>
          <w:b/>
        </w:rPr>
        <w:t>Additional deposits would be raised as follows</w:t>
      </w:r>
    </w:p>
    <w:p w:rsidR="006F66ED" w:rsidRDefault="006F66ED" w:rsidP="006F66ED">
      <w:pPr>
        <w:jc w:val="both"/>
        <w:rPr>
          <w:rFonts w:ascii="Arial" w:hAnsi="Arial" w:cs="Arial"/>
        </w:rPr>
      </w:pPr>
      <w:r>
        <w:rPr>
          <w:rFonts w:ascii="Arial" w:hAnsi="Arial" w:cs="Arial"/>
        </w:rPr>
        <w:t xml:space="preserve">As an expression of its commitment to the quest for inclusive growth, we believe that Government should redirect a minimum 30% of its deposits to capitalise the establishment of the Black Bank. </w:t>
      </w:r>
    </w:p>
    <w:p w:rsidR="006F66ED" w:rsidRDefault="006F66ED" w:rsidP="006F66ED">
      <w:pPr>
        <w:jc w:val="both"/>
        <w:rPr>
          <w:rFonts w:ascii="Arial" w:hAnsi="Arial" w:cs="Arial"/>
        </w:rPr>
      </w:pPr>
      <w:r>
        <w:rPr>
          <w:rFonts w:ascii="Arial" w:hAnsi="Arial" w:cs="Arial"/>
        </w:rPr>
        <w:t>The bank would take deposits from the public and as well as from the national, provincial and local Government departments and SOCs, and generate meaningful revenue from services offered. For example the G</w:t>
      </w:r>
      <w:r w:rsidRPr="0092208E">
        <w:rPr>
          <w:rFonts w:ascii="Arial" w:hAnsi="Arial" w:cs="Arial"/>
        </w:rPr>
        <w:t xml:space="preserve">overnment and public enterprises </w:t>
      </w:r>
      <w:r>
        <w:rPr>
          <w:rFonts w:ascii="Arial" w:hAnsi="Arial" w:cs="Arial"/>
        </w:rPr>
        <w:t xml:space="preserve">collectively </w:t>
      </w:r>
      <w:r w:rsidRPr="0092208E">
        <w:rPr>
          <w:rFonts w:ascii="Arial" w:hAnsi="Arial" w:cs="Arial"/>
        </w:rPr>
        <w:t>had deposits of R279</w:t>
      </w:r>
      <w:r>
        <w:rPr>
          <w:rFonts w:ascii="Arial" w:hAnsi="Arial" w:cs="Arial"/>
        </w:rPr>
        <w:t xml:space="preserve"> billion </w:t>
      </w:r>
      <w:r w:rsidRPr="0092208E">
        <w:rPr>
          <w:rFonts w:ascii="Arial" w:hAnsi="Arial" w:cs="Arial"/>
        </w:rPr>
        <w:t xml:space="preserve">in the banks at the end of September 2016. </w:t>
      </w:r>
    </w:p>
    <w:p w:rsidR="006F66ED" w:rsidRDefault="006F66ED" w:rsidP="006F66ED">
      <w:pPr>
        <w:jc w:val="both"/>
        <w:rPr>
          <w:rFonts w:ascii="Arial" w:hAnsi="Arial" w:cs="Arial"/>
        </w:rPr>
      </w:pPr>
      <w:r>
        <w:rPr>
          <w:rFonts w:ascii="Arial" w:hAnsi="Arial" w:cs="Arial"/>
        </w:rPr>
        <w:t xml:space="preserve">If the Government allocates 30% of these funds as a start, this would be equivalent of R83.7 billion, which would provide adequate liquidity to the Black Bank for lending activities. The capital raised would unlock the growth of black businesses, given historical and continuing constraints by black business i to access capital from commercial banks. </w:t>
      </w:r>
    </w:p>
    <w:p w:rsidR="006F66ED" w:rsidRPr="004A5928" w:rsidRDefault="006F66ED" w:rsidP="006F66ED">
      <w:pPr>
        <w:jc w:val="both"/>
        <w:rPr>
          <w:rFonts w:ascii="Arial" w:hAnsi="Arial" w:cs="Arial"/>
          <w:b/>
        </w:rPr>
      </w:pPr>
      <w:r w:rsidRPr="004A5928">
        <w:rPr>
          <w:rFonts w:ascii="Arial" w:hAnsi="Arial" w:cs="Arial"/>
          <w:b/>
        </w:rPr>
        <w:t xml:space="preserve">Services offered: </w:t>
      </w:r>
    </w:p>
    <w:p w:rsidR="006F66ED" w:rsidRDefault="006F66ED" w:rsidP="006F66ED">
      <w:pPr>
        <w:pStyle w:val="ListParagraph"/>
        <w:numPr>
          <w:ilvl w:val="0"/>
          <w:numId w:val="20"/>
        </w:numPr>
        <w:spacing w:after="160" w:line="259" w:lineRule="auto"/>
        <w:jc w:val="both"/>
        <w:rPr>
          <w:rFonts w:ascii="Arial" w:hAnsi="Arial" w:cs="Arial"/>
        </w:rPr>
      </w:pPr>
      <w:r>
        <w:rPr>
          <w:rFonts w:ascii="Arial" w:hAnsi="Arial" w:cs="Arial"/>
        </w:rPr>
        <w:t>Manage m</w:t>
      </w:r>
      <w:r w:rsidRPr="00D3634E">
        <w:rPr>
          <w:rFonts w:ascii="Arial" w:hAnsi="Arial" w:cs="Arial"/>
        </w:rPr>
        <w:t>unicipal accounts</w:t>
      </w:r>
      <w:r>
        <w:rPr>
          <w:rFonts w:ascii="Arial" w:hAnsi="Arial" w:cs="Arial"/>
        </w:rPr>
        <w:t xml:space="preserve">, which includes the </w:t>
      </w:r>
      <w:r w:rsidRPr="00D3634E">
        <w:rPr>
          <w:rFonts w:ascii="Arial" w:hAnsi="Arial" w:cs="Arial"/>
        </w:rPr>
        <w:t xml:space="preserve">payment of rates </w:t>
      </w:r>
      <w:r>
        <w:rPr>
          <w:rFonts w:ascii="Arial" w:hAnsi="Arial" w:cs="Arial"/>
        </w:rPr>
        <w:t>and taxes as well as water and electricity, for a fee,</w:t>
      </w:r>
    </w:p>
    <w:p w:rsidR="006F66ED" w:rsidRDefault="006F66ED" w:rsidP="006F66ED">
      <w:pPr>
        <w:pStyle w:val="ListParagraph"/>
        <w:numPr>
          <w:ilvl w:val="0"/>
          <w:numId w:val="20"/>
        </w:numPr>
        <w:spacing w:after="160" w:line="259" w:lineRule="auto"/>
        <w:jc w:val="both"/>
        <w:rPr>
          <w:rFonts w:ascii="Arial" w:hAnsi="Arial" w:cs="Arial"/>
        </w:rPr>
      </w:pPr>
      <w:r>
        <w:rPr>
          <w:rFonts w:ascii="Arial" w:hAnsi="Arial" w:cs="Arial"/>
        </w:rPr>
        <w:t>Handle state services such as the payment of social grants and payment of traffic fines,</w:t>
      </w:r>
    </w:p>
    <w:p w:rsidR="006F66ED" w:rsidRDefault="006F66ED" w:rsidP="006F66ED">
      <w:pPr>
        <w:pStyle w:val="ListParagraph"/>
        <w:numPr>
          <w:ilvl w:val="0"/>
          <w:numId w:val="20"/>
        </w:numPr>
        <w:spacing w:after="160" w:line="259" w:lineRule="auto"/>
        <w:jc w:val="both"/>
        <w:rPr>
          <w:rFonts w:ascii="Arial" w:hAnsi="Arial" w:cs="Arial"/>
        </w:rPr>
      </w:pPr>
      <w:r w:rsidRPr="00961EA2">
        <w:rPr>
          <w:rFonts w:ascii="Arial" w:hAnsi="Arial" w:cs="Arial"/>
        </w:rPr>
        <w:t xml:space="preserve">Black </w:t>
      </w:r>
      <w:r>
        <w:rPr>
          <w:rFonts w:ascii="Arial" w:hAnsi="Arial" w:cs="Arial"/>
        </w:rPr>
        <w:t>business f</w:t>
      </w:r>
      <w:r w:rsidRPr="00961EA2">
        <w:rPr>
          <w:rFonts w:ascii="Arial" w:hAnsi="Arial" w:cs="Arial"/>
        </w:rPr>
        <w:t>inancing</w:t>
      </w:r>
      <w:r>
        <w:rPr>
          <w:rFonts w:ascii="Arial" w:hAnsi="Arial" w:cs="Arial"/>
        </w:rPr>
        <w:t>,</w:t>
      </w:r>
    </w:p>
    <w:p w:rsidR="006F66ED" w:rsidRDefault="006F66ED" w:rsidP="006F66ED">
      <w:pPr>
        <w:pStyle w:val="ListParagraph"/>
        <w:numPr>
          <w:ilvl w:val="0"/>
          <w:numId w:val="20"/>
        </w:numPr>
        <w:spacing w:after="160" w:line="259" w:lineRule="auto"/>
        <w:jc w:val="both"/>
        <w:rPr>
          <w:rFonts w:ascii="Arial" w:hAnsi="Arial" w:cs="Arial"/>
        </w:rPr>
      </w:pPr>
      <w:r>
        <w:rPr>
          <w:rFonts w:ascii="Arial" w:hAnsi="Arial" w:cs="Arial"/>
        </w:rPr>
        <w:t xml:space="preserve">Insurance, </w:t>
      </w:r>
    </w:p>
    <w:p w:rsidR="006F66ED" w:rsidRDefault="006F66ED" w:rsidP="006F66ED">
      <w:pPr>
        <w:pStyle w:val="ListParagraph"/>
        <w:numPr>
          <w:ilvl w:val="0"/>
          <w:numId w:val="20"/>
        </w:numPr>
        <w:spacing w:after="160" w:line="259" w:lineRule="auto"/>
        <w:jc w:val="both"/>
        <w:rPr>
          <w:rFonts w:ascii="Arial" w:hAnsi="Arial" w:cs="Arial"/>
        </w:rPr>
      </w:pPr>
      <w:r>
        <w:rPr>
          <w:rFonts w:ascii="Arial" w:hAnsi="Arial" w:cs="Arial"/>
        </w:rPr>
        <w:t>Savings and investments,</w:t>
      </w:r>
    </w:p>
    <w:p w:rsidR="006F66ED" w:rsidRPr="00961EA2" w:rsidRDefault="006F66ED" w:rsidP="006F66ED">
      <w:pPr>
        <w:pStyle w:val="ListParagraph"/>
        <w:numPr>
          <w:ilvl w:val="0"/>
          <w:numId w:val="20"/>
        </w:numPr>
        <w:spacing w:after="160" w:line="259" w:lineRule="auto"/>
        <w:jc w:val="both"/>
        <w:rPr>
          <w:rFonts w:ascii="Arial" w:hAnsi="Arial" w:cs="Arial"/>
        </w:rPr>
      </w:pPr>
      <w:r>
        <w:rPr>
          <w:rFonts w:ascii="Arial" w:hAnsi="Arial" w:cs="Arial"/>
        </w:rPr>
        <w:t>Payments of salaries and wages,</w:t>
      </w:r>
    </w:p>
    <w:p w:rsidR="006F66ED" w:rsidRPr="00961EA2" w:rsidRDefault="006F66ED" w:rsidP="006F66ED">
      <w:pPr>
        <w:pStyle w:val="ListParagraph"/>
        <w:numPr>
          <w:ilvl w:val="0"/>
          <w:numId w:val="20"/>
        </w:numPr>
        <w:spacing w:after="160" w:line="259" w:lineRule="auto"/>
        <w:jc w:val="both"/>
        <w:rPr>
          <w:rFonts w:ascii="Arial" w:hAnsi="Arial" w:cs="Arial"/>
        </w:rPr>
      </w:pPr>
      <w:r w:rsidRPr="00961EA2">
        <w:rPr>
          <w:rFonts w:ascii="Arial" w:hAnsi="Arial" w:cs="Arial"/>
        </w:rPr>
        <w:t>Black agricultural financing</w:t>
      </w:r>
      <w:r>
        <w:rPr>
          <w:rFonts w:ascii="Arial" w:hAnsi="Arial" w:cs="Arial"/>
        </w:rPr>
        <w:t xml:space="preserve"> and </w:t>
      </w:r>
    </w:p>
    <w:p w:rsidR="006F66ED" w:rsidRPr="00961EA2" w:rsidRDefault="006F66ED" w:rsidP="006F66ED">
      <w:pPr>
        <w:pStyle w:val="ListParagraph"/>
        <w:numPr>
          <w:ilvl w:val="0"/>
          <w:numId w:val="20"/>
        </w:numPr>
        <w:spacing w:after="160" w:line="259" w:lineRule="auto"/>
        <w:jc w:val="both"/>
        <w:rPr>
          <w:rFonts w:ascii="Arial" w:hAnsi="Arial" w:cs="Arial"/>
        </w:rPr>
      </w:pPr>
      <w:r w:rsidRPr="00961EA2">
        <w:rPr>
          <w:rFonts w:ascii="Arial" w:hAnsi="Arial" w:cs="Arial"/>
        </w:rPr>
        <w:t>Affordable housing</w:t>
      </w:r>
    </w:p>
    <w:p w:rsidR="006F66ED" w:rsidRDefault="006F66ED" w:rsidP="006F66ED">
      <w:pPr>
        <w:jc w:val="both"/>
        <w:rPr>
          <w:rFonts w:ascii="Arial" w:hAnsi="Arial" w:cs="Arial"/>
        </w:rPr>
      </w:pPr>
    </w:p>
    <w:p w:rsidR="006F66ED" w:rsidRPr="0014717A" w:rsidRDefault="006F66ED" w:rsidP="006F66ED">
      <w:pPr>
        <w:jc w:val="both"/>
        <w:rPr>
          <w:rFonts w:ascii="Arial" w:hAnsi="Arial" w:cs="Arial"/>
          <w:b/>
        </w:rPr>
      </w:pPr>
      <w:r w:rsidRPr="0014717A">
        <w:rPr>
          <w:rFonts w:ascii="Arial" w:hAnsi="Arial" w:cs="Arial"/>
          <w:b/>
        </w:rPr>
        <w:t xml:space="preserve">The role of the NEF in establishing a </w:t>
      </w:r>
      <w:r>
        <w:rPr>
          <w:rFonts w:ascii="Arial" w:hAnsi="Arial" w:cs="Arial"/>
          <w:b/>
        </w:rPr>
        <w:t>B</w:t>
      </w:r>
      <w:r w:rsidRPr="0014717A">
        <w:rPr>
          <w:rFonts w:ascii="Arial" w:hAnsi="Arial" w:cs="Arial"/>
          <w:b/>
        </w:rPr>
        <w:t xml:space="preserve">lack Bank </w:t>
      </w:r>
    </w:p>
    <w:p w:rsidR="006F66ED" w:rsidRDefault="006F66ED" w:rsidP="006F66ED">
      <w:pPr>
        <w:jc w:val="both"/>
        <w:rPr>
          <w:rFonts w:ascii="Arial" w:hAnsi="Arial" w:cs="Arial"/>
        </w:rPr>
      </w:pPr>
      <w:r>
        <w:rPr>
          <w:rFonts w:ascii="Arial" w:hAnsi="Arial" w:cs="Arial"/>
        </w:rPr>
        <w:t xml:space="preserve">As a patriotic corporate citizen and a catalyst in development finance, the is ready to play a quasi-investment-banking role to the Black Bank To date the NEF has demonstrated its capabilities by approving over </w:t>
      </w:r>
      <w:r w:rsidRPr="00961EA2">
        <w:rPr>
          <w:rFonts w:ascii="Arial" w:hAnsi="Arial" w:cs="Arial"/>
        </w:rPr>
        <w:t>839 transactions worth more than R8.5 billion for black-owned and managed businesses across the country, since its capitalisation by Government to the tune of R</w:t>
      </w:r>
      <w:r>
        <w:rPr>
          <w:rFonts w:ascii="Arial" w:hAnsi="Arial" w:cs="Arial"/>
        </w:rPr>
        <w:t>3</w:t>
      </w:r>
      <w:r w:rsidRPr="00961EA2">
        <w:rPr>
          <w:rFonts w:ascii="Arial" w:hAnsi="Arial" w:cs="Arial"/>
        </w:rPr>
        <w:t xml:space="preserve"> </w:t>
      </w:r>
      <w:r>
        <w:rPr>
          <w:rFonts w:ascii="Arial" w:hAnsi="Arial" w:cs="Arial"/>
        </w:rPr>
        <w:t xml:space="preserve">billion between 2005 and 2010.  Further, the NEF’s achievements in developing greenfield projects into a pipeline of 20 bankable industrial projects with potential value of R20 billion, the NEF is a worthy and willing partner to help initiate the establishment of the Black Bank.  </w:t>
      </w:r>
    </w:p>
    <w:p w:rsidR="009E4D31" w:rsidRPr="00900B36" w:rsidRDefault="00363707" w:rsidP="00900B36">
      <w:pPr>
        <w:pStyle w:val="ListParagraph"/>
        <w:numPr>
          <w:ilvl w:val="0"/>
          <w:numId w:val="1"/>
        </w:numPr>
        <w:shd w:val="clear" w:color="auto" w:fill="70AD47" w:themeFill="accent6"/>
        <w:tabs>
          <w:tab w:val="left" w:pos="720"/>
        </w:tabs>
        <w:spacing w:line="360" w:lineRule="auto"/>
        <w:ind w:hanging="1440"/>
        <w:rPr>
          <w:rFonts w:ascii="Arial" w:hAnsi="Arial" w:cs="Arial"/>
          <w:b/>
        </w:rPr>
      </w:pPr>
      <w:r>
        <w:rPr>
          <w:rFonts w:ascii="Arial" w:hAnsi="Arial" w:cs="Arial"/>
          <w:b/>
        </w:rPr>
        <w:t>Improvement a</w:t>
      </w:r>
      <w:r w:rsidR="00BF389A" w:rsidRPr="00900B36">
        <w:rPr>
          <w:rFonts w:ascii="Arial" w:hAnsi="Arial" w:cs="Arial"/>
          <w:b/>
        </w:rPr>
        <w:t xml:space="preserve">reas based on FSC results </w:t>
      </w:r>
    </w:p>
    <w:p w:rsidR="0088735D" w:rsidRDefault="006F66ED" w:rsidP="006F66ED">
      <w:pPr>
        <w:pStyle w:val="NormalWeb"/>
        <w:jc w:val="both"/>
        <w:rPr>
          <w:rFonts w:ascii="Arial" w:hAnsi="Arial" w:cs="Arial"/>
          <w:b/>
          <w:lang w:val="en-US"/>
        </w:rPr>
      </w:pPr>
      <w:r w:rsidRPr="00077A3D">
        <w:rPr>
          <w:rFonts w:ascii="Arial" w:hAnsi="Arial" w:cs="Arial"/>
        </w:rPr>
        <w:t xml:space="preserve">As demonstrated in earlier sections of this submission, the FSC </w:t>
      </w:r>
      <w:r>
        <w:rPr>
          <w:rFonts w:ascii="Arial" w:hAnsi="Arial" w:cs="Arial"/>
        </w:rPr>
        <w:t xml:space="preserve">has been </w:t>
      </w:r>
      <w:r w:rsidRPr="00077A3D">
        <w:rPr>
          <w:rFonts w:ascii="Arial" w:hAnsi="Arial" w:cs="Arial"/>
        </w:rPr>
        <w:t>inef</w:t>
      </w:r>
      <w:r>
        <w:rPr>
          <w:rFonts w:ascii="Arial" w:hAnsi="Arial" w:cs="Arial"/>
        </w:rPr>
        <w:t xml:space="preserve">fective in </w:t>
      </w:r>
      <w:r w:rsidRPr="00077A3D">
        <w:rPr>
          <w:rFonts w:ascii="Arial" w:hAnsi="Arial" w:cs="Arial"/>
        </w:rPr>
        <w:t>transform</w:t>
      </w:r>
      <w:r>
        <w:rPr>
          <w:rFonts w:ascii="Arial" w:hAnsi="Arial" w:cs="Arial"/>
        </w:rPr>
        <w:t xml:space="preserve">ing </w:t>
      </w:r>
      <w:r w:rsidRPr="00077A3D">
        <w:rPr>
          <w:rFonts w:ascii="Arial" w:hAnsi="Arial" w:cs="Arial"/>
        </w:rPr>
        <w:t>the financial services sector</w:t>
      </w:r>
      <w:r>
        <w:rPr>
          <w:rFonts w:ascii="Arial" w:hAnsi="Arial" w:cs="Arial"/>
        </w:rPr>
        <w:t xml:space="preserve"> in order t</w:t>
      </w:r>
      <w:r w:rsidRPr="00077A3D">
        <w:rPr>
          <w:rFonts w:ascii="Arial" w:hAnsi="Arial" w:cs="Arial"/>
        </w:rPr>
        <w:t xml:space="preserve">o bring about the meaningful and sustainable economic empowerment of black people in South Africa. </w:t>
      </w:r>
      <w:r>
        <w:rPr>
          <w:rFonts w:ascii="Arial" w:hAnsi="Arial" w:cs="Arial"/>
        </w:rPr>
        <w:t>Below are the improvement recommendations suggested for the Draft Amended FSC:</w:t>
      </w:r>
    </w:p>
    <w:p w:rsidR="0059205B" w:rsidRDefault="0059205B" w:rsidP="00BF54B4">
      <w:pPr>
        <w:pStyle w:val="Heading1"/>
        <w:numPr>
          <w:ilvl w:val="1"/>
          <w:numId w:val="33"/>
        </w:numPr>
        <w:rPr>
          <w:rFonts w:ascii="Arial" w:hAnsi="Arial" w:cs="Arial"/>
          <w:b/>
          <w:color w:val="auto"/>
          <w:sz w:val="24"/>
          <w:szCs w:val="24"/>
          <w:lang w:val="en-US"/>
        </w:rPr>
      </w:pPr>
      <w:r>
        <w:rPr>
          <w:rFonts w:ascii="Arial" w:hAnsi="Arial" w:cs="Arial"/>
          <w:b/>
          <w:color w:val="auto"/>
          <w:sz w:val="24"/>
          <w:szCs w:val="24"/>
          <w:lang w:val="en-US"/>
        </w:rPr>
        <w:t xml:space="preserve">Segregate and improve thresholds for the </w:t>
      </w:r>
      <w:r w:rsidR="00FB74E2">
        <w:rPr>
          <w:rFonts w:ascii="Arial" w:hAnsi="Arial" w:cs="Arial"/>
          <w:b/>
          <w:color w:val="auto"/>
          <w:sz w:val="24"/>
          <w:szCs w:val="24"/>
          <w:lang w:val="en-US"/>
        </w:rPr>
        <w:t>4</w:t>
      </w:r>
      <w:r>
        <w:rPr>
          <w:rFonts w:ascii="Arial" w:hAnsi="Arial" w:cs="Arial"/>
          <w:b/>
          <w:color w:val="auto"/>
          <w:sz w:val="24"/>
          <w:szCs w:val="24"/>
          <w:lang w:val="en-US"/>
        </w:rPr>
        <w:t xml:space="preserve"> elements for target investments</w:t>
      </w:r>
    </w:p>
    <w:p w:rsidR="000C4709" w:rsidRPr="0034362D" w:rsidRDefault="0034362D" w:rsidP="0034362D">
      <w:pPr>
        <w:jc w:val="both"/>
        <w:rPr>
          <w:rFonts w:ascii="Arial" w:hAnsi="Arial" w:cs="Arial"/>
        </w:rPr>
      </w:pPr>
      <w:r w:rsidRPr="0034362D">
        <w:rPr>
          <w:rFonts w:ascii="Arial" w:hAnsi="Arial" w:cs="Arial"/>
        </w:rPr>
        <w:t xml:space="preserve">The 12 points under targeted investment should be allocated evenly between the four elements being: </w:t>
      </w:r>
    </w:p>
    <w:p w:rsidR="0034362D" w:rsidRPr="0034362D" w:rsidRDefault="000C4709" w:rsidP="0034362D">
      <w:pPr>
        <w:pStyle w:val="ListParagraph"/>
        <w:numPr>
          <w:ilvl w:val="0"/>
          <w:numId w:val="36"/>
        </w:numPr>
        <w:jc w:val="both"/>
        <w:rPr>
          <w:rFonts w:ascii="Arial" w:hAnsi="Arial" w:cs="Arial"/>
          <w:sz w:val="22"/>
        </w:rPr>
      </w:pPr>
      <w:r w:rsidRPr="0034362D">
        <w:rPr>
          <w:rFonts w:ascii="Arial" w:hAnsi="Arial" w:cs="Arial"/>
          <w:sz w:val="22"/>
        </w:rPr>
        <w:t>Transformational Infrastructure</w:t>
      </w:r>
    </w:p>
    <w:p w:rsidR="0034362D" w:rsidRPr="0034362D" w:rsidRDefault="000C4709" w:rsidP="0034362D">
      <w:pPr>
        <w:pStyle w:val="ListParagraph"/>
        <w:numPr>
          <w:ilvl w:val="0"/>
          <w:numId w:val="36"/>
        </w:numPr>
        <w:jc w:val="both"/>
        <w:rPr>
          <w:rFonts w:ascii="Arial" w:hAnsi="Arial" w:cs="Arial"/>
          <w:sz w:val="22"/>
        </w:rPr>
      </w:pPr>
      <w:r w:rsidRPr="0034362D">
        <w:rPr>
          <w:rFonts w:ascii="Arial" w:hAnsi="Arial" w:cs="Arial"/>
          <w:sz w:val="22"/>
        </w:rPr>
        <w:t>Black SME Financing</w:t>
      </w:r>
    </w:p>
    <w:p w:rsidR="0034362D" w:rsidRPr="0034362D" w:rsidRDefault="000C4709" w:rsidP="0034362D">
      <w:pPr>
        <w:pStyle w:val="ListParagraph"/>
        <w:numPr>
          <w:ilvl w:val="0"/>
          <w:numId w:val="36"/>
        </w:numPr>
        <w:jc w:val="both"/>
        <w:rPr>
          <w:rFonts w:ascii="Arial" w:hAnsi="Arial" w:cs="Arial"/>
          <w:sz w:val="22"/>
        </w:rPr>
      </w:pPr>
      <w:r w:rsidRPr="0034362D">
        <w:rPr>
          <w:rFonts w:ascii="Arial" w:hAnsi="Arial" w:cs="Arial"/>
          <w:sz w:val="22"/>
        </w:rPr>
        <w:t>Black agricultural financing</w:t>
      </w:r>
    </w:p>
    <w:p w:rsidR="0059205B" w:rsidRDefault="000C4709" w:rsidP="0034362D">
      <w:pPr>
        <w:pStyle w:val="ListParagraph"/>
        <w:numPr>
          <w:ilvl w:val="0"/>
          <w:numId w:val="36"/>
        </w:numPr>
        <w:jc w:val="both"/>
        <w:rPr>
          <w:rFonts w:ascii="Arial" w:hAnsi="Arial" w:cs="Arial"/>
          <w:sz w:val="22"/>
        </w:rPr>
      </w:pPr>
      <w:r w:rsidRPr="0034362D">
        <w:rPr>
          <w:rFonts w:ascii="Arial" w:hAnsi="Arial" w:cs="Arial"/>
          <w:sz w:val="22"/>
        </w:rPr>
        <w:t>Affordable housing</w:t>
      </w:r>
    </w:p>
    <w:p w:rsidR="00FB74E2" w:rsidRDefault="00FB74E2" w:rsidP="0034362D">
      <w:pPr>
        <w:jc w:val="both"/>
        <w:rPr>
          <w:rFonts w:ascii="Arial" w:hAnsi="Arial" w:cs="Arial"/>
          <w:lang w:val="en-US"/>
        </w:rPr>
      </w:pPr>
    </w:p>
    <w:p w:rsidR="0034362D" w:rsidRDefault="00FB74E2" w:rsidP="0034362D">
      <w:pPr>
        <w:jc w:val="both"/>
        <w:rPr>
          <w:rFonts w:ascii="Arial" w:hAnsi="Arial" w:cs="Arial"/>
          <w:lang w:val="en-US"/>
        </w:rPr>
      </w:pPr>
      <w:r>
        <w:rPr>
          <w:rFonts w:ascii="Arial" w:hAnsi="Arial" w:cs="Arial"/>
          <w:lang w:val="en-US"/>
        </w:rPr>
        <w:t>This</w:t>
      </w:r>
      <w:r w:rsidR="0034362D">
        <w:rPr>
          <w:rFonts w:ascii="Arial" w:hAnsi="Arial" w:cs="Arial"/>
          <w:lang w:val="en-US"/>
        </w:rPr>
        <w:t xml:space="preserve"> will serve to deter the financial institutions from preferential selection of one the above elements and still get</w:t>
      </w:r>
      <w:r>
        <w:rPr>
          <w:rFonts w:ascii="Arial" w:hAnsi="Arial" w:cs="Arial"/>
          <w:lang w:val="en-US"/>
        </w:rPr>
        <w:t xml:space="preserve"> t</w:t>
      </w:r>
      <w:r w:rsidR="0034362D">
        <w:rPr>
          <w:rFonts w:ascii="Arial" w:hAnsi="Arial" w:cs="Arial"/>
          <w:lang w:val="en-US"/>
        </w:rPr>
        <w:t xml:space="preserve">he benefits of </w:t>
      </w:r>
      <w:r>
        <w:rPr>
          <w:rFonts w:ascii="Arial" w:hAnsi="Arial" w:cs="Arial"/>
          <w:lang w:val="en-US"/>
        </w:rPr>
        <w:t xml:space="preserve">the </w:t>
      </w:r>
      <w:r w:rsidR="0034362D">
        <w:rPr>
          <w:rFonts w:ascii="Arial" w:hAnsi="Arial" w:cs="Arial"/>
          <w:lang w:val="en-US"/>
        </w:rPr>
        <w:t xml:space="preserve">full 12 points. </w:t>
      </w:r>
    </w:p>
    <w:p w:rsidR="0059205B" w:rsidRDefault="0059205B" w:rsidP="00BF54B4">
      <w:pPr>
        <w:pStyle w:val="Heading1"/>
        <w:numPr>
          <w:ilvl w:val="1"/>
          <w:numId w:val="33"/>
        </w:numPr>
        <w:rPr>
          <w:rFonts w:ascii="Arial" w:hAnsi="Arial" w:cs="Arial"/>
          <w:b/>
          <w:color w:val="auto"/>
          <w:sz w:val="24"/>
          <w:szCs w:val="24"/>
          <w:lang w:val="en-US"/>
        </w:rPr>
      </w:pPr>
      <w:r>
        <w:rPr>
          <w:rFonts w:ascii="Arial" w:hAnsi="Arial" w:cs="Arial"/>
          <w:b/>
          <w:color w:val="auto"/>
          <w:sz w:val="24"/>
          <w:szCs w:val="24"/>
          <w:lang w:val="en-US"/>
        </w:rPr>
        <w:t xml:space="preserve">Increase </w:t>
      </w:r>
      <w:r w:rsidR="00D15E09">
        <w:rPr>
          <w:rFonts w:ascii="Arial" w:hAnsi="Arial" w:cs="Arial"/>
          <w:b/>
          <w:color w:val="auto"/>
          <w:sz w:val="24"/>
          <w:szCs w:val="24"/>
          <w:lang w:val="en-US"/>
        </w:rPr>
        <w:t xml:space="preserve">funding for targeted investments and black industrialisation </w:t>
      </w:r>
    </w:p>
    <w:p w:rsidR="0059205B" w:rsidRPr="00AD2B63" w:rsidRDefault="00D230E9" w:rsidP="00AD2B63">
      <w:pPr>
        <w:pStyle w:val="NormalWeb"/>
        <w:spacing w:before="0" w:beforeAutospacing="0" w:after="0" w:afterAutospacing="0" w:line="360" w:lineRule="auto"/>
        <w:jc w:val="both"/>
        <w:rPr>
          <w:rFonts w:ascii="Arial" w:hAnsi="Arial" w:cs="Arial"/>
          <w:sz w:val="22"/>
          <w:szCs w:val="22"/>
        </w:rPr>
      </w:pPr>
      <w:r w:rsidRPr="00AC2EF1">
        <w:rPr>
          <w:rFonts w:ascii="Arial" w:hAnsi="Arial" w:cs="Arial"/>
          <w:sz w:val="22"/>
          <w:szCs w:val="22"/>
        </w:rPr>
        <w:t>The</w:t>
      </w:r>
      <w:r w:rsidR="0034362D" w:rsidRPr="00AC2EF1">
        <w:rPr>
          <w:rFonts w:ascii="Arial" w:hAnsi="Arial" w:cs="Arial"/>
          <w:sz w:val="22"/>
          <w:szCs w:val="22"/>
        </w:rPr>
        <w:t xml:space="preserve"> banking sector’s commitment to targeted investments of R48</w:t>
      </w:r>
      <w:r>
        <w:rPr>
          <w:rFonts w:ascii="Arial" w:hAnsi="Arial" w:cs="Arial"/>
          <w:sz w:val="22"/>
          <w:szCs w:val="22"/>
        </w:rPr>
        <w:t xml:space="preserve"> </w:t>
      </w:r>
      <w:r w:rsidR="0034362D" w:rsidRPr="00AC2EF1">
        <w:rPr>
          <w:rFonts w:ascii="Arial" w:hAnsi="Arial" w:cs="Arial"/>
          <w:sz w:val="22"/>
          <w:szCs w:val="22"/>
        </w:rPr>
        <w:t>b</w:t>
      </w:r>
      <w:r>
        <w:rPr>
          <w:rFonts w:ascii="Arial" w:hAnsi="Arial" w:cs="Arial"/>
          <w:sz w:val="22"/>
          <w:szCs w:val="22"/>
        </w:rPr>
        <w:t>illio</w:t>
      </w:r>
      <w:r w:rsidR="0034362D" w:rsidRPr="00AC2EF1">
        <w:rPr>
          <w:rFonts w:ascii="Arial" w:hAnsi="Arial" w:cs="Arial"/>
          <w:sz w:val="22"/>
          <w:szCs w:val="22"/>
        </w:rPr>
        <w:t xml:space="preserve">n </w:t>
      </w:r>
      <w:r w:rsidR="00D15E09">
        <w:rPr>
          <w:rFonts w:ascii="Arial" w:hAnsi="Arial" w:cs="Arial"/>
          <w:sz w:val="22"/>
          <w:szCs w:val="22"/>
        </w:rPr>
        <w:t xml:space="preserve">and R32 billion of black industrialist funding </w:t>
      </w:r>
      <w:r w:rsidRPr="00AC2EF1">
        <w:rPr>
          <w:rFonts w:ascii="Arial" w:hAnsi="Arial" w:cs="Arial"/>
          <w:sz w:val="22"/>
          <w:szCs w:val="22"/>
        </w:rPr>
        <w:t>is</w:t>
      </w:r>
      <w:r w:rsidR="0034362D" w:rsidRPr="00AC2EF1">
        <w:rPr>
          <w:rFonts w:ascii="Arial" w:hAnsi="Arial" w:cs="Arial"/>
          <w:sz w:val="22"/>
          <w:szCs w:val="22"/>
        </w:rPr>
        <w:t xml:space="preserve"> too low in an industry that had assets of R4.8 trillion in September 2016.</w:t>
      </w:r>
      <w:r>
        <w:rPr>
          <w:rFonts w:ascii="Arial" w:hAnsi="Arial" w:cs="Arial"/>
          <w:sz w:val="22"/>
          <w:szCs w:val="22"/>
        </w:rPr>
        <w:t xml:space="preserve"> Indicatively, the Codes </w:t>
      </w:r>
      <w:r w:rsidR="00EF69E7">
        <w:rPr>
          <w:rFonts w:ascii="Arial" w:hAnsi="Arial" w:cs="Arial"/>
          <w:sz w:val="22"/>
          <w:szCs w:val="22"/>
        </w:rPr>
        <w:t xml:space="preserve">target minimum direct </w:t>
      </w:r>
      <w:r>
        <w:rPr>
          <w:rFonts w:ascii="Arial" w:hAnsi="Arial" w:cs="Arial"/>
          <w:sz w:val="22"/>
          <w:szCs w:val="22"/>
        </w:rPr>
        <w:t xml:space="preserve">black equity </w:t>
      </w:r>
      <w:r w:rsidR="00EF69E7">
        <w:rPr>
          <w:rFonts w:ascii="Arial" w:hAnsi="Arial" w:cs="Arial"/>
          <w:sz w:val="22"/>
          <w:szCs w:val="22"/>
        </w:rPr>
        <w:t xml:space="preserve">of </w:t>
      </w:r>
      <w:r>
        <w:rPr>
          <w:rFonts w:ascii="Arial" w:hAnsi="Arial" w:cs="Arial"/>
          <w:sz w:val="22"/>
          <w:szCs w:val="22"/>
        </w:rPr>
        <w:t>25%</w:t>
      </w:r>
      <w:r w:rsidR="00EF69E7">
        <w:rPr>
          <w:rFonts w:ascii="Arial" w:hAnsi="Arial" w:cs="Arial"/>
          <w:sz w:val="22"/>
          <w:szCs w:val="22"/>
        </w:rPr>
        <w:t xml:space="preserve"> and therefore the banks must set a target to at least R1.2 trillion for </w:t>
      </w:r>
      <w:r w:rsidR="00EF69E7" w:rsidRPr="00EF69E7">
        <w:rPr>
          <w:rFonts w:ascii="Arial" w:hAnsi="Arial" w:cs="Arial"/>
          <w:sz w:val="22"/>
          <w:szCs w:val="22"/>
        </w:rPr>
        <w:t>BEE transaction financing</w:t>
      </w:r>
      <w:r w:rsidR="00AD2B63">
        <w:rPr>
          <w:rFonts w:ascii="Arial" w:hAnsi="Arial" w:cs="Arial"/>
          <w:sz w:val="22"/>
          <w:szCs w:val="22"/>
        </w:rPr>
        <w:t xml:space="preserve"> (transformational infrastructure, black SME financing, black agricultural financing, affordable housing and </w:t>
      </w:r>
      <w:r w:rsidR="00AD2B63" w:rsidRPr="00AD2B63">
        <w:rPr>
          <w:rFonts w:ascii="Arial" w:hAnsi="Arial" w:cs="Arial"/>
          <w:lang w:val="en-US"/>
        </w:rPr>
        <w:t>b</w:t>
      </w:r>
      <w:r w:rsidR="0059205B" w:rsidRPr="00AD2B63">
        <w:rPr>
          <w:rFonts w:ascii="Arial" w:hAnsi="Arial" w:cs="Arial"/>
          <w:lang w:val="en-US"/>
        </w:rPr>
        <w:t xml:space="preserve">lack </w:t>
      </w:r>
      <w:r w:rsidR="00AD2B63">
        <w:rPr>
          <w:rFonts w:ascii="Arial" w:hAnsi="Arial" w:cs="Arial"/>
          <w:lang w:val="en-US"/>
        </w:rPr>
        <w:t>industrialist</w:t>
      </w:r>
      <w:r w:rsidR="0059205B" w:rsidRPr="00AD2B63">
        <w:rPr>
          <w:rFonts w:ascii="Arial" w:hAnsi="Arial" w:cs="Arial"/>
          <w:lang w:val="en-US"/>
        </w:rPr>
        <w:t xml:space="preserve"> funding</w:t>
      </w:r>
      <w:r w:rsidR="00AD2B63">
        <w:rPr>
          <w:rFonts w:ascii="Arial" w:hAnsi="Arial" w:cs="Arial"/>
          <w:lang w:val="en-US"/>
        </w:rPr>
        <w:t xml:space="preserve">). </w:t>
      </w:r>
    </w:p>
    <w:p w:rsidR="0088735D" w:rsidRDefault="0088735D" w:rsidP="0088735D">
      <w:pPr>
        <w:rPr>
          <w:lang w:val="en-US"/>
        </w:rPr>
      </w:pPr>
    </w:p>
    <w:p w:rsidR="00077A3D" w:rsidRPr="0002293F" w:rsidRDefault="00077A3D" w:rsidP="00BF54B4">
      <w:pPr>
        <w:pStyle w:val="Heading1"/>
        <w:numPr>
          <w:ilvl w:val="1"/>
          <w:numId w:val="33"/>
        </w:numPr>
        <w:rPr>
          <w:rFonts w:ascii="Arial" w:hAnsi="Arial" w:cs="Arial"/>
          <w:b/>
          <w:color w:val="auto"/>
          <w:sz w:val="24"/>
          <w:szCs w:val="24"/>
          <w:lang w:val="en-US"/>
        </w:rPr>
      </w:pPr>
      <w:r>
        <w:rPr>
          <w:rFonts w:ascii="Arial" w:hAnsi="Arial" w:cs="Arial"/>
          <w:b/>
          <w:color w:val="auto"/>
          <w:sz w:val="24"/>
          <w:szCs w:val="24"/>
          <w:lang w:val="en-US"/>
        </w:rPr>
        <w:t>Improve target f</w:t>
      </w:r>
      <w:r w:rsidRPr="0002293F">
        <w:rPr>
          <w:rFonts w:ascii="Arial" w:hAnsi="Arial" w:cs="Arial"/>
          <w:b/>
          <w:color w:val="auto"/>
          <w:sz w:val="24"/>
          <w:szCs w:val="24"/>
          <w:lang w:val="en-US"/>
        </w:rPr>
        <w:t>or access to</w:t>
      </w:r>
      <w:r>
        <w:rPr>
          <w:rFonts w:ascii="Arial" w:hAnsi="Arial" w:cs="Arial"/>
          <w:b/>
          <w:color w:val="auto"/>
          <w:sz w:val="24"/>
          <w:szCs w:val="24"/>
          <w:lang w:val="en-US"/>
        </w:rPr>
        <w:t xml:space="preserve"> financial services</w:t>
      </w:r>
    </w:p>
    <w:p w:rsidR="00077A3D" w:rsidRDefault="00077A3D" w:rsidP="00A252AC">
      <w:pPr>
        <w:pStyle w:val="NormalWeb"/>
        <w:jc w:val="both"/>
        <w:rPr>
          <w:rFonts w:ascii="Arial" w:eastAsia="Times New Roman" w:hAnsi="Arial" w:cs="Arial"/>
          <w:lang w:val="en-US"/>
        </w:rPr>
      </w:pPr>
      <w:r>
        <w:rPr>
          <w:rFonts w:ascii="Arial" w:hAnsi="Arial" w:cs="Arial"/>
          <w:color w:val="000000"/>
        </w:rPr>
        <w:t xml:space="preserve">The </w:t>
      </w:r>
      <w:r w:rsidR="00FB74E2">
        <w:rPr>
          <w:rFonts w:ascii="Arial" w:hAnsi="Arial" w:cs="Arial"/>
          <w:color w:val="000000"/>
        </w:rPr>
        <w:t>sector must im</w:t>
      </w:r>
      <w:r>
        <w:rPr>
          <w:rFonts w:ascii="Arial" w:hAnsi="Arial" w:cs="Arial"/>
          <w:color w:val="000000"/>
        </w:rPr>
        <w:t>prov</w:t>
      </w:r>
      <w:r w:rsidR="00FB74E2">
        <w:rPr>
          <w:rFonts w:ascii="Arial" w:hAnsi="Arial" w:cs="Arial"/>
          <w:color w:val="000000"/>
        </w:rPr>
        <w:t xml:space="preserve">e the provision </w:t>
      </w:r>
      <w:r>
        <w:rPr>
          <w:rFonts w:ascii="Arial" w:hAnsi="Arial" w:cs="Arial"/>
          <w:color w:val="000000"/>
        </w:rPr>
        <w:t xml:space="preserve">of </w:t>
      </w:r>
      <w:r w:rsidRPr="002E4F28">
        <w:rPr>
          <w:rFonts w:ascii="Arial" w:hAnsi="Arial" w:cs="Arial"/>
          <w:color w:val="000000"/>
        </w:rPr>
        <w:t xml:space="preserve">banking and insurance services </w:t>
      </w:r>
      <w:r w:rsidRPr="002E4F28">
        <w:rPr>
          <w:rFonts w:ascii="Arial" w:eastAsia="Times New Roman" w:hAnsi="Arial" w:cs="Arial"/>
          <w:lang w:val="en-US"/>
        </w:rPr>
        <w:t xml:space="preserve">to </w:t>
      </w:r>
      <w:r w:rsidR="00FB74E2">
        <w:rPr>
          <w:rFonts w:ascii="Arial" w:eastAsia="Times New Roman" w:hAnsi="Arial" w:cs="Arial"/>
          <w:lang w:val="en-US"/>
        </w:rPr>
        <w:t>Black people. This requires the development of affordable products</w:t>
      </w:r>
      <w:r w:rsidR="00A252AC">
        <w:rPr>
          <w:rFonts w:ascii="Arial" w:eastAsia="Times New Roman" w:hAnsi="Arial" w:cs="Arial"/>
          <w:lang w:val="en-US"/>
        </w:rPr>
        <w:t xml:space="preserve"> and services. </w:t>
      </w:r>
    </w:p>
    <w:p w:rsidR="00A252AC" w:rsidRDefault="00A252AC" w:rsidP="00A252AC">
      <w:pPr>
        <w:pStyle w:val="Heading1"/>
        <w:numPr>
          <w:ilvl w:val="1"/>
          <w:numId w:val="33"/>
        </w:numPr>
        <w:rPr>
          <w:rFonts w:ascii="Arial" w:hAnsi="Arial" w:cs="Arial"/>
          <w:b/>
          <w:color w:val="auto"/>
          <w:sz w:val="24"/>
          <w:szCs w:val="24"/>
          <w:lang w:val="en-US"/>
        </w:rPr>
      </w:pPr>
      <w:r>
        <w:rPr>
          <w:rFonts w:ascii="Arial" w:hAnsi="Arial" w:cs="Arial"/>
          <w:b/>
          <w:color w:val="auto"/>
          <w:sz w:val="24"/>
          <w:szCs w:val="24"/>
          <w:lang w:val="en-US"/>
        </w:rPr>
        <w:t>Conformity to Enterprise and Supplier Development (ESD)</w:t>
      </w:r>
    </w:p>
    <w:p w:rsidR="00077A3D" w:rsidRPr="002E4F28" w:rsidRDefault="00077A3D" w:rsidP="00077A3D">
      <w:pPr>
        <w:spacing w:before="100" w:beforeAutospacing="1" w:after="100" w:afterAutospacing="1" w:line="24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In addition to the two sector specific pillars, </w:t>
      </w:r>
      <w:r w:rsidRPr="002E4F28">
        <w:rPr>
          <w:rFonts w:ascii="Arial" w:eastAsia="Times New Roman" w:hAnsi="Arial" w:cs="Arial"/>
          <w:sz w:val="24"/>
          <w:szCs w:val="24"/>
          <w:lang w:val="en-US"/>
        </w:rPr>
        <w:t>enterprise development</w:t>
      </w:r>
      <w:r>
        <w:rPr>
          <w:rFonts w:ascii="Arial" w:eastAsia="Times New Roman" w:hAnsi="Arial" w:cs="Arial"/>
          <w:sz w:val="24"/>
          <w:szCs w:val="24"/>
          <w:lang w:val="en-US"/>
        </w:rPr>
        <w:t xml:space="preserve"> which is applicable to companies across the economy is also a requirement for financial services companies and it</w:t>
      </w:r>
      <w:r w:rsidRPr="002E4F28">
        <w:rPr>
          <w:rFonts w:ascii="Arial" w:eastAsia="Times New Roman" w:hAnsi="Arial" w:cs="Arial"/>
          <w:sz w:val="24"/>
          <w:szCs w:val="24"/>
          <w:lang w:val="en-US"/>
        </w:rPr>
        <w:t xml:space="preserve"> </w:t>
      </w:r>
      <w:r>
        <w:rPr>
          <w:rFonts w:ascii="Arial" w:eastAsia="Times New Roman" w:hAnsi="Arial" w:cs="Arial"/>
          <w:sz w:val="24"/>
          <w:szCs w:val="24"/>
          <w:lang w:val="en-US"/>
        </w:rPr>
        <w:t xml:space="preserve">aims at </w:t>
      </w:r>
      <w:r w:rsidRPr="002E4F28">
        <w:rPr>
          <w:rFonts w:ascii="Arial" w:eastAsia="Times New Roman" w:hAnsi="Arial" w:cs="Arial"/>
          <w:sz w:val="24"/>
          <w:szCs w:val="24"/>
          <w:lang w:val="en-US"/>
        </w:rPr>
        <w:t>foster</w:t>
      </w:r>
      <w:r>
        <w:rPr>
          <w:rFonts w:ascii="Arial" w:eastAsia="Times New Roman" w:hAnsi="Arial" w:cs="Arial"/>
          <w:sz w:val="24"/>
          <w:szCs w:val="24"/>
          <w:lang w:val="en-US"/>
        </w:rPr>
        <w:t>ing</w:t>
      </w:r>
      <w:r w:rsidRPr="002E4F28">
        <w:rPr>
          <w:rFonts w:ascii="Arial" w:eastAsia="Times New Roman" w:hAnsi="Arial" w:cs="Arial"/>
          <w:sz w:val="24"/>
          <w:szCs w:val="24"/>
          <w:lang w:val="en-US"/>
        </w:rPr>
        <w:t xml:space="preserve"> and develop</w:t>
      </w:r>
      <w:r>
        <w:rPr>
          <w:rFonts w:ascii="Arial" w:eastAsia="Times New Roman" w:hAnsi="Arial" w:cs="Arial"/>
          <w:sz w:val="24"/>
          <w:szCs w:val="24"/>
          <w:lang w:val="en-US"/>
        </w:rPr>
        <w:t>ing</w:t>
      </w:r>
      <w:r w:rsidRPr="002E4F28">
        <w:rPr>
          <w:rFonts w:ascii="Arial" w:eastAsia="Times New Roman" w:hAnsi="Arial" w:cs="Arial"/>
          <w:sz w:val="24"/>
          <w:szCs w:val="24"/>
          <w:lang w:val="en-US"/>
        </w:rPr>
        <w:t xml:space="preserve"> new and existing black companies through improving the levels of assistance provided to such companies/suppliers in the economy. </w:t>
      </w:r>
    </w:p>
    <w:p w:rsidR="00077A3D" w:rsidRDefault="00077A3D" w:rsidP="00077A3D">
      <w:pPr>
        <w:spacing w:before="100" w:beforeAutospacing="1" w:after="100" w:afterAutospacing="1" w:line="240" w:lineRule="auto"/>
        <w:jc w:val="both"/>
        <w:rPr>
          <w:rFonts w:ascii="Arial" w:eastAsia="Times New Roman" w:hAnsi="Arial" w:cs="Arial"/>
          <w:sz w:val="24"/>
          <w:szCs w:val="24"/>
          <w:lang w:val="en-US"/>
        </w:rPr>
      </w:pPr>
      <w:r>
        <w:rPr>
          <w:rFonts w:ascii="Arial" w:eastAsia="Times New Roman" w:hAnsi="Arial" w:cs="Arial"/>
          <w:sz w:val="24"/>
          <w:szCs w:val="24"/>
          <w:lang w:val="en-US"/>
        </w:rPr>
        <w:t>Examples of enterprise development include:</w:t>
      </w:r>
    </w:p>
    <w:p w:rsidR="00077A3D" w:rsidRPr="00BF389A" w:rsidRDefault="00077A3D" w:rsidP="00BF54B4">
      <w:pPr>
        <w:pStyle w:val="NormalWeb"/>
        <w:numPr>
          <w:ilvl w:val="0"/>
          <w:numId w:val="6"/>
        </w:numPr>
        <w:jc w:val="both"/>
        <w:rPr>
          <w:rFonts w:ascii="Arial" w:hAnsi="Arial" w:cs="Arial"/>
          <w:color w:val="000000"/>
        </w:rPr>
      </w:pPr>
      <w:r w:rsidRPr="00BF389A">
        <w:rPr>
          <w:rFonts w:ascii="Arial" w:hAnsi="Arial" w:cs="Arial"/>
          <w:color w:val="000000"/>
        </w:rPr>
        <w:t xml:space="preserve">skills transfer, </w:t>
      </w:r>
    </w:p>
    <w:p w:rsidR="00077A3D" w:rsidRPr="00BF389A" w:rsidRDefault="00077A3D" w:rsidP="00BF54B4">
      <w:pPr>
        <w:pStyle w:val="NormalWeb"/>
        <w:numPr>
          <w:ilvl w:val="0"/>
          <w:numId w:val="6"/>
        </w:numPr>
        <w:jc w:val="both"/>
        <w:rPr>
          <w:rFonts w:ascii="Arial" w:hAnsi="Arial" w:cs="Arial"/>
          <w:color w:val="000000"/>
        </w:rPr>
      </w:pPr>
      <w:r w:rsidRPr="00BF389A">
        <w:rPr>
          <w:rFonts w:ascii="Arial" w:hAnsi="Arial" w:cs="Arial"/>
          <w:color w:val="000000"/>
        </w:rPr>
        <w:t>secondment of staff,</w:t>
      </w:r>
    </w:p>
    <w:p w:rsidR="00077A3D" w:rsidRPr="00BF389A" w:rsidRDefault="00077A3D" w:rsidP="00BF54B4">
      <w:pPr>
        <w:pStyle w:val="NormalWeb"/>
        <w:numPr>
          <w:ilvl w:val="0"/>
          <w:numId w:val="6"/>
        </w:numPr>
        <w:jc w:val="both"/>
        <w:rPr>
          <w:rFonts w:ascii="Arial" w:hAnsi="Arial" w:cs="Arial"/>
          <w:color w:val="000000"/>
        </w:rPr>
      </w:pPr>
      <w:r w:rsidRPr="00BF389A">
        <w:rPr>
          <w:rFonts w:ascii="Arial" w:hAnsi="Arial" w:cs="Arial"/>
          <w:color w:val="000000"/>
        </w:rPr>
        <w:t xml:space="preserve">infrastructure support, </w:t>
      </w:r>
    </w:p>
    <w:p w:rsidR="00077A3D" w:rsidRDefault="00077A3D" w:rsidP="00BF54B4">
      <w:pPr>
        <w:pStyle w:val="NormalWeb"/>
        <w:numPr>
          <w:ilvl w:val="0"/>
          <w:numId w:val="6"/>
        </w:numPr>
        <w:jc w:val="both"/>
        <w:rPr>
          <w:rFonts w:ascii="Arial" w:hAnsi="Arial" w:cs="Arial"/>
          <w:lang w:val="en-US" w:eastAsia="en-US"/>
        </w:rPr>
      </w:pPr>
      <w:r w:rsidRPr="00BF389A">
        <w:rPr>
          <w:rFonts w:ascii="Arial" w:hAnsi="Arial" w:cs="Arial"/>
          <w:color w:val="000000"/>
        </w:rPr>
        <w:t>providing financial, technical and administrative support and assistance for the establishment</w:t>
      </w:r>
      <w:r w:rsidRPr="00714957">
        <w:rPr>
          <w:rFonts w:ascii="Arial" w:hAnsi="Arial" w:cs="Arial"/>
          <w:lang w:val="en-US" w:eastAsia="en-US"/>
        </w:rPr>
        <w:t xml:space="preserve"> and growth of black companies</w:t>
      </w:r>
      <w:r>
        <w:rPr>
          <w:rFonts w:ascii="Arial" w:hAnsi="Arial" w:cs="Arial"/>
          <w:lang w:val="en-US" w:eastAsia="en-US"/>
        </w:rPr>
        <w:t xml:space="preserve"> or suppliers</w:t>
      </w:r>
    </w:p>
    <w:p w:rsidR="00077A3D" w:rsidRPr="00714957" w:rsidRDefault="00077A3D" w:rsidP="00077A3D">
      <w:pPr>
        <w:spacing w:before="100" w:beforeAutospacing="1" w:after="100" w:afterAutospacing="1"/>
        <w:jc w:val="both"/>
        <w:rPr>
          <w:rFonts w:ascii="Arial" w:eastAsia="Times New Roman" w:hAnsi="Arial" w:cs="Arial"/>
          <w:sz w:val="24"/>
          <w:szCs w:val="24"/>
          <w:lang w:val="en-US"/>
        </w:rPr>
      </w:pPr>
      <w:r>
        <w:rPr>
          <w:rFonts w:ascii="Arial" w:eastAsia="Times New Roman" w:hAnsi="Arial" w:cs="Arial"/>
          <w:sz w:val="24"/>
          <w:szCs w:val="24"/>
          <w:lang w:val="en-US"/>
        </w:rPr>
        <w:t>I</w:t>
      </w:r>
      <w:r w:rsidRPr="00714957">
        <w:rPr>
          <w:rFonts w:ascii="Arial" w:eastAsia="Times New Roman" w:hAnsi="Arial" w:cs="Arial"/>
          <w:sz w:val="24"/>
          <w:szCs w:val="24"/>
          <w:lang w:val="en-US"/>
        </w:rPr>
        <w:t xml:space="preserve">n the financial services sector this includes broking agencies and/or enterprises through which the sector sells its products and services. </w:t>
      </w:r>
    </w:p>
    <w:p w:rsidR="00077A3D" w:rsidRDefault="00077A3D" w:rsidP="00077A3D">
      <w:pPr>
        <w:spacing w:before="100" w:beforeAutospacing="1" w:after="100" w:afterAutospacing="1" w:line="240" w:lineRule="auto"/>
        <w:jc w:val="both"/>
        <w:rPr>
          <w:rFonts w:ascii="Arial" w:eastAsia="Times New Roman" w:hAnsi="Arial" w:cs="Arial"/>
          <w:sz w:val="24"/>
          <w:szCs w:val="24"/>
          <w:lang w:val="en-US"/>
        </w:rPr>
      </w:pPr>
      <w:r w:rsidRPr="002E4F28">
        <w:rPr>
          <w:rFonts w:ascii="Arial" w:eastAsia="Times New Roman" w:hAnsi="Arial" w:cs="Arial"/>
          <w:sz w:val="24"/>
          <w:szCs w:val="24"/>
          <w:lang w:val="en-US"/>
        </w:rPr>
        <w:t>In addition, where appropriate, financial institutions will refer business opportunities to, and procure from, black owned financial institutions as an avenue to assist black SMMEs.</w:t>
      </w:r>
    </w:p>
    <w:p w:rsidR="00077A3D" w:rsidRDefault="00077A3D" w:rsidP="00077A3D">
      <w:pPr>
        <w:spacing w:before="100" w:beforeAutospacing="1" w:after="100" w:afterAutospacing="1" w:line="240" w:lineRule="auto"/>
        <w:jc w:val="both"/>
        <w:rPr>
          <w:rFonts w:ascii="Arial" w:eastAsia="Times New Roman" w:hAnsi="Arial" w:cs="Arial"/>
          <w:sz w:val="24"/>
          <w:szCs w:val="24"/>
          <w:lang w:val="en-US"/>
        </w:rPr>
      </w:pPr>
      <w:r>
        <w:rPr>
          <w:rFonts w:ascii="Arial" w:eastAsia="Times New Roman" w:hAnsi="Arial" w:cs="Arial"/>
          <w:sz w:val="24"/>
          <w:szCs w:val="24"/>
          <w:lang w:val="en-US"/>
        </w:rPr>
        <w:t>These requirements are the “business of financial services” and are not necessarily transformative in nature.  The financial services companies are in the business of providing funding, insurance products as well as savings and investment products. Therefore the targets set for transformation in the FSC code do not extend their mandate past their core business offering.</w:t>
      </w:r>
      <w:r w:rsidR="00A252AC">
        <w:rPr>
          <w:rFonts w:ascii="Arial" w:eastAsia="Times New Roman" w:hAnsi="Arial" w:cs="Arial"/>
          <w:sz w:val="24"/>
          <w:szCs w:val="24"/>
          <w:lang w:val="en-US"/>
        </w:rPr>
        <w:t xml:space="preserve"> It is therefore recommended that the sector invest and partner with DFIs and other government institutions in the implementation of ESD programmes and/or co-investment in business supported by such public sector entities.</w:t>
      </w:r>
    </w:p>
    <w:p w:rsidR="00BC0DAA" w:rsidRDefault="00BC0DAA" w:rsidP="00BC0DAA">
      <w:pPr>
        <w:pStyle w:val="Heading1"/>
        <w:numPr>
          <w:ilvl w:val="1"/>
          <w:numId w:val="33"/>
        </w:numPr>
        <w:rPr>
          <w:rFonts w:ascii="Arial" w:hAnsi="Arial" w:cs="Arial"/>
          <w:b/>
          <w:color w:val="auto"/>
          <w:sz w:val="24"/>
          <w:szCs w:val="24"/>
          <w:lang w:val="en-US"/>
        </w:rPr>
      </w:pPr>
      <w:r>
        <w:rPr>
          <w:rFonts w:ascii="Arial" w:hAnsi="Arial" w:cs="Arial"/>
          <w:b/>
          <w:color w:val="auto"/>
          <w:sz w:val="24"/>
          <w:szCs w:val="24"/>
          <w:lang w:val="en-US"/>
        </w:rPr>
        <w:t xml:space="preserve">Allocation of additional points for ESD compliance </w:t>
      </w:r>
    </w:p>
    <w:p w:rsidR="00BC0DAA" w:rsidRPr="0034362D" w:rsidRDefault="00BC0DAA" w:rsidP="00BC0DAA">
      <w:pPr>
        <w:jc w:val="both"/>
        <w:rPr>
          <w:rFonts w:ascii="Arial" w:hAnsi="Arial" w:cs="Arial"/>
        </w:rPr>
      </w:pPr>
      <w:r>
        <w:rPr>
          <w:rFonts w:ascii="Arial" w:hAnsi="Arial" w:cs="Arial"/>
        </w:rPr>
        <w:t xml:space="preserve">Allocation of additional points for compliance with ESD targets will be beneficial to the sector because ESD is one of the major economic growth drivers. The sector should also pursue punitive measures for non-compliance by reducing the overall score by one level. </w:t>
      </w:r>
    </w:p>
    <w:p w:rsidR="00077A3D" w:rsidRDefault="00077A3D" w:rsidP="00077A3D">
      <w:pPr>
        <w:jc w:val="both"/>
        <w:rPr>
          <w:rFonts w:ascii="Arial" w:hAnsi="Arial" w:cs="Arial"/>
          <w:sz w:val="24"/>
          <w:szCs w:val="24"/>
        </w:rPr>
      </w:pPr>
    </w:p>
    <w:p w:rsidR="00077A3D" w:rsidRDefault="008D18DF" w:rsidP="00BF54B4">
      <w:pPr>
        <w:pStyle w:val="Heading1"/>
        <w:numPr>
          <w:ilvl w:val="1"/>
          <w:numId w:val="33"/>
        </w:numPr>
        <w:rPr>
          <w:rFonts w:ascii="Arial" w:hAnsi="Arial" w:cs="Arial"/>
          <w:b/>
          <w:color w:val="auto"/>
          <w:sz w:val="24"/>
          <w:szCs w:val="24"/>
          <w:lang w:val="en-US"/>
        </w:rPr>
      </w:pPr>
      <w:r>
        <w:rPr>
          <w:rFonts w:ascii="Arial" w:hAnsi="Arial" w:cs="Arial"/>
          <w:b/>
          <w:color w:val="auto"/>
          <w:sz w:val="24"/>
          <w:szCs w:val="24"/>
          <w:lang w:val="en-US"/>
        </w:rPr>
        <w:t>Socio-Economic Development (SED)</w:t>
      </w:r>
    </w:p>
    <w:p w:rsidR="008D18DF" w:rsidRPr="008D18DF" w:rsidRDefault="008D18DF" w:rsidP="008D18DF">
      <w:pPr>
        <w:jc w:val="both"/>
        <w:rPr>
          <w:lang w:val="en-US"/>
        </w:rPr>
      </w:pPr>
      <w:r w:rsidRPr="008D18DF">
        <w:rPr>
          <w:rFonts w:ascii="Arial" w:eastAsia="Times New Roman" w:hAnsi="Arial" w:cs="Arial"/>
          <w:sz w:val="24"/>
          <w:szCs w:val="24"/>
          <w:lang w:val="en-US"/>
        </w:rPr>
        <w:t xml:space="preserve">The sector should aggressively implement its SED programmes and in instances that, there are bottlenecks, then it should pursue partnerships with the public sector. </w:t>
      </w:r>
      <w:r>
        <w:rPr>
          <w:rFonts w:ascii="Arial" w:eastAsia="Times New Roman" w:hAnsi="Arial" w:cs="Arial"/>
          <w:sz w:val="24"/>
          <w:szCs w:val="24"/>
          <w:lang w:val="en-US"/>
        </w:rPr>
        <w:t xml:space="preserve">It is also important for mandatory reporting to establishment the impact of SED by the sector. </w:t>
      </w:r>
    </w:p>
    <w:p w:rsidR="0088735D" w:rsidRPr="000B4E03" w:rsidRDefault="0088735D" w:rsidP="00BF54B4">
      <w:pPr>
        <w:pStyle w:val="Heading1"/>
        <w:numPr>
          <w:ilvl w:val="1"/>
          <w:numId w:val="33"/>
        </w:numPr>
        <w:rPr>
          <w:rFonts w:ascii="Arial" w:hAnsi="Arial" w:cs="Arial"/>
          <w:b/>
          <w:color w:val="auto"/>
          <w:sz w:val="24"/>
          <w:szCs w:val="24"/>
          <w:lang w:val="en-US"/>
        </w:rPr>
      </w:pPr>
      <w:r>
        <w:rPr>
          <w:rFonts w:ascii="Arial" w:hAnsi="Arial" w:cs="Arial"/>
          <w:b/>
          <w:color w:val="auto"/>
          <w:sz w:val="24"/>
          <w:szCs w:val="24"/>
          <w:lang w:val="en-US"/>
        </w:rPr>
        <w:t xml:space="preserve">Apply </w:t>
      </w:r>
      <w:r w:rsidRPr="000B4E03">
        <w:rPr>
          <w:rFonts w:ascii="Arial" w:hAnsi="Arial" w:cs="Arial"/>
          <w:b/>
          <w:color w:val="auto"/>
          <w:sz w:val="24"/>
          <w:szCs w:val="24"/>
          <w:lang w:val="en-US"/>
        </w:rPr>
        <w:t>appropriate funding mechanisms</w:t>
      </w:r>
    </w:p>
    <w:p w:rsidR="0088735D" w:rsidRPr="000B4E03" w:rsidRDefault="0088735D" w:rsidP="0088735D">
      <w:pPr>
        <w:spacing w:before="100" w:beforeAutospacing="1" w:after="100" w:afterAutospacing="1"/>
        <w:jc w:val="both"/>
        <w:rPr>
          <w:rFonts w:ascii="Arial" w:hAnsi="Arial" w:cs="Arial"/>
          <w:sz w:val="24"/>
          <w:szCs w:val="24"/>
          <w:lang w:val="en-US"/>
        </w:rPr>
      </w:pPr>
      <w:r w:rsidRPr="000B4E03">
        <w:rPr>
          <w:rFonts w:ascii="Arial" w:hAnsi="Arial" w:cs="Arial"/>
          <w:sz w:val="24"/>
          <w:szCs w:val="24"/>
          <w:lang w:val="en-US"/>
        </w:rPr>
        <w:t>The</w:t>
      </w:r>
      <w:r w:rsidRPr="000B4E03">
        <w:rPr>
          <w:rFonts w:ascii="Arial" w:hAnsi="Arial" w:cs="Arial"/>
          <w:sz w:val="24"/>
          <w:szCs w:val="24"/>
        </w:rPr>
        <w:t xml:space="preserve"> current instruments available in the financial system of the country do not adequately address the requirements of the black entrepreneur. </w:t>
      </w:r>
      <w:r w:rsidRPr="000B4E03">
        <w:rPr>
          <w:rFonts w:ascii="Arial" w:hAnsi="Arial" w:cs="Arial"/>
          <w:sz w:val="24"/>
          <w:szCs w:val="24"/>
          <w:lang w:val="en-US"/>
        </w:rPr>
        <w:t>Effectively, an ecosystem designed and built with the unique challenges of these entrepreneurs would need to be created.</w:t>
      </w:r>
    </w:p>
    <w:p w:rsidR="0088735D" w:rsidRPr="000B4E03" w:rsidRDefault="0088735D" w:rsidP="00BF54B4">
      <w:pPr>
        <w:pStyle w:val="Heading1"/>
        <w:numPr>
          <w:ilvl w:val="1"/>
          <w:numId w:val="33"/>
        </w:numPr>
        <w:rPr>
          <w:rFonts w:ascii="Arial" w:hAnsi="Arial" w:cs="Arial"/>
          <w:b/>
          <w:color w:val="auto"/>
          <w:sz w:val="24"/>
          <w:szCs w:val="24"/>
          <w:lang w:val="en-US"/>
        </w:rPr>
      </w:pPr>
      <w:r w:rsidRPr="000B4E03">
        <w:rPr>
          <w:rFonts w:ascii="Arial" w:hAnsi="Arial" w:cs="Arial"/>
          <w:b/>
          <w:color w:val="auto"/>
          <w:sz w:val="24"/>
          <w:szCs w:val="24"/>
          <w:lang w:val="en-US"/>
        </w:rPr>
        <w:t>Increase</w:t>
      </w:r>
      <w:r>
        <w:rPr>
          <w:rFonts w:ascii="Arial" w:hAnsi="Arial" w:cs="Arial"/>
          <w:b/>
          <w:color w:val="auto"/>
          <w:sz w:val="24"/>
          <w:szCs w:val="24"/>
          <w:lang w:val="en-US"/>
        </w:rPr>
        <w:t>d partnership</w:t>
      </w:r>
      <w:r w:rsidRPr="000B4E03">
        <w:rPr>
          <w:rFonts w:ascii="Arial" w:hAnsi="Arial" w:cs="Arial"/>
          <w:b/>
          <w:color w:val="auto"/>
          <w:sz w:val="24"/>
          <w:szCs w:val="24"/>
          <w:lang w:val="en-US"/>
        </w:rPr>
        <w:t xml:space="preserve"> with DFIs </w:t>
      </w:r>
    </w:p>
    <w:p w:rsidR="0088735D" w:rsidRPr="000B4E03" w:rsidRDefault="0088735D" w:rsidP="0088735D">
      <w:pPr>
        <w:spacing w:before="100" w:beforeAutospacing="1" w:after="100" w:afterAutospacing="1"/>
        <w:jc w:val="both"/>
        <w:rPr>
          <w:rFonts w:ascii="Arial" w:hAnsi="Arial" w:cs="Arial"/>
          <w:sz w:val="24"/>
          <w:szCs w:val="24"/>
        </w:rPr>
      </w:pPr>
      <w:r w:rsidRPr="000B4E03">
        <w:rPr>
          <w:rFonts w:ascii="Arial" w:hAnsi="Arial" w:cs="Arial"/>
          <w:sz w:val="24"/>
          <w:szCs w:val="24"/>
          <w:lang w:val="en-US"/>
        </w:rPr>
        <w:t>Despite</w:t>
      </w:r>
      <w:r w:rsidRPr="000B4E03">
        <w:rPr>
          <w:rFonts w:ascii="Arial" w:hAnsi="Arial" w:cs="Arial"/>
          <w:sz w:val="24"/>
          <w:szCs w:val="24"/>
        </w:rPr>
        <w:t xml:space="preserve"> the contributions and the support provided to black business by funding institutions there seems to be a shortfall in the required support provided to this sector of the economy by financial institutions.  Development Finance Institutes (DFIs) offer alternate funding options for these black businesses however they cannot carry the load alone as their available capital is limited. </w:t>
      </w:r>
      <w:r w:rsidRPr="000B4E03">
        <w:rPr>
          <w:rFonts w:ascii="Arial" w:hAnsi="Arial" w:cs="Arial"/>
          <w:sz w:val="24"/>
          <w:szCs w:val="24"/>
          <w:lang w:val="en-US"/>
        </w:rPr>
        <w:t>Examples of values of assets in the DFI sector are:</w:t>
      </w:r>
    </w:p>
    <w:p w:rsidR="0088735D" w:rsidRPr="003A371B" w:rsidRDefault="0088735D" w:rsidP="00BF54B4">
      <w:pPr>
        <w:pStyle w:val="ListParagraph"/>
        <w:numPr>
          <w:ilvl w:val="0"/>
          <w:numId w:val="9"/>
        </w:numPr>
        <w:spacing w:before="100" w:beforeAutospacing="1" w:after="100" w:afterAutospacing="1"/>
        <w:jc w:val="both"/>
        <w:rPr>
          <w:rFonts w:ascii="Arial" w:hAnsi="Arial" w:cs="Arial"/>
          <w:lang w:val="en-US"/>
        </w:rPr>
      </w:pPr>
      <w:r w:rsidRPr="003A371B">
        <w:rPr>
          <w:rFonts w:ascii="Arial" w:hAnsi="Arial" w:cs="Arial"/>
          <w:lang w:val="en-US"/>
        </w:rPr>
        <w:t>According to the South African Reserve Bank, at 30 September 2016 the Public Investment Corporation (PIC) had assets of R1.9 trillion. This included direct and indirect investments in ordinary shares of R962</w:t>
      </w:r>
      <w:r>
        <w:rPr>
          <w:rFonts w:ascii="Arial" w:hAnsi="Arial" w:cs="Arial"/>
          <w:lang w:val="en-US"/>
        </w:rPr>
        <w:t xml:space="preserve"> billion</w:t>
      </w:r>
      <w:r w:rsidRPr="003A371B">
        <w:rPr>
          <w:rFonts w:ascii="Arial" w:hAnsi="Arial" w:cs="Arial"/>
          <w:lang w:val="en-US"/>
        </w:rPr>
        <w:t xml:space="preserve">. This was equivalent to 7.2% of the JSE’s market capitalization. The PIC also finances almost 20% of </w:t>
      </w:r>
      <w:r>
        <w:rPr>
          <w:rFonts w:ascii="Arial" w:hAnsi="Arial" w:cs="Arial"/>
          <w:lang w:val="en-US"/>
        </w:rPr>
        <w:t>Government</w:t>
      </w:r>
      <w:r w:rsidRPr="003A371B">
        <w:rPr>
          <w:rFonts w:ascii="Arial" w:hAnsi="Arial" w:cs="Arial"/>
          <w:lang w:val="en-US"/>
        </w:rPr>
        <w:t xml:space="preserve"> debt.</w:t>
      </w:r>
    </w:p>
    <w:p w:rsidR="0088735D" w:rsidRPr="003A371B" w:rsidRDefault="0088735D" w:rsidP="00BF54B4">
      <w:pPr>
        <w:pStyle w:val="ListParagraph"/>
        <w:numPr>
          <w:ilvl w:val="0"/>
          <w:numId w:val="9"/>
        </w:numPr>
        <w:spacing w:before="100" w:beforeAutospacing="1" w:after="100" w:afterAutospacing="1"/>
        <w:jc w:val="both"/>
        <w:rPr>
          <w:rFonts w:ascii="Arial" w:hAnsi="Arial" w:cs="Arial"/>
          <w:lang w:val="en-US"/>
        </w:rPr>
      </w:pPr>
      <w:r w:rsidRPr="003A371B">
        <w:rPr>
          <w:rFonts w:ascii="Arial" w:hAnsi="Arial" w:cs="Arial"/>
          <w:lang w:val="en-US"/>
        </w:rPr>
        <w:t>According to National Treasury’s 2017 Budget Review, DFIs in the country had assets of R254</w:t>
      </w:r>
      <w:r>
        <w:rPr>
          <w:rFonts w:ascii="Arial" w:hAnsi="Arial" w:cs="Arial"/>
          <w:lang w:val="en-US"/>
        </w:rPr>
        <w:t xml:space="preserve"> billion</w:t>
      </w:r>
      <w:r w:rsidRPr="003A371B">
        <w:rPr>
          <w:rFonts w:ascii="Arial" w:hAnsi="Arial" w:cs="Arial"/>
          <w:lang w:val="en-US"/>
        </w:rPr>
        <w:t>. This was equivalent to about 5.3% of total banking assets:</w:t>
      </w:r>
    </w:p>
    <w:p w:rsidR="0088735D" w:rsidRPr="00723A49" w:rsidRDefault="0088735D" w:rsidP="0088735D">
      <w:pPr>
        <w:pStyle w:val="ListParagraph"/>
        <w:rPr>
          <w:rFonts w:ascii="Arial" w:hAnsi="Arial" w:cs="Arial"/>
          <w:lang w:val="en-US"/>
        </w:rPr>
      </w:pPr>
    </w:p>
    <w:p w:rsidR="0088735D" w:rsidRPr="00723A49" w:rsidRDefault="0088735D" w:rsidP="00BF54B4">
      <w:pPr>
        <w:pStyle w:val="ListParagraph"/>
        <w:numPr>
          <w:ilvl w:val="0"/>
          <w:numId w:val="4"/>
        </w:numPr>
        <w:spacing w:before="100" w:beforeAutospacing="1" w:after="100" w:afterAutospacing="1"/>
        <w:jc w:val="both"/>
        <w:rPr>
          <w:rFonts w:ascii="Arial" w:hAnsi="Arial" w:cs="Arial"/>
          <w:lang w:val="en-US"/>
        </w:rPr>
      </w:pPr>
      <w:r w:rsidRPr="00723A49">
        <w:rPr>
          <w:rFonts w:ascii="Arial" w:hAnsi="Arial" w:cs="Arial"/>
          <w:lang w:val="en-US"/>
        </w:rPr>
        <w:t>At the end of March 2016, the Industrial Development Corporation (IDC) had assets of R121</w:t>
      </w:r>
      <w:r>
        <w:rPr>
          <w:rFonts w:ascii="Arial" w:hAnsi="Arial" w:cs="Arial"/>
          <w:lang w:val="en-US"/>
        </w:rPr>
        <w:t xml:space="preserve"> billion</w:t>
      </w:r>
      <w:r w:rsidRPr="00723A49">
        <w:rPr>
          <w:rFonts w:ascii="Arial" w:hAnsi="Arial" w:cs="Arial"/>
          <w:lang w:val="en-US"/>
        </w:rPr>
        <w:t>,</w:t>
      </w:r>
    </w:p>
    <w:p w:rsidR="0088735D" w:rsidRPr="00723A49" w:rsidRDefault="0088735D" w:rsidP="00BF54B4">
      <w:pPr>
        <w:pStyle w:val="ListParagraph"/>
        <w:numPr>
          <w:ilvl w:val="0"/>
          <w:numId w:val="4"/>
        </w:numPr>
        <w:spacing w:before="100" w:beforeAutospacing="1" w:after="100" w:afterAutospacing="1"/>
        <w:jc w:val="both"/>
        <w:rPr>
          <w:rFonts w:ascii="Arial" w:hAnsi="Arial" w:cs="Arial"/>
          <w:lang w:val="en-US"/>
        </w:rPr>
      </w:pPr>
      <w:r w:rsidRPr="00723A49">
        <w:rPr>
          <w:rFonts w:ascii="Arial" w:hAnsi="Arial" w:cs="Arial"/>
          <w:lang w:val="en-US"/>
        </w:rPr>
        <w:t>At the end of March 2016, the Development Bank of Southern Africa (DBSA) had total assets of R82</w:t>
      </w:r>
      <w:r>
        <w:rPr>
          <w:rFonts w:ascii="Arial" w:hAnsi="Arial" w:cs="Arial"/>
          <w:lang w:val="en-US"/>
        </w:rPr>
        <w:t xml:space="preserve"> billion</w:t>
      </w:r>
      <w:r w:rsidRPr="00723A49">
        <w:rPr>
          <w:rFonts w:ascii="Arial" w:hAnsi="Arial" w:cs="Arial"/>
          <w:lang w:val="en-US"/>
        </w:rPr>
        <w:t xml:space="preserve"> </w:t>
      </w:r>
    </w:p>
    <w:p w:rsidR="0088735D" w:rsidRPr="00723A49" w:rsidRDefault="0088735D" w:rsidP="00BF54B4">
      <w:pPr>
        <w:pStyle w:val="ListParagraph"/>
        <w:numPr>
          <w:ilvl w:val="0"/>
          <w:numId w:val="4"/>
        </w:numPr>
        <w:spacing w:before="100" w:beforeAutospacing="1" w:after="100" w:afterAutospacing="1"/>
        <w:jc w:val="both"/>
        <w:rPr>
          <w:rFonts w:ascii="Arial" w:hAnsi="Arial" w:cs="Arial"/>
          <w:lang w:val="en-US"/>
        </w:rPr>
      </w:pPr>
      <w:r w:rsidRPr="00723A49">
        <w:rPr>
          <w:rFonts w:ascii="Arial" w:hAnsi="Arial" w:cs="Arial"/>
          <w:lang w:val="en-US"/>
        </w:rPr>
        <w:t>At the end of March 2016, the Land Bank had total assets of R41</w:t>
      </w:r>
      <w:r>
        <w:rPr>
          <w:rFonts w:ascii="Arial" w:hAnsi="Arial" w:cs="Arial"/>
          <w:lang w:val="en-US"/>
        </w:rPr>
        <w:t xml:space="preserve"> billion</w:t>
      </w:r>
      <w:r w:rsidRPr="00723A49">
        <w:rPr>
          <w:rFonts w:ascii="Arial" w:hAnsi="Arial" w:cs="Arial"/>
          <w:lang w:val="en-US"/>
        </w:rPr>
        <w:t xml:space="preserve">, and </w:t>
      </w:r>
    </w:p>
    <w:p w:rsidR="0088735D" w:rsidRPr="00723A49" w:rsidRDefault="0088735D" w:rsidP="00BF54B4">
      <w:pPr>
        <w:pStyle w:val="ListParagraph"/>
        <w:numPr>
          <w:ilvl w:val="0"/>
          <w:numId w:val="4"/>
        </w:numPr>
        <w:spacing w:before="100" w:beforeAutospacing="1" w:after="100" w:afterAutospacing="1"/>
        <w:jc w:val="both"/>
        <w:rPr>
          <w:rFonts w:ascii="Arial" w:hAnsi="Arial" w:cs="Arial"/>
          <w:lang w:val="en-US"/>
        </w:rPr>
      </w:pPr>
      <w:r w:rsidRPr="00723A49">
        <w:rPr>
          <w:rFonts w:ascii="Arial" w:hAnsi="Arial" w:cs="Arial"/>
          <w:lang w:val="en-US"/>
        </w:rPr>
        <w:t xml:space="preserve">At the end of March 2016, the NEF had assets of R5.3 </w:t>
      </w:r>
      <w:r>
        <w:rPr>
          <w:rFonts w:ascii="Arial" w:hAnsi="Arial" w:cs="Arial"/>
          <w:lang w:val="en-US"/>
        </w:rPr>
        <w:t>billion</w:t>
      </w:r>
    </w:p>
    <w:p w:rsidR="0088735D" w:rsidRPr="00723A49" w:rsidRDefault="0088735D" w:rsidP="00BF54B4">
      <w:pPr>
        <w:pStyle w:val="ListParagraph"/>
        <w:numPr>
          <w:ilvl w:val="0"/>
          <w:numId w:val="4"/>
        </w:numPr>
        <w:spacing w:before="100" w:beforeAutospacing="1" w:after="100" w:afterAutospacing="1"/>
        <w:jc w:val="both"/>
        <w:rPr>
          <w:rFonts w:ascii="Arial" w:hAnsi="Arial" w:cs="Arial"/>
          <w:lang w:val="en-US"/>
        </w:rPr>
      </w:pPr>
      <w:r w:rsidRPr="00723A49">
        <w:rPr>
          <w:rFonts w:ascii="Arial" w:hAnsi="Arial" w:cs="Arial"/>
          <w:lang w:val="en-US"/>
        </w:rPr>
        <w:t xml:space="preserve">At the end of March 2016, the combined total assets of other DFIs was R3.9 </w:t>
      </w:r>
      <w:r>
        <w:rPr>
          <w:rFonts w:ascii="Arial" w:hAnsi="Arial" w:cs="Arial"/>
          <w:lang w:val="en-US"/>
        </w:rPr>
        <w:t>billion</w:t>
      </w:r>
      <w:r w:rsidRPr="00723A49">
        <w:rPr>
          <w:rFonts w:ascii="Arial" w:hAnsi="Arial" w:cs="Arial"/>
          <w:lang w:val="en-US"/>
        </w:rPr>
        <w:t>.</w:t>
      </w:r>
    </w:p>
    <w:p w:rsidR="0088735D" w:rsidRDefault="0088735D" w:rsidP="00BF54B4">
      <w:pPr>
        <w:pStyle w:val="ListParagraph"/>
        <w:numPr>
          <w:ilvl w:val="0"/>
          <w:numId w:val="9"/>
        </w:numPr>
        <w:spacing w:before="100" w:beforeAutospacing="1" w:after="100" w:afterAutospacing="1"/>
        <w:jc w:val="both"/>
        <w:rPr>
          <w:rFonts w:ascii="Arial" w:hAnsi="Arial" w:cs="Arial"/>
          <w:lang w:val="en-US"/>
        </w:rPr>
      </w:pPr>
      <w:r w:rsidRPr="00723A49">
        <w:rPr>
          <w:rFonts w:ascii="Arial" w:hAnsi="Arial" w:cs="Arial"/>
          <w:lang w:val="en-US"/>
        </w:rPr>
        <w:t xml:space="preserve">The </w:t>
      </w:r>
      <w:r>
        <w:rPr>
          <w:rFonts w:ascii="Arial" w:hAnsi="Arial" w:cs="Arial"/>
          <w:lang w:val="en-US"/>
        </w:rPr>
        <w:t>Government</w:t>
      </w:r>
      <w:r w:rsidRPr="00723A49">
        <w:rPr>
          <w:rFonts w:ascii="Arial" w:hAnsi="Arial" w:cs="Arial"/>
          <w:lang w:val="en-US"/>
        </w:rPr>
        <w:t xml:space="preserve"> and public enterprises had deposits of R279</w:t>
      </w:r>
      <w:r>
        <w:rPr>
          <w:rFonts w:ascii="Arial" w:hAnsi="Arial" w:cs="Arial"/>
          <w:lang w:val="en-US"/>
        </w:rPr>
        <w:t xml:space="preserve"> billion</w:t>
      </w:r>
      <w:r w:rsidRPr="00723A49">
        <w:rPr>
          <w:rFonts w:ascii="Arial" w:hAnsi="Arial" w:cs="Arial"/>
          <w:lang w:val="en-US"/>
        </w:rPr>
        <w:t xml:space="preserve"> in the banks at the end of September 2016, which was equivalent to about 8.2% of total bank deposits</w:t>
      </w:r>
      <w:r>
        <w:rPr>
          <w:rFonts w:ascii="Arial" w:hAnsi="Arial" w:cs="Arial"/>
          <w:lang w:val="en-US"/>
        </w:rPr>
        <w:t>.</w:t>
      </w:r>
    </w:p>
    <w:p w:rsidR="0088735D" w:rsidRPr="000B4E03" w:rsidRDefault="0088735D" w:rsidP="0088735D">
      <w:pPr>
        <w:spacing w:before="100" w:beforeAutospacing="1" w:after="100" w:afterAutospacing="1"/>
        <w:jc w:val="both"/>
        <w:rPr>
          <w:rFonts w:ascii="Arial" w:hAnsi="Arial" w:cs="Arial"/>
          <w:sz w:val="24"/>
          <w:szCs w:val="24"/>
          <w:lang w:val="en-US"/>
        </w:rPr>
      </w:pPr>
      <w:r w:rsidRPr="000B4E03">
        <w:rPr>
          <w:rFonts w:ascii="Arial" w:hAnsi="Arial" w:cs="Arial"/>
          <w:sz w:val="24"/>
          <w:szCs w:val="24"/>
          <w:lang w:val="en-US"/>
        </w:rPr>
        <w:t>The above figures provide an overview of the size of the sector that should be transformed. Overall, they show that the Government is an important but rather small player in the banking industry. However Government still remains a meaningful player in the sector:</w:t>
      </w:r>
    </w:p>
    <w:p w:rsidR="0088735D" w:rsidRPr="00ED4E59" w:rsidRDefault="0088735D" w:rsidP="00BF54B4">
      <w:pPr>
        <w:pStyle w:val="ListParagraph"/>
        <w:numPr>
          <w:ilvl w:val="0"/>
          <w:numId w:val="10"/>
        </w:numPr>
        <w:spacing w:before="100" w:beforeAutospacing="1" w:after="100" w:afterAutospacing="1"/>
        <w:jc w:val="both"/>
        <w:rPr>
          <w:rFonts w:ascii="Arial" w:hAnsi="Arial" w:cs="Arial"/>
          <w:lang w:val="en-US"/>
        </w:rPr>
      </w:pPr>
      <w:r w:rsidRPr="00ED4E59">
        <w:rPr>
          <w:rFonts w:ascii="Arial" w:hAnsi="Arial" w:cs="Arial"/>
          <w:lang w:val="en-US"/>
        </w:rPr>
        <w:t xml:space="preserve">However, </w:t>
      </w:r>
      <w:r>
        <w:rPr>
          <w:rFonts w:ascii="Arial" w:hAnsi="Arial" w:cs="Arial"/>
          <w:lang w:val="en-US"/>
        </w:rPr>
        <w:t xml:space="preserve">Government </w:t>
      </w:r>
      <w:r w:rsidRPr="00ED4E59">
        <w:rPr>
          <w:rFonts w:ascii="Arial" w:hAnsi="Arial" w:cs="Arial"/>
          <w:lang w:val="en-US"/>
        </w:rPr>
        <w:t xml:space="preserve">has a meaningful presence in the long-term savings sector. In 2013, public sector pension funds, SOCs and municipalities accounted for about 45% of all retirement funds, while 25% of the country’s total investment and savings industry, and was worth R6.5 trillion. </w:t>
      </w:r>
    </w:p>
    <w:p w:rsidR="0088735D" w:rsidRPr="00ED4E59" w:rsidRDefault="0088735D" w:rsidP="00BF54B4">
      <w:pPr>
        <w:pStyle w:val="ListParagraph"/>
        <w:numPr>
          <w:ilvl w:val="0"/>
          <w:numId w:val="10"/>
        </w:numPr>
        <w:spacing w:before="100" w:beforeAutospacing="1" w:after="100" w:afterAutospacing="1"/>
        <w:jc w:val="both"/>
        <w:rPr>
          <w:rFonts w:ascii="Arial" w:hAnsi="Arial" w:cs="Arial"/>
          <w:lang w:val="en-US"/>
        </w:rPr>
      </w:pPr>
      <w:r w:rsidRPr="00ED4E59">
        <w:rPr>
          <w:rFonts w:ascii="Arial" w:hAnsi="Arial" w:cs="Arial"/>
          <w:lang w:val="en-US"/>
        </w:rPr>
        <w:t>In reference to the 17 listed financial services companies analysed herein, the PIC has invested approximately R153</w:t>
      </w:r>
      <w:r>
        <w:rPr>
          <w:rFonts w:ascii="Arial" w:hAnsi="Arial" w:cs="Arial"/>
          <w:lang w:val="en-US"/>
        </w:rPr>
        <w:t xml:space="preserve"> </w:t>
      </w:r>
      <w:r w:rsidRPr="00ED4E59">
        <w:rPr>
          <w:rFonts w:ascii="Arial" w:hAnsi="Arial" w:cs="Arial"/>
          <w:lang w:val="en-US"/>
        </w:rPr>
        <w:t>b</w:t>
      </w:r>
      <w:r>
        <w:rPr>
          <w:rFonts w:ascii="Arial" w:hAnsi="Arial" w:cs="Arial"/>
          <w:lang w:val="en-US"/>
        </w:rPr>
        <w:t>illion</w:t>
      </w:r>
      <w:r w:rsidRPr="00ED4E59">
        <w:rPr>
          <w:rFonts w:ascii="Arial" w:hAnsi="Arial" w:cs="Arial"/>
          <w:lang w:val="en-US"/>
        </w:rPr>
        <w:t xml:space="preserve">, equivalent to 9.3% of their market </w:t>
      </w:r>
      <w:r w:rsidRPr="00ED4E59">
        <w:rPr>
          <w:rFonts w:ascii="Arial" w:hAnsi="Arial" w:cs="Arial"/>
          <w:lang w:val="en-GB"/>
        </w:rPr>
        <w:t>capitalisation</w:t>
      </w:r>
      <w:r w:rsidRPr="00ED4E59">
        <w:rPr>
          <w:rFonts w:ascii="Arial" w:hAnsi="Arial" w:cs="Arial"/>
          <w:lang w:val="en-US"/>
        </w:rPr>
        <w:t xml:space="preserve"> in addition to this, the PIC holds equity interests in at least 16 of these companies.</w:t>
      </w:r>
    </w:p>
    <w:p w:rsidR="0088735D" w:rsidRPr="00956F3D" w:rsidRDefault="0088735D" w:rsidP="0088735D">
      <w:pPr>
        <w:spacing w:before="100" w:beforeAutospacing="1" w:after="100" w:afterAutospacing="1"/>
        <w:jc w:val="both"/>
        <w:rPr>
          <w:rFonts w:ascii="Arial" w:eastAsia="Times New Roman" w:hAnsi="Arial" w:cs="Arial"/>
          <w:sz w:val="24"/>
          <w:szCs w:val="24"/>
          <w:lang w:val="en-US"/>
        </w:rPr>
      </w:pPr>
      <w:r>
        <w:rPr>
          <w:rFonts w:ascii="Arial" w:eastAsia="Times New Roman" w:hAnsi="Arial" w:cs="Arial"/>
          <w:sz w:val="24"/>
          <w:szCs w:val="24"/>
          <w:lang w:val="en-US"/>
        </w:rPr>
        <w:t>There have</w:t>
      </w:r>
      <w:r w:rsidRPr="00956F3D">
        <w:rPr>
          <w:rFonts w:ascii="Arial" w:eastAsia="Times New Roman" w:hAnsi="Arial" w:cs="Arial"/>
          <w:sz w:val="24"/>
          <w:szCs w:val="24"/>
          <w:lang w:val="en-US"/>
        </w:rPr>
        <w:t xml:space="preserve"> bee</w:t>
      </w:r>
      <w:r>
        <w:rPr>
          <w:rFonts w:ascii="Arial" w:eastAsia="Times New Roman" w:hAnsi="Arial" w:cs="Arial"/>
          <w:sz w:val="24"/>
          <w:szCs w:val="24"/>
          <w:lang w:val="en-US"/>
        </w:rPr>
        <w:t>n</w:t>
      </w:r>
      <w:r w:rsidRPr="00956F3D">
        <w:rPr>
          <w:rFonts w:ascii="Arial" w:eastAsia="Times New Roman" w:hAnsi="Arial" w:cs="Arial"/>
          <w:sz w:val="24"/>
          <w:szCs w:val="24"/>
          <w:lang w:val="en-US"/>
        </w:rPr>
        <w:t xml:space="preserve"> call</w:t>
      </w:r>
      <w:r>
        <w:rPr>
          <w:rFonts w:ascii="Arial" w:eastAsia="Times New Roman" w:hAnsi="Arial" w:cs="Arial"/>
          <w:sz w:val="24"/>
          <w:szCs w:val="24"/>
          <w:lang w:val="en-US"/>
        </w:rPr>
        <w:t>s</w:t>
      </w:r>
      <w:r w:rsidRPr="00956F3D">
        <w:rPr>
          <w:rFonts w:ascii="Arial" w:eastAsia="Times New Roman" w:hAnsi="Arial" w:cs="Arial"/>
          <w:sz w:val="24"/>
          <w:szCs w:val="24"/>
          <w:lang w:val="en-US"/>
        </w:rPr>
        <w:t xml:space="preserve"> for more financial institutions built specifically for the needs of black entrepreneurial business, which are shunned because of their high risk profile (in the traditional sense) by the formal banking sector.  </w:t>
      </w:r>
    </w:p>
    <w:p w:rsidR="0088735D" w:rsidRDefault="0088735D" w:rsidP="0088735D">
      <w:pPr>
        <w:spacing w:before="100" w:beforeAutospacing="1" w:after="100" w:afterAutospacing="1" w:line="240" w:lineRule="auto"/>
        <w:jc w:val="both"/>
        <w:rPr>
          <w:rFonts w:ascii="Arial" w:eastAsia="Times New Roman" w:hAnsi="Arial" w:cs="Arial"/>
          <w:sz w:val="24"/>
          <w:szCs w:val="24"/>
          <w:lang w:val="en-US"/>
        </w:rPr>
      </w:pPr>
      <w:r w:rsidRPr="002E4F28">
        <w:rPr>
          <w:rFonts w:ascii="Arial" w:eastAsia="Times New Roman" w:hAnsi="Arial" w:cs="Arial"/>
          <w:sz w:val="24"/>
          <w:szCs w:val="24"/>
          <w:lang w:val="en-US"/>
        </w:rPr>
        <w:t>This would be the space where</w:t>
      </w:r>
      <w:r>
        <w:rPr>
          <w:rFonts w:ascii="Arial" w:eastAsia="Times New Roman" w:hAnsi="Arial" w:cs="Arial"/>
          <w:sz w:val="24"/>
          <w:szCs w:val="24"/>
          <w:lang w:val="en-US"/>
        </w:rPr>
        <w:t>,</w:t>
      </w:r>
      <w:r w:rsidRPr="002E4F28">
        <w:rPr>
          <w:rFonts w:ascii="Arial" w:eastAsia="Times New Roman" w:hAnsi="Arial" w:cs="Arial"/>
          <w:sz w:val="24"/>
          <w:szCs w:val="24"/>
          <w:lang w:val="en-US"/>
        </w:rPr>
        <w:t xml:space="preserve"> in a more formal economy,</w:t>
      </w:r>
      <w:r>
        <w:rPr>
          <w:rFonts w:ascii="Arial" w:eastAsia="Times New Roman" w:hAnsi="Arial" w:cs="Arial"/>
          <w:sz w:val="24"/>
          <w:szCs w:val="24"/>
          <w:lang w:val="en-US"/>
        </w:rPr>
        <w:t xml:space="preserve"> DFIs,</w:t>
      </w:r>
      <w:r w:rsidRPr="002E4F28">
        <w:rPr>
          <w:rFonts w:ascii="Arial" w:eastAsia="Times New Roman" w:hAnsi="Arial" w:cs="Arial"/>
          <w:sz w:val="24"/>
          <w:szCs w:val="24"/>
          <w:lang w:val="en-US"/>
        </w:rPr>
        <w:t xml:space="preserve"> venture capitalists, angel funders and seed funders would find themselves. However, this market is quite small in South Africa and leaves black entrepreneurs in th</w:t>
      </w:r>
      <w:r>
        <w:rPr>
          <w:rFonts w:ascii="Arial" w:eastAsia="Times New Roman" w:hAnsi="Arial" w:cs="Arial"/>
          <w:sz w:val="24"/>
          <w:szCs w:val="24"/>
          <w:lang w:val="en-US"/>
        </w:rPr>
        <w:t>e cold</w:t>
      </w:r>
      <w:r w:rsidRPr="002E4F28">
        <w:rPr>
          <w:rFonts w:ascii="Arial" w:eastAsia="Times New Roman" w:hAnsi="Arial" w:cs="Arial"/>
          <w:sz w:val="24"/>
          <w:szCs w:val="24"/>
          <w:lang w:val="en-US"/>
        </w:rPr>
        <w:t xml:space="preserve"> as the formal banking sector </w:t>
      </w:r>
      <w:r>
        <w:rPr>
          <w:rFonts w:ascii="Arial" w:eastAsia="Times New Roman" w:hAnsi="Arial" w:cs="Arial"/>
          <w:sz w:val="24"/>
          <w:szCs w:val="24"/>
          <w:lang w:val="en-US"/>
        </w:rPr>
        <w:t>is found to be unwilling to</w:t>
      </w:r>
      <w:r w:rsidRPr="002E4F28">
        <w:rPr>
          <w:rFonts w:ascii="Arial" w:eastAsia="Times New Roman" w:hAnsi="Arial" w:cs="Arial"/>
          <w:sz w:val="24"/>
          <w:szCs w:val="24"/>
          <w:lang w:val="en-US"/>
        </w:rPr>
        <w:t xml:space="preserve"> expose themselves to this perceived high risk.</w:t>
      </w:r>
      <w:r>
        <w:rPr>
          <w:rFonts w:ascii="Arial" w:eastAsia="Times New Roman" w:hAnsi="Arial" w:cs="Arial"/>
          <w:sz w:val="24"/>
          <w:szCs w:val="24"/>
          <w:lang w:val="en-US"/>
        </w:rPr>
        <w:t xml:space="preserve"> </w:t>
      </w:r>
      <w:r w:rsidRPr="00ED4E59">
        <w:rPr>
          <w:rFonts w:ascii="Arial" w:eastAsia="Times New Roman" w:hAnsi="Arial" w:cs="Arial"/>
          <w:lang w:val="en-US"/>
        </w:rPr>
        <w:fldChar w:fldCharType="begin"/>
      </w:r>
      <w:r w:rsidRPr="00ED4E59">
        <w:rPr>
          <w:rFonts w:ascii="Arial" w:eastAsia="Times New Roman" w:hAnsi="Arial" w:cs="Arial"/>
          <w:lang w:val="en-US"/>
        </w:rPr>
        <w:instrText xml:space="preserve"> REF _Ref476866112 \h  \* MERGEFORMAT </w:instrText>
      </w:r>
      <w:r w:rsidRPr="00ED4E59">
        <w:rPr>
          <w:rFonts w:ascii="Arial" w:eastAsia="Times New Roman" w:hAnsi="Arial" w:cs="Arial"/>
          <w:lang w:val="en-US"/>
        </w:rPr>
      </w:r>
      <w:r w:rsidRPr="00ED4E59">
        <w:rPr>
          <w:rFonts w:ascii="Arial" w:eastAsia="Times New Roman" w:hAnsi="Arial" w:cs="Arial"/>
          <w:lang w:val="en-US"/>
        </w:rPr>
        <w:fldChar w:fldCharType="separate"/>
      </w:r>
      <w:r w:rsidR="00011950" w:rsidRPr="00011950">
        <w:rPr>
          <w:rFonts w:ascii="Arial" w:hAnsi="Arial" w:cs="Arial"/>
        </w:rPr>
        <w:t xml:space="preserve">Figure </w:t>
      </w:r>
      <w:r w:rsidR="00011950" w:rsidRPr="00011950">
        <w:rPr>
          <w:rFonts w:ascii="Arial" w:hAnsi="Arial" w:cs="Arial"/>
          <w:noProof/>
        </w:rPr>
        <w:t>5</w:t>
      </w:r>
      <w:r w:rsidRPr="00ED4E59">
        <w:rPr>
          <w:rFonts w:ascii="Arial" w:eastAsia="Times New Roman" w:hAnsi="Arial" w:cs="Arial"/>
          <w:lang w:val="en-US"/>
        </w:rPr>
        <w:fldChar w:fldCharType="end"/>
      </w:r>
      <w:r>
        <w:rPr>
          <w:rFonts w:ascii="Arial" w:eastAsia="Times New Roman" w:hAnsi="Arial" w:cs="Arial"/>
          <w:lang w:val="en-US"/>
        </w:rPr>
        <w:t xml:space="preserve"> </w:t>
      </w:r>
      <w:r w:rsidRPr="00ED4E59">
        <w:rPr>
          <w:rFonts w:ascii="Arial" w:eastAsia="Times New Roman" w:hAnsi="Arial" w:cs="Arial"/>
          <w:lang w:val="en-US"/>
        </w:rPr>
        <w:t xml:space="preserve">depicts the position </w:t>
      </w:r>
      <w:r w:rsidRPr="002E4F28">
        <w:rPr>
          <w:rFonts w:ascii="Arial" w:eastAsia="Times New Roman" w:hAnsi="Arial" w:cs="Arial"/>
          <w:sz w:val="24"/>
          <w:szCs w:val="24"/>
          <w:lang w:val="en-US"/>
        </w:rPr>
        <w:t xml:space="preserve">that black entrepreneurs will mostly find themselves in South Africa. </w:t>
      </w:r>
    </w:p>
    <w:p w:rsidR="0088735D" w:rsidRDefault="0088735D" w:rsidP="0088735D">
      <w:pPr>
        <w:spacing w:before="100" w:beforeAutospacing="1" w:after="100" w:afterAutospacing="1" w:line="240" w:lineRule="auto"/>
        <w:jc w:val="both"/>
        <w:rPr>
          <w:rFonts w:ascii="Arial" w:eastAsia="Times New Roman" w:hAnsi="Arial" w:cs="Arial"/>
          <w:sz w:val="24"/>
          <w:szCs w:val="24"/>
          <w:lang w:val="en-US"/>
        </w:rPr>
      </w:pPr>
      <w:r w:rsidRPr="002E4F28">
        <w:rPr>
          <w:rFonts w:ascii="Arial" w:eastAsia="Times New Roman" w:hAnsi="Arial" w:cs="Arial"/>
          <w:noProof/>
          <w:sz w:val="24"/>
          <w:szCs w:val="24"/>
          <w:lang w:eastAsia="en-ZA"/>
        </w:rPr>
        <w:drawing>
          <wp:inline distT="0" distB="0" distL="0" distR="0" wp14:anchorId="2B5C4073" wp14:editId="0D21437D">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23895"/>
                    </a:xfrm>
                    <a:prstGeom prst="rect">
                      <a:avLst/>
                    </a:prstGeom>
                  </pic:spPr>
                </pic:pic>
              </a:graphicData>
            </a:graphic>
          </wp:inline>
        </w:drawing>
      </w:r>
    </w:p>
    <w:p w:rsidR="0088735D" w:rsidRPr="002E4F28" w:rsidRDefault="0088735D" w:rsidP="0088735D">
      <w:pPr>
        <w:pStyle w:val="Caption"/>
        <w:jc w:val="center"/>
        <w:rPr>
          <w:rFonts w:ascii="Arial" w:eastAsia="Times New Roman" w:hAnsi="Arial" w:cs="Arial"/>
          <w:sz w:val="24"/>
          <w:szCs w:val="24"/>
          <w:lang w:val="en-US"/>
        </w:rPr>
      </w:pPr>
      <w:bookmarkStart w:id="5" w:name="_Ref476866112"/>
      <w:r>
        <w:t xml:space="preserve">Figure </w:t>
      </w:r>
      <w:r w:rsidR="00D51529">
        <w:fldChar w:fldCharType="begin"/>
      </w:r>
      <w:r w:rsidR="00D51529">
        <w:instrText xml:space="preserve"> SEQ Figure \* ARABIC </w:instrText>
      </w:r>
      <w:r w:rsidR="00D51529">
        <w:fldChar w:fldCharType="separate"/>
      </w:r>
      <w:r w:rsidR="00011950">
        <w:rPr>
          <w:noProof/>
        </w:rPr>
        <w:t>5</w:t>
      </w:r>
      <w:r w:rsidR="00D51529">
        <w:rPr>
          <w:noProof/>
        </w:rPr>
        <w:fldChar w:fldCharType="end"/>
      </w:r>
      <w:bookmarkEnd w:id="5"/>
      <w:r>
        <w:t>: Entrepreneur business lifecycle</w:t>
      </w:r>
    </w:p>
    <w:p w:rsidR="0088735D" w:rsidRDefault="0088735D" w:rsidP="0088735D">
      <w:pPr>
        <w:jc w:val="both"/>
        <w:rPr>
          <w:rFonts w:ascii="Arial" w:hAnsi="Arial" w:cs="Arial"/>
          <w:sz w:val="24"/>
          <w:lang w:val="en-US"/>
        </w:rPr>
      </w:pPr>
      <w:r w:rsidRPr="002D0337">
        <w:rPr>
          <w:rFonts w:ascii="Arial" w:hAnsi="Arial" w:cs="Arial"/>
          <w:sz w:val="24"/>
          <w:lang w:val="en-US"/>
        </w:rPr>
        <w:t xml:space="preserve">Black business hardly makes it above the graph, </w:t>
      </w:r>
      <w:r>
        <w:rPr>
          <w:rFonts w:ascii="Arial" w:hAnsi="Arial" w:cs="Arial"/>
          <w:sz w:val="24"/>
          <w:lang w:val="en-US"/>
        </w:rPr>
        <w:t xml:space="preserve">as many </w:t>
      </w:r>
      <w:r w:rsidRPr="002D0337">
        <w:rPr>
          <w:rFonts w:ascii="Arial" w:hAnsi="Arial" w:cs="Arial"/>
          <w:sz w:val="24"/>
          <w:lang w:val="en-US"/>
        </w:rPr>
        <w:t>r</w:t>
      </w:r>
      <w:r>
        <w:rPr>
          <w:rFonts w:ascii="Arial" w:hAnsi="Arial" w:cs="Arial"/>
          <w:sz w:val="24"/>
          <w:lang w:val="en-US"/>
        </w:rPr>
        <w:t>emain</w:t>
      </w:r>
      <w:r w:rsidRPr="002D0337">
        <w:rPr>
          <w:rFonts w:ascii="Arial" w:hAnsi="Arial" w:cs="Arial"/>
          <w:sz w:val="24"/>
          <w:lang w:val="en-US"/>
        </w:rPr>
        <w:t xml:space="preserve"> </w:t>
      </w:r>
      <w:r>
        <w:rPr>
          <w:rFonts w:ascii="Arial" w:hAnsi="Arial" w:cs="Arial"/>
          <w:sz w:val="24"/>
          <w:lang w:val="en-US"/>
        </w:rPr>
        <w:t>in the</w:t>
      </w:r>
      <w:r w:rsidRPr="002D0337">
        <w:rPr>
          <w:rFonts w:ascii="Arial" w:hAnsi="Arial" w:cs="Arial"/>
          <w:sz w:val="24"/>
          <w:lang w:val="en-US"/>
        </w:rPr>
        <w:t xml:space="preserve"> inception, prototype and roll out stages</w:t>
      </w:r>
      <w:r>
        <w:rPr>
          <w:rFonts w:ascii="Arial" w:hAnsi="Arial" w:cs="Arial"/>
          <w:sz w:val="24"/>
          <w:lang w:val="en-US"/>
        </w:rPr>
        <w:t xml:space="preserve"> of the curve, with very few making</w:t>
      </w:r>
      <w:r w:rsidRPr="002D0337">
        <w:rPr>
          <w:rFonts w:ascii="Arial" w:hAnsi="Arial" w:cs="Arial"/>
          <w:sz w:val="24"/>
          <w:lang w:val="en-US"/>
        </w:rPr>
        <w:t xml:space="preserve"> it to rapid </w:t>
      </w:r>
      <w:r>
        <w:rPr>
          <w:rFonts w:ascii="Arial" w:hAnsi="Arial" w:cs="Arial"/>
          <w:sz w:val="24"/>
          <w:lang w:val="en-US"/>
        </w:rPr>
        <w:t xml:space="preserve">growth </w:t>
      </w:r>
      <w:r w:rsidRPr="002D0337">
        <w:rPr>
          <w:rFonts w:ascii="Arial" w:hAnsi="Arial" w:cs="Arial"/>
          <w:sz w:val="24"/>
          <w:lang w:val="en-US"/>
        </w:rPr>
        <w:t xml:space="preserve">stages and above.  </w:t>
      </w:r>
    </w:p>
    <w:p w:rsidR="00BF54B4" w:rsidRPr="00BF54B4" w:rsidRDefault="008D18DF" w:rsidP="00BF54B4">
      <w:pPr>
        <w:pStyle w:val="Heading1"/>
        <w:numPr>
          <w:ilvl w:val="1"/>
          <w:numId w:val="33"/>
        </w:numPr>
        <w:rPr>
          <w:rFonts w:ascii="Arial" w:hAnsi="Arial" w:cs="Arial"/>
          <w:b/>
          <w:color w:val="auto"/>
          <w:sz w:val="24"/>
          <w:szCs w:val="24"/>
          <w:lang w:val="en-US"/>
        </w:rPr>
      </w:pPr>
      <w:r>
        <w:rPr>
          <w:rFonts w:ascii="Arial" w:hAnsi="Arial" w:cs="Arial"/>
          <w:b/>
          <w:color w:val="auto"/>
          <w:sz w:val="24"/>
          <w:szCs w:val="24"/>
          <w:lang w:val="en-US"/>
        </w:rPr>
        <w:t>Prevention of v</w:t>
      </w:r>
      <w:r w:rsidR="00BF54B4" w:rsidRPr="00BF54B4">
        <w:rPr>
          <w:rFonts w:ascii="Arial" w:hAnsi="Arial" w:cs="Arial"/>
          <w:b/>
          <w:color w:val="auto"/>
          <w:sz w:val="24"/>
          <w:szCs w:val="24"/>
          <w:lang w:val="en-US"/>
        </w:rPr>
        <w:t>alue leakage</w:t>
      </w:r>
      <w:r>
        <w:rPr>
          <w:rFonts w:ascii="Arial" w:hAnsi="Arial" w:cs="Arial"/>
          <w:b/>
          <w:color w:val="auto"/>
          <w:sz w:val="24"/>
          <w:szCs w:val="24"/>
          <w:lang w:val="en-US"/>
        </w:rPr>
        <w:t xml:space="preserve"> </w:t>
      </w:r>
    </w:p>
    <w:p w:rsidR="00BF54B4" w:rsidRPr="00077A3D" w:rsidRDefault="00BF54B4" w:rsidP="00BF54B4">
      <w:pPr>
        <w:spacing w:before="100" w:beforeAutospacing="1" w:after="100" w:afterAutospacing="1"/>
        <w:jc w:val="both"/>
        <w:rPr>
          <w:rFonts w:ascii="Arial" w:hAnsi="Arial" w:cs="Arial"/>
          <w:sz w:val="24"/>
          <w:szCs w:val="24"/>
        </w:rPr>
      </w:pPr>
      <w:r w:rsidRPr="00077A3D">
        <w:rPr>
          <w:rFonts w:ascii="Arial" w:hAnsi="Arial" w:cs="Arial"/>
          <w:sz w:val="24"/>
          <w:szCs w:val="24"/>
        </w:rPr>
        <w:t xml:space="preserve">Value leakage in the financial system should be </w:t>
      </w:r>
      <w:r w:rsidR="008D18DF">
        <w:rPr>
          <w:rFonts w:ascii="Arial" w:hAnsi="Arial" w:cs="Arial"/>
          <w:sz w:val="24"/>
          <w:szCs w:val="24"/>
        </w:rPr>
        <w:t>prevented s</w:t>
      </w:r>
      <w:r>
        <w:rPr>
          <w:rFonts w:ascii="Arial" w:hAnsi="Arial" w:cs="Arial"/>
          <w:sz w:val="24"/>
          <w:szCs w:val="24"/>
        </w:rPr>
        <w:t>uch as t</w:t>
      </w:r>
      <w:r w:rsidRPr="00077A3D">
        <w:rPr>
          <w:rFonts w:ascii="Arial" w:hAnsi="Arial" w:cs="Arial"/>
          <w:sz w:val="24"/>
          <w:szCs w:val="24"/>
        </w:rPr>
        <w:t xml:space="preserve">ransfer pricing </w:t>
      </w:r>
      <w:r>
        <w:rPr>
          <w:rFonts w:ascii="Arial" w:hAnsi="Arial" w:cs="Arial"/>
          <w:sz w:val="24"/>
          <w:szCs w:val="24"/>
        </w:rPr>
        <w:t>which is</w:t>
      </w:r>
      <w:r w:rsidRPr="00077A3D">
        <w:rPr>
          <w:rFonts w:ascii="Arial" w:hAnsi="Arial" w:cs="Arial"/>
          <w:sz w:val="24"/>
          <w:szCs w:val="24"/>
        </w:rPr>
        <w:t xml:space="preserve"> tantamount to fronting as it undermines the objectives of transformation.  The real value accruing to black people is diluted when this practice is employed in transaction structuring and implementation.</w:t>
      </w:r>
    </w:p>
    <w:p w:rsidR="0088735D" w:rsidRPr="002E44B2" w:rsidRDefault="0088735D" w:rsidP="00BF54B4">
      <w:pPr>
        <w:pStyle w:val="Heading1"/>
        <w:numPr>
          <w:ilvl w:val="1"/>
          <w:numId w:val="33"/>
        </w:numPr>
        <w:rPr>
          <w:rFonts w:ascii="Arial" w:hAnsi="Arial" w:cs="Arial"/>
          <w:b/>
          <w:color w:val="auto"/>
          <w:sz w:val="24"/>
          <w:szCs w:val="24"/>
          <w:lang w:val="en-US"/>
        </w:rPr>
      </w:pPr>
      <w:r>
        <w:rPr>
          <w:rFonts w:ascii="Arial" w:hAnsi="Arial" w:cs="Arial"/>
          <w:b/>
          <w:color w:val="auto"/>
          <w:sz w:val="24"/>
          <w:szCs w:val="24"/>
          <w:lang w:val="en-US"/>
        </w:rPr>
        <w:t>Monitoring and Evaluation of the Sector</w:t>
      </w:r>
    </w:p>
    <w:p w:rsidR="0088735D" w:rsidRPr="000B4E03" w:rsidRDefault="0088735D" w:rsidP="0088735D">
      <w:pPr>
        <w:spacing w:before="100" w:beforeAutospacing="1" w:after="100" w:afterAutospacing="1"/>
        <w:jc w:val="both"/>
        <w:rPr>
          <w:rFonts w:ascii="Arial" w:hAnsi="Arial" w:cs="Arial"/>
          <w:sz w:val="24"/>
          <w:szCs w:val="24"/>
        </w:rPr>
      </w:pPr>
      <w:r w:rsidRPr="000B4E03">
        <w:rPr>
          <w:rFonts w:ascii="Arial" w:hAnsi="Arial" w:cs="Arial"/>
          <w:sz w:val="24"/>
          <w:szCs w:val="24"/>
          <w:lang w:val="en-US"/>
        </w:rPr>
        <w:t>This sector is poorly monitored and evaluated as the 2013 Review Report of the FSC Council states only 70 out of 1423 financial institutions to whom the FSC Code is applicable responded to the call to submit annual results to the councils, this resulted in a mere 4.92% response rate.  This poor submission and reporting demonstrates the lack of support for the transformation of the sector and warrants mandatory reporting and imposition</w:t>
      </w:r>
      <w:r w:rsidRPr="000B4E03">
        <w:rPr>
          <w:rFonts w:ascii="Arial" w:hAnsi="Arial" w:cs="Arial"/>
          <w:sz w:val="24"/>
          <w:szCs w:val="24"/>
        </w:rPr>
        <w:t xml:space="preserve"> of penalties for delinquent behaviour. The benefits of M&amp;E for the sector are as follows:</w:t>
      </w:r>
    </w:p>
    <w:p w:rsidR="0088735D" w:rsidRPr="007842B9" w:rsidRDefault="0088735D" w:rsidP="00BF54B4">
      <w:pPr>
        <w:pStyle w:val="ListParagraph"/>
        <w:numPr>
          <w:ilvl w:val="0"/>
          <w:numId w:val="8"/>
        </w:numPr>
        <w:jc w:val="both"/>
        <w:rPr>
          <w:rFonts w:ascii="Arial" w:hAnsi="Arial" w:cs="Arial"/>
        </w:rPr>
      </w:pPr>
      <w:r w:rsidRPr="007842B9">
        <w:rPr>
          <w:rFonts w:ascii="Arial" w:hAnsi="Arial" w:cs="Arial"/>
        </w:rPr>
        <w:t>Collection of continuous correct data;</w:t>
      </w:r>
    </w:p>
    <w:p w:rsidR="0088735D" w:rsidRPr="007842B9" w:rsidRDefault="0088735D" w:rsidP="00BF54B4">
      <w:pPr>
        <w:pStyle w:val="ListParagraph"/>
        <w:numPr>
          <w:ilvl w:val="0"/>
          <w:numId w:val="8"/>
        </w:numPr>
        <w:jc w:val="both"/>
        <w:rPr>
          <w:rFonts w:ascii="Arial" w:hAnsi="Arial" w:cs="Arial"/>
        </w:rPr>
      </w:pPr>
      <w:r w:rsidRPr="007842B9">
        <w:rPr>
          <w:rFonts w:ascii="Arial" w:hAnsi="Arial" w:cs="Arial"/>
        </w:rPr>
        <w:t>Ability to compare progress and identify bottlenecks early;</w:t>
      </w:r>
    </w:p>
    <w:p w:rsidR="0088735D" w:rsidRPr="007842B9" w:rsidRDefault="0088735D" w:rsidP="00BF54B4">
      <w:pPr>
        <w:pStyle w:val="ListParagraph"/>
        <w:numPr>
          <w:ilvl w:val="0"/>
          <w:numId w:val="8"/>
        </w:numPr>
        <w:jc w:val="both"/>
        <w:rPr>
          <w:rFonts w:ascii="Arial" w:hAnsi="Arial" w:cs="Arial"/>
        </w:rPr>
      </w:pPr>
      <w:r w:rsidRPr="007842B9">
        <w:rPr>
          <w:rFonts w:ascii="Arial" w:hAnsi="Arial" w:cs="Arial"/>
        </w:rPr>
        <w:t>Identification of uncooperative and delinquent organisations;</w:t>
      </w:r>
    </w:p>
    <w:p w:rsidR="0088735D" w:rsidRDefault="0088735D" w:rsidP="00BF54B4">
      <w:pPr>
        <w:pStyle w:val="ListParagraph"/>
        <w:numPr>
          <w:ilvl w:val="0"/>
          <w:numId w:val="8"/>
        </w:numPr>
        <w:jc w:val="both"/>
        <w:rPr>
          <w:rFonts w:ascii="Arial" w:hAnsi="Arial" w:cs="Arial"/>
        </w:rPr>
      </w:pPr>
      <w:r w:rsidRPr="007842B9">
        <w:rPr>
          <w:rFonts w:ascii="Arial" w:hAnsi="Arial" w:cs="Arial"/>
        </w:rPr>
        <w:t xml:space="preserve">Accurate reporting. </w:t>
      </w:r>
    </w:p>
    <w:p w:rsidR="0088735D" w:rsidRDefault="0088735D" w:rsidP="0088735D">
      <w:pPr>
        <w:rPr>
          <w:lang w:val="en-US"/>
        </w:rPr>
      </w:pPr>
    </w:p>
    <w:p w:rsidR="009445A0" w:rsidRPr="00077A3D" w:rsidRDefault="009445A0" w:rsidP="009445A0">
      <w:pPr>
        <w:spacing w:before="100" w:beforeAutospacing="1" w:after="100" w:afterAutospacing="1"/>
        <w:jc w:val="both"/>
        <w:rPr>
          <w:rFonts w:ascii="Arial" w:hAnsi="Arial" w:cs="Arial"/>
          <w:sz w:val="24"/>
          <w:szCs w:val="24"/>
        </w:rPr>
      </w:pPr>
      <w:r w:rsidRPr="00077A3D">
        <w:rPr>
          <w:rFonts w:ascii="Arial" w:hAnsi="Arial" w:cs="Arial"/>
          <w:sz w:val="24"/>
          <w:szCs w:val="24"/>
        </w:rPr>
        <w:t>The B-BBEE Commissioner as well as various relevant regulatory bodies such as the South African Reserve Bank (SARB), the Banking Supervision Department, National Credit Regulator (NCR), Financial Service Board (FSB), and the JSE will need to increase their monitoring and evaluation in order to report on progress in this sector.</w:t>
      </w:r>
    </w:p>
    <w:p w:rsidR="0088735D" w:rsidRPr="000B4E03" w:rsidRDefault="0088735D" w:rsidP="00BF54B4">
      <w:pPr>
        <w:pStyle w:val="Heading1"/>
        <w:numPr>
          <w:ilvl w:val="1"/>
          <w:numId w:val="33"/>
        </w:numPr>
        <w:rPr>
          <w:rFonts w:ascii="Arial" w:hAnsi="Arial" w:cs="Arial"/>
          <w:b/>
          <w:color w:val="auto"/>
          <w:sz w:val="24"/>
          <w:szCs w:val="24"/>
          <w:lang w:val="en-US"/>
        </w:rPr>
      </w:pPr>
      <w:r w:rsidRPr="000B4E03">
        <w:rPr>
          <w:rFonts w:ascii="Arial" w:hAnsi="Arial" w:cs="Arial"/>
          <w:b/>
          <w:color w:val="auto"/>
          <w:sz w:val="24"/>
          <w:szCs w:val="24"/>
          <w:lang w:val="en-US"/>
        </w:rPr>
        <w:t xml:space="preserve">Preferential Procurement as an anchor to Transformation </w:t>
      </w:r>
    </w:p>
    <w:p w:rsidR="0088735D" w:rsidRDefault="0088735D" w:rsidP="0088735D">
      <w:pPr>
        <w:spacing w:before="100" w:beforeAutospacing="1" w:after="100" w:afterAutospacing="1"/>
        <w:jc w:val="both"/>
        <w:rPr>
          <w:rFonts w:ascii="Arial" w:hAnsi="Arial" w:cs="Arial"/>
          <w:sz w:val="24"/>
          <w:szCs w:val="24"/>
          <w:lang w:val="en-US"/>
        </w:rPr>
      </w:pPr>
      <w:r w:rsidRPr="000B4E03">
        <w:rPr>
          <w:rFonts w:ascii="Arial" w:hAnsi="Arial" w:cs="Arial"/>
          <w:sz w:val="24"/>
          <w:szCs w:val="24"/>
          <w:lang w:val="en-US"/>
        </w:rPr>
        <w:t>If the argument were to be placed that the country’s net measurable procurement spend is R1 trillion as an example, the codes would require that at least 40% of that is spent with black owned business and 12% with black woman owned business.  This translates to approximately R400 billion and R120 billion for black and black woman owned businesses respectively.  There is currently not enough funding available in the DFI space to fund procurement to black owned business.</w:t>
      </w:r>
      <w:r w:rsidRPr="000B4E03">
        <w:rPr>
          <w:rFonts w:ascii="Arial" w:hAnsi="Arial" w:cs="Arial"/>
          <w:sz w:val="24"/>
          <w:szCs w:val="24"/>
          <w:lang w:val="en-US"/>
        </w:rPr>
        <w:fldChar w:fldCharType="begin"/>
      </w:r>
      <w:r w:rsidRPr="000B4E03">
        <w:rPr>
          <w:rFonts w:ascii="Arial" w:hAnsi="Arial" w:cs="Arial"/>
          <w:sz w:val="24"/>
          <w:szCs w:val="24"/>
          <w:lang w:val="en-US"/>
        </w:rPr>
        <w:instrText xml:space="preserve"> REF _Ref476865591 \h  \* MERGEFORMAT </w:instrText>
      </w:r>
      <w:r w:rsidRPr="000B4E03">
        <w:rPr>
          <w:rFonts w:ascii="Arial" w:hAnsi="Arial" w:cs="Arial"/>
          <w:sz w:val="24"/>
          <w:szCs w:val="24"/>
          <w:lang w:val="en-US"/>
        </w:rPr>
      </w:r>
      <w:r w:rsidRPr="000B4E03">
        <w:rPr>
          <w:rFonts w:ascii="Arial" w:hAnsi="Arial" w:cs="Arial"/>
          <w:sz w:val="24"/>
          <w:szCs w:val="24"/>
          <w:lang w:val="en-US"/>
        </w:rPr>
        <w:fldChar w:fldCharType="separate"/>
      </w:r>
      <w:r w:rsidR="00011950" w:rsidRPr="00011950">
        <w:rPr>
          <w:rFonts w:ascii="Arial" w:hAnsi="Arial" w:cs="Arial"/>
          <w:sz w:val="24"/>
          <w:szCs w:val="24"/>
        </w:rPr>
        <w:t>Table</w:t>
      </w:r>
      <w:r w:rsidR="00011950">
        <w:t xml:space="preserve"> </w:t>
      </w:r>
      <w:r w:rsidR="00011950">
        <w:rPr>
          <w:noProof/>
        </w:rPr>
        <w:t>2</w:t>
      </w:r>
      <w:r w:rsidRPr="000B4E03">
        <w:rPr>
          <w:rFonts w:ascii="Arial" w:hAnsi="Arial" w:cs="Arial"/>
          <w:sz w:val="24"/>
          <w:szCs w:val="24"/>
          <w:lang w:val="en-US"/>
        </w:rPr>
        <w:fldChar w:fldCharType="end"/>
      </w:r>
      <w:r w:rsidRPr="000B4E03">
        <w:rPr>
          <w:rFonts w:ascii="Arial" w:hAnsi="Arial" w:cs="Arial"/>
          <w:sz w:val="24"/>
          <w:szCs w:val="24"/>
          <w:lang w:val="en-US"/>
        </w:rPr>
        <w:t xml:space="preserve"> is an illustration of the spend requirements for the R1 trillion South African market:</w:t>
      </w:r>
    </w:p>
    <w:p w:rsidR="0088735D" w:rsidRPr="00BC7165" w:rsidRDefault="0088735D" w:rsidP="0088735D">
      <w:pPr>
        <w:pStyle w:val="Caption"/>
        <w:rPr>
          <w:rFonts w:ascii="Arial" w:hAnsi="Arial" w:cs="Arial"/>
          <w:noProof/>
          <w:color w:val="auto"/>
          <w:sz w:val="20"/>
          <w:lang w:val="en-US"/>
        </w:rPr>
      </w:pPr>
      <w:bookmarkStart w:id="6" w:name="_Ref476865591"/>
      <w:bookmarkStart w:id="7" w:name="_Toc476861983"/>
      <w:r>
        <w:t xml:space="preserve">Table </w:t>
      </w:r>
      <w:r w:rsidR="00D51529">
        <w:fldChar w:fldCharType="begin"/>
      </w:r>
      <w:r w:rsidR="00D51529">
        <w:instrText xml:space="preserve"> SEQ Table \* ARABIC </w:instrText>
      </w:r>
      <w:r w:rsidR="00D51529">
        <w:fldChar w:fldCharType="separate"/>
      </w:r>
      <w:r w:rsidR="00C930AF">
        <w:rPr>
          <w:noProof/>
        </w:rPr>
        <w:t>3</w:t>
      </w:r>
      <w:r w:rsidR="00D51529">
        <w:rPr>
          <w:noProof/>
        </w:rPr>
        <w:fldChar w:fldCharType="end"/>
      </w:r>
      <w:bookmarkEnd w:id="6"/>
      <w:r>
        <w:t>: I</w:t>
      </w:r>
      <w:r w:rsidRPr="003A371B">
        <w:t xml:space="preserve">llustration of impact of required spend in South Africa </w:t>
      </w:r>
      <w:bookmarkEnd w:id="7"/>
    </w:p>
    <w:tbl>
      <w:tblPr>
        <w:tblStyle w:val="TableGrid"/>
        <w:tblW w:w="5000" w:type="pct"/>
        <w:tblLook w:val="04A0" w:firstRow="1" w:lastRow="0" w:firstColumn="1" w:lastColumn="0" w:noHBand="0" w:noVBand="1"/>
      </w:tblPr>
      <w:tblGrid>
        <w:gridCol w:w="3080"/>
        <w:gridCol w:w="3080"/>
        <w:gridCol w:w="3082"/>
      </w:tblGrid>
      <w:tr w:rsidR="0088735D" w:rsidRPr="007F7297" w:rsidTr="00FE11AD">
        <w:tc>
          <w:tcPr>
            <w:tcW w:w="1666" w:type="pct"/>
            <w:shd w:val="clear" w:color="auto" w:fill="70AD47" w:themeFill="accent6"/>
          </w:tcPr>
          <w:p w:rsidR="0088735D" w:rsidRPr="00011950" w:rsidRDefault="0088735D" w:rsidP="00FE11AD">
            <w:pPr>
              <w:jc w:val="both"/>
              <w:rPr>
                <w:rFonts w:ascii="Arial" w:hAnsi="Arial" w:cs="Arial"/>
                <w:b/>
                <w:sz w:val="24"/>
                <w:lang w:eastAsia="en-GB"/>
              </w:rPr>
            </w:pPr>
            <w:r w:rsidRPr="00011950">
              <w:rPr>
                <w:rFonts w:ascii="Arial" w:hAnsi="Arial" w:cs="Arial"/>
                <w:b/>
                <w:sz w:val="24"/>
                <w:lang w:eastAsia="en-GB"/>
              </w:rPr>
              <w:t xml:space="preserve">BEE Scorecard Requirement </w:t>
            </w:r>
          </w:p>
        </w:tc>
        <w:tc>
          <w:tcPr>
            <w:tcW w:w="1666" w:type="pct"/>
            <w:shd w:val="clear" w:color="auto" w:fill="70AD47" w:themeFill="accent6"/>
          </w:tcPr>
          <w:p w:rsidR="0088735D" w:rsidRPr="00011950" w:rsidRDefault="0088735D" w:rsidP="00011950">
            <w:pPr>
              <w:jc w:val="center"/>
              <w:rPr>
                <w:rFonts w:ascii="Arial" w:hAnsi="Arial" w:cs="Arial"/>
                <w:b/>
                <w:sz w:val="24"/>
                <w:lang w:eastAsia="en-GB"/>
              </w:rPr>
            </w:pPr>
            <w:r w:rsidRPr="00011950">
              <w:rPr>
                <w:rFonts w:ascii="Arial" w:hAnsi="Arial" w:cs="Arial"/>
                <w:b/>
                <w:sz w:val="24"/>
                <w:lang w:eastAsia="en-GB"/>
              </w:rPr>
              <w:t>Targeted %</w:t>
            </w:r>
          </w:p>
        </w:tc>
        <w:tc>
          <w:tcPr>
            <w:tcW w:w="1667" w:type="pct"/>
            <w:shd w:val="clear" w:color="auto" w:fill="70AD47" w:themeFill="accent6"/>
          </w:tcPr>
          <w:p w:rsidR="0088735D" w:rsidRPr="00011950" w:rsidRDefault="0088735D" w:rsidP="00011950">
            <w:pPr>
              <w:jc w:val="center"/>
              <w:rPr>
                <w:rFonts w:ascii="Arial" w:hAnsi="Arial" w:cs="Arial"/>
                <w:b/>
                <w:sz w:val="24"/>
                <w:lang w:eastAsia="en-GB"/>
              </w:rPr>
            </w:pPr>
            <w:r w:rsidRPr="00011950">
              <w:rPr>
                <w:rFonts w:ascii="Arial" w:hAnsi="Arial" w:cs="Arial"/>
                <w:b/>
                <w:sz w:val="24"/>
                <w:lang w:eastAsia="en-GB"/>
              </w:rPr>
              <w:t>Targeted Spend</w:t>
            </w:r>
          </w:p>
        </w:tc>
      </w:tr>
      <w:tr w:rsidR="0088735D" w:rsidRPr="007F7297" w:rsidTr="00FE11AD">
        <w:tc>
          <w:tcPr>
            <w:tcW w:w="1666" w:type="pct"/>
          </w:tcPr>
          <w:p w:rsidR="0088735D" w:rsidRPr="007F7297" w:rsidRDefault="0088735D" w:rsidP="00FE11AD">
            <w:pPr>
              <w:jc w:val="both"/>
              <w:rPr>
                <w:rFonts w:ascii="Arial" w:hAnsi="Arial" w:cs="Arial"/>
                <w:sz w:val="24"/>
                <w:lang w:eastAsia="en-GB"/>
              </w:rPr>
            </w:pPr>
            <w:r w:rsidRPr="007F7297">
              <w:rPr>
                <w:rFonts w:ascii="Arial" w:hAnsi="Arial" w:cs="Arial"/>
                <w:sz w:val="24"/>
                <w:lang w:eastAsia="en-GB"/>
              </w:rPr>
              <w:t xml:space="preserve">EME Suppliers </w:t>
            </w:r>
          </w:p>
        </w:tc>
        <w:tc>
          <w:tcPr>
            <w:tcW w:w="1666" w:type="pct"/>
          </w:tcPr>
          <w:p w:rsidR="0088735D" w:rsidRPr="007F7297" w:rsidRDefault="0088735D" w:rsidP="00011950">
            <w:pPr>
              <w:jc w:val="center"/>
              <w:rPr>
                <w:rFonts w:ascii="Arial" w:hAnsi="Arial" w:cs="Arial"/>
                <w:sz w:val="24"/>
                <w:lang w:eastAsia="en-GB"/>
              </w:rPr>
            </w:pPr>
            <w:r w:rsidRPr="007F7297">
              <w:rPr>
                <w:rFonts w:ascii="Arial" w:hAnsi="Arial" w:cs="Arial"/>
                <w:sz w:val="24"/>
                <w:lang w:eastAsia="en-GB"/>
              </w:rPr>
              <w:t>15%</w:t>
            </w:r>
          </w:p>
        </w:tc>
        <w:tc>
          <w:tcPr>
            <w:tcW w:w="1667" w:type="pct"/>
          </w:tcPr>
          <w:p w:rsidR="0088735D" w:rsidRPr="007F7297" w:rsidRDefault="0088735D" w:rsidP="00011950">
            <w:pPr>
              <w:jc w:val="center"/>
              <w:rPr>
                <w:rFonts w:ascii="Arial" w:hAnsi="Arial" w:cs="Arial"/>
                <w:sz w:val="24"/>
                <w:lang w:eastAsia="en-GB"/>
              </w:rPr>
            </w:pPr>
            <w:r w:rsidRPr="007F7297">
              <w:rPr>
                <w:rFonts w:ascii="Arial" w:hAnsi="Arial" w:cs="Arial"/>
                <w:sz w:val="24"/>
                <w:lang w:eastAsia="en-GB"/>
              </w:rPr>
              <w:t xml:space="preserve">R150 </w:t>
            </w:r>
            <w:r>
              <w:rPr>
                <w:rFonts w:ascii="Arial" w:hAnsi="Arial" w:cs="Arial"/>
                <w:sz w:val="24"/>
                <w:lang w:eastAsia="en-GB"/>
              </w:rPr>
              <w:t>billion</w:t>
            </w:r>
          </w:p>
        </w:tc>
      </w:tr>
      <w:tr w:rsidR="0088735D" w:rsidRPr="007F7297" w:rsidTr="00FE11AD">
        <w:tc>
          <w:tcPr>
            <w:tcW w:w="1666" w:type="pct"/>
          </w:tcPr>
          <w:p w:rsidR="0088735D" w:rsidRPr="007F7297" w:rsidRDefault="0088735D" w:rsidP="00FE11AD">
            <w:pPr>
              <w:jc w:val="both"/>
              <w:rPr>
                <w:rFonts w:ascii="Arial" w:hAnsi="Arial" w:cs="Arial"/>
                <w:sz w:val="24"/>
                <w:lang w:eastAsia="en-GB"/>
              </w:rPr>
            </w:pPr>
            <w:r w:rsidRPr="007F7297">
              <w:rPr>
                <w:rFonts w:ascii="Arial" w:hAnsi="Arial" w:cs="Arial"/>
                <w:sz w:val="24"/>
                <w:lang w:eastAsia="en-GB"/>
              </w:rPr>
              <w:t xml:space="preserve">QSE Suppliers </w:t>
            </w:r>
          </w:p>
        </w:tc>
        <w:tc>
          <w:tcPr>
            <w:tcW w:w="1666" w:type="pct"/>
          </w:tcPr>
          <w:p w:rsidR="0088735D" w:rsidRPr="007F7297" w:rsidRDefault="0088735D" w:rsidP="00011950">
            <w:pPr>
              <w:jc w:val="center"/>
              <w:rPr>
                <w:rFonts w:ascii="Arial" w:hAnsi="Arial" w:cs="Arial"/>
                <w:sz w:val="24"/>
                <w:lang w:eastAsia="en-GB"/>
              </w:rPr>
            </w:pPr>
            <w:r w:rsidRPr="007F7297">
              <w:rPr>
                <w:rFonts w:ascii="Arial" w:hAnsi="Arial" w:cs="Arial"/>
                <w:sz w:val="24"/>
                <w:lang w:eastAsia="en-GB"/>
              </w:rPr>
              <w:t>15%</w:t>
            </w:r>
          </w:p>
        </w:tc>
        <w:tc>
          <w:tcPr>
            <w:tcW w:w="1667" w:type="pct"/>
          </w:tcPr>
          <w:p w:rsidR="0088735D" w:rsidRPr="007F7297" w:rsidRDefault="0088735D" w:rsidP="00011950">
            <w:pPr>
              <w:jc w:val="center"/>
              <w:rPr>
                <w:rFonts w:ascii="Arial" w:hAnsi="Arial" w:cs="Arial"/>
                <w:sz w:val="24"/>
                <w:lang w:eastAsia="en-GB"/>
              </w:rPr>
            </w:pPr>
            <w:r w:rsidRPr="007F7297">
              <w:rPr>
                <w:rFonts w:ascii="Arial" w:hAnsi="Arial" w:cs="Arial"/>
                <w:sz w:val="24"/>
                <w:lang w:eastAsia="en-GB"/>
              </w:rPr>
              <w:t xml:space="preserve">R150 </w:t>
            </w:r>
            <w:r>
              <w:rPr>
                <w:rFonts w:ascii="Arial" w:hAnsi="Arial" w:cs="Arial"/>
                <w:sz w:val="24"/>
                <w:lang w:eastAsia="en-GB"/>
              </w:rPr>
              <w:t>billion</w:t>
            </w:r>
          </w:p>
        </w:tc>
      </w:tr>
      <w:tr w:rsidR="0088735D" w:rsidRPr="007F7297" w:rsidTr="00FE11AD">
        <w:tc>
          <w:tcPr>
            <w:tcW w:w="1666" w:type="pct"/>
          </w:tcPr>
          <w:p w:rsidR="0088735D" w:rsidRPr="007F7297" w:rsidRDefault="0088735D" w:rsidP="00FE11AD">
            <w:pPr>
              <w:jc w:val="both"/>
              <w:rPr>
                <w:rFonts w:ascii="Arial" w:hAnsi="Arial" w:cs="Arial"/>
                <w:sz w:val="24"/>
                <w:lang w:eastAsia="en-GB"/>
              </w:rPr>
            </w:pPr>
            <w:r w:rsidRPr="007F7297">
              <w:rPr>
                <w:rFonts w:ascii="Arial" w:hAnsi="Arial" w:cs="Arial"/>
                <w:sz w:val="24"/>
                <w:lang w:eastAsia="en-GB"/>
              </w:rPr>
              <w:t xml:space="preserve">Black Owned Suppliers </w:t>
            </w:r>
          </w:p>
        </w:tc>
        <w:tc>
          <w:tcPr>
            <w:tcW w:w="1666" w:type="pct"/>
          </w:tcPr>
          <w:p w:rsidR="0088735D" w:rsidRPr="007F7297" w:rsidRDefault="0088735D" w:rsidP="00011950">
            <w:pPr>
              <w:jc w:val="center"/>
              <w:rPr>
                <w:rFonts w:ascii="Arial" w:hAnsi="Arial" w:cs="Arial"/>
                <w:sz w:val="24"/>
                <w:lang w:eastAsia="en-GB"/>
              </w:rPr>
            </w:pPr>
            <w:r w:rsidRPr="007F7297">
              <w:rPr>
                <w:rFonts w:ascii="Arial" w:hAnsi="Arial" w:cs="Arial"/>
                <w:sz w:val="24"/>
                <w:lang w:eastAsia="en-GB"/>
              </w:rPr>
              <w:t>40%</w:t>
            </w:r>
          </w:p>
        </w:tc>
        <w:tc>
          <w:tcPr>
            <w:tcW w:w="1667" w:type="pct"/>
          </w:tcPr>
          <w:p w:rsidR="0088735D" w:rsidRPr="007F7297" w:rsidRDefault="0088735D" w:rsidP="00011950">
            <w:pPr>
              <w:tabs>
                <w:tab w:val="right" w:pos="2790"/>
              </w:tabs>
              <w:jc w:val="center"/>
              <w:rPr>
                <w:rFonts w:ascii="Arial" w:hAnsi="Arial" w:cs="Arial"/>
                <w:sz w:val="24"/>
                <w:lang w:eastAsia="en-GB"/>
              </w:rPr>
            </w:pPr>
            <w:r w:rsidRPr="007F7297">
              <w:rPr>
                <w:rFonts w:ascii="Arial" w:hAnsi="Arial" w:cs="Arial"/>
                <w:sz w:val="24"/>
                <w:lang w:eastAsia="en-GB"/>
              </w:rPr>
              <w:t xml:space="preserve">R400 </w:t>
            </w:r>
            <w:r>
              <w:rPr>
                <w:rFonts w:ascii="Arial" w:hAnsi="Arial" w:cs="Arial"/>
                <w:sz w:val="24"/>
                <w:lang w:eastAsia="en-GB"/>
              </w:rPr>
              <w:t>billion</w:t>
            </w:r>
          </w:p>
        </w:tc>
      </w:tr>
      <w:tr w:rsidR="0088735D" w:rsidRPr="007F7297" w:rsidTr="00FE11AD">
        <w:tc>
          <w:tcPr>
            <w:tcW w:w="1666" w:type="pct"/>
          </w:tcPr>
          <w:p w:rsidR="0088735D" w:rsidRPr="007F7297" w:rsidRDefault="0088735D" w:rsidP="00FE11AD">
            <w:pPr>
              <w:jc w:val="both"/>
              <w:rPr>
                <w:rFonts w:ascii="Arial" w:hAnsi="Arial" w:cs="Arial"/>
                <w:sz w:val="24"/>
                <w:lang w:eastAsia="en-GB"/>
              </w:rPr>
            </w:pPr>
            <w:r w:rsidRPr="007F7297">
              <w:rPr>
                <w:rFonts w:ascii="Arial" w:hAnsi="Arial" w:cs="Arial"/>
                <w:sz w:val="24"/>
                <w:lang w:eastAsia="en-GB"/>
              </w:rPr>
              <w:t xml:space="preserve">Black Women Owned Suppliers </w:t>
            </w:r>
          </w:p>
        </w:tc>
        <w:tc>
          <w:tcPr>
            <w:tcW w:w="1666" w:type="pct"/>
          </w:tcPr>
          <w:p w:rsidR="0088735D" w:rsidRPr="007F7297" w:rsidRDefault="0088735D" w:rsidP="00011950">
            <w:pPr>
              <w:jc w:val="center"/>
              <w:rPr>
                <w:rFonts w:ascii="Arial" w:hAnsi="Arial" w:cs="Arial"/>
                <w:sz w:val="24"/>
                <w:lang w:eastAsia="en-GB"/>
              </w:rPr>
            </w:pPr>
            <w:r w:rsidRPr="007F7297">
              <w:rPr>
                <w:rFonts w:ascii="Arial" w:hAnsi="Arial" w:cs="Arial"/>
                <w:sz w:val="24"/>
                <w:lang w:eastAsia="en-GB"/>
              </w:rPr>
              <w:t>12%</w:t>
            </w:r>
          </w:p>
        </w:tc>
        <w:tc>
          <w:tcPr>
            <w:tcW w:w="1667" w:type="pct"/>
          </w:tcPr>
          <w:p w:rsidR="0088735D" w:rsidRPr="007F7297" w:rsidRDefault="0088735D" w:rsidP="00011950">
            <w:pPr>
              <w:jc w:val="center"/>
              <w:rPr>
                <w:rFonts w:ascii="Arial" w:hAnsi="Arial" w:cs="Arial"/>
                <w:sz w:val="24"/>
                <w:lang w:eastAsia="en-GB"/>
              </w:rPr>
            </w:pPr>
            <w:r w:rsidRPr="007F7297">
              <w:rPr>
                <w:rFonts w:ascii="Arial" w:hAnsi="Arial" w:cs="Arial"/>
                <w:sz w:val="24"/>
                <w:lang w:eastAsia="en-GB"/>
              </w:rPr>
              <w:t xml:space="preserve">R120 </w:t>
            </w:r>
            <w:r>
              <w:rPr>
                <w:rFonts w:ascii="Arial" w:hAnsi="Arial" w:cs="Arial"/>
                <w:sz w:val="24"/>
                <w:lang w:eastAsia="en-GB"/>
              </w:rPr>
              <w:t>billion</w:t>
            </w:r>
          </w:p>
        </w:tc>
      </w:tr>
    </w:tbl>
    <w:p w:rsidR="0088735D" w:rsidRDefault="0088735D" w:rsidP="0088735D">
      <w:pPr>
        <w:spacing w:before="100" w:beforeAutospacing="1" w:after="100" w:afterAutospacing="1"/>
        <w:jc w:val="both"/>
        <w:rPr>
          <w:rFonts w:ascii="Arial" w:hAnsi="Arial" w:cs="Arial"/>
          <w:sz w:val="24"/>
          <w:szCs w:val="24"/>
        </w:rPr>
      </w:pPr>
      <w:r w:rsidRPr="000B4E03">
        <w:rPr>
          <w:rFonts w:ascii="Arial" w:hAnsi="Arial" w:cs="Arial"/>
          <w:sz w:val="24"/>
          <w:szCs w:val="24"/>
        </w:rPr>
        <w:t xml:space="preserve">This would mean that as a minimum, up to R400 billion of work granted to companies to across the economy should be delivered by black business.  </w:t>
      </w:r>
      <w:r w:rsidR="00EC3518">
        <w:rPr>
          <w:rFonts w:ascii="Arial" w:hAnsi="Arial" w:cs="Arial"/>
          <w:sz w:val="24"/>
          <w:szCs w:val="24"/>
        </w:rPr>
        <w:t>A</w:t>
      </w:r>
      <w:r w:rsidRPr="000B4E03">
        <w:rPr>
          <w:rFonts w:ascii="Arial" w:hAnsi="Arial" w:cs="Arial"/>
          <w:sz w:val="24"/>
          <w:szCs w:val="24"/>
        </w:rPr>
        <w:t xml:space="preserve"> significant portion of this would need to be funded for working capital, transitional loans, debtor/invoice factoring, capital raising amongst others. All these relate to financial support, other forms of support include non-monetary support such as management development skills transfer, back office support, use of facilities at discounted rates, etc.</w:t>
      </w:r>
    </w:p>
    <w:p w:rsidR="009445A0" w:rsidRPr="00EC3518" w:rsidRDefault="009445A0" w:rsidP="009445A0">
      <w:pPr>
        <w:spacing w:before="100" w:beforeAutospacing="1" w:after="100" w:afterAutospacing="1"/>
        <w:jc w:val="both"/>
        <w:rPr>
          <w:rFonts w:ascii="Arial" w:hAnsi="Arial" w:cs="Arial"/>
          <w:sz w:val="24"/>
          <w:szCs w:val="24"/>
        </w:rPr>
      </w:pPr>
      <w:r w:rsidRPr="00EC3518">
        <w:rPr>
          <w:rFonts w:ascii="Arial" w:hAnsi="Arial" w:cs="Arial"/>
          <w:sz w:val="24"/>
          <w:szCs w:val="24"/>
        </w:rPr>
        <w:t>Use procurement as a catalyst for transformation.</w:t>
      </w:r>
      <w:r w:rsidR="00EC3518">
        <w:rPr>
          <w:rFonts w:ascii="Arial" w:hAnsi="Arial" w:cs="Arial"/>
          <w:sz w:val="24"/>
          <w:szCs w:val="24"/>
        </w:rPr>
        <w:t xml:space="preserve"> </w:t>
      </w:r>
      <w:r w:rsidRPr="00EC3518">
        <w:rPr>
          <w:rFonts w:ascii="Arial" w:hAnsi="Arial" w:cs="Arial"/>
          <w:sz w:val="24"/>
          <w:szCs w:val="24"/>
        </w:rPr>
        <w:t>Government must make it mandatory for private and public sector entities to fulfil national transformation objectives by implementing the preferential procurement requirements of the amended codes.</w:t>
      </w:r>
    </w:p>
    <w:p w:rsidR="009445A0" w:rsidRPr="00EC3518" w:rsidRDefault="009445A0" w:rsidP="009445A0">
      <w:pPr>
        <w:spacing w:before="100" w:beforeAutospacing="1" w:after="100" w:afterAutospacing="1"/>
        <w:jc w:val="both"/>
        <w:rPr>
          <w:rFonts w:ascii="Arial" w:hAnsi="Arial" w:cs="Arial"/>
          <w:sz w:val="24"/>
          <w:szCs w:val="24"/>
        </w:rPr>
      </w:pPr>
      <w:r w:rsidRPr="00EC3518">
        <w:rPr>
          <w:rFonts w:ascii="Arial" w:hAnsi="Arial" w:cs="Arial"/>
          <w:sz w:val="24"/>
          <w:szCs w:val="24"/>
        </w:rPr>
        <w:t>Ownership funding models and targets must fulfil the set targets per the codes, i.e.  (25%+1 vote for voting rights and 25% economic interest in the hands of black people).</w:t>
      </w:r>
    </w:p>
    <w:p w:rsidR="00077A3D" w:rsidRDefault="00077A3D" w:rsidP="00BF54B4">
      <w:pPr>
        <w:pStyle w:val="Heading1"/>
        <w:numPr>
          <w:ilvl w:val="1"/>
          <w:numId w:val="33"/>
        </w:numPr>
        <w:rPr>
          <w:rFonts w:ascii="Arial" w:hAnsi="Arial" w:cs="Arial"/>
          <w:b/>
          <w:color w:val="auto"/>
          <w:sz w:val="24"/>
          <w:szCs w:val="24"/>
          <w:lang w:val="en-US"/>
        </w:rPr>
      </w:pPr>
      <w:r>
        <w:rPr>
          <w:rFonts w:ascii="Arial" w:hAnsi="Arial" w:cs="Arial"/>
          <w:b/>
          <w:color w:val="auto"/>
          <w:sz w:val="24"/>
          <w:szCs w:val="24"/>
          <w:lang w:val="en-US"/>
        </w:rPr>
        <w:t xml:space="preserve">Establishment of a directly owned Black bank  </w:t>
      </w:r>
    </w:p>
    <w:p w:rsidR="009445A0" w:rsidRPr="009445A0" w:rsidRDefault="009445A0" w:rsidP="009445A0">
      <w:pPr>
        <w:spacing w:before="100" w:beforeAutospacing="1" w:after="100" w:afterAutospacing="1"/>
        <w:jc w:val="both"/>
        <w:rPr>
          <w:rFonts w:ascii="Arial" w:hAnsi="Arial" w:cs="Arial"/>
        </w:rPr>
      </w:pPr>
      <w:r w:rsidRPr="009445A0">
        <w:rPr>
          <w:rFonts w:ascii="Arial" w:hAnsi="Arial" w:cs="Arial"/>
        </w:rPr>
        <w:t>Increase competition by establishing a directly black owned bank in order to foster competition in the sector, de-concentrate the sector and encourage the creation of a diversity of institutions that respond to consumer needs and national priorities.  This will require the development of a vision of the future structure of the industry. Examples include the German “three pillar” banking system. According to Behr and Schmidt (2015) the German system which has:</w:t>
      </w:r>
    </w:p>
    <w:p w:rsidR="009445A0" w:rsidRPr="009445A0" w:rsidRDefault="009445A0" w:rsidP="009445A0">
      <w:pPr>
        <w:pStyle w:val="ListParagraph"/>
        <w:numPr>
          <w:ilvl w:val="0"/>
          <w:numId w:val="35"/>
        </w:numPr>
        <w:spacing w:before="100" w:beforeAutospacing="1" w:after="100" w:afterAutospacing="1"/>
        <w:jc w:val="both"/>
        <w:rPr>
          <w:rFonts w:ascii="Arial" w:hAnsi="Arial" w:cs="Arial"/>
        </w:rPr>
      </w:pPr>
      <w:r w:rsidRPr="009445A0">
        <w:rPr>
          <w:rFonts w:ascii="Arial" w:hAnsi="Arial" w:cs="Arial"/>
        </w:rPr>
        <w:t>Private commercial banks with a market share of 39% in 2014. This pillar includes big banks – household names such as Deutsche Bank and Commerzbank – and a considerable number of smaller regional banks,</w:t>
      </w:r>
    </w:p>
    <w:p w:rsidR="009445A0" w:rsidRPr="009445A0" w:rsidRDefault="009445A0" w:rsidP="009445A0">
      <w:pPr>
        <w:pStyle w:val="ListParagraph"/>
        <w:numPr>
          <w:ilvl w:val="0"/>
          <w:numId w:val="35"/>
        </w:numPr>
        <w:spacing w:before="100" w:beforeAutospacing="1" w:after="100" w:afterAutospacing="1"/>
        <w:jc w:val="both"/>
        <w:rPr>
          <w:rFonts w:ascii="Arial" w:hAnsi="Arial" w:cs="Arial"/>
        </w:rPr>
      </w:pPr>
      <w:r w:rsidRPr="009445A0">
        <w:rPr>
          <w:rFonts w:ascii="Arial" w:hAnsi="Arial" w:cs="Arial"/>
        </w:rPr>
        <w:t>Savings Banks with a market share of 28%. These banks – national and regional - have Government involvement,</w:t>
      </w:r>
    </w:p>
    <w:p w:rsidR="009445A0" w:rsidRPr="009445A0" w:rsidRDefault="009445A0" w:rsidP="009445A0">
      <w:pPr>
        <w:pStyle w:val="ListParagraph"/>
        <w:numPr>
          <w:ilvl w:val="0"/>
          <w:numId w:val="35"/>
        </w:numPr>
        <w:spacing w:before="100" w:beforeAutospacing="1" w:after="100" w:afterAutospacing="1"/>
        <w:jc w:val="both"/>
        <w:rPr>
          <w:rFonts w:ascii="Arial" w:hAnsi="Arial" w:cs="Arial"/>
        </w:rPr>
      </w:pPr>
      <w:r w:rsidRPr="009445A0">
        <w:rPr>
          <w:rFonts w:ascii="Arial" w:hAnsi="Arial" w:cs="Arial"/>
        </w:rPr>
        <w:t xml:space="preserve">Cooperative Banks with a market share of 14%, and </w:t>
      </w:r>
    </w:p>
    <w:p w:rsidR="009445A0" w:rsidRPr="009445A0" w:rsidRDefault="009445A0" w:rsidP="009445A0">
      <w:pPr>
        <w:pStyle w:val="ListParagraph"/>
        <w:numPr>
          <w:ilvl w:val="0"/>
          <w:numId w:val="35"/>
        </w:numPr>
        <w:spacing w:before="100" w:beforeAutospacing="1" w:after="100" w:afterAutospacing="1"/>
        <w:jc w:val="both"/>
        <w:rPr>
          <w:rFonts w:ascii="Arial" w:hAnsi="Arial" w:cs="Arial"/>
        </w:rPr>
      </w:pPr>
      <w:r w:rsidRPr="009445A0">
        <w:rPr>
          <w:rFonts w:ascii="Arial" w:hAnsi="Arial" w:cs="Arial"/>
        </w:rPr>
        <w:t>Other banks with a market share of 20%. Since these banks are so diverse, there are not referred to as a fourth pillar. They include mortgage and other special purpose banks.</w:t>
      </w:r>
    </w:p>
    <w:p w:rsidR="00C3402E" w:rsidRDefault="00C3402E" w:rsidP="00E87BB1">
      <w:pPr>
        <w:pStyle w:val="ListParagraph"/>
        <w:jc w:val="both"/>
        <w:rPr>
          <w:rFonts w:ascii="Arial" w:hAnsi="Arial" w:cs="Arial"/>
        </w:rPr>
      </w:pPr>
    </w:p>
    <w:p w:rsidR="002617B7" w:rsidRPr="002E4F28" w:rsidRDefault="002617B7" w:rsidP="002617B7">
      <w:pPr>
        <w:spacing w:after="0" w:line="240" w:lineRule="auto"/>
        <w:jc w:val="both"/>
        <w:rPr>
          <w:rFonts w:ascii="Arial" w:hAnsi="Arial" w:cs="Arial"/>
          <w:sz w:val="24"/>
          <w:szCs w:val="24"/>
        </w:rPr>
      </w:pPr>
    </w:p>
    <w:p w:rsidR="002617B7" w:rsidRPr="00142912" w:rsidRDefault="00B56E73" w:rsidP="00900B36">
      <w:pPr>
        <w:pStyle w:val="ListParagraph"/>
        <w:numPr>
          <w:ilvl w:val="0"/>
          <w:numId w:val="1"/>
        </w:numPr>
        <w:shd w:val="clear" w:color="auto" w:fill="70AD47" w:themeFill="accent6"/>
        <w:tabs>
          <w:tab w:val="left" w:pos="720"/>
        </w:tabs>
        <w:spacing w:line="360" w:lineRule="auto"/>
        <w:ind w:hanging="1440"/>
        <w:rPr>
          <w:rFonts w:ascii="Arial" w:hAnsi="Arial" w:cs="Arial"/>
          <w:b/>
        </w:rPr>
      </w:pPr>
      <w:r>
        <w:rPr>
          <w:rFonts w:ascii="Arial" w:hAnsi="Arial" w:cs="Arial"/>
          <w:b/>
        </w:rPr>
        <w:t>Conclusion</w:t>
      </w:r>
    </w:p>
    <w:p w:rsidR="00A841B2" w:rsidRDefault="00A841B2" w:rsidP="00E725CC">
      <w:pPr>
        <w:jc w:val="both"/>
        <w:rPr>
          <w:rFonts w:ascii="Arial" w:hAnsi="Arial" w:cs="Arial"/>
          <w:sz w:val="24"/>
          <w:lang w:eastAsia="en-GB"/>
        </w:rPr>
      </w:pPr>
    </w:p>
    <w:p w:rsidR="00A841B2" w:rsidRPr="00470AEF" w:rsidRDefault="00A841B2" w:rsidP="00A841B2">
      <w:pPr>
        <w:jc w:val="both"/>
        <w:rPr>
          <w:rFonts w:ascii="Arial" w:hAnsi="Arial" w:cs="Arial"/>
          <w:sz w:val="24"/>
        </w:rPr>
      </w:pPr>
      <w:r w:rsidRPr="00470AEF">
        <w:rPr>
          <w:rFonts w:ascii="Arial" w:hAnsi="Arial" w:cs="Arial"/>
          <w:sz w:val="24"/>
        </w:rPr>
        <w:t>It is evident that the FSC has short comings in terms of reforming the sector, it has proven to be a blunt tool in driving transformation, employment and radical change in the sector.  The NDP is premised on economic growth and this instrument of transformation fails to deliver on the growth objectives of the nation and redistribution of wealth.</w:t>
      </w:r>
    </w:p>
    <w:p w:rsidR="00A841B2" w:rsidRDefault="00A841B2" w:rsidP="00A841B2">
      <w:pPr>
        <w:jc w:val="both"/>
        <w:rPr>
          <w:rFonts w:ascii="Arial" w:hAnsi="Arial" w:cs="Arial"/>
          <w:sz w:val="24"/>
          <w:lang w:eastAsia="en-GB"/>
        </w:rPr>
      </w:pPr>
      <w:r>
        <w:rPr>
          <w:rFonts w:ascii="Arial" w:hAnsi="Arial" w:cs="Arial"/>
          <w:sz w:val="24"/>
        </w:rPr>
        <w:t>Transformation has remained</w:t>
      </w:r>
      <w:r w:rsidRPr="00470AEF">
        <w:rPr>
          <w:rFonts w:ascii="Arial" w:hAnsi="Arial" w:cs="Arial"/>
          <w:sz w:val="24"/>
        </w:rPr>
        <w:t xml:space="preserve"> a voluntary process in this country, even as the financial services sector raised its hand to be the first of the sectors in the economy to develop a framework for transformation, the process was not mandatory and was thus driven by the procurement process</w:t>
      </w:r>
    </w:p>
    <w:p w:rsidR="00E725CC" w:rsidRPr="00E725CC" w:rsidRDefault="002A2D62" w:rsidP="00E725CC">
      <w:pPr>
        <w:jc w:val="both"/>
        <w:rPr>
          <w:rFonts w:ascii="Arial" w:hAnsi="Arial" w:cs="Arial"/>
          <w:sz w:val="24"/>
          <w:lang w:eastAsia="en-GB"/>
        </w:rPr>
      </w:pPr>
      <w:r w:rsidRPr="00E725CC">
        <w:rPr>
          <w:rFonts w:ascii="Arial" w:hAnsi="Arial" w:cs="Arial"/>
          <w:sz w:val="24"/>
          <w:lang w:eastAsia="en-GB"/>
        </w:rPr>
        <w:t>The greatest challenge facing black entrepreneurs in South Africa is access to market</w:t>
      </w:r>
      <w:r w:rsidR="00C3402E">
        <w:rPr>
          <w:rFonts w:ascii="Arial" w:hAnsi="Arial" w:cs="Arial"/>
          <w:sz w:val="24"/>
          <w:lang w:eastAsia="en-GB"/>
        </w:rPr>
        <w:t>.</w:t>
      </w:r>
      <w:r w:rsidRPr="00E725CC">
        <w:rPr>
          <w:rFonts w:ascii="Arial" w:hAnsi="Arial" w:cs="Arial"/>
          <w:sz w:val="24"/>
          <w:lang w:eastAsia="en-GB"/>
        </w:rPr>
        <w:t xml:space="preserve"> </w:t>
      </w:r>
      <w:r w:rsidR="00C3402E">
        <w:rPr>
          <w:rFonts w:ascii="Arial" w:hAnsi="Arial" w:cs="Arial"/>
          <w:sz w:val="24"/>
          <w:lang w:eastAsia="en-GB"/>
        </w:rPr>
        <w:t>A</w:t>
      </w:r>
      <w:r w:rsidRPr="00E725CC">
        <w:rPr>
          <w:rFonts w:ascii="Arial" w:hAnsi="Arial" w:cs="Arial"/>
          <w:sz w:val="24"/>
          <w:lang w:eastAsia="en-GB"/>
        </w:rPr>
        <w:t xml:space="preserve">lthough many </w:t>
      </w:r>
      <w:r w:rsidR="00E725CC" w:rsidRPr="00E725CC">
        <w:rPr>
          <w:rFonts w:ascii="Arial" w:hAnsi="Arial" w:cs="Arial"/>
          <w:sz w:val="24"/>
          <w:lang w:eastAsia="en-GB"/>
        </w:rPr>
        <w:t>incubation s</w:t>
      </w:r>
      <w:r w:rsidR="00C3402E">
        <w:rPr>
          <w:rFonts w:ascii="Arial" w:hAnsi="Arial" w:cs="Arial"/>
          <w:sz w:val="24"/>
          <w:lang w:eastAsia="en-GB"/>
        </w:rPr>
        <w:t>upport programmes</w:t>
      </w:r>
      <w:r w:rsidR="00E725CC" w:rsidRPr="00E725CC">
        <w:rPr>
          <w:rFonts w:ascii="Arial" w:hAnsi="Arial" w:cs="Arial"/>
          <w:sz w:val="24"/>
          <w:lang w:eastAsia="en-GB"/>
        </w:rPr>
        <w:t xml:space="preserve"> exist,</w:t>
      </w:r>
      <w:r w:rsidR="00C3402E">
        <w:rPr>
          <w:rFonts w:ascii="Arial" w:hAnsi="Arial" w:cs="Arial"/>
          <w:sz w:val="24"/>
          <w:lang w:eastAsia="en-GB"/>
        </w:rPr>
        <w:t xml:space="preserve"> offering office space and training, this does not seem to translate to more bu</w:t>
      </w:r>
      <w:r w:rsidR="00E87BB1">
        <w:rPr>
          <w:rFonts w:ascii="Arial" w:hAnsi="Arial" w:cs="Arial"/>
          <w:sz w:val="24"/>
          <w:lang w:eastAsia="en-GB"/>
        </w:rPr>
        <w:t>s</w:t>
      </w:r>
      <w:r w:rsidR="00C3402E">
        <w:rPr>
          <w:rFonts w:ascii="Arial" w:hAnsi="Arial" w:cs="Arial"/>
          <w:sz w:val="24"/>
          <w:lang w:eastAsia="en-GB"/>
        </w:rPr>
        <w:t>iness for the entrepreneurs, while their clients are able to claim their full Enterprise Development points.</w:t>
      </w:r>
      <w:r w:rsidR="00E725CC" w:rsidRPr="00E725CC">
        <w:rPr>
          <w:rFonts w:ascii="Arial" w:hAnsi="Arial" w:cs="Arial"/>
          <w:sz w:val="24"/>
          <w:lang w:eastAsia="en-GB"/>
        </w:rPr>
        <w:t xml:space="preserve"> It is not one more excel training course that is required, but rather:</w:t>
      </w:r>
    </w:p>
    <w:p w:rsidR="00E725CC" w:rsidRPr="00FA669B" w:rsidRDefault="00E725CC" w:rsidP="00BF54B4">
      <w:pPr>
        <w:pStyle w:val="ListParagraph"/>
        <w:numPr>
          <w:ilvl w:val="0"/>
          <w:numId w:val="11"/>
        </w:numPr>
        <w:rPr>
          <w:rFonts w:ascii="Arial" w:hAnsi="Arial" w:cs="Arial"/>
        </w:rPr>
      </w:pPr>
      <w:r w:rsidRPr="00FA669B">
        <w:rPr>
          <w:rFonts w:ascii="Arial" w:hAnsi="Arial" w:cs="Arial"/>
        </w:rPr>
        <w:t>access to b</w:t>
      </w:r>
      <w:r w:rsidR="006040CD" w:rsidRPr="00FA669B">
        <w:rPr>
          <w:rFonts w:ascii="Arial" w:hAnsi="Arial" w:cs="Arial"/>
        </w:rPr>
        <w:t>usiness opportunities,</w:t>
      </w:r>
    </w:p>
    <w:p w:rsidR="00E725CC" w:rsidRPr="00FA669B" w:rsidRDefault="00E725CC" w:rsidP="00BF54B4">
      <w:pPr>
        <w:pStyle w:val="ListParagraph"/>
        <w:numPr>
          <w:ilvl w:val="0"/>
          <w:numId w:val="11"/>
        </w:numPr>
        <w:rPr>
          <w:rFonts w:ascii="Arial" w:hAnsi="Arial" w:cs="Arial"/>
        </w:rPr>
      </w:pPr>
      <w:r w:rsidRPr="00FA669B">
        <w:rPr>
          <w:rFonts w:ascii="Arial" w:hAnsi="Arial" w:cs="Arial"/>
        </w:rPr>
        <w:t>capital to fu</w:t>
      </w:r>
      <w:r w:rsidR="006040CD" w:rsidRPr="00FA669B">
        <w:rPr>
          <w:rFonts w:ascii="Arial" w:hAnsi="Arial" w:cs="Arial"/>
        </w:rPr>
        <w:t>nd these business opportunities,</w:t>
      </w:r>
    </w:p>
    <w:p w:rsidR="004258BC" w:rsidRPr="00FA669B" w:rsidRDefault="004258BC" w:rsidP="00BF54B4">
      <w:pPr>
        <w:pStyle w:val="ListParagraph"/>
        <w:numPr>
          <w:ilvl w:val="0"/>
          <w:numId w:val="11"/>
        </w:numPr>
        <w:rPr>
          <w:rFonts w:ascii="Arial" w:hAnsi="Arial" w:cs="Arial"/>
        </w:rPr>
      </w:pPr>
      <w:r w:rsidRPr="00FA669B">
        <w:rPr>
          <w:rFonts w:ascii="Arial" w:hAnsi="Arial" w:cs="Arial"/>
        </w:rPr>
        <w:t>Technical support</w:t>
      </w:r>
    </w:p>
    <w:p w:rsidR="00E725CC" w:rsidRPr="00E725CC" w:rsidRDefault="00E725CC" w:rsidP="00E725CC">
      <w:pPr>
        <w:pStyle w:val="ListParagraph"/>
        <w:rPr>
          <w:rFonts w:ascii="Arial" w:hAnsi="Arial" w:cs="Arial"/>
        </w:rPr>
      </w:pPr>
    </w:p>
    <w:bookmarkEnd w:id="0"/>
    <w:p w:rsidR="00EC3518" w:rsidRDefault="00EC3518" w:rsidP="00BA7D55">
      <w:pPr>
        <w:jc w:val="both"/>
        <w:rPr>
          <w:rFonts w:ascii="Arial" w:hAnsi="Arial" w:cs="Arial"/>
          <w:sz w:val="24"/>
          <w:szCs w:val="24"/>
        </w:rPr>
      </w:pPr>
    </w:p>
    <w:p w:rsidR="00D85540" w:rsidRDefault="00723A49" w:rsidP="00BA7D55">
      <w:pPr>
        <w:jc w:val="both"/>
        <w:rPr>
          <w:rFonts w:ascii="Arial" w:hAnsi="Arial" w:cs="Arial"/>
          <w:sz w:val="24"/>
          <w:szCs w:val="24"/>
        </w:rPr>
      </w:pPr>
      <w:r>
        <w:rPr>
          <w:rFonts w:ascii="Arial" w:hAnsi="Arial" w:cs="Arial"/>
          <w:sz w:val="24"/>
          <w:szCs w:val="24"/>
        </w:rPr>
        <w:t xml:space="preserve">There is reason  to support the idea of </w:t>
      </w:r>
      <w:r w:rsidR="00A9524F">
        <w:rPr>
          <w:rFonts w:ascii="Arial" w:hAnsi="Arial" w:cs="Arial"/>
          <w:sz w:val="24"/>
          <w:szCs w:val="24"/>
        </w:rPr>
        <w:t>mandated to a</w:t>
      </w:r>
      <w:r w:rsidR="00796094">
        <w:rPr>
          <w:rFonts w:ascii="Arial" w:hAnsi="Arial" w:cs="Arial"/>
          <w:sz w:val="24"/>
          <w:szCs w:val="24"/>
        </w:rPr>
        <w:t>n institution owned and controlled by black people with a sole intent</w:t>
      </w:r>
      <w:r w:rsidR="00A73AC1">
        <w:rPr>
          <w:rFonts w:ascii="Arial" w:hAnsi="Arial" w:cs="Arial"/>
          <w:sz w:val="24"/>
          <w:szCs w:val="24"/>
        </w:rPr>
        <w:t>ion</w:t>
      </w:r>
      <w:r w:rsidR="00796094">
        <w:rPr>
          <w:rFonts w:ascii="Arial" w:hAnsi="Arial" w:cs="Arial"/>
          <w:sz w:val="24"/>
          <w:szCs w:val="24"/>
        </w:rPr>
        <w:t xml:space="preserve"> and focus to develop and provide financing</w:t>
      </w:r>
      <w:r w:rsidR="00A73AC1">
        <w:rPr>
          <w:rFonts w:ascii="Arial" w:hAnsi="Arial" w:cs="Arial"/>
          <w:sz w:val="24"/>
          <w:szCs w:val="24"/>
        </w:rPr>
        <w:t xml:space="preserve"> without strictly</w:t>
      </w:r>
      <w:r w:rsidR="00C17DC7">
        <w:rPr>
          <w:rFonts w:ascii="Arial" w:hAnsi="Arial" w:cs="Arial"/>
          <w:sz w:val="24"/>
          <w:szCs w:val="24"/>
        </w:rPr>
        <w:t xml:space="preserve"> being required to abide by the solvency requirement</w:t>
      </w:r>
      <w:r w:rsidR="00A73AC1">
        <w:rPr>
          <w:rFonts w:ascii="Arial" w:hAnsi="Arial" w:cs="Arial"/>
          <w:sz w:val="24"/>
          <w:szCs w:val="24"/>
        </w:rPr>
        <w:t>s</w:t>
      </w:r>
      <w:r w:rsidR="00C17DC7">
        <w:rPr>
          <w:rFonts w:ascii="Arial" w:hAnsi="Arial" w:cs="Arial"/>
          <w:sz w:val="24"/>
          <w:szCs w:val="24"/>
        </w:rPr>
        <w:t xml:space="preserve"> of Basel III (not a bank). </w:t>
      </w:r>
      <w:r w:rsidR="00A73AC1">
        <w:rPr>
          <w:rFonts w:ascii="Arial" w:hAnsi="Arial" w:cs="Arial"/>
          <w:sz w:val="24"/>
          <w:szCs w:val="24"/>
        </w:rPr>
        <w:t>Th</w:t>
      </w:r>
      <w:r>
        <w:rPr>
          <w:rFonts w:ascii="Arial" w:hAnsi="Arial" w:cs="Arial"/>
          <w:sz w:val="24"/>
          <w:szCs w:val="24"/>
        </w:rPr>
        <w:t>is institution sh</w:t>
      </w:r>
      <w:r w:rsidR="00A73AC1">
        <w:rPr>
          <w:rFonts w:ascii="Arial" w:hAnsi="Arial" w:cs="Arial"/>
          <w:sz w:val="24"/>
          <w:szCs w:val="24"/>
        </w:rPr>
        <w:t>ould</w:t>
      </w:r>
      <w:r w:rsidR="00C17DC7">
        <w:rPr>
          <w:rFonts w:ascii="Arial" w:hAnsi="Arial" w:cs="Arial"/>
          <w:sz w:val="24"/>
          <w:szCs w:val="24"/>
        </w:rPr>
        <w:t xml:space="preserve"> be a hybrid between a formal bank and a DFI</w:t>
      </w:r>
      <w:r w:rsidR="00A73AC1">
        <w:rPr>
          <w:rFonts w:ascii="Arial" w:hAnsi="Arial" w:cs="Arial"/>
          <w:sz w:val="24"/>
          <w:szCs w:val="24"/>
        </w:rPr>
        <w:t xml:space="preserve"> with</w:t>
      </w:r>
      <w:r w:rsidR="00C17DC7">
        <w:rPr>
          <w:rFonts w:ascii="Arial" w:hAnsi="Arial" w:cs="Arial"/>
          <w:sz w:val="24"/>
          <w:szCs w:val="24"/>
        </w:rPr>
        <w:t xml:space="preserve"> clearly articulated developmental mandate. </w:t>
      </w:r>
      <w:r w:rsidR="00796094">
        <w:rPr>
          <w:rFonts w:ascii="Arial" w:hAnsi="Arial" w:cs="Arial"/>
          <w:sz w:val="24"/>
          <w:szCs w:val="24"/>
        </w:rPr>
        <w:t>The intention</w:t>
      </w:r>
      <w:r w:rsidR="00C17DC7">
        <w:rPr>
          <w:rFonts w:ascii="Arial" w:hAnsi="Arial" w:cs="Arial"/>
          <w:sz w:val="24"/>
          <w:szCs w:val="24"/>
        </w:rPr>
        <w:t xml:space="preserve"> of this entity</w:t>
      </w:r>
      <w:r w:rsidR="00A73AC1">
        <w:rPr>
          <w:rFonts w:ascii="Arial" w:hAnsi="Arial" w:cs="Arial"/>
          <w:sz w:val="24"/>
          <w:szCs w:val="24"/>
        </w:rPr>
        <w:t xml:space="preserve"> would</w:t>
      </w:r>
      <w:r w:rsidR="00A9524F">
        <w:rPr>
          <w:rFonts w:ascii="Arial" w:hAnsi="Arial" w:cs="Arial"/>
          <w:sz w:val="24"/>
          <w:szCs w:val="24"/>
        </w:rPr>
        <w:t xml:space="preserve"> </w:t>
      </w:r>
      <w:r w:rsidR="00C17DC7">
        <w:rPr>
          <w:rFonts w:ascii="Arial" w:hAnsi="Arial" w:cs="Arial"/>
          <w:sz w:val="24"/>
          <w:szCs w:val="24"/>
        </w:rPr>
        <w:t>be t</w:t>
      </w:r>
      <w:r w:rsidR="00796094">
        <w:rPr>
          <w:rFonts w:ascii="Arial" w:hAnsi="Arial" w:cs="Arial"/>
          <w:sz w:val="24"/>
          <w:szCs w:val="24"/>
        </w:rPr>
        <w:t>o</w:t>
      </w:r>
      <w:r w:rsidR="00C17DC7">
        <w:rPr>
          <w:rFonts w:ascii="Arial" w:hAnsi="Arial" w:cs="Arial"/>
          <w:sz w:val="24"/>
          <w:szCs w:val="24"/>
        </w:rPr>
        <w:t xml:space="preserve"> facilitate a</w:t>
      </w:r>
      <w:r w:rsidR="00A9524F">
        <w:rPr>
          <w:rFonts w:ascii="Arial" w:hAnsi="Arial" w:cs="Arial"/>
          <w:sz w:val="24"/>
          <w:szCs w:val="24"/>
        </w:rPr>
        <w:t xml:space="preserve"> strategic partner</w:t>
      </w:r>
      <w:r w:rsidR="00C17DC7">
        <w:rPr>
          <w:rFonts w:ascii="Arial" w:hAnsi="Arial" w:cs="Arial"/>
          <w:sz w:val="24"/>
          <w:szCs w:val="24"/>
        </w:rPr>
        <w:t>ship</w:t>
      </w:r>
      <w:r w:rsidR="00A9524F">
        <w:rPr>
          <w:rFonts w:ascii="Arial" w:hAnsi="Arial" w:cs="Arial"/>
          <w:sz w:val="24"/>
          <w:szCs w:val="24"/>
        </w:rPr>
        <w:t xml:space="preserve"> through which </w:t>
      </w:r>
      <w:r w:rsidR="000B4E03">
        <w:rPr>
          <w:rFonts w:ascii="Arial" w:hAnsi="Arial" w:cs="Arial"/>
          <w:sz w:val="24"/>
          <w:szCs w:val="24"/>
        </w:rPr>
        <w:t>Government can</w:t>
      </w:r>
      <w:r w:rsidR="00A9524F">
        <w:rPr>
          <w:rFonts w:ascii="Arial" w:hAnsi="Arial" w:cs="Arial"/>
          <w:sz w:val="24"/>
          <w:szCs w:val="24"/>
        </w:rPr>
        <w:t xml:space="preserve"> </w:t>
      </w:r>
      <w:r w:rsidR="00A73AC1">
        <w:rPr>
          <w:rFonts w:ascii="Arial" w:hAnsi="Arial" w:cs="Arial"/>
          <w:sz w:val="24"/>
          <w:szCs w:val="24"/>
        </w:rPr>
        <w:t>enable</w:t>
      </w:r>
      <w:r w:rsidR="00A9524F">
        <w:rPr>
          <w:rFonts w:ascii="Arial" w:hAnsi="Arial" w:cs="Arial"/>
          <w:sz w:val="24"/>
          <w:szCs w:val="24"/>
        </w:rPr>
        <w:t xml:space="preserve"> market access and funding opportunities for black entrepreneurs. </w:t>
      </w:r>
    </w:p>
    <w:p w:rsidR="008C5087" w:rsidRPr="008C5087" w:rsidRDefault="008C5087" w:rsidP="008C5087">
      <w:pPr>
        <w:jc w:val="center"/>
        <w:rPr>
          <w:rFonts w:ascii="Arial" w:hAnsi="Arial" w:cs="Arial"/>
          <w:b/>
          <w:sz w:val="24"/>
          <w:szCs w:val="24"/>
        </w:rPr>
      </w:pPr>
      <w:r w:rsidRPr="008C5087">
        <w:rPr>
          <w:rFonts w:ascii="Arial" w:hAnsi="Arial" w:cs="Arial"/>
          <w:b/>
          <w:sz w:val="24"/>
          <w:szCs w:val="24"/>
        </w:rPr>
        <w:t>END</w:t>
      </w:r>
    </w:p>
    <w:p w:rsidR="0089475B" w:rsidRPr="002E4F28" w:rsidRDefault="000B64E7" w:rsidP="008C5087">
      <w:pPr>
        <w:spacing w:line="360" w:lineRule="auto"/>
        <w:jc w:val="center"/>
        <w:rPr>
          <w:rFonts w:ascii="Arial" w:hAnsi="Arial" w:cs="Arial"/>
          <w:sz w:val="24"/>
          <w:szCs w:val="24"/>
        </w:rPr>
      </w:pPr>
      <w:r>
        <w:rPr>
          <w:rFonts w:ascii="Arial" w:hAnsi="Arial" w:cs="Arial"/>
          <w:noProof/>
          <w:sz w:val="24"/>
          <w:szCs w:val="24"/>
          <w:lang w:eastAsia="en-ZA"/>
        </w:rPr>
        <w:drawing>
          <wp:inline distT="0" distB="0" distL="0" distR="0" wp14:anchorId="7A57D598">
            <wp:extent cx="4572635" cy="10852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635" cy="1085215"/>
                    </a:xfrm>
                    <a:prstGeom prst="rect">
                      <a:avLst/>
                    </a:prstGeom>
                    <a:noFill/>
                  </pic:spPr>
                </pic:pic>
              </a:graphicData>
            </a:graphic>
          </wp:inline>
        </w:drawing>
      </w:r>
    </w:p>
    <w:sectPr w:rsidR="0089475B" w:rsidRPr="002E4F28" w:rsidSect="004757E3">
      <w:headerReference w:type="default" r:id="rId31"/>
      <w:footerReference w:type="default" r:id="rId32"/>
      <w:pgSz w:w="11906" w:h="16838"/>
      <w:pgMar w:top="1267" w:right="1440" w:bottom="1440" w:left="1440" w:header="72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529" w:rsidRDefault="00D51529" w:rsidP="00A62F64">
      <w:pPr>
        <w:spacing w:after="0" w:line="240" w:lineRule="auto"/>
      </w:pPr>
      <w:r>
        <w:separator/>
      </w:r>
    </w:p>
  </w:endnote>
  <w:endnote w:type="continuationSeparator" w:id="0">
    <w:p w:rsidR="00D51529" w:rsidRDefault="00D51529" w:rsidP="00A62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7CF" w:rsidRDefault="005E77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49767"/>
      <w:docPartObj>
        <w:docPartGallery w:val="Page Numbers (Bottom of Page)"/>
        <w:docPartUnique/>
      </w:docPartObj>
    </w:sdtPr>
    <w:sdtEndPr/>
    <w:sdtContent>
      <w:sdt>
        <w:sdtPr>
          <w:id w:val="1897544418"/>
          <w:docPartObj>
            <w:docPartGallery w:val="Page Numbers (Top of Page)"/>
            <w:docPartUnique/>
          </w:docPartObj>
        </w:sdtPr>
        <w:sdtEndPr>
          <w:rPr>
            <w:rFonts w:ascii="Arial" w:hAnsi="Arial" w:cs="Arial"/>
          </w:rPr>
        </w:sdtEndPr>
        <w:sdtContent>
          <w:p w:rsidR="00D75458" w:rsidRDefault="00D75458">
            <w:pPr>
              <w:pStyle w:val="Footer"/>
              <w:jc w:val="center"/>
            </w:pPr>
            <w:r w:rsidRPr="00A62F64">
              <w:rPr>
                <w:rFonts w:ascii="Arial" w:hAnsi="Arial" w:cs="Arial"/>
              </w:rPr>
              <w:t xml:space="preserve">Page </w:t>
            </w:r>
            <w:r w:rsidRPr="00A62F64">
              <w:rPr>
                <w:rFonts w:ascii="Arial" w:hAnsi="Arial" w:cs="Arial"/>
                <w:b/>
                <w:bCs/>
              </w:rPr>
              <w:fldChar w:fldCharType="begin"/>
            </w:r>
            <w:r w:rsidRPr="00A62F64">
              <w:rPr>
                <w:rFonts w:ascii="Arial" w:hAnsi="Arial" w:cs="Arial"/>
                <w:b/>
                <w:bCs/>
              </w:rPr>
              <w:instrText xml:space="preserve"> PAGE </w:instrText>
            </w:r>
            <w:r w:rsidRPr="00A62F64">
              <w:rPr>
                <w:rFonts w:ascii="Arial" w:hAnsi="Arial" w:cs="Arial"/>
                <w:b/>
                <w:bCs/>
              </w:rPr>
              <w:fldChar w:fldCharType="separate"/>
            </w:r>
            <w:r w:rsidR="00921E85">
              <w:rPr>
                <w:rFonts w:ascii="Arial" w:hAnsi="Arial" w:cs="Arial"/>
                <w:b/>
                <w:bCs/>
                <w:noProof/>
              </w:rPr>
              <w:t>4</w:t>
            </w:r>
            <w:r w:rsidRPr="00A62F64">
              <w:rPr>
                <w:rFonts w:ascii="Arial" w:hAnsi="Arial" w:cs="Arial"/>
                <w:b/>
                <w:bCs/>
              </w:rPr>
              <w:fldChar w:fldCharType="end"/>
            </w:r>
            <w:r w:rsidRPr="00A62F64">
              <w:rPr>
                <w:rFonts w:ascii="Arial" w:hAnsi="Arial" w:cs="Arial"/>
              </w:rPr>
              <w:t xml:space="preserve"> of </w:t>
            </w:r>
            <w:r w:rsidRPr="00A62F64">
              <w:rPr>
                <w:rFonts w:ascii="Arial" w:hAnsi="Arial" w:cs="Arial"/>
                <w:b/>
                <w:bCs/>
              </w:rPr>
              <w:fldChar w:fldCharType="begin"/>
            </w:r>
            <w:r w:rsidRPr="00A62F64">
              <w:rPr>
                <w:rFonts w:ascii="Arial" w:hAnsi="Arial" w:cs="Arial"/>
                <w:b/>
                <w:bCs/>
              </w:rPr>
              <w:instrText xml:space="preserve"> NUMPAGES  </w:instrText>
            </w:r>
            <w:r w:rsidRPr="00A62F64">
              <w:rPr>
                <w:rFonts w:ascii="Arial" w:hAnsi="Arial" w:cs="Arial"/>
                <w:b/>
                <w:bCs/>
              </w:rPr>
              <w:fldChar w:fldCharType="separate"/>
            </w:r>
            <w:r w:rsidR="00921E85">
              <w:rPr>
                <w:rFonts w:ascii="Arial" w:hAnsi="Arial" w:cs="Arial"/>
                <w:b/>
                <w:bCs/>
                <w:noProof/>
              </w:rPr>
              <w:t>25</w:t>
            </w:r>
            <w:r w:rsidRPr="00A62F64">
              <w:rPr>
                <w:rFonts w:ascii="Arial" w:hAnsi="Arial" w:cs="Arial"/>
                <w:b/>
                <w:bCs/>
              </w:rPr>
              <w:fldChar w:fldCharType="end"/>
            </w:r>
          </w:p>
        </w:sdtContent>
      </w:sdt>
    </w:sdtContent>
  </w:sdt>
  <w:p w:rsidR="00D75458" w:rsidRPr="00D73FCC" w:rsidRDefault="00D75458" w:rsidP="007F791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7CF" w:rsidRDefault="005E77C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197464"/>
      <w:docPartObj>
        <w:docPartGallery w:val="Page Numbers (Bottom of Page)"/>
        <w:docPartUnique/>
      </w:docPartObj>
    </w:sdtPr>
    <w:sdtEndPr/>
    <w:sdtContent>
      <w:sdt>
        <w:sdtPr>
          <w:id w:val="-1669238322"/>
          <w:docPartObj>
            <w:docPartGallery w:val="Page Numbers (Top of Page)"/>
            <w:docPartUnique/>
          </w:docPartObj>
        </w:sdtPr>
        <w:sdtEndPr>
          <w:rPr>
            <w:rFonts w:ascii="Arial" w:hAnsi="Arial" w:cs="Arial"/>
          </w:rPr>
        </w:sdtEndPr>
        <w:sdtContent>
          <w:p w:rsidR="00D75458" w:rsidRDefault="00D75458">
            <w:pPr>
              <w:pStyle w:val="Footer"/>
              <w:jc w:val="center"/>
            </w:pPr>
            <w:r w:rsidRPr="00A62F64">
              <w:rPr>
                <w:rFonts w:ascii="Arial" w:hAnsi="Arial" w:cs="Arial"/>
              </w:rPr>
              <w:t xml:space="preserve">Page </w:t>
            </w:r>
            <w:r w:rsidRPr="00A62F64">
              <w:rPr>
                <w:rFonts w:ascii="Arial" w:hAnsi="Arial" w:cs="Arial"/>
                <w:b/>
                <w:bCs/>
              </w:rPr>
              <w:fldChar w:fldCharType="begin"/>
            </w:r>
            <w:r w:rsidRPr="00A62F64">
              <w:rPr>
                <w:rFonts w:ascii="Arial" w:hAnsi="Arial" w:cs="Arial"/>
                <w:b/>
                <w:bCs/>
              </w:rPr>
              <w:instrText xml:space="preserve"> PAGE </w:instrText>
            </w:r>
            <w:r w:rsidRPr="00A62F64">
              <w:rPr>
                <w:rFonts w:ascii="Arial" w:hAnsi="Arial" w:cs="Arial"/>
                <w:b/>
                <w:bCs/>
              </w:rPr>
              <w:fldChar w:fldCharType="separate"/>
            </w:r>
            <w:r w:rsidR="00921E85">
              <w:rPr>
                <w:rFonts w:ascii="Arial" w:hAnsi="Arial" w:cs="Arial"/>
                <w:b/>
                <w:bCs/>
                <w:noProof/>
              </w:rPr>
              <w:t>26</w:t>
            </w:r>
            <w:r w:rsidRPr="00A62F64">
              <w:rPr>
                <w:rFonts w:ascii="Arial" w:hAnsi="Arial" w:cs="Arial"/>
                <w:b/>
                <w:bCs/>
              </w:rPr>
              <w:fldChar w:fldCharType="end"/>
            </w:r>
            <w:r w:rsidRPr="00A62F64">
              <w:rPr>
                <w:rFonts w:ascii="Arial" w:hAnsi="Arial" w:cs="Arial"/>
              </w:rPr>
              <w:t xml:space="preserve"> of </w:t>
            </w:r>
            <w:r w:rsidRPr="00A62F64">
              <w:rPr>
                <w:rFonts w:ascii="Arial" w:hAnsi="Arial" w:cs="Arial"/>
                <w:b/>
                <w:bCs/>
              </w:rPr>
              <w:fldChar w:fldCharType="begin"/>
            </w:r>
            <w:r w:rsidRPr="00A62F64">
              <w:rPr>
                <w:rFonts w:ascii="Arial" w:hAnsi="Arial" w:cs="Arial"/>
                <w:b/>
                <w:bCs/>
              </w:rPr>
              <w:instrText xml:space="preserve"> NUMPAGES  </w:instrText>
            </w:r>
            <w:r w:rsidRPr="00A62F64">
              <w:rPr>
                <w:rFonts w:ascii="Arial" w:hAnsi="Arial" w:cs="Arial"/>
                <w:b/>
                <w:bCs/>
              </w:rPr>
              <w:fldChar w:fldCharType="separate"/>
            </w:r>
            <w:r w:rsidR="00921E85">
              <w:rPr>
                <w:rFonts w:ascii="Arial" w:hAnsi="Arial" w:cs="Arial"/>
                <w:b/>
                <w:bCs/>
                <w:noProof/>
              </w:rPr>
              <w:t>28</w:t>
            </w:r>
            <w:r w:rsidRPr="00A62F64">
              <w:rPr>
                <w:rFonts w:ascii="Arial" w:hAnsi="Arial" w:cs="Arial"/>
                <w:b/>
                <w:bCs/>
              </w:rPr>
              <w:fldChar w:fldCharType="end"/>
            </w:r>
          </w:p>
        </w:sdtContent>
      </w:sdt>
    </w:sdtContent>
  </w:sdt>
  <w:p w:rsidR="00D75458" w:rsidRPr="00D73FCC" w:rsidRDefault="00D75458" w:rsidP="007F791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529" w:rsidRDefault="00D51529" w:rsidP="00A62F64">
      <w:pPr>
        <w:spacing w:after="0" w:line="240" w:lineRule="auto"/>
      </w:pPr>
      <w:r>
        <w:separator/>
      </w:r>
    </w:p>
  </w:footnote>
  <w:footnote w:type="continuationSeparator" w:id="0">
    <w:p w:rsidR="00D51529" w:rsidRDefault="00D51529" w:rsidP="00A62F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7CF" w:rsidRDefault="005E77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458" w:rsidRDefault="00D51529">
    <w:pPr>
      <w:pStyle w:val="Header"/>
    </w:pPr>
    <w:sdt>
      <w:sdtPr>
        <w:id w:val="393318548"/>
        <w:docPartObj>
          <w:docPartGallery w:val="Watermarks"/>
          <w:docPartUnique/>
        </w:docPartObj>
      </w:sdtPr>
      <w:sdtEndPr/>
      <w:sdtContent>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75458">
      <w:rPr>
        <w:noProof/>
        <w:szCs w:val="20"/>
        <w:lang w:eastAsia="en-ZA"/>
      </w:rPr>
      <w:drawing>
        <wp:anchor distT="0" distB="0" distL="114300" distR="114300" simplePos="0" relativeHeight="251657728" behindDoc="1" locked="0" layoutInCell="1" allowOverlap="1" wp14:anchorId="112E8069" wp14:editId="4000F577">
          <wp:simplePos x="0" y="0"/>
          <wp:positionH relativeFrom="page">
            <wp:align>right</wp:align>
          </wp:positionH>
          <wp:positionV relativeFrom="paragraph">
            <wp:posOffset>-460883</wp:posOffset>
          </wp:positionV>
          <wp:extent cx="7607300" cy="10744200"/>
          <wp:effectExtent l="0" t="0" r="0" b="0"/>
          <wp:wrapNone/>
          <wp:docPr id="13" name="Picture 13" descr="nef backgroun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f background 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7CF" w:rsidRDefault="005E77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458" w:rsidRDefault="00D75458">
    <w:pPr>
      <w:pStyle w:val="Header"/>
    </w:pPr>
    <w:r>
      <w:rPr>
        <w:noProof/>
        <w:szCs w:val="20"/>
        <w:lang w:eastAsia="en-ZA"/>
      </w:rPr>
      <w:drawing>
        <wp:anchor distT="0" distB="0" distL="114300" distR="114300" simplePos="0" relativeHeight="251656704" behindDoc="1" locked="0" layoutInCell="1" allowOverlap="1" wp14:anchorId="2B4FAEFD" wp14:editId="2AF8E093">
          <wp:simplePos x="0" y="0"/>
          <wp:positionH relativeFrom="page">
            <wp:align>right</wp:align>
          </wp:positionH>
          <wp:positionV relativeFrom="paragraph">
            <wp:posOffset>-460883</wp:posOffset>
          </wp:positionV>
          <wp:extent cx="7607300" cy="10744200"/>
          <wp:effectExtent l="0" t="0" r="0" b="0"/>
          <wp:wrapNone/>
          <wp:docPr id="3" name="Picture 3" descr="nef backgroun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f background 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4BB9"/>
    <w:multiLevelType w:val="hybridMultilevel"/>
    <w:tmpl w:val="97CCEA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18A8255F"/>
    <w:multiLevelType w:val="multilevel"/>
    <w:tmpl w:val="CA886798"/>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AF97074"/>
    <w:multiLevelType w:val="hybridMultilevel"/>
    <w:tmpl w:val="A2482A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D49248B"/>
    <w:multiLevelType w:val="hybridMultilevel"/>
    <w:tmpl w:val="32CABB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F2505E5"/>
    <w:multiLevelType w:val="hybridMultilevel"/>
    <w:tmpl w:val="C02028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C408C7"/>
    <w:multiLevelType w:val="hybridMultilevel"/>
    <w:tmpl w:val="EF926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C52986"/>
    <w:multiLevelType w:val="hybridMultilevel"/>
    <w:tmpl w:val="57AAA0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23D02437"/>
    <w:multiLevelType w:val="hybridMultilevel"/>
    <w:tmpl w:val="FEF82C34"/>
    <w:lvl w:ilvl="0" w:tplc="1C090001">
      <w:start w:val="1"/>
      <w:numFmt w:val="bullet"/>
      <w:lvlText w:val=""/>
      <w:lvlJc w:val="left"/>
      <w:pPr>
        <w:ind w:left="1110" w:hanging="360"/>
      </w:pPr>
      <w:rPr>
        <w:rFonts w:ascii="Symbol" w:hAnsi="Symbol" w:hint="default"/>
      </w:rPr>
    </w:lvl>
    <w:lvl w:ilvl="1" w:tplc="1C090003" w:tentative="1">
      <w:start w:val="1"/>
      <w:numFmt w:val="bullet"/>
      <w:lvlText w:val="o"/>
      <w:lvlJc w:val="left"/>
      <w:pPr>
        <w:ind w:left="1830" w:hanging="360"/>
      </w:pPr>
      <w:rPr>
        <w:rFonts w:ascii="Courier New" w:hAnsi="Courier New" w:cs="Courier New" w:hint="default"/>
      </w:rPr>
    </w:lvl>
    <w:lvl w:ilvl="2" w:tplc="1C090005" w:tentative="1">
      <w:start w:val="1"/>
      <w:numFmt w:val="bullet"/>
      <w:lvlText w:val=""/>
      <w:lvlJc w:val="left"/>
      <w:pPr>
        <w:ind w:left="2550" w:hanging="360"/>
      </w:pPr>
      <w:rPr>
        <w:rFonts w:ascii="Wingdings" w:hAnsi="Wingdings" w:hint="default"/>
      </w:rPr>
    </w:lvl>
    <w:lvl w:ilvl="3" w:tplc="1C090001" w:tentative="1">
      <w:start w:val="1"/>
      <w:numFmt w:val="bullet"/>
      <w:lvlText w:val=""/>
      <w:lvlJc w:val="left"/>
      <w:pPr>
        <w:ind w:left="3270" w:hanging="360"/>
      </w:pPr>
      <w:rPr>
        <w:rFonts w:ascii="Symbol" w:hAnsi="Symbol" w:hint="default"/>
      </w:rPr>
    </w:lvl>
    <w:lvl w:ilvl="4" w:tplc="1C090003" w:tentative="1">
      <w:start w:val="1"/>
      <w:numFmt w:val="bullet"/>
      <w:lvlText w:val="o"/>
      <w:lvlJc w:val="left"/>
      <w:pPr>
        <w:ind w:left="3990" w:hanging="360"/>
      </w:pPr>
      <w:rPr>
        <w:rFonts w:ascii="Courier New" w:hAnsi="Courier New" w:cs="Courier New" w:hint="default"/>
      </w:rPr>
    </w:lvl>
    <w:lvl w:ilvl="5" w:tplc="1C090005" w:tentative="1">
      <w:start w:val="1"/>
      <w:numFmt w:val="bullet"/>
      <w:lvlText w:val=""/>
      <w:lvlJc w:val="left"/>
      <w:pPr>
        <w:ind w:left="4710" w:hanging="360"/>
      </w:pPr>
      <w:rPr>
        <w:rFonts w:ascii="Wingdings" w:hAnsi="Wingdings" w:hint="default"/>
      </w:rPr>
    </w:lvl>
    <w:lvl w:ilvl="6" w:tplc="1C090001" w:tentative="1">
      <w:start w:val="1"/>
      <w:numFmt w:val="bullet"/>
      <w:lvlText w:val=""/>
      <w:lvlJc w:val="left"/>
      <w:pPr>
        <w:ind w:left="5430" w:hanging="360"/>
      </w:pPr>
      <w:rPr>
        <w:rFonts w:ascii="Symbol" w:hAnsi="Symbol" w:hint="default"/>
      </w:rPr>
    </w:lvl>
    <w:lvl w:ilvl="7" w:tplc="1C090003" w:tentative="1">
      <w:start w:val="1"/>
      <w:numFmt w:val="bullet"/>
      <w:lvlText w:val="o"/>
      <w:lvlJc w:val="left"/>
      <w:pPr>
        <w:ind w:left="6150" w:hanging="360"/>
      </w:pPr>
      <w:rPr>
        <w:rFonts w:ascii="Courier New" w:hAnsi="Courier New" w:cs="Courier New" w:hint="default"/>
      </w:rPr>
    </w:lvl>
    <w:lvl w:ilvl="8" w:tplc="1C090005" w:tentative="1">
      <w:start w:val="1"/>
      <w:numFmt w:val="bullet"/>
      <w:lvlText w:val=""/>
      <w:lvlJc w:val="left"/>
      <w:pPr>
        <w:ind w:left="6870" w:hanging="360"/>
      </w:pPr>
      <w:rPr>
        <w:rFonts w:ascii="Wingdings" w:hAnsi="Wingdings" w:hint="default"/>
      </w:rPr>
    </w:lvl>
  </w:abstractNum>
  <w:abstractNum w:abstractNumId="8">
    <w:nsid w:val="252B26BB"/>
    <w:multiLevelType w:val="multilevel"/>
    <w:tmpl w:val="62B2D10E"/>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nsid w:val="2A675DB1"/>
    <w:multiLevelType w:val="hybridMultilevel"/>
    <w:tmpl w:val="896677E0"/>
    <w:lvl w:ilvl="0" w:tplc="04090017">
      <w:start w:val="1"/>
      <w:numFmt w:val="lowerLetter"/>
      <w:lvlText w:val="%1)"/>
      <w:lvlJc w:val="left"/>
      <w:pPr>
        <w:ind w:left="720" w:hanging="360"/>
      </w:pPr>
    </w:lvl>
    <w:lvl w:ilvl="1" w:tplc="646AA1F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15009E"/>
    <w:multiLevelType w:val="hybridMultilevel"/>
    <w:tmpl w:val="63C0567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2F883185"/>
    <w:multiLevelType w:val="hybridMultilevel"/>
    <w:tmpl w:val="00DEADD8"/>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309D3ECE"/>
    <w:multiLevelType w:val="hybridMultilevel"/>
    <w:tmpl w:val="62B06ED0"/>
    <w:lvl w:ilvl="0" w:tplc="04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34F966EE"/>
    <w:multiLevelType w:val="hybridMultilevel"/>
    <w:tmpl w:val="ED0ED8E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5F954EA"/>
    <w:multiLevelType w:val="hybridMultilevel"/>
    <w:tmpl w:val="B70840FE"/>
    <w:lvl w:ilvl="0" w:tplc="1C090019">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38140C97"/>
    <w:multiLevelType w:val="hybridMultilevel"/>
    <w:tmpl w:val="3A902AF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3B4E6F92"/>
    <w:multiLevelType w:val="multilevel"/>
    <w:tmpl w:val="83804BBE"/>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D00754D"/>
    <w:multiLevelType w:val="hybridMultilevel"/>
    <w:tmpl w:val="9D983A72"/>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3F1D6DA3"/>
    <w:multiLevelType w:val="multilevel"/>
    <w:tmpl w:val="92BEEF98"/>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13431FD"/>
    <w:multiLevelType w:val="hybridMultilevel"/>
    <w:tmpl w:val="708405A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4B151DE8"/>
    <w:multiLevelType w:val="hybridMultilevel"/>
    <w:tmpl w:val="18AE4D56"/>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50947BEE"/>
    <w:multiLevelType w:val="hybridMultilevel"/>
    <w:tmpl w:val="AC34BA3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57B331DF"/>
    <w:multiLevelType w:val="hybridMultilevel"/>
    <w:tmpl w:val="FD069BF0"/>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59F96602"/>
    <w:multiLevelType w:val="hybridMultilevel"/>
    <w:tmpl w:val="667C1F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D497273"/>
    <w:multiLevelType w:val="hybridMultilevel"/>
    <w:tmpl w:val="D208294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5DF7259B"/>
    <w:multiLevelType w:val="multilevel"/>
    <w:tmpl w:val="C6E4D35C"/>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color w:val="auto"/>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6">
    <w:nsid w:val="5E302886"/>
    <w:multiLevelType w:val="hybridMultilevel"/>
    <w:tmpl w:val="AF805A32"/>
    <w:lvl w:ilvl="0" w:tplc="1C090019">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
    <w:nsid w:val="60F030AD"/>
    <w:multiLevelType w:val="hybridMultilevel"/>
    <w:tmpl w:val="09320D2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nsid w:val="654B2AE3"/>
    <w:multiLevelType w:val="multilevel"/>
    <w:tmpl w:val="12DE3368"/>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9646979"/>
    <w:multiLevelType w:val="hybridMultilevel"/>
    <w:tmpl w:val="6D0263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9E7109A"/>
    <w:multiLevelType w:val="hybridMultilevel"/>
    <w:tmpl w:val="50E009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716911DD"/>
    <w:multiLevelType w:val="hybridMultilevel"/>
    <w:tmpl w:val="D90EA86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73E26EB7"/>
    <w:multiLevelType w:val="hybridMultilevel"/>
    <w:tmpl w:val="676C183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74361358"/>
    <w:multiLevelType w:val="multilevel"/>
    <w:tmpl w:val="8F8A371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69A3E19"/>
    <w:multiLevelType w:val="hybridMultilevel"/>
    <w:tmpl w:val="2992179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5">
    <w:nsid w:val="780111B8"/>
    <w:multiLevelType w:val="multilevel"/>
    <w:tmpl w:val="00EE1E02"/>
    <w:lvl w:ilvl="0">
      <w:start w:val="1"/>
      <w:numFmt w:val="lowerLetter"/>
      <w:lvlText w:val="%1."/>
      <w:lvlJc w:val="left"/>
      <w:pPr>
        <w:ind w:left="72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6">
    <w:nsid w:val="7A3D471C"/>
    <w:multiLevelType w:val="hybridMultilevel"/>
    <w:tmpl w:val="5DC259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7B6654B4"/>
    <w:multiLevelType w:val="hybridMultilevel"/>
    <w:tmpl w:val="68D676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5"/>
  </w:num>
  <w:num w:numId="4">
    <w:abstractNumId w:val="27"/>
  </w:num>
  <w:num w:numId="5">
    <w:abstractNumId w:val="14"/>
  </w:num>
  <w:num w:numId="6">
    <w:abstractNumId w:val="25"/>
  </w:num>
  <w:num w:numId="7">
    <w:abstractNumId w:val="22"/>
  </w:num>
  <w:num w:numId="8">
    <w:abstractNumId w:val="24"/>
  </w:num>
  <w:num w:numId="9">
    <w:abstractNumId w:val="17"/>
  </w:num>
  <w:num w:numId="10">
    <w:abstractNumId w:val="11"/>
  </w:num>
  <w:num w:numId="11">
    <w:abstractNumId w:val="34"/>
  </w:num>
  <w:num w:numId="12">
    <w:abstractNumId w:val="30"/>
  </w:num>
  <w:num w:numId="13">
    <w:abstractNumId w:val="1"/>
  </w:num>
  <w:num w:numId="14">
    <w:abstractNumId w:val="33"/>
  </w:num>
  <w:num w:numId="15">
    <w:abstractNumId w:val="16"/>
  </w:num>
  <w:num w:numId="16">
    <w:abstractNumId w:val="26"/>
  </w:num>
  <w:num w:numId="17">
    <w:abstractNumId w:val="29"/>
  </w:num>
  <w:num w:numId="18">
    <w:abstractNumId w:val="4"/>
  </w:num>
  <w:num w:numId="19">
    <w:abstractNumId w:val="6"/>
  </w:num>
  <w:num w:numId="20">
    <w:abstractNumId w:val="0"/>
  </w:num>
  <w:num w:numId="21">
    <w:abstractNumId w:val="19"/>
  </w:num>
  <w:num w:numId="22">
    <w:abstractNumId w:val="10"/>
  </w:num>
  <w:num w:numId="23">
    <w:abstractNumId w:val="21"/>
  </w:num>
  <w:num w:numId="24">
    <w:abstractNumId w:val="15"/>
  </w:num>
  <w:num w:numId="25">
    <w:abstractNumId w:val="37"/>
  </w:num>
  <w:num w:numId="26">
    <w:abstractNumId w:val="20"/>
  </w:num>
  <w:num w:numId="27">
    <w:abstractNumId w:val="3"/>
  </w:num>
  <w:num w:numId="28">
    <w:abstractNumId w:val="32"/>
  </w:num>
  <w:num w:numId="29">
    <w:abstractNumId w:val="2"/>
  </w:num>
  <w:num w:numId="30">
    <w:abstractNumId w:val="23"/>
  </w:num>
  <w:num w:numId="31">
    <w:abstractNumId w:val="36"/>
  </w:num>
  <w:num w:numId="32">
    <w:abstractNumId w:val="18"/>
  </w:num>
  <w:num w:numId="33">
    <w:abstractNumId w:val="28"/>
  </w:num>
  <w:num w:numId="34">
    <w:abstractNumId w:val="35"/>
  </w:num>
  <w:num w:numId="35">
    <w:abstractNumId w:val="13"/>
  </w:num>
  <w:num w:numId="36">
    <w:abstractNumId w:val="7"/>
  </w:num>
  <w:num w:numId="37">
    <w:abstractNumId w:val="12"/>
  </w:num>
  <w:num w:numId="38">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7B7"/>
    <w:rsid w:val="00011950"/>
    <w:rsid w:val="000217D2"/>
    <w:rsid w:val="0002293F"/>
    <w:rsid w:val="00024D08"/>
    <w:rsid w:val="00026D68"/>
    <w:rsid w:val="00033237"/>
    <w:rsid w:val="000356EF"/>
    <w:rsid w:val="000361AC"/>
    <w:rsid w:val="00052FEB"/>
    <w:rsid w:val="00064DB0"/>
    <w:rsid w:val="000707CD"/>
    <w:rsid w:val="00070B60"/>
    <w:rsid w:val="000733B9"/>
    <w:rsid w:val="00077067"/>
    <w:rsid w:val="00077A3D"/>
    <w:rsid w:val="00091873"/>
    <w:rsid w:val="00093EB3"/>
    <w:rsid w:val="000A2F88"/>
    <w:rsid w:val="000B19BF"/>
    <w:rsid w:val="000B2791"/>
    <w:rsid w:val="000B3BDB"/>
    <w:rsid w:val="000B4E03"/>
    <w:rsid w:val="000B64E7"/>
    <w:rsid w:val="000C2F45"/>
    <w:rsid w:val="000C4709"/>
    <w:rsid w:val="000C6A40"/>
    <w:rsid w:val="000D3625"/>
    <w:rsid w:val="000D763D"/>
    <w:rsid w:val="000E480F"/>
    <w:rsid w:val="000F1CB4"/>
    <w:rsid w:val="000F4440"/>
    <w:rsid w:val="000F6B84"/>
    <w:rsid w:val="00110C44"/>
    <w:rsid w:val="00111EA7"/>
    <w:rsid w:val="00114021"/>
    <w:rsid w:val="00117D16"/>
    <w:rsid w:val="001209A1"/>
    <w:rsid w:val="00125B19"/>
    <w:rsid w:val="00131320"/>
    <w:rsid w:val="0013500A"/>
    <w:rsid w:val="00142912"/>
    <w:rsid w:val="0014395C"/>
    <w:rsid w:val="0018719D"/>
    <w:rsid w:val="001A4BC0"/>
    <w:rsid w:val="001A5123"/>
    <w:rsid w:val="001A7E6F"/>
    <w:rsid w:val="001C0009"/>
    <w:rsid w:val="001C1C63"/>
    <w:rsid w:val="001C3608"/>
    <w:rsid w:val="001C3C03"/>
    <w:rsid w:val="001C5676"/>
    <w:rsid w:val="001D6268"/>
    <w:rsid w:val="001D783F"/>
    <w:rsid w:val="001E0660"/>
    <w:rsid w:val="001E1C25"/>
    <w:rsid w:val="001E7486"/>
    <w:rsid w:val="001F32FC"/>
    <w:rsid w:val="001F678C"/>
    <w:rsid w:val="001F75C2"/>
    <w:rsid w:val="00225A35"/>
    <w:rsid w:val="00225A9E"/>
    <w:rsid w:val="00250F42"/>
    <w:rsid w:val="002547BB"/>
    <w:rsid w:val="0025562C"/>
    <w:rsid w:val="00255D42"/>
    <w:rsid w:val="002617B7"/>
    <w:rsid w:val="00267330"/>
    <w:rsid w:val="0027484C"/>
    <w:rsid w:val="002833AA"/>
    <w:rsid w:val="0028489F"/>
    <w:rsid w:val="002958B1"/>
    <w:rsid w:val="002A1050"/>
    <w:rsid w:val="002A2D62"/>
    <w:rsid w:val="002B0516"/>
    <w:rsid w:val="002B4992"/>
    <w:rsid w:val="002C3FDD"/>
    <w:rsid w:val="002C4787"/>
    <w:rsid w:val="002C630D"/>
    <w:rsid w:val="002C6CFA"/>
    <w:rsid w:val="002D0337"/>
    <w:rsid w:val="002D7BD4"/>
    <w:rsid w:val="002E2F39"/>
    <w:rsid w:val="002E44B2"/>
    <w:rsid w:val="002E4F28"/>
    <w:rsid w:val="002E77A3"/>
    <w:rsid w:val="002F4806"/>
    <w:rsid w:val="002F5511"/>
    <w:rsid w:val="003000E0"/>
    <w:rsid w:val="00300B58"/>
    <w:rsid w:val="00307011"/>
    <w:rsid w:val="0031232F"/>
    <w:rsid w:val="00322DB6"/>
    <w:rsid w:val="00324122"/>
    <w:rsid w:val="00325E99"/>
    <w:rsid w:val="00343057"/>
    <w:rsid w:val="0034362D"/>
    <w:rsid w:val="00350A3C"/>
    <w:rsid w:val="00357A05"/>
    <w:rsid w:val="00363707"/>
    <w:rsid w:val="003664F5"/>
    <w:rsid w:val="0036653E"/>
    <w:rsid w:val="003843E8"/>
    <w:rsid w:val="00387C53"/>
    <w:rsid w:val="003910ED"/>
    <w:rsid w:val="0039640B"/>
    <w:rsid w:val="003A371B"/>
    <w:rsid w:val="003A5D39"/>
    <w:rsid w:val="003D1282"/>
    <w:rsid w:val="003D7DF7"/>
    <w:rsid w:val="003F6596"/>
    <w:rsid w:val="004012D6"/>
    <w:rsid w:val="00402925"/>
    <w:rsid w:val="00414360"/>
    <w:rsid w:val="00425499"/>
    <w:rsid w:val="004258BC"/>
    <w:rsid w:val="0043063A"/>
    <w:rsid w:val="0043231D"/>
    <w:rsid w:val="00433970"/>
    <w:rsid w:val="00437E59"/>
    <w:rsid w:val="00445932"/>
    <w:rsid w:val="00446E4D"/>
    <w:rsid w:val="004526C8"/>
    <w:rsid w:val="00454F75"/>
    <w:rsid w:val="00464785"/>
    <w:rsid w:val="00466F76"/>
    <w:rsid w:val="00467C37"/>
    <w:rsid w:val="00470AEF"/>
    <w:rsid w:val="004757E3"/>
    <w:rsid w:val="0048546B"/>
    <w:rsid w:val="004A2707"/>
    <w:rsid w:val="004B058A"/>
    <w:rsid w:val="004B3344"/>
    <w:rsid w:val="004B671A"/>
    <w:rsid w:val="004C1B3A"/>
    <w:rsid w:val="004C6FB2"/>
    <w:rsid w:val="004D05DE"/>
    <w:rsid w:val="004D78ED"/>
    <w:rsid w:val="00505DE3"/>
    <w:rsid w:val="005155F2"/>
    <w:rsid w:val="005162AE"/>
    <w:rsid w:val="005163F5"/>
    <w:rsid w:val="00535D9D"/>
    <w:rsid w:val="00542DFC"/>
    <w:rsid w:val="00544DBD"/>
    <w:rsid w:val="005467B3"/>
    <w:rsid w:val="0055140C"/>
    <w:rsid w:val="00564A49"/>
    <w:rsid w:val="00564D2C"/>
    <w:rsid w:val="00567EE7"/>
    <w:rsid w:val="0057286B"/>
    <w:rsid w:val="0057355A"/>
    <w:rsid w:val="005800A7"/>
    <w:rsid w:val="00582FCA"/>
    <w:rsid w:val="0059205B"/>
    <w:rsid w:val="00593358"/>
    <w:rsid w:val="00597C2A"/>
    <w:rsid w:val="005A34F4"/>
    <w:rsid w:val="005B3AF3"/>
    <w:rsid w:val="005C21B4"/>
    <w:rsid w:val="005C2FDC"/>
    <w:rsid w:val="005D39F7"/>
    <w:rsid w:val="005D7DD8"/>
    <w:rsid w:val="005E3E17"/>
    <w:rsid w:val="005E56D2"/>
    <w:rsid w:val="005E5BA0"/>
    <w:rsid w:val="005E77CF"/>
    <w:rsid w:val="006008D3"/>
    <w:rsid w:val="006040CD"/>
    <w:rsid w:val="006053B1"/>
    <w:rsid w:val="0061686E"/>
    <w:rsid w:val="00621EC2"/>
    <w:rsid w:val="00622D9F"/>
    <w:rsid w:val="00635FE4"/>
    <w:rsid w:val="0063647B"/>
    <w:rsid w:val="006527C4"/>
    <w:rsid w:val="00657E82"/>
    <w:rsid w:val="00660FB4"/>
    <w:rsid w:val="0066250A"/>
    <w:rsid w:val="00694596"/>
    <w:rsid w:val="006A388F"/>
    <w:rsid w:val="006B0C2D"/>
    <w:rsid w:val="006B0FEB"/>
    <w:rsid w:val="006C3012"/>
    <w:rsid w:val="006C5F18"/>
    <w:rsid w:val="006D1E9C"/>
    <w:rsid w:val="006D4631"/>
    <w:rsid w:val="006D4DF9"/>
    <w:rsid w:val="006D5C39"/>
    <w:rsid w:val="006E0F03"/>
    <w:rsid w:val="006E689C"/>
    <w:rsid w:val="006F35D9"/>
    <w:rsid w:val="006F66ED"/>
    <w:rsid w:val="007002EC"/>
    <w:rsid w:val="00712DCA"/>
    <w:rsid w:val="00714957"/>
    <w:rsid w:val="00723A49"/>
    <w:rsid w:val="00744594"/>
    <w:rsid w:val="0074740C"/>
    <w:rsid w:val="007577C4"/>
    <w:rsid w:val="00771CFA"/>
    <w:rsid w:val="0078112F"/>
    <w:rsid w:val="00781A2D"/>
    <w:rsid w:val="007842B9"/>
    <w:rsid w:val="00790A91"/>
    <w:rsid w:val="0079290A"/>
    <w:rsid w:val="00796094"/>
    <w:rsid w:val="007A1C53"/>
    <w:rsid w:val="007D26AC"/>
    <w:rsid w:val="007E3592"/>
    <w:rsid w:val="007F6EE9"/>
    <w:rsid w:val="007F7297"/>
    <w:rsid w:val="007F791E"/>
    <w:rsid w:val="008003B3"/>
    <w:rsid w:val="008026E5"/>
    <w:rsid w:val="00806864"/>
    <w:rsid w:val="00811AEB"/>
    <w:rsid w:val="00827A1C"/>
    <w:rsid w:val="00836211"/>
    <w:rsid w:val="0084058E"/>
    <w:rsid w:val="00855D24"/>
    <w:rsid w:val="0086283B"/>
    <w:rsid w:val="00884CC9"/>
    <w:rsid w:val="00885A95"/>
    <w:rsid w:val="00886AD4"/>
    <w:rsid w:val="0088735D"/>
    <w:rsid w:val="0089475B"/>
    <w:rsid w:val="008C4938"/>
    <w:rsid w:val="008C5087"/>
    <w:rsid w:val="008D18DF"/>
    <w:rsid w:val="008D6FBA"/>
    <w:rsid w:val="008E27BE"/>
    <w:rsid w:val="008E45B8"/>
    <w:rsid w:val="008F1469"/>
    <w:rsid w:val="008F76BC"/>
    <w:rsid w:val="00900B36"/>
    <w:rsid w:val="009116FB"/>
    <w:rsid w:val="00921E85"/>
    <w:rsid w:val="00922A75"/>
    <w:rsid w:val="009360C4"/>
    <w:rsid w:val="00943B2C"/>
    <w:rsid w:val="009445A0"/>
    <w:rsid w:val="00947D4F"/>
    <w:rsid w:val="00954D2C"/>
    <w:rsid w:val="00955E9D"/>
    <w:rsid w:val="00956F3D"/>
    <w:rsid w:val="009638D3"/>
    <w:rsid w:val="009715F8"/>
    <w:rsid w:val="00985DCF"/>
    <w:rsid w:val="009939FA"/>
    <w:rsid w:val="00997619"/>
    <w:rsid w:val="009B4681"/>
    <w:rsid w:val="009C7B6B"/>
    <w:rsid w:val="009D2EF0"/>
    <w:rsid w:val="009D5F9E"/>
    <w:rsid w:val="009E1E88"/>
    <w:rsid w:val="009E4D31"/>
    <w:rsid w:val="009E577B"/>
    <w:rsid w:val="009E6619"/>
    <w:rsid w:val="009E66FB"/>
    <w:rsid w:val="009E68A0"/>
    <w:rsid w:val="009F2E4D"/>
    <w:rsid w:val="00A07A71"/>
    <w:rsid w:val="00A252AC"/>
    <w:rsid w:val="00A32F3E"/>
    <w:rsid w:val="00A47AD1"/>
    <w:rsid w:val="00A50B6E"/>
    <w:rsid w:val="00A54DB7"/>
    <w:rsid w:val="00A62F64"/>
    <w:rsid w:val="00A73AC1"/>
    <w:rsid w:val="00A7447B"/>
    <w:rsid w:val="00A841B2"/>
    <w:rsid w:val="00A90E34"/>
    <w:rsid w:val="00A91FC3"/>
    <w:rsid w:val="00A9524F"/>
    <w:rsid w:val="00AB1B2F"/>
    <w:rsid w:val="00AC39EF"/>
    <w:rsid w:val="00AD08A3"/>
    <w:rsid w:val="00AD2B63"/>
    <w:rsid w:val="00AD6C24"/>
    <w:rsid w:val="00AD7A67"/>
    <w:rsid w:val="00AE0588"/>
    <w:rsid w:val="00AE7CCD"/>
    <w:rsid w:val="00AF3FB6"/>
    <w:rsid w:val="00AF521E"/>
    <w:rsid w:val="00B034CC"/>
    <w:rsid w:val="00B04C6F"/>
    <w:rsid w:val="00B07350"/>
    <w:rsid w:val="00B1140B"/>
    <w:rsid w:val="00B26B26"/>
    <w:rsid w:val="00B36F5A"/>
    <w:rsid w:val="00B42DFE"/>
    <w:rsid w:val="00B446D5"/>
    <w:rsid w:val="00B56E73"/>
    <w:rsid w:val="00B608C0"/>
    <w:rsid w:val="00B61832"/>
    <w:rsid w:val="00B61BFE"/>
    <w:rsid w:val="00B701DE"/>
    <w:rsid w:val="00B871A3"/>
    <w:rsid w:val="00B94EAF"/>
    <w:rsid w:val="00B9703E"/>
    <w:rsid w:val="00BA7D55"/>
    <w:rsid w:val="00BB7562"/>
    <w:rsid w:val="00BC0DAA"/>
    <w:rsid w:val="00BC7165"/>
    <w:rsid w:val="00BD3E07"/>
    <w:rsid w:val="00BD5672"/>
    <w:rsid w:val="00BE0647"/>
    <w:rsid w:val="00BF167F"/>
    <w:rsid w:val="00BF389A"/>
    <w:rsid w:val="00BF54B4"/>
    <w:rsid w:val="00BF62CF"/>
    <w:rsid w:val="00C01093"/>
    <w:rsid w:val="00C049DA"/>
    <w:rsid w:val="00C06880"/>
    <w:rsid w:val="00C071F3"/>
    <w:rsid w:val="00C118B9"/>
    <w:rsid w:val="00C17DC7"/>
    <w:rsid w:val="00C22E6E"/>
    <w:rsid w:val="00C27DF2"/>
    <w:rsid w:val="00C3359A"/>
    <w:rsid w:val="00C3402E"/>
    <w:rsid w:val="00C34473"/>
    <w:rsid w:val="00C35259"/>
    <w:rsid w:val="00C4700E"/>
    <w:rsid w:val="00C84D38"/>
    <w:rsid w:val="00C930AF"/>
    <w:rsid w:val="00C950CA"/>
    <w:rsid w:val="00C96BED"/>
    <w:rsid w:val="00CB03DB"/>
    <w:rsid w:val="00CC403B"/>
    <w:rsid w:val="00CC76FC"/>
    <w:rsid w:val="00CD08B3"/>
    <w:rsid w:val="00CE092C"/>
    <w:rsid w:val="00CE112A"/>
    <w:rsid w:val="00CE50C7"/>
    <w:rsid w:val="00CE5FA7"/>
    <w:rsid w:val="00CF0D67"/>
    <w:rsid w:val="00D15E09"/>
    <w:rsid w:val="00D22AD0"/>
    <w:rsid w:val="00D230E9"/>
    <w:rsid w:val="00D2746F"/>
    <w:rsid w:val="00D27C8A"/>
    <w:rsid w:val="00D351FE"/>
    <w:rsid w:val="00D423C1"/>
    <w:rsid w:val="00D45E58"/>
    <w:rsid w:val="00D475EE"/>
    <w:rsid w:val="00D512CC"/>
    <w:rsid w:val="00D51529"/>
    <w:rsid w:val="00D52A12"/>
    <w:rsid w:val="00D53E29"/>
    <w:rsid w:val="00D579D4"/>
    <w:rsid w:val="00D60A0D"/>
    <w:rsid w:val="00D65069"/>
    <w:rsid w:val="00D66EF8"/>
    <w:rsid w:val="00D70CE3"/>
    <w:rsid w:val="00D72132"/>
    <w:rsid w:val="00D75458"/>
    <w:rsid w:val="00D85540"/>
    <w:rsid w:val="00D92C36"/>
    <w:rsid w:val="00D974C3"/>
    <w:rsid w:val="00DA4863"/>
    <w:rsid w:val="00DA54DC"/>
    <w:rsid w:val="00DB41FD"/>
    <w:rsid w:val="00DC644F"/>
    <w:rsid w:val="00DD04F1"/>
    <w:rsid w:val="00DD2A31"/>
    <w:rsid w:val="00DF1480"/>
    <w:rsid w:val="00E028C1"/>
    <w:rsid w:val="00E119EF"/>
    <w:rsid w:val="00E21EB4"/>
    <w:rsid w:val="00E44703"/>
    <w:rsid w:val="00E47500"/>
    <w:rsid w:val="00E51D1F"/>
    <w:rsid w:val="00E54844"/>
    <w:rsid w:val="00E57828"/>
    <w:rsid w:val="00E63C76"/>
    <w:rsid w:val="00E71166"/>
    <w:rsid w:val="00E725CC"/>
    <w:rsid w:val="00E778C3"/>
    <w:rsid w:val="00E87BB1"/>
    <w:rsid w:val="00EA0E71"/>
    <w:rsid w:val="00EA52B7"/>
    <w:rsid w:val="00EA5C32"/>
    <w:rsid w:val="00EB23DD"/>
    <w:rsid w:val="00EB6E83"/>
    <w:rsid w:val="00EC2349"/>
    <w:rsid w:val="00EC270B"/>
    <w:rsid w:val="00EC3518"/>
    <w:rsid w:val="00EC608F"/>
    <w:rsid w:val="00ED4E59"/>
    <w:rsid w:val="00ED5068"/>
    <w:rsid w:val="00ED7DEB"/>
    <w:rsid w:val="00EE010C"/>
    <w:rsid w:val="00EE31F1"/>
    <w:rsid w:val="00EE57DD"/>
    <w:rsid w:val="00EE7F6F"/>
    <w:rsid w:val="00EF0304"/>
    <w:rsid w:val="00EF192E"/>
    <w:rsid w:val="00EF69E7"/>
    <w:rsid w:val="00F00755"/>
    <w:rsid w:val="00F0363B"/>
    <w:rsid w:val="00F17DF9"/>
    <w:rsid w:val="00F2798B"/>
    <w:rsid w:val="00F34483"/>
    <w:rsid w:val="00F408AE"/>
    <w:rsid w:val="00F50127"/>
    <w:rsid w:val="00F50539"/>
    <w:rsid w:val="00F53F0D"/>
    <w:rsid w:val="00F6165A"/>
    <w:rsid w:val="00F6399E"/>
    <w:rsid w:val="00F7305A"/>
    <w:rsid w:val="00F8196B"/>
    <w:rsid w:val="00FA082C"/>
    <w:rsid w:val="00FA1A7A"/>
    <w:rsid w:val="00FA669B"/>
    <w:rsid w:val="00FB5C99"/>
    <w:rsid w:val="00FB74E2"/>
    <w:rsid w:val="00FC3463"/>
    <w:rsid w:val="00FD51AC"/>
    <w:rsid w:val="00FE5AE6"/>
    <w:rsid w:val="00FE658C"/>
    <w:rsid w:val="00FE7AE4"/>
    <w:rsid w:val="00FF713A"/>
    <w:rsid w:val="00FF7C6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A91"/>
    <w:pPr>
      <w:spacing w:after="200" w:line="276" w:lineRule="auto"/>
    </w:pPr>
  </w:style>
  <w:style w:type="paragraph" w:styleId="Heading1">
    <w:name w:val="heading 1"/>
    <w:basedOn w:val="Normal"/>
    <w:next w:val="Normal"/>
    <w:link w:val="Heading1Char"/>
    <w:uiPriority w:val="9"/>
    <w:qFormat/>
    <w:rsid w:val="00EA52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A5C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84D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617B7"/>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2617B7"/>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semiHidden/>
    <w:rsid w:val="002617B7"/>
    <w:pPr>
      <w:tabs>
        <w:tab w:val="center" w:pos="4680"/>
        <w:tab w:val="right" w:pos="9360"/>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semiHidden/>
    <w:rsid w:val="002617B7"/>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2617B7"/>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2617B7"/>
    <w:rPr>
      <w:rFonts w:ascii="Calibri" w:eastAsia="Times New Roman" w:hAnsi="Calibri" w:cs="Times New Roman"/>
      <w:lang w:val="en-US"/>
    </w:rPr>
  </w:style>
  <w:style w:type="paragraph" w:styleId="ListParagraph">
    <w:name w:val="List Paragraph"/>
    <w:basedOn w:val="Normal"/>
    <w:uiPriority w:val="34"/>
    <w:qFormat/>
    <w:rsid w:val="002617B7"/>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2617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TableNormal"/>
    <w:uiPriority w:val="49"/>
    <w:rsid w:val="002617B7"/>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unhideWhenUsed/>
    <w:rsid w:val="00D475EE"/>
    <w:pPr>
      <w:spacing w:before="100" w:beforeAutospacing="1" w:after="100" w:afterAutospacing="1" w:line="240" w:lineRule="auto"/>
    </w:pPr>
    <w:rPr>
      <w:rFonts w:ascii="Times New Roman" w:eastAsiaTheme="minorEastAsia" w:hAnsi="Times New Roman" w:cs="Times New Roman"/>
      <w:sz w:val="24"/>
      <w:szCs w:val="24"/>
      <w:lang w:eastAsia="en-ZA"/>
    </w:rPr>
  </w:style>
  <w:style w:type="character" w:customStyle="1" w:styleId="Heading2Char">
    <w:name w:val="Heading 2 Char"/>
    <w:basedOn w:val="DefaultParagraphFont"/>
    <w:link w:val="Heading2"/>
    <w:uiPriority w:val="9"/>
    <w:rsid w:val="00EA5C32"/>
    <w:rPr>
      <w:rFonts w:asciiTheme="majorHAnsi" w:eastAsiaTheme="majorEastAsia" w:hAnsiTheme="majorHAnsi" w:cstheme="majorBidi"/>
      <w:color w:val="2E74B5" w:themeColor="accent1" w:themeShade="BF"/>
      <w:sz w:val="26"/>
      <w:szCs w:val="26"/>
      <w:lang w:val="en-GB"/>
    </w:rPr>
  </w:style>
  <w:style w:type="paragraph" w:customStyle="1" w:styleId="Default">
    <w:name w:val="Default"/>
    <w:rsid w:val="008F1469"/>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rsid w:val="00C84D38"/>
    <w:rPr>
      <w:rFonts w:asciiTheme="majorHAnsi" w:eastAsiaTheme="majorEastAsia" w:hAnsiTheme="majorHAnsi" w:cstheme="majorBidi"/>
      <w:color w:val="1F4D78" w:themeColor="accent1" w:themeShade="7F"/>
      <w:sz w:val="24"/>
      <w:szCs w:val="24"/>
      <w:lang w:val="en-GB"/>
    </w:rPr>
  </w:style>
  <w:style w:type="paragraph" w:styleId="BalloonText">
    <w:name w:val="Balloon Text"/>
    <w:basedOn w:val="Normal"/>
    <w:link w:val="BalloonTextChar"/>
    <w:uiPriority w:val="99"/>
    <w:semiHidden/>
    <w:unhideWhenUsed/>
    <w:rsid w:val="00FA08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82C"/>
    <w:rPr>
      <w:rFonts w:ascii="Segoe UI" w:hAnsi="Segoe UI" w:cs="Segoe UI"/>
      <w:sz w:val="18"/>
      <w:szCs w:val="18"/>
      <w:lang w:val="en-GB"/>
    </w:rPr>
  </w:style>
  <w:style w:type="character" w:customStyle="1" w:styleId="Heading1Char">
    <w:name w:val="Heading 1 Char"/>
    <w:basedOn w:val="DefaultParagraphFont"/>
    <w:link w:val="Heading1"/>
    <w:uiPriority w:val="9"/>
    <w:rsid w:val="00EA52B7"/>
    <w:rPr>
      <w:rFonts w:asciiTheme="majorHAnsi" w:eastAsiaTheme="majorEastAsia" w:hAnsiTheme="majorHAnsi" w:cstheme="majorBidi"/>
      <w:color w:val="2E74B5" w:themeColor="accent1" w:themeShade="BF"/>
      <w:sz w:val="32"/>
      <w:szCs w:val="32"/>
      <w:lang w:val="en-GB"/>
    </w:rPr>
  </w:style>
  <w:style w:type="paragraph" w:styleId="EndnoteText">
    <w:name w:val="endnote text"/>
    <w:basedOn w:val="Normal"/>
    <w:link w:val="EndnoteTextChar"/>
    <w:uiPriority w:val="99"/>
    <w:semiHidden/>
    <w:unhideWhenUsed/>
    <w:rsid w:val="001C3C0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C3C03"/>
    <w:rPr>
      <w:sz w:val="20"/>
      <w:szCs w:val="20"/>
      <w:lang w:val="en-GB"/>
    </w:rPr>
  </w:style>
  <w:style w:type="character" w:styleId="EndnoteReference">
    <w:name w:val="endnote reference"/>
    <w:basedOn w:val="DefaultParagraphFont"/>
    <w:uiPriority w:val="99"/>
    <w:semiHidden/>
    <w:unhideWhenUsed/>
    <w:rsid w:val="001C3C03"/>
    <w:rPr>
      <w:vertAlign w:val="superscript"/>
    </w:rPr>
  </w:style>
  <w:style w:type="paragraph" w:styleId="FootnoteText">
    <w:name w:val="footnote text"/>
    <w:basedOn w:val="Normal"/>
    <w:link w:val="FootnoteTextChar"/>
    <w:uiPriority w:val="99"/>
    <w:unhideWhenUsed/>
    <w:rsid w:val="000361AC"/>
    <w:pPr>
      <w:spacing w:after="0" w:line="240" w:lineRule="auto"/>
    </w:pPr>
    <w:rPr>
      <w:sz w:val="20"/>
      <w:szCs w:val="20"/>
    </w:rPr>
  </w:style>
  <w:style w:type="character" w:customStyle="1" w:styleId="FootnoteTextChar">
    <w:name w:val="Footnote Text Char"/>
    <w:basedOn w:val="DefaultParagraphFont"/>
    <w:link w:val="FootnoteText"/>
    <w:uiPriority w:val="99"/>
    <w:rsid w:val="000361AC"/>
    <w:rPr>
      <w:sz w:val="20"/>
      <w:szCs w:val="20"/>
    </w:rPr>
  </w:style>
  <w:style w:type="character" w:styleId="FootnoteReference">
    <w:name w:val="footnote reference"/>
    <w:basedOn w:val="DefaultParagraphFont"/>
    <w:uiPriority w:val="99"/>
    <w:semiHidden/>
    <w:unhideWhenUsed/>
    <w:rsid w:val="000361AC"/>
    <w:rPr>
      <w:vertAlign w:val="superscript"/>
    </w:rPr>
  </w:style>
  <w:style w:type="character" w:styleId="Hyperlink">
    <w:name w:val="Hyperlink"/>
    <w:basedOn w:val="DefaultParagraphFont"/>
    <w:uiPriority w:val="99"/>
    <w:unhideWhenUsed/>
    <w:rsid w:val="00AD6C24"/>
    <w:rPr>
      <w:color w:val="0563C1" w:themeColor="hyperlink"/>
      <w:u w:val="single"/>
    </w:rPr>
  </w:style>
  <w:style w:type="character" w:styleId="CommentReference">
    <w:name w:val="annotation reference"/>
    <w:basedOn w:val="DefaultParagraphFont"/>
    <w:uiPriority w:val="99"/>
    <w:semiHidden/>
    <w:unhideWhenUsed/>
    <w:rsid w:val="00AD6C24"/>
    <w:rPr>
      <w:sz w:val="16"/>
      <w:szCs w:val="16"/>
    </w:rPr>
  </w:style>
  <w:style w:type="paragraph" w:styleId="CommentText">
    <w:name w:val="annotation text"/>
    <w:basedOn w:val="Normal"/>
    <w:link w:val="CommentTextChar"/>
    <w:uiPriority w:val="99"/>
    <w:semiHidden/>
    <w:unhideWhenUsed/>
    <w:rsid w:val="00AD6C24"/>
    <w:pPr>
      <w:spacing w:line="240" w:lineRule="auto"/>
    </w:pPr>
    <w:rPr>
      <w:sz w:val="20"/>
      <w:szCs w:val="20"/>
    </w:rPr>
  </w:style>
  <w:style w:type="character" w:customStyle="1" w:styleId="CommentTextChar">
    <w:name w:val="Comment Text Char"/>
    <w:basedOn w:val="DefaultParagraphFont"/>
    <w:link w:val="CommentText"/>
    <w:uiPriority w:val="99"/>
    <w:semiHidden/>
    <w:rsid w:val="00AD6C24"/>
    <w:rPr>
      <w:sz w:val="20"/>
      <w:szCs w:val="20"/>
    </w:rPr>
  </w:style>
  <w:style w:type="paragraph" w:styleId="CommentSubject">
    <w:name w:val="annotation subject"/>
    <w:basedOn w:val="CommentText"/>
    <w:next w:val="CommentText"/>
    <w:link w:val="CommentSubjectChar"/>
    <w:uiPriority w:val="99"/>
    <w:semiHidden/>
    <w:unhideWhenUsed/>
    <w:rsid w:val="002E2F39"/>
    <w:rPr>
      <w:b/>
      <w:bCs/>
    </w:rPr>
  </w:style>
  <w:style w:type="character" w:customStyle="1" w:styleId="CommentSubjectChar">
    <w:name w:val="Comment Subject Char"/>
    <w:basedOn w:val="CommentTextChar"/>
    <w:link w:val="CommentSubject"/>
    <w:uiPriority w:val="99"/>
    <w:semiHidden/>
    <w:rsid w:val="002E2F39"/>
    <w:rPr>
      <w:b/>
      <w:bCs/>
      <w:sz w:val="20"/>
      <w:szCs w:val="20"/>
    </w:rPr>
  </w:style>
  <w:style w:type="paragraph" w:styleId="TOCHeading">
    <w:name w:val="TOC Heading"/>
    <w:basedOn w:val="Heading1"/>
    <w:next w:val="Normal"/>
    <w:uiPriority w:val="39"/>
    <w:unhideWhenUsed/>
    <w:qFormat/>
    <w:rsid w:val="0002293F"/>
    <w:pPr>
      <w:spacing w:line="259" w:lineRule="auto"/>
      <w:outlineLvl w:val="9"/>
    </w:pPr>
    <w:rPr>
      <w:lang w:val="en-US"/>
    </w:rPr>
  </w:style>
  <w:style w:type="paragraph" w:styleId="TOC1">
    <w:name w:val="toc 1"/>
    <w:basedOn w:val="Normal"/>
    <w:next w:val="Normal"/>
    <w:autoRedefine/>
    <w:uiPriority w:val="39"/>
    <w:unhideWhenUsed/>
    <w:rsid w:val="0002293F"/>
    <w:pPr>
      <w:spacing w:after="100"/>
    </w:pPr>
  </w:style>
  <w:style w:type="paragraph" w:styleId="TOC3">
    <w:name w:val="toc 3"/>
    <w:basedOn w:val="Normal"/>
    <w:next w:val="Normal"/>
    <w:autoRedefine/>
    <w:uiPriority w:val="39"/>
    <w:unhideWhenUsed/>
    <w:rsid w:val="0002293F"/>
    <w:pPr>
      <w:spacing w:after="100"/>
      <w:ind w:left="440"/>
    </w:pPr>
  </w:style>
  <w:style w:type="paragraph" w:styleId="TOC2">
    <w:name w:val="toc 2"/>
    <w:basedOn w:val="Normal"/>
    <w:next w:val="Normal"/>
    <w:autoRedefine/>
    <w:uiPriority w:val="39"/>
    <w:unhideWhenUsed/>
    <w:rsid w:val="0002293F"/>
    <w:pPr>
      <w:spacing w:after="100"/>
      <w:ind w:left="220"/>
    </w:pPr>
  </w:style>
  <w:style w:type="paragraph" w:styleId="Caption">
    <w:name w:val="caption"/>
    <w:basedOn w:val="Normal"/>
    <w:next w:val="Normal"/>
    <w:uiPriority w:val="35"/>
    <w:unhideWhenUsed/>
    <w:qFormat/>
    <w:rsid w:val="00AE7CCD"/>
    <w:pPr>
      <w:spacing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A91"/>
    <w:pPr>
      <w:spacing w:after="200" w:line="276" w:lineRule="auto"/>
    </w:pPr>
  </w:style>
  <w:style w:type="paragraph" w:styleId="Heading1">
    <w:name w:val="heading 1"/>
    <w:basedOn w:val="Normal"/>
    <w:next w:val="Normal"/>
    <w:link w:val="Heading1Char"/>
    <w:uiPriority w:val="9"/>
    <w:qFormat/>
    <w:rsid w:val="00EA52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A5C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84D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617B7"/>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2617B7"/>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semiHidden/>
    <w:rsid w:val="002617B7"/>
    <w:pPr>
      <w:tabs>
        <w:tab w:val="center" w:pos="4680"/>
        <w:tab w:val="right" w:pos="9360"/>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semiHidden/>
    <w:rsid w:val="002617B7"/>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2617B7"/>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2617B7"/>
    <w:rPr>
      <w:rFonts w:ascii="Calibri" w:eastAsia="Times New Roman" w:hAnsi="Calibri" w:cs="Times New Roman"/>
      <w:lang w:val="en-US"/>
    </w:rPr>
  </w:style>
  <w:style w:type="paragraph" w:styleId="ListParagraph">
    <w:name w:val="List Paragraph"/>
    <w:basedOn w:val="Normal"/>
    <w:uiPriority w:val="34"/>
    <w:qFormat/>
    <w:rsid w:val="002617B7"/>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2617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TableNormal"/>
    <w:uiPriority w:val="49"/>
    <w:rsid w:val="002617B7"/>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unhideWhenUsed/>
    <w:rsid w:val="00D475EE"/>
    <w:pPr>
      <w:spacing w:before="100" w:beforeAutospacing="1" w:after="100" w:afterAutospacing="1" w:line="240" w:lineRule="auto"/>
    </w:pPr>
    <w:rPr>
      <w:rFonts w:ascii="Times New Roman" w:eastAsiaTheme="minorEastAsia" w:hAnsi="Times New Roman" w:cs="Times New Roman"/>
      <w:sz w:val="24"/>
      <w:szCs w:val="24"/>
      <w:lang w:eastAsia="en-ZA"/>
    </w:rPr>
  </w:style>
  <w:style w:type="character" w:customStyle="1" w:styleId="Heading2Char">
    <w:name w:val="Heading 2 Char"/>
    <w:basedOn w:val="DefaultParagraphFont"/>
    <w:link w:val="Heading2"/>
    <w:uiPriority w:val="9"/>
    <w:rsid w:val="00EA5C32"/>
    <w:rPr>
      <w:rFonts w:asciiTheme="majorHAnsi" w:eastAsiaTheme="majorEastAsia" w:hAnsiTheme="majorHAnsi" w:cstheme="majorBidi"/>
      <w:color w:val="2E74B5" w:themeColor="accent1" w:themeShade="BF"/>
      <w:sz w:val="26"/>
      <w:szCs w:val="26"/>
      <w:lang w:val="en-GB"/>
    </w:rPr>
  </w:style>
  <w:style w:type="paragraph" w:customStyle="1" w:styleId="Default">
    <w:name w:val="Default"/>
    <w:rsid w:val="008F1469"/>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rsid w:val="00C84D38"/>
    <w:rPr>
      <w:rFonts w:asciiTheme="majorHAnsi" w:eastAsiaTheme="majorEastAsia" w:hAnsiTheme="majorHAnsi" w:cstheme="majorBidi"/>
      <w:color w:val="1F4D78" w:themeColor="accent1" w:themeShade="7F"/>
      <w:sz w:val="24"/>
      <w:szCs w:val="24"/>
      <w:lang w:val="en-GB"/>
    </w:rPr>
  </w:style>
  <w:style w:type="paragraph" w:styleId="BalloonText">
    <w:name w:val="Balloon Text"/>
    <w:basedOn w:val="Normal"/>
    <w:link w:val="BalloonTextChar"/>
    <w:uiPriority w:val="99"/>
    <w:semiHidden/>
    <w:unhideWhenUsed/>
    <w:rsid w:val="00FA08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82C"/>
    <w:rPr>
      <w:rFonts w:ascii="Segoe UI" w:hAnsi="Segoe UI" w:cs="Segoe UI"/>
      <w:sz w:val="18"/>
      <w:szCs w:val="18"/>
      <w:lang w:val="en-GB"/>
    </w:rPr>
  </w:style>
  <w:style w:type="character" w:customStyle="1" w:styleId="Heading1Char">
    <w:name w:val="Heading 1 Char"/>
    <w:basedOn w:val="DefaultParagraphFont"/>
    <w:link w:val="Heading1"/>
    <w:uiPriority w:val="9"/>
    <w:rsid w:val="00EA52B7"/>
    <w:rPr>
      <w:rFonts w:asciiTheme="majorHAnsi" w:eastAsiaTheme="majorEastAsia" w:hAnsiTheme="majorHAnsi" w:cstheme="majorBidi"/>
      <w:color w:val="2E74B5" w:themeColor="accent1" w:themeShade="BF"/>
      <w:sz w:val="32"/>
      <w:szCs w:val="32"/>
      <w:lang w:val="en-GB"/>
    </w:rPr>
  </w:style>
  <w:style w:type="paragraph" w:styleId="EndnoteText">
    <w:name w:val="endnote text"/>
    <w:basedOn w:val="Normal"/>
    <w:link w:val="EndnoteTextChar"/>
    <w:uiPriority w:val="99"/>
    <w:semiHidden/>
    <w:unhideWhenUsed/>
    <w:rsid w:val="001C3C0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C3C03"/>
    <w:rPr>
      <w:sz w:val="20"/>
      <w:szCs w:val="20"/>
      <w:lang w:val="en-GB"/>
    </w:rPr>
  </w:style>
  <w:style w:type="character" w:styleId="EndnoteReference">
    <w:name w:val="endnote reference"/>
    <w:basedOn w:val="DefaultParagraphFont"/>
    <w:uiPriority w:val="99"/>
    <w:semiHidden/>
    <w:unhideWhenUsed/>
    <w:rsid w:val="001C3C03"/>
    <w:rPr>
      <w:vertAlign w:val="superscript"/>
    </w:rPr>
  </w:style>
  <w:style w:type="paragraph" w:styleId="FootnoteText">
    <w:name w:val="footnote text"/>
    <w:basedOn w:val="Normal"/>
    <w:link w:val="FootnoteTextChar"/>
    <w:uiPriority w:val="99"/>
    <w:unhideWhenUsed/>
    <w:rsid w:val="000361AC"/>
    <w:pPr>
      <w:spacing w:after="0" w:line="240" w:lineRule="auto"/>
    </w:pPr>
    <w:rPr>
      <w:sz w:val="20"/>
      <w:szCs w:val="20"/>
    </w:rPr>
  </w:style>
  <w:style w:type="character" w:customStyle="1" w:styleId="FootnoteTextChar">
    <w:name w:val="Footnote Text Char"/>
    <w:basedOn w:val="DefaultParagraphFont"/>
    <w:link w:val="FootnoteText"/>
    <w:uiPriority w:val="99"/>
    <w:rsid w:val="000361AC"/>
    <w:rPr>
      <w:sz w:val="20"/>
      <w:szCs w:val="20"/>
    </w:rPr>
  </w:style>
  <w:style w:type="character" w:styleId="FootnoteReference">
    <w:name w:val="footnote reference"/>
    <w:basedOn w:val="DefaultParagraphFont"/>
    <w:uiPriority w:val="99"/>
    <w:semiHidden/>
    <w:unhideWhenUsed/>
    <w:rsid w:val="000361AC"/>
    <w:rPr>
      <w:vertAlign w:val="superscript"/>
    </w:rPr>
  </w:style>
  <w:style w:type="character" w:styleId="Hyperlink">
    <w:name w:val="Hyperlink"/>
    <w:basedOn w:val="DefaultParagraphFont"/>
    <w:uiPriority w:val="99"/>
    <w:unhideWhenUsed/>
    <w:rsid w:val="00AD6C24"/>
    <w:rPr>
      <w:color w:val="0563C1" w:themeColor="hyperlink"/>
      <w:u w:val="single"/>
    </w:rPr>
  </w:style>
  <w:style w:type="character" w:styleId="CommentReference">
    <w:name w:val="annotation reference"/>
    <w:basedOn w:val="DefaultParagraphFont"/>
    <w:uiPriority w:val="99"/>
    <w:semiHidden/>
    <w:unhideWhenUsed/>
    <w:rsid w:val="00AD6C24"/>
    <w:rPr>
      <w:sz w:val="16"/>
      <w:szCs w:val="16"/>
    </w:rPr>
  </w:style>
  <w:style w:type="paragraph" w:styleId="CommentText">
    <w:name w:val="annotation text"/>
    <w:basedOn w:val="Normal"/>
    <w:link w:val="CommentTextChar"/>
    <w:uiPriority w:val="99"/>
    <w:semiHidden/>
    <w:unhideWhenUsed/>
    <w:rsid w:val="00AD6C24"/>
    <w:pPr>
      <w:spacing w:line="240" w:lineRule="auto"/>
    </w:pPr>
    <w:rPr>
      <w:sz w:val="20"/>
      <w:szCs w:val="20"/>
    </w:rPr>
  </w:style>
  <w:style w:type="character" w:customStyle="1" w:styleId="CommentTextChar">
    <w:name w:val="Comment Text Char"/>
    <w:basedOn w:val="DefaultParagraphFont"/>
    <w:link w:val="CommentText"/>
    <w:uiPriority w:val="99"/>
    <w:semiHidden/>
    <w:rsid w:val="00AD6C24"/>
    <w:rPr>
      <w:sz w:val="20"/>
      <w:szCs w:val="20"/>
    </w:rPr>
  </w:style>
  <w:style w:type="paragraph" w:styleId="CommentSubject">
    <w:name w:val="annotation subject"/>
    <w:basedOn w:val="CommentText"/>
    <w:next w:val="CommentText"/>
    <w:link w:val="CommentSubjectChar"/>
    <w:uiPriority w:val="99"/>
    <w:semiHidden/>
    <w:unhideWhenUsed/>
    <w:rsid w:val="002E2F39"/>
    <w:rPr>
      <w:b/>
      <w:bCs/>
    </w:rPr>
  </w:style>
  <w:style w:type="character" w:customStyle="1" w:styleId="CommentSubjectChar">
    <w:name w:val="Comment Subject Char"/>
    <w:basedOn w:val="CommentTextChar"/>
    <w:link w:val="CommentSubject"/>
    <w:uiPriority w:val="99"/>
    <w:semiHidden/>
    <w:rsid w:val="002E2F39"/>
    <w:rPr>
      <w:b/>
      <w:bCs/>
      <w:sz w:val="20"/>
      <w:szCs w:val="20"/>
    </w:rPr>
  </w:style>
  <w:style w:type="paragraph" w:styleId="TOCHeading">
    <w:name w:val="TOC Heading"/>
    <w:basedOn w:val="Heading1"/>
    <w:next w:val="Normal"/>
    <w:uiPriority w:val="39"/>
    <w:unhideWhenUsed/>
    <w:qFormat/>
    <w:rsid w:val="0002293F"/>
    <w:pPr>
      <w:spacing w:line="259" w:lineRule="auto"/>
      <w:outlineLvl w:val="9"/>
    </w:pPr>
    <w:rPr>
      <w:lang w:val="en-US"/>
    </w:rPr>
  </w:style>
  <w:style w:type="paragraph" w:styleId="TOC1">
    <w:name w:val="toc 1"/>
    <w:basedOn w:val="Normal"/>
    <w:next w:val="Normal"/>
    <w:autoRedefine/>
    <w:uiPriority w:val="39"/>
    <w:unhideWhenUsed/>
    <w:rsid w:val="0002293F"/>
    <w:pPr>
      <w:spacing w:after="100"/>
    </w:pPr>
  </w:style>
  <w:style w:type="paragraph" w:styleId="TOC3">
    <w:name w:val="toc 3"/>
    <w:basedOn w:val="Normal"/>
    <w:next w:val="Normal"/>
    <w:autoRedefine/>
    <w:uiPriority w:val="39"/>
    <w:unhideWhenUsed/>
    <w:rsid w:val="0002293F"/>
    <w:pPr>
      <w:spacing w:after="100"/>
      <w:ind w:left="440"/>
    </w:pPr>
  </w:style>
  <w:style w:type="paragraph" w:styleId="TOC2">
    <w:name w:val="toc 2"/>
    <w:basedOn w:val="Normal"/>
    <w:next w:val="Normal"/>
    <w:autoRedefine/>
    <w:uiPriority w:val="39"/>
    <w:unhideWhenUsed/>
    <w:rsid w:val="0002293F"/>
    <w:pPr>
      <w:spacing w:after="100"/>
      <w:ind w:left="220"/>
    </w:pPr>
  </w:style>
  <w:style w:type="paragraph" w:styleId="Caption">
    <w:name w:val="caption"/>
    <w:basedOn w:val="Normal"/>
    <w:next w:val="Normal"/>
    <w:uiPriority w:val="35"/>
    <w:unhideWhenUsed/>
    <w:qFormat/>
    <w:rsid w:val="00AE7CCD"/>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24388">
      <w:bodyDiv w:val="1"/>
      <w:marLeft w:val="0"/>
      <w:marRight w:val="0"/>
      <w:marTop w:val="0"/>
      <w:marBottom w:val="0"/>
      <w:divBdr>
        <w:top w:val="none" w:sz="0" w:space="0" w:color="auto"/>
        <w:left w:val="none" w:sz="0" w:space="0" w:color="auto"/>
        <w:bottom w:val="none" w:sz="0" w:space="0" w:color="auto"/>
        <w:right w:val="none" w:sz="0" w:space="0" w:color="auto"/>
      </w:divBdr>
    </w:div>
    <w:div w:id="188228389">
      <w:bodyDiv w:val="1"/>
      <w:marLeft w:val="0"/>
      <w:marRight w:val="0"/>
      <w:marTop w:val="0"/>
      <w:marBottom w:val="0"/>
      <w:divBdr>
        <w:top w:val="none" w:sz="0" w:space="0" w:color="auto"/>
        <w:left w:val="none" w:sz="0" w:space="0" w:color="auto"/>
        <w:bottom w:val="none" w:sz="0" w:space="0" w:color="auto"/>
        <w:right w:val="none" w:sz="0" w:space="0" w:color="auto"/>
      </w:divBdr>
    </w:div>
    <w:div w:id="315843840">
      <w:bodyDiv w:val="1"/>
      <w:marLeft w:val="0"/>
      <w:marRight w:val="0"/>
      <w:marTop w:val="0"/>
      <w:marBottom w:val="0"/>
      <w:divBdr>
        <w:top w:val="none" w:sz="0" w:space="0" w:color="auto"/>
        <w:left w:val="none" w:sz="0" w:space="0" w:color="auto"/>
        <w:bottom w:val="none" w:sz="0" w:space="0" w:color="auto"/>
        <w:right w:val="none" w:sz="0" w:space="0" w:color="auto"/>
      </w:divBdr>
      <w:divsChild>
        <w:div w:id="738745140">
          <w:marLeft w:val="547"/>
          <w:marRight w:val="0"/>
          <w:marTop w:val="0"/>
          <w:marBottom w:val="0"/>
          <w:divBdr>
            <w:top w:val="none" w:sz="0" w:space="0" w:color="auto"/>
            <w:left w:val="none" w:sz="0" w:space="0" w:color="auto"/>
            <w:bottom w:val="none" w:sz="0" w:space="0" w:color="auto"/>
            <w:right w:val="none" w:sz="0" w:space="0" w:color="auto"/>
          </w:divBdr>
        </w:div>
        <w:div w:id="463356493">
          <w:marLeft w:val="547"/>
          <w:marRight w:val="0"/>
          <w:marTop w:val="0"/>
          <w:marBottom w:val="0"/>
          <w:divBdr>
            <w:top w:val="none" w:sz="0" w:space="0" w:color="auto"/>
            <w:left w:val="none" w:sz="0" w:space="0" w:color="auto"/>
            <w:bottom w:val="none" w:sz="0" w:space="0" w:color="auto"/>
            <w:right w:val="none" w:sz="0" w:space="0" w:color="auto"/>
          </w:divBdr>
        </w:div>
      </w:divsChild>
    </w:div>
    <w:div w:id="333344938">
      <w:bodyDiv w:val="1"/>
      <w:marLeft w:val="0"/>
      <w:marRight w:val="0"/>
      <w:marTop w:val="0"/>
      <w:marBottom w:val="0"/>
      <w:divBdr>
        <w:top w:val="none" w:sz="0" w:space="0" w:color="auto"/>
        <w:left w:val="none" w:sz="0" w:space="0" w:color="auto"/>
        <w:bottom w:val="none" w:sz="0" w:space="0" w:color="auto"/>
        <w:right w:val="none" w:sz="0" w:space="0" w:color="auto"/>
      </w:divBdr>
    </w:div>
    <w:div w:id="400493283">
      <w:bodyDiv w:val="1"/>
      <w:marLeft w:val="0"/>
      <w:marRight w:val="0"/>
      <w:marTop w:val="0"/>
      <w:marBottom w:val="0"/>
      <w:divBdr>
        <w:top w:val="none" w:sz="0" w:space="0" w:color="auto"/>
        <w:left w:val="none" w:sz="0" w:space="0" w:color="auto"/>
        <w:bottom w:val="none" w:sz="0" w:space="0" w:color="auto"/>
        <w:right w:val="none" w:sz="0" w:space="0" w:color="auto"/>
      </w:divBdr>
    </w:div>
    <w:div w:id="608322459">
      <w:bodyDiv w:val="1"/>
      <w:marLeft w:val="0"/>
      <w:marRight w:val="0"/>
      <w:marTop w:val="0"/>
      <w:marBottom w:val="0"/>
      <w:divBdr>
        <w:top w:val="none" w:sz="0" w:space="0" w:color="auto"/>
        <w:left w:val="none" w:sz="0" w:space="0" w:color="auto"/>
        <w:bottom w:val="none" w:sz="0" w:space="0" w:color="auto"/>
        <w:right w:val="none" w:sz="0" w:space="0" w:color="auto"/>
      </w:divBdr>
    </w:div>
    <w:div w:id="651254130">
      <w:bodyDiv w:val="1"/>
      <w:marLeft w:val="0"/>
      <w:marRight w:val="0"/>
      <w:marTop w:val="0"/>
      <w:marBottom w:val="0"/>
      <w:divBdr>
        <w:top w:val="none" w:sz="0" w:space="0" w:color="auto"/>
        <w:left w:val="none" w:sz="0" w:space="0" w:color="auto"/>
        <w:bottom w:val="none" w:sz="0" w:space="0" w:color="auto"/>
        <w:right w:val="none" w:sz="0" w:space="0" w:color="auto"/>
      </w:divBdr>
    </w:div>
    <w:div w:id="677848206">
      <w:bodyDiv w:val="1"/>
      <w:marLeft w:val="0"/>
      <w:marRight w:val="0"/>
      <w:marTop w:val="0"/>
      <w:marBottom w:val="0"/>
      <w:divBdr>
        <w:top w:val="none" w:sz="0" w:space="0" w:color="auto"/>
        <w:left w:val="none" w:sz="0" w:space="0" w:color="auto"/>
        <w:bottom w:val="none" w:sz="0" w:space="0" w:color="auto"/>
        <w:right w:val="none" w:sz="0" w:space="0" w:color="auto"/>
      </w:divBdr>
    </w:div>
    <w:div w:id="1043022366">
      <w:bodyDiv w:val="1"/>
      <w:marLeft w:val="0"/>
      <w:marRight w:val="0"/>
      <w:marTop w:val="0"/>
      <w:marBottom w:val="0"/>
      <w:divBdr>
        <w:top w:val="none" w:sz="0" w:space="0" w:color="auto"/>
        <w:left w:val="none" w:sz="0" w:space="0" w:color="auto"/>
        <w:bottom w:val="none" w:sz="0" w:space="0" w:color="auto"/>
        <w:right w:val="none" w:sz="0" w:space="0" w:color="auto"/>
      </w:divBdr>
    </w:div>
    <w:div w:id="1088690998">
      <w:bodyDiv w:val="1"/>
      <w:marLeft w:val="0"/>
      <w:marRight w:val="0"/>
      <w:marTop w:val="0"/>
      <w:marBottom w:val="0"/>
      <w:divBdr>
        <w:top w:val="none" w:sz="0" w:space="0" w:color="auto"/>
        <w:left w:val="none" w:sz="0" w:space="0" w:color="auto"/>
        <w:bottom w:val="none" w:sz="0" w:space="0" w:color="auto"/>
        <w:right w:val="none" w:sz="0" w:space="0" w:color="auto"/>
      </w:divBdr>
    </w:div>
    <w:div w:id="1266041190">
      <w:bodyDiv w:val="1"/>
      <w:marLeft w:val="0"/>
      <w:marRight w:val="0"/>
      <w:marTop w:val="0"/>
      <w:marBottom w:val="0"/>
      <w:divBdr>
        <w:top w:val="none" w:sz="0" w:space="0" w:color="auto"/>
        <w:left w:val="none" w:sz="0" w:space="0" w:color="auto"/>
        <w:bottom w:val="none" w:sz="0" w:space="0" w:color="auto"/>
        <w:right w:val="none" w:sz="0" w:space="0" w:color="auto"/>
      </w:divBdr>
    </w:div>
    <w:div w:id="1629623492">
      <w:bodyDiv w:val="1"/>
      <w:marLeft w:val="0"/>
      <w:marRight w:val="0"/>
      <w:marTop w:val="0"/>
      <w:marBottom w:val="0"/>
      <w:divBdr>
        <w:top w:val="none" w:sz="0" w:space="0" w:color="auto"/>
        <w:left w:val="none" w:sz="0" w:space="0" w:color="auto"/>
        <w:bottom w:val="none" w:sz="0" w:space="0" w:color="auto"/>
        <w:right w:val="none" w:sz="0" w:space="0" w:color="auto"/>
      </w:divBdr>
    </w:div>
    <w:div w:id="1683509195">
      <w:bodyDiv w:val="1"/>
      <w:marLeft w:val="0"/>
      <w:marRight w:val="0"/>
      <w:marTop w:val="0"/>
      <w:marBottom w:val="0"/>
      <w:divBdr>
        <w:top w:val="none" w:sz="0" w:space="0" w:color="auto"/>
        <w:left w:val="none" w:sz="0" w:space="0" w:color="auto"/>
        <w:bottom w:val="none" w:sz="0" w:space="0" w:color="auto"/>
        <w:right w:val="none" w:sz="0" w:space="0" w:color="auto"/>
      </w:divBdr>
    </w:div>
    <w:div w:id="1688364178">
      <w:bodyDiv w:val="1"/>
      <w:marLeft w:val="0"/>
      <w:marRight w:val="0"/>
      <w:marTop w:val="0"/>
      <w:marBottom w:val="0"/>
      <w:divBdr>
        <w:top w:val="none" w:sz="0" w:space="0" w:color="auto"/>
        <w:left w:val="none" w:sz="0" w:space="0" w:color="auto"/>
        <w:bottom w:val="none" w:sz="0" w:space="0" w:color="auto"/>
        <w:right w:val="none" w:sz="0" w:space="0" w:color="auto"/>
      </w:divBdr>
    </w:div>
    <w:div w:id="1779058806">
      <w:bodyDiv w:val="1"/>
      <w:marLeft w:val="0"/>
      <w:marRight w:val="0"/>
      <w:marTop w:val="0"/>
      <w:marBottom w:val="0"/>
      <w:divBdr>
        <w:top w:val="none" w:sz="0" w:space="0" w:color="auto"/>
        <w:left w:val="none" w:sz="0" w:space="0" w:color="auto"/>
        <w:bottom w:val="none" w:sz="0" w:space="0" w:color="auto"/>
        <w:right w:val="none" w:sz="0" w:space="0" w:color="auto"/>
      </w:divBdr>
    </w:div>
    <w:div w:id="1889800371">
      <w:bodyDiv w:val="1"/>
      <w:marLeft w:val="0"/>
      <w:marRight w:val="0"/>
      <w:marTop w:val="0"/>
      <w:marBottom w:val="0"/>
      <w:divBdr>
        <w:top w:val="none" w:sz="0" w:space="0" w:color="auto"/>
        <w:left w:val="none" w:sz="0" w:space="0" w:color="auto"/>
        <w:bottom w:val="none" w:sz="0" w:space="0" w:color="auto"/>
        <w:right w:val="none" w:sz="0" w:space="0" w:color="auto"/>
      </w:divBdr>
    </w:div>
    <w:div w:id="189873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header" Target="header2.xm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eader" Target="header1.xml"/><Relationship Id="rId25" Type="http://schemas.openxmlformats.org/officeDocument/2006/relationships/diagramLayout" Target="diagrams/layout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diagramData" Target="diagrams/data2.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5.emf"/><Relationship Id="rId28" Type="http://schemas.microsoft.com/office/2007/relationships/diagramDrawing" Target="diagrams/drawing2.xml"/><Relationship Id="rId10" Type="http://schemas.openxmlformats.org/officeDocument/2006/relationships/diagramData" Target="diagrams/data1.xml"/><Relationship Id="rId19" Type="http://schemas.openxmlformats.org/officeDocument/2006/relationships/footer" Target="footer1.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footer" Target="footer3.xml"/><Relationship Id="rId27" Type="http://schemas.openxmlformats.org/officeDocument/2006/relationships/diagramColors" Target="diagrams/colors2.xml"/><Relationship Id="rId30"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diagrams/_rels/data2.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5ED816-1DF3-4235-BAA9-6120422B7044}" type="doc">
      <dgm:prSet loTypeId="urn:microsoft.com/office/officeart/2005/8/layout/chevron2" loCatId="process" qsTypeId="urn:microsoft.com/office/officeart/2005/8/quickstyle/simple2" qsCatId="simple" csTypeId="urn:microsoft.com/office/officeart/2005/8/colors/colorful2" csCatId="colorful" phldr="1"/>
      <dgm:spPr/>
      <dgm:t>
        <a:bodyPr/>
        <a:lstStyle/>
        <a:p>
          <a:endParaRPr lang="en-US"/>
        </a:p>
      </dgm:t>
    </dgm:pt>
    <dgm:pt modelId="{12F11422-3C9D-43F6-9255-1D363F37A0FF}">
      <dgm:prSet phldrT="[Text]" custT="1"/>
      <dgm:spPr>
        <a:xfrm rot="5400000">
          <a:off x="-75150" y="78307"/>
          <a:ext cx="501001" cy="350700"/>
        </a:xfrm>
      </dgm:spPr>
      <dgm:t>
        <a:bodyPr/>
        <a:lstStyle/>
        <a:p>
          <a:r>
            <a:rPr lang="en-US" sz="1000" b="1">
              <a:latin typeface="Arial" panose="020B0604020202020204" pitchFamily="34" charset="0"/>
              <a:ea typeface="+mn-ea"/>
              <a:cs typeface="Arial" panose="020B0604020202020204" pitchFamily="34" charset="0"/>
            </a:rPr>
            <a:t>1994</a:t>
          </a:r>
        </a:p>
      </dgm:t>
    </dgm:pt>
    <dgm:pt modelId="{65EDBF29-DCA6-42CE-86B6-FCD867DCADC5}" type="parTrans" cxnId="{C11D5EFD-3CDF-4059-8D21-CEEC356BF31F}">
      <dgm:prSet/>
      <dgm:spPr/>
      <dgm:t>
        <a:bodyPr/>
        <a:lstStyle/>
        <a:p>
          <a:endParaRPr lang="en-US" sz="2000">
            <a:latin typeface="Arial" panose="020B0604020202020204" pitchFamily="34" charset="0"/>
            <a:cs typeface="Arial" panose="020B0604020202020204" pitchFamily="34" charset="0"/>
          </a:endParaRPr>
        </a:p>
      </dgm:t>
    </dgm:pt>
    <dgm:pt modelId="{B35A2AE8-C04F-46EC-B980-66F1E6755F88}" type="sibTrans" cxnId="{C11D5EFD-3CDF-4059-8D21-CEEC356BF31F}">
      <dgm:prSet/>
      <dgm:spPr/>
      <dgm:t>
        <a:bodyPr/>
        <a:lstStyle/>
        <a:p>
          <a:endParaRPr lang="en-US" sz="2000">
            <a:latin typeface="Arial" panose="020B0604020202020204" pitchFamily="34" charset="0"/>
            <a:cs typeface="Arial" panose="020B0604020202020204" pitchFamily="34" charset="0"/>
          </a:endParaRPr>
        </a:p>
      </dgm:t>
    </dgm:pt>
    <dgm:pt modelId="{B1F06028-D9F7-41DE-9C16-CB61486E0495}">
      <dgm:prSet phldrT="[Text]" custT="1"/>
      <dgm:spPr>
        <a:xfrm rot="5400000">
          <a:off x="3069415" y="-2715557"/>
          <a:ext cx="325650" cy="5763079"/>
        </a:xfrm>
      </dgm:spPr>
      <dgm:t>
        <a:bodyPr/>
        <a:lstStyle/>
        <a:p>
          <a:r>
            <a:rPr lang="en-US" sz="1000">
              <a:latin typeface="Arial" panose="020B0604020202020204" pitchFamily="34" charset="0"/>
              <a:ea typeface="+mn-ea"/>
              <a:cs typeface="Arial" panose="020B0604020202020204" pitchFamily="34" charset="0"/>
            </a:rPr>
            <a:t>RDP - ANC Promises to deliver 1 million houses post 1994</a:t>
          </a:r>
        </a:p>
      </dgm:t>
    </dgm:pt>
    <dgm:pt modelId="{67D4B586-EA3F-43AF-913D-589C72E4ECA4}" type="parTrans" cxnId="{8F3BDA03-B8D0-427E-B0D0-F15D9FA79946}">
      <dgm:prSet/>
      <dgm:spPr/>
      <dgm:t>
        <a:bodyPr/>
        <a:lstStyle/>
        <a:p>
          <a:endParaRPr lang="en-US" sz="2000">
            <a:latin typeface="Arial" panose="020B0604020202020204" pitchFamily="34" charset="0"/>
            <a:cs typeface="Arial" panose="020B0604020202020204" pitchFamily="34" charset="0"/>
          </a:endParaRPr>
        </a:p>
      </dgm:t>
    </dgm:pt>
    <dgm:pt modelId="{C9B54C7D-B333-4D50-97A3-1CBC0710E74C}" type="sibTrans" cxnId="{8F3BDA03-B8D0-427E-B0D0-F15D9FA79946}">
      <dgm:prSet/>
      <dgm:spPr/>
      <dgm:t>
        <a:bodyPr/>
        <a:lstStyle/>
        <a:p>
          <a:endParaRPr lang="en-US" sz="2000">
            <a:latin typeface="Arial" panose="020B0604020202020204" pitchFamily="34" charset="0"/>
            <a:cs typeface="Arial" panose="020B0604020202020204" pitchFamily="34" charset="0"/>
          </a:endParaRPr>
        </a:p>
      </dgm:t>
    </dgm:pt>
    <dgm:pt modelId="{2A69BAFD-B209-4894-A409-6F591D415236}">
      <dgm:prSet phldrT="[Text]" custT="1"/>
      <dgm:spPr>
        <a:xfrm rot="5400000">
          <a:off x="-75150" y="982354"/>
          <a:ext cx="501001" cy="350700"/>
        </a:xfrm>
      </dgm:spPr>
      <dgm:t>
        <a:bodyPr/>
        <a:lstStyle/>
        <a:p>
          <a:r>
            <a:rPr lang="en-US" sz="1000" b="1">
              <a:latin typeface="Arial" panose="020B0604020202020204" pitchFamily="34" charset="0"/>
              <a:ea typeface="+mn-ea"/>
              <a:cs typeface="Arial" panose="020B0604020202020204" pitchFamily="34" charset="0"/>
            </a:rPr>
            <a:t>2000</a:t>
          </a:r>
        </a:p>
      </dgm:t>
    </dgm:pt>
    <dgm:pt modelId="{F65C741E-739B-40A3-854E-F1643FC63E90}" type="parTrans" cxnId="{8AEF8E6C-1911-4D97-96E6-21B896C98913}">
      <dgm:prSet/>
      <dgm:spPr/>
      <dgm:t>
        <a:bodyPr/>
        <a:lstStyle/>
        <a:p>
          <a:endParaRPr lang="en-US" sz="2000">
            <a:latin typeface="Arial" panose="020B0604020202020204" pitchFamily="34" charset="0"/>
            <a:cs typeface="Arial" panose="020B0604020202020204" pitchFamily="34" charset="0"/>
          </a:endParaRPr>
        </a:p>
      </dgm:t>
    </dgm:pt>
    <dgm:pt modelId="{25441E98-09E8-4B36-A1C8-FBA0FB3B9156}" type="sibTrans" cxnId="{8AEF8E6C-1911-4D97-96E6-21B896C98913}">
      <dgm:prSet/>
      <dgm:spPr/>
      <dgm:t>
        <a:bodyPr/>
        <a:lstStyle/>
        <a:p>
          <a:endParaRPr lang="en-US" sz="2000">
            <a:latin typeface="Arial" panose="020B0604020202020204" pitchFamily="34" charset="0"/>
            <a:cs typeface="Arial" panose="020B0604020202020204" pitchFamily="34" charset="0"/>
          </a:endParaRPr>
        </a:p>
      </dgm:t>
    </dgm:pt>
    <dgm:pt modelId="{3C5AE7B9-AD33-4BFE-BDC7-74B477CAB626}">
      <dgm:prSet phldrT="[Text]" custT="1"/>
      <dgm:spPr>
        <a:xfrm rot="5400000">
          <a:off x="-75150" y="1434378"/>
          <a:ext cx="501001" cy="350700"/>
        </a:xfrm>
      </dgm:spPr>
      <dgm:t>
        <a:bodyPr/>
        <a:lstStyle/>
        <a:p>
          <a:r>
            <a:rPr lang="en-US" sz="1000" b="1">
              <a:latin typeface="Arial" panose="020B0604020202020204" pitchFamily="34" charset="0"/>
              <a:ea typeface="+mn-ea"/>
              <a:cs typeface="Arial" panose="020B0604020202020204" pitchFamily="34" charset="0"/>
            </a:rPr>
            <a:t>2002</a:t>
          </a:r>
        </a:p>
      </dgm:t>
    </dgm:pt>
    <dgm:pt modelId="{338F76D2-D3E6-42B6-97E8-13B9C89B5CAD}" type="parTrans" cxnId="{3D81BCF6-5F3B-4EBC-ACEF-C55ADAC359C7}">
      <dgm:prSet/>
      <dgm:spPr/>
      <dgm:t>
        <a:bodyPr/>
        <a:lstStyle/>
        <a:p>
          <a:endParaRPr lang="en-US" sz="2000">
            <a:latin typeface="Arial" panose="020B0604020202020204" pitchFamily="34" charset="0"/>
            <a:cs typeface="Arial" panose="020B0604020202020204" pitchFamily="34" charset="0"/>
          </a:endParaRPr>
        </a:p>
      </dgm:t>
    </dgm:pt>
    <dgm:pt modelId="{2FCC443C-8819-49C8-91DF-67CF01FDE8A7}" type="sibTrans" cxnId="{3D81BCF6-5F3B-4EBC-ACEF-C55ADAC359C7}">
      <dgm:prSet/>
      <dgm:spPr/>
      <dgm:t>
        <a:bodyPr/>
        <a:lstStyle/>
        <a:p>
          <a:endParaRPr lang="en-US" sz="2000">
            <a:latin typeface="Arial" panose="020B0604020202020204" pitchFamily="34" charset="0"/>
            <a:cs typeface="Arial" panose="020B0604020202020204" pitchFamily="34" charset="0"/>
          </a:endParaRPr>
        </a:p>
      </dgm:t>
    </dgm:pt>
    <dgm:pt modelId="{D269D33C-FA2D-4FAB-885B-55CDC24C63CD}">
      <dgm:prSet phldrT="[Text]" custT="1"/>
      <dgm:spPr>
        <a:xfrm rot="5400000">
          <a:off x="-75150" y="1886402"/>
          <a:ext cx="501001" cy="350700"/>
        </a:xfrm>
      </dgm:spPr>
      <dgm:t>
        <a:bodyPr/>
        <a:lstStyle/>
        <a:p>
          <a:r>
            <a:rPr lang="en-US" sz="1000" b="1">
              <a:latin typeface="Arial" panose="020B0604020202020204" pitchFamily="34" charset="0"/>
              <a:ea typeface="+mn-ea"/>
              <a:cs typeface="Arial" panose="020B0604020202020204" pitchFamily="34" charset="0"/>
            </a:rPr>
            <a:t>2003</a:t>
          </a:r>
        </a:p>
      </dgm:t>
    </dgm:pt>
    <dgm:pt modelId="{04466F28-6462-4327-AA6E-34DC1F3F61C4}" type="parTrans" cxnId="{0187DE08-2E81-4ED0-BE4C-4C0C81425F9E}">
      <dgm:prSet/>
      <dgm:spPr/>
      <dgm:t>
        <a:bodyPr/>
        <a:lstStyle/>
        <a:p>
          <a:endParaRPr lang="en-US" sz="2000">
            <a:latin typeface="Arial" panose="020B0604020202020204" pitchFamily="34" charset="0"/>
            <a:cs typeface="Arial" panose="020B0604020202020204" pitchFamily="34" charset="0"/>
          </a:endParaRPr>
        </a:p>
      </dgm:t>
    </dgm:pt>
    <dgm:pt modelId="{29BAE407-7040-4C9C-868B-DE4E5D5C2E10}" type="sibTrans" cxnId="{0187DE08-2E81-4ED0-BE4C-4C0C81425F9E}">
      <dgm:prSet/>
      <dgm:spPr/>
      <dgm:t>
        <a:bodyPr/>
        <a:lstStyle/>
        <a:p>
          <a:endParaRPr lang="en-US" sz="2000">
            <a:latin typeface="Arial" panose="020B0604020202020204" pitchFamily="34" charset="0"/>
            <a:cs typeface="Arial" panose="020B0604020202020204" pitchFamily="34" charset="0"/>
          </a:endParaRPr>
        </a:p>
      </dgm:t>
    </dgm:pt>
    <dgm:pt modelId="{74D21755-A6A8-45AE-8BBC-07DECBE2B768}">
      <dgm:prSet phldrT="[Text]" custT="1"/>
      <dgm:spPr>
        <a:xfrm rot="5400000">
          <a:off x="-75150" y="530330"/>
          <a:ext cx="501001" cy="350700"/>
        </a:xfrm>
      </dgm:spPr>
      <dgm:t>
        <a:bodyPr/>
        <a:lstStyle/>
        <a:p>
          <a:r>
            <a:rPr lang="en-US" sz="1000" b="1">
              <a:latin typeface="Arial" panose="020B0604020202020204" pitchFamily="34" charset="0"/>
              <a:ea typeface="+mn-ea"/>
              <a:cs typeface="Arial" panose="020B0604020202020204" pitchFamily="34" charset="0"/>
            </a:rPr>
            <a:t>1995</a:t>
          </a:r>
        </a:p>
      </dgm:t>
    </dgm:pt>
    <dgm:pt modelId="{FD3E2095-0016-45B0-AFA0-313D9343F613}" type="parTrans" cxnId="{7B3B6F85-6EC3-433D-A1DC-E649C1D3AC8E}">
      <dgm:prSet/>
      <dgm:spPr/>
      <dgm:t>
        <a:bodyPr/>
        <a:lstStyle/>
        <a:p>
          <a:endParaRPr lang="en-US" sz="2000">
            <a:latin typeface="Arial" panose="020B0604020202020204" pitchFamily="34" charset="0"/>
            <a:cs typeface="Arial" panose="020B0604020202020204" pitchFamily="34" charset="0"/>
          </a:endParaRPr>
        </a:p>
      </dgm:t>
    </dgm:pt>
    <dgm:pt modelId="{12753BFE-9406-4126-B024-74C1A21FFB3F}" type="sibTrans" cxnId="{7B3B6F85-6EC3-433D-A1DC-E649C1D3AC8E}">
      <dgm:prSet/>
      <dgm:spPr/>
      <dgm:t>
        <a:bodyPr/>
        <a:lstStyle/>
        <a:p>
          <a:endParaRPr lang="en-US" sz="2000">
            <a:latin typeface="Arial" panose="020B0604020202020204" pitchFamily="34" charset="0"/>
            <a:cs typeface="Arial" panose="020B0604020202020204" pitchFamily="34" charset="0"/>
          </a:endParaRPr>
        </a:p>
      </dgm:t>
    </dgm:pt>
    <dgm:pt modelId="{3D4D925C-83DD-4626-9B04-7A3626622D74}">
      <dgm:prSet phldrT="[Text]" custT="1"/>
      <dgm:spPr>
        <a:xfrm rot="5400000">
          <a:off x="3069415" y="-2263533"/>
          <a:ext cx="325650" cy="5763079"/>
        </a:xfrm>
      </dgm:spPr>
      <dgm:t>
        <a:bodyPr/>
        <a:lstStyle/>
        <a:p>
          <a:r>
            <a:rPr lang="en-US" sz="1000">
              <a:latin typeface="Arial" panose="020B0604020202020204" pitchFamily="34" charset="0"/>
              <a:ea typeface="+mn-ea"/>
              <a:cs typeface="Arial" panose="020B0604020202020204" pitchFamily="34" charset="0"/>
            </a:rPr>
            <a:t>Botshabelo Accord - Encourage banks to finance homes in townships</a:t>
          </a:r>
        </a:p>
      </dgm:t>
    </dgm:pt>
    <dgm:pt modelId="{E876196A-8DE1-4807-A3C7-8711F98BF885}" type="parTrans" cxnId="{16086D61-F8BD-46B2-B057-D4AD7EA08404}">
      <dgm:prSet/>
      <dgm:spPr/>
      <dgm:t>
        <a:bodyPr/>
        <a:lstStyle/>
        <a:p>
          <a:endParaRPr lang="en-US" sz="2000">
            <a:latin typeface="Arial" panose="020B0604020202020204" pitchFamily="34" charset="0"/>
            <a:cs typeface="Arial" panose="020B0604020202020204" pitchFamily="34" charset="0"/>
          </a:endParaRPr>
        </a:p>
      </dgm:t>
    </dgm:pt>
    <dgm:pt modelId="{76929279-740A-43CF-8B62-D227CEC03958}" type="sibTrans" cxnId="{16086D61-F8BD-46B2-B057-D4AD7EA08404}">
      <dgm:prSet/>
      <dgm:spPr/>
      <dgm:t>
        <a:bodyPr/>
        <a:lstStyle/>
        <a:p>
          <a:endParaRPr lang="en-US" sz="2000">
            <a:latin typeface="Arial" panose="020B0604020202020204" pitchFamily="34" charset="0"/>
            <a:cs typeface="Arial" panose="020B0604020202020204" pitchFamily="34" charset="0"/>
          </a:endParaRPr>
        </a:p>
      </dgm:t>
    </dgm:pt>
    <dgm:pt modelId="{6516B75F-9A97-4107-9FFE-73FF0F5C5C35}">
      <dgm:prSet phldrT="[Text]" custT="1"/>
      <dgm:spPr>
        <a:xfrm rot="5400000">
          <a:off x="3069415" y="-1811509"/>
          <a:ext cx="325650" cy="5763079"/>
        </a:xfrm>
      </dgm:spPr>
      <dgm:t>
        <a:bodyPr/>
        <a:lstStyle/>
        <a:p>
          <a:r>
            <a:rPr lang="en-US" sz="1000">
              <a:latin typeface="Arial" panose="020B0604020202020204" pitchFamily="34" charset="0"/>
              <a:ea typeface="+mn-ea"/>
              <a:cs typeface="Arial" panose="020B0604020202020204" pitchFamily="34" charset="0"/>
            </a:rPr>
            <a:t>Community reinvestment Bill - legislate targets for low-income housing financing</a:t>
          </a:r>
        </a:p>
      </dgm:t>
    </dgm:pt>
    <dgm:pt modelId="{4A5C4599-E023-4890-946F-5072F79D5660}" type="parTrans" cxnId="{49152F93-CF24-4AFE-BB15-A7D78CF7EF2E}">
      <dgm:prSet/>
      <dgm:spPr/>
      <dgm:t>
        <a:bodyPr/>
        <a:lstStyle/>
        <a:p>
          <a:endParaRPr lang="en-US" sz="2000">
            <a:latin typeface="Arial" panose="020B0604020202020204" pitchFamily="34" charset="0"/>
            <a:cs typeface="Arial" panose="020B0604020202020204" pitchFamily="34" charset="0"/>
          </a:endParaRPr>
        </a:p>
      </dgm:t>
    </dgm:pt>
    <dgm:pt modelId="{9A76AA41-1EDC-45BE-8773-F371E339E8E9}" type="sibTrans" cxnId="{49152F93-CF24-4AFE-BB15-A7D78CF7EF2E}">
      <dgm:prSet/>
      <dgm:spPr/>
      <dgm:t>
        <a:bodyPr/>
        <a:lstStyle/>
        <a:p>
          <a:endParaRPr lang="en-US" sz="2000">
            <a:latin typeface="Arial" panose="020B0604020202020204" pitchFamily="34" charset="0"/>
            <a:cs typeface="Arial" panose="020B0604020202020204" pitchFamily="34" charset="0"/>
          </a:endParaRPr>
        </a:p>
      </dgm:t>
    </dgm:pt>
    <dgm:pt modelId="{0C0CC6E2-DAAE-44BD-9D9C-0C8472CC726C}">
      <dgm:prSet phldrT="[Text]" custT="1"/>
      <dgm:spPr>
        <a:xfrm rot="5400000">
          <a:off x="3069415" y="-1359486"/>
          <a:ext cx="325650" cy="5763079"/>
        </a:xfrm>
      </dgm:spPr>
      <dgm:t>
        <a:bodyPr/>
        <a:lstStyle/>
        <a:p>
          <a:r>
            <a:rPr lang="en-US" sz="1000">
              <a:latin typeface="Arial" panose="020B0604020202020204" pitchFamily="34" charset="0"/>
              <a:ea typeface="+mn-ea"/>
              <a:cs typeface="Arial" panose="020B0604020202020204" pitchFamily="34" charset="0"/>
            </a:rPr>
            <a:t>Financial Sector Summit and Agreements - NEDLAC agreements on transformation in the financal sector</a:t>
          </a:r>
        </a:p>
      </dgm:t>
    </dgm:pt>
    <dgm:pt modelId="{C1EDECFD-4FB5-4DF4-A2A5-377C108AC881}" type="parTrans" cxnId="{7CD65186-33A2-4572-8B7B-D17B1F7E59B9}">
      <dgm:prSet/>
      <dgm:spPr/>
      <dgm:t>
        <a:bodyPr/>
        <a:lstStyle/>
        <a:p>
          <a:endParaRPr lang="en-US" sz="2000">
            <a:latin typeface="Arial" panose="020B0604020202020204" pitchFamily="34" charset="0"/>
            <a:cs typeface="Arial" panose="020B0604020202020204" pitchFamily="34" charset="0"/>
          </a:endParaRPr>
        </a:p>
      </dgm:t>
    </dgm:pt>
    <dgm:pt modelId="{8689C7FB-D458-4E2A-A74C-A447790557AF}" type="sibTrans" cxnId="{7CD65186-33A2-4572-8B7B-D17B1F7E59B9}">
      <dgm:prSet/>
      <dgm:spPr/>
      <dgm:t>
        <a:bodyPr/>
        <a:lstStyle/>
        <a:p>
          <a:endParaRPr lang="en-US" sz="2000">
            <a:latin typeface="Arial" panose="020B0604020202020204" pitchFamily="34" charset="0"/>
            <a:cs typeface="Arial" panose="020B0604020202020204" pitchFamily="34" charset="0"/>
          </a:endParaRPr>
        </a:p>
      </dgm:t>
    </dgm:pt>
    <dgm:pt modelId="{F011620C-7517-4F4F-BB65-D4C2BC31C48E}">
      <dgm:prSet custT="1"/>
      <dgm:spPr>
        <a:xfrm rot="5400000">
          <a:off x="3069415" y="-907462"/>
          <a:ext cx="325650" cy="5763079"/>
        </a:xfrm>
      </dgm:spPr>
      <dgm:t>
        <a:bodyPr/>
        <a:lstStyle/>
        <a:p>
          <a:r>
            <a:rPr lang="en-US" sz="1000">
              <a:latin typeface="Arial" panose="020B0604020202020204" pitchFamily="34" charset="0"/>
              <a:ea typeface="+mn-ea"/>
              <a:cs typeface="Arial" panose="020B0604020202020204" pitchFamily="34" charset="0"/>
            </a:rPr>
            <a:t>Financial Sector Charter Signed </a:t>
          </a:r>
        </a:p>
      </dgm:t>
    </dgm:pt>
    <dgm:pt modelId="{6528F015-8317-43F7-9DA3-E33066E6D2D6}" type="parTrans" cxnId="{F5BE1DEE-C43C-465B-9222-8A97A266A445}">
      <dgm:prSet/>
      <dgm:spPr/>
      <dgm:t>
        <a:bodyPr/>
        <a:lstStyle/>
        <a:p>
          <a:endParaRPr lang="en-US" sz="2000">
            <a:latin typeface="Arial" panose="020B0604020202020204" pitchFamily="34" charset="0"/>
            <a:cs typeface="Arial" panose="020B0604020202020204" pitchFamily="34" charset="0"/>
          </a:endParaRPr>
        </a:p>
      </dgm:t>
    </dgm:pt>
    <dgm:pt modelId="{B0E0EB3E-0C64-45E2-A479-2084492477BC}" type="sibTrans" cxnId="{F5BE1DEE-C43C-465B-9222-8A97A266A445}">
      <dgm:prSet/>
      <dgm:spPr/>
      <dgm:t>
        <a:bodyPr/>
        <a:lstStyle/>
        <a:p>
          <a:endParaRPr lang="en-US" sz="2000">
            <a:latin typeface="Arial" panose="020B0604020202020204" pitchFamily="34" charset="0"/>
            <a:cs typeface="Arial" panose="020B0604020202020204" pitchFamily="34" charset="0"/>
          </a:endParaRPr>
        </a:p>
      </dgm:t>
    </dgm:pt>
    <dgm:pt modelId="{C33FB745-88C5-4F54-B5DE-E80D4A2C1BE8}">
      <dgm:prSet custT="1"/>
      <dgm:spPr>
        <a:xfrm rot="5400000">
          <a:off x="3069415" y="-907462"/>
          <a:ext cx="325650" cy="5763079"/>
        </a:xfrm>
      </dgm:spPr>
      <dgm:t>
        <a:bodyPr/>
        <a:lstStyle/>
        <a:p>
          <a:r>
            <a:rPr lang="en-US" sz="1000">
              <a:latin typeface="Arial" panose="020B0604020202020204" pitchFamily="34" charset="0"/>
              <a:ea typeface="+mn-ea"/>
              <a:cs typeface="Arial" panose="020B0604020202020204" pitchFamily="34" charset="0"/>
            </a:rPr>
            <a:t>BEE Act Drafted</a:t>
          </a:r>
        </a:p>
      </dgm:t>
    </dgm:pt>
    <dgm:pt modelId="{8C45C0A1-24F8-45E2-967F-AD965DC4C85F}" type="parTrans" cxnId="{C4FCD5CE-3C4E-4BBC-84CD-434293A28554}">
      <dgm:prSet/>
      <dgm:spPr/>
      <dgm:t>
        <a:bodyPr/>
        <a:lstStyle/>
        <a:p>
          <a:endParaRPr lang="en-US" sz="2000">
            <a:latin typeface="Arial" panose="020B0604020202020204" pitchFamily="34" charset="0"/>
            <a:cs typeface="Arial" panose="020B0604020202020204" pitchFamily="34" charset="0"/>
          </a:endParaRPr>
        </a:p>
      </dgm:t>
    </dgm:pt>
    <dgm:pt modelId="{5077F899-EFD6-4CB0-ACBF-A6C86215E3E6}" type="sibTrans" cxnId="{C4FCD5CE-3C4E-4BBC-84CD-434293A28554}">
      <dgm:prSet/>
      <dgm:spPr/>
      <dgm:t>
        <a:bodyPr/>
        <a:lstStyle/>
        <a:p>
          <a:endParaRPr lang="en-US" sz="2000">
            <a:latin typeface="Arial" panose="020B0604020202020204" pitchFamily="34" charset="0"/>
            <a:cs typeface="Arial" panose="020B0604020202020204" pitchFamily="34" charset="0"/>
          </a:endParaRPr>
        </a:p>
      </dgm:t>
    </dgm:pt>
    <dgm:pt modelId="{E89208B4-3B55-4501-A121-7EF2E6389EDA}">
      <dgm:prSet custT="1"/>
      <dgm:spPr>
        <a:xfrm rot="5400000">
          <a:off x="-75150" y="2338425"/>
          <a:ext cx="501001" cy="350700"/>
        </a:xfrm>
      </dgm:spPr>
      <dgm:t>
        <a:bodyPr/>
        <a:lstStyle/>
        <a:p>
          <a:r>
            <a:rPr lang="en-US" sz="1000" b="1">
              <a:latin typeface="Arial" panose="020B0604020202020204" pitchFamily="34" charset="0"/>
              <a:ea typeface="+mn-ea"/>
              <a:cs typeface="Arial" panose="020B0604020202020204" pitchFamily="34" charset="0"/>
            </a:rPr>
            <a:t>2004</a:t>
          </a:r>
        </a:p>
      </dgm:t>
    </dgm:pt>
    <dgm:pt modelId="{847F07CE-01BB-40ED-B4E6-8C0E1B7F8A58}" type="parTrans" cxnId="{1415CA7E-CED8-4930-84FE-B9E11CD920A0}">
      <dgm:prSet/>
      <dgm:spPr/>
      <dgm:t>
        <a:bodyPr/>
        <a:lstStyle/>
        <a:p>
          <a:endParaRPr lang="en-US" sz="2000">
            <a:latin typeface="Arial" panose="020B0604020202020204" pitchFamily="34" charset="0"/>
            <a:cs typeface="Arial" panose="020B0604020202020204" pitchFamily="34" charset="0"/>
          </a:endParaRPr>
        </a:p>
      </dgm:t>
    </dgm:pt>
    <dgm:pt modelId="{72BFAD4B-4C34-4FF7-90E7-34E741DAFE29}" type="sibTrans" cxnId="{1415CA7E-CED8-4930-84FE-B9E11CD920A0}">
      <dgm:prSet/>
      <dgm:spPr/>
      <dgm:t>
        <a:bodyPr/>
        <a:lstStyle/>
        <a:p>
          <a:endParaRPr lang="en-US" sz="2000">
            <a:latin typeface="Arial" panose="020B0604020202020204" pitchFamily="34" charset="0"/>
            <a:cs typeface="Arial" panose="020B0604020202020204" pitchFamily="34" charset="0"/>
          </a:endParaRPr>
        </a:p>
      </dgm:t>
    </dgm:pt>
    <dgm:pt modelId="{BC8E3E27-298D-4C65-851A-DE7B5F5603FD}">
      <dgm:prSet custT="1"/>
      <dgm:spPr>
        <a:xfrm rot="5400000">
          <a:off x="3069415" y="-455438"/>
          <a:ext cx="325650" cy="5763079"/>
        </a:xfrm>
      </dgm:spPr>
      <dgm:t>
        <a:bodyPr/>
        <a:lstStyle/>
        <a:p>
          <a:r>
            <a:rPr lang="en-US" sz="1000">
              <a:latin typeface="Arial" panose="020B0604020202020204" pitchFamily="34" charset="0"/>
              <a:ea typeface="+mn-ea"/>
              <a:cs typeface="Arial" panose="020B0604020202020204" pitchFamily="34" charset="0"/>
            </a:rPr>
            <a:t>BEE Act Gazetted </a:t>
          </a:r>
        </a:p>
      </dgm:t>
    </dgm:pt>
    <dgm:pt modelId="{DA17C309-E893-411F-81B7-8B5995DC91FC}" type="parTrans" cxnId="{63811AF1-1C86-4FB9-811F-4D369FF941D9}">
      <dgm:prSet/>
      <dgm:spPr/>
      <dgm:t>
        <a:bodyPr/>
        <a:lstStyle/>
        <a:p>
          <a:endParaRPr lang="en-US" sz="2000">
            <a:latin typeface="Arial" panose="020B0604020202020204" pitchFamily="34" charset="0"/>
            <a:cs typeface="Arial" panose="020B0604020202020204" pitchFamily="34" charset="0"/>
          </a:endParaRPr>
        </a:p>
      </dgm:t>
    </dgm:pt>
    <dgm:pt modelId="{C3AF571B-7038-4178-82A6-A60CF56F3991}" type="sibTrans" cxnId="{63811AF1-1C86-4FB9-811F-4D369FF941D9}">
      <dgm:prSet/>
      <dgm:spPr/>
      <dgm:t>
        <a:bodyPr/>
        <a:lstStyle/>
        <a:p>
          <a:endParaRPr lang="en-US" sz="2000">
            <a:latin typeface="Arial" panose="020B0604020202020204" pitchFamily="34" charset="0"/>
            <a:cs typeface="Arial" panose="020B0604020202020204" pitchFamily="34" charset="0"/>
          </a:endParaRPr>
        </a:p>
      </dgm:t>
    </dgm:pt>
    <dgm:pt modelId="{0A71C6DA-55D1-4616-BA2E-B8CD5ED5998B}">
      <dgm:prSet custT="1"/>
      <dgm:spPr>
        <a:xfrm rot="5400000">
          <a:off x="-75150" y="2790449"/>
          <a:ext cx="501001" cy="350700"/>
        </a:xfrm>
      </dgm:spPr>
      <dgm:t>
        <a:bodyPr/>
        <a:lstStyle/>
        <a:p>
          <a:r>
            <a:rPr lang="en-US" sz="1000" b="1">
              <a:latin typeface="Arial" panose="020B0604020202020204" pitchFamily="34" charset="0"/>
              <a:ea typeface="+mn-ea"/>
              <a:cs typeface="Arial" panose="020B0604020202020204" pitchFamily="34" charset="0"/>
            </a:rPr>
            <a:t>2004 </a:t>
          </a:r>
        </a:p>
      </dgm:t>
    </dgm:pt>
    <dgm:pt modelId="{CC031F65-422F-477F-99EF-2E765F352577}" type="parTrans" cxnId="{12DE5A43-66C5-4953-9DF0-AC20CD96D775}">
      <dgm:prSet/>
      <dgm:spPr/>
      <dgm:t>
        <a:bodyPr/>
        <a:lstStyle/>
        <a:p>
          <a:endParaRPr lang="en-US" sz="2000">
            <a:latin typeface="Arial" panose="020B0604020202020204" pitchFamily="34" charset="0"/>
            <a:cs typeface="Arial" panose="020B0604020202020204" pitchFamily="34" charset="0"/>
          </a:endParaRPr>
        </a:p>
      </dgm:t>
    </dgm:pt>
    <dgm:pt modelId="{4D4B5235-2DA4-42F6-9D64-7D8DC003F0CA}" type="sibTrans" cxnId="{12DE5A43-66C5-4953-9DF0-AC20CD96D775}">
      <dgm:prSet/>
      <dgm:spPr/>
      <dgm:t>
        <a:bodyPr/>
        <a:lstStyle/>
        <a:p>
          <a:endParaRPr lang="en-US" sz="2000">
            <a:latin typeface="Arial" panose="020B0604020202020204" pitchFamily="34" charset="0"/>
            <a:cs typeface="Arial" panose="020B0604020202020204" pitchFamily="34" charset="0"/>
          </a:endParaRPr>
        </a:p>
      </dgm:t>
    </dgm:pt>
    <dgm:pt modelId="{CFFF20E1-88FF-4389-830F-2B99794E76AA}">
      <dgm:prSet custT="1"/>
      <dgm:spPr>
        <a:xfrm rot="5400000">
          <a:off x="-75150" y="4146520"/>
          <a:ext cx="501001" cy="350700"/>
        </a:xfrm>
      </dgm:spPr>
      <dgm:t>
        <a:bodyPr/>
        <a:lstStyle/>
        <a:p>
          <a:r>
            <a:rPr lang="en-US" sz="1000" b="1">
              <a:latin typeface="Arial" panose="020B0604020202020204" pitchFamily="34" charset="0"/>
              <a:ea typeface="+mn-ea"/>
              <a:cs typeface="Arial" panose="020B0604020202020204" pitchFamily="34" charset="0"/>
            </a:rPr>
            <a:t>2013</a:t>
          </a:r>
        </a:p>
      </dgm:t>
    </dgm:pt>
    <dgm:pt modelId="{98531A31-ED2F-4D9C-A8B9-0E2538AB7EE7}" type="parTrans" cxnId="{2438585E-74F1-418A-A656-BD5770BF14CE}">
      <dgm:prSet/>
      <dgm:spPr/>
      <dgm:t>
        <a:bodyPr/>
        <a:lstStyle/>
        <a:p>
          <a:endParaRPr lang="en-US" sz="2000">
            <a:latin typeface="Arial" panose="020B0604020202020204" pitchFamily="34" charset="0"/>
            <a:cs typeface="Arial" panose="020B0604020202020204" pitchFamily="34" charset="0"/>
          </a:endParaRPr>
        </a:p>
      </dgm:t>
    </dgm:pt>
    <dgm:pt modelId="{30B13854-A9A7-4FD4-B9B7-13802BC74D0F}" type="sibTrans" cxnId="{2438585E-74F1-418A-A656-BD5770BF14CE}">
      <dgm:prSet/>
      <dgm:spPr/>
      <dgm:t>
        <a:bodyPr/>
        <a:lstStyle/>
        <a:p>
          <a:endParaRPr lang="en-US" sz="2000">
            <a:latin typeface="Arial" panose="020B0604020202020204" pitchFamily="34" charset="0"/>
            <a:cs typeface="Arial" panose="020B0604020202020204" pitchFamily="34" charset="0"/>
          </a:endParaRPr>
        </a:p>
      </dgm:t>
    </dgm:pt>
    <dgm:pt modelId="{AB42A0E7-BB42-473F-BFD1-66914359E9E9}">
      <dgm:prSet custT="1"/>
      <dgm:spPr>
        <a:xfrm rot="5400000">
          <a:off x="3069415" y="-3414"/>
          <a:ext cx="325650" cy="5763079"/>
        </a:xfrm>
      </dgm:spPr>
      <dgm:t>
        <a:bodyPr/>
        <a:lstStyle/>
        <a:p>
          <a:r>
            <a:rPr lang="en-US" sz="1000">
              <a:latin typeface="Arial" panose="020B0604020202020204" pitchFamily="34" charset="0"/>
              <a:ea typeface="+mn-ea"/>
              <a:cs typeface="Arial" panose="020B0604020202020204" pitchFamily="34" charset="0"/>
            </a:rPr>
            <a:t>BEE Codes Gazetted</a:t>
          </a:r>
        </a:p>
      </dgm:t>
    </dgm:pt>
    <dgm:pt modelId="{D90B2AD6-51D6-4D0C-BE0E-62AE9C0C311B}" type="parTrans" cxnId="{77D18D44-456E-4F29-A7D4-CECF64879287}">
      <dgm:prSet/>
      <dgm:spPr/>
      <dgm:t>
        <a:bodyPr/>
        <a:lstStyle/>
        <a:p>
          <a:endParaRPr lang="en-US" sz="2000">
            <a:latin typeface="Arial" panose="020B0604020202020204" pitchFamily="34" charset="0"/>
            <a:cs typeface="Arial" panose="020B0604020202020204" pitchFamily="34" charset="0"/>
          </a:endParaRPr>
        </a:p>
      </dgm:t>
    </dgm:pt>
    <dgm:pt modelId="{BF1F9BAC-2BF7-4C05-AE5E-D1FF36F6F0CA}" type="sibTrans" cxnId="{77D18D44-456E-4F29-A7D4-CECF64879287}">
      <dgm:prSet/>
      <dgm:spPr/>
      <dgm:t>
        <a:bodyPr/>
        <a:lstStyle/>
        <a:p>
          <a:endParaRPr lang="en-US" sz="2000">
            <a:latin typeface="Arial" panose="020B0604020202020204" pitchFamily="34" charset="0"/>
            <a:cs typeface="Arial" panose="020B0604020202020204" pitchFamily="34" charset="0"/>
          </a:endParaRPr>
        </a:p>
      </dgm:t>
    </dgm:pt>
    <dgm:pt modelId="{0713130E-2604-498C-B294-EE6AD83EAF9F}">
      <dgm:prSet custT="1"/>
      <dgm:spPr>
        <a:xfrm rot="5400000">
          <a:off x="-75150" y="3242473"/>
          <a:ext cx="501001" cy="350700"/>
        </a:xfrm>
      </dgm:spPr>
      <dgm:t>
        <a:bodyPr/>
        <a:lstStyle/>
        <a:p>
          <a:r>
            <a:rPr lang="en-US" sz="1000" b="1">
              <a:latin typeface="Arial" panose="020B0604020202020204" pitchFamily="34" charset="0"/>
              <a:ea typeface="+mn-ea"/>
              <a:cs typeface="Arial" panose="020B0604020202020204" pitchFamily="34" charset="0"/>
            </a:rPr>
            <a:t>2007 </a:t>
          </a:r>
        </a:p>
      </dgm:t>
    </dgm:pt>
    <dgm:pt modelId="{EF219DD0-5A9A-4B7B-86C4-1575EBA3BFEE}" type="parTrans" cxnId="{84AE4201-08C4-4DCA-9CA5-461DE67657A0}">
      <dgm:prSet/>
      <dgm:spPr/>
      <dgm:t>
        <a:bodyPr/>
        <a:lstStyle/>
        <a:p>
          <a:endParaRPr lang="en-US" sz="2000">
            <a:latin typeface="Arial" panose="020B0604020202020204" pitchFamily="34" charset="0"/>
            <a:cs typeface="Arial" panose="020B0604020202020204" pitchFamily="34" charset="0"/>
          </a:endParaRPr>
        </a:p>
      </dgm:t>
    </dgm:pt>
    <dgm:pt modelId="{956EFD7B-9E1E-4918-839D-BD32D3ADF05D}" type="sibTrans" cxnId="{84AE4201-08C4-4DCA-9CA5-461DE67657A0}">
      <dgm:prSet/>
      <dgm:spPr/>
      <dgm:t>
        <a:bodyPr/>
        <a:lstStyle/>
        <a:p>
          <a:endParaRPr lang="en-US" sz="2000">
            <a:latin typeface="Arial" panose="020B0604020202020204" pitchFamily="34" charset="0"/>
            <a:cs typeface="Arial" panose="020B0604020202020204" pitchFamily="34" charset="0"/>
          </a:endParaRPr>
        </a:p>
      </dgm:t>
    </dgm:pt>
    <dgm:pt modelId="{6A5F2EAC-D31B-4738-B875-0CBE0B3B7D02}">
      <dgm:prSet custT="1"/>
      <dgm:spPr>
        <a:xfrm rot="5400000">
          <a:off x="3069415" y="448608"/>
          <a:ext cx="325650" cy="5763079"/>
        </a:xfrm>
      </dgm:spPr>
      <dgm:t>
        <a:bodyPr/>
        <a:lstStyle/>
        <a:p>
          <a:r>
            <a:rPr lang="en-US" sz="1000">
              <a:latin typeface="Arial" panose="020B0604020202020204" pitchFamily="34" charset="0"/>
              <a:ea typeface="+mn-ea"/>
              <a:cs typeface="Arial" panose="020B0604020202020204" pitchFamily="34" charset="0"/>
            </a:rPr>
            <a:t>FSC Phase 1 Draft Code issued for public comment</a:t>
          </a:r>
        </a:p>
      </dgm:t>
    </dgm:pt>
    <dgm:pt modelId="{E979732B-E13E-4138-9620-32821A8058F9}" type="parTrans" cxnId="{C2F762D6-5D14-4AE2-BAAC-4F12F30893C7}">
      <dgm:prSet/>
      <dgm:spPr/>
      <dgm:t>
        <a:bodyPr/>
        <a:lstStyle/>
        <a:p>
          <a:endParaRPr lang="en-US" sz="2000">
            <a:latin typeface="Arial" panose="020B0604020202020204" pitchFamily="34" charset="0"/>
            <a:cs typeface="Arial" panose="020B0604020202020204" pitchFamily="34" charset="0"/>
          </a:endParaRPr>
        </a:p>
      </dgm:t>
    </dgm:pt>
    <dgm:pt modelId="{B808CA08-5F39-4006-B1EC-4AB4CF5BA7B5}" type="sibTrans" cxnId="{C2F762D6-5D14-4AE2-BAAC-4F12F30893C7}">
      <dgm:prSet/>
      <dgm:spPr/>
      <dgm:t>
        <a:bodyPr/>
        <a:lstStyle/>
        <a:p>
          <a:endParaRPr lang="en-US" sz="2000">
            <a:latin typeface="Arial" panose="020B0604020202020204" pitchFamily="34" charset="0"/>
            <a:cs typeface="Arial" panose="020B0604020202020204" pitchFamily="34" charset="0"/>
          </a:endParaRPr>
        </a:p>
      </dgm:t>
    </dgm:pt>
    <dgm:pt modelId="{D6081E3B-BD04-44A4-A82B-178A146BC21B}">
      <dgm:prSet custT="1"/>
      <dgm:spPr>
        <a:xfrm rot="5400000">
          <a:off x="-75150" y="3694496"/>
          <a:ext cx="501001" cy="350700"/>
        </a:xfrm>
      </dgm:spPr>
      <dgm:t>
        <a:bodyPr/>
        <a:lstStyle/>
        <a:p>
          <a:r>
            <a:rPr lang="en-US" sz="1000" b="1">
              <a:latin typeface="Arial" panose="020B0604020202020204" pitchFamily="34" charset="0"/>
              <a:ea typeface="+mn-ea"/>
              <a:cs typeface="Arial" panose="020B0604020202020204" pitchFamily="34" charset="0"/>
            </a:rPr>
            <a:t>2012</a:t>
          </a:r>
        </a:p>
      </dgm:t>
    </dgm:pt>
    <dgm:pt modelId="{B34D8DBC-EC8C-4ADC-9C6A-675C2BE99CBB}" type="parTrans" cxnId="{197736E8-DBFC-4BA7-A10F-1E2F8D64CAB2}">
      <dgm:prSet/>
      <dgm:spPr/>
      <dgm:t>
        <a:bodyPr/>
        <a:lstStyle/>
        <a:p>
          <a:endParaRPr lang="en-US" sz="2000">
            <a:latin typeface="Arial" panose="020B0604020202020204" pitchFamily="34" charset="0"/>
            <a:cs typeface="Arial" panose="020B0604020202020204" pitchFamily="34" charset="0"/>
          </a:endParaRPr>
        </a:p>
      </dgm:t>
    </dgm:pt>
    <dgm:pt modelId="{9E4393A7-813D-4CB4-977A-8113D05F7E3A}" type="sibTrans" cxnId="{197736E8-DBFC-4BA7-A10F-1E2F8D64CAB2}">
      <dgm:prSet/>
      <dgm:spPr/>
      <dgm:t>
        <a:bodyPr/>
        <a:lstStyle/>
        <a:p>
          <a:endParaRPr lang="en-US" sz="2000">
            <a:latin typeface="Arial" panose="020B0604020202020204" pitchFamily="34" charset="0"/>
            <a:cs typeface="Arial" panose="020B0604020202020204" pitchFamily="34" charset="0"/>
          </a:endParaRPr>
        </a:p>
      </dgm:t>
    </dgm:pt>
    <dgm:pt modelId="{DA1DD33F-F84B-4B40-B266-6EA549ED668A}">
      <dgm:prSet custT="1"/>
      <dgm:spPr>
        <a:xfrm rot="5400000">
          <a:off x="3069415" y="900632"/>
          <a:ext cx="325650" cy="5763079"/>
        </a:xfrm>
      </dgm:spPr>
      <dgm:t>
        <a:bodyPr/>
        <a:lstStyle/>
        <a:p>
          <a:r>
            <a:rPr lang="en-US" sz="1000">
              <a:latin typeface="Arial" panose="020B0604020202020204" pitchFamily="34" charset="0"/>
              <a:ea typeface="+mn-ea"/>
              <a:cs typeface="Arial" panose="020B0604020202020204" pitchFamily="34" charset="0"/>
            </a:rPr>
            <a:t>FSC Phase 2 Draft Code Issued for public comment</a:t>
          </a:r>
        </a:p>
      </dgm:t>
    </dgm:pt>
    <dgm:pt modelId="{B2C26B05-CFC2-47BC-9C6F-EBE837FA6E42}" type="parTrans" cxnId="{87C56F66-DFA4-4A0B-A25B-C49C7AADB4E9}">
      <dgm:prSet/>
      <dgm:spPr/>
      <dgm:t>
        <a:bodyPr/>
        <a:lstStyle/>
        <a:p>
          <a:endParaRPr lang="en-US" sz="2000">
            <a:latin typeface="Arial" panose="020B0604020202020204" pitchFamily="34" charset="0"/>
            <a:cs typeface="Arial" panose="020B0604020202020204" pitchFamily="34" charset="0"/>
          </a:endParaRPr>
        </a:p>
      </dgm:t>
    </dgm:pt>
    <dgm:pt modelId="{F21A551F-E246-41B2-B833-19697C03FE53}" type="sibTrans" cxnId="{87C56F66-DFA4-4A0B-A25B-C49C7AADB4E9}">
      <dgm:prSet/>
      <dgm:spPr/>
      <dgm:t>
        <a:bodyPr/>
        <a:lstStyle/>
        <a:p>
          <a:endParaRPr lang="en-US" sz="2000">
            <a:latin typeface="Arial" panose="020B0604020202020204" pitchFamily="34" charset="0"/>
            <a:cs typeface="Arial" panose="020B0604020202020204" pitchFamily="34" charset="0"/>
          </a:endParaRPr>
        </a:p>
      </dgm:t>
    </dgm:pt>
    <dgm:pt modelId="{210FDB4B-A5FA-4BC0-A8E6-9101F666E60F}">
      <dgm:prSet custT="1"/>
      <dgm:spPr>
        <a:xfrm rot="5400000">
          <a:off x="3069415" y="900632"/>
          <a:ext cx="325650" cy="5763079"/>
        </a:xfrm>
      </dgm:spPr>
      <dgm:t>
        <a:bodyPr/>
        <a:lstStyle/>
        <a:p>
          <a:r>
            <a:rPr lang="en-US" sz="1000">
              <a:latin typeface="Arial" panose="020B0604020202020204" pitchFamily="34" charset="0"/>
              <a:ea typeface="+mn-ea"/>
              <a:cs typeface="Arial" panose="020B0604020202020204" pitchFamily="34" charset="0"/>
            </a:rPr>
            <a:t>FSC Phase 2 Code Gazetted </a:t>
          </a:r>
        </a:p>
      </dgm:t>
    </dgm:pt>
    <dgm:pt modelId="{780244A6-2ACA-4142-9F15-6ABC785B414F}" type="parTrans" cxnId="{DB3BF346-145F-4840-A198-7AEA9E1AA0BC}">
      <dgm:prSet/>
      <dgm:spPr/>
      <dgm:t>
        <a:bodyPr/>
        <a:lstStyle/>
        <a:p>
          <a:endParaRPr lang="en-US" sz="2000">
            <a:latin typeface="Arial" panose="020B0604020202020204" pitchFamily="34" charset="0"/>
            <a:cs typeface="Arial" panose="020B0604020202020204" pitchFamily="34" charset="0"/>
          </a:endParaRPr>
        </a:p>
      </dgm:t>
    </dgm:pt>
    <dgm:pt modelId="{CE20766C-3202-4FB3-B07C-FA07A8BEFB56}" type="sibTrans" cxnId="{DB3BF346-145F-4840-A198-7AEA9E1AA0BC}">
      <dgm:prSet/>
      <dgm:spPr/>
      <dgm:t>
        <a:bodyPr/>
        <a:lstStyle/>
        <a:p>
          <a:endParaRPr lang="en-US" sz="2000">
            <a:latin typeface="Arial" panose="020B0604020202020204" pitchFamily="34" charset="0"/>
            <a:cs typeface="Arial" panose="020B0604020202020204" pitchFamily="34" charset="0"/>
          </a:endParaRPr>
        </a:p>
      </dgm:t>
    </dgm:pt>
    <dgm:pt modelId="{E1B1671B-DEC5-4608-A7E7-0614AF958F0F}">
      <dgm:prSet custT="1"/>
      <dgm:spPr>
        <a:xfrm rot="5400000">
          <a:off x="3069415" y="1352656"/>
          <a:ext cx="325650" cy="5763079"/>
        </a:xfrm>
      </dgm:spPr>
      <dgm:t>
        <a:bodyPr/>
        <a:lstStyle/>
        <a:p>
          <a:r>
            <a:rPr lang="en-US" sz="1000">
              <a:latin typeface="Arial" panose="020B0604020202020204" pitchFamily="34" charset="0"/>
              <a:ea typeface="+mn-ea"/>
              <a:cs typeface="Arial" panose="020B0604020202020204" pitchFamily="34" charset="0"/>
            </a:rPr>
            <a:t>Amended B-BBEE Act Gazetted </a:t>
          </a:r>
        </a:p>
      </dgm:t>
    </dgm:pt>
    <dgm:pt modelId="{FBF6A23D-C22A-42B2-AC84-0C75762BE74B}" type="parTrans" cxnId="{3544652F-A8ED-43A9-AE2A-1BFCDEEB02A0}">
      <dgm:prSet/>
      <dgm:spPr/>
      <dgm:t>
        <a:bodyPr/>
        <a:lstStyle/>
        <a:p>
          <a:endParaRPr lang="en-US" sz="2000">
            <a:latin typeface="Arial" panose="020B0604020202020204" pitchFamily="34" charset="0"/>
            <a:cs typeface="Arial" panose="020B0604020202020204" pitchFamily="34" charset="0"/>
          </a:endParaRPr>
        </a:p>
      </dgm:t>
    </dgm:pt>
    <dgm:pt modelId="{B22D0E56-99F6-4FB1-B479-8A0A311E9A70}" type="sibTrans" cxnId="{3544652F-A8ED-43A9-AE2A-1BFCDEEB02A0}">
      <dgm:prSet/>
      <dgm:spPr/>
      <dgm:t>
        <a:bodyPr/>
        <a:lstStyle/>
        <a:p>
          <a:endParaRPr lang="en-US" sz="2000">
            <a:latin typeface="Arial" panose="020B0604020202020204" pitchFamily="34" charset="0"/>
            <a:cs typeface="Arial" panose="020B0604020202020204" pitchFamily="34" charset="0"/>
          </a:endParaRPr>
        </a:p>
      </dgm:t>
    </dgm:pt>
    <dgm:pt modelId="{51A05112-7C11-48E3-906A-92B4461BF681}">
      <dgm:prSet custT="1"/>
      <dgm:spPr>
        <a:xfrm rot="5400000">
          <a:off x="3069415" y="1352656"/>
          <a:ext cx="325650" cy="5763079"/>
        </a:xfrm>
      </dgm:spPr>
      <dgm:t>
        <a:bodyPr/>
        <a:lstStyle/>
        <a:p>
          <a:r>
            <a:rPr lang="en-US" sz="1000">
              <a:latin typeface="Arial" panose="020B0604020202020204" pitchFamily="34" charset="0"/>
              <a:ea typeface="+mn-ea"/>
              <a:cs typeface="Arial" panose="020B0604020202020204" pitchFamily="34" charset="0"/>
            </a:rPr>
            <a:t>Amended Codes of Good Practice Gazetted with 18 month transition period</a:t>
          </a:r>
        </a:p>
      </dgm:t>
    </dgm:pt>
    <dgm:pt modelId="{346D22C6-F100-4536-BB80-170527185409}" type="parTrans" cxnId="{EBAD960F-096B-4400-A15E-138C6640CAE2}">
      <dgm:prSet/>
      <dgm:spPr/>
      <dgm:t>
        <a:bodyPr/>
        <a:lstStyle/>
        <a:p>
          <a:endParaRPr lang="en-US" sz="2000">
            <a:latin typeface="Arial" panose="020B0604020202020204" pitchFamily="34" charset="0"/>
            <a:cs typeface="Arial" panose="020B0604020202020204" pitchFamily="34" charset="0"/>
          </a:endParaRPr>
        </a:p>
      </dgm:t>
    </dgm:pt>
    <dgm:pt modelId="{2050993E-FC96-499F-8D45-054D381082AA}" type="sibTrans" cxnId="{EBAD960F-096B-4400-A15E-138C6640CAE2}">
      <dgm:prSet/>
      <dgm:spPr/>
      <dgm:t>
        <a:bodyPr/>
        <a:lstStyle/>
        <a:p>
          <a:endParaRPr lang="en-US" sz="2000">
            <a:latin typeface="Arial" panose="020B0604020202020204" pitchFamily="34" charset="0"/>
            <a:cs typeface="Arial" panose="020B0604020202020204" pitchFamily="34" charset="0"/>
          </a:endParaRPr>
        </a:p>
      </dgm:t>
    </dgm:pt>
    <dgm:pt modelId="{3732EEAC-39A2-4A73-8451-829D9D7EFF0C}">
      <dgm:prSet custT="1"/>
      <dgm:spPr>
        <a:xfrm rot="5400000">
          <a:off x="3069415" y="448608"/>
          <a:ext cx="325650" cy="5763079"/>
        </a:xfrm>
      </dgm:spPr>
      <dgm:t>
        <a:bodyPr/>
        <a:lstStyle/>
        <a:p>
          <a:r>
            <a:rPr lang="en-US" sz="1000">
              <a:latin typeface="Arial" panose="020B0604020202020204" pitchFamily="34" charset="0"/>
              <a:ea typeface="+mn-ea"/>
              <a:cs typeface="Arial" panose="020B0604020202020204" pitchFamily="34" charset="0"/>
            </a:rPr>
            <a:t>Codes of Good Practice Gazetted</a:t>
          </a:r>
        </a:p>
      </dgm:t>
    </dgm:pt>
    <dgm:pt modelId="{775E5F3B-7A0B-49E9-994E-A1E4ED44212A}" type="parTrans" cxnId="{53F744EF-A67A-40BD-AF04-E4D8094B62D6}">
      <dgm:prSet/>
      <dgm:spPr/>
      <dgm:t>
        <a:bodyPr/>
        <a:lstStyle/>
        <a:p>
          <a:endParaRPr lang="en-US" sz="2000">
            <a:latin typeface="Arial" panose="020B0604020202020204" pitchFamily="34" charset="0"/>
            <a:cs typeface="Arial" panose="020B0604020202020204" pitchFamily="34" charset="0"/>
          </a:endParaRPr>
        </a:p>
      </dgm:t>
    </dgm:pt>
    <dgm:pt modelId="{968C63CB-832D-4F79-B2FF-5298DBA5183C}" type="sibTrans" cxnId="{53F744EF-A67A-40BD-AF04-E4D8094B62D6}">
      <dgm:prSet/>
      <dgm:spPr/>
      <dgm:t>
        <a:bodyPr/>
        <a:lstStyle/>
        <a:p>
          <a:endParaRPr lang="en-US" sz="2000">
            <a:latin typeface="Arial" panose="020B0604020202020204" pitchFamily="34" charset="0"/>
            <a:cs typeface="Arial" panose="020B0604020202020204" pitchFamily="34" charset="0"/>
          </a:endParaRPr>
        </a:p>
      </dgm:t>
    </dgm:pt>
    <dgm:pt modelId="{97BC4476-6F75-477B-B084-08362D291FD1}">
      <dgm:prSet custT="1"/>
      <dgm:spPr>
        <a:xfrm rot="5400000">
          <a:off x="-75150" y="4598544"/>
          <a:ext cx="501001" cy="350700"/>
        </a:xfrm>
      </dgm:spPr>
      <dgm:t>
        <a:bodyPr/>
        <a:lstStyle/>
        <a:p>
          <a:r>
            <a:rPr lang="en-US" sz="1000" b="1">
              <a:latin typeface="Arial" panose="020B0604020202020204" pitchFamily="34" charset="0"/>
              <a:ea typeface="+mn-ea"/>
              <a:cs typeface="Arial" panose="020B0604020202020204" pitchFamily="34" charset="0"/>
            </a:rPr>
            <a:t>2015</a:t>
          </a:r>
        </a:p>
      </dgm:t>
    </dgm:pt>
    <dgm:pt modelId="{213CEE49-A5F6-4A93-BF1A-EEDB70D65AEA}" type="parTrans" cxnId="{DDC2F93A-DEDD-44AD-B46F-4267EAD63725}">
      <dgm:prSet/>
      <dgm:spPr/>
      <dgm:t>
        <a:bodyPr/>
        <a:lstStyle/>
        <a:p>
          <a:endParaRPr lang="en-US" sz="2000">
            <a:latin typeface="Arial" panose="020B0604020202020204" pitchFamily="34" charset="0"/>
            <a:cs typeface="Arial" panose="020B0604020202020204" pitchFamily="34" charset="0"/>
          </a:endParaRPr>
        </a:p>
      </dgm:t>
    </dgm:pt>
    <dgm:pt modelId="{01668010-C30F-4C3D-B447-CFB6D3A841DC}" type="sibTrans" cxnId="{DDC2F93A-DEDD-44AD-B46F-4267EAD63725}">
      <dgm:prSet/>
      <dgm:spPr/>
      <dgm:t>
        <a:bodyPr/>
        <a:lstStyle/>
        <a:p>
          <a:endParaRPr lang="en-US" sz="2000">
            <a:latin typeface="Arial" panose="020B0604020202020204" pitchFamily="34" charset="0"/>
            <a:cs typeface="Arial" panose="020B0604020202020204" pitchFamily="34" charset="0"/>
          </a:endParaRPr>
        </a:p>
      </dgm:t>
    </dgm:pt>
    <dgm:pt modelId="{80F60B10-7092-4DCE-B598-8BAD8C964A78}">
      <dgm:prSet custT="1"/>
      <dgm:spPr>
        <a:xfrm rot="5400000">
          <a:off x="3069415" y="1804679"/>
          <a:ext cx="325650" cy="5763079"/>
        </a:xfrm>
      </dgm:spPr>
      <dgm:t>
        <a:bodyPr/>
        <a:lstStyle/>
        <a:p>
          <a:r>
            <a:rPr lang="en-US" sz="1000">
              <a:latin typeface="Arial" panose="020B0604020202020204" pitchFamily="34" charset="0"/>
              <a:ea typeface="+mn-ea"/>
              <a:cs typeface="Arial" panose="020B0604020202020204" pitchFamily="34" charset="0"/>
            </a:rPr>
            <a:t>Amended Codes of Good Practice Implemented </a:t>
          </a:r>
        </a:p>
      </dgm:t>
    </dgm:pt>
    <dgm:pt modelId="{E7C92EA9-3145-4D03-AFCA-9B787E07D53F}" type="parTrans" cxnId="{6CE61A33-BB1C-465E-82E7-AD1D2D6F9DBA}">
      <dgm:prSet/>
      <dgm:spPr/>
      <dgm:t>
        <a:bodyPr/>
        <a:lstStyle/>
        <a:p>
          <a:endParaRPr lang="en-US" sz="2000">
            <a:latin typeface="Arial" panose="020B0604020202020204" pitchFamily="34" charset="0"/>
            <a:cs typeface="Arial" panose="020B0604020202020204" pitchFamily="34" charset="0"/>
          </a:endParaRPr>
        </a:p>
      </dgm:t>
    </dgm:pt>
    <dgm:pt modelId="{5BC8E120-B2A4-4708-A1BD-EB7E900E21CF}" type="sibTrans" cxnId="{6CE61A33-BB1C-465E-82E7-AD1D2D6F9DBA}">
      <dgm:prSet/>
      <dgm:spPr/>
      <dgm:t>
        <a:bodyPr/>
        <a:lstStyle/>
        <a:p>
          <a:endParaRPr lang="en-US" sz="2000">
            <a:latin typeface="Arial" panose="020B0604020202020204" pitchFamily="34" charset="0"/>
            <a:cs typeface="Arial" panose="020B0604020202020204" pitchFamily="34" charset="0"/>
          </a:endParaRPr>
        </a:p>
      </dgm:t>
    </dgm:pt>
    <dgm:pt modelId="{E44DCAFA-8F4E-4039-A2CA-9A0AFC4ED660}">
      <dgm:prSet custT="1"/>
      <dgm:spPr>
        <a:xfrm rot="5400000">
          <a:off x="-75150" y="5050567"/>
          <a:ext cx="501001" cy="350700"/>
        </a:xfrm>
      </dgm:spPr>
      <dgm:t>
        <a:bodyPr/>
        <a:lstStyle/>
        <a:p>
          <a:r>
            <a:rPr lang="en-US" sz="1000" b="1">
              <a:latin typeface="Arial" panose="020B0604020202020204" pitchFamily="34" charset="0"/>
              <a:ea typeface="+mn-ea"/>
              <a:cs typeface="Arial" panose="020B0604020202020204" pitchFamily="34" charset="0"/>
            </a:rPr>
            <a:t>2016</a:t>
          </a:r>
        </a:p>
      </dgm:t>
    </dgm:pt>
    <dgm:pt modelId="{CBE0DF46-D935-459C-A32C-65E80571527F}" type="parTrans" cxnId="{7239D7BA-A882-4F3D-AA1C-FCCC36C77157}">
      <dgm:prSet/>
      <dgm:spPr/>
      <dgm:t>
        <a:bodyPr/>
        <a:lstStyle/>
        <a:p>
          <a:endParaRPr lang="en-US" sz="2000">
            <a:latin typeface="Arial" panose="020B0604020202020204" pitchFamily="34" charset="0"/>
            <a:cs typeface="Arial" panose="020B0604020202020204" pitchFamily="34" charset="0"/>
          </a:endParaRPr>
        </a:p>
      </dgm:t>
    </dgm:pt>
    <dgm:pt modelId="{CB0C4AC1-6EF4-4B16-AF0B-40A86F9B9184}" type="sibTrans" cxnId="{7239D7BA-A882-4F3D-AA1C-FCCC36C77157}">
      <dgm:prSet/>
      <dgm:spPr/>
      <dgm:t>
        <a:bodyPr/>
        <a:lstStyle/>
        <a:p>
          <a:endParaRPr lang="en-US" sz="2000">
            <a:latin typeface="Arial" panose="020B0604020202020204" pitchFamily="34" charset="0"/>
            <a:cs typeface="Arial" panose="020B0604020202020204" pitchFamily="34" charset="0"/>
          </a:endParaRPr>
        </a:p>
      </dgm:t>
    </dgm:pt>
    <dgm:pt modelId="{359C7112-2E1C-4EBF-8637-0E343C582706}">
      <dgm:prSet custT="1"/>
      <dgm:spPr>
        <a:xfrm rot="5400000">
          <a:off x="3069415" y="2256703"/>
          <a:ext cx="325650" cy="5763079"/>
        </a:xfrm>
      </dgm:spPr>
      <dgm:t>
        <a:bodyPr/>
        <a:lstStyle/>
        <a:p>
          <a:r>
            <a:rPr lang="en-US" sz="1000">
              <a:latin typeface="Arial" panose="020B0604020202020204" pitchFamily="34" charset="0"/>
              <a:ea typeface="+mn-ea"/>
              <a:cs typeface="Arial" panose="020B0604020202020204" pitchFamily="34" charset="0"/>
            </a:rPr>
            <a:t>Office of Commissioner for B-BBEE starts operations </a:t>
          </a:r>
        </a:p>
      </dgm:t>
    </dgm:pt>
    <dgm:pt modelId="{D2D575AA-E818-42B9-B71D-C3EB5E6B159B}" type="parTrans" cxnId="{E0288F2F-B9DA-4A19-9C8A-D7DB73EED435}">
      <dgm:prSet/>
      <dgm:spPr/>
      <dgm:t>
        <a:bodyPr/>
        <a:lstStyle/>
        <a:p>
          <a:endParaRPr lang="en-US" sz="2000">
            <a:latin typeface="Arial" panose="020B0604020202020204" pitchFamily="34" charset="0"/>
            <a:cs typeface="Arial" panose="020B0604020202020204" pitchFamily="34" charset="0"/>
          </a:endParaRPr>
        </a:p>
      </dgm:t>
    </dgm:pt>
    <dgm:pt modelId="{395710FB-881F-45ED-91E7-53F2D9E64938}" type="sibTrans" cxnId="{E0288F2F-B9DA-4A19-9C8A-D7DB73EED435}">
      <dgm:prSet/>
      <dgm:spPr/>
      <dgm:t>
        <a:bodyPr/>
        <a:lstStyle/>
        <a:p>
          <a:endParaRPr lang="en-US" sz="2000">
            <a:latin typeface="Arial" panose="020B0604020202020204" pitchFamily="34" charset="0"/>
            <a:cs typeface="Arial" panose="020B0604020202020204" pitchFamily="34" charset="0"/>
          </a:endParaRPr>
        </a:p>
      </dgm:t>
    </dgm:pt>
    <dgm:pt modelId="{F1DAD24C-BB7F-417C-ABC0-5EFC022D0EFB}">
      <dgm:prSet custT="1"/>
      <dgm:spPr>
        <a:xfrm rot="5400000">
          <a:off x="3069415" y="2256703"/>
          <a:ext cx="325650" cy="5763079"/>
        </a:xfrm>
      </dgm:spPr>
      <dgm:t>
        <a:bodyPr/>
        <a:lstStyle/>
        <a:p>
          <a:r>
            <a:rPr lang="en-US" sz="1000">
              <a:latin typeface="Arial" panose="020B0604020202020204" pitchFamily="34" charset="0"/>
              <a:ea typeface="+mn-ea"/>
              <a:cs typeface="Arial" panose="020B0604020202020204" pitchFamily="34" charset="0"/>
            </a:rPr>
            <a:t>FSC Phase 3 Draft Code issued for public comments</a:t>
          </a:r>
        </a:p>
      </dgm:t>
    </dgm:pt>
    <dgm:pt modelId="{E04106DA-E81C-46CE-91A8-60A128647717}" type="parTrans" cxnId="{4A59D490-832A-4769-B248-4498476A4554}">
      <dgm:prSet/>
      <dgm:spPr/>
      <dgm:t>
        <a:bodyPr/>
        <a:lstStyle/>
        <a:p>
          <a:endParaRPr lang="en-US" sz="2000">
            <a:latin typeface="Arial" panose="020B0604020202020204" pitchFamily="34" charset="0"/>
            <a:cs typeface="Arial" panose="020B0604020202020204" pitchFamily="34" charset="0"/>
          </a:endParaRPr>
        </a:p>
      </dgm:t>
    </dgm:pt>
    <dgm:pt modelId="{1E0070F5-9305-4E7B-B8C7-2C9B2BC7EEE2}" type="sibTrans" cxnId="{4A59D490-832A-4769-B248-4498476A4554}">
      <dgm:prSet/>
      <dgm:spPr/>
      <dgm:t>
        <a:bodyPr/>
        <a:lstStyle/>
        <a:p>
          <a:endParaRPr lang="en-US" sz="2000">
            <a:latin typeface="Arial" panose="020B0604020202020204" pitchFamily="34" charset="0"/>
            <a:cs typeface="Arial" panose="020B0604020202020204" pitchFamily="34" charset="0"/>
          </a:endParaRPr>
        </a:p>
      </dgm:t>
    </dgm:pt>
    <dgm:pt modelId="{41DFA601-18EC-4D90-BA20-5DECDF2E36BE}" type="pres">
      <dgm:prSet presAssocID="{745ED816-1DF3-4235-BAA9-6120422B7044}" presName="linearFlow" presStyleCnt="0">
        <dgm:presLayoutVars>
          <dgm:dir/>
          <dgm:animLvl val="lvl"/>
          <dgm:resizeHandles val="exact"/>
        </dgm:presLayoutVars>
      </dgm:prSet>
      <dgm:spPr/>
      <dgm:t>
        <a:bodyPr/>
        <a:lstStyle/>
        <a:p>
          <a:endParaRPr lang="en-US"/>
        </a:p>
      </dgm:t>
    </dgm:pt>
    <dgm:pt modelId="{0696F9F8-F7B1-45E1-A662-40325C6A6492}" type="pres">
      <dgm:prSet presAssocID="{12F11422-3C9D-43F6-9255-1D363F37A0FF}" presName="composite" presStyleCnt="0"/>
      <dgm:spPr/>
      <dgm:t>
        <a:bodyPr/>
        <a:lstStyle/>
        <a:p>
          <a:endParaRPr lang="en-US"/>
        </a:p>
      </dgm:t>
    </dgm:pt>
    <dgm:pt modelId="{9E4469D3-5810-430C-9150-A8623041987D}" type="pres">
      <dgm:prSet presAssocID="{12F11422-3C9D-43F6-9255-1D363F37A0FF}" presName="parentText" presStyleLbl="alignNode1" presStyleIdx="0" presStyleCnt="12">
        <dgm:presLayoutVars>
          <dgm:chMax val="1"/>
          <dgm:bulletEnabled val="1"/>
        </dgm:presLayoutVars>
      </dgm:prSet>
      <dgm:spPr>
        <a:prstGeom prst="chevron">
          <a:avLst/>
        </a:prstGeom>
      </dgm:spPr>
      <dgm:t>
        <a:bodyPr/>
        <a:lstStyle/>
        <a:p>
          <a:endParaRPr lang="en-US"/>
        </a:p>
      </dgm:t>
    </dgm:pt>
    <dgm:pt modelId="{6C9B0EEE-FBD6-4563-BB68-4BE669A6AC2E}" type="pres">
      <dgm:prSet presAssocID="{12F11422-3C9D-43F6-9255-1D363F37A0FF}" presName="descendantText" presStyleLbl="alignAcc1" presStyleIdx="0" presStyleCnt="12">
        <dgm:presLayoutVars>
          <dgm:bulletEnabled val="1"/>
        </dgm:presLayoutVars>
      </dgm:prSet>
      <dgm:spPr>
        <a:prstGeom prst="round2SameRect">
          <a:avLst/>
        </a:prstGeom>
      </dgm:spPr>
      <dgm:t>
        <a:bodyPr/>
        <a:lstStyle/>
        <a:p>
          <a:endParaRPr lang="en-US"/>
        </a:p>
      </dgm:t>
    </dgm:pt>
    <dgm:pt modelId="{C9BDF640-D328-45D4-849C-F0617E1C8F3C}" type="pres">
      <dgm:prSet presAssocID="{B35A2AE8-C04F-46EC-B980-66F1E6755F88}" presName="sp" presStyleCnt="0"/>
      <dgm:spPr/>
      <dgm:t>
        <a:bodyPr/>
        <a:lstStyle/>
        <a:p>
          <a:endParaRPr lang="en-US"/>
        </a:p>
      </dgm:t>
    </dgm:pt>
    <dgm:pt modelId="{06C0F701-DC2A-4DD1-A37F-808F6628018B}" type="pres">
      <dgm:prSet presAssocID="{74D21755-A6A8-45AE-8BBC-07DECBE2B768}" presName="composite" presStyleCnt="0"/>
      <dgm:spPr/>
      <dgm:t>
        <a:bodyPr/>
        <a:lstStyle/>
        <a:p>
          <a:endParaRPr lang="en-US"/>
        </a:p>
      </dgm:t>
    </dgm:pt>
    <dgm:pt modelId="{562EA293-DF07-4629-98D5-2B694A7D71AB}" type="pres">
      <dgm:prSet presAssocID="{74D21755-A6A8-45AE-8BBC-07DECBE2B768}" presName="parentText" presStyleLbl="alignNode1" presStyleIdx="1" presStyleCnt="12">
        <dgm:presLayoutVars>
          <dgm:chMax val="1"/>
          <dgm:bulletEnabled val="1"/>
        </dgm:presLayoutVars>
      </dgm:prSet>
      <dgm:spPr>
        <a:prstGeom prst="chevron">
          <a:avLst/>
        </a:prstGeom>
      </dgm:spPr>
      <dgm:t>
        <a:bodyPr/>
        <a:lstStyle/>
        <a:p>
          <a:endParaRPr lang="en-US"/>
        </a:p>
      </dgm:t>
    </dgm:pt>
    <dgm:pt modelId="{23DF97E0-A2DF-4CE4-849A-3C2FD9EDDA15}" type="pres">
      <dgm:prSet presAssocID="{74D21755-A6A8-45AE-8BBC-07DECBE2B768}" presName="descendantText" presStyleLbl="alignAcc1" presStyleIdx="1" presStyleCnt="12">
        <dgm:presLayoutVars>
          <dgm:bulletEnabled val="1"/>
        </dgm:presLayoutVars>
      </dgm:prSet>
      <dgm:spPr>
        <a:prstGeom prst="round2SameRect">
          <a:avLst/>
        </a:prstGeom>
      </dgm:spPr>
      <dgm:t>
        <a:bodyPr/>
        <a:lstStyle/>
        <a:p>
          <a:endParaRPr lang="en-US"/>
        </a:p>
      </dgm:t>
    </dgm:pt>
    <dgm:pt modelId="{DD75D69E-AFFD-4251-A8A1-855C831F1C68}" type="pres">
      <dgm:prSet presAssocID="{12753BFE-9406-4126-B024-74C1A21FFB3F}" presName="sp" presStyleCnt="0"/>
      <dgm:spPr/>
      <dgm:t>
        <a:bodyPr/>
        <a:lstStyle/>
        <a:p>
          <a:endParaRPr lang="en-US"/>
        </a:p>
      </dgm:t>
    </dgm:pt>
    <dgm:pt modelId="{A9D6E109-A6C2-49C3-8C6B-4F7E0E7BBB71}" type="pres">
      <dgm:prSet presAssocID="{2A69BAFD-B209-4894-A409-6F591D415236}" presName="composite" presStyleCnt="0"/>
      <dgm:spPr/>
      <dgm:t>
        <a:bodyPr/>
        <a:lstStyle/>
        <a:p>
          <a:endParaRPr lang="en-US"/>
        </a:p>
      </dgm:t>
    </dgm:pt>
    <dgm:pt modelId="{9F74C5AE-DAF2-49FD-9FAE-E0F9D690F5CA}" type="pres">
      <dgm:prSet presAssocID="{2A69BAFD-B209-4894-A409-6F591D415236}" presName="parentText" presStyleLbl="alignNode1" presStyleIdx="2" presStyleCnt="12">
        <dgm:presLayoutVars>
          <dgm:chMax val="1"/>
          <dgm:bulletEnabled val="1"/>
        </dgm:presLayoutVars>
      </dgm:prSet>
      <dgm:spPr>
        <a:prstGeom prst="chevron">
          <a:avLst/>
        </a:prstGeom>
      </dgm:spPr>
      <dgm:t>
        <a:bodyPr/>
        <a:lstStyle/>
        <a:p>
          <a:endParaRPr lang="en-US"/>
        </a:p>
      </dgm:t>
    </dgm:pt>
    <dgm:pt modelId="{93C52B0E-EC5F-428D-A024-B2041B770B39}" type="pres">
      <dgm:prSet presAssocID="{2A69BAFD-B209-4894-A409-6F591D415236}" presName="descendantText" presStyleLbl="alignAcc1" presStyleIdx="2" presStyleCnt="12">
        <dgm:presLayoutVars>
          <dgm:bulletEnabled val="1"/>
        </dgm:presLayoutVars>
      </dgm:prSet>
      <dgm:spPr>
        <a:prstGeom prst="round2SameRect">
          <a:avLst/>
        </a:prstGeom>
      </dgm:spPr>
      <dgm:t>
        <a:bodyPr/>
        <a:lstStyle/>
        <a:p>
          <a:endParaRPr lang="en-US"/>
        </a:p>
      </dgm:t>
    </dgm:pt>
    <dgm:pt modelId="{612E1942-0D15-4166-9145-7F4BD3F86F34}" type="pres">
      <dgm:prSet presAssocID="{25441E98-09E8-4B36-A1C8-FBA0FB3B9156}" presName="sp" presStyleCnt="0"/>
      <dgm:spPr/>
      <dgm:t>
        <a:bodyPr/>
        <a:lstStyle/>
        <a:p>
          <a:endParaRPr lang="en-US"/>
        </a:p>
      </dgm:t>
    </dgm:pt>
    <dgm:pt modelId="{28AD237E-B614-4AD5-BE8A-8DE9B45C64BE}" type="pres">
      <dgm:prSet presAssocID="{3C5AE7B9-AD33-4BFE-BDC7-74B477CAB626}" presName="composite" presStyleCnt="0"/>
      <dgm:spPr/>
      <dgm:t>
        <a:bodyPr/>
        <a:lstStyle/>
        <a:p>
          <a:endParaRPr lang="en-US"/>
        </a:p>
      </dgm:t>
    </dgm:pt>
    <dgm:pt modelId="{21BF8BDE-6294-4123-8AF9-F0E68ECA386A}" type="pres">
      <dgm:prSet presAssocID="{3C5AE7B9-AD33-4BFE-BDC7-74B477CAB626}" presName="parentText" presStyleLbl="alignNode1" presStyleIdx="3" presStyleCnt="12">
        <dgm:presLayoutVars>
          <dgm:chMax val="1"/>
          <dgm:bulletEnabled val="1"/>
        </dgm:presLayoutVars>
      </dgm:prSet>
      <dgm:spPr>
        <a:prstGeom prst="chevron">
          <a:avLst/>
        </a:prstGeom>
      </dgm:spPr>
      <dgm:t>
        <a:bodyPr/>
        <a:lstStyle/>
        <a:p>
          <a:endParaRPr lang="en-US"/>
        </a:p>
      </dgm:t>
    </dgm:pt>
    <dgm:pt modelId="{D0B18EE8-E29C-4DD6-94D3-F84FF023814E}" type="pres">
      <dgm:prSet presAssocID="{3C5AE7B9-AD33-4BFE-BDC7-74B477CAB626}" presName="descendantText" presStyleLbl="alignAcc1" presStyleIdx="3" presStyleCnt="12">
        <dgm:presLayoutVars>
          <dgm:bulletEnabled val="1"/>
        </dgm:presLayoutVars>
      </dgm:prSet>
      <dgm:spPr>
        <a:prstGeom prst="round2SameRect">
          <a:avLst/>
        </a:prstGeom>
      </dgm:spPr>
      <dgm:t>
        <a:bodyPr/>
        <a:lstStyle/>
        <a:p>
          <a:endParaRPr lang="en-US"/>
        </a:p>
      </dgm:t>
    </dgm:pt>
    <dgm:pt modelId="{9770F752-B02E-4B07-8564-21B14DDD9FD8}" type="pres">
      <dgm:prSet presAssocID="{2FCC443C-8819-49C8-91DF-67CF01FDE8A7}" presName="sp" presStyleCnt="0"/>
      <dgm:spPr/>
      <dgm:t>
        <a:bodyPr/>
        <a:lstStyle/>
        <a:p>
          <a:endParaRPr lang="en-US"/>
        </a:p>
      </dgm:t>
    </dgm:pt>
    <dgm:pt modelId="{43E730A2-E784-4795-AF00-9837966790CB}" type="pres">
      <dgm:prSet presAssocID="{D269D33C-FA2D-4FAB-885B-55CDC24C63CD}" presName="composite" presStyleCnt="0"/>
      <dgm:spPr/>
      <dgm:t>
        <a:bodyPr/>
        <a:lstStyle/>
        <a:p>
          <a:endParaRPr lang="en-US"/>
        </a:p>
      </dgm:t>
    </dgm:pt>
    <dgm:pt modelId="{4C01804C-FEBA-45F5-8CE0-AC351DAE620C}" type="pres">
      <dgm:prSet presAssocID="{D269D33C-FA2D-4FAB-885B-55CDC24C63CD}" presName="parentText" presStyleLbl="alignNode1" presStyleIdx="4" presStyleCnt="12">
        <dgm:presLayoutVars>
          <dgm:chMax val="1"/>
          <dgm:bulletEnabled val="1"/>
        </dgm:presLayoutVars>
      </dgm:prSet>
      <dgm:spPr>
        <a:prstGeom prst="chevron">
          <a:avLst/>
        </a:prstGeom>
      </dgm:spPr>
      <dgm:t>
        <a:bodyPr/>
        <a:lstStyle/>
        <a:p>
          <a:endParaRPr lang="en-US"/>
        </a:p>
      </dgm:t>
    </dgm:pt>
    <dgm:pt modelId="{20CE4FA8-627C-4FC9-AE36-5FA657DE5979}" type="pres">
      <dgm:prSet presAssocID="{D269D33C-FA2D-4FAB-885B-55CDC24C63CD}" presName="descendantText" presStyleLbl="alignAcc1" presStyleIdx="4" presStyleCnt="12">
        <dgm:presLayoutVars>
          <dgm:bulletEnabled val="1"/>
        </dgm:presLayoutVars>
      </dgm:prSet>
      <dgm:spPr>
        <a:prstGeom prst="round2SameRect">
          <a:avLst/>
        </a:prstGeom>
      </dgm:spPr>
      <dgm:t>
        <a:bodyPr/>
        <a:lstStyle/>
        <a:p>
          <a:endParaRPr lang="en-US"/>
        </a:p>
      </dgm:t>
    </dgm:pt>
    <dgm:pt modelId="{928ED807-2ADC-4970-A858-CADF7B173B00}" type="pres">
      <dgm:prSet presAssocID="{29BAE407-7040-4C9C-868B-DE4E5D5C2E10}" presName="sp" presStyleCnt="0"/>
      <dgm:spPr/>
      <dgm:t>
        <a:bodyPr/>
        <a:lstStyle/>
        <a:p>
          <a:endParaRPr lang="en-US"/>
        </a:p>
      </dgm:t>
    </dgm:pt>
    <dgm:pt modelId="{6CF6ADA3-5F6C-4F7A-91EA-3E0E78FE9B42}" type="pres">
      <dgm:prSet presAssocID="{E89208B4-3B55-4501-A121-7EF2E6389EDA}" presName="composite" presStyleCnt="0"/>
      <dgm:spPr/>
      <dgm:t>
        <a:bodyPr/>
        <a:lstStyle/>
        <a:p>
          <a:endParaRPr lang="en-US"/>
        </a:p>
      </dgm:t>
    </dgm:pt>
    <dgm:pt modelId="{0B706471-661F-4687-A583-494B11A8FDEB}" type="pres">
      <dgm:prSet presAssocID="{E89208B4-3B55-4501-A121-7EF2E6389EDA}" presName="parentText" presStyleLbl="alignNode1" presStyleIdx="5" presStyleCnt="12">
        <dgm:presLayoutVars>
          <dgm:chMax val="1"/>
          <dgm:bulletEnabled val="1"/>
        </dgm:presLayoutVars>
      </dgm:prSet>
      <dgm:spPr>
        <a:prstGeom prst="chevron">
          <a:avLst/>
        </a:prstGeom>
      </dgm:spPr>
      <dgm:t>
        <a:bodyPr/>
        <a:lstStyle/>
        <a:p>
          <a:endParaRPr lang="en-US"/>
        </a:p>
      </dgm:t>
    </dgm:pt>
    <dgm:pt modelId="{CA0524D3-3946-448E-9294-4B35DB246A30}" type="pres">
      <dgm:prSet presAssocID="{E89208B4-3B55-4501-A121-7EF2E6389EDA}" presName="descendantText" presStyleLbl="alignAcc1" presStyleIdx="5" presStyleCnt="12">
        <dgm:presLayoutVars>
          <dgm:bulletEnabled val="1"/>
        </dgm:presLayoutVars>
      </dgm:prSet>
      <dgm:spPr>
        <a:prstGeom prst="round2SameRect">
          <a:avLst/>
        </a:prstGeom>
      </dgm:spPr>
      <dgm:t>
        <a:bodyPr/>
        <a:lstStyle/>
        <a:p>
          <a:endParaRPr lang="en-US"/>
        </a:p>
      </dgm:t>
    </dgm:pt>
    <dgm:pt modelId="{D268A4F9-6596-4FC1-AD15-F0CD62FDB636}" type="pres">
      <dgm:prSet presAssocID="{72BFAD4B-4C34-4FF7-90E7-34E741DAFE29}" presName="sp" presStyleCnt="0"/>
      <dgm:spPr/>
      <dgm:t>
        <a:bodyPr/>
        <a:lstStyle/>
        <a:p>
          <a:endParaRPr lang="en-US"/>
        </a:p>
      </dgm:t>
    </dgm:pt>
    <dgm:pt modelId="{CA2244E2-5FFD-4852-AB76-81116AFC4804}" type="pres">
      <dgm:prSet presAssocID="{0A71C6DA-55D1-4616-BA2E-B8CD5ED5998B}" presName="composite" presStyleCnt="0"/>
      <dgm:spPr/>
      <dgm:t>
        <a:bodyPr/>
        <a:lstStyle/>
        <a:p>
          <a:endParaRPr lang="en-US"/>
        </a:p>
      </dgm:t>
    </dgm:pt>
    <dgm:pt modelId="{C7D8F103-1DBB-42AD-9B88-D7AD8CF23ECC}" type="pres">
      <dgm:prSet presAssocID="{0A71C6DA-55D1-4616-BA2E-B8CD5ED5998B}" presName="parentText" presStyleLbl="alignNode1" presStyleIdx="6" presStyleCnt="12">
        <dgm:presLayoutVars>
          <dgm:chMax val="1"/>
          <dgm:bulletEnabled val="1"/>
        </dgm:presLayoutVars>
      </dgm:prSet>
      <dgm:spPr>
        <a:prstGeom prst="chevron">
          <a:avLst/>
        </a:prstGeom>
      </dgm:spPr>
      <dgm:t>
        <a:bodyPr/>
        <a:lstStyle/>
        <a:p>
          <a:endParaRPr lang="en-US"/>
        </a:p>
      </dgm:t>
    </dgm:pt>
    <dgm:pt modelId="{125611EA-86B1-44C0-8BD1-C7B1C05D746D}" type="pres">
      <dgm:prSet presAssocID="{0A71C6DA-55D1-4616-BA2E-B8CD5ED5998B}" presName="descendantText" presStyleLbl="alignAcc1" presStyleIdx="6" presStyleCnt="12">
        <dgm:presLayoutVars>
          <dgm:bulletEnabled val="1"/>
        </dgm:presLayoutVars>
      </dgm:prSet>
      <dgm:spPr>
        <a:prstGeom prst="round2SameRect">
          <a:avLst/>
        </a:prstGeom>
      </dgm:spPr>
      <dgm:t>
        <a:bodyPr/>
        <a:lstStyle/>
        <a:p>
          <a:endParaRPr lang="en-US"/>
        </a:p>
      </dgm:t>
    </dgm:pt>
    <dgm:pt modelId="{52A3A25E-DC17-4C26-A8F1-21496D5637FE}" type="pres">
      <dgm:prSet presAssocID="{4D4B5235-2DA4-42F6-9D64-7D8DC003F0CA}" presName="sp" presStyleCnt="0"/>
      <dgm:spPr/>
      <dgm:t>
        <a:bodyPr/>
        <a:lstStyle/>
        <a:p>
          <a:endParaRPr lang="en-US"/>
        </a:p>
      </dgm:t>
    </dgm:pt>
    <dgm:pt modelId="{EDE30BB7-EAB9-41BF-B133-6FD2EB193EB6}" type="pres">
      <dgm:prSet presAssocID="{0713130E-2604-498C-B294-EE6AD83EAF9F}" presName="composite" presStyleCnt="0"/>
      <dgm:spPr/>
      <dgm:t>
        <a:bodyPr/>
        <a:lstStyle/>
        <a:p>
          <a:endParaRPr lang="en-US"/>
        </a:p>
      </dgm:t>
    </dgm:pt>
    <dgm:pt modelId="{639E7B12-708E-490B-A0A9-A9FD5BA2BEB6}" type="pres">
      <dgm:prSet presAssocID="{0713130E-2604-498C-B294-EE6AD83EAF9F}" presName="parentText" presStyleLbl="alignNode1" presStyleIdx="7" presStyleCnt="12">
        <dgm:presLayoutVars>
          <dgm:chMax val="1"/>
          <dgm:bulletEnabled val="1"/>
        </dgm:presLayoutVars>
      </dgm:prSet>
      <dgm:spPr>
        <a:prstGeom prst="chevron">
          <a:avLst/>
        </a:prstGeom>
      </dgm:spPr>
      <dgm:t>
        <a:bodyPr/>
        <a:lstStyle/>
        <a:p>
          <a:endParaRPr lang="en-US"/>
        </a:p>
      </dgm:t>
    </dgm:pt>
    <dgm:pt modelId="{0F912F81-B673-4EB9-9C54-A3EF4B41550A}" type="pres">
      <dgm:prSet presAssocID="{0713130E-2604-498C-B294-EE6AD83EAF9F}" presName="descendantText" presStyleLbl="alignAcc1" presStyleIdx="7" presStyleCnt="12">
        <dgm:presLayoutVars>
          <dgm:bulletEnabled val="1"/>
        </dgm:presLayoutVars>
      </dgm:prSet>
      <dgm:spPr>
        <a:prstGeom prst="round2SameRect">
          <a:avLst/>
        </a:prstGeom>
      </dgm:spPr>
      <dgm:t>
        <a:bodyPr/>
        <a:lstStyle/>
        <a:p>
          <a:endParaRPr lang="en-US"/>
        </a:p>
      </dgm:t>
    </dgm:pt>
    <dgm:pt modelId="{437759DA-3E5B-4A12-A92A-C58A67785707}" type="pres">
      <dgm:prSet presAssocID="{956EFD7B-9E1E-4918-839D-BD32D3ADF05D}" presName="sp" presStyleCnt="0"/>
      <dgm:spPr/>
      <dgm:t>
        <a:bodyPr/>
        <a:lstStyle/>
        <a:p>
          <a:endParaRPr lang="en-US"/>
        </a:p>
      </dgm:t>
    </dgm:pt>
    <dgm:pt modelId="{9B471BB6-FF23-40C4-9429-81A41EE9CA33}" type="pres">
      <dgm:prSet presAssocID="{D6081E3B-BD04-44A4-A82B-178A146BC21B}" presName="composite" presStyleCnt="0"/>
      <dgm:spPr/>
      <dgm:t>
        <a:bodyPr/>
        <a:lstStyle/>
        <a:p>
          <a:endParaRPr lang="en-US"/>
        </a:p>
      </dgm:t>
    </dgm:pt>
    <dgm:pt modelId="{03A44DB4-044B-4296-A7AE-E81B3F7944A6}" type="pres">
      <dgm:prSet presAssocID="{D6081E3B-BD04-44A4-A82B-178A146BC21B}" presName="parentText" presStyleLbl="alignNode1" presStyleIdx="8" presStyleCnt="12">
        <dgm:presLayoutVars>
          <dgm:chMax val="1"/>
          <dgm:bulletEnabled val="1"/>
        </dgm:presLayoutVars>
      </dgm:prSet>
      <dgm:spPr>
        <a:prstGeom prst="chevron">
          <a:avLst/>
        </a:prstGeom>
      </dgm:spPr>
      <dgm:t>
        <a:bodyPr/>
        <a:lstStyle/>
        <a:p>
          <a:endParaRPr lang="en-US"/>
        </a:p>
      </dgm:t>
    </dgm:pt>
    <dgm:pt modelId="{8E04D6B9-957C-4FF5-9246-7A9E66C4E400}" type="pres">
      <dgm:prSet presAssocID="{D6081E3B-BD04-44A4-A82B-178A146BC21B}" presName="descendantText" presStyleLbl="alignAcc1" presStyleIdx="8" presStyleCnt="12">
        <dgm:presLayoutVars>
          <dgm:bulletEnabled val="1"/>
        </dgm:presLayoutVars>
      </dgm:prSet>
      <dgm:spPr>
        <a:prstGeom prst="round2SameRect">
          <a:avLst/>
        </a:prstGeom>
      </dgm:spPr>
      <dgm:t>
        <a:bodyPr/>
        <a:lstStyle/>
        <a:p>
          <a:endParaRPr lang="en-US"/>
        </a:p>
      </dgm:t>
    </dgm:pt>
    <dgm:pt modelId="{5F175FD1-B04A-4D21-A9FE-5AAAED9F949F}" type="pres">
      <dgm:prSet presAssocID="{9E4393A7-813D-4CB4-977A-8113D05F7E3A}" presName="sp" presStyleCnt="0"/>
      <dgm:spPr/>
      <dgm:t>
        <a:bodyPr/>
        <a:lstStyle/>
        <a:p>
          <a:endParaRPr lang="en-US"/>
        </a:p>
      </dgm:t>
    </dgm:pt>
    <dgm:pt modelId="{3185D9FD-FA07-4D03-AAE8-A9E14527AD6E}" type="pres">
      <dgm:prSet presAssocID="{CFFF20E1-88FF-4389-830F-2B99794E76AA}" presName="composite" presStyleCnt="0"/>
      <dgm:spPr/>
      <dgm:t>
        <a:bodyPr/>
        <a:lstStyle/>
        <a:p>
          <a:endParaRPr lang="en-US"/>
        </a:p>
      </dgm:t>
    </dgm:pt>
    <dgm:pt modelId="{1486572D-B938-44B1-ADAF-CBF05DAEDFD4}" type="pres">
      <dgm:prSet presAssocID="{CFFF20E1-88FF-4389-830F-2B99794E76AA}" presName="parentText" presStyleLbl="alignNode1" presStyleIdx="9" presStyleCnt="12">
        <dgm:presLayoutVars>
          <dgm:chMax val="1"/>
          <dgm:bulletEnabled val="1"/>
        </dgm:presLayoutVars>
      </dgm:prSet>
      <dgm:spPr>
        <a:prstGeom prst="chevron">
          <a:avLst/>
        </a:prstGeom>
      </dgm:spPr>
      <dgm:t>
        <a:bodyPr/>
        <a:lstStyle/>
        <a:p>
          <a:endParaRPr lang="en-US"/>
        </a:p>
      </dgm:t>
    </dgm:pt>
    <dgm:pt modelId="{D9B09E24-DB07-4DF9-9100-74562573FC9C}" type="pres">
      <dgm:prSet presAssocID="{CFFF20E1-88FF-4389-830F-2B99794E76AA}" presName="descendantText" presStyleLbl="alignAcc1" presStyleIdx="9" presStyleCnt="12">
        <dgm:presLayoutVars>
          <dgm:bulletEnabled val="1"/>
        </dgm:presLayoutVars>
      </dgm:prSet>
      <dgm:spPr>
        <a:prstGeom prst="round2SameRect">
          <a:avLst/>
        </a:prstGeom>
      </dgm:spPr>
      <dgm:t>
        <a:bodyPr/>
        <a:lstStyle/>
        <a:p>
          <a:endParaRPr lang="en-US"/>
        </a:p>
      </dgm:t>
    </dgm:pt>
    <dgm:pt modelId="{4E681C43-B380-49A2-883F-1EDE1DA9FC8D}" type="pres">
      <dgm:prSet presAssocID="{30B13854-A9A7-4FD4-B9B7-13802BC74D0F}" presName="sp" presStyleCnt="0"/>
      <dgm:spPr/>
      <dgm:t>
        <a:bodyPr/>
        <a:lstStyle/>
        <a:p>
          <a:endParaRPr lang="en-US"/>
        </a:p>
      </dgm:t>
    </dgm:pt>
    <dgm:pt modelId="{898A0A43-1F3E-4196-8D60-6E5C8AF8BA8D}" type="pres">
      <dgm:prSet presAssocID="{97BC4476-6F75-477B-B084-08362D291FD1}" presName="composite" presStyleCnt="0"/>
      <dgm:spPr/>
      <dgm:t>
        <a:bodyPr/>
        <a:lstStyle/>
        <a:p>
          <a:endParaRPr lang="en-US"/>
        </a:p>
      </dgm:t>
    </dgm:pt>
    <dgm:pt modelId="{7A61F9DA-97E5-48A3-9753-C5606D4F02A0}" type="pres">
      <dgm:prSet presAssocID="{97BC4476-6F75-477B-B084-08362D291FD1}" presName="parentText" presStyleLbl="alignNode1" presStyleIdx="10" presStyleCnt="12">
        <dgm:presLayoutVars>
          <dgm:chMax val="1"/>
          <dgm:bulletEnabled val="1"/>
        </dgm:presLayoutVars>
      </dgm:prSet>
      <dgm:spPr>
        <a:prstGeom prst="chevron">
          <a:avLst/>
        </a:prstGeom>
      </dgm:spPr>
      <dgm:t>
        <a:bodyPr/>
        <a:lstStyle/>
        <a:p>
          <a:endParaRPr lang="en-US"/>
        </a:p>
      </dgm:t>
    </dgm:pt>
    <dgm:pt modelId="{FACBF1C8-1ED3-4175-AFB0-595C73B3198A}" type="pres">
      <dgm:prSet presAssocID="{97BC4476-6F75-477B-B084-08362D291FD1}" presName="descendantText" presStyleLbl="alignAcc1" presStyleIdx="10" presStyleCnt="12">
        <dgm:presLayoutVars>
          <dgm:bulletEnabled val="1"/>
        </dgm:presLayoutVars>
      </dgm:prSet>
      <dgm:spPr>
        <a:prstGeom prst="round2SameRect">
          <a:avLst/>
        </a:prstGeom>
      </dgm:spPr>
      <dgm:t>
        <a:bodyPr/>
        <a:lstStyle/>
        <a:p>
          <a:endParaRPr lang="en-US"/>
        </a:p>
      </dgm:t>
    </dgm:pt>
    <dgm:pt modelId="{1B032F20-BDFF-495B-9773-36E151CA8C7A}" type="pres">
      <dgm:prSet presAssocID="{01668010-C30F-4C3D-B447-CFB6D3A841DC}" presName="sp" presStyleCnt="0"/>
      <dgm:spPr/>
      <dgm:t>
        <a:bodyPr/>
        <a:lstStyle/>
        <a:p>
          <a:endParaRPr lang="en-US"/>
        </a:p>
      </dgm:t>
    </dgm:pt>
    <dgm:pt modelId="{63B6C427-0A67-4EB0-A6E8-FDFAC8B29ACC}" type="pres">
      <dgm:prSet presAssocID="{E44DCAFA-8F4E-4039-A2CA-9A0AFC4ED660}" presName="composite" presStyleCnt="0"/>
      <dgm:spPr/>
      <dgm:t>
        <a:bodyPr/>
        <a:lstStyle/>
        <a:p>
          <a:endParaRPr lang="en-US"/>
        </a:p>
      </dgm:t>
    </dgm:pt>
    <dgm:pt modelId="{62383FDC-6341-4C82-A0E4-61FF32A1C645}" type="pres">
      <dgm:prSet presAssocID="{E44DCAFA-8F4E-4039-A2CA-9A0AFC4ED660}" presName="parentText" presStyleLbl="alignNode1" presStyleIdx="11" presStyleCnt="12">
        <dgm:presLayoutVars>
          <dgm:chMax val="1"/>
          <dgm:bulletEnabled val="1"/>
        </dgm:presLayoutVars>
      </dgm:prSet>
      <dgm:spPr>
        <a:prstGeom prst="chevron">
          <a:avLst/>
        </a:prstGeom>
      </dgm:spPr>
      <dgm:t>
        <a:bodyPr/>
        <a:lstStyle/>
        <a:p>
          <a:endParaRPr lang="en-US"/>
        </a:p>
      </dgm:t>
    </dgm:pt>
    <dgm:pt modelId="{583D28BF-C68E-4F35-9509-37F256A89DE6}" type="pres">
      <dgm:prSet presAssocID="{E44DCAFA-8F4E-4039-A2CA-9A0AFC4ED660}" presName="descendantText" presStyleLbl="alignAcc1" presStyleIdx="11" presStyleCnt="12">
        <dgm:presLayoutVars>
          <dgm:bulletEnabled val="1"/>
        </dgm:presLayoutVars>
      </dgm:prSet>
      <dgm:spPr>
        <a:prstGeom prst="round2SameRect">
          <a:avLst/>
        </a:prstGeom>
      </dgm:spPr>
      <dgm:t>
        <a:bodyPr/>
        <a:lstStyle/>
        <a:p>
          <a:endParaRPr lang="en-US"/>
        </a:p>
      </dgm:t>
    </dgm:pt>
  </dgm:ptLst>
  <dgm:cxnLst>
    <dgm:cxn modelId="{12DE5A43-66C5-4953-9DF0-AC20CD96D775}" srcId="{745ED816-1DF3-4235-BAA9-6120422B7044}" destId="{0A71C6DA-55D1-4616-BA2E-B8CD5ED5998B}" srcOrd="6" destOrd="0" parTransId="{CC031F65-422F-477F-99EF-2E765F352577}" sibTransId="{4D4B5235-2DA4-42F6-9D64-7D8DC003F0CA}"/>
    <dgm:cxn modelId="{7239D7BA-A882-4F3D-AA1C-FCCC36C77157}" srcId="{745ED816-1DF3-4235-BAA9-6120422B7044}" destId="{E44DCAFA-8F4E-4039-A2CA-9A0AFC4ED660}" srcOrd="11" destOrd="0" parTransId="{CBE0DF46-D935-459C-A32C-65E80571527F}" sibTransId="{CB0C4AC1-6EF4-4B16-AF0B-40A86F9B9184}"/>
    <dgm:cxn modelId="{B763BA86-5878-4185-A9BD-18B08669570F}" type="presOf" srcId="{F1DAD24C-BB7F-417C-ABC0-5EFC022D0EFB}" destId="{583D28BF-C68E-4F35-9509-37F256A89DE6}" srcOrd="0" destOrd="0" presId="urn:microsoft.com/office/officeart/2005/8/layout/chevron2"/>
    <dgm:cxn modelId="{09DF228C-30DA-46CD-9EB0-98F8DAB12370}" type="presOf" srcId="{B1F06028-D9F7-41DE-9C16-CB61486E0495}" destId="{6C9B0EEE-FBD6-4563-BB68-4BE669A6AC2E}" srcOrd="0" destOrd="0" presId="urn:microsoft.com/office/officeart/2005/8/layout/chevron2"/>
    <dgm:cxn modelId="{E0BF81C5-DCFF-45AB-92C1-F0E4E73A49B5}" type="presOf" srcId="{210FDB4B-A5FA-4BC0-A8E6-9101F666E60F}" destId="{8E04D6B9-957C-4FF5-9246-7A9E66C4E400}" srcOrd="0" destOrd="1" presId="urn:microsoft.com/office/officeart/2005/8/layout/chevron2"/>
    <dgm:cxn modelId="{63811AF1-1C86-4FB9-811F-4D369FF941D9}" srcId="{E89208B4-3B55-4501-A121-7EF2E6389EDA}" destId="{BC8E3E27-298D-4C65-851A-DE7B5F5603FD}" srcOrd="0" destOrd="0" parTransId="{DA17C309-E893-411F-81B7-8B5995DC91FC}" sibTransId="{C3AF571B-7038-4178-82A6-A60CF56F3991}"/>
    <dgm:cxn modelId="{66BC53A0-2ABA-42DD-B341-11C8AAFB2FF4}" type="presOf" srcId="{0A71C6DA-55D1-4616-BA2E-B8CD5ED5998B}" destId="{C7D8F103-1DBB-42AD-9B88-D7AD8CF23ECC}" srcOrd="0" destOrd="0" presId="urn:microsoft.com/office/officeart/2005/8/layout/chevron2"/>
    <dgm:cxn modelId="{B7F9650E-4878-4F2A-91AB-F1BCD3E607E4}" type="presOf" srcId="{80F60B10-7092-4DCE-B598-8BAD8C964A78}" destId="{FACBF1C8-1ED3-4175-AFB0-595C73B3198A}" srcOrd="0" destOrd="0" presId="urn:microsoft.com/office/officeart/2005/8/layout/chevron2"/>
    <dgm:cxn modelId="{16086D61-F8BD-46B2-B057-D4AD7EA08404}" srcId="{74D21755-A6A8-45AE-8BBC-07DECBE2B768}" destId="{3D4D925C-83DD-4626-9B04-7A3626622D74}" srcOrd="0" destOrd="0" parTransId="{E876196A-8DE1-4807-A3C7-8711F98BF885}" sibTransId="{76929279-740A-43CF-8B62-D227CEC03958}"/>
    <dgm:cxn modelId="{3544652F-A8ED-43A9-AE2A-1BFCDEEB02A0}" srcId="{CFFF20E1-88FF-4389-830F-2B99794E76AA}" destId="{E1B1671B-DEC5-4608-A7E7-0614AF958F0F}" srcOrd="0" destOrd="0" parTransId="{FBF6A23D-C22A-42B2-AC84-0C75762BE74B}" sibTransId="{B22D0E56-99F6-4FB1-B479-8A0A311E9A70}"/>
    <dgm:cxn modelId="{A0E7512E-227E-4772-99CC-002547D5EAC7}" type="presOf" srcId="{3C5AE7B9-AD33-4BFE-BDC7-74B477CAB626}" destId="{21BF8BDE-6294-4123-8AF9-F0E68ECA386A}" srcOrd="0" destOrd="0" presId="urn:microsoft.com/office/officeart/2005/8/layout/chevron2"/>
    <dgm:cxn modelId="{87C56F66-DFA4-4A0B-A25B-C49C7AADB4E9}" srcId="{D6081E3B-BD04-44A4-A82B-178A146BC21B}" destId="{DA1DD33F-F84B-4B40-B266-6EA549ED668A}" srcOrd="0" destOrd="0" parTransId="{B2C26B05-CFC2-47BC-9C6F-EBE837FA6E42}" sibTransId="{F21A551F-E246-41B2-B833-19697C03FE53}"/>
    <dgm:cxn modelId="{56A3F63E-695D-4886-9E87-9FD0492230D1}" type="presOf" srcId="{3D4D925C-83DD-4626-9B04-7A3626622D74}" destId="{23DF97E0-A2DF-4CE4-849A-3C2FD9EDDA15}" srcOrd="0" destOrd="0" presId="urn:microsoft.com/office/officeart/2005/8/layout/chevron2"/>
    <dgm:cxn modelId="{9E971459-B851-4B8F-9577-F84194646164}" type="presOf" srcId="{359C7112-2E1C-4EBF-8637-0E343C582706}" destId="{583D28BF-C68E-4F35-9509-37F256A89DE6}" srcOrd="0" destOrd="1" presId="urn:microsoft.com/office/officeart/2005/8/layout/chevron2"/>
    <dgm:cxn modelId="{409B603F-9271-4C43-8CBD-C901C7BF01EA}" type="presOf" srcId="{0713130E-2604-498C-B294-EE6AD83EAF9F}" destId="{639E7B12-708E-490B-A0A9-A9FD5BA2BEB6}" srcOrd="0" destOrd="0" presId="urn:microsoft.com/office/officeart/2005/8/layout/chevron2"/>
    <dgm:cxn modelId="{44D6840A-5AA5-46F2-849A-66565F6364B7}" type="presOf" srcId="{AB42A0E7-BB42-473F-BFD1-66914359E9E9}" destId="{125611EA-86B1-44C0-8BD1-C7B1C05D746D}" srcOrd="0" destOrd="0" presId="urn:microsoft.com/office/officeart/2005/8/layout/chevron2"/>
    <dgm:cxn modelId="{8F3BDA03-B8D0-427E-B0D0-F15D9FA79946}" srcId="{12F11422-3C9D-43F6-9255-1D363F37A0FF}" destId="{B1F06028-D9F7-41DE-9C16-CB61486E0495}" srcOrd="0" destOrd="0" parTransId="{67D4B586-EA3F-43AF-913D-589C72E4ECA4}" sibTransId="{C9B54C7D-B333-4D50-97A3-1CBC0710E74C}"/>
    <dgm:cxn modelId="{DCAA5337-C722-4671-BF85-C510398B8401}" type="presOf" srcId="{74D21755-A6A8-45AE-8BBC-07DECBE2B768}" destId="{562EA293-DF07-4629-98D5-2B694A7D71AB}" srcOrd="0" destOrd="0" presId="urn:microsoft.com/office/officeart/2005/8/layout/chevron2"/>
    <dgm:cxn modelId="{595C8ACA-E8B0-4AC4-BC40-A2306116179C}" type="presOf" srcId="{12F11422-3C9D-43F6-9255-1D363F37A0FF}" destId="{9E4469D3-5810-430C-9150-A8623041987D}" srcOrd="0" destOrd="0" presId="urn:microsoft.com/office/officeart/2005/8/layout/chevron2"/>
    <dgm:cxn modelId="{14FA8E42-5A29-44B1-B147-0CAEE0AC076D}" type="presOf" srcId="{C33FB745-88C5-4F54-B5DE-E80D4A2C1BE8}" destId="{20CE4FA8-627C-4FC9-AE36-5FA657DE5979}" srcOrd="0" destOrd="1" presId="urn:microsoft.com/office/officeart/2005/8/layout/chevron2"/>
    <dgm:cxn modelId="{1415CA7E-CED8-4930-84FE-B9E11CD920A0}" srcId="{745ED816-1DF3-4235-BAA9-6120422B7044}" destId="{E89208B4-3B55-4501-A121-7EF2E6389EDA}" srcOrd="5" destOrd="0" parTransId="{847F07CE-01BB-40ED-B4E6-8C0E1B7F8A58}" sibTransId="{72BFAD4B-4C34-4FF7-90E7-34E741DAFE29}"/>
    <dgm:cxn modelId="{C4FCD5CE-3C4E-4BBC-84CD-434293A28554}" srcId="{D269D33C-FA2D-4FAB-885B-55CDC24C63CD}" destId="{C33FB745-88C5-4F54-B5DE-E80D4A2C1BE8}" srcOrd="1" destOrd="0" parTransId="{8C45C0A1-24F8-45E2-967F-AD965DC4C85F}" sibTransId="{5077F899-EFD6-4CB0-ACBF-A6C86215E3E6}"/>
    <dgm:cxn modelId="{197736E8-DBFC-4BA7-A10F-1E2F8D64CAB2}" srcId="{745ED816-1DF3-4235-BAA9-6120422B7044}" destId="{D6081E3B-BD04-44A4-A82B-178A146BC21B}" srcOrd="8" destOrd="0" parTransId="{B34D8DBC-EC8C-4ADC-9C6A-675C2BE99CBB}" sibTransId="{9E4393A7-813D-4CB4-977A-8113D05F7E3A}"/>
    <dgm:cxn modelId="{DDC2F93A-DEDD-44AD-B46F-4267EAD63725}" srcId="{745ED816-1DF3-4235-BAA9-6120422B7044}" destId="{97BC4476-6F75-477B-B084-08362D291FD1}" srcOrd="10" destOrd="0" parTransId="{213CEE49-A5F6-4A93-BF1A-EEDB70D65AEA}" sibTransId="{01668010-C30F-4C3D-B447-CFB6D3A841DC}"/>
    <dgm:cxn modelId="{49152F93-CF24-4AFE-BB15-A7D78CF7EF2E}" srcId="{2A69BAFD-B209-4894-A409-6F591D415236}" destId="{6516B75F-9A97-4107-9FFE-73FF0F5C5C35}" srcOrd="0" destOrd="0" parTransId="{4A5C4599-E023-4890-946F-5072F79D5660}" sibTransId="{9A76AA41-1EDC-45BE-8773-F371E339E8E9}"/>
    <dgm:cxn modelId="{4A59D490-832A-4769-B248-4498476A4554}" srcId="{E44DCAFA-8F4E-4039-A2CA-9A0AFC4ED660}" destId="{F1DAD24C-BB7F-417C-ABC0-5EFC022D0EFB}" srcOrd="0" destOrd="0" parTransId="{E04106DA-E81C-46CE-91A8-60A128647717}" sibTransId="{1E0070F5-9305-4E7B-B8C7-2C9B2BC7EEE2}"/>
    <dgm:cxn modelId="{7CD65186-33A2-4572-8B7B-D17B1F7E59B9}" srcId="{3C5AE7B9-AD33-4BFE-BDC7-74B477CAB626}" destId="{0C0CC6E2-DAAE-44BD-9D9C-0C8472CC726C}" srcOrd="0" destOrd="0" parTransId="{C1EDECFD-4FB5-4DF4-A2A5-377C108AC881}" sibTransId="{8689C7FB-D458-4E2A-A74C-A447790557AF}"/>
    <dgm:cxn modelId="{B85FF2A1-869F-48E5-9078-62E3132668D0}" type="presOf" srcId="{E44DCAFA-8F4E-4039-A2CA-9A0AFC4ED660}" destId="{62383FDC-6341-4C82-A0E4-61FF32A1C645}" srcOrd="0" destOrd="0" presId="urn:microsoft.com/office/officeart/2005/8/layout/chevron2"/>
    <dgm:cxn modelId="{4ED6435B-0A4C-47AC-83DB-BB31B777AC06}" type="presOf" srcId="{2A69BAFD-B209-4894-A409-6F591D415236}" destId="{9F74C5AE-DAF2-49FD-9FAE-E0F9D690F5CA}" srcOrd="0" destOrd="0" presId="urn:microsoft.com/office/officeart/2005/8/layout/chevron2"/>
    <dgm:cxn modelId="{EBAD960F-096B-4400-A15E-138C6640CAE2}" srcId="{CFFF20E1-88FF-4389-830F-2B99794E76AA}" destId="{51A05112-7C11-48E3-906A-92B4461BF681}" srcOrd="1" destOrd="0" parTransId="{346D22C6-F100-4536-BB80-170527185409}" sibTransId="{2050993E-FC96-499F-8D45-054D381082AA}"/>
    <dgm:cxn modelId="{8AEF8E6C-1911-4D97-96E6-21B896C98913}" srcId="{745ED816-1DF3-4235-BAA9-6120422B7044}" destId="{2A69BAFD-B209-4894-A409-6F591D415236}" srcOrd="2" destOrd="0" parTransId="{F65C741E-739B-40A3-854E-F1643FC63E90}" sibTransId="{25441E98-09E8-4B36-A1C8-FBA0FB3B9156}"/>
    <dgm:cxn modelId="{B71416E0-DF87-4030-A26D-844187D862A8}" type="presOf" srcId="{3732EEAC-39A2-4A73-8451-829D9D7EFF0C}" destId="{0F912F81-B673-4EB9-9C54-A3EF4B41550A}" srcOrd="0" destOrd="1" presId="urn:microsoft.com/office/officeart/2005/8/layout/chevron2"/>
    <dgm:cxn modelId="{53F744EF-A67A-40BD-AF04-E4D8094B62D6}" srcId="{0713130E-2604-498C-B294-EE6AD83EAF9F}" destId="{3732EEAC-39A2-4A73-8451-829D9D7EFF0C}" srcOrd="1" destOrd="0" parTransId="{775E5F3B-7A0B-49E9-994E-A1E4ED44212A}" sibTransId="{968C63CB-832D-4F79-B2FF-5298DBA5183C}"/>
    <dgm:cxn modelId="{A71F6145-2F4D-49A6-B7F1-1E3A2687EE9E}" type="presOf" srcId="{6516B75F-9A97-4107-9FFE-73FF0F5C5C35}" destId="{93C52B0E-EC5F-428D-A024-B2041B770B39}" srcOrd="0" destOrd="0" presId="urn:microsoft.com/office/officeart/2005/8/layout/chevron2"/>
    <dgm:cxn modelId="{0187DE08-2E81-4ED0-BE4C-4C0C81425F9E}" srcId="{745ED816-1DF3-4235-BAA9-6120422B7044}" destId="{D269D33C-FA2D-4FAB-885B-55CDC24C63CD}" srcOrd="4" destOrd="0" parTransId="{04466F28-6462-4327-AA6E-34DC1F3F61C4}" sibTransId="{29BAE407-7040-4C9C-868B-DE4E5D5C2E10}"/>
    <dgm:cxn modelId="{D31ED141-C99A-4227-988A-D1510E7AC853}" type="presOf" srcId="{51A05112-7C11-48E3-906A-92B4461BF681}" destId="{D9B09E24-DB07-4DF9-9100-74562573FC9C}" srcOrd="0" destOrd="1" presId="urn:microsoft.com/office/officeart/2005/8/layout/chevron2"/>
    <dgm:cxn modelId="{828C63AB-D957-456D-AD8F-1A118BA4294A}" type="presOf" srcId="{E1B1671B-DEC5-4608-A7E7-0614AF958F0F}" destId="{D9B09E24-DB07-4DF9-9100-74562573FC9C}" srcOrd="0" destOrd="0" presId="urn:microsoft.com/office/officeart/2005/8/layout/chevron2"/>
    <dgm:cxn modelId="{2438585E-74F1-418A-A656-BD5770BF14CE}" srcId="{745ED816-1DF3-4235-BAA9-6120422B7044}" destId="{CFFF20E1-88FF-4389-830F-2B99794E76AA}" srcOrd="9" destOrd="0" parTransId="{98531A31-ED2F-4D9C-A8B9-0E2538AB7EE7}" sibTransId="{30B13854-A9A7-4FD4-B9B7-13802BC74D0F}"/>
    <dgm:cxn modelId="{C2F762D6-5D14-4AE2-BAAC-4F12F30893C7}" srcId="{0713130E-2604-498C-B294-EE6AD83EAF9F}" destId="{6A5F2EAC-D31B-4738-B875-0CBE0B3B7D02}" srcOrd="0" destOrd="0" parTransId="{E979732B-E13E-4138-9620-32821A8058F9}" sibTransId="{B808CA08-5F39-4006-B1EC-4AB4CF5BA7B5}"/>
    <dgm:cxn modelId="{6FA30F66-A357-4DC4-BE4D-267BBF612CEA}" type="presOf" srcId="{D269D33C-FA2D-4FAB-885B-55CDC24C63CD}" destId="{4C01804C-FEBA-45F5-8CE0-AC351DAE620C}" srcOrd="0" destOrd="0" presId="urn:microsoft.com/office/officeart/2005/8/layout/chevron2"/>
    <dgm:cxn modelId="{6CE61A33-BB1C-465E-82E7-AD1D2D6F9DBA}" srcId="{97BC4476-6F75-477B-B084-08362D291FD1}" destId="{80F60B10-7092-4DCE-B598-8BAD8C964A78}" srcOrd="0" destOrd="0" parTransId="{E7C92EA9-3145-4D03-AFCA-9B787E07D53F}" sibTransId="{5BC8E120-B2A4-4708-A1BD-EB7E900E21CF}"/>
    <dgm:cxn modelId="{63B28F24-E784-4458-992D-E47308B70F39}" type="presOf" srcId="{BC8E3E27-298D-4C65-851A-DE7B5F5603FD}" destId="{CA0524D3-3946-448E-9294-4B35DB246A30}" srcOrd="0" destOrd="0" presId="urn:microsoft.com/office/officeart/2005/8/layout/chevron2"/>
    <dgm:cxn modelId="{A9761845-0953-4074-A1F4-D04163F1A7B6}" type="presOf" srcId="{97BC4476-6F75-477B-B084-08362D291FD1}" destId="{7A61F9DA-97E5-48A3-9753-C5606D4F02A0}" srcOrd="0" destOrd="0" presId="urn:microsoft.com/office/officeart/2005/8/layout/chevron2"/>
    <dgm:cxn modelId="{77D18D44-456E-4F29-A7D4-CECF64879287}" srcId="{0A71C6DA-55D1-4616-BA2E-B8CD5ED5998B}" destId="{AB42A0E7-BB42-473F-BFD1-66914359E9E9}" srcOrd="0" destOrd="0" parTransId="{D90B2AD6-51D6-4D0C-BE0E-62AE9C0C311B}" sibTransId="{BF1F9BAC-2BF7-4C05-AE5E-D1FF36F6F0CA}"/>
    <dgm:cxn modelId="{A1928A94-8824-4539-A779-ABBEA55FABA0}" type="presOf" srcId="{CFFF20E1-88FF-4389-830F-2B99794E76AA}" destId="{1486572D-B938-44B1-ADAF-CBF05DAEDFD4}" srcOrd="0" destOrd="0" presId="urn:microsoft.com/office/officeart/2005/8/layout/chevron2"/>
    <dgm:cxn modelId="{84AE4201-08C4-4DCA-9CA5-461DE67657A0}" srcId="{745ED816-1DF3-4235-BAA9-6120422B7044}" destId="{0713130E-2604-498C-B294-EE6AD83EAF9F}" srcOrd="7" destOrd="0" parTransId="{EF219DD0-5A9A-4B7B-86C4-1575EBA3BFEE}" sibTransId="{956EFD7B-9E1E-4918-839D-BD32D3ADF05D}"/>
    <dgm:cxn modelId="{DB3BF346-145F-4840-A198-7AEA9E1AA0BC}" srcId="{D6081E3B-BD04-44A4-A82B-178A146BC21B}" destId="{210FDB4B-A5FA-4BC0-A8E6-9101F666E60F}" srcOrd="1" destOrd="0" parTransId="{780244A6-2ACA-4142-9F15-6ABC785B414F}" sibTransId="{CE20766C-3202-4FB3-B07C-FA07A8BEFB56}"/>
    <dgm:cxn modelId="{FFA8FBD4-8179-4786-8E5A-A868A156E203}" type="presOf" srcId="{0C0CC6E2-DAAE-44BD-9D9C-0C8472CC726C}" destId="{D0B18EE8-E29C-4DD6-94D3-F84FF023814E}" srcOrd="0" destOrd="0" presId="urn:microsoft.com/office/officeart/2005/8/layout/chevron2"/>
    <dgm:cxn modelId="{E0288F2F-B9DA-4A19-9C8A-D7DB73EED435}" srcId="{E44DCAFA-8F4E-4039-A2CA-9A0AFC4ED660}" destId="{359C7112-2E1C-4EBF-8637-0E343C582706}" srcOrd="1" destOrd="0" parTransId="{D2D575AA-E818-42B9-B71D-C3EB5E6B159B}" sibTransId="{395710FB-881F-45ED-91E7-53F2D9E64938}"/>
    <dgm:cxn modelId="{5D219FDF-DCD0-430E-98C3-6C65132C19DF}" type="presOf" srcId="{F011620C-7517-4F4F-BB65-D4C2BC31C48E}" destId="{20CE4FA8-627C-4FC9-AE36-5FA657DE5979}" srcOrd="0" destOrd="0" presId="urn:microsoft.com/office/officeart/2005/8/layout/chevron2"/>
    <dgm:cxn modelId="{C11D5EFD-3CDF-4059-8D21-CEEC356BF31F}" srcId="{745ED816-1DF3-4235-BAA9-6120422B7044}" destId="{12F11422-3C9D-43F6-9255-1D363F37A0FF}" srcOrd="0" destOrd="0" parTransId="{65EDBF29-DCA6-42CE-86B6-FCD867DCADC5}" sibTransId="{B35A2AE8-C04F-46EC-B980-66F1E6755F88}"/>
    <dgm:cxn modelId="{7B0CC39A-2A25-4FB5-A8A2-749E623FE493}" type="presOf" srcId="{745ED816-1DF3-4235-BAA9-6120422B7044}" destId="{41DFA601-18EC-4D90-BA20-5DECDF2E36BE}" srcOrd="0" destOrd="0" presId="urn:microsoft.com/office/officeart/2005/8/layout/chevron2"/>
    <dgm:cxn modelId="{B60E0894-7409-4E35-BE66-1D6E5B3B35DA}" type="presOf" srcId="{DA1DD33F-F84B-4B40-B266-6EA549ED668A}" destId="{8E04D6B9-957C-4FF5-9246-7A9E66C4E400}" srcOrd="0" destOrd="0" presId="urn:microsoft.com/office/officeart/2005/8/layout/chevron2"/>
    <dgm:cxn modelId="{8D4AE429-A6F3-456C-8214-1968136D57C9}" type="presOf" srcId="{6A5F2EAC-D31B-4738-B875-0CBE0B3B7D02}" destId="{0F912F81-B673-4EB9-9C54-A3EF4B41550A}" srcOrd="0" destOrd="0" presId="urn:microsoft.com/office/officeart/2005/8/layout/chevron2"/>
    <dgm:cxn modelId="{3D81BCF6-5F3B-4EBC-ACEF-C55ADAC359C7}" srcId="{745ED816-1DF3-4235-BAA9-6120422B7044}" destId="{3C5AE7B9-AD33-4BFE-BDC7-74B477CAB626}" srcOrd="3" destOrd="0" parTransId="{338F76D2-D3E6-42B6-97E8-13B9C89B5CAD}" sibTransId="{2FCC443C-8819-49C8-91DF-67CF01FDE8A7}"/>
    <dgm:cxn modelId="{7B3B6F85-6EC3-433D-A1DC-E649C1D3AC8E}" srcId="{745ED816-1DF3-4235-BAA9-6120422B7044}" destId="{74D21755-A6A8-45AE-8BBC-07DECBE2B768}" srcOrd="1" destOrd="0" parTransId="{FD3E2095-0016-45B0-AFA0-313D9343F613}" sibTransId="{12753BFE-9406-4126-B024-74C1A21FFB3F}"/>
    <dgm:cxn modelId="{EC003C96-3479-4128-9ED0-FB57D7B96453}" type="presOf" srcId="{E89208B4-3B55-4501-A121-7EF2E6389EDA}" destId="{0B706471-661F-4687-A583-494B11A8FDEB}" srcOrd="0" destOrd="0" presId="urn:microsoft.com/office/officeart/2005/8/layout/chevron2"/>
    <dgm:cxn modelId="{4C638FE9-D4D9-4B6D-A916-6608FDBBB4A6}" type="presOf" srcId="{D6081E3B-BD04-44A4-A82B-178A146BC21B}" destId="{03A44DB4-044B-4296-A7AE-E81B3F7944A6}" srcOrd="0" destOrd="0" presId="urn:microsoft.com/office/officeart/2005/8/layout/chevron2"/>
    <dgm:cxn modelId="{F5BE1DEE-C43C-465B-9222-8A97A266A445}" srcId="{D269D33C-FA2D-4FAB-885B-55CDC24C63CD}" destId="{F011620C-7517-4F4F-BB65-D4C2BC31C48E}" srcOrd="0" destOrd="0" parTransId="{6528F015-8317-43F7-9DA3-E33066E6D2D6}" sibTransId="{B0E0EB3E-0C64-45E2-A479-2084492477BC}"/>
    <dgm:cxn modelId="{614AB978-4104-48E2-9DA8-533B503DFE2C}" type="presParOf" srcId="{41DFA601-18EC-4D90-BA20-5DECDF2E36BE}" destId="{0696F9F8-F7B1-45E1-A662-40325C6A6492}" srcOrd="0" destOrd="0" presId="urn:microsoft.com/office/officeart/2005/8/layout/chevron2"/>
    <dgm:cxn modelId="{A9D3E593-63C8-4F7F-9EA9-B6AC60BD183D}" type="presParOf" srcId="{0696F9F8-F7B1-45E1-A662-40325C6A6492}" destId="{9E4469D3-5810-430C-9150-A8623041987D}" srcOrd="0" destOrd="0" presId="urn:microsoft.com/office/officeart/2005/8/layout/chevron2"/>
    <dgm:cxn modelId="{86A24573-F7C3-4927-A595-A2D0E226B659}" type="presParOf" srcId="{0696F9F8-F7B1-45E1-A662-40325C6A6492}" destId="{6C9B0EEE-FBD6-4563-BB68-4BE669A6AC2E}" srcOrd="1" destOrd="0" presId="urn:microsoft.com/office/officeart/2005/8/layout/chevron2"/>
    <dgm:cxn modelId="{EEC735EC-A5DB-41D7-B84A-FE55DCCCF770}" type="presParOf" srcId="{41DFA601-18EC-4D90-BA20-5DECDF2E36BE}" destId="{C9BDF640-D328-45D4-849C-F0617E1C8F3C}" srcOrd="1" destOrd="0" presId="urn:microsoft.com/office/officeart/2005/8/layout/chevron2"/>
    <dgm:cxn modelId="{5353ACE5-216D-42E0-A515-16C11D31BED1}" type="presParOf" srcId="{41DFA601-18EC-4D90-BA20-5DECDF2E36BE}" destId="{06C0F701-DC2A-4DD1-A37F-808F6628018B}" srcOrd="2" destOrd="0" presId="urn:microsoft.com/office/officeart/2005/8/layout/chevron2"/>
    <dgm:cxn modelId="{8AF8CBC4-AF8E-43FF-B115-03742A0068CF}" type="presParOf" srcId="{06C0F701-DC2A-4DD1-A37F-808F6628018B}" destId="{562EA293-DF07-4629-98D5-2B694A7D71AB}" srcOrd="0" destOrd="0" presId="urn:microsoft.com/office/officeart/2005/8/layout/chevron2"/>
    <dgm:cxn modelId="{3754CA13-A9B2-4B89-83C8-202A2D4739E8}" type="presParOf" srcId="{06C0F701-DC2A-4DD1-A37F-808F6628018B}" destId="{23DF97E0-A2DF-4CE4-849A-3C2FD9EDDA15}" srcOrd="1" destOrd="0" presId="urn:microsoft.com/office/officeart/2005/8/layout/chevron2"/>
    <dgm:cxn modelId="{4819A933-5BA4-4DCE-AD10-0464AFCE6DF1}" type="presParOf" srcId="{41DFA601-18EC-4D90-BA20-5DECDF2E36BE}" destId="{DD75D69E-AFFD-4251-A8A1-855C831F1C68}" srcOrd="3" destOrd="0" presId="urn:microsoft.com/office/officeart/2005/8/layout/chevron2"/>
    <dgm:cxn modelId="{3A4A13EE-E94E-424A-BD9D-0B48033047FC}" type="presParOf" srcId="{41DFA601-18EC-4D90-BA20-5DECDF2E36BE}" destId="{A9D6E109-A6C2-49C3-8C6B-4F7E0E7BBB71}" srcOrd="4" destOrd="0" presId="urn:microsoft.com/office/officeart/2005/8/layout/chevron2"/>
    <dgm:cxn modelId="{69DD97D7-6DD0-445F-A808-29757AC33A58}" type="presParOf" srcId="{A9D6E109-A6C2-49C3-8C6B-4F7E0E7BBB71}" destId="{9F74C5AE-DAF2-49FD-9FAE-E0F9D690F5CA}" srcOrd="0" destOrd="0" presId="urn:microsoft.com/office/officeart/2005/8/layout/chevron2"/>
    <dgm:cxn modelId="{3F5575B6-4747-40F4-B577-7323376C6299}" type="presParOf" srcId="{A9D6E109-A6C2-49C3-8C6B-4F7E0E7BBB71}" destId="{93C52B0E-EC5F-428D-A024-B2041B770B39}" srcOrd="1" destOrd="0" presId="urn:microsoft.com/office/officeart/2005/8/layout/chevron2"/>
    <dgm:cxn modelId="{00542F4C-1316-4A85-A267-0E9C84AD293E}" type="presParOf" srcId="{41DFA601-18EC-4D90-BA20-5DECDF2E36BE}" destId="{612E1942-0D15-4166-9145-7F4BD3F86F34}" srcOrd="5" destOrd="0" presId="urn:microsoft.com/office/officeart/2005/8/layout/chevron2"/>
    <dgm:cxn modelId="{2450D7BB-A331-43B2-8BF2-B08938D64081}" type="presParOf" srcId="{41DFA601-18EC-4D90-BA20-5DECDF2E36BE}" destId="{28AD237E-B614-4AD5-BE8A-8DE9B45C64BE}" srcOrd="6" destOrd="0" presId="urn:microsoft.com/office/officeart/2005/8/layout/chevron2"/>
    <dgm:cxn modelId="{1B470B99-4289-4FDB-AF43-CBA76707F181}" type="presParOf" srcId="{28AD237E-B614-4AD5-BE8A-8DE9B45C64BE}" destId="{21BF8BDE-6294-4123-8AF9-F0E68ECA386A}" srcOrd="0" destOrd="0" presId="urn:microsoft.com/office/officeart/2005/8/layout/chevron2"/>
    <dgm:cxn modelId="{296C39FB-E7A0-4C2D-AFEB-5B955C91F943}" type="presParOf" srcId="{28AD237E-B614-4AD5-BE8A-8DE9B45C64BE}" destId="{D0B18EE8-E29C-4DD6-94D3-F84FF023814E}" srcOrd="1" destOrd="0" presId="urn:microsoft.com/office/officeart/2005/8/layout/chevron2"/>
    <dgm:cxn modelId="{A4110EFF-D4CC-442E-8651-96176F1887C6}" type="presParOf" srcId="{41DFA601-18EC-4D90-BA20-5DECDF2E36BE}" destId="{9770F752-B02E-4B07-8564-21B14DDD9FD8}" srcOrd="7" destOrd="0" presId="urn:microsoft.com/office/officeart/2005/8/layout/chevron2"/>
    <dgm:cxn modelId="{84675AD8-80AF-489F-91C7-5DB5CDE75EB3}" type="presParOf" srcId="{41DFA601-18EC-4D90-BA20-5DECDF2E36BE}" destId="{43E730A2-E784-4795-AF00-9837966790CB}" srcOrd="8" destOrd="0" presId="urn:microsoft.com/office/officeart/2005/8/layout/chevron2"/>
    <dgm:cxn modelId="{098BEF47-93C8-4934-A531-F490CA80CD89}" type="presParOf" srcId="{43E730A2-E784-4795-AF00-9837966790CB}" destId="{4C01804C-FEBA-45F5-8CE0-AC351DAE620C}" srcOrd="0" destOrd="0" presId="urn:microsoft.com/office/officeart/2005/8/layout/chevron2"/>
    <dgm:cxn modelId="{94FA6136-5C92-4E72-B86B-66B66090538D}" type="presParOf" srcId="{43E730A2-E784-4795-AF00-9837966790CB}" destId="{20CE4FA8-627C-4FC9-AE36-5FA657DE5979}" srcOrd="1" destOrd="0" presId="urn:microsoft.com/office/officeart/2005/8/layout/chevron2"/>
    <dgm:cxn modelId="{EC8915D1-3B43-4229-AA0C-B02EC64EC5E2}" type="presParOf" srcId="{41DFA601-18EC-4D90-BA20-5DECDF2E36BE}" destId="{928ED807-2ADC-4970-A858-CADF7B173B00}" srcOrd="9" destOrd="0" presId="urn:microsoft.com/office/officeart/2005/8/layout/chevron2"/>
    <dgm:cxn modelId="{34F5C568-286B-4AD6-B5ED-6B008EB9A153}" type="presParOf" srcId="{41DFA601-18EC-4D90-BA20-5DECDF2E36BE}" destId="{6CF6ADA3-5F6C-4F7A-91EA-3E0E78FE9B42}" srcOrd="10" destOrd="0" presId="urn:microsoft.com/office/officeart/2005/8/layout/chevron2"/>
    <dgm:cxn modelId="{969E86A1-C156-4A0C-9015-13D86B014182}" type="presParOf" srcId="{6CF6ADA3-5F6C-4F7A-91EA-3E0E78FE9B42}" destId="{0B706471-661F-4687-A583-494B11A8FDEB}" srcOrd="0" destOrd="0" presId="urn:microsoft.com/office/officeart/2005/8/layout/chevron2"/>
    <dgm:cxn modelId="{EA89B929-3007-4B62-840C-03FFEF2E5AE5}" type="presParOf" srcId="{6CF6ADA3-5F6C-4F7A-91EA-3E0E78FE9B42}" destId="{CA0524D3-3946-448E-9294-4B35DB246A30}" srcOrd="1" destOrd="0" presId="urn:microsoft.com/office/officeart/2005/8/layout/chevron2"/>
    <dgm:cxn modelId="{D3ABC8DD-4C15-4A48-BF1C-6A370FB5463D}" type="presParOf" srcId="{41DFA601-18EC-4D90-BA20-5DECDF2E36BE}" destId="{D268A4F9-6596-4FC1-AD15-F0CD62FDB636}" srcOrd="11" destOrd="0" presId="urn:microsoft.com/office/officeart/2005/8/layout/chevron2"/>
    <dgm:cxn modelId="{9446F8D7-90E2-434D-BFAE-78755CDFA9E7}" type="presParOf" srcId="{41DFA601-18EC-4D90-BA20-5DECDF2E36BE}" destId="{CA2244E2-5FFD-4852-AB76-81116AFC4804}" srcOrd="12" destOrd="0" presId="urn:microsoft.com/office/officeart/2005/8/layout/chevron2"/>
    <dgm:cxn modelId="{E6CE8F20-2D96-4622-B17F-DED60BC101D0}" type="presParOf" srcId="{CA2244E2-5FFD-4852-AB76-81116AFC4804}" destId="{C7D8F103-1DBB-42AD-9B88-D7AD8CF23ECC}" srcOrd="0" destOrd="0" presId="urn:microsoft.com/office/officeart/2005/8/layout/chevron2"/>
    <dgm:cxn modelId="{5363762A-2CB7-40A6-956B-42331E42379E}" type="presParOf" srcId="{CA2244E2-5FFD-4852-AB76-81116AFC4804}" destId="{125611EA-86B1-44C0-8BD1-C7B1C05D746D}" srcOrd="1" destOrd="0" presId="urn:microsoft.com/office/officeart/2005/8/layout/chevron2"/>
    <dgm:cxn modelId="{23840889-AE9B-4883-95E6-6C309C34236F}" type="presParOf" srcId="{41DFA601-18EC-4D90-BA20-5DECDF2E36BE}" destId="{52A3A25E-DC17-4C26-A8F1-21496D5637FE}" srcOrd="13" destOrd="0" presId="urn:microsoft.com/office/officeart/2005/8/layout/chevron2"/>
    <dgm:cxn modelId="{6C62B4E3-71D2-46F0-B200-7069E6BAEAC3}" type="presParOf" srcId="{41DFA601-18EC-4D90-BA20-5DECDF2E36BE}" destId="{EDE30BB7-EAB9-41BF-B133-6FD2EB193EB6}" srcOrd="14" destOrd="0" presId="urn:microsoft.com/office/officeart/2005/8/layout/chevron2"/>
    <dgm:cxn modelId="{46427152-F10C-4437-BCEE-5F3E0300B4FC}" type="presParOf" srcId="{EDE30BB7-EAB9-41BF-B133-6FD2EB193EB6}" destId="{639E7B12-708E-490B-A0A9-A9FD5BA2BEB6}" srcOrd="0" destOrd="0" presId="urn:microsoft.com/office/officeart/2005/8/layout/chevron2"/>
    <dgm:cxn modelId="{0E1543C7-E217-46DB-ABA7-AD4027F4E165}" type="presParOf" srcId="{EDE30BB7-EAB9-41BF-B133-6FD2EB193EB6}" destId="{0F912F81-B673-4EB9-9C54-A3EF4B41550A}" srcOrd="1" destOrd="0" presId="urn:microsoft.com/office/officeart/2005/8/layout/chevron2"/>
    <dgm:cxn modelId="{0345E7C4-6D6D-4302-819F-543AA9421A42}" type="presParOf" srcId="{41DFA601-18EC-4D90-BA20-5DECDF2E36BE}" destId="{437759DA-3E5B-4A12-A92A-C58A67785707}" srcOrd="15" destOrd="0" presId="urn:microsoft.com/office/officeart/2005/8/layout/chevron2"/>
    <dgm:cxn modelId="{5F9CC15E-3BC9-4B41-A2F1-F3FD2B322E2D}" type="presParOf" srcId="{41DFA601-18EC-4D90-BA20-5DECDF2E36BE}" destId="{9B471BB6-FF23-40C4-9429-81A41EE9CA33}" srcOrd="16" destOrd="0" presId="urn:microsoft.com/office/officeart/2005/8/layout/chevron2"/>
    <dgm:cxn modelId="{7FBA66A3-755C-4739-8E86-AB66CB1C1766}" type="presParOf" srcId="{9B471BB6-FF23-40C4-9429-81A41EE9CA33}" destId="{03A44DB4-044B-4296-A7AE-E81B3F7944A6}" srcOrd="0" destOrd="0" presId="urn:microsoft.com/office/officeart/2005/8/layout/chevron2"/>
    <dgm:cxn modelId="{E266EEAA-2089-44D6-8B9B-B1D320EAE567}" type="presParOf" srcId="{9B471BB6-FF23-40C4-9429-81A41EE9CA33}" destId="{8E04D6B9-957C-4FF5-9246-7A9E66C4E400}" srcOrd="1" destOrd="0" presId="urn:microsoft.com/office/officeart/2005/8/layout/chevron2"/>
    <dgm:cxn modelId="{670D9FF1-2A18-4DA2-8AB5-353C05680F1E}" type="presParOf" srcId="{41DFA601-18EC-4D90-BA20-5DECDF2E36BE}" destId="{5F175FD1-B04A-4D21-A9FE-5AAAED9F949F}" srcOrd="17" destOrd="0" presId="urn:microsoft.com/office/officeart/2005/8/layout/chevron2"/>
    <dgm:cxn modelId="{AB0A243F-9F0A-43D3-8FDD-EBD423EC2E94}" type="presParOf" srcId="{41DFA601-18EC-4D90-BA20-5DECDF2E36BE}" destId="{3185D9FD-FA07-4D03-AAE8-A9E14527AD6E}" srcOrd="18" destOrd="0" presId="urn:microsoft.com/office/officeart/2005/8/layout/chevron2"/>
    <dgm:cxn modelId="{47E6289A-1363-42C1-9A3D-D009398F4DD4}" type="presParOf" srcId="{3185D9FD-FA07-4D03-AAE8-A9E14527AD6E}" destId="{1486572D-B938-44B1-ADAF-CBF05DAEDFD4}" srcOrd="0" destOrd="0" presId="urn:microsoft.com/office/officeart/2005/8/layout/chevron2"/>
    <dgm:cxn modelId="{EE8A147F-CF3E-4A91-B580-80096021A2AD}" type="presParOf" srcId="{3185D9FD-FA07-4D03-AAE8-A9E14527AD6E}" destId="{D9B09E24-DB07-4DF9-9100-74562573FC9C}" srcOrd="1" destOrd="0" presId="urn:microsoft.com/office/officeart/2005/8/layout/chevron2"/>
    <dgm:cxn modelId="{D134E75D-E5D4-44C7-87BE-4B900F621E05}" type="presParOf" srcId="{41DFA601-18EC-4D90-BA20-5DECDF2E36BE}" destId="{4E681C43-B380-49A2-883F-1EDE1DA9FC8D}" srcOrd="19" destOrd="0" presId="urn:microsoft.com/office/officeart/2005/8/layout/chevron2"/>
    <dgm:cxn modelId="{3A5039BB-15EE-459B-AE41-E2DE4BA36244}" type="presParOf" srcId="{41DFA601-18EC-4D90-BA20-5DECDF2E36BE}" destId="{898A0A43-1F3E-4196-8D60-6E5C8AF8BA8D}" srcOrd="20" destOrd="0" presId="urn:microsoft.com/office/officeart/2005/8/layout/chevron2"/>
    <dgm:cxn modelId="{CC113D0B-7F64-4A41-8BBA-0DBEDA15286F}" type="presParOf" srcId="{898A0A43-1F3E-4196-8D60-6E5C8AF8BA8D}" destId="{7A61F9DA-97E5-48A3-9753-C5606D4F02A0}" srcOrd="0" destOrd="0" presId="urn:microsoft.com/office/officeart/2005/8/layout/chevron2"/>
    <dgm:cxn modelId="{6F8BE202-F001-422A-9BA6-D6AC914B7FAC}" type="presParOf" srcId="{898A0A43-1F3E-4196-8D60-6E5C8AF8BA8D}" destId="{FACBF1C8-1ED3-4175-AFB0-595C73B3198A}" srcOrd="1" destOrd="0" presId="urn:microsoft.com/office/officeart/2005/8/layout/chevron2"/>
    <dgm:cxn modelId="{D16D22FD-904C-4A3C-865F-5A661D7A914C}" type="presParOf" srcId="{41DFA601-18EC-4D90-BA20-5DECDF2E36BE}" destId="{1B032F20-BDFF-495B-9773-36E151CA8C7A}" srcOrd="21" destOrd="0" presId="urn:microsoft.com/office/officeart/2005/8/layout/chevron2"/>
    <dgm:cxn modelId="{D39DEEEC-A877-4147-B76A-430CAC3B67D6}" type="presParOf" srcId="{41DFA601-18EC-4D90-BA20-5DECDF2E36BE}" destId="{63B6C427-0A67-4EB0-A6E8-FDFAC8B29ACC}" srcOrd="22" destOrd="0" presId="urn:microsoft.com/office/officeart/2005/8/layout/chevron2"/>
    <dgm:cxn modelId="{C575ADD8-2BCA-4A2D-8FE4-09B91CA4FAD5}" type="presParOf" srcId="{63B6C427-0A67-4EB0-A6E8-FDFAC8B29ACC}" destId="{62383FDC-6341-4C82-A0E4-61FF32A1C645}" srcOrd="0" destOrd="0" presId="urn:microsoft.com/office/officeart/2005/8/layout/chevron2"/>
    <dgm:cxn modelId="{1C5820A8-45A6-4D32-9F6C-1234E8E82249}" type="presParOf" srcId="{63B6C427-0A67-4EB0-A6E8-FDFAC8B29ACC}" destId="{583D28BF-C68E-4F35-9509-37F256A89DE6}"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D0A048-1B26-4C0C-A1E0-D314D4376B8A}" type="doc">
      <dgm:prSet loTypeId="urn:microsoft.com/office/officeart/2005/8/layout/bList2" loCatId="list" qsTypeId="urn:microsoft.com/office/officeart/2005/8/quickstyle/simple1" qsCatId="simple" csTypeId="urn:microsoft.com/office/officeart/2005/8/colors/accent3_1" csCatId="accent3" phldr="1"/>
      <dgm:spPr/>
      <dgm:t>
        <a:bodyPr/>
        <a:lstStyle/>
        <a:p>
          <a:endParaRPr lang="en-US"/>
        </a:p>
      </dgm:t>
    </dgm:pt>
    <dgm:pt modelId="{4BC31701-D437-4703-B550-FABB5365AA2A}">
      <dgm:prSet phldrT="[Text]" custT="1"/>
      <dgm:spPr/>
      <dgm:t>
        <a:bodyPr/>
        <a:lstStyle/>
        <a:p>
          <a:r>
            <a:rPr lang="en-US" sz="900" b="1"/>
            <a:t>Ownership</a:t>
          </a:r>
        </a:p>
      </dgm:t>
    </dgm:pt>
    <dgm:pt modelId="{1ACC6DDA-1756-4CFD-AADE-8446A720EBEC}" type="parTrans" cxnId="{F6DD4FE3-3B2B-4901-9889-FAD52313C1FF}">
      <dgm:prSet/>
      <dgm:spPr/>
      <dgm:t>
        <a:bodyPr/>
        <a:lstStyle/>
        <a:p>
          <a:endParaRPr lang="en-US" sz="2000"/>
        </a:p>
      </dgm:t>
    </dgm:pt>
    <dgm:pt modelId="{23CBE571-CF76-4254-9371-E0CDC3CAD761}" type="sibTrans" cxnId="{F6DD4FE3-3B2B-4901-9889-FAD52313C1FF}">
      <dgm:prSet/>
      <dgm:spPr/>
      <dgm:t>
        <a:bodyPr/>
        <a:lstStyle/>
        <a:p>
          <a:endParaRPr lang="en-US" sz="2000"/>
        </a:p>
      </dgm:t>
    </dgm:pt>
    <dgm:pt modelId="{8C92F194-9E2F-4DCE-B836-27C71387DD44}">
      <dgm:prSet phldrT="[Text]" custT="1"/>
      <dgm:spPr/>
      <dgm:t>
        <a:bodyPr/>
        <a:lstStyle/>
        <a:p>
          <a:r>
            <a:rPr lang="en-US" sz="800"/>
            <a:t>increase black ownership on a sustainable and viable basis </a:t>
          </a:r>
        </a:p>
      </dgm:t>
    </dgm:pt>
    <dgm:pt modelId="{FB653469-E51D-4448-A50C-92E9D8C5F546}" type="parTrans" cxnId="{3C74F157-84A5-4A72-90F3-A1B06F9EE142}">
      <dgm:prSet/>
      <dgm:spPr/>
      <dgm:t>
        <a:bodyPr/>
        <a:lstStyle/>
        <a:p>
          <a:endParaRPr lang="en-US" sz="2000"/>
        </a:p>
      </dgm:t>
    </dgm:pt>
    <dgm:pt modelId="{76F12291-A3C4-40BF-A8C4-DF76E19448D1}" type="sibTrans" cxnId="{3C74F157-84A5-4A72-90F3-A1B06F9EE142}">
      <dgm:prSet/>
      <dgm:spPr/>
      <dgm:t>
        <a:bodyPr/>
        <a:lstStyle/>
        <a:p>
          <a:endParaRPr lang="en-US" sz="2000"/>
        </a:p>
      </dgm:t>
    </dgm:pt>
    <dgm:pt modelId="{073D02E8-B407-44DB-9635-8A035CBAA0DD}">
      <dgm:prSet phldrT="[Text]" custT="1"/>
      <dgm:spPr/>
      <dgm:t>
        <a:bodyPr/>
        <a:lstStyle/>
        <a:p>
          <a:r>
            <a:rPr lang="en-US" sz="900" b="1"/>
            <a:t>Management Control</a:t>
          </a:r>
        </a:p>
      </dgm:t>
    </dgm:pt>
    <dgm:pt modelId="{D864281F-5753-4B9E-BB71-B8A97EA607AD}" type="parTrans" cxnId="{9D79AB3B-8F9F-41BA-ABEC-F2A200E89973}">
      <dgm:prSet/>
      <dgm:spPr/>
      <dgm:t>
        <a:bodyPr/>
        <a:lstStyle/>
        <a:p>
          <a:endParaRPr lang="en-US" sz="2000"/>
        </a:p>
      </dgm:t>
    </dgm:pt>
    <dgm:pt modelId="{FE880DAB-666F-4351-AB7B-E7233D98F919}" type="sibTrans" cxnId="{9D79AB3B-8F9F-41BA-ABEC-F2A200E89973}">
      <dgm:prSet/>
      <dgm:spPr/>
      <dgm:t>
        <a:bodyPr/>
        <a:lstStyle/>
        <a:p>
          <a:endParaRPr lang="en-US" sz="2000"/>
        </a:p>
      </dgm:t>
    </dgm:pt>
    <dgm:pt modelId="{1F732800-FD81-453E-89B6-B99AEB88A145}">
      <dgm:prSet phldrT="[Text]" custT="1"/>
      <dgm:spPr/>
      <dgm:t>
        <a:bodyPr/>
        <a:lstStyle/>
        <a:p>
          <a:r>
            <a:rPr lang="en-US" sz="900" b="1"/>
            <a:t>Skills Development </a:t>
          </a:r>
        </a:p>
      </dgm:t>
    </dgm:pt>
    <dgm:pt modelId="{07BD5EA3-8A5C-4DE2-AEB4-B491DA653609}" type="parTrans" cxnId="{9F3405E9-5DB4-46AB-9526-A2B205612AB5}">
      <dgm:prSet/>
      <dgm:spPr/>
      <dgm:t>
        <a:bodyPr/>
        <a:lstStyle/>
        <a:p>
          <a:endParaRPr lang="en-US" sz="2000"/>
        </a:p>
      </dgm:t>
    </dgm:pt>
    <dgm:pt modelId="{52E659E5-5751-426A-B01A-B3CB4FC809D8}" type="sibTrans" cxnId="{9F3405E9-5DB4-46AB-9526-A2B205612AB5}">
      <dgm:prSet/>
      <dgm:spPr/>
      <dgm:t>
        <a:bodyPr/>
        <a:lstStyle/>
        <a:p>
          <a:endParaRPr lang="en-US" sz="2000"/>
        </a:p>
      </dgm:t>
    </dgm:pt>
    <dgm:pt modelId="{C5334D46-796D-4B32-ADF9-279184CEF849}">
      <dgm:prSet phldrT="[Text]" custT="1"/>
      <dgm:spPr/>
      <dgm:t>
        <a:bodyPr/>
        <a:lstStyle/>
        <a:p>
          <a:r>
            <a:rPr lang="en-US" sz="900" b="1"/>
            <a:t>Enterprise Development</a:t>
          </a:r>
        </a:p>
      </dgm:t>
    </dgm:pt>
    <dgm:pt modelId="{6FBF03C1-A98B-4611-84EA-A2A9F030852D}" type="parTrans" cxnId="{C484CE4F-6605-489D-9EB7-FDB278DC7442}">
      <dgm:prSet/>
      <dgm:spPr/>
      <dgm:t>
        <a:bodyPr/>
        <a:lstStyle/>
        <a:p>
          <a:endParaRPr lang="en-US" sz="2000"/>
        </a:p>
      </dgm:t>
    </dgm:pt>
    <dgm:pt modelId="{4184787A-45EB-413A-94C3-E5B6DBC4B0EC}" type="sibTrans" cxnId="{C484CE4F-6605-489D-9EB7-FDB278DC7442}">
      <dgm:prSet/>
      <dgm:spPr/>
      <dgm:t>
        <a:bodyPr/>
        <a:lstStyle/>
        <a:p>
          <a:endParaRPr lang="en-US" sz="2000"/>
        </a:p>
      </dgm:t>
    </dgm:pt>
    <dgm:pt modelId="{26756102-2070-4485-B2B7-52BB4991BA60}">
      <dgm:prSet phldrT="[Text]" custT="1"/>
      <dgm:spPr/>
      <dgm:t>
        <a:bodyPr/>
        <a:lstStyle/>
        <a:p>
          <a:r>
            <a:rPr lang="en-US" sz="800"/>
            <a:t>measures </a:t>
          </a:r>
        </a:p>
      </dgm:t>
    </dgm:pt>
    <dgm:pt modelId="{54F98A10-A330-486C-9A65-85EE0E4803DF}" type="parTrans" cxnId="{0C3CC694-D8E2-455E-A1F0-A591BCB0E944}">
      <dgm:prSet/>
      <dgm:spPr/>
      <dgm:t>
        <a:bodyPr/>
        <a:lstStyle/>
        <a:p>
          <a:endParaRPr lang="en-US" sz="2000"/>
        </a:p>
      </dgm:t>
    </dgm:pt>
    <dgm:pt modelId="{0F5F710B-9F2C-497A-BF17-6553EB502DD9}" type="sibTrans" cxnId="{0C3CC694-D8E2-455E-A1F0-A591BCB0E944}">
      <dgm:prSet/>
      <dgm:spPr/>
      <dgm:t>
        <a:bodyPr/>
        <a:lstStyle/>
        <a:p>
          <a:endParaRPr lang="en-US" sz="2000"/>
        </a:p>
      </dgm:t>
    </dgm:pt>
    <dgm:pt modelId="{B69F2AA4-2C83-4A81-BB51-8CEC8D79249A}">
      <dgm:prSet phldrT="[Text]" custT="1"/>
      <dgm:spPr/>
      <dgm:t>
        <a:bodyPr/>
        <a:lstStyle/>
        <a:p>
          <a:r>
            <a:rPr lang="en-US" sz="800"/>
            <a:t>Voting Rights (25%+1 vote)</a:t>
          </a:r>
        </a:p>
      </dgm:t>
    </dgm:pt>
    <dgm:pt modelId="{A7AF02B8-15F4-4FBF-A37C-4B002CD1837A}" type="parTrans" cxnId="{0130E95A-BB5C-483E-913C-4BAD1284558A}">
      <dgm:prSet/>
      <dgm:spPr/>
      <dgm:t>
        <a:bodyPr/>
        <a:lstStyle/>
        <a:p>
          <a:endParaRPr lang="en-US" sz="2000"/>
        </a:p>
      </dgm:t>
    </dgm:pt>
    <dgm:pt modelId="{B232B9D7-71F9-44A9-A7DC-A338535A2C83}" type="sibTrans" cxnId="{0130E95A-BB5C-483E-913C-4BAD1284558A}">
      <dgm:prSet/>
      <dgm:spPr/>
      <dgm:t>
        <a:bodyPr/>
        <a:lstStyle/>
        <a:p>
          <a:endParaRPr lang="en-US" sz="2000"/>
        </a:p>
      </dgm:t>
    </dgm:pt>
    <dgm:pt modelId="{BDAA873C-06C4-4292-AB75-3F4BE2711FA5}">
      <dgm:prSet phldrT="[Text]" custT="1"/>
      <dgm:spPr/>
      <dgm:t>
        <a:bodyPr/>
        <a:lstStyle/>
        <a:p>
          <a:r>
            <a:rPr lang="en-US" sz="800"/>
            <a:t>Economic Interest (25%)</a:t>
          </a:r>
        </a:p>
      </dgm:t>
    </dgm:pt>
    <dgm:pt modelId="{F8E972CC-7B7A-4429-8AEF-2977CBC55A77}" type="parTrans" cxnId="{14708423-DE09-451B-B5F7-B26CBF392799}">
      <dgm:prSet/>
      <dgm:spPr/>
      <dgm:t>
        <a:bodyPr/>
        <a:lstStyle/>
        <a:p>
          <a:endParaRPr lang="en-US" sz="2000"/>
        </a:p>
      </dgm:t>
    </dgm:pt>
    <dgm:pt modelId="{C53D093B-5989-4D00-82B9-70E6B8F53793}" type="sibTrans" cxnId="{14708423-DE09-451B-B5F7-B26CBF392799}">
      <dgm:prSet/>
      <dgm:spPr/>
      <dgm:t>
        <a:bodyPr/>
        <a:lstStyle/>
        <a:p>
          <a:endParaRPr lang="en-US" sz="2000"/>
        </a:p>
      </dgm:t>
    </dgm:pt>
    <dgm:pt modelId="{069C29C7-553F-4580-BA8C-73346F8C521D}">
      <dgm:prSet phldrT="[Text]" custT="1"/>
      <dgm:spPr/>
      <dgm:t>
        <a:bodyPr/>
        <a:lstStyle/>
        <a:p>
          <a:r>
            <a:rPr lang="en-US" sz="800"/>
            <a:t>Net Value (realisation) </a:t>
          </a:r>
        </a:p>
      </dgm:t>
    </dgm:pt>
    <dgm:pt modelId="{526B01A3-074D-4BC0-AFEB-6980AE4A2A2B}" type="parTrans" cxnId="{0228DB37-B516-40D6-BAE5-1382388FEF9A}">
      <dgm:prSet/>
      <dgm:spPr/>
      <dgm:t>
        <a:bodyPr/>
        <a:lstStyle/>
        <a:p>
          <a:endParaRPr lang="en-US" sz="2000"/>
        </a:p>
      </dgm:t>
    </dgm:pt>
    <dgm:pt modelId="{28ED08CF-275D-4235-8459-EC61079FDF99}" type="sibTrans" cxnId="{0228DB37-B516-40D6-BAE5-1382388FEF9A}">
      <dgm:prSet/>
      <dgm:spPr/>
      <dgm:t>
        <a:bodyPr/>
        <a:lstStyle/>
        <a:p>
          <a:endParaRPr lang="en-US" sz="2000"/>
        </a:p>
      </dgm:t>
    </dgm:pt>
    <dgm:pt modelId="{312CC63E-4081-4E4F-8E9A-E73A74863E99}">
      <dgm:prSet phldrT="[Text]" custT="1"/>
      <dgm:spPr/>
      <dgm:t>
        <a:bodyPr/>
        <a:lstStyle/>
        <a:p>
          <a:r>
            <a:rPr lang="en-US" sz="800"/>
            <a:t>Transformtion of board and exco</a:t>
          </a:r>
        </a:p>
      </dgm:t>
    </dgm:pt>
    <dgm:pt modelId="{C7AB8950-EEFD-4EE3-913C-86E89AC7AD0C}" type="parTrans" cxnId="{C50C9F74-807A-4D57-8781-DCE6381D5425}">
      <dgm:prSet/>
      <dgm:spPr/>
      <dgm:t>
        <a:bodyPr/>
        <a:lstStyle/>
        <a:p>
          <a:endParaRPr lang="en-US" sz="2000"/>
        </a:p>
      </dgm:t>
    </dgm:pt>
    <dgm:pt modelId="{930E3201-D396-456C-9679-33CB76530E8D}" type="sibTrans" cxnId="{C50C9F74-807A-4D57-8781-DCE6381D5425}">
      <dgm:prSet/>
      <dgm:spPr/>
      <dgm:t>
        <a:bodyPr/>
        <a:lstStyle/>
        <a:p>
          <a:endParaRPr lang="en-US" sz="2000"/>
        </a:p>
      </dgm:t>
    </dgm:pt>
    <dgm:pt modelId="{03D0ED98-23CC-4164-8A42-7C7AB0FE5200}">
      <dgm:prSet phldrT="[Text]" custT="1"/>
      <dgm:spPr/>
      <dgm:t>
        <a:bodyPr/>
        <a:lstStyle/>
        <a:p>
          <a:r>
            <a:rPr lang="en-US" sz="800"/>
            <a:t>Employment opportunities to black people in management roles </a:t>
          </a:r>
        </a:p>
      </dgm:t>
    </dgm:pt>
    <dgm:pt modelId="{AF5CF8F3-4D2F-4FAD-BDE6-6BF0F6A0BBBD}" type="parTrans" cxnId="{C7613C94-1D4C-4068-9744-62C221772F2E}">
      <dgm:prSet/>
      <dgm:spPr/>
      <dgm:t>
        <a:bodyPr/>
        <a:lstStyle/>
        <a:p>
          <a:endParaRPr lang="en-US" sz="2000"/>
        </a:p>
      </dgm:t>
    </dgm:pt>
    <dgm:pt modelId="{1CFAB2D4-BC10-4145-86D2-A12517786819}" type="sibTrans" cxnId="{C7613C94-1D4C-4068-9744-62C221772F2E}">
      <dgm:prSet/>
      <dgm:spPr/>
      <dgm:t>
        <a:bodyPr/>
        <a:lstStyle/>
        <a:p>
          <a:endParaRPr lang="en-US" sz="2000"/>
        </a:p>
      </dgm:t>
    </dgm:pt>
    <dgm:pt modelId="{7D411F99-3150-4F64-AB4F-030757C8E3EB}">
      <dgm:prSet phldrT="[Text]" custT="1"/>
      <dgm:spPr/>
      <dgm:t>
        <a:bodyPr/>
        <a:lstStyle/>
        <a:p>
          <a:r>
            <a:rPr lang="en-US" sz="800"/>
            <a:t>Implementation of strategic talent management initiatives</a:t>
          </a:r>
        </a:p>
      </dgm:t>
    </dgm:pt>
    <dgm:pt modelId="{6A8E1DD5-6430-4A52-B50B-AFFBFF7BF419}" type="parTrans" cxnId="{82802198-1834-4899-B67E-0BAD47C3397A}">
      <dgm:prSet/>
      <dgm:spPr/>
      <dgm:t>
        <a:bodyPr/>
        <a:lstStyle/>
        <a:p>
          <a:endParaRPr lang="en-US" sz="2000"/>
        </a:p>
      </dgm:t>
    </dgm:pt>
    <dgm:pt modelId="{D8E3B159-C9C1-4BD4-8D36-1E4CF1B8A0B7}" type="sibTrans" cxnId="{82802198-1834-4899-B67E-0BAD47C3397A}">
      <dgm:prSet/>
      <dgm:spPr/>
      <dgm:t>
        <a:bodyPr/>
        <a:lstStyle/>
        <a:p>
          <a:endParaRPr lang="en-US" sz="2000"/>
        </a:p>
      </dgm:t>
    </dgm:pt>
    <dgm:pt modelId="{C4EC9F18-6C01-437F-AFB1-07921DF0E73F}">
      <dgm:prSet phldrT="[Text]" custT="1"/>
      <dgm:spPr/>
      <dgm:t>
        <a:bodyPr/>
        <a:lstStyle/>
        <a:p>
          <a:r>
            <a:rPr lang="en-US" sz="800"/>
            <a:t>Increased access to markets for black owned SMMEs </a:t>
          </a:r>
        </a:p>
      </dgm:t>
    </dgm:pt>
    <dgm:pt modelId="{85C453CD-9683-40AE-B7B7-C4FD57BC8C1A}" type="parTrans" cxnId="{410EB847-ABE6-43D8-A1BD-4609F246C24E}">
      <dgm:prSet/>
      <dgm:spPr/>
      <dgm:t>
        <a:bodyPr/>
        <a:lstStyle/>
        <a:p>
          <a:endParaRPr lang="en-US" sz="2000"/>
        </a:p>
      </dgm:t>
    </dgm:pt>
    <dgm:pt modelId="{63ED314D-EF88-48A6-A765-5C3A7E4D7035}" type="sibTrans" cxnId="{410EB847-ABE6-43D8-A1BD-4609F246C24E}">
      <dgm:prSet/>
      <dgm:spPr/>
      <dgm:t>
        <a:bodyPr/>
        <a:lstStyle/>
        <a:p>
          <a:endParaRPr lang="en-US" sz="2000"/>
        </a:p>
      </dgm:t>
    </dgm:pt>
    <dgm:pt modelId="{7E30FC0D-6528-41C8-998F-4C82066C1D9E}">
      <dgm:prSet phldrT="[Text]" custT="1"/>
      <dgm:spPr/>
      <dgm:t>
        <a:bodyPr/>
        <a:lstStyle/>
        <a:p>
          <a:r>
            <a:rPr lang="en-US" sz="900" b="1"/>
            <a:t>Socio Economic Development</a:t>
          </a:r>
        </a:p>
      </dgm:t>
    </dgm:pt>
    <dgm:pt modelId="{5447BC2B-8D1A-442F-BA91-BB770D3DC5CF}" type="parTrans" cxnId="{2B62FA96-4A36-4538-AD2B-78226A890A57}">
      <dgm:prSet/>
      <dgm:spPr/>
      <dgm:t>
        <a:bodyPr/>
        <a:lstStyle/>
        <a:p>
          <a:endParaRPr lang="en-US" sz="2000"/>
        </a:p>
      </dgm:t>
    </dgm:pt>
    <dgm:pt modelId="{F4FAC639-5441-47A6-8249-16BC0BC5F5D8}" type="sibTrans" cxnId="{2B62FA96-4A36-4538-AD2B-78226A890A57}">
      <dgm:prSet/>
      <dgm:spPr/>
      <dgm:t>
        <a:bodyPr/>
        <a:lstStyle/>
        <a:p>
          <a:endParaRPr lang="en-US" sz="2000"/>
        </a:p>
      </dgm:t>
    </dgm:pt>
    <dgm:pt modelId="{6ED54CFB-A75E-4C9F-B761-B45F68C16D73}">
      <dgm:prSet phldrT="[Text]" custT="1"/>
      <dgm:spPr/>
      <dgm:t>
        <a:bodyPr/>
        <a:lstStyle/>
        <a:p>
          <a:r>
            <a:rPr lang="en-US" sz="800"/>
            <a:t>Promotion of sustainable access to the economy by beneficiaries of programmes aimed at empowering communities</a:t>
          </a:r>
        </a:p>
      </dgm:t>
    </dgm:pt>
    <dgm:pt modelId="{0E72B6C6-3941-4974-ACC0-84C28D578326}" type="parTrans" cxnId="{4DE6BC5D-8085-42F6-8218-96029A8FC117}">
      <dgm:prSet/>
      <dgm:spPr/>
      <dgm:t>
        <a:bodyPr/>
        <a:lstStyle/>
        <a:p>
          <a:endParaRPr lang="en-US" sz="2000"/>
        </a:p>
      </dgm:t>
    </dgm:pt>
    <dgm:pt modelId="{FA8F1C87-5DDB-434F-821E-9375C05920A8}" type="sibTrans" cxnId="{4DE6BC5D-8085-42F6-8218-96029A8FC117}">
      <dgm:prSet/>
      <dgm:spPr/>
      <dgm:t>
        <a:bodyPr/>
        <a:lstStyle/>
        <a:p>
          <a:endParaRPr lang="en-US" sz="2000"/>
        </a:p>
      </dgm:t>
    </dgm:pt>
    <dgm:pt modelId="{FD0DD673-B0DE-412E-A854-8E4C54F514A9}">
      <dgm:prSet phldrT="[Text]" custT="1"/>
      <dgm:spPr/>
      <dgm:t>
        <a:bodyPr/>
        <a:lstStyle/>
        <a:p>
          <a:r>
            <a:rPr lang="en-US" sz="900" b="1"/>
            <a:t>Employment Equity </a:t>
          </a:r>
          <a:endParaRPr lang="en-US" sz="1050" b="1"/>
        </a:p>
      </dgm:t>
    </dgm:pt>
    <dgm:pt modelId="{38198CEF-5C9A-4B37-BBC0-4DB62EB62985}" type="parTrans" cxnId="{9B823EEF-80D8-4E3B-A648-71DD9180940E}">
      <dgm:prSet/>
      <dgm:spPr/>
      <dgm:t>
        <a:bodyPr/>
        <a:lstStyle/>
        <a:p>
          <a:endParaRPr lang="en-US" sz="1600"/>
        </a:p>
      </dgm:t>
    </dgm:pt>
    <dgm:pt modelId="{A6F1543D-96C4-4BCF-96E7-B1D24E3230DA}" type="sibTrans" cxnId="{9B823EEF-80D8-4E3B-A648-71DD9180940E}">
      <dgm:prSet/>
      <dgm:spPr/>
      <dgm:t>
        <a:bodyPr/>
        <a:lstStyle/>
        <a:p>
          <a:endParaRPr lang="en-US" sz="1600"/>
        </a:p>
      </dgm:t>
    </dgm:pt>
    <dgm:pt modelId="{8F299FDE-DFB4-45B1-8A13-AE71EBF5DEFD}">
      <dgm:prSet phldrT="[Text]" custT="1"/>
      <dgm:spPr/>
      <dgm:t>
        <a:bodyPr/>
        <a:lstStyle/>
        <a:p>
          <a:r>
            <a:rPr lang="en-US" sz="900" b="1"/>
            <a:t>Procurement </a:t>
          </a:r>
        </a:p>
      </dgm:t>
    </dgm:pt>
    <dgm:pt modelId="{8C3BCC37-C30E-48BE-86D5-0C90EB6E4968}" type="parTrans" cxnId="{9D81843E-E291-4B8E-A755-5941811E5189}">
      <dgm:prSet/>
      <dgm:spPr/>
      <dgm:t>
        <a:bodyPr/>
        <a:lstStyle/>
        <a:p>
          <a:endParaRPr lang="en-US" sz="1600"/>
        </a:p>
      </dgm:t>
    </dgm:pt>
    <dgm:pt modelId="{A0715261-447D-4410-93DD-8C2F28A4A721}" type="sibTrans" cxnId="{9D81843E-E291-4B8E-A755-5941811E5189}">
      <dgm:prSet/>
      <dgm:spPr/>
      <dgm:t>
        <a:bodyPr/>
        <a:lstStyle/>
        <a:p>
          <a:endParaRPr lang="en-US" sz="1600"/>
        </a:p>
      </dgm:t>
    </dgm:pt>
    <dgm:pt modelId="{DBA8213E-E617-4347-9F2A-C503EAA1D129}">
      <dgm:prSet phldrT="[Text]" custT="1"/>
      <dgm:spPr/>
      <dgm:t>
        <a:bodyPr/>
        <a:lstStyle/>
        <a:p>
          <a:r>
            <a:rPr lang="en-US" sz="800"/>
            <a:t>Procurement from black suppliers and B-BBEE Suppliers </a:t>
          </a:r>
        </a:p>
      </dgm:t>
    </dgm:pt>
    <dgm:pt modelId="{F65DF70F-8538-4A23-99AE-22CB88795CD4}" type="parTrans" cxnId="{3EB45324-8DC1-4BEB-93A8-CCE6A8D7A9A1}">
      <dgm:prSet/>
      <dgm:spPr/>
      <dgm:t>
        <a:bodyPr/>
        <a:lstStyle/>
        <a:p>
          <a:endParaRPr lang="en-US" sz="1600"/>
        </a:p>
      </dgm:t>
    </dgm:pt>
    <dgm:pt modelId="{17418252-722B-491D-B33B-2AC67CDA9A24}" type="sibTrans" cxnId="{3EB45324-8DC1-4BEB-93A8-CCE6A8D7A9A1}">
      <dgm:prSet/>
      <dgm:spPr/>
      <dgm:t>
        <a:bodyPr/>
        <a:lstStyle/>
        <a:p>
          <a:endParaRPr lang="en-US" sz="1600"/>
        </a:p>
      </dgm:t>
    </dgm:pt>
    <dgm:pt modelId="{927584CD-4551-4E7B-9AD1-DFD11A2F3387}" type="pres">
      <dgm:prSet presAssocID="{D0D0A048-1B26-4C0C-A1E0-D314D4376B8A}" presName="diagram" presStyleCnt="0">
        <dgm:presLayoutVars>
          <dgm:dir/>
          <dgm:animLvl val="lvl"/>
          <dgm:resizeHandles val="exact"/>
        </dgm:presLayoutVars>
      </dgm:prSet>
      <dgm:spPr/>
      <dgm:t>
        <a:bodyPr/>
        <a:lstStyle/>
        <a:p>
          <a:endParaRPr lang="en-US"/>
        </a:p>
      </dgm:t>
    </dgm:pt>
    <dgm:pt modelId="{023C7F0E-6FBD-4D33-A686-4D5C8FC50F3E}" type="pres">
      <dgm:prSet presAssocID="{4BC31701-D437-4703-B550-FABB5365AA2A}" presName="compNode" presStyleCnt="0"/>
      <dgm:spPr/>
      <dgm:t>
        <a:bodyPr/>
        <a:lstStyle/>
        <a:p>
          <a:endParaRPr lang="en-US"/>
        </a:p>
      </dgm:t>
    </dgm:pt>
    <dgm:pt modelId="{8D53C20A-A26E-4804-93EE-77D8FE71B1EF}" type="pres">
      <dgm:prSet presAssocID="{4BC31701-D437-4703-B550-FABB5365AA2A}" presName="childRect" presStyleLbl="bgAcc1" presStyleIdx="0" presStyleCnt="7">
        <dgm:presLayoutVars>
          <dgm:bulletEnabled val="1"/>
        </dgm:presLayoutVars>
      </dgm:prSet>
      <dgm:spPr/>
      <dgm:t>
        <a:bodyPr/>
        <a:lstStyle/>
        <a:p>
          <a:endParaRPr lang="en-US"/>
        </a:p>
      </dgm:t>
    </dgm:pt>
    <dgm:pt modelId="{D3CBEBF1-62CE-4BAC-97E4-72EBF90FBDF7}" type="pres">
      <dgm:prSet presAssocID="{4BC31701-D437-4703-B550-FABB5365AA2A}" presName="parentText" presStyleLbl="node1" presStyleIdx="0" presStyleCnt="0">
        <dgm:presLayoutVars>
          <dgm:chMax val="0"/>
          <dgm:bulletEnabled val="1"/>
        </dgm:presLayoutVars>
      </dgm:prSet>
      <dgm:spPr/>
      <dgm:t>
        <a:bodyPr/>
        <a:lstStyle/>
        <a:p>
          <a:endParaRPr lang="en-US"/>
        </a:p>
      </dgm:t>
    </dgm:pt>
    <dgm:pt modelId="{74974F7C-74C8-4F23-A959-D9168713A388}" type="pres">
      <dgm:prSet presAssocID="{4BC31701-D437-4703-B550-FABB5365AA2A}" presName="parentRect" presStyleLbl="alignNode1" presStyleIdx="0" presStyleCnt="7"/>
      <dgm:spPr/>
      <dgm:t>
        <a:bodyPr/>
        <a:lstStyle/>
        <a:p>
          <a:endParaRPr lang="en-US"/>
        </a:p>
      </dgm:t>
    </dgm:pt>
    <dgm:pt modelId="{B4F6706A-1B2C-491F-8A77-AFF80D2AC734}" type="pres">
      <dgm:prSet presAssocID="{4BC31701-D437-4703-B550-FABB5365AA2A}" presName="adorn" presStyleLbl="fgAccFollowNode1" presStyleIdx="0" presStyleCnt="7"/>
      <dgm:spPr>
        <a:blipFill rotWithShape="1">
          <a:blip xmlns:r="http://schemas.openxmlformats.org/officeDocument/2006/relationships" r:embed="rId1"/>
          <a:stretch>
            <a:fillRect/>
          </a:stretch>
        </a:blipFill>
      </dgm:spPr>
      <dgm:t>
        <a:bodyPr/>
        <a:lstStyle/>
        <a:p>
          <a:endParaRPr lang="en-US"/>
        </a:p>
      </dgm:t>
    </dgm:pt>
    <dgm:pt modelId="{10D5A9EB-46F3-4AAE-BEC3-FFE72DB3E1B5}" type="pres">
      <dgm:prSet presAssocID="{23CBE571-CF76-4254-9371-E0CDC3CAD761}" presName="sibTrans" presStyleLbl="sibTrans2D1" presStyleIdx="0" presStyleCnt="0"/>
      <dgm:spPr/>
      <dgm:t>
        <a:bodyPr/>
        <a:lstStyle/>
        <a:p>
          <a:endParaRPr lang="en-US"/>
        </a:p>
      </dgm:t>
    </dgm:pt>
    <dgm:pt modelId="{C47FCE61-99C7-45A0-8044-F3E444A57D5E}" type="pres">
      <dgm:prSet presAssocID="{073D02E8-B407-44DB-9635-8A035CBAA0DD}" presName="compNode" presStyleCnt="0"/>
      <dgm:spPr/>
      <dgm:t>
        <a:bodyPr/>
        <a:lstStyle/>
        <a:p>
          <a:endParaRPr lang="en-US"/>
        </a:p>
      </dgm:t>
    </dgm:pt>
    <dgm:pt modelId="{2570777C-B551-432B-B8CB-7000BF7A283B}" type="pres">
      <dgm:prSet presAssocID="{073D02E8-B407-44DB-9635-8A035CBAA0DD}" presName="childRect" presStyleLbl="bgAcc1" presStyleIdx="1" presStyleCnt="7">
        <dgm:presLayoutVars>
          <dgm:bulletEnabled val="1"/>
        </dgm:presLayoutVars>
      </dgm:prSet>
      <dgm:spPr/>
      <dgm:t>
        <a:bodyPr/>
        <a:lstStyle/>
        <a:p>
          <a:endParaRPr lang="en-US"/>
        </a:p>
      </dgm:t>
    </dgm:pt>
    <dgm:pt modelId="{8E8FF5E3-E3C9-4DF6-AC38-B6809CA1A5A3}" type="pres">
      <dgm:prSet presAssocID="{073D02E8-B407-44DB-9635-8A035CBAA0DD}" presName="parentText" presStyleLbl="node1" presStyleIdx="0" presStyleCnt="0">
        <dgm:presLayoutVars>
          <dgm:chMax val="0"/>
          <dgm:bulletEnabled val="1"/>
        </dgm:presLayoutVars>
      </dgm:prSet>
      <dgm:spPr/>
      <dgm:t>
        <a:bodyPr/>
        <a:lstStyle/>
        <a:p>
          <a:endParaRPr lang="en-US"/>
        </a:p>
      </dgm:t>
    </dgm:pt>
    <dgm:pt modelId="{646943C3-565A-4D0E-8B50-977B98423884}" type="pres">
      <dgm:prSet presAssocID="{073D02E8-B407-44DB-9635-8A035CBAA0DD}" presName="parentRect" presStyleLbl="alignNode1" presStyleIdx="1" presStyleCnt="7"/>
      <dgm:spPr/>
      <dgm:t>
        <a:bodyPr/>
        <a:lstStyle/>
        <a:p>
          <a:endParaRPr lang="en-US"/>
        </a:p>
      </dgm:t>
    </dgm:pt>
    <dgm:pt modelId="{3C91BDF1-82DF-4C48-B4AD-07CE2355219B}" type="pres">
      <dgm:prSet presAssocID="{073D02E8-B407-44DB-9635-8A035CBAA0DD}" presName="adorn" presStyleLbl="fgAccFollowNode1" presStyleIdx="1" presStyleCnt="7"/>
      <dgm:spPr>
        <a:blipFill rotWithShape="1">
          <a:blip xmlns:r="http://schemas.openxmlformats.org/officeDocument/2006/relationships" r:embed="rId2"/>
          <a:stretch>
            <a:fillRect/>
          </a:stretch>
        </a:blipFill>
      </dgm:spPr>
      <dgm:t>
        <a:bodyPr/>
        <a:lstStyle/>
        <a:p>
          <a:endParaRPr lang="en-US"/>
        </a:p>
      </dgm:t>
    </dgm:pt>
    <dgm:pt modelId="{78414A81-F3BD-4FFB-A8B4-1E2828FD9527}" type="pres">
      <dgm:prSet presAssocID="{FE880DAB-666F-4351-AB7B-E7233D98F919}" presName="sibTrans" presStyleLbl="sibTrans2D1" presStyleIdx="0" presStyleCnt="0"/>
      <dgm:spPr/>
      <dgm:t>
        <a:bodyPr/>
        <a:lstStyle/>
        <a:p>
          <a:endParaRPr lang="en-US"/>
        </a:p>
      </dgm:t>
    </dgm:pt>
    <dgm:pt modelId="{46F1B8D0-AF6D-4C1D-9300-B1CD357A979F}" type="pres">
      <dgm:prSet presAssocID="{FD0DD673-B0DE-412E-A854-8E4C54F514A9}" presName="compNode" presStyleCnt="0"/>
      <dgm:spPr/>
      <dgm:t>
        <a:bodyPr/>
        <a:lstStyle/>
        <a:p>
          <a:endParaRPr lang="en-US"/>
        </a:p>
      </dgm:t>
    </dgm:pt>
    <dgm:pt modelId="{92EC05CD-3B9B-465A-86B3-9FEE6A73962E}" type="pres">
      <dgm:prSet presAssocID="{FD0DD673-B0DE-412E-A854-8E4C54F514A9}" presName="childRect" presStyleLbl="bgAcc1" presStyleIdx="2" presStyleCnt="7" custLinFactNeighborX="584" custLinFactNeighborY="2346">
        <dgm:presLayoutVars>
          <dgm:bulletEnabled val="1"/>
        </dgm:presLayoutVars>
      </dgm:prSet>
      <dgm:spPr/>
      <dgm:t>
        <a:bodyPr/>
        <a:lstStyle/>
        <a:p>
          <a:endParaRPr lang="en-US"/>
        </a:p>
      </dgm:t>
    </dgm:pt>
    <dgm:pt modelId="{2E1B4A33-4CEE-44D4-AEA9-A495A414FD66}" type="pres">
      <dgm:prSet presAssocID="{FD0DD673-B0DE-412E-A854-8E4C54F514A9}" presName="parentText" presStyleLbl="node1" presStyleIdx="0" presStyleCnt="0">
        <dgm:presLayoutVars>
          <dgm:chMax val="0"/>
          <dgm:bulletEnabled val="1"/>
        </dgm:presLayoutVars>
      </dgm:prSet>
      <dgm:spPr/>
      <dgm:t>
        <a:bodyPr/>
        <a:lstStyle/>
        <a:p>
          <a:endParaRPr lang="en-US"/>
        </a:p>
      </dgm:t>
    </dgm:pt>
    <dgm:pt modelId="{62FD7C23-DE48-442A-9099-ACC90D09EA89}" type="pres">
      <dgm:prSet presAssocID="{FD0DD673-B0DE-412E-A854-8E4C54F514A9}" presName="parentRect" presStyleLbl="alignNode1" presStyleIdx="2" presStyleCnt="7"/>
      <dgm:spPr/>
      <dgm:t>
        <a:bodyPr/>
        <a:lstStyle/>
        <a:p>
          <a:endParaRPr lang="en-US"/>
        </a:p>
      </dgm:t>
    </dgm:pt>
    <dgm:pt modelId="{E4984D74-91BF-46BD-837C-C297C132C75D}" type="pres">
      <dgm:prSet presAssocID="{FD0DD673-B0DE-412E-A854-8E4C54F514A9}" presName="adorn" presStyleLbl="fgAccFollowNode1" presStyleIdx="2" presStyleCnt="7"/>
      <dgm:spPr>
        <a:blipFill rotWithShape="1">
          <a:blip xmlns:r="http://schemas.openxmlformats.org/officeDocument/2006/relationships" r:embed="rId3"/>
          <a:stretch>
            <a:fillRect/>
          </a:stretch>
        </a:blipFill>
      </dgm:spPr>
      <dgm:t>
        <a:bodyPr/>
        <a:lstStyle/>
        <a:p>
          <a:endParaRPr lang="en-US"/>
        </a:p>
      </dgm:t>
    </dgm:pt>
    <dgm:pt modelId="{46CA31D8-0C43-4371-854C-0D1510BC20BB}" type="pres">
      <dgm:prSet presAssocID="{A6F1543D-96C4-4BCF-96E7-B1D24E3230DA}" presName="sibTrans" presStyleLbl="sibTrans2D1" presStyleIdx="0" presStyleCnt="0"/>
      <dgm:spPr/>
      <dgm:t>
        <a:bodyPr/>
        <a:lstStyle/>
        <a:p>
          <a:endParaRPr lang="en-US"/>
        </a:p>
      </dgm:t>
    </dgm:pt>
    <dgm:pt modelId="{368069F1-2559-4510-9CB6-7F416073D024}" type="pres">
      <dgm:prSet presAssocID="{1F732800-FD81-453E-89B6-B99AEB88A145}" presName="compNode" presStyleCnt="0"/>
      <dgm:spPr/>
      <dgm:t>
        <a:bodyPr/>
        <a:lstStyle/>
        <a:p>
          <a:endParaRPr lang="en-US"/>
        </a:p>
      </dgm:t>
    </dgm:pt>
    <dgm:pt modelId="{B83E0AC5-5982-4015-B3D6-5730C457E4B4}" type="pres">
      <dgm:prSet presAssocID="{1F732800-FD81-453E-89B6-B99AEB88A145}" presName="childRect" presStyleLbl="bgAcc1" presStyleIdx="3" presStyleCnt="7">
        <dgm:presLayoutVars>
          <dgm:bulletEnabled val="1"/>
        </dgm:presLayoutVars>
      </dgm:prSet>
      <dgm:spPr/>
      <dgm:t>
        <a:bodyPr/>
        <a:lstStyle/>
        <a:p>
          <a:endParaRPr lang="en-US"/>
        </a:p>
      </dgm:t>
    </dgm:pt>
    <dgm:pt modelId="{BAD41CF1-A565-4645-8DC6-CDC72B0DF2D3}" type="pres">
      <dgm:prSet presAssocID="{1F732800-FD81-453E-89B6-B99AEB88A145}" presName="parentText" presStyleLbl="node1" presStyleIdx="0" presStyleCnt="0">
        <dgm:presLayoutVars>
          <dgm:chMax val="0"/>
          <dgm:bulletEnabled val="1"/>
        </dgm:presLayoutVars>
      </dgm:prSet>
      <dgm:spPr/>
      <dgm:t>
        <a:bodyPr/>
        <a:lstStyle/>
        <a:p>
          <a:endParaRPr lang="en-US"/>
        </a:p>
      </dgm:t>
    </dgm:pt>
    <dgm:pt modelId="{8FE4F29D-2CDD-4C68-9719-9DB25A7F4FD9}" type="pres">
      <dgm:prSet presAssocID="{1F732800-FD81-453E-89B6-B99AEB88A145}" presName="parentRect" presStyleLbl="alignNode1" presStyleIdx="3" presStyleCnt="7"/>
      <dgm:spPr/>
      <dgm:t>
        <a:bodyPr/>
        <a:lstStyle/>
        <a:p>
          <a:endParaRPr lang="en-US"/>
        </a:p>
      </dgm:t>
    </dgm:pt>
    <dgm:pt modelId="{6B14FFD5-E9A8-4D16-A77A-A58D48FEA4BE}" type="pres">
      <dgm:prSet presAssocID="{1F732800-FD81-453E-89B6-B99AEB88A145}" presName="adorn" presStyleLbl="fgAccFollowNode1" presStyleIdx="3" presStyleCnt="7"/>
      <dgm:spPr>
        <a:blipFill rotWithShape="1">
          <a:blip xmlns:r="http://schemas.openxmlformats.org/officeDocument/2006/relationships" r:embed="rId4"/>
          <a:stretch>
            <a:fillRect/>
          </a:stretch>
        </a:blipFill>
      </dgm:spPr>
      <dgm:t>
        <a:bodyPr/>
        <a:lstStyle/>
        <a:p>
          <a:endParaRPr lang="en-US"/>
        </a:p>
      </dgm:t>
    </dgm:pt>
    <dgm:pt modelId="{BCC13845-37EC-4DAE-A0D0-FE92E66DACA1}" type="pres">
      <dgm:prSet presAssocID="{52E659E5-5751-426A-B01A-B3CB4FC809D8}" presName="sibTrans" presStyleLbl="sibTrans2D1" presStyleIdx="0" presStyleCnt="0"/>
      <dgm:spPr/>
      <dgm:t>
        <a:bodyPr/>
        <a:lstStyle/>
        <a:p>
          <a:endParaRPr lang="en-US"/>
        </a:p>
      </dgm:t>
    </dgm:pt>
    <dgm:pt modelId="{AEB2D907-0B8A-49FA-86F0-8B113DE8A7B4}" type="pres">
      <dgm:prSet presAssocID="{8F299FDE-DFB4-45B1-8A13-AE71EBF5DEFD}" presName="compNode" presStyleCnt="0"/>
      <dgm:spPr/>
      <dgm:t>
        <a:bodyPr/>
        <a:lstStyle/>
        <a:p>
          <a:endParaRPr lang="en-US"/>
        </a:p>
      </dgm:t>
    </dgm:pt>
    <dgm:pt modelId="{BC972468-ECC2-4B4D-8B8A-E448E17AB0E7}" type="pres">
      <dgm:prSet presAssocID="{8F299FDE-DFB4-45B1-8A13-AE71EBF5DEFD}" presName="childRect" presStyleLbl="bgAcc1" presStyleIdx="4" presStyleCnt="7">
        <dgm:presLayoutVars>
          <dgm:bulletEnabled val="1"/>
        </dgm:presLayoutVars>
      </dgm:prSet>
      <dgm:spPr/>
      <dgm:t>
        <a:bodyPr/>
        <a:lstStyle/>
        <a:p>
          <a:endParaRPr lang="en-US"/>
        </a:p>
      </dgm:t>
    </dgm:pt>
    <dgm:pt modelId="{D2286305-C155-461D-AC04-3562278DD982}" type="pres">
      <dgm:prSet presAssocID="{8F299FDE-DFB4-45B1-8A13-AE71EBF5DEFD}" presName="parentText" presStyleLbl="node1" presStyleIdx="0" presStyleCnt="0">
        <dgm:presLayoutVars>
          <dgm:chMax val="0"/>
          <dgm:bulletEnabled val="1"/>
        </dgm:presLayoutVars>
      </dgm:prSet>
      <dgm:spPr/>
      <dgm:t>
        <a:bodyPr/>
        <a:lstStyle/>
        <a:p>
          <a:endParaRPr lang="en-US"/>
        </a:p>
      </dgm:t>
    </dgm:pt>
    <dgm:pt modelId="{466613EB-00AD-4318-8563-D508449D3D29}" type="pres">
      <dgm:prSet presAssocID="{8F299FDE-DFB4-45B1-8A13-AE71EBF5DEFD}" presName="parentRect" presStyleLbl="alignNode1" presStyleIdx="4" presStyleCnt="7"/>
      <dgm:spPr/>
      <dgm:t>
        <a:bodyPr/>
        <a:lstStyle/>
        <a:p>
          <a:endParaRPr lang="en-US"/>
        </a:p>
      </dgm:t>
    </dgm:pt>
    <dgm:pt modelId="{A943E572-D10B-45C5-B004-0C3003AB1305}" type="pres">
      <dgm:prSet presAssocID="{8F299FDE-DFB4-45B1-8A13-AE71EBF5DEFD}" presName="adorn" presStyleLbl="fgAccFollowNode1" presStyleIdx="4" presStyleCnt="7"/>
      <dgm:spPr>
        <a:blipFill rotWithShape="1">
          <a:blip xmlns:r="http://schemas.openxmlformats.org/officeDocument/2006/relationships" r:embed="rId5"/>
          <a:stretch>
            <a:fillRect/>
          </a:stretch>
        </a:blipFill>
      </dgm:spPr>
      <dgm:t>
        <a:bodyPr/>
        <a:lstStyle/>
        <a:p>
          <a:endParaRPr lang="en-US"/>
        </a:p>
      </dgm:t>
    </dgm:pt>
    <dgm:pt modelId="{5E5A2C77-2B45-433E-BB5D-09B5C2BC539C}" type="pres">
      <dgm:prSet presAssocID="{A0715261-447D-4410-93DD-8C2F28A4A721}" presName="sibTrans" presStyleLbl="sibTrans2D1" presStyleIdx="0" presStyleCnt="0"/>
      <dgm:spPr/>
      <dgm:t>
        <a:bodyPr/>
        <a:lstStyle/>
        <a:p>
          <a:endParaRPr lang="en-US"/>
        </a:p>
      </dgm:t>
    </dgm:pt>
    <dgm:pt modelId="{A61A85E9-62D9-4E06-A345-1FE889A2D521}" type="pres">
      <dgm:prSet presAssocID="{C5334D46-796D-4B32-ADF9-279184CEF849}" presName="compNode" presStyleCnt="0"/>
      <dgm:spPr/>
      <dgm:t>
        <a:bodyPr/>
        <a:lstStyle/>
        <a:p>
          <a:endParaRPr lang="en-US"/>
        </a:p>
      </dgm:t>
    </dgm:pt>
    <dgm:pt modelId="{B832B3D7-18ED-4940-A55E-BA0711F3E339}" type="pres">
      <dgm:prSet presAssocID="{C5334D46-796D-4B32-ADF9-279184CEF849}" presName="childRect" presStyleLbl="bgAcc1" presStyleIdx="5" presStyleCnt="7">
        <dgm:presLayoutVars>
          <dgm:bulletEnabled val="1"/>
        </dgm:presLayoutVars>
      </dgm:prSet>
      <dgm:spPr/>
      <dgm:t>
        <a:bodyPr/>
        <a:lstStyle/>
        <a:p>
          <a:endParaRPr lang="en-US"/>
        </a:p>
      </dgm:t>
    </dgm:pt>
    <dgm:pt modelId="{55306B64-4AB1-4A66-A78D-6395E08B81C7}" type="pres">
      <dgm:prSet presAssocID="{C5334D46-796D-4B32-ADF9-279184CEF849}" presName="parentText" presStyleLbl="node1" presStyleIdx="0" presStyleCnt="0">
        <dgm:presLayoutVars>
          <dgm:chMax val="0"/>
          <dgm:bulletEnabled val="1"/>
        </dgm:presLayoutVars>
      </dgm:prSet>
      <dgm:spPr/>
      <dgm:t>
        <a:bodyPr/>
        <a:lstStyle/>
        <a:p>
          <a:endParaRPr lang="en-US"/>
        </a:p>
      </dgm:t>
    </dgm:pt>
    <dgm:pt modelId="{3C069F95-8841-4841-B493-A04656E468BB}" type="pres">
      <dgm:prSet presAssocID="{C5334D46-796D-4B32-ADF9-279184CEF849}" presName="parentRect" presStyleLbl="alignNode1" presStyleIdx="5" presStyleCnt="7"/>
      <dgm:spPr/>
      <dgm:t>
        <a:bodyPr/>
        <a:lstStyle/>
        <a:p>
          <a:endParaRPr lang="en-US"/>
        </a:p>
      </dgm:t>
    </dgm:pt>
    <dgm:pt modelId="{9DDB0300-15E6-4E4D-B181-D7630A791AC5}" type="pres">
      <dgm:prSet presAssocID="{C5334D46-796D-4B32-ADF9-279184CEF849}" presName="adorn" presStyleLbl="fgAccFollowNode1" presStyleIdx="5" presStyleCnt="7"/>
      <dgm:spPr>
        <a:blipFill rotWithShape="1">
          <a:blip xmlns:r="http://schemas.openxmlformats.org/officeDocument/2006/relationships" r:embed="rId6"/>
          <a:stretch>
            <a:fillRect/>
          </a:stretch>
        </a:blipFill>
      </dgm:spPr>
      <dgm:t>
        <a:bodyPr/>
        <a:lstStyle/>
        <a:p>
          <a:endParaRPr lang="en-US"/>
        </a:p>
      </dgm:t>
    </dgm:pt>
    <dgm:pt modelId="{2A574823-AAFE-43B7-904F-7D56155431D1}" type="pres">
      <dgm:prSet presAssocID="{4184787A-45EB-413A-94C3-E5B6DBC4B0EC}" presName="sibTrans" presStyleLbl="sibTrans2D1" presStyleIdx="0" presStyleCnt="0"/>
      <dgm:spPr/>
      <dgm:t>
        <a:bodyPr/>
        <a:lstStyle/>
        <a:p>
          <a:endParaRPr lang="en-US"/>
        </a:p>
      </dgm:t>
    </dgm:pt>
    <dgm:pt modelId="{A5926469-FBB7-48D3-B300-B9DDF099E4E7}" type="pres">
      <dgm:prSet presAssocID="{7E30FC0D-6528-41C8-998F-4C82066C1D9E}" presName="compNode" presStyleCnt="0"/>
      <dgm:spPr/>
      <dgm:t>
        <a:bodyPr/>
        <a:lstStyle/>
        <a:p>
          <a:endParaRPr lang="en-US"/>
        </a:p>
      </dgm:t>
    </dgm:pt>
    <dgm:pt modelId="{EF81A26B-8161-4184-91CB-265539275373}" type="pres">
      <dgm:prSet presAssocID="{7E30FC0D-6528-41C8-998F-4C82066C1D9E}" presName="childRect" presStyleLbl="bgAcc1" presStyleIdx="6" presStyleCnt="7">
        <dgm:presLayoutVars>
          <dgm:bulletEnabled val="1"/>
        </dgm:presLayoutVars>
      </dgm:prSet>
      <dgm:spPr/>
      <dgm:t>
        <a:bodyPr/>
        <a:lstStyle/>
        <a:p>
          <a:endParaRPr lang="en-US"/>
        </a:p>
      </dgm:t>
    </dgm:pt>
    <dgm:pt modelId="{2A2D3009-70B3-4D31-9DBF-1CAB2D1105AE}" type="pres">
      <dgm:prSet presAssocID="{7E30FC0D-6528-41C8-998F-4C82066C1D9E}" presName="parentText" presStyleLbl="node1" presStyleIdx="0" presStyleCnt="0">
        <dgm:presLayoutVars>
          <dgm:chMax val="0"/>
          <dgm:bulletEnabled val="1"/>
        </dgm:presLayoutVars>
      </dgm:prSet>
      <dgm:spPr/>
      <dgm:t>
        <a:bodyPr/>
        <a:lstStyle/>
        <a:p>
          <a:endParaRPr lang="en-US"/>
        </a:p>
      </dgm:t>
    </dgm:pt>
    <dgm:pt modelId="{E038B586-F157-4E40-BE50-6A0FB59C68A4}" type="pres">
      <dgm:prSet presAssocID="{7E30FC0D-6528-41C8-998F-4C82066C1D9E}" presName="parentRect" presStyleLbl="alignNode1" presStyleIdx="6" presStyleCnt="7"/>
      <dgm:spPr/>
      <dgm:t>
        <a:bodyPr/>
        <a:lstStyle/>
        <a:p>
          <a:endParaRPr lang="en-US"/>
        </a:p>
      </dgm:t>
    </dgm:pt>
    <dgm:pt modelId="{D3632487-BD58-4E7A-BBAB-8D379D831840}" type="pres">
      <dgm:prSet presAssocID="{7E30FC0D-6528-41C8-998F-4C82066C1D9E}" presName="adorn" presStyleLbl="fgAccFollowNode1" presStyleIdx="6" presStyleCnt="7"/>
      <dgm:spPr>
        <a:blipFill rotWithShape="1">
          <a:blip xmlns:r="http://schemas.openxmlformats.org/officeDocument/2006/relationships" r:embed="rId7"/>
          <a:stretch>
            <a:fillRect/>
          </a:stretch>
        </a:blipFill>
      </dgm:spPr>
      <dgm:t>
        <a:bodyPr/>
        <a:lstStyle/>
        <a:p>
          <a:endParaRPr lang="en-US"/>
        </a:p>
      </dgm:t>
    </dgm:pt>
  </dgm:ptLst>
  <dgm:cxnLst>
    <dgm:cxn modelId="{402DE6A6-44CA-47E7-926A-A3BAB7E5AFC0}" type="presOf" srcId="{26756102-2070-4485-B2B7-52BB4991BA60}" destId="{8D53C20A-A26E-4804-93EE-77D8FE71B1EF}" srcOrd="0" destOrd="1" presId="urn:microsoft.com/office/officeart/2005/8/layout/bList2"/>
    <dgm:cxn modelId="{0130E95A-BB5C-483E-913C-4BAD1284558A}" srcId="{26756102-2070-4485-B2B7-52BB4991BA60}" destId="{B69F2AA4-2C83-4A81-BB51-8CEC8D79249A}" srcOrd="0" destOrd="0" parTransId="{A7AF02B8-15F4-4FBF-A37C-4B002CD1837A}" sibTransId="{B232B9D7-71F9-44A9-A7DC-A338535A2C83}"/>
    <dgm:cxn modelId="{9D79AB3B-8F9F-41BA-ABEC-F2A200E89973}" srcId="{D0D0A048-1B26-4C0C-A1E0-D314D4376B8A}" destId="{073D02E8-B407-44DB-9635-8A035CBAA0DD}" srcOrd="1" destOrd="0" parTransId="{D864281F-5753-4B9E-BB71-B8A97EA607AD}" sibTransId="{FE880DAB-666F-4351-AB7B-E7233D98F919}"/>
    <dgm:cxn modelId="{82802198-1834-4899-B67E-0BAD47C3397A}" srcId="{1F732800-FD81-453E-89B6-B99AEB88A145}" destId="{7D411F99-3150-4F64-AB4F-030757C8E3EB}" srcOrd="0" destOrd="0" parTransId="{6A8E1DD5-6430-4A52-B50B-AFFBFF7BF419}" sibTransId="{D8E3B159-C9C1-4BD4-8D36-1E4CF1B8A0B7}"/>
    <dgm:cxn modelId="{D0A04E7F-1A60-4995-A540-4EEC53D525FB}" type="presOf" srcId="{1F732800-FD81-453E-89B6-B99AEB88A145}" destId="{BAD41CF1-A565-4645-8DC6-CDC72B0DF2D3}" srcOrd="0" destOrd="0" presId="urn:microsoft.com/office/officeart/2005/8/layout/bList2"/>
    <dgm:cxn modelId="{4DE6BC5D-8085-42F6-8218-96029A8FC117}" srcId="{7E30FC0D-6528-41C8-998F-4C82066C1D9E}" destId="{6ED54CFB-A75E-4C9F-B761-B45F68C16D73}" srcOrd="0" destOrd="0" parTransId="{0E72B6C6-3941-4974-ACC0-84C28D578326}" sibTransId="{FA8F1C87-5DDB-434F-821E-9375C05920A8}"/>
    <dgm:cxn modelId="{07D6646A-F7E5-4857-B3B4-C1AAB32D1DCB}" type="presOf" srcId="{B69F2AA4-2C83-4A81-BB51-8CEC8D79249A}" destId="{8D53C20A-A26E-4804-93EE-77D8FE71B1EF}" srcOrd="0" destOrd="2" presId="urn:microsoft.com/office/officeart/2005/8/layout/bList2"/>
    <dgm:cxn modelId="{4814E77D-C5D3-4D10-859B-370C995EA7D5}" type="presOf" srcId="{A0715261-447D-4410-93DD-8C2F28A4A721}" destId="{5E5A2C77-2B45-433E-BB5D-09B5C2BC539C}" srcOrd="0" destOrd="0" presId="urn:microsoft.com/office/officeart/2005/8/layout/bList2"/>
    <dgm:cxn modelId="{085D5237-2B36-4BCB-BA2B-B53D3AC14788}" type="presOf" srcId="{4BC31701-D437-4703-B550-FABB5365AA2A}" destId="{74974F7C-74C8-4F23-A959-D9168713A388}" srcOrd="1" destOrd="0" presId="urn:microsoft.com/office/officeart/2005/8/layout/bList2"/>
    <dgm:cxn modelId="{0C3CC694-D8E2-455E-A1F0-A591BCB0E944}" srcId="{4BC31701-D437-4703-B550-FABB5365AA2A}" destId="{26756102-2070-4485-B2B7-52BB4991BA60}" srcOrd="1" destOrd="0" parTransId="{54F98A10-A330-486C-9A65-85EE0E4803DF}" sibTransId="{0F5F710B-9F2C-497A-BF17-6553EB502DD9}"/>
    <dgm:cxn modelId="{A5B85D35-2791-4CD8-AE3B-804C70088EF1}" type="presOf" srcId="{069C29C7-553F-4580-BA8C-73346F8C521D}" destId="{8D53C20A-A26E-4804-93EE-77D8FE71B1EF}" srcOrd="0" destOrd="4" presId="urn:microsoft.com/office/officeart/2005/8/layout/bList2"/>
    <dgm:cxn modelId="{CF5775D1-DDDC-49F0-82B6-FDD9781CFA22}" type="presOf" srcId="{C5334D46-796D-4B32-ADF9-279184CEF849}" destId="{3C069F95-8841-4841-B493-A04656E468BB}" srcOrd="1" destOrd="0" presId="urn:microsoft.com/office/officeart/2005/8/layout/bList2"/>
    <dgm:cxn modelId="{12D4A64D-8FDE-444C-8EEB-FE7ADDAEA772}" type="presOf" srcId="{4184787A-45EB-413A-94C3-E5B6DBC4B0EC}" destId="{2A574823-AAFE-43B7-904F-7D56155431D1}" srcOrd="0" destOrd="0" presId="urn:microsoft.com/office/officeart/2005/8/layout/bList2"/>
    <dgm:cxn modelId="{F0AC5BF9-4522-4FE4-9889-1B9078A3F299}" type="presOf" srcId="{8F299FDE-DFB4-45B1-8A13-AE71EBF5DEFD}" destId="{466613EB-00AD-4318-8563-D508449D3D29}" srcOrd="1" destOrd="0" presId="urn:microsoft.com/office/officeart/2005/8/layout/bList2"/>
    <dgm:cxn modelId="{C50C9F74-807A-4D57-8781-DCE6381D5425}" srcId="{073D02E8-B407-44DB-9635-8A035CBAA0DD}" destId="{312CC63E-4081-4E4F-8E9A-E73A74863E99}" srcOrd="0" destOrd="0" parTransId="{C7AB8950-EEFD-4EE3-913C-86E89AC7AD0C}" sibTransId="{930E3201-D396-456C-9679-33CB76530E8D}"/>
    <dgm:cxn modelId="{C484CE4F-6605-489D-9EB7-FDB278DC7442}" srcId="{D0D0A048-1B26-4C0C-A1E0-D314D4376B8A}" destId="{C5334D46-796D-4B32-ADF9-279184CEF849}" srcOrd="5" destOrd="0" parTransId="{6FBF03C1-A98B-4611-84EA-A2A9F030852D}" sibTransId="{4184787A-45EB-413A-94C3-E5B6DBC4B0EC}"/>
    <dgm:cxn modelId="{A8293037-FE9E-4FD5-8711-944C58331043}" type="presOf" srcId="{23CBE571-CF76-4254-9371-E0CDC3CAD761}" destId="{10D5A9EB-46F3-4AAE-BEC3-FFE72DB3E1B5}" srcOrd="0" destOrd="0" presId="urn:microsoft.com/office/officeart/2005/8/layout/bList2"/>
    <dgm:cxn modelId="{9121A060-387E-4645-9469-B4FA73E7C8AE}" type="presOf" srcId="{7E30FC0D-6528-41C8-998F-4C82066C1D9E}" destId="{E038B586-F157-4E40-BE50-6A0FB59C68A4}" srcOrd="1" destOrd="0" presId="urn:microsoft.com/office/officeart/2005/8/layout/bList2"/>
    <dgm:cxn modelId="{B1F2BA6C-0AC0-4CC4-B19A-8E36A81B93CA}" type="presOf" srcId="{A6F1543D-96C4-4BCF-96E7-B1D24E3230DA}" destId="{46CA31D8-0C43-4371-854C-0D1510BC20BB}" srcOrd="0" destOrd="0" presId="urn:microsoft.com/office/officeart/2005/8/layout/bList2"/>
    <dgm:cxn modelId="{A5684B3E-91D5-411F-8286-13159B7220E7}" type="presOf" srcId="{C5334D46-796D-4B32-ADF9-279184CEF849}" destId="{55306B64-4AB1-4A66-A78D-6395E08B81C7}" srcOrd="0" destOrd="0" presId="urn:microsoft.com/office/officeart/2005/8/layout/bList2"/>
    <dgm:cxn modelId="{410EB847-ABE6-43D8-A1BD-4609F246C24E}" srcId="{C5334D46-796D-4B32-ADF9-279184CEF849}" destId="{C4EC9F18-6C01-437F-AFB1-07921DF0E73F}" srcOrd="0" destOrd="0" parTransId="{85C453CD-9683-40AE-B7B7-C4FD57BC8C1A}" sibTransId="{63ED314D-EF88-48A6-A765-5C3A7E4D7035}"/>
    <dgm:cxn modelId="{3E8369DB-F870-4C29-9F47-CDD3F7AEC095}" type="presOf" srcId="{FE880DAB-666F-4351-AB7B-E7233D98F919}" destId="{78414A81-F3BD-4FFB-A8B4-1E2828FD9527}" srcOrd="0" destOrd="0" presId="urn:microsoft.com/office/officeart/2005/8/layout/bList2"/>
    <dgm:cxn modelId="{25F4914F-6AFB-4D52-B933-82CDEE248F74}" type="presOf" srcId="{C4EC9F18-6C01-437F-AFB1-07921DF0E73F}" destId="{B832B3D7-18ED-4940-A55E-BA0711F3E339}" srcOrd="0" destOrd="0" presId="urn:microsoft.com/office/officeart/2005/8/layout/bList2"/>
    <dgm:cxn modelId="{3C74F157-84A5-4A72-90F3-A1B06F9EE142}" srcId="{4BC31701-D437-4703-B550-FABB5365AA2A}" destId="{8C92F194-9E2F-4DCE-B836-27C71387DD44}" srcOrd="0" destOrd="0" parTransId="{FB653469-E51D-4448-A50C-92E9D8C5F546}" sibTransId="{76F12291-A3C4-40BF-A8C4-DF76E19448D1}"/>
    <dgm:cxn modelId="{FECABE1E-C054-4731-A900-EE54BD162EFA}" type="presOf" srcId="{8F299FDE-DFB4-45B1-8A13-AE71EBF5DEFD}" destId="{D2286305-C155-461D-AC04-3562278DD982}" srcOrd="0" destOrd="0" presId="urn:microsoft.com/office/officeart/2005/8/layout/bList2"/>
    <dgm:cxn modelId="{27F2E77C-14B7-4D2E-9EA9-BCC9C60A8C01}" type="presOf" srcId="{6ED54CFB-A75E-4C9F-B761-B45F68C16D73}" destId="{EF81A26B-8161-4184-91CB-265539275373}" srcOrd="0" destOrd="0" presId="urn:microsoft.com/office/officeart/2005/8/layout/bList2"/>
    <dgm:cxn modelId="{9B823EEF-80D8-4E3B-A648-71DD9180940E}" srcId="{D0D0A048-1B26-4C0C-A1E0-D314D4376B8A}" destId="{FD0DD673-B0DE-412E-A854-8E4C54F514A9}" srcOrd="2" destOrd="0" parTransId="{38198CEF-5C9A-4B37-BBC0-4DB62EB62985}" sibTransId="{A6F1543D-96C4-4BCF-96E7-B1D24E3230DA}"/>
    <dgm:cxn modelId="{FECBA833-40E0-409E-BB27-3E474DC7DFD3}" type="presOf" srcId="{FD0DD673-B0DE-412E-A854-8E4C54F514A9}" destId="{2E1B4A33-4CEE-44D4-AEA9-A495A414FD66}" srcOrd="0" destOrd="0" presId="urn:microsoft.com/office/officeart/2005/8/layout/bList2"/>
    <dgm:cxn modelId="{8301051A-1E5F-49B6-B115-4E053490A6FB}" type="presOf" srcId="{52E659E5-5751-426A-B01A-B3CB4FC809D8}" destId="{BCC13845-37EC-4DAE-A0D0-FE92E66DACA1}" srcOrd="0" destOrd="0" presId="urn:microsoft.com/office/officeart/2005/8/layout/bList2"/>
    <dgm:cxn modelId="{FA8FC20E-316D-4A8B-97B4-E5218E43175D}" type="presOf" srcId="{D0D0A048-1B26-4C0C-A1E0-D314D4376B8A}" destId="{927584CD-4551-4E7B-9AD1-DFD11A2F3387}" srcOrd="0" destOrd="0" presId="urn:microsoft.com/office/officeart/2005/8/layout/bList2"/>
    <dgm:cxn modelId="{B863F118-2251-483A-89D7-CC2C9147DEA0}" type="presOf" srcId="{073D02E8-B407-44DB-9635-8A035CBAA0DD}" destId="{646943C3-565A-4D0E-8B50-977B98423884}" srcOrd="1" destOrd="0" presId="urn:microsoft.com/office/officeart/2005/8/layout/bList2"/>
    <dgm:cxn modelId="{9D81843E-E291-4B8E-A755-5941811E5189}" srcId="{D0D0A048-1B26-4C0C-A1E0-D314D4376B8A}" destId="{8F299FDE-DFB4-45B1-8A13-AE71EBF5DEFD}" srcOrd="4" destOrd="0" parTransId="{8C3BCC37-C30E-48BE-86D5-0C90EB6E4968}" sibTransId="{A0715261-447D-4410-93DD-8C2F28A4A721}"/>
    <dgm:cxn modelId="{F1151B50-0E4F-4727-95D3-C0A0501F5A96}" type="presOf" srcId="{BDAA873C-06C4-4292-AB75-3F4BE2711FA5}" destId="{8D53C20A-A26E-4804-93EE-77D8FE71B1EF}" srcOrd="0" destOrd="3" presId="urn:microsoft.com/office/officeart/2005/8/layout/bList2"/>
    <dgm:cxn modelId="{C83C16AE-85FA-4593-93BF-45B0BC0F5E0E}" type="presOf" srcId="{03D0ED98-23CC-4164-8A42-7C7AB0FE5200}" destId="{92EC05CD-3B9B-465A-86B3-9FEE6A73962E}" srcOrd="0" destOrd="0" presId="urn:microsoft.com/office/officeart/2005/8/layout/bList2"/>
    <dgm:cxn modelId="{B236B4A9-B0D6-4FE0-80B3-9A35FD853485}" type="presOf" srcId="{312CC63E-4081-4E4F-8E9A-E73A74863E99}" destId="{2570777C-B551-432B-B8CB-7000BF7A283B}" srcOrd="0" destOrd="0" presId="urn:microsoft.com/office/officeart/2005/8/layout/bList2"/>
    <dgm:cxn modelId="{F6DD4FE3-3B2B-4901-9889-FAD52313C1FF}" srcId="{D0D0A048-1B26-4C0C-A1E0-D314D4376B8A}" destId="{4BC31701-D437-4703-B550-FABB5365AA2A}" srcOrd="0" destOrd="0" parTransId="{1ACC6DDA-1756-4CFD-AADE-8446A720EBEC}" sibTransId="{23CBE571-CF76-4254-9371-E0CDC3CAD761}"/>
    <dgm:cxn modelId="{DAC58075-9E11-439F-8F71-366F5C80B10F}" type="presOf" srcId="{4BC31701-D437-4703-B550-FABB5365AA2A}" destId="{D3CBEBF1-62CE-4BAC-97E4-72EBF90FBDF7}" srcOrd="0" destOrd="0" presId="urn:microsoft.com/office/officeart/2005/8/layout/bList2"/>
    <dgm:cxn modelId="{0228DB37-B516-40D6-BAE5-1382388FEF9A}" srcId="{26756102-2070-4485-B2B7-52BB4991BA60}" destId="{069C29C7-553F-4580-BA8C-73346F8C521D}" srcOrd="2" destOrd="0" parTransId="{526B01A3-074D-4BC0-AFEB-6980AE4A2A2B}" sibTransId="{28ED08CF-275D-4235-8459-EC61079FDF99}"/>
    <dgm:cxn modelId="{9F3405E9-5DB4-46AB-9526-A2B205612AB5}" srcId="{D0D0A048-1B26-4C0C-A1E0-D314D4376B8A}" destId="{1F732800-FD81-453E-89B6-B99AEB88A145}" srcOrd="3" destOrd="0" parTransId="{07BD5EA3-8A5C-4DE2-AEB4-B491DA653609}" sibTransId="{52E659E5-5751-426A-B01A-B3CB4FC809D8}"/>
    <dgm:cxn modelId="{14708423-DE09-451B-B5F7-B26CBF392799}" srcId="{26756102-2070-4485-B2B7-52BB4991BA60}" destId="{BDAA873C-06C4-4292-AB75-3F4BE2711FA5}" srcOrd="1" destOrd="0" parTransId="{F8E972CC-7B7A-4429-8AEF-2977CBC55A77}" sibTransId="{C53D093B-5989-4D00-82B9-70E6B8F53793}"/>
    <dgm:cxn modelId="{B545B7D9-E781-437C-9DC6-5CF3A1ABB62E}" type="presOf" srcId="{1F732800-FD81-453E-89B6-B99AEB88A145}" destId="{8FE4F29D-2CDD-4C68-9719-9DB25A7F4FD9}" srcOrd="1" destOrd="0" presId="urn:microsoft.com/office/officeart/2005/8/layout/bList2"/>
    <dgm:cxn modelId="{13B940D5-CD15-4D22-BC03-32B0635E71D6}" type="presOf" srcId="{7D411F99-3150-4F64-AB4F-030757C8E3EB}" destId="{B83E0AC5-5982-4015-B3D6-5730C457E4B4}" srcOrd="0" destOrd="0" presId="urn:microsoft.com/office/officeart/2005/8/layout/bList2"/>
    <dgm:cxn modelId="{2DCE682A-E84B-4E3A-B6DF-FFF1C0601F93}" type="presOf" srcId="{DBA8213E-E617-4347-9F2A-C503EAA1D129}" destId="{BC972468-ECC2-4B4D-8B8A-E448E17AB0E7}" srcOrd="0" destOrd="0" presId="urn:microsoft.com/office/officeart/2005/8/layout/bList2"/>
    <dgm:cxn modelId="{2B62FA96-4A36-4538-AD2B-78226A890A57}" srcId="{D0D0A048-1B26-4C0C-A1E0-D314D4376B8A}" destId="{7E30FC0D-6528-41C8-998F-4C82066C1D9E}" srcOrd="6" destOrd="0" parTransId="{5447BC2B-8D1A-442F-BA91-BB770D3DC5CF}" sibTransId="{F4FAC639-5441-47A6-8249-16BC0BC5F5D8}"/>
    <dgm:cxn modelId="{3EB45324-8DC1-4BEB-93A8-CCE6A8D7A9A1}" srcId="{8F299FDE-DFB4-45B1-8A13-AE71EBF5DEFD}" destId="{DBA8213E-E617-4347-9F2A-C503EAA1D129}" srcOrd="0" destOrd="0" parTransId="{F65DF70F-8538-4A23-99AE-22CB88795CD4}" sibTransId="{17418252-722B-491D-B33B-2AC67CDA9A24}"/>
    <dgm:cxn modelId="{DA3A4996-8BE4-432B-961D-D1F7BAF6C399}" type="presOf" srcId="{FD0DD673-B0DE-412E-A854-8E4C54F514A9}" destId="{62FD7C23-DE48-442A-9099-ACC90D09EA89}" srcOrd="1" destOrd="0" presId="urn:microsoft.com/office/officeart/2005/8/layout/bList2"/>
    <dgm:cxn modelId="{21443AA1-ABF4-4AA2-9D15-1768158717C0}" type="presOf" srcId="{073D02E8-B407-44DB-9635-8A035CBAA0DD}" destId="{8E8FF5E3-E3C9-4DF6-AC38-B6809CA1A5A3}" srcOrd="0" destOrd="0" presId="urn:microsoft.com/office/officeart/2005/8/layout/bList2"/>
    <dgm:cxn modelId="{C7613C94-1D4C-4068-9744-62C221772F2E}" srcId="{FD0DD673-B0DE-412E-A854-8E4C54F514A9}" destId="{03D0ED98-23CC-4164-8A42-7C7AB0FE5200}" srcOrd="0" destOrd="0" parTransId="{AF5CF8F3-4D2F-4FAD-BDE6-6BF0F6A0BBBD}" sibTransId="{1CFAB2D4-BC10-4145-86D2-A12517786819}"/>
    <dgm:cxn modelId="{5D3C7D9C-01CD-417D-89FC-F5B119F0267B}" type="presOf" srcId="{8C92F194-9E2F-4DCE-B836-27C71387DD44}" destId="{8D53C20A-A26E-4804-93EE-77D8FE71B1EF}" srcOrd="0" destOrd="0" presId="urn:microsoft.com/office/officeart/2005/8/layout/bList2"/>
    <dgm:cxn modelId="{37DFAB5E-96D4-4555-986C-C0FDED89ADE7}" type="presOf" srcId="{7E30FC0D-6528-41C8-998F-4C82066C1D9E}" destId="{2A2D3009-70B3-4D31-9DBF-1CAB2D1105AE}" srcOrd="0" destOrd="0" presId="urn:microsoft.com/office/officeart/2005/8/layout/bList2"/>
    <dgm:cxn modelId="{5F7FD0CC-5062-41EF-B554-B609B7F1E88E}" type="presParOf" srcId="{927584CD-4551-4E7B-9AD1-DFD11A2F3387}" destId="{023C7F0E-6FBD-4D33-A686-4D5C8FC50F3E}" srcOrd="0" destOrd="0" presId="urn:microsoft.com/office/officeart/2005/8/layout/bList2"/>
    <dgm:cxn modelId="{1DB828CB-BC79-4447-B5C8-CDA7093030B9}" type="presParOf" srcId="{023C7F0E-6FBD-4D33-A686-4D5C8FC50F3E}" destId="{8D53C20A-A26E-4804-93EE-77D8FE71B1EF}" srcOrd="0" destOrd="0" presId="urn:microsoft.com/office/officeart/2005/8/layout/bList2"/>
    <dgm:cxn modelId="{B0FE2D3C-8548-4791-9CBA-AE004C1D3705}" type="presParOf" srcId="{023C7F0E-6FBD-4D33-A686-4D5C8FC50F3E}" destId="{D3CBEBF1-62CE-4BAC-97E4-72EBF90FBDF7}" srcOrd="1" destOrd="0" presId="urn:microsoft.com/office/officeart/2005/8/layout/bList2"/>
    <dgm:cxn modelId="{F2D3AA11-64B0-4E51-88E0-A8472C527DC6}" type="presParOf" srcId="{023C7F0E-6FBD-4D33-A686-4D5C8FC50F3E}" destId="{74974F7C-74C8-4F23-A959-D9168713A388}" srcOrd="2" destOrd="0" presId="urn:microsoft.com/office/officeart/2005/8/layout/bList2"/>
    <dgm:cxn modelId="{50F52752-0E85-4075-9FB5-86044B845133}" type="presParOf" srcId="{023C7F0E-6FBD-4D33-A686-4D5C8FC50F3E}" destId="{B4F6706A-1B2C-491F-8A77-AFF80D2AC734}" srcOrd="3" destOrd="0" presId="urn:microsoft.com/office/officeart/2005/8/layout/bList2"/>
    <dgm:cxn modelId="{3B1CA037-ED0B-4367-8536-CEC89177A374}" type="presParOf" srcId="{927584CD-4551-4E7B-9AD1-DFD11A2F3387}" destId="{10D5A9EB-46F3-4AAE-BEC3-FFE72DB3E1B5}" srcOrd="1" destOrd="0" presId="urn:microsoft.com/office/officeart/2005/8/layout/bList2"/>
    <dgm:cxn modelId="{4EEFAD82-8456-4EF7-96D7-C32EEA51EB8F}" type="presParOf" srcId="{927584CD-4551-4E7B-9AD1-DFD11A2F3387}" destId="{C47FCE61-99C7-45A0-8044-F3E444A57D5E}" srcOrd="2" destOrd="0" presId="urn:microsoft.com/office/officeart/2005/8/layout/bList2"/>
    <dgm:cxn modelId="{1E7D6240-BD9F-4D02-9D2F-999D4D69BA62}" type="presParOf" srcId="{C47FCE61-99C7-45A0-8044-F3E444A57D5E}" destId="{2570777C-B551-432B-B8CB-7000BF7A283B}" srcOrd="0" destOrd="0" presId="urn:microsoft.com/office/officeart/2005/8/layout/bList2"/>
    <dgm:cxn modelId="{E632CF30-67A7-4365-B8E7-96803FCDE531}" type="presParOf" srcId="{C47FCE61-99C7-45A0-8044-F3E444A57D5E}" destId="{8E8FF5E3-E3C9-4DF6-AC38-B6809CA1A5A3}" srcOrd="1" destOrd="0" presId="urn:microsoft.com/office/officeart/2005/8/layout/bList2"/>
    <dgm:cxn modelId="{2884AA73-6640-4057-879F-0753ADBBBE0A}" type="presParOf" srcId="{C47FCE61-99C7-45A0-8044-F3E444A57D5E}" destId="{646943C3-565A-4D0E-8B50-977B98423884}" srcOrd="2" destOrd="0" presId="urn:microsoft.com/office/officeart/2005/8/layout/bList2"/>
    <dgm:cxn modelId="{A25EB0D8-BEA8-4EEB-AB81-C2261EC93B46}" type="presParOf" srcId="{C47FCE61-99C7-45A0-8044-F3E444A57D5E}" destId="{3C91BDF1-82DF-4C48-B4AD-07CE2355219B}" srcOrd="3" destOrd="0" presId="urn:microsoft.com/office/officeart/2005/8/layout/bList2"/>
    <dgm:cxn modelId="{BF7C0632-030B-461D-9D6A-0004A099C3C9}" type="presParOf" srcId="{927584CD-4551-4E7B-9AD1-DFD11A2F3387}" destId="{78414A81-F3BD-4FFB-A8B4-1E2828FD9527}" srcOrd="3" destOrd="0" presId="urn:microsoft.com/office/officeart/2005/8/layout/bList2"/>
    <dgm:cxn modelId="{DE03949A-CAD1-4109-842E-AD64F52C621B}" type="presParOf" srcId="{927584CD-4551-4E7B-9AD1-DFD11A2F3387}" destId="{46F1B8D0-AF6D-4C1D-9300-B1CD357A979F}" srcOrd="4" destOrd="0" presId="urn:microsoft.com/office/officeart/2005/8/layout/bList2"/>
    <dgm:cxn modelId="{E728B55D-C1EB-4C10-9B20-0D11DCB20E51}" type="presParOf" srcId="{46F1B8D0-AF6D-4C1D-9300-B1CD357A979F}" destId="{92EC05CD-3B9B-465A-86B3-9FEE6A73962E}" srcOrd="0" destOrd="0" presId="urn:microsoft.com/office/officeart/2005/8/layout/bList2"/>
    <dgm:cxn modelId="{B76D18FB-ABA7-4EDA-B369-B8EBF5101472}" type="presParOf" srcId="{46F1B8D0-AF6D-4C1D-9300-B1CD357A979F}" destId="{2E1B4A33-4CEE-44D4-AEA9-A495A414FD66}" srcOrd="1" destOrd="0" presId="urn:microsoft.com/office/officeart/2005/8/layout/bList2"/>
    <dgm:cxn modelId="{CC1F073A-B54C-4AD1-BD63-261232EDEBEA}" type="presParOf" srcId="{46F1B8D0-AF6D-4C1D-9300-B1CD357A979F}" destId="{62FD7C23-DE48-442A-9099-ACC90D09EA89}" srcOrd="2" destOrd="0" presId="urn:microsoft.com/office/officeart/2005/8/layout/bList2"/>
    <dgm:cxn modelId="{6DEFAE85-1E71-4D18-B2B2-E55BD03EA34D}" type="presParOf" srcId="{46F1B8D0-AF6D-4C1D-9300-B1CD357A979F}" destId="{E4984D74-91BF-46BD-837C-C297C132C75D}" srcOrd="3" destOrd="0" presId="urn:microsoft.com/office/officeart/2005/8/layout/bList2"/>
    <dgm:cxn modelId="{FF74A8ED-2C65-4039-8A35-17D9FBC190FD}" type="presParOf" srcId="{927584CD-4551-4E7B-9AD1-DFD11A2F3387}" destId="{46CA31D8-0C43-4371-854C-0D1510BC20BB}" srcOrd="5" destOrd="0" presId="urn:microsoft.com/office/officeart/2005/8/layout/bList2"/>
    <dgm:cxn modelId="{950AAE26-A319-40CB-980E-999B8D49489E}" type="presParOf" srcId="{927584CD-4551-4E7B-9AD1-DFD11A2F3387}" destId="{368069F1-2559-4510-9CB6-7F416073D024}" srcOrd="6" destOrd="0" presId="urn:microsoft.com/office/officeart/2005/8/layout/bList2"/>
    <dgm:cxn modelId="{FDCD80D1-133B-443A-9721-4149D03E0B80}" type="presParOf" srcId="{368069F1-2559-4510-9CB6-7F416073D024}" destId="{B83E0AC5-5982-4015-B3D6-5730C457E4B4}" srcOrd="0" destOrd="0" presId="urn:microsoft.com/office/officeart/2005/8/layout/bList2"/>
    <dgm:cxn modelId="{01C29E36-D46B-4E74-843D-20155C19D026}" type="presParOf" srcId="{368069F1-2559-4510-9CB6-7F416073D024}" destId="{BAD41CF1-A565-4645-8DC6-CDC72B0DF2D3}" srcOrd="1" destOrd="0" presId="urn:microsoft.com/office/officeart/2005/8/layout/bList2"/>
    <dgm:cxn modelId="{2171B168-098E-41F0-8F92-EA4FB63CE36A}" type="presParOf" srcId="{368069F1-2559-4510-9CB6-7F416073D024}" destId="{8FE4F29D-2CDD-4C68-9719-9DB25A7F4FD9}" srcOrd="2" destOrd="0" presId="urn:microsoft.com/office/officeart/2005/8/layout/bList2"/>
    <dgm:cxn modelId="{5AA32267-C7CE-45A0-9B99-DBE7992DBDD6}" type="presParOf" srcId="{368069F1-2559-4510-9CB6-7F416073D024}" destId="{6B14FFD5-E9A8-4D16-A77A-A58D48FEA4BE}" srcOrd="3" destOrd="0" presId="urn:microsoft.com/office/officeart/2005/8/layout/bList2"/>
    <dgm:cxn modelId="{2F9483B7-5221-4BDF-9023-8B441D138926}" type="presParOf" srcId="{927584CD-4551-4E7B-9AD1-DFD11A2F3387}" destId="{BCC13845-37EC-4DAE-A0D0-FE92E66DACA1}" srcOrd="7" destOrd="0" presId="urn:microsoft.com/office/officeart/2005/8/layout/bList2"/>
    <dgm:cxn modelId="{44F9A681-867B-4DA0-9DC5-8ADF3E2D1D70}" type="presParOf" srcId="{927584CD-4551-4E7B-9AD1-DFD11A2F3387}" destId="{AEB2D907-0B8A-49FA-86F0-8B113DE8A7B4}" srcOrd="8" destOrd="0" presId="urn:microsoft.com/office/officeart/2005/8/layout/bList2"/>
    <dgm:cxn modelId="{0EC8E3D8-6293-46E2-991C-02371F152BD1}" type="presParOf" srcId="{AEB2D907-0B8A-49FA-86F0-8B113DE8A7B4}" destId="{BC972468-ECC2-4B4D-8B8A-E448E17AB0E7}" srcOrd="0" destOrd="0" presId="urn:microsoft.com/office/officeart/2005/8/layout/bList2"/>
    <dgm:cxn modelId="{CB85F139-A52C-449D-A6E4-A2D67F730E91}" type="presParOf" srcId="{AEB2D907-0B8A-49FA-86F0-8B113DE8A7B4}" destId="{D2286305-C155-461D-AC04-3562278DD982}" srcOrd="1" destOrd="0" presId="urn:microsoft.com/office/officeart/2005/8/layout/bList2"/>
    <dgm:cxn modelId="{C0428674-6569-46DE-9F31-AA5FBB593D14}" type="presParOf" srcId="{AEB2D907-0B8A-49FA-86F0-8B113DE8A7B4}" destId="{466613EB-00AD-4318-8563-D508449D3D29}" srcOrd="2" destOrd="0" presId="urn:microsoft.com/office/officeart/2005/8/layout/bList2"/>
    <dgm:cxn modelId="{905482BA-95BA-4AC7-808E-DE9DF4789A07}" type="presParOf" srcId="{AEB2D907-0B8A-49FA-86F0-8B113DE8A7B4}" destId="{A943E572-D10B-45C5-B004-0C3003AB1305}" srcOrd="3" destOrd="0" presId="urn:microsoft.com/office/officeart/2005/8/layout/bList2"/>
    <dgm:cxn modelId="{DD95578E-DFBE-4DD5-9934-1DA850922CDC}" type="presParOf" srcId="{927584CD-4551-4E7B-9AD1-DFD11A2F3387}" destId="{5E5A2C77-2B45-433E-BB5D-09B5C2BC539C}" srcOrd="9" destOrd="0" presId="urn:microsoft.com/office/officeart/2005/8/layout/bList2"/>
    <dgm:cxn modelId="{A83C4E9F-EDA8-4D00-B464-709EC751DB72}" type="presParOf" srcId="{927584CD-4551-4E7B-9AD1-DFD11A2F3387}" destId="{A61A85E9-62D9-4E06-A345-1FE889A2D521}" srcOrd="10" destOrd="0" presId="urn:microsoft.com/office/officeart/2005/8/layout/bList2"/>
    <dgm:cxn modelId="{C238B391-33CF-46BC-8C64-5C3A97146347}" type="presParOf" srcId="{A61A85E9-62D9-4E06-A345-1FE889A2D521}" destId="{B832B3D7-18ED-4940-A55E-BA0711F3E339}" srcOrd="0" destOrd="0" presId="urn:microsoft.com/office/officeart/2005/8/layout/bList2"/>
    <dgm:cxn modelId="{5EDD2821-4DDF-45EF-A581-3EDD25BFC161}" type="presParOf" srcId="{A61A85E9-62D9-4E06-A345-1FE889A2D521}" destId="{55306B64-4AB1-4A66-A78D-6395E08B81C7}" srcOrd="1" destOrd="0" presId="urn:microsoft.com/office/officeart/2005/8/layout/bList2"/>
    <dgm:cxn modelId="{FE44833E-2EF5-407C-B27E-F36B4B21356D}" type="presParOf" srcId="{A61A85E9-62D9-4E06-A345-1FE889A2D521}" destId="{3C069F95-8841-4841-B493-A04656E468BB}" srcOrd="2" destOrd="0" presId="urn:microsoft.com/office/officeart/2005/8/layout/bList2"/>
    <dgm:cxn modelId="{E5F34F84-2ADA-4342-9E61-6132D72E9425}" type="presParOf" srcId="{A61A85E9-62D9-4E06-A345-1FE889A2D521}" destId="{9DDB0300-15E6-4E4D-B181-D7630A791AC5}" srcOrd="3" destOrd="0" presId="urn:microsoft.com/office/officeart/2005/8/layout/bList2"/>
    <dgm:cxn modelId="{566A2362-0CDA-4D31-84B2-6EBDAE7DDC12}" type="presParOf" srcId="{927584CD-4551-4E7B-9AD1-DFD11A2F3387}" destId="{2A574823-AAFE-43B7-904F-7D56155431D1}" srcOrd="11" destOrd="0" presId="urn:microsoft.com/office/officeart/2005/8/layout/bList2"/>
    <dgm:cxn modelId="{06696F33-472F-410E-87CB-EAA316E2872E}" type="presParOf" srcId="{927584CD-4551-4E7B-9AD1-DFD11A2F3387}" destId="{A5926469-FBB7-48D3-B300-B9DDF099E4E7}" srcOrd="12" destOrd="0" presId="urn:microsoft.com/office/officeart/2005/8/layout/bList2"/>
    <dgm:cxn modelId="{96829C90-E840-401F-9740-C4692C079AC5}" type="presParOf" srcId="{A5926469-FBB7-48D3-B300-B9DDF099E4E7}" destId="{EF81A26B-8161-4184-91CB-265539275373}" srcOrd="0" destOrd="0" presId="urn:microsoft.com/office/officeart/2005/8/layout/bList2"/>
    <dgm:cxn modelId="{33ED1361-D7FE-4CCC-A829-4746BE0F8765}" type="presParOf" srcId="{A5926469-FBB7-48D3-B300-B9DDF099E4E7}" destId="{2A2D3009-70B3-4D31-9DBF-1CAB2D1105AE}" srcOrd="1" destOrd="0" presId="urn:microsoft.com/office/officeart/2005/8/layout/bList2"/>
    <dgm:cxn modelId="{64121A0E-6203-4BEF-80CE-65E2D91A1F86}" type="presParOf" srcId="{A5926469-FBB7-48D3-B300-B9DDF099E4E7}" destId="{E038B586-F157-4E40-BE50-6A0FB59C68A4}" srcOrd="2" destOrd="0" presId="urn:microsoft.com/office/officeart/2005/8/layout/bList2"/>
    <dgm:cxn modelId="{CD5EEDCB-EF59-4C1E-8AC1-FE2057A93718}" type="presParOf" srcId="{A5926469-FBB7-48D3-B300-B9DDF099E4E7}" destId="{D3632487-BD58-4E7A-BBAB-8D379D831840}" srcOrd="3" destOrd="0" presId="urn:microsoft.com/office/officeart/2005/8/layout/b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4469D3-5810-430C-9150-A8623041987D}">
      <dsp:nvSpPr>
        <dsp:cNvPr id="0" name=""/>
        <dsp:cNvSpPr/>
      </dsp:nvSpPr>
      <dsp:spPr>
        <a:xfrm rot="5400000">
          <a:off x="-70850" y="76152"/>
          <a:ext cx="472335" cy="330634"/>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ea typeface="+mn-ea"/>
              <a:cs typeface="Arial" panose="020B0604020202020204" pitchFamily="34" charset="0"/>
            </a:rPr>
            <a:t>1994</a:t>
          </a:r>
        </a:p>
      </dsp:txBody>
      <dsp:txXfrm rot="-5400000">
        <a:off x="1" y="170618"/>
        <a:ext cx="330634" cy="141701"/>
      </dsp:txXfrm>
    </dsp:sp>
    <dsp:sp modelId="{6C9B0EEE-FBD6-4563-BB68-4BE669A6AC2E}">
      <dsp:nvSpPr>
        <dsp:cNvPr id="0" name=""/>
        <dsp:cNvSpPr/>
      </dsp:nvSpPr>
      <dsp:spPr>
        <a:xfrm rot="5400000">
          <a:off x="2877482" y="-2541545"/>
          <a:ext cx="307179" cy="5400875"/>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RDP - ANC Promises to deliver 1 million houses post 1994</a:t>
          </a:r>
        </a:p>
      </dsp:txBody>
      <dsp:txXfrm rot="-5400000">
        <a:off x="330635" y="20297"/>
        <a:ext cx="5385880" cy="277189"/>
      </dsp:txXfrm>
    </dsp:sp>
    <dsp:sp modelId="{562EA293-DF07-4629-98D5-2B694A7D71AB}">
      <dsp:nvSpPr>
        <dsp:cNvPr id="0" name=""/>
        <dsp:cNvSpPr/>
      </dsp:nvSpPr>
      <dsp:spPr>
        <a:xfrm rot="5400000">
          <a:off x="-70850" y="499231"/>
          <a:ext cx="472335" cy="330634"/>
        </a:xfrm>
        <a:prstGeom prst="chevron">
          <a:avLst/>
        </a:prstGeom>
        <a:solidFill>
          <a:schemeClr val="accent2">
            <a:hueOff val="-132306"/>
            <a:satOff val="-7630"/>
            <a:lumOff val="784"/>
            <a:alphaOff val="0"/>
          </a:schemeClr>
        </a:solidFill>
        <a:ln w="12700" cap="flat" cmpd="sng" algn="ctr">
          <a:solidFill>
            <a:schemeClr val="accent2">
              <a:hueOff val="-132306"/>
              <a:satOff val="-7630"/>
              <a:lumOff val="784"/>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ea typeface="+mn-ea"/>
              <a:cs typeface="Arial" panose="020B0604020202020204" pitchFamily="34" charset="0"/>
            </a:rPr>
            <a:t>1995</a:t>
          </a:r>
        </a:p>
      </dsp:txBody>
      <dsp:txXfrm rot="-5400000">
        <a:off x="1" y="593697"/>
        <a:ext cx="330634" cy="141701"/>
      </dsp:txXfrm>
    </dsp:sp>
    <dsp:sp modelId="{23DF97E0-A2DF-4CE4-849A-3C2FD9EDDA15}">
      <dsp:nvSpPr>
        <dsp:cNvPr id="0" name=""/>
        <dsp:cNvSpPr/>
      </dsp:nvSpPr>
      <dsp:spPr>
        <a:xfrm rot="5400000">
          <a:off x="2877563" y="-2118547"/>
          <a:ext cx="307018" cy="5400875"/>
        </a:xfrm>
        <a:prstGeom prst="round2SameRect">
          <a:avLst/>
        </a:prstGeom>
        <a:solidFill>
          <a:schemeClr val="lt1">
            <a:alpha val="90000"/>
            <a:hueOff val="0"/>
            <a:satOff val="0"/>
            <a:lumOff val="0"/>
            <a:alphaOff val="0"/>
          </a:schemeClr>
        </a:solidFill>
        <a:ln w="12700" cap="flat" cmpd="sng" algn="ctr">
          <a:solidFill>
            <a:schemeClr val="accent2">
              <a:hueOff val="-132306"/>
              <a:satOff val="-7630"/>
              <a:lumOff val="78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Botshabelo Accord - Encourage banks to finance homes in townships</a:t>
          </a:r>
        </a:p>
      </dsp:txBody>
      <dsp:txXfrm rot="-5400000">
        <a:off x="330635" y="443368"/>
        <a:ext cx="5385888" cy="277044"/>
      </dsp:txXfrm>
    </dsp:sp>
    <dsp:sp modelId="{9F74C5AE-DAF2-49FD-9FAE-E0F9D690F5CA}">
      <dsp:nvSpPr>
        <dsp:cNvPr id="0" name=""/>
        <dsp:cNvSpPr/>
      </dsp:nvSpPr>
      <dsp:spPr>
        <a:xfrm rot="5400000">
          <a:off x="-70850" y="922310"/>
          <a:ext cx="472335" cy="330634"/>
        </a:xfrm>
        <a:prstGeom prst="chevron">
          <a:avLst/>
        </a:prstGeom>
        <a:solidFill>
          <a:schemeClr val="accent2">
            <a:hueOff val="-264611"/>
            <a:satOff val="-15260"/>
            <a:lumOff val="1569"/>
            <a:alphaOff val="0"/>
          </a:schemeClr>
        </a:solidFill>
        <a:ln w="12700" cap="flat" cmpd="sng" algn="ctr">
          <a:solidFill>
            <a:schemeClr val="accent2">
              <a:hueOff val="-264611"/>
              <a:satOff val="-15260"/>
              <a:lumOff val="1569"/>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ea typeface="+mn-ea"/>
              <a:cs typeface="Arial" panose="020B0604020202020204" pitchFamily="34" charset="0"/>
            </a:rPr>
            <a:t>2000</a:t>
          </a:r>
        </a:p>
      </dsp:txBody>
      <dsp:txXfrm rot="-5400000">
        <a:off x="1" y="1016776"/>
        <a:ext cx="330634" cy="141701"/>
      </dsp:txXfrm>
    </dsp:sp>
    <dsp:sp modelId="{93C52B0E-EC5F-428D-A024-B2041B770B39}">
      <dsp:nvSpPr>
        <dsp:cNvPr id="0" name=""/>
        <dsp:cNvSpPr/>
      </dsp:nvSpPr>
      <dsp:spPr>
        <a:xfrm rot="5400000">
          <a:off x="2877563" y="-1695468"/>
          <a:ext cx="307018" cy="5400875"/>
        </a:xfrm>
        <a:prstGeom prst="round2SameRect">
          <a:avLst/>
        </a:prstGeom>
        <a:solidFill>
          <a:schemeClr val="lt1">
            <a:alpha val="90000"/>
            <a:hueOff val="0"/>
            <a:satOff val="0"/>
            <a:lumOff val="0"/>
            <a:alphaOff val="0"/>
          </a:schemeClr>
        </a:solidFill>
        <a:ln w="12700" cap="flat" cmpd="sng" algn="ctr">
          <a:solidFill>
            <a:schemeClr val="accent2">
              <a:hueOff val="-264611"/>
              <a:satOff val="-15260"/>
              <a:lumOff val="15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Community reinvestment Bill - legislate targets for low-income housing financing</a:t>
          </a:r>
        </a:p>
      </dsp:txBody>
      <dsp:txXfrm rot="-5400000">
        <a:off x="330635" y="866447"/>
        <a:ext cx="5385888" cy="277044"/>
      </dsp:txXfrm>
    </dsp:sp>
    <dsp:sp modelId="{21BF8BDE-6294-4123-8AF9-F0E68ECA386A}">
      <dsp:nvSpPr>
        <dsp:cNvPr id="0" name=""/>
        <dsp:cNvSpPr/>
      </dsp:nvSpPr>
      <dsp:spPr>
        <a:xfrm rot="5400000">
          <a:off x="-70850" y="1345389"/>
          <a:ext cx="472335" cy="330634"/>
        </a:xfrm>
        <a:prstGeom prst="chevron">
          <a:avLst/>
        </a:prstGeom>
        <a:solidFill>
          <a:schemeClr val="accent2">
            <a:hueOff val="-396917"/>
            <a:satOff val="-22889"/>
            <a:lumOff val="2353"/>
            <a:alphaOff val="0"/>
          </a:schemeClr>
        </a:solidFill>
        <a:ln w="12700" cap="flat" cmpd="sng" algn="ctr">
          <a:solidFill>
            <a:schemeClr val="accent2">
              <a:hueOff val="-396917"/>
              <a:satOff val="-22889"/>
              <a:lumOff val="2353"/>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ea typeface="+mn-ea"/>
              <a:cs typeface="Arial" panose="020B0604020202020204" pitchFamily="34" charset="0"/>
            </a:rPr>
            <a:t>2002</a:t>
          </a:r>
        </a:p>
      </dsp:txBody>
      <dsp:txXfrm rot="-5400000">
        <a:off x="1" y="1439855"/>
        <a:ext cx="330634" cy="141701"/>
      </dsp:txXfrm>
    </dsp:sp>
    <dsp:sp modelId="{D0B18EE8-E29C-4DD6-94D3-F84FF023814E}">
      <dsp:nvSpPr>
        <dsp:cNvPr id="0" name=""/>
        <dsp:cNvSpPr/>
      </dsp:nvSpPr>
      <dsp:spPr>
        <a:xfrm rot="5400000">
          <a:off x="2877563" y="-1272389"/>
          <a:ext cx="307018" cy="5400875"/>
        </a:xfrm>
        <a:prstGeom prst="round2SameRect">
          <a:avLst/>
        </a:prstGeom>
        <a:solidFill>
          <a:schemeClr val="lt1">
            <a:alpha val="90000"/>
            <a:hueOff val="0"/>
            <a:satOff val="0"/>
            <a:lumOff val="0"/>
            <a:alphaOff val="0"/>
          </a:schemeClr>
        </a:solidFill>
        <a:ln w="12700" cap="flat" cmpd="sng" algn="ctr">
          <a:solidFill>
            <a:schemeClr val="accent2">
              <a:hueOff val="-396917"/>
              <a:satOff val="-22889"/>
              <a:lumOff val="2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Financial Sector Summit and Agreements - NEDLAC agreements on transformation in the financal sector</a:t>
          </a:r>
        </a:p>
      </dsp:txBody>
      <dsp:txXfrm rot="-5400000">
        <a:off x="330635" y="1289526"/>
        <a:ext cx="5385888" cy="277044"/>
      </dsp:txXfrm>
    </dsp:sp>
    <dsp:sp modelId="{4C01804C-FEBA-45F5-8CE0-AC351DAE620C}">
      <dsp:nvSpPr>
        <dsp:cNvPr id="0" name=""/>
        <dsp:cNvSpPr/>
      </dsp:nvSpPr>
      <dsp:spPr>
        <a:xfrm rot="5400000">
          <a:off x="-70850" y="1768468"/>
          <a:ext cx="472335" cy="330634"/>
        </a:xfrm>
        <a:prstGeom prst="chevron">
          <a:avLst/>
        </a:prstGeom>
        <a:solidFill>
          <a:schemeClr val="accent2">
            <a:hueOff val="-529223"/>
            <a:satOff val="-30519"/>
            <a:lumOff val="3137"/>
            <a:alphaOff val="0"/>
          </a:schemeClr>
        </a:solidFill>
        <a:ln w="12700" cap="flat" cmpd="sng" algn="ctr">
          <a:solidFill>
            <a:schemeClr val="accent2">
              <a:hueOff val="-529223"/>
              <a:satOff val="-30519"/>
              <a:lumOff val="3137"/>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ea typeface="+mn-ea"/>
              <a:cs typeface="Arial" panose="020B0604020202020204" pitchFamily="34" charset="0"/>
            </a:rPr>
            <a:t>2003</a:t>
          </a:r>
        </a:p>
      </dsp:txBody>
      <dsp:txXfrm rot="-5400000">
        <a:off x="1" y="1862934"/>
        <a:ext cx="330634" cy="141701"/>
      </dsp:txXfrm>
    </dsp:sp>
    <dsp:sp modelId="{20CE4FA8-627C-4FC9-AE36-5FA657DE5979}">
      <dsp:nvSpPr>
        <dsp:cNvPr id="0" name=""/>
        <dsp:cNvSpPr/>
      </dsp:nvSpPr>
      <dsp:spPr>
        <a:xfrm rot="5400000">
          <a:off x="2877563" y="-849310"/>
          <a:ext cx="307018" cy="5400875"/>
        </a:xfrm>
        <a:prstGeom prst="round2SameRect">
          <a:avLst/>
        </a:prstGeom>
        <a:solidFill>
          <a:schemeClr val="lt1">
            <a:alpha val="90000"/>
            <a:hueOff val="0"/>
            <a:satOff val="0"/>
            <a:lumOff val="0"/>
            <a:alphaOff val="0"/>
          </a:schemeClr>
        </a:solidFill>
        <a:ln w="12700" cap="flat" cmpd="sng" algn="ctr">
          <a:solidFill>
            <a:schemeClr val="accent2">
              <a:hueOff val="-529223"/>
              <a:satOff val="-30519"/>
              <a:lumOff val="313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Financial Sector Charter Signed </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BEE Act Drafted</a:t>
          </a:r>
        </a:p>
      </dsp:txBody>
      <dsp:txXfrm rot="-5400000">
        <a:off x="330635" y="1712605"/>
        <a:ext cx="5385888" cy="277044"/>
      </dsp:txXfrm>
    </dsp:sp>
    <dsp:sp modelId="{0B706471-661F-4687-A583-494B11A8FDEB}">
      <dsp:nvSpPr>
        <dsp:cNvPr id="0" name=""/>
        <dsp:cNvSpPr/>
      </dsp:nvSpPr>
      <dsp:spPr>
        <a:xfrm rot="5400000">
          <a:off x="-70850" y="2191547"/>
          <a:ext cx="472335" cy="330634"/>
        </a:xfrm>
        <a:prstGeom prst="chevron">
          <a:avLst/>
        </a:prstGeom>
        <a:solidFill>
          <a:schemeClr val="accent2">
            <a:hueOff val="-661529"/>
            <a:satOff val="-38149"/>
            <a:lumOff val="3922"/>
            <a:alphaOff val="0"/>
          </a:schemeClr>
        </a:solidFill>
        <a:ln w="12700" cap="flat" cmpd="sng" algn="ctr">
          <a:solidFill>
            <a:schemeClr val="accent2">
              <a:hueOff val="-661529"/>
              <a:satOff val="-38149"/>
              <a:lumOff val="3922"/>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ea typeface="+mn-ea"/>
              <a:cs typeface="Arial" panose="020B0604020202020204" pitchFamily="34" charset="0"/>
            </a:rPr>
            <a:t>2004</a:t>
          </a:r>
        </a:p>
      </dsp:txBody>
      <dsp:txXfrm rot="-5400000">
        <a:off x="1" y="2286013"/>
        <a:ext cx="330634" cy="141701"/>
      </dsp:txXfrm>
    </dsp:sp>
    <dsp:sp modelId="{CA0524D3-3946-448E-9294-4B35DB246A30}">
      <dsp:nvSpPr>
        <dsp:cNvPr id="0" name=""/>
        <dsp:cNvSpPr/>
      </dsp:nvSpPr>
      <dsp:spPr>
        <a:xfrm rot="5400000">
          <a:off x="2877563" y="-426231"/>
          <a:ext cx="307018" cy="5400875"/>
        </a:xfrm>
        <a:prstGeom prst="round2SameRect">
          <a:avLst/>
        </a:prstGeom>
        <a:solidFill>
          <a:schemeClr val="lt1">
            <a:alpha val="90000"/>
            <a:hueOff val="0"/>
            <a:satOff val="0"/>
            <a:lumOff val="0"/>
            <a:alphaOff val="0"/>
          </a:schemeClr>
        </a:solidFill>
        <a:ln w="12700" cap="flat" cmpd="sng" algn="ctr">
          <a:solidFill>
            <a:schemeClr val="accent2">
              <a:hueOff val="-661529"/>
              <a:satOff val="-38149"/>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BEE Act Gazetted </a:t>
          </a:r>
        </a:p>
      </dsp:txBody>
      <dsp:txXfrm rot="-5400000">
        <a:off x="330635" y="2135684"/>
        <a:ext cx="5385888" cy="277044"/>
      </dsp:txXfrm>
    </dsp:sp>
    <dsp:sp modelId="{C7D8F103-1DBB-42AD-9B88-D7AD8CF23ECC}">
      <dsp:nvSpPr>
        <dsp:cNvPr id="0" name=""/>
        <dsp:cNvSpPr/>
      </dsp:nvSpPr>
      <dsp:spPr>
        <a:xfrm rot="5400000">
          <a:off x="-70850" y="2614626"/>
          <a:ext cx="472335" cy="330634"/>
        </a:xfrm>
        <a:prstGeom prst="chevron">
          <a:avLst/>
        </a:prstGeom>
        <a:solidFill>
          <a:schemeClr val="accent2">
            <a:hueOff val="-793834"/>
            <a:satOff val="-45779"/>
            <a:lumOff val="4706"/>
            <a:alphaOff val="0"/>
          </a:schemeClr>
        </a:solidFill>
        <a:ln w="12700" cap="flat" cmpd="sng" algn="ctr">
          <a:solidFill>
            <a:schemeClr val="accent2">
              <a:hueOff val="-793834"/>
              <a:satOff val="-45779"/>
              <a:lumOff val="4706"/>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ea typeface="+mn-ea"/>
              <a:cs typeface="Arial" panose="020B0604020202020204" pitchFamily="34" charset="0"/>
            </a:rPr>
            <a:t>2004 </a:t>
          </a:r>
        </a:p>
      </dsp:txBody>
      <dsp:txXfrm rot="-5400000">
        <a:off x="1" y="2709092"/>
        <a:ext cx="330634" cy="141701"/>
      </dsp:txXfrm>
    </dsp:sp>
    <dsp:sp modelId="{125611EA-86B1-44C0-8BD1-C7B1C05D746D}">
      <dsp:nvSpPr>
        <dsp:cNvPr id="0" name=""/>
        <dsp:cNvSpPr/>
      </dsp:nvSpPr>
      <dsp:spPr>
        <a:xfrm rot="5400000">
          <a:off x="2877563" y="-3152"/>
          <a:ext cx="307018" cy="5400875"/>
        </a:xfrm>
        <a:prstGeom prst="round2SameRect">
          <a:avLst/>
        </a:prstGeom>
        <a:solidFill>
          <a:schemeClr val="lt1">
            <a:alpha val="90000"/>
            <a:hueOff val="0"/>
            <a:satOff val="0"/>
            <a:lumOff val="0"/>
            <a:alphaOff val="0"/>
          </a:schemeClr>
        </a:solidFill>
        <a:ln w="12700" cap="flat" cmpd="sng" algn="ctr">
          <a:solidFill>
            <a:schemeClr val="accent2">
              <a:hueOff val="-793834"/>
              <a:satOff val="-45779"/>
              <a:lumOff val="4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BEE Codes Gazetted</a:t>
          </a:r>
        </a:p>
      </dsp:txBody>
      <dsp:txXfrm rot="-5400000">
        <a:off x="330635" y="2558764"/>
        <a:ext cx="5385888" cy="277044"/>
      </dsp:txXfrm>
    </dsp:sp>
    <dsp:sp modelId="{639E7B12-708E-490B-A0A9-A9FD5BA2BEB6}">
      <dsp:nvSpPr>
        <dsp:cNvPr id="0" name=""/>
        <dsp:cNvSpPr/>
      </dsp:nvSpPr>
      <dsp:spPr>
        <a:xfrm rot="5400000">
          <a:off x="-70850" y="3037705"/>
          <a:ext cx="472335" cy="330634"/>
        </a:xfrm>
        <a:prstGeom prst="chevron">
          <a:avLst/>
        </a:prstGeom>
        <a:solidFill>
          <a:schemeClr val="accent2">
            <a:hueOff val="-926140"/>
            <a:satOff val="-53409"/>
            <a:lumOff val="5491"/>
            <a:alphaOff val="0"/>
          </a:schemeClr>
        </a:solidFill>
        <a:ln w="12700" cap="flat" cmpd="sng" algn="ctr">
          <a:solidFill>
            <a:schemeClr val="accent2">
              <a:hueOff val="-926140"/>
              <a:satOff val="-53409"/>
              <a:lumOff val="5491"/>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ea typeface="+mn-ea"/>
              <a:cs typeface="Arial" panose="020B0604020202020204" pitchFamily="34" charset="0"/>
            </a:rPr>
            <a:t>2007 </a:t>
          </a:r>
        </a:p>
      </dsp:txBody>
      <dsp:txXfrm rot="-5400000">
        <a:off x="1" y="3132171"/>
        <a:ext cx="330634" cy="141701"/>
      </dsp:txXfrm>
    </dsp:sp>
    <dsp:sp modelId="{0F912F81-B673-4EB9-9C54-A3EF4B41550A}">
      <dsp:nvSpPr>
        <dsp:cNvPr id="0" name=""/>
        <dsp:cNvSpPr/>
      </dsp:nvSpPr>
      <dsp:spPr>
        <a:xfrm rot="5400000">
          <a:off x="2877563" y="419926"/>
          <a:ext cx="307018" cy="5400875"/>
        </a:xfrm>
        <a:prstGeom prst="round2SameRect">
          <a:avLst/>
        </a:prstGeom>
        <a:solidFill>
          <a:schemeClr val="lt1">
            <a:alpha val="90000"/>
            <a:hueOff val="0"/>
            <a:satOff val="0"/>
            <a:lumOff val="0"/>
            <a:alphaOff val="0"/>
          </a:schemeClr>
        </a:solidFill>
        <a:ln w="12700" cap="flat" cmpd="sng" algn="ctr">
          <a:solidFill>
            <a:schemeClr val="accent2">
              <a:hueOff val="-926140"/>
              <a:satOff val="-53409"/>
              <a:lumOff val="549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FSC Phase 1 Draft Code issued for public comment</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Codes of Good Practice Gazetted</a:t>
          </a:r>
        </a:p>
      </dsp:txBody>
      <dsp:txXfrm rot="-5400000">
        <a:off x="330635" y="2981842"/>
        <a:ext cx="5385888" cy="277044"/>
      </dsp:txXfrm>
    </dsp:sp>
    <dsp:sp modelId="{03A44DB4-044B-4296-A7AE-E81B3F7944A6}">
      <dsp:nvSpPr>
        <dsp:cNvPr id="0" name=""/>
        <dsp:cNvSpPr/>
      </dsp:nvSpPr>
      <dsp:spPr>
        <a:xfrm rot="5400000">
          <a:off x="-70850" y="3460784"/>
          <a:ext cx="472335" cy="330634"/>
        </a:xfrm>
        <a:prstGeom prst="chevron">
          <a:avLst/>
        </a:prstGeom>
        <a:solidFill>
          <a:schemeClr val="accent2">
            <a:hueOff val="-1058446"/>
            <a:satOff val="-61039"/>
            <a:lumOff val="6275"/>
            <a:alphaOff val="0"/>
          </a:schemeClr>
        </a:solidFill>
        <a:ln w="12700" cap="flat" cmpd="sng" algn="ctr">
          <a:solidFill>
            <a:schemeClr val="accent2">
              <a:hueOff val="-1058446"/>
              <a:satOff val="-61039"/>
              <a:lumOff val="6275"/>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ea typeface="+mn-ea"/>
              <a:cs typeface="Arial" panose="020B0604020202020204" pitchFamily="34" charset="0"/>
            </a:rPr>
            <a:t>2012</a:t>
          </a:r>
        </a:p>
      </dsp:txBody>
      <dsp:txXfrm rot="-5400000">
        <a:off x="1" y="3555250"/>
        <a:ext cx="330634" cy="141701"/>
      </dsp:txXfrm>
    </dsp:sp>
    <dsp:sp modelId="{8E04D6B9-957C-4FF5-9246-7A9E66C4E400}">
      <dsp:nvSpPr>
        <dsp:cNvPr id="0" name=""/>
        <dsp:cNvSpPr/>
      </dsp:nvSpPr>
      <dsp:spPr>
        <a:xfrm rot="5400000">
          <a:off x="2877563" y="843005"/>
          <a:ext cx="307018" cy="5400875"/>
        </a:xfrm>
        <a:prstGeom prst="round2SameRect">
          <a:avLst/>
        </a:prstGeom>
        <a:solidFill>
          <a:schemeClr val="lt1">
            <a:alpha val="90000"/>
            <a:hueOff val="0"/>
            <a:satOff val="0"/>
            <a:lumOff val="0"/>
            <a:alphaOff val="0"/>
          </a:schemeClr>
        </a:solidFill>
        <a:ln w="12700" cap="flat" cmpd="sng" algn="ctr">
          <a:solidFill>
            <a:schemeClr val="accent2">
              <a:hueOff val="-1058446"/>
              <a:satOff val="-61039"/>
              <a:lumOff val="627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FSC Phase 2 Draft Code Issued for public comment</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FSC Phase 2 Code Gazetted </a:t>
          </a:r>
        </a:p>
      </dsp:txBody>
      <dsp:txXfrm rot="-5400000">
        <a:off x="330635" y="3404921"/>
        <a:ext cx="5385888" cy="277044"/>
      </dsp:txXfrm>
    </dsp:sp>
    <dsp:sp modelId="{1486572D-B938-44B1-ADAF-CBF05DAEDFD4}">
      <dsp:nvSpPr>
        <dsp:cNvPr id="0" name=""/>
        <dsp:cNvSpPr/>
      </dsp:nvSpPr>
      <dsp:spPr>
        <a:xfrm rot="5400000">
          <a:off x="-70850" y="3883863"/>
          <a:ext cx="472335" cy="330634"/>
        </a:xfrm>
        <a:prstGeom prst="chevron">
          <a:avLst/>
        </a:prstGeom>
        <a:solidFill>
          <a:schemeClr val="accent2">
            <a:hueOff val="-1190752"/>
            <a:satOff val="-68668"/>
            <a:lumOff val="7059"/>
            <a:alphaOff val="0"/>
          </a:schemeClr>
        </a:solidFill>
        <a:ln w="12700" cap="flat" cmpd="sng" algn="ctr">
          <a:solidFill>
            <a:schemeClr val="accent2">
              <a:hueOff val="-1190752"/>
              <a:satOff val="-68668"/>
              <a:lumOff val="7059"/>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ea typeface="+mn-ea"/>
              <a:cs typeface="Arial" panose="020B0604020202020204" pitchFamily="34" charset="0"/>
            </a:rPr>
            <a:t>2013</a:t>
          </a:r>
        </a:p>
      </dsp:txBody>
      <dsp:txXfrm rot="-5400000">
        <a:off x="1" y="3978329"/>
        <a:ext cx="330634" cy="141701"/>
      </dsp:txXfrm>
    </dsp:sp>
    <dsp:sp modelId="{D9B09E24-DB07-4DF9-9100-74562573FC9C}">
      <dsp:nvSpPr>
        <dsp:cNvPr id="0" name=""/>
        <dsp:cNvSpPr/>
      </dsp:nvSpPr>
      <dsp:spPr>
        <a:xfrm rot="5400000">
          <a:off x="2877563" y="1266084"/>
          <a:ext cx="307018" cy="5400875"/>
        </a:xfrm>
        <a:prstGeom prst="round2SameRect">
          <a:avLst/>
        </a:prstGeom>
        <a:solidFill>
          <a:schemeClr val="lt1">
            <a:alpha val="90000"/>
            <a:hueOff val="0"/>
            <a:satOff val="0"/>
            <a:lumOff val="0"/>
            <a:alphaOff val="0"/>
          </a:schemeClr>
        </a:solidFill>
        <a:ln w="12700" cap="flat" cmpd="sng" algn="ctr">
          <a:solidFill>
            <a:schemeClr val="accent2">
              <a:hueOff val="-1190752"/>
              <a:satOff val="-68668"/>
              <a:lumOff val="705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Amended B-BBEE Act Gazetted </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Amended Codes of Good Practice Gazetted with 18 month transition period</a:t>
          </a:r>
        </a:p>
      </dsp:txBody>
      <dsp:txXfrm rot="-5400000">
        <a:off x="330635" y="3828000"/>
        <a:ext cx="5385888" cy="277044"/>
      </dsp:txXfrm>
    </dsp:sp>
    <dsp:sp modelId="{7A61F9DA-97E5-48A3-9753-C5606D4F02A0}">
      <dsp:nvSpPr>
        <dsp:cNvPr id="0" name=""/>
        <dsp:cNvSpPr/>
      </dsp:nvSpPr>
      <dsp:spPr>
        <a:xfrm rot="5400000">
          <a:off x="-70850" y="4306942"/>
          <a:ext cx="472335" cy="330634"/>
        </a:xfrm>
        <a:prstGeom prst="chevron">
          <a:avLst/>
        </a:prstGeom>
        <a:solidFill>
          <a:schemeClr val="accent2">
            <a:hueOff val="-1323057"/>
            <a:satOff val="-76298"/>
            <a:lumOff val="7844"/>
            <a:alphaOff val="0"/>
          </a:schemeClr>
        </a:solidFill>
        <a:ln w="12700" cap="flat" cmpd="sng" algn="ctr">
          <a:solidFill>
            <a:schemeClr val="accent2">
              <a:hueOff val="-1323057"/>
              <a:satOff val="-76298"/>
              <a:lumOff val="7844"/>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ea typeface="+mn-ea"/>
              <a:cs typeface="Arial" panose="020B0604020202020204" pitchFamily="34" charset="0"/>
            </a:rPr>
            <a:t>2015</a:t>
          </a:r>
        </a:p>
      </dsp:txBody>
      <dsp:txXfrm rot="-5400000">
        <a:off x="1" y="4401408"/>
        <a:ext cx="330634" cy="141701"/>
      </dsp:txXfrm>
    </dsp:sp>
    <dsp:sp modelId="{FACBF1C8-1ED3-4175-AFB0-595C73B3198A}">
      <dsp:nvSpPr>
        <dsp:cNvPr id="0" name=""/>
        <dsp:cNvSpPr/>
      </dsp:nvSpPr>
      <dsp:spPr>
        <a:xfrm rot="5400000">
          <a:off x="2877563" y="1689163"/>
          <a:ext cx="307018" cy="5400875"/>
        </a:xfrm>
        <a:prstGeom prst="round2SameRect">
          <a:avLst/>
        </a:prstGeom>
        <a:solidFill>
          <a:schemeClr val="lt1">
            <a:alpha val="90000"/>
            <a:hueOff val="0"/>
            <a:satOff val="0"/>
            <a:lumOff val="0"/>
            <a:alphaOff val="0"/>
          </a:schemeClr>
        </a:solidFill>
        <a:ln w="12700" cap="flat" cmpd="sng" algn="ctr">
          <a:solidFill>
            <a:schemeClr val="accent2">
              <a:hueOff val="-1323057"/>
              <a:satOff val="-76298"/>
              <a:lumOff val="78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Amended Codes of Good Practice Implemented </a:t>
          </a:r>
        </a:p>
      </dsp:txBody>
      <dsp:txXfrm rot="-5400000">
        <a:off x="330635" y="4251079"/>
        <a:ext cx="5385888" cy="277044"/>
      </dsp:txXfrm>
    </dsp:sp>
    <dsp:sp modelId="{62383FDC-6341-4C82-A0E4-61FF32A1C645}">
      <dsp:nvSpPr>
        <dsp:cNvPr id="0" name=""/>
        <dsp:cNvSpPr/>
      </dsp:nvSpPr>
      <dsp:spPr>
        <a:xfrm rot="5400000">
          <a:off x="-70850" y="4730021"/>
          <a:ext cx="472335" cy="330634"/>
        </a:xfrm>
        <a:prstGeom prst="chevron">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ea typeface="+mn-ea"/>
              <a:cs typeface="Arial" panose="020B0604020202020204" pitchFamily="34" charset="0"/>
            </a:rPr>
            <a:t>2016</a:t>
          </a:r>
        </a:p>
      </dsp:txBody>
      <dsp:txXfrm rot="-5400000">
        <a:off x="1" y="4824487"/>
        <a:ext cx="330634" cy="141701"/>
      </dsp:txXfrm>
    </dsp:sp>
    <dsp:sp modelId="{583D28BF-C68E-4F35-9509-37F256A89DE6}">
      <dsp:nvSpPr>
        <dsp:cNvPr id="0" name=""/>
        <dsp:cNvSpPr/>
      </dsp:nvSpPr>
      <dsp:spPr>
        <a:xfrm rot="5400000">
          <a:off x="2877563" y="2112242"/>
          <a:ext cx="307018" cy="5400875"/>
        </a:xfrm>
        <a:prstGeom prst="round2Same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FSC Phase 3 Draft Code issued for public comments</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ea typeface="+mn-ea"/>
              <a:cs typeface="Arial" panose="020B0604020202020204" pitchFamily="34" charset="0"/>
            </a:rPr>
            <a:t>Office of Commissioner for B-BBEE starts operations </a:t>
          </a:r>
        </a:p>
      </dsp:txBody>
      <dsp:txXfrm rot="-5400000">
        <a:off x="330635" y="4674158"/>
        <a:ext cx="5385888" cy="2770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53C20A-A26E-4804-93EE-77D8FE71B1EF}">
      <dsp:nvSpPr>
        <dsp:cNvPr id="0" name=""/>
        <dsp:cNvSpPr/>
      </dsp:nvSpPr>
      <dsp:spPr>
        <a:xfrm>
          <a:off x="3680" y="115207"/>
          <a:ext cx="1305138" cy="974258"/>
        </a:xfrm>
        <a:prstGeom prst="round2SameRect">
          <a:avLst>
            <a:gd name="adj1" fmla="val 8000"/>
            <a:gd name="adj2" fmla="val 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t>increase black ownership on a sustainable and viable basis </a:t>
          </a:r>
        </a:p>
        <a:p>
          <a:pPr marL="57150" lvl="1" indent="-57150" algn="l" defTabSz="355600">
            <a:lnSpc>
              <a:spcPct val="90000"/>
            </a:lnSpc>
            <a:spcBef>
              <a:spcPct val="0"/>
            </a:spcBef>
            <a:spcAft>
              <a:spcPct val="15000"/>
            </a:spcAft>
            <a:buChar char="••"/>
          </a:pPr>
          <a:r>
            <a:rPr lang="en-US" sz="800" kern="1200"/>
            <a:t>measures </a:t>
          </a:r>
        </a:p>
        <a:p>
          <a:pPr marL="114300" lvl="2" indent="-57150" algn="l" defTabSz="355600">
            <a:lnSpc>
              <a:spcPct val="90000"/>
            </a:lnSpc>
            <a:spcBef>
              <a:spcPct val="0"/>
            </a:spcBef>
            <a:spcAft>
              <a:spcPct val="15000"/>
            </a:spcAft>
            <a:buChar char="••"/>
          </a:pPr>
          <a:r>
            <a:rPr lang="en-US" sz="800" kern="1200"/>
            <a:t>Voting Rights (25%+1 vote)</a:t>
          </a:r>
        </a:p>
        <a:p>
          <a:pPr marL="114300" lvl="2" indent="-57150" algn="l" defTabSz="355600">
            <a:lnSpc>
              <a:spcPct val="90000"/>
            </a:lnSpc>
            <a:spcBef>
              <a:spcPct val="0"/>
            </a:spcBef>
            <a:spcAft>
              <a:spcPct val="15000"/>
            </a:spcAft>
            <a:buChar char="••"/>
          </a:pPr>
          <a:r>
            <a:rPr lang="en-US" sz="800" kern="1200"/>
            <a:t>Economic Interest (25%)</a:t>
          </a:r>
        </a:p>
        <a:p>
          <a:pPr marL="114300" lvl="2" indent="-57150" algn="l" defTabSz="355600">
            <a:lnSpc>
              <a:spcPct val="90000"/>
            </a:lnSpc>
            <a:spcBef>
              <a:spcPct val="0"/>
            </a:spcBef>
            <a:spcAft>
              <a:spcPct val="15000"/>
            </a:spcAft>
            <a:buChar char="••"/>
          </a:pPr>
          <a:r>
            <a:rPr lang="en-US" sz="800" kern="1200"/>
            <a:t>Net Value (realisation) </a:t>
          </a:r>
        </a:p>
      </dsp:txBody>
      <dsp:txXfrm>
        <a:off x="26508" y="138035"/>
        <a:ext cx="1259482" cy="951430"/>
      </dsp:txXfrm>
    </dsp:sp>
    <dsp:sp modelId="{74974F7C-74C8-4F23-A959-D9168713A388}">
      <dsp:nvSpPr>
        <dsp:cNvPr id="0" name=""/>
        <dsp:cNvSpPr/>
      </dsp:nvSpPr>
      <dsp:spPr>
        <a:xfrm>
          <a:off x="3680" y="1089466"/>
          <a:ext cx="1305138" cy="418931"/>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r>
            <a:rPr lang="en-US" sz="900" b="1" kern="1200"/>
            <a:t>Ownership</a:t>
          </a:r>
        </a:p>
      </dsp:txBody>
      <dsp:txXfrm>
        <a:off x="3680" y="1089466"/>
        <a:ext cx="919111" cy="418931"/>
      </dsp:txXfrm>
    </dsp:sp>
    <dsp:sp modelId="{B4F6706A-1B2C-491F-8A77-AFF80D2AC734}">
      <dsp:nvSpPr>
        <dsp:cNvPr id="0" name=""/>
        <dsp:cNvSpPr/>
      </dsp:nvSpPr>
      <dsp:spPr>
        <a:xfrm>
          <a:off x="959712" y="1156009"/>
          <a:ext cx="456798" cy="456798"/>
        </a:xfrm>
        <a:prstGeom prst="ellipse">
          <a:avLst/>
        </a:prstGeom>
        <a:blipFill rotWithShape="1">
          <a:blip xmlns:r="http://schemas.openxmlformats.org/officeDocument/2006/relationships" r:embed="rId1"/>
          <a:stretch>
            <a:fillRect/>
          </a:stretch>
        </a:blip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70777C-B551-432B-B8CB-7000BF7A283B}">
      <dsp:nvSpPr>
        <dsp:cNvPr id="0" name=""/>
        <dsp:cNvSpPr/>
      </dsp:nvSpPr>
      <dsp:spPr>
        <a:xfrm>
          <a:off x="1529680" y="115207"/>
          <a:ext cx="1305138" cy="974258"/>
        </a:xfrm>
        <a:prstGeom prst="round2SameRect">
          <a:avLst>
            <a:gd name="adj1" fmla="val 8000"/>
            <a:gd name="adj2" fmla="val 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t>Transformtion of board and exco</a:t>
          </a:r>
        </a:p>
      </dsp:txBody>
      <dsp:txXfrm>
        <a:off x="1552508" y="138035"/>
        <a:ext cx="1259482" cy="951430"/>
      </dsp:txXfrm>
    </dsp:sp>
    <dsp:sp modelId="{646943C3-565A-4D0E-8B50-977B98423884}">
      <dsp:nvSpPr>
        <dsp:cNvPr id="0" name=""/>
        <dsp:cNvSpPr/>
      </dsp:nvSpPr>
      <dsp:spPr>
        <a:xfrm>
          <a:off x="1529680" y="1089466"/>
          <a:ext cx="1305138" cy="418931"/>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r>
            <a:rPr lang="en-US" sz="900" b="1" kern="1200"/>
            <a:t>Management Control</a:t>
          </a:r>
        </a:p>
      </dsp:txBody>
      <dsp:txXfrm>
        <a:off x="1529680" y="1089466"/>
        <a:ext cx="919111" cy="418931"/>
      </dsp:txXfrm>
    </dsp:sp>
    <dsp:sp modelId="{3C91BDF1-82DF-4C48-B4AD-07CE2355219B}">
      <dsp:nvSpPr>
        <dsp:cNvPr id="0" name=""/>
        <dsp:cNvSpPr/>
      </dsp:nvSpPr>
      <dsp:spPr>
        <a:xfrm>
          <a:off x="2485712" y="1156009"/>
          <a:ext cx="456798" cy="456798"/>
        </a:xfrm>
        <a:prstGeom prst="ellipse">
          <a:avLst/>
        </a:prstGeom>
        <a:blipFill rotWithShape="1">
          <a:blip xmlns:r="http://schemas.openxmlformats.org/officeDocument/2006/relationships" r:embed="rId2"/>
          <a:stretch>
            <a:fillRect/>
          </a:stretch>
        </a:blip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EC05CD-3B9B-465A-86B3-9FEE6A73962E}">
      <dsp:nvSpPr>
        <dsp:cNvPr id="0" name=""/>
        <dsp:cNvSpPr/>
      </dsp:nvSpPr>
      <dsp:spPr>
        <a:xfrm>
          <a:off x="3063302" y="138064"/>
          <a:ext cx="1305138" cy="974258"/>
        </a:xfrm>
        <a:prstGeom prst="round2SameRect">
          <a:avLst>
            <a:gd name="adj1" fmla="val 8000"/>
            <a:gd name="adj2" fmla="val 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t>Employment opportunities to black people in management roles </a:t>
          </a:r>
        </a:p>
      </dsp:txBody>
      <dsp:txXfrm>
        <a:off x="3086130" y="160892"/>
        <a:ext cx="1259482" cy="951430"/>
      </dsp:txXfrm>
    </dsp:sp>
    <dsp:sp modelId="{62FD7C23-DE48-442A-9099-ACC90D09EA89}">
      <dsp:nvSpPr>
        <dsp:cNvPr id="0" name=""/>
        <dsp:cNvSpPr/>
      </dsp:nvSpPr>
      <dsp:spPr>
        <a:xfrm>
          <a:off x="3055679" y="1089466"/>
          <a:ext cx="1305138" cy="418931"/>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r>
            <a:rPr lang="en-US" sz="900" b="1" kern="1200"/>
            <a:t>Employment Equity </a:t>
          </a:r>
          <a:endParaRPr lang="en-US" sz="1050" b="1" kern="1200"/>
        </a:p>
      </dsp:txBody>
      <dsp:txXfrm>
        <a:off x="3055679" y="1089466"/>
        <a:ext cx="919111" cy="418931"/>
      </dsp:txXfrm>
    </dsp:sp>
    <dsp:sp modelId="{E4984D74-91BF-46BD-837C-C297C132C75D}">
      <dsp:nvSpPr>
        <dsp:cNvPr id="0" name=""/>
        <dsp:cNvSpPr/>
      </dsp:nvSpPr>
      <dsp:spPr>
        <a:xfrm>
          <a:off x="4011712" y="1156009"/>
          <a:ext cx="456798" cy="456798"/>
        </a:xfrm>
        <a:prstGeom prst="ellipse">
          <a:avLst/>
        </a:prstGeom>
        <a:blipFill rotWithShape="1">
          <a:blip xmlns:r="http://schemas.openxmlformats.org/officeDocument/2006/relationships" r:embed="rId3"/>
          <a:stretch>
            <a:fillRect/>
          </a:stretch>
        </a:blip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3E0AC5-5982-4015-B3D6-5730C457E4B4}">
      <dsp:nvSpPr>
        <dsp:cNvPr id="0" name=""/>
        <dsp:cNvSpPr/>
      </dsp:nvSpPr>
      <dsp:spPr>
        <a:xfrm>
          <a:off x="4581679" y="115207"/>
          <a:ext cx="1305138" cy="974258"/>
        </a:xfrm>
        <a:prstGeom prst="round2SameRect">
          <a:avLst>
            <a:gd name="adj1" fmla="val 8000"/>
            <a:gd name="adj2" fmla="val 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t>Implementation of strategic talent management initiatives</a:t>
          </a:r>
        </a:p>
      </dsp:txBody>
      <dsp:txXfrm>
        <a:off x="4604507" y="138035"/>
        <a:ext cx="1259482" cy="951430"/>
      </dsp:txXfrm>
    </dsp:sp>
    <dsp:sp modelId="{8FE4F29D-2CDD-4C68-9719-9DB25A7F4FD9}">
      <dsp:nvSpPr>
        <dsp:cNvPr id="0" name=""/>
        <dsp:cNvSpPr/>
      </dsp:nvSpPr>
      <dsp:spPr>
        <a:xfrm>
          <a:off x="4581679" y="1089466"/>
          <a:ext cx="1305138" cy="418931"/>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r>
            <a:rPr lang="en-US" sz="900" b="1" kern="1200"/>
            <a:t>Skills Development </a:t>
          </a:r>
        </a:p>
      </dsp:txBody>
      <dsp:txXfrm>
        <a:off x="4581679" y="1089466"/>
        <a:ext cx="919111" cy="418931"/>
      </dsp:txXfrm>
    </dsp:sp>
    <dsp:sp modelId="{6B14FFD5-E9A8-4D16-A77A-A58D48FEA4BE}">
      <dsp:nvSpPr>
        <dsp:cNvPr id="0" name=""/>
        <dsp:cNvSpPr/>
      </dsp:nvSpPr>
      <dsp:spPr>
        <a:xfrm>
          <a:off x="5537711" y="1156009"/>
          <a:ext cx="456798" cy="456798"/>
        </a:xfrm>
        <a:prstGeom prst="ellipse">
          <a:avLst/>
        </a:prstGeom>
        <a:blipFill rotWithShape="1">
          <a:blip xmlns:r="http://schemas.openxmlformats.org/officeDocument/2006/relationships" r:embed="rId4"/>
          <a:stretch>
            <a:fillRect/>
          </a:stretch>
        </a:blip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972468-ECC2-4B4D-8B8A-E448E17AB0E7}">
      <dsp:nvSpPr>
        <dsp:cNvPr id="0" name=""/>
        <dsp:cNvSpPr/>
      </dsp:nvSpPr>
      <dsp:spPr>
        <a:xfrm>
          <a:off x="766680" y="1839051"/>
          <a:ext cx="1305138" cy="974258"/>
        </a:xfrm>
        <a:prstGeom prst="round2SameRect">
          <a:avLst>
            <a:gd name="adj1" fmla="val 8000"/>
            <a:gd name="adj2" fmla="val 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t>Procurement from black suppliers and B-BBEE Suppliers </a:t>
          </a:r>
        </a:p>
      </dsp:txBody>
      <dsp:txXfrm>
        <a:off x="789508" y="1861879"/>
        <a:ext cx="1259482" cy="951430"/>
      </dsp:txXfrm>
    </dsp:sp>
    <dsp:sp modelId="{466613EB-00AD-4318-8563-D508449D3D29}">
      <dsp:nvSpPr>
        <dsp:cNvPr id="0" name=""/>
        <dsp:cNvSpPr/>
      </dsp:nvSpPr>
      <dsp:spPr>
        <a:xfrm>
          <a:off x="766680" y="2813310"/>
          <a:ext cx="1305138" cy="418931"/>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r>
            <a:rPr lang="en-US" sz="900" b="1" kern="1200"/>
            <a:t>Procurement </a:t>
          </a:r>
        </a:p>
      </dsp:txBody>
      <dsp:txXfrm>
        <a:off x="766680" y="2813310"/>
        <a:ext cx="919111" cy="418931"/>
      </dsp:txXfrm>
    </dsp:sp>
    <dsp:sp modelId="{A943E572-D10B-45C5-B004-0C3003AB1305}">
      <dsp:nvSpPr>
        <dsp:cNvPr id="0" name=""/>
        <dsp:cNvSpPr/>
      </dsp:nvSpPr>
      <dsp:spPr>
        <a:xfrm>
          <a:off x="1722712" y="2879853"/>
          <a:ext cx="456798" cy="456798"/>
        </a:xfrm>
        <a:prstGeom prst="ellipse">
          <a:avLst/>
        </a:prstGeom>
        <a:blipFill rotWithShape="1">
          <a:blip xmlns:r="http://schemas.openxmlformats.org/officeDocument/2006/relationships" r:embed="rId5"/>
          <a:stretch>
            <a:fillRect/>
          </a:stretch>
        </a:blip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32B3D7-18ED-4940-A55E-BA0711F3E339}">
      <dsp:nvSpPr>
        <dsp:cNvPr id="0" name=""/>
        <dsp:cNvSpPr/>
      </dsp:nvSpPr>
      <dsp:spPr>
        <a:xfrm>
          <a:off x="2292680" y="1839051"/>
          <a:ext cx="1305138" cy="974258"/>
        </a:xfrm>
        <a:prstGeom prst="round2SameRect">
          <a:avLst>
            <a:gd name="adj1" fmla="val 8000"/>
            <a:gd name="adj2" fmla="val 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t>Increased access to markets for black owned SMMEs </a:t>
          </a:r>
        </a:p>
      </dsp:txBody>
      <dsp:txXfrm>
        <a:off x="2315508" y="1861879"/>
        <a:ext cx="1259482" cy="951430"/>
      </dsp:txXfrm>
    </dsp:sp>
    <dsp:sp modelId="{3C069F95-8841-4841-B493-A04656E468BB}">
      <dsp:nvSpPr>
        <dsp:cNvPr id="0" name=""/>
        <dsp:cNvSpPr/>
      </dsp:nvSpPr>
      <dsp:spPr>
        <a:xfrm>
          <a:off x="2292680" y="2813310"/>
          <a:ext cx="1305138" cy="418931"/>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r>
            <a:rPr lang="en-US" sz="900" b="1" kern="1200"/>
            <a:t>Enterprise Development</a:t>
          </a:r>
        </a:p>
      </dsp:txBody>
      <dsp:txXfrm>
        <a:off x="2292680" y="2813310"/>
        <a:ext cx="919111" cy="418931"/>
      </dsp:txXfrm>
    </dsp:sp>
    <dsp:sp modelId="{9DDB0300-15E6-4E4D-B181-D7630A791AC5}">
      <dsp:nvSpPr>
        <dsp:cNvPr id="0" name=""/>
        <dsp:cNvSpPr/>
      </dsp:nvSpPr>
      <dsp:spPr>
        <a:xfrm>
          <a:off x="3248712" y="2879853"/>
          <a:ext cx="456798" cy="456798"/>
        </a:xfrm>
        <a:prstGeom prst="ellipse">
          <a:avLst/>
        </a:prstGeom>
        <a:blipFill rotWithShape="1">
          <a:blip xmlns:r="http://schemas.openxmlformats.org/officeDocument/2006/relationships" r:embed="rId6"/>
          <a:stretch>
            <a:fillRect/>
          </a:stretch>
        </a:blip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81A26B-8161-4184-91CB-265539275373}">
      <dsp:nvSpPr>
        <dsp:cNvPr id="0" name=""/>
        <dsp:cNvSpPr/>
      </dsp:nvSpPr>
      <dsp:spPr>
        <a:xfrm>
          <a:off x="3818679" y="1839051"/>
          <a:ext cx="1305138" cy="974258"/>
        </a:xfrm>
        <a:prstGeom prst="round2SameRect">
          <a:avLst>
            <a:gd name="adj1" fmla="val 8000"/>
            <a:gd name="adj2" fmla="val 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t>Promotion of sustainable access to the economy by beneficiaries of programmes aimed at empowering communities</a:t>
          </a:r>
        </a:p>
      </dsp:txBody>
      <dsp:txXfrm>
        <a:off x="3841507" y="1861879"/>
        <a:ext cx="1259482" cy="951430"/>
      </dsp:txXfrm>
    </dsp:sp>
    <dsp:sp modelId="{E038B586-F157-4E40-BE50-6A0FB59C68A4}">
      <dsp:nvSpPr>
        <dsp:cNvPr id="0" name=""/>
        <dsp:cNvSpPr/>
      </dsp:nvSpPr>
      <dsp:spPr>
        <a:xfrm>
          <a:off x="3818679" y="2813310"/>
          <a:ext cx="1305138" cy="418931"/>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r>
            <a:rPr lang="en-US" sz="900" b="1" kern="1200"/>
            <a:t>Socio Economic Development</a:t>
          </a:r>
        </a:p>
      </dsp:txBody>
      <dsp:txXfrm>
        <a:off x="3818679" y="2813310"/>
        <a:ext cx="919111" cy="418931"/>
      </dsp:txXfrm>
    </dsp:sp>
    <dsp:sp modelId="{D3632487-BD58-4E7A-BBAB-8D379D831840}">
      <dsp:nvSpPr>
        <dsp:cNvPr id="0" name=""/>
        <dsp:cNvSpPr/>
      </dsp:nvSpPr>
      <dsp:spPr>
        <a:xfrm>
          <a:off x="4774712" y="2879853"/>
          <a:ext cx="456798" cy="456798"/>
        </a:xfrm>
        <a:prstGeom prst="ellipse">
          <a:avLst/>
        </a:prstGeom>
        <a:blipFill rotWithShape="1">
          <a:blip xmlns:r="http://schemas.openxmlformats.org/officeDocument/2006/relationships" r:embed="rId7"/>
          <a:stretch>
            <a:fillRect/>
          </a:stretch>
        </a:blip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9E4C7-C2F1-4F83-9222-074210953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7635</Words>
  <Characters>43526</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Empowerdex</dc:creator>
  <cp:keywords/>
  <dc:description/>
  <cp:lastModifiedBy>Moemise Motsepe</cp:lastModifiedBy>
  <cp:revision>2</cp:revision>
  <cp:lastPrinted>2017-03-10T08:37:00Z</cp:lastPrinted>
  <dcterms:created xsi:type="dcterms:W3CDTF">2017-03-11T01:46:00Z</dcterms:created>
  <dcterms:modified xsi:type="dcterms:W3CDTF">2017-03-11T01:46:00Z</dcterms:modified>
</cp:coreProperties>
</file>