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834" w:rsidRPr="005F7613" w:rsidRDefault="00610834" w:rsidP="005F7613">
      <w:pPr>
        <w:pStyle w:val="ListParagraph"/>
        <w:numPr>
          <w:ilvl w:val="0"/>
          <w:numId w:val="31"/>
        </w:numPr>
        <w:spacing w:after="0" w:line="360" w:lineRule="auto"/>
        <w:jc w:val="both"/>
        <w:rPr>
          <w:rFonts w:ascii="Times New Roman" w:hAnsi="Times New Roman"/>
          <w:b/>
          <w:sz w:val="24"/>
          <w:szCs w:val="24"/>
        </w:rPr>
      </w:pPr>
      <w:r w:rsidRPr="005F7613">
        <w:rPr>
          <w:rFonts w:ascii="Times New Roman" w:hAnsi="Times New Roman"/>
          <w:b/>
          <w:sz w:val="24"/>
          <w:szCs w:val="24"/>
        </w:rPr>
        <w:t xml:space="preserve">REPORT OF THE STANDING COMMITTEE ON APPROPRIATIONS ON </w:t>
      </w:r>
      <w:r w:rsidR="0069331E" w:rsidRPr="005F7613">
        <w:rPr>
          <w:rFonts w:ascii="Times New Roman" w:hAnsi="Times New Roman"/>
          <w:b/>
          <w:sz w:val="24"/>
          <w:szCs w:val="24"/>
        </w:rPr>
        <w:t>THE DIVISION OF REVENUE BILL [B4 –2017</w:t>
      </w:r>
      <w:r w:rsidRPr="005F7613">
        <w:rPr>
          <w:rFonts w:ascii="Times New Roman" w:hAnsi="Times New Roman"/>
          <w:b/>
          <w:sz w:val="24"/>
          <w:szCs w:val="24"/>
        </w:rPr>
        <w:t>] (NATIONAL ASSEMBLY –SECTION 76), DATED 1</w:t>
      </w:r>
      <w:r w:rsidR="0069331E" w:rsidRPr="005F7613">
        <w:rPr>
          <w:rFonts w:ascii="Times New Roman" w:hAnsi="Times New Roman"/>
          <w:b/>
          <w:sz w:val="24"/>
          <w:szCs w:val="24"/>
        </w:rPr>
        <w:t xml:space="preserve">4 </w:t>
      </w:r>
      <w:r w:rsidRPr="005F7613">
        <w:rPr>
          <w:rFonts w:ascii="Times New Roman" w:hAnsi="Times New Roman"/>
          <w:b/>
          <w:sz w:val="24"/>
          <w:szCs w:val="24"/>
        </w:rPr>
        <w:t>MARCH 201</w:t>
      </w:r>
      <w:r w:rsidR="0069331E" w:rsidRPr="005F7613">
        <w:rPr>
          <w:rFonts w:ascii="Times New Roman" w:hAnsi="Times New Roman"/>
          <w:b/>
          <w:sz w:val="24"/>
          <w:szCs w:val="24"/>
        </w:rPr>
        <w:t>7</w:t>
      </w:r>
    </w:p>
    <w:p w:rsidR="00610834" w:rsidRPr="009B39E9" w:rsidRDefault="00610834" w:rsidP="00751FDA">
      <w:pPr>
        <w:spacing w:after="0" w:line="360" w:lineRule="auto"/>
        <w:jc w:val="both"/>
        <w:rPr>
          <w:rFonts w:ascii="Times New Roman" w:hAnsi="Times New Roman"/>
          <w:b/>
          <w:sz w:val="24"/>
          <w:szCs w:val="24"/>
          <w:highlight w:val="yellow"/>
        </w:rPr>
      </w:pPr>
    </w:p>
    <w:p w:rsidR="00610834" w:rsidRPr="009B39E9" w:rsidRDefault="00610834" w:rsidP="00751FDA">
      <w:pPr>
        <w:autoSpaceDE w:val="0"/>
        <w:autoSpaceDN w:val="0"/>
        <w:adjustRightInd w:val="0"/>
        <w:spacing w:after="0" w:line="360" w:lineRule="auto"/>
        <w:jc w:val="both"/>
        <w:rPr>
          <w:rFonts w:ascii="Times New Roman" w:hAnsi="Times New Roman"/>
          <w:sz w:val="24"/>
          <w:szCs w:val="24"/>
        </w:rPr>
      </w:pPr>
      <w:r w:rsidRPr="009B39E9">
        <w:rPr>
          <w:rFonts w:ascii="Times New Roman" w:hAnsi="Times New Roman"/>
          <w:sz w:val="24"/>
          <w:szCs w:val="24"/>
        </w:rPr>
        <w:t>The Standing Committee on Appropriations (the Com</w:t>
      </w:r>
      <w:bookmarkStart w:id="0" w:name="_GoBack"/>
      <w:bookmarkEnd w:id="0"/>
      <w:r w:rsidRPr="009B39E9">
        <w:rPr>
          <w:rFonts w:ascii="Times New Roman" w:hAnsi="Times New Roman"/>
          <w:sz w:val="24"/>
          <w:szCs w:val="24"/>
        </w:rPr>
        <w:t xml:space="preserve">mittee), having considered the </w:t>
      </w:r>
      <w:r w:rsidRPr="009B39E9">
        <w:rPr>
          <w:rFonts w:ascii="Times New Roman" w:hAnsi="Times New Roman"/>
          <w:b/>
          <w:bCs/>
          <w:i/>
          <w:iCs/>
          <w:sz w:val="24"/>
          <w:szCs w:val="24"/>
        </w:rPr>
        <w:t xml:space="preserve">Division of Revenue Bill </w:t>
      </w:r>
      <w:r w:rsidRPr="009B39E9">
        <w:rPr>
          <w:rFonts w:ascii="Times New Roman" w:hAnsi="Times New Roman"/>
          <w:bCs/>
          <w:iCs/>
          <w:sz w:val="24"/>
          <w:szCs w:val="24"/>
        </w:rPr>
        <w:t>[</w:t>
      </w:r>
      <w:r w:rsidR="0069331E" w:rsidRPr="009B39E9">
        <w:rPr>
          <w:rFonts w:ascii="Times New Roman" w:hAnsi="Times New Roman"/>
          <w:sz w:val="24"/>
          <w:szCs w:val="24"/>
        </w:rPr>
        <w:t>B4</w:t>
      </w:r>
      <w:r w:rsidRPr="009B39E9">
        <w:rPr>
          <w:rFonts w:ascii="Times New Roman" w:hAnsi="Times New Roman"/>
          <w:sz w:val="24"/>
          <w:szCs w:val="24"/>
        </w:rPr>
        <w:t>—201</w:t>
      </w:r>
      <w:r w:rsidR="0069331E" w:rsidRPr="009B39E9">
        <w:rPr>
          <w:rFonts w:ascii="Times New Roman" w:hAnsi="Times New Roman"/>
          <w:sz w:val="24"/>
          <w:szCs w:val="24"/>
        </w:rPr>
        <w:t>7</w:t>
      </w:r>
      <w:r w:rsidRPr="009B39E9">
        <w:rPr>
          <w:rFonts w:ascii="Times New Roman" w:hAnsi="Times New Roman"/>
          <w:sz w:val="24"/>
          <w:szCs w:val="24"/>
        </w:rPr>
        <w:t>] (National Assembly),</w:t>
      </w:r>
      <w:r w:rsidR="0069331E" w:rsidRPr="009B39E9">
        <w:rPr>
          <w:rFonts w:ascii="Times New Roman" w:hAnsi="Times New Roman"/>
          <w:sz w:val="24"/>
          <w:szCs w:val="24"/>
        </w:rPr>
        <w:t xml:space="preserve"> referred to it on 9 March 2017</w:t>
      </w:r>
      <w:r w:rsidRPr="009B39E9">
        <w:rPr>
          <w:rFonts w:ascii="Times New Roman" w:hAnsi="Times New Roman"/>
          <w:sz w:val="24"/>
          <w:szCs w:val="24"/>
        </w:rPr>
        <w:t xml:space="preserve"> and </w:t>
      </w:r>
      <w:r w:rsidR="005D6C07" w:rsidRPr="009B39E9">
        <w:rPr>
          <w:rFonts w:ascii="Times New Roman" w:hAnsi="Times New Roman"/>
          <w:sz w:val="24"/>
          <w:szCs w:val="24"/>
        </w:rPr>
        <w:t>classified by the JTM</w:t>
      </w:r>
      <w:r w:rsidRPr="009B39E9">
        <w:rPr>
          <w:rFonts w:ascii="Times New Roman" w:hAnsi="Times New Roman"/>
          <w:sz w:val="24"/>
          <w:szCs w:val="24"/>
        </w:rPr>
        <w:t xml:space="preserve"> as a section 76 Bill, reports as follows:</w:t>
      </w:r>
    </w:p>
    <w:p w:rsidR="00610834" w:rsidRPr="009B39E9" w:rsidRDefault="00610834" w:rsidP="00751FDA">
      <w:pPr>
        <w:spacing w:after="0" w:line="360" w:lineRule="auto"/>
        <w:jc w:val="both"/>
        <w:rPr>
          <w:rFonts w:ascii="Times New Roman" w:hAnsi="Times New Roman"/>
          <w:b/>
          <w:sz w:val="24"/>
          <w:szCs w:val="24"/>
          <w:highlight w:val="yellow"/>
        </w:rPr>
      </w:pPr>
    </w:p>
    <w:p w:rsidR="00610834" w:rsidRPr="009B39E9" w:rsidRDefault="00610834" w:rsidP="00751FDA">
      <w:pPr>
        <w:numPr>
          <w:ilvl w:val="0"/>
          <w:numId w:val="1"/>
        </w:numPr>
        <w:tabs>
          <w:tab w:val="num" w:pos="540"/>
        </w:tabs>
        <w:spacing w:after="0" w:line="360" w:lineRule="auto"/>
        <w:ind w:left="360"/>
        <w:jc w:val="both"/>
        <w:rPr>
          <w:rFonts w:ascii="Times New Roman" w:hAnsi="Times New Roman"/>
          <w:b/>
          <w:sz w:val="24"/>
          <w:szCs w:val="24"/>
        </w:rPr>
      </w:pPr>
      <w:r w:rsidRPr="009B39E9">
        <w:rPr>
          <w:rFonts w:ascii="Times New Roman" w:hAnsi="Times New Roman"/>
          <w:b/>
          <w:sz w:val="24"/>
          <w:szCs w:val="24"/>
        </w:rPr>
        <w:t>Introduction</w:t>
      </w:r>
    </w:p>
    <w:p w:rsidR="00610834" w:rsidRPr="009B39E9" w:rsidRDefault="00610834" w:rsidP="00751FDA">
      <w:pPr>
        <w:spacing w:after="0" w:line="360" w:lineRule="auto"/>
        <w:jc w:val="both"/>
        <w:rPr>
          <w:rFonts w:ascii="Times New Roman" w:hAnsi="Times New Roman"/>
          <w:sz w:val="24"/>
          <w:szCs w:val="24"/>
          <w:highlight w:val="yellow"/>
        </w:rPr>
      </w:pPr>
    </w:p>
    <w:p w:rsidR="00524A54" w:rsidRPr="009B39E9" w:rsidRDefault="00524A54" w:rsidP="00751FDA">
      <w:pPr>
        <w:spacing w:after="0" w:line="360" w:lineRule="auto"/>
        <w:jc w:val="both"/>
        <w:rPr>
          <w:rFonts w:ascii="Times New Roman" w:hAnsi="Times New Roman"/>
          <w:sz w:val="24"/>
          <w:szCs w:val="24"/>
        </w:rPr>
      </w:pPr>
      <w:r w:rsidRPr="009B39E9">
        <w:rPr>
          <w:rFonts w:ascii="Times New Roman" w:hAnsi="Times New Roman"/>
          <w:sz w:val="24"/>
          <w:szCs w:val="24"/>
        </w:rPr>
        <w:t>Section 214(1) of the Constitution, 1996 (the Constitution) requires that every year a Division of Revenue Act (DORA) determines the equitable division of nationally raised revenue among the three spheres of government. This is intended to foster transparency and ensure smooth intergovernmental relations. The Intergovernmental Fiscal Relations Act, No. 97 of 1997 prescribes the process for the determination of an equitable sharing and allocation of revenue raised nationally. Sections 9 and 10 (4) of this Act set out the consultation process to be followed with the Financial and Fiscal Commission (FFC), including the process of considering recommendations made with regard to the equitable division of nationally raised revenue.</w:t>
      </w:r>
    </w:p>
    <w:p w:rsidR="00524A54" w:rsidRPr="009B39E9" w:rsidRDefault="00524A54" w:rsidP="00751FDA">
      <w:pPr>
        <w:spacing w:after="0" w:line="360" w:lineRule="auto"/>
        <w:jc w:val="both"/>
        <w:rPr>
          <w:rFonts w:ascii="Times New Roman" w:hAnsi="Times New Roman"/>
          <w:sz w:val="24"/>
          <w:szCs w:val="24"/>
        </w:rPr>
      </w:pPr>
    </w:p>
    <w:p w:rsidR="00524A54" w:rsidRPr="009B39E9" w:rsidRDefault="00524A54" w:rsidP="00751FDA">
      <w:pPr>
        <w:spacing w:after="0" w:line="360" w:lineRule="auto"/>
        <w:jc w:val="both"/>
        <w:rPr>
          <w:rFonts w:ascii="Times New Roman" w:hAnsi="Times New Roman"/>
          <w:sz w:val="24"/>
          <w:szCs w:val="24"/>
        </w:rPr>
      </w:pPr>
      <w:r w:rsidRPr="009B39E9">
        <w:rPr>
          <w:rFonts w:ascii="Times New Roman" w:hAnsi="Times New Roman"/>
          <w:sz w:val="24"/>
          <w:szCs w:val="24"/>
        </w:rPr>
        <w:t xml:space="preserve">In giving effect to section 73 of the Constitution, the Money Bills Amendment Procedures and Related Matters Act, No. 9 of 2009 (the Money Bills Act ) was enacted. </w:t>
      </w:r>
      <w:r w:rsidR="00625641" w:rsidRPr="009B39E9">
        <w:rPr>
          <w:rFonts w:ascii="Times New Roman" w:hAnsi="Times New Roman"/>
          <w:sz w:val="24"/>
          <w:szCs w:val="24"/>
        </w:rPr>
        <w:t xml:space="preserve">In line with section 7(1) and Section 7(3) of the Money Bills Act, the Minister of Finance tabled the 2017 National Budget including the 2017 Division of the Revenue Bill on 22 February 2017. The Bill was then referred to the Standing Committee on Appropriations (the Committee) in line with Section </w:t>
      </w:r>
      <w:r w:rsidR="007D33BC" w:rsidRPr="009B39E9">
        <w:rPr>
          <w:rFonts w:ascii="Times New Roman" w:hAnsi="Times New Roman"/>
          <w:sz w:val="24"/>
          <w:szCs w:val="24"/>
        </w:rPr>
        <w:t xml:space="preserve">9 (2) </w:t>
      </w:r>
      <w:r w:rsidR="00625641" w:rsidRPr="009B39E9">
        <w:rPr>
          <w:rFonts w:ascii="Times New Roman" w:hAnsi="Times New Roman"/>
          <w:sz w:val="24"/>
          <w:szCs w:val="24"/>
        </w:rPr>
        <w:t xml:space="preserve">of the Money Bills Act. </w:t>
      </w:r>
    </w:p>
    <w:p w:rsidR="00524A54" w:rsidRPr="009B39E9" w:rsidRDefault="00524A54" w:rsidP="00751FDA">
      <w:pPr>
        <w:spacing w:after="0" w:line="360" w:lineRule="auto"/>
        <w:jc w:val="both"/>
        <w:rPr>
          <w:rFonts w:ascii="Times New Roman" w:hAnsi="Times New Roman"/>
          <w:sz w:val="24"/>
          <w:szCs w:val="24"/>
        </w:rPr>
      </w:pPr>
    </w:p>
    <w:p w:rsidR="0069331E" w:rsidRPr="009B39E9" w:rsidRDefault="00625641" w:rsidP="00751FDA">
      <w:pPr>
        <w:shd w:val="clear" w:color="auto" w:fill="FFFFFF"/>
        <w:spacing w:after="150" w:line="360" w:lineRule="auto"/>
        <w:contextualSpacing/>
        <w:jc w:val="both"/>
        <w:rPr>
          <w:rFonts w:ascii="Times New Roman" w:hAnsi="Times New Roman"/>
          <w:sz w:val="24"/>
          <w:szCs w:val="24"/>
          <w:lang w:eastAsia="en-ZA"/>
        </w:rPr>
      </w:pPr>
      <w:r w:rsidRPr="009B39E9">
        <w:rPr>
          <w:rFonts w:ascii="Times New Roman" w:hAnsi="Times New Roman"/>
          <w:sz w:val="24"/>
          <w:szCs w:val="24"/>
        </w:rPr>
        <w:t xml:space="preserve">The </w:t>
      </w:r>
      <w:r w:rsidR="00610834" w:rsidRPr="009B39E9">
        <w:rPr>
          <w:rFonts w:ascii="Times New Roman" w:hAnsi="Times New Roman"/>
          <w:sz w:val="24"/>
          <w:szCs w:val="24"/>
        </w:rPr>
        <w:t>Committee received a briefing on the Bill from the National Treasury and also had eng</w:t>
      </w:r>
      <w:r w:rsidR="003A30A3" w:rsidRPr="009B39E9">
        <w:rPr>
          <w:rFonts w:ascii="Times New Roman" w:hAnsi="Times New Roman"/>
          <w:sz w:val="24"/>
          <w:szCs w:val="24"/>
        </w:rPr>
        <w:t xml:space="preserve">agements with </w:t>
      </w:r>
      <w:r w:rsidR="00610834" w:rsidRPr="009B39E9">
        <w:rPr>
          <w:rFonts w:ascii="Times New Roman" w:hAnsi="Times New Roman"/>
          <w:sz w:val="24"/>
          <w:szCs w:val="24"/>
        </w:rPr>
        <w:t>the Financial and Fiscal Commission (FFC), and the South African Local Government Association (SALGA). I</w:t>
      </w:r>
      <w:r w:rsidR="00610834" w:rsidRPr="009B39E9">
        <w:rPr>
          <w:rFonts w:ascii="Times New Roman" w:hAnsi="Times New Roman"/>
          <w:sz w:val="24"/>
          <w:szCs w:val="24"/>
          <w:lang w:eastAsia="en-ZA"/>
        </w:rPr>
        <w:t xml:space="preserve">n line with Section 9 (5) (b) of the Money Bills Act, the Committee has a responsibility to hold public hearings on the Division of Revenue Bill. To this end, </w:t>
      </w:r>
      <w:r w:rsidRPr="009B39E9">
        <w:rPr>
          <w:rFonts w:ascii="Times New Roman" w:hAnsi="Times New Roman"/>
          <w:sz w:val="24"/>
          <w:szCs w:val="24"/>
          <w:lang w:eastAsia="en-ZA"/>
        </w:rPr>
        <w:t>adverts calling for public submissions</w:t>
      </w:r>
      <w:r w:rsidR="0069331E" w:rsidRPr="009B39E9">
        <w:rPr>
          <w:rFonts w:ascii="Times New Roman" w:hAnsi="Times New Roman"/>
          <w:sz w:val="24"/>
          <w:szCs w:val="24"/>
          <w:lang w:eastAsia="en-ZA"/>
        </w:rPr>
        <w:t xml:space="preserve"> on the </w:t>
      </w:r>
      <w:r w:rsidR="0069331E" w:rsidRPr="009B39E9">
        <w:rPr>
          <w:rFonts w:ascii="Times New Roman" w:hAnsi="Times New Roman"/>
          <w:sz w:val="24"/>
          <w:szCs w:val="24"/>
          <w:lang w:eastAsia="en-ZA"/>
        </w:rPr>
        <w:lastRenderedPageBreak/>
        <w:t>Bill were published in print media</w:t>
      </w:r>
      <w:r w:rsidR="00610834" w:rsidRPr="009B39E9">
        <w:rPr>
          <w:rFonts w:ascii="Times New Roman" w:hAnsi="Times New Roman"/>
          <w:sz w:val="24"/>
          <w:szCs w:val="24"/>
          <w:lang w:eastAsia="en-ZA"/>
        </w:rPr>
        <w:t xml:space="preserve"> from </w:t>
      </w:r>
      <w:r w:rsidR="0069331E" w:rsidRPr="009B39E9">
        <w:rPr>
          <w:rFonts w:ascii="Times New Roman" w:hAnsi="Times New Roman"/>
          <w:sz w:val="24"/>
          <w:szCs w:val="24"/>
          <w:lang w:eastAsia="en-ZA"/>
        </w:rPr>
        <w:t>3 to 9 March 2017</w:t>
      </w:r>
      <w:r w:rsidR="00610834" w:rsidRPr="009B39E9">
        <w:rPr>
          <w:rFonts w:ascii="Times New Roman" w:hAnsi="Times New Roman"/>
          <w:sz w:val="24"/>
          <w:szCs w:val="24"/>
          <w:lang w:eastAsia="en-ZA"/>
        </w:rPr>
        <w:t xml:space="preserve"> and the Committee also sent out invit</w:t>
      </w:r>
      <w:r w:rsidR="008F5DB6" w:rsidRPr="009B39E9">
        <w:rPr>
          <w:rFonts w:ascii="Times New Roman" w:hAnsi="Times New Roman"/>
          <w:sz w:val="24"/>
          <w:szCs w:val="24"/>
          <w:lang w:eastAsia="en-ZA"/>
        </w:rPr>
        <w:t>ations</w:t>
      </w:r>
      <w:r w:rsidR="00610834" w:rsidRPr="009B39E9">
        <w:rPr>
          <w:rFonts w:ascii="Times New Roman" w:hAnsi="Times New Roman"/>
          <w:sz w:val="24"/>
          <w:szCs w:val="24"/>
          <w:lang w:eastAsia="en-ZA"/>
        </w:rPr>
        <w:t xml:space="preserve"> to interested parties which have made submissions to the Committee before</w:t>
      </w:r>
      <w:r w:rsidR="0069331E" w:rsidRPr="009B39E9">
        <w:rPr>
          <w:rFonts w:ascii="Times New Roman" w:hAnsi="Times New Roman"/>
          <w:sz w:val="24"/>
          <w:szCs w:val="24"/>
          <w:lang w:eastAsia="en-ZA"/>
        </w:rPr>
        <w:t>.</w:t>
      </w:r>
      <w:r w:rsidR="00610834" w:rsidRPr="009B39E9">
        <w:rPr>
          <w:rFonts w:ascii="Times New Roman" w:hAnsi="Times New Roman"/>
          <w:sz w:val="24"/>
          <w:szCs w:val="24"/>
          <w:lang w:eastAsia="en-ZA"/>
        </w:rPr>
        <w:t xml:space="preserve"> </w:t>
      </w:r>
      <w:r w:rsidR="0069331E" w:rsidRPr="009B39E9">
        <w:rPr>
          <w:rFonts w:ascii="Times New Roman" w:hAnsi="Times New Roman"/>
          <w:sz w:val="24"/>
          <w:szCs w:val="24"/>
          <w:lang w:eastAsia="en-ZA"/>
        </w:rPr>
        <w:t xml:space="preserve">Submissions from the following </w:t>
      </w:r>
      <w:r w:rsidR="003A30A3" w:rsidRPr="009B39E9">
        <w:rPr>
          <w:rFonts w:ascii="Times New Roman" w:hAnsi="Times New Roman"/>
          <w:sz w:val="24"/>
          <w:szCs w:val="24"/>
          <w:lang w:eastAsia="en-ZA"/>
        </w:rPr>
        <w:t>organisations or interest groups</w:t>
      </w:r>
      <w:r w:rsidR="0069331E" w:rsidRPr="009B39E9">
        <w:rPr>
          <w:rFonts w:ascii="Times New Roman" w:hAnsi="Times New Roman"/>
          <w:sz w:val="24"/>
          <w:szCs w:val="24"/>
          <w:lang w:eastAsia="en-ZA"/>
        </w:rPr>
        <w:t xml:space="preserve"> were</w:t>
      </w:r>
      <w:r w:rsidR="00610834" w:rsidRPr="009B39E9">
        <w:rPr>
          <w:rFonts w:ascii="Times New Roman" w:hAnsi="Times New Roman"/>
          <w:sz w:val="24"/>
          <w:szCs w:val="24"/>
          <w:lang w:eastAsia="en-ZA"/>
        </w:rPr>
        <w:t xml:space="preserve"> received</w:t>
      </w:r>
      <w:r w:rsidR="0069331E" w:rsidRPr="009B39E9">
        <w:rPr>
          <w:rFonts w:ascii="Times New Roman" w:hAnsi="Times New Roman"/>
          <w:sz w:val="24"/>
          <w:szCs w:val="24"/>
          <w:lang w:eastAsia="en-ZA"/>
        </w:rPr>
        <w:t>:</w:t>
      </w:r>
    </w:p>
    <w:p w:rsidR="0069331E" w:rsidRPr="009B39E9" w:rsidRDefault="0069331E" w:rsidP="00751FDA">
      <w:pPr>
        <w:pStyle w:val="ListParagraph"/>
        <w:numPr>
          <w:ilvl w:val="0"/>
          <w:numId w:val="19"/>
        </w:numPr>
        <w:shd w:val="clear" w:color="auto" w:fill="FFFFFF"/>
        <w:spacing w:after="150" w:line="360" w:lineRule="auto"/>
        <w:jc w:val="both"/>
        <w:rPr>
          <w:rFonts w:ascii="Times New Roman" w:hAnsi="Times New Roman"/>
          <w:sz w:val="24"/>
          <w:szCs w:val="24"/>
          <w:lang w:eastAsia="en-ZA"/>
        </w:rPr>
      </w:pPr>
      <w:r w:rsidRPr="009B39E9">
        <w:rPr>
          <w:rFonts w:ascii="Times New Roman" w:hAnsi="Times New Roman"/>
          <w:sz w:val="24"/>
          <w:szCs w:val="24"/>
          <w:lang w:eastAsia="en-ZA"/>
        </w:rPr>
        <w:t>Equal Education</w:t>
      </w:r>
      <w:r w:rsidR="00D21335" w:rsidRPr="009B39E9">
        <w:rPr>
          <w:rFonts w:ascii="Times New Roman" w:hAnsi="Times New Roman"/>
          <w:sz w:val="24"/>
          <w:szCs w:val="24"/>
          <w:lang w:eastAsia="en-ZA"/>
        </w:rPr>
        <w:t xml:space="preserve">; </w:t>
      </w:r>
      <w:r w:rsidR="00517181" w:rsidRPr="009B39E9">
        <w:rPr>
          <w:rFonts w:ascii="Times New Roman" w:hAnsi="Times New Roman"/>
          <w:sz w:val="24"/>
          <w:szCs w:val="24"/>
          <w:lang w:eastAsia="en-ZA"/>
        </w:rPr>
        <w:t>and</w:t>
      </w:r>
    </w:p>
    <w:p w:rsidR="00610834" w:rsidRPr="009B39E9" w:rsidRDefault="0069331E" w:rsidP="00751FDA">
      <w:pPr>
        <w:pStyle w:val="ListParagraph"/>
        <w:numPr>
          <w:ilvl w:val="0"/>
          <w:numId w:val="19"/>
        </w:numPr>
        <w:shd w:val="clear" w:color="auto" w:fill="FFFFFF"/>
        <w:spacing w:after="150" w:line="360" w:lineRule="auto"/>
        <w:jc w:val="both"/>
        <w:rPr>
          <w:rFonts w:ascii="Times New Roman" w:hAnsi="Times New Roman"/>
          <w:sz w:val="24"/>
          <w:szCs w:val="24"/>
        </w:rPr>
      </w:pPr>
      <w:r w:rsidRPr="009B39E9">
        <w:rPr>
          <w:rFonts w:ascii="Times New Roman" w:hAnsi="Times New Roman"/>
          <w:sz w:val="24"/>
          <w:szCs w:val="24"/>
          <w:lang w:eastAsia="en-ZA"/>
        </w:rPr>
        <w:t>Rural Health Advocacy Project</w:t>
      </w:r>
      <w:r w:rsidR="00517181" w:rsidRPr="009B39E9">
        <w:rPr>
          <w:rFonts w:ascii="Times New Roman" w:hAnsi="Times New Roman"/>
          <w:sz w:val="24"/>
          <w:szCs w:val="24"/>
          <w:lang w:eastAsia="en-ZA"/>
        </w:rPr>
        <w:t>.</w:t>
      </w:r>
    </w:p>
    <w:p w:rsidR="00610834" w:rsidRPr="009B39E9" w:rsidRDefault="00610834" w:rsidP="00751FDA">
      <w:pPr>
        <w:spacing w:after="0" w:line="360" w:lineRule="auto"/>
        <w:jc w:val="both"/>
        <w:rPr>
          <w:rFonts w:ascii="Times New Roman" w:hAnsi="Times New Roman"/>
          <w:color w:val="000000"/>
          <w:spacing w:val="6"/>
          <w:sz w:val="24"/>
          <w:szCs w:val="24"/>
          <w:lang w:val="en-GB" w:eastAsia="en-GB"/>
        </w:rPr>
      </w:pPr>
    </w:p>
    <w:p w:rsidR="00610834" w:rsidRPr="009B39E9" w:rsidRDefault="00610834" w:rsidP="00751FDA">
      <w:pPr>
        <w:pStyle w:val="ListParagraph"/>
        <w:numPr>
          <w:ilvl w:val="0"/>
          <w:numId w:val="1"/>
        </w:numPr>
        <w:spacing w:after="0" w:line="360" w:lineRule="auto"/>
        <w:ind w:hanging="720"/>
        <w:rPr>
          <w:rFonts w:ascii="Times New Roman" w:hAnsi="Times New Roman"/>
          <w:b/>
          <w:sz w:val="24"/>
          <w:szCs w:val="24"/>
          <w:lang w:val="en-GB"/>
        </w:rPr>
      </w:pPr>
      <w:r w:rsidRPr="009B39E9">
        <w:rPr>
          <w:rFonts w:ascii="Times New Roman" w:hAnsi="Times New Roman"/>
          <w:b/>
          <w:sz w:val="24"/>
          <w:szCs w:val="24"/>
          <w:lang w:val="en-GB"/>
        </w:rPr>
        <w:t>Allocations of the Division of Revenue Bill for the 201</w:t>
      </w:r>
      <w:r w:rsidR="007E0EE9" w:rsidRPr="009B39E9">
        <w:rPr>
          <w:rFonts w:ascii="Times New Roman" w:hAnsi="Times New Roman"/>
          <w:b/>
          <w:sz w:val="24"/>
          <w:szCs w:val="24"/>
          <w:lang w:val="en-GB"/>
        </w:rPr>
        <w:t>7</w:t>
      </w:r>
      <w:r w:rsidRPr="009B39E9">
        <w:rPr>
          <w:rFonts w:ascii="Times New Roman" w:hAnsi="Times New Roman"/>
          <w:b/>
          <w:sz w:val="24"/>
          <w:szCs w:val="24"/>
          <w:lang w:val="en-GB"/>
        </w:rPr>
        <w:t xml:space="preserve"> Medium Term Expenditure Framework</w:t>
      </w:r>
    </w:p>
    <w:p w:rsidR="00610834" w:rsidRPr="009B39E9" w:rsidRDefault="00610834" w:rsidP="00751FDA">
      <w:pPr>
        <w:spacing w:line="360" w:lineRule="auto"/>
        <w:jc w:val="both"/>
        <w:rPr>
          <w:rFonts w:ascii="Times New Roman" w:hAnsi="Times New Roman"/>
          <w:sz w:val="24"/>
          <w:szCs w:val="24"/>
        </w:rPr>
      </w:pPr>
    </w:p>
    <w:p w:rsidR="00771779" w:rsidRPr="009B39E9" w:rsidRDefault="00771779" w:rsidP="00751FDA">
      <w:pPr>
        <w:spacing w:line="360" w:lineRule="auto"/>
        <w:jc w:val="both"/>
        <w:rPr>
          <w:rFonts w:ascii="Times New Roman" w:hAnsi="Times New Roman"/>
          <w:sz w:val="24"/>
          <w:szCs w:val="24"/>
        </w:rPr>
      </w:pPr>
      <w:r w:rsidRPr="009B39E9">
        <w:rPr>
          <w:rFonts w:ascii="Times New Roman" w:hAnsi="Times New Roman"/>
          <w:sz w:val="24"/>
          <w:szCs w:val="24"/>
        </w:rPr>
        <w:t xml:space="preserve">The 2017 Budget proposals seek to maintain a balance between government’s spending commitments, particularly in higher education, health and social protection, and ensuring the long-term health of the public finances. </w:t>
      </w:r>
      <w:r w:rsidR="00610834" w:rsidRPr="009B39E9">
        <w:rPr>
          <w:rFonts w:ascii="Times New Roman" w:hAnsi="Times New Roman"/>
          <w:sz w:val="24"/>
          <w:szCs w:val="24"/>
          <w:lang w:val="en-US"/>
        </w:rPr>
        <w:t xml:space="preserve">These measures </w:t>
      </w:r>
      <w:r w:rsidRPr="009B39E9">
        <w:rPr>
          <w:rFonts w:ascii="Times New Roman" w:hAnsi="Times New Roman"/>
          <w:sz w:val="24"/>
          <w:szCs w:val="24"/>
          <w:lang w:val="en-US"/>
        </w:rPr>
        <w:t>are aimed at contributing</w:t>
      </w:r>
      <w:r w:rsidR="00610834" w:rsidRPr="009B39E9">
        <w:rPr>
          <w:rFonts w:ascii="Times New Roman" w:hAnsi="Times New Roman"/>
          <w:sz w:val="24"/>
          <w:szCs w:val="24"/>
          <w:lang w:val="en-US"/>
        </w:rPr>
        <w:t xml:space="preserve"> to the vision of the National Development Plan (NDP). </w:t>
      </w:r>
      <w:r w:rsidRPr="009B39E9">
        <w:rPr>
          <w:rFonts w:ascii="Times New Roman" w:hAnsi="Times New Roman"/>
          <w:sz w:val="24"/>
          <w:szCs w:val="24"/>
        </w:rPr>
        <w:t>South Africa’s development objectives, expressed in the National Development Plan, rely on achieving higher economic growth and using public resources effectively.</w:t>
      </w:r>
    </w:p>
    <w:p w:rsidR="004374CB" w:rsidRPr="009B39E9" w:rsidRDefault="00771779" w:rsidP="00751FDA">
      <w:pPr>
        <w:spacing w:line="360" w:lineRule="auto"/>
        <w:jc w:val="both"/>
        <w:rPr>
          <w:rFonts w:ascii="Times New Roman" w:hAnsi="Times New Roman"/>
          <w:sz w:val="24"/>
          <w:szCs w:val="24"/>
          <w:lang w:val="en-US"/>
        </w:rPr>
      </w:pPr>
      <w:r w:rsidRPr="009B39E9">
        <w:rPr>
          <w:rFonts w:ascii="Times New Roman" w:hAnsi="Times New Roman"/>
          <w:sz w:val="24"/>
          <w:szCs w:val="24"/>
          <w:lang w:val="en-US"/>
        </w:rPr>
        <w:t xml:space="preserve">The Budget proposals indicate that Gross Domestic Product growth will gradually improve from 0.5% in 2016 to 1.3% in 2017 and 2.0% in 2018, supported by </w:t>
      </w:r>
      <w:r w:rsidR="004374CB" w:rsidRPr="009B39E9">
        <w:rPr>
          <w:rFonts w:ascii="Times New Roman" w:hAnsi="Times New Roman"/>
          <w:sz w:val="24"/>
          <w:szCs w:val="24"/>
        </w:rPr>
        <w:t>moderately stronger global growth, more favourable weather conditions, reliable electricity supply, recovering business and consumer confidence, and stabilising commodity prices.</w:t>
      </w:r>
    </w:p>
    <w:p w:rsidR="00771779" w:rsidRPr="009B39E9" w:rsidRDefault="006E0FB9" w:rsidP="00751FDA">
      <w:pPr>
        <w:spacing w:line="360" w:lineRule="auto"/>
        <w:jc w:val="both"/>
        <w:rPr>
          <w:rFonts w:ascii="Times New Roman" w:hAnsi="Times New Roman"/>
          <w:sz w:val="24"/>
          <w:szCs w:val="24"/>
          <w:lang w:val="en-US"/>
        </w:rPr>
      </w:pPr>
      <w:r w:rsidRPr="009B39E9">
        <w:rPr>
          <w:rFonts w:ascii="Times New Roman" w:hAnsi="Times New Roman"/>
          <w:sz w:val="24"/>
          <w:szCs w:val="24"/>
        </w:rPr>
        <w:t>W</w:t>
      </w:r>
      <w:r w:rsidR="00771779" w:rsidRPr="009B39E9">
        <w:rPr>
          <w:rFonts w:ascii="Times New Roman" w:hAnsi="Times New Roman"/>
          <w:sz w:val="24"/>
          <w:szCs w:val="24"/>
        </w:rPr>
        <w:t>hile the positive trajectory marks a break with several years of declining</w:t>
      </w:r>
      <w:r w:rsidR="003A30A3" w:rsidRPr="009B39E9">
        <w:rPr>
          <w:rFonts w:ascii="Times New Roman" w:hAnsi="Times New Roman"/>
          <w:sz w:val="24"/>
          <w:szCs w:val="24"/>
        </w:rPr>
        <w:t xml:space="preserve"> growth,</w:t>
      </w:r>
      <w:r w:rsidR="00771779" w:rsidRPr="009B39E9">
        <w:rPr>
          <w:rFonts w:ascii="Times New Roman" w:hAnsi="Times New Roman"/>
          <w:sz w:val="24"/>
          <w:szCs w:val="24"/>
        </w:rPr>
        <w:t xml:space="preserve"> the projected rate of growth is not high enough to markedly reduce unemployment, poverty and inequality. Inclusive growth requires broad-based transformation to break down structural impediments to new economic activities, enable millions of black South Africans to generate income and accumulate capital, and raise per capita incomes across the board.</w:t>
      </w:r>
    </w:p>
    <w:p w:rsidR="001C6E37" w:rsidRPr="009B39E9" w:rsidRDefault="007F7DAA" w:rsidP="00751FDA">
      <w:pPr>
        <w:autoSpaceDE w:val="0"/>
        <w:autoSpaceDN w:val="0"/>
        <w:adjustRightInd w:val="0"/>
        <w:spacing w:line="360" w:lineRule="auto"/>
        <w:jc w:val="both"/>
        <w:rPr>
          <w:rFonts w:ascii="Times New Roman" w:hAnsi="Times New Roman"/>
          <w:color w:val="000000"/>
          <w:spacing w:val="6"/>
          <w:sz w:val="24"/>
          <w:szCs w:val="24"/>
        </w:rPr>
      </w:pPr>
      <w:r w:rsidRPr="009B39E9">
        <w:rPr>
          <w:rFonts w:ascii="Times New Roman" w:hAnsi="Times New Roman"/>
          <w:color w:val="000000"/>
          <w:spacing w:val="6"/>
          <w:sz w:val="24"/>
          <w:szCs w:val="24"/>
        </w:rPr>
        <w:t>The 2017</w:t>
      </w:r>
      <w:r w:rsidR="00610834" w:rsidRPr="009B39E9">
        <w:rPr>
          <w:rFonts w:ascii="Times New Roman" w:hAnsi="Times New Roman"/>
          <w:color w:val="000000"/>
          <w:spacing w:val="6"/>
          <w:sz w:val="24"/>
          <w:szCs w:val="24"/>
        </w:rPr>
        <w:t xml:space="preserve"> budget includes measures to protect spend</w:t>
      </w:r>
      <w:r w:rsidR="001C6E37" w:rsidRPr="009B39E9">
        <w:rPr>
          <w:rFonts w:ascii="Times New Roman" w:hAnsi="Times New Roman"/>
          <w:color w:val="000000"/>
          <w:spacing w:val="6"/>
          <w:sz w:val="24"/>
          <w:szCs w:val="24"/>
        </w:rPr>
        <w:t xml:space="preserve">ing on core social obligations and these entail the following: </w:t>
      </w:r>
    </w:p>
    <w:p w:rsidR="007F7DAA" w:rsidRPr="009B39E9" w:rsidRDefault="007F7DAA" w:rsidP="00751FDA">
      <w:pPr>
        <w:pStyle w:val="ListParagraph"/>
        <w:numPr>
          <w:ilvl w:val="0"/>
          <w:numId w:val="6"/>
        </w:numPr>
        <w:autoSpaceDE w:val="0"/>
        <w:autoSpaceDN w:val="0"/>
        <w:adjustRightInd w:val="0"/>
        <w:spacing w:after="160" w:line="360" w:lineRule="auto"/>
        <w:jc w:val="both"/>
        <w:rPr>
          <w:rFonts w:ascii="Times New Roman" w:hAnsi="Times New Roman"/>
          <w:sz w:val="24"/>
          <w:szCs w:val="24"/>
        </w:rPr>
      </w:pPr>
      <w:r w:rsidRPr="009B39E9">
        <w:rPr>
          <w:rFonts w:ascii="Times New Roman" w:hAnsi="Times New Roman"/>
          <w:sz w:val="24"/>
          <w:szCs w:val="24"/>
        </w:rPr>
        <w:lastRenderedPageBreak/>
        <w:t>The 2017 Budget lowe</w:t>
      </w:r>
      <w:r w:rsidR="00FC423E" w:rsidRPr="009B39E9">
        <w:rPr>
          <w:rFonts w:ascii="Times New Roman" w:hAnsi="Times New Roman"/>
          <w:sz w:val="24"/>
          <w:szCs w:val="24"/>
        </w:rPr>
        <w:t>rs the spending ceiling by R10 billion in 2017/18 and R15.6</w:t>
      </w:r>
      <w:r w:rsidRPr="009B39E9">
        <w:rPr>
          <w:rFonts w:ascii="Times New Roman" w:hAnsi="Times New Roman"/>
          <w:sz w:val="24"/>
          <w:szCs w:val="24"/>
        </w:rPr>
        <w:t xml:space="preserve"> billion in 2018/19. This will be achieved through reduced national department operating budgets; lower transfers to entities, provinces and local government; and reallocations.</w:t>
      </w:r>
    </w:p>
    <w:p w:rsidR="007F7DAA" w:rsidRPr="009B39E9" w:rsidRDefault="007F7DAA" w:rsidP="00751FDA">
      <w:pPr>
        <w:pStyle w:val="ListParagraph"/>
        <w:numPr>
          <w:ilvl w:val="0"/>
          <w:numId w:val="6"/>
        </w:numPr>
        <w:autoSpaceDE w:val="0"/>
        <w:autoSpaceDN w:val="0"/>
        <w:adjustRightInd w:val="0"/>
        <w:spacing w:after="160" w:line="360" w:lineRule="auto"/>
        <w:jc w:val="both"/>
        <w:rPr>
          <w:rFonts w:ascii="Times New Roman" w:hAnsi="Times New Roman"/>
          <w:sz w:val="24"/>
          <w:szCs w:val="24"/>
        </w:rPr>
      </w:pPr>
      <w:r w:rsidRPr="009B39E9">
        <w:rPr>
          <w:rFonts w:ascii="Times New Roman" w:hAnsi="Times New Roman"/>
          <w:sz w:val="24"/>
          <w:szCs w:val="24"/>
        </w:rPr>
        <w:t>Existing headcount and recruitment must be managed within the adjusted ceiling</w:t>
      </w:r>
      <w:r w:rsidR="002D697D" w:rsidRPr="009B39E9">
        <w:rPr>
          <w:rFonts w:ascii="Times New Roman" w:hAnsi="Times New Roman"/>
          <w:sz w:val="24"/>
          <w:szCs w:val="24"/>
        </w:rPr>
        <w:t>.</w:t>
      </w:r>
      <w:r w:rsidRPr="009B39E9">
        <w:rPr>
          <w:rFonts w:ascii="Times New Roman" w:hAnsi="Times New Roman"/>
          <w:sz w:val="24"/>
          <w:szCs w:val="24"/>
        </w:rPr>
        <w:t xml:space="preserve"> </w:t>
      </w:r>
    </w:p>
    <w:p w:rsidR="007F7DAA" w:rsidRPr="009B39E9" w:rsidRDefault="007F7DAA" w:rsidP="00751FDA">
      <w:pPr>
        <w:pStyle w:val="ListParagraph"/>
        <w:numPr>
          <w:ilvl w:val="0"/>
          <w:numId w:val="6"/>
        </w:numPr>
        <w:autoSpaceDE w:val="0"/>
        <w:autoSpaceDN w:val="0"/>
        <w:adjustRightInd w:val="0"/>
        <w:spacing w:after="160" w:line="360" w:lineRule="auto"/>
        <w:jc w:val="both"/>
        <w:rPr>
          <w:rFonts w:ascii="Times New Roman" w:hAnsi="Times New Roman"/>
          <w:sz w:val="24"/>
          <w:szCs w:val="24"/>
        </w:rPr>
      </w:pPr>
      <w:r w:rsidRPr="009B39E9">
        <w:rPr>
          <w:rFonts w:ascii="Times New Roman" w:hAnsi="Times New Roman"/>
          <w:sz w:val="24"/>
          <w:szCs w:val="24"/>
        </w:rPr>
        <w:t>Over the medium term, the Office of the Chief Procurement Officer aims to save R25 billion by renegotiating contracts with government’s top 100 suppliers, consolidating spending on common goods, using technology to reduce duplication and cutting red tape.</w:t>
      </w:r>
    </w:p>
    <w:p w:rsidR="007F7DAA" w:rsidRPr="009B39E9" w:rsidRDefault="007F7DAA" w:rsidP="00751FDA">
      <w:pPr>
        <w:pStyle w:val="ListParagraph"/>
        <w:numPr>
          <w:ilvl w:val="0"/>
          <w:numId w:val="6"/>
        </w:numPr>
        <w:autoSpaceDE w:val="0"/>
        <w:autoSpaceDN w:val="0"/>
        <w:adjustRightInd w:val="0"/>
        <w:spacing w:after="160" w:line="360" w:lineRule="auto"/>
        <w:jc w:val="both"/>
        <w:rPr>
          <w:rFonts w:ascii="Times New Roman" w:hAnsi="Times New Roman"/>
          <w:sz w:val="24"/>
          <w:szCs w:val="24"/>
        </w:rPr>
      </w:pPr>
      <w:r w:rsidRPr="009B39E9">
        <w:rPr>
          <w:rFonts w:ascii="Times New Roman" w:hAnsi="Times New Roman"/>
          <w:sz w:val="24"/>
          <w:szCs w:val="24"/>
        </w:rPr>
        <w:t>Proposal</w:t>
      </w:r>
      <w:r w:rsidR="00A1724F" w:rsidRPr="009B39E9">
        <w:rPr>
          <w:rFonts w:ascii="Times New Roman" w:hAnsi="Times New Roman"/>
          <w:sz w:val="24"/>
          <w:szCs w:val="24"/>
        </w:rPr>
        <w:t xml:space="preserve">s include the trimming down of </w:t>
      </w:r>
      <w:r w:rsidRPr="009B39E9">
        <w:rPr>
          <w:rFonts w:ascii="Times New Roman" w:hAnsi="Times New Roman"/>
          <w:sz w:val="24"/>
          <w:szCs w:val="24"/>
        </w:rPr>
        <w:t>large conditional grants to provinces and municipalities</w:t>
      </w:r>
      <w:r w:rsidR="00A1724F" w:rsidRPr="009B39E9">
        <w:rPr>
          <w:rFonts w:ascii="Times New Roman" w:hAnsi="Times New Roman"/>
          <w:sz w:val="24"/>
          <w:szCs w:val="24"/>
        </w:rPr>
        <w:t>. T</w:t>
      </w:r>
      <w:r w:rsidRPr="009B39E9">
        <w:rPr>
          <w:rFonts w:ascii="Times New Roman" w:hAnsi="Times New Roman"/>
          <w:sz w:val="24"/>
          <w:szCs w:val="24"/>
        </w:rPr>
        <w:t xml:space="preserve">he </w:t>
      </w:r>
      <w:r w:rsidRPr="009B39E9">
        <w:rPr>
          <w:rFonts w:ascii="Times New Roman" w:hAnsi="Times New Roman"/>
          <w:i/>
          <w:sz w:val="24"/>
          <w:szCs w:val="24"/>
        </w:rPr>
        <w:t>human settlements development grant</w:t>
      </w:r>
      <w:r w:rsidRPr="009B39E9">
        <w:rPr>
          <w:rFonts w:ascii="Times New Roman" w:hAnsi="Times New Roman"/>
          <w:sz w:val="24"/>
          <w:szCs w:val="24"/>
        </w:rPr>
        <w:t xml:space="preserve">, the </w:t>
      </w:r>
      <w:r w:rsidRPr="009B39E9">
        <w:rPr>
          <w:rFonts w:ascii="Times New Roman" w:hAnsi="Times New Roman"/>
          <w:i/>
          <w:sz w:val="24"/>
          <w:szCs w:val="24"/>
        </w:rPr>
        <w:t>health facility revitalisation grant,</w:t>
      </w:r>
      <w:r w:rsidRPr="009B39E9">
        <w:rPr>
          <w:rFonts w:ascii="Times New Roman" w:hAnsi="Times New Roman"/>
          <w:sz w:val="24"/>
          <w:szCs w:val="24"/>
        </w:rPr>
        <w:t xml:space="preserve"> the</w:t>
      </w:r>
      <w:r w:rsidRPr="009B39E9">
        <w:rPr>
          <w:rFonts w:ascii="Times New Roman" w:hAnsi="Times New Roman"/>
          <w:i/>
          <w:sz w:val="24"/>
          <w:szCs w:val="24"/>
        </w:rPr>
        <w:t xml:space="preserve"> educational infrastructure grant, the water services infrastructure grant, </w:t>
      </w:r>
      <w:r w:rsidRPr="009B39E9">
        <w:rPr>
          <w:rFonts w:ascii="Times New Roman" w:hAnsi="Times New Roman"/>
          <w:sz w:val="24"/>
          <w:szCs w:val="24"/>
        </w:rPr>
        <w:t>the</w:t>
      </w:r>
      <w:r w:rsidRPr="009B39E9">
        <w:rPr>
          <w:rFonts w:ascii="Times New Roman" w:hAnsi="Times New Roman"/>
          <w:i/>
          <w:sz w:val="24"/>
          <w:szCs w:val="24"/>
        </w:rPr>
        <w:t xml:space="preserve"> public transport network grant</w:t>
      </w:r>
      <w:r w:rsidR="003D6EE8" w:rsidRPr="009B39E9">
        <w:rPr>
          <w:rFonts w:ascii="Times New Roman" w:hAnsi="Times New Roman"/>
          <w:sz w:val="24"/>
          <w:szCs w:val="24"/>
        </w:rPr>
        <w:t xml:space="preserve"> and</w:t>
      </w:r>
      <w:r w:rsidR="00517181" w:rsidRPr="009B39E9">
        <w:rPr>
          <w:rFonts w:ascii="Times New Roman" w:hAnsi="Times New Roman"/>
          <w:sz w:val="24"/>
          <w:szCs w:val="24"/>
        </w:rPr>
        <w:t xml:space="preserve"> </w:t>
      </w:r>
      <w:r w:rsidRPr="009B39E9">
        <w:rPr>
          <w:rFonts w:ascii="Times New Roman" w:hAnsi="Times New Roman"/>
          <w:sz w:val="24"/>
          <w:szCs w:val="24"/>
        </w:rPr>
        <w:t>the</w:t>
      </w:r>
      <w:r w:rsidRPr="009B39E9">
        <w:rPr>
          <w:rFonts w:ascii="Times New Roman" w:hAnsi="Times New Roman"/>
          <w:i/>
          <w:sz w:val="24"/>
          <w:szCs w:val="24"/>
        </w:rPr>
        <w:t xml:space="preserve"> municipal infrastructure grant</w:t>
      </w:r>
      <w:r w:rsidRPr="009B39E9">
        <w:rPr>
          <w:rFonts w:ascii="Times New Roman" w:hAnsi="Times New Roman"/>
          <w:sz w:val="24"/>
          <w:szCs w:val="24"/>
        </w:rPr>
        <w:t xml:space="preserve"> </w:t>
      </w:r>
      <w:r w:rsidR="003D6EE8" w:rsidRPr="009B39E9">
        <w:rPr>
          <w:rFonts w:ascii="Times New Roman" w:hAnsi="Times New Roman"/>
          <w:sz w:val="24"/>
          <w:szCs w:val="24"/>
        </w:rPr>
        <w:t xml:space="preserve">are </w:t>
      </w:r>
      <w:r w:rsidRPr="009B39E9">
        <w:rPr>
          <w:rFonts w:ascii="Times New Roman" w:hAnsi="Times New Roman"/>
          <w:sz w:val="24"/>
          <w:szCs w:val="24"/>
        </w:rPr>
        <w:t>to be reduced.</w:t>
      </w:r>
    </w:p>
    <w:p w:rsidR="007F7DAA" w:rsidRPr="009B39E9" w:rsidRDefault="001C6E37" w:rsidP="00751FDA">
      <w:pPr>
        <w:pStyle w:val="ListParagraph"/>
        <w:numPr>
          <w:ilvl w:val="0"/>
          <w:numId w:val="6"/>
        </w:numPr>
        <w:autoSpaceDE w:val="0"/>
        <w:autoSpaceDN w:val="0"/>
        <w:adjustRightInd w:val="0"/>
        <w:spacing w:after="160" w:line="360" w:lineRule="auto"/>
        <w:jc w:val="both"/>
        <w:rPr>
          <w:rFonts w:ascii="Times New Roman" w:hAnsi="Times New Roman"/>
          <w:sz w:val="24"/>
          <w:szCs w:val="24"/>
        </w:rPr>
      </w:pPr>
      <w:r w:rsidRPr="009B39E9">
        <w:rPr>
          <w:rFonts w:ascii="Times New Roman" w:hAnsi="Times New Roman"/>
          <w:sz w:val="24"/>
          <w:szCs w:val="24"/>
        </w:rPr>
        <w:t>G</w:t>
      </w:r>
      <w:r w:rsidR="007F7DAA" w:rsidRPr="009B39E9">
        <w:rPr>
          <w:rFonts w:ascii="Times New Roman" w:hAnsi="Times New Roman"/>
          <w:sz w:val="24"/>
          <w:szCs w:val="24"/>
        </w:rPr>
        <w:t xml:space="preserve">uidelines </w:t>
      </w:r>
      <w:r w:rsidRPr="009B39E9">
        <w:rPr>
          <w:rFonts w:ascii="Times New Roman" w:hAnsi="Times New Roman"/>
          <w:sz w:val="24"/>
          <w:szCs w:val="24"/>
        </w:rPr>
        <w:t xml:space="preserve">have been developed that </w:t>
      </w:r>
      <w:r w:rsidR="007F7DAA" w:rsidRPr="009B39E9">
        <w:rPr>
          <w:rFonts w:ascii="Times New Roman" w:hAnsi="Times New Roman"/>
          <w:sz w:val="24"/>
          <w:szCs w:val="24"/>
        </w:rPr>
        <w:t>will support departments</w:t>
      </w:r>
      <w:r w:rsidRPr="009B39E9">
        <w:rPr>
          <w:rFonts w:ascii="Times New Roman" w:hAnsi="Times New Roman"/>
          <w:sz w:val="24"/>
          <w:szCs w:val="24"/>
        </w:rPr>
        <w:t xml:space="preserve"> </w:t>
      </w:r>
      <w:r w:rsidR="007F7DAA" w:rsidRPr="009B39E9">
        <w:rPr>
          <w:rFonts w:ascii="Times New Roman" w:hAnsi="Times New Roman"/>
          <w:sz w:val="24"/>
          <w:szCs w:val="24"/>
        </w:rPr>
        <w:t xml:space="preserve">and entities to improve </w:t>
      </w:r>
      <w:r w:rsidRPr="009B39E9">
        <w:rPr>
          <w:rFonts w:ascii="Times New Roman" w:hAnsi="Times New Roman"/>
          <w:sz w:val="24"/>
          <w:szCs w:val="24"/>
        </w:rPr>
        <w:t xml:space="preserve">the </w:t>
      </w:r>
      <w:r w:rsidR="007F7DAA" w:rsidRPr="009B39E9">
        <w:rPr>
          <w:rFonts w:ascii="Times New Roman" w:hAnsi="Times New Roman"/>
          <w:sz w:val="24"/>
          <w:szCs w:val="24"/>
        </w:rPr>
        <w:t xml:space="preserve">treatment and disclosure of </w:t>
      </w:r>
      <w:r w:rsidRPr="009B39E9">
        <w:rPr>
          <w:rFonts w:ascii="Times New Roman" w:hAnsi="Times New Roman"/>
          <w:sz w:val="24"/>
          <w:szCs w:val="24"/>
        </w:rPr>
        <w:t>unauthorised expenditure, irregular, fruitless and wasteful expenditure</w:t>
      </w:r>
      <w:r w:rsidR="00A1724F" w:rsidRPr="009B39E9">
        <w:rPr>
          <w:rFonts w:ascii="Times New Roman" w:hAnsi="Times New Roman"/>
          <w:sz w:val="24"/>
          <w:szCs w:val="24"/>
        </w:rPr>
        <w:t>.</w:t>
      </w:r>
    </w:p>
    <w:p w:rsidR="007F7DAA" w:rsidRPr="009B39E9" w:rsidRDefault="007F7DAA" w:rsidP="00751FDA">
      <w:pPr>
        <w:pStyle w:val="ListParagraph"/>
        <w:numPr>
          <w:ilvl w:val="0"/>
          <w:numId w:val="6"/>
        </w:numPr>
        <w:autoSpaceDE w:val="0"/>
        <w:autoSpaceDN w:val="0"/>
        <w:adjustRightInd w:val="0"/>
        <w:spacing w:after="160" w:line="360" w:lineRule="auto"/>
        <w:jc w:val="both"/>
        <w:rPr>
          <w:rFonts w:ascii="Times New Roman" w:hAnsi="Times New Roman"/>
          <w:sz w:val="24"/>
          <w:szCs w:val="24"/>
        </w:rPr>
      </w:pPr>
      <w:r w:rsidRPr="009B39E9">
        <w:rPr>
          <w:rFonts w:ascii="Times New Roman" w:hAnsi="Times New Roman"/>
          <w:sz w:val="24"/>
          <w:szCs w:val="24"/>
        </w:rPr>
        <w:t>Compliance management and oversight of accounting officers, as set out</w:t>
      </w:r>
      <w:r w:rsidR="001C6E37" w:rsidRPr="009B39E9">
        <w:rPr>
          <w:rFonts w:ascii="Times New Roman" w:hAnsi="Times New Roman"/>
          <w:sz w:val="24"/>
          <w:szCs w:val="24"/>
        </w:rPr>
        <w:t xml:space="preserve"> </w:t>
      </w:r>
      <w:r w:rsidRPr="009B39E9">
        <w:rPr>
          <w:rFonts w:ascii="Times New Roman" w:hAnsi="Times New Roman"/>
          <w:sz w:val="24"/>
          <w:szCs w:val="24"/>
        </w:rPr>
        <w:t>in the Public Fin</w:t>
      </w:r>
      <w:r w:rsidR="001C6E37" w:rsidRPr="009B39E9">
        <w:rPr>
          <w:rFonts w:ascii="Times New Roman" w:hAnsi="Times New Roman"/>
          <w:sz w:val="24"/>
          <w:szCs w:val="24"/>
        </w:rPr>
        <w:t>ance Management Act (1999), is to</w:t>
      </w:r>
      <w:r w:rsidRPr="009B39E9">
        <w:rPr>
          <w:rFonts w:ascii="Times New Roman" w:hAnsi="Times New Roman"/>
          <w:sz w:val="24"/>
          <w:szCs w:val="24"/>
        </w:rPr>
        <w:t xml:space="preserve"> be reinforced.</w:t>
      </w:r>
    </w:p>
    <w:p w:rsidR="00610834" w:rsidRPr="009B39E9" w:rsidRDefault="00610834" w:rsidP="00751FDA">
      <w:pPr>
        <w:spacing w:line="360" w:lineRule="auto"/>
        <w:jc w:val="both"/>
        <w:rPr>
          <w:rFonts w:ascii="Times New Roman" w:hAnsi="Times New Roman"/>
          <w:sz w:val="24"/>
          <w:szCs w:val="24"/>
          <w:lang w:val="en-US"/>
        </w:rPr>
      </w:pPr>
      <w:r w:rsidRPr="009B39E9">
        <w:rPr>
          <w:rFonts w:ascii="Times New Roman" w:hAnsi="Times New Roman"/>
          <w:sz w:val="24"/>
          <w:szCs w:val="24"/>
          <w:lang w:val="en-US"/>
        </w:rPr>
        <w:t>The Constitution sets out specific criteria for the sharing of nationally raised revenue between national, provincial and local spheres of government. The constitutional principles taken into account when deciding on the Division of Revenue include the national interest, provision of debt costs, national government’s needs and interest, provincial and local government basic services</w:t>
      </w:r>
      <w:r w:rsidR="002D697D" w:rsidRPr="009B39E9">
        <w:rPr>
          <w:rFonts w:ascii="Times New Roman" w:hAnsi="Times New Roman"/>
          <w:sz w:val="24"/>
          <w:szCs w:val="24"/>
          <w:lang w:val="en-US"/>
        </w:rPr>
        <w:t xml:space="preserve">. Other important issues </w:t>
      </w:r>
      <w:r w:rsidR="00093164" w:rsidRPr="009B39E9">
        <w:rPr>
          <w:rFonts w:ascii="Times New Roman" w:hAnsi="Times New Roman"/>
          <w:sz w:val="24"/>
          <w:szCs w:val="24"/>
          <w:lang w:val="en-US"/>
        </w:rPr>
        <w:t>include</w:t>
      </w:r>
      <w:r w:rsidR="009B39E9" w:rsidRPr="009B39E9">
        <w:rPr>
          <w:rFonts w:ascii="Times New Roman" w:hAnsi="Times New Roman"/>
          <w:sz w:val="24"/>
          <w:szCs w:val="24"/>
          <w:lang w:val="en-US"/>
        </w:rPr>
        <w:t xml:space="preserve"> </w:t>
      </w:r>
      <w:r w:rsidRPr="009B39E9">
        <w:rPr>
          <w:rFonts w:ascii="Times New Roman" w:hAnsi="Times New Roman"/>
          <w:sz w:val="24"/>
          <w:szCs w:val="24"/>
          <w:lang w:val="en-US"/>
        </w:rPr>
        <w:t xml:space="preserve">fiscal capacity and efficiency, developmental needs, economic disparities, obligations in terms of national legislation, predictability and stability; and flexibility in terms of responding to emergencies. </w:t>
      </w:r>
    </w:p>
    <w:p w:rsidR="00610834" w:rsidRPr="009B39E9" w:rsidRDefault="00610834" w:rsidP="00751FDA">
      <w:pPr>
        <w:spacing w:line="360" w:lineRule="auto"/>
        <w:jc w:val="both"/>
        <w:rPr>
          <w:rFonts w:ascii="Times New Roman" w:hAnsi="Times New Roman"/>
          <w:sz w:val="24"/>
          <w:szCs w:val="24"/>
          <w:lang w:val="en-US"/>
        </w:rPr>
      </w:pPr>
      <w:r w:rsidRPr="009B39E9">
        <w:rPr>
          <w:rFonts w:ascii="Times New Roman" w:hAnsi="Times New Roman"/>
          <w:sz w:val="24"/>
          <w:szCs w:val="24"/>
          <w:lang w:val="en-US"/>
        </w:rPr>
        <w:t>The Division of Revenue Bill classifies Schedule 1 to 7 (equitable share and conditional grants) in order to divide revenue between the three spheres of government. Table 1 below provides the legal division of nationally raised revenue among these three spheres of government.</w:t>
      </w:r>
    </w:p>
    <w:p w:rsidR="006E0FB9" w:rsidRPr="009B39E9" w:rsidRDefault="006E0FB9" w:rsidP="00610834">
      <w:pPr>
        <w:autoSpaceDE w:val="0"/>
        <w:autoSpaceDN w:val="0"/>
        <w:adjustRightInd w:val="0"/>
        <w:spacing w:after="0" w:line="240" w:lineRule="auto"/>
        <w:jc w:val="both"/>
        <w:rPr>
          <w:rFonts w:ascii="Times New Roman" w:hAnsi="Times New Roman"/>
          <w:b/>
          <w:color w:val="000000"/>
          <w:spacing w:val="6"/>
          <w:sz w:val="24"/>
          <w:szCs w:val="24"/>
          <w:lang w:val="en-GB" w:eastAsia="en-GB"/>
        </w:rPr>
      </w:pPr>
    </w:p>
    <w:p w:rsidR="006E0FB9" w:rsidRPr="009B39E9" w:rsidRDefault="006E0FB9" w:rsidP="00610834">
      <w:pPr>
        <w:autoSpaceDE w:val="0"/>
        <w:autoSpaceDN w:val="0"/>
        <w:adjustRightInd w:val="0"/>
        <w:spacing w:after="0" w:line="240" w:lineRule="auto"/>
        <w:jc w:val="both"/>
        <w:rPr>
          <w:rFonts w:ascii="Times New Roman" w:hAnsi="Times New Roman"/>
          <w:b/>
          <w:color w:val="000000"/>
          <w:spacing w:val="6"/>
          <w:sz w:val="24"/>
          <w:szCs w:val="24"/>
          <w:lang w:val="en-GB" w:eastAsia="en-GB"/>
        </w:rPr>
      </w:pPr>
    </w:p>
    <w:p w:rsidR="006E0FB9" w:rsidRPr="009B39E9" w:rsidRDefault="006E0FB9" w:rsidP="00610834">
      <w:pPr>
        <w:autoSpaceDE w:val="0"/>
        <w:autoSpaceDN w:val="0"/>
        <w:adjustRightInd w:val="0"/>
        <w:spacing w:after="0" w:line="240" w:lineRule="auto"/>
        <w:jc w:val="both"/>
        <w:rPr>
          <w:rFonts w:ascii="Times New Roman" w:hAnsi="Times New Roman"/>
          <w:b/>
          <w:color w:val="000000"/>
          <w:spacing w:val="6"/>
          <w:sz w:val="24"/>
          <w:szCs w:val="24"/>
          <w:lang w:val="en-GB" w:eastAsia="en-GB"/>
        </w:rPr>
      </w:pPr>
    </w:p>
    <w:p w:rsidR="006E0FB9" w:rsidRPr="009B39E9" w:rsidRDefault="006E0FB9" w:rsidP="00610834">
      <w:pPr>
        <w:autoSpaceDE w:val="0"/>
        <w:autoSpaceDN w:val="0"/>
        <w:adjustRightInd w:val="0"/>
        <w:spacing w:after="0" w:line="240" w:lineRule="auto"/>
        <w:jc w:val="both"/>
        <w:rPr>
          <w:rFonts w:ascii="Times New Roman" w:hAnsi="Times New Roman"/>
          <w:b/>
          <w:color w:val="000000"/>
          <w:spacing w:val="6"/>
          <w:sz w:val="24"/>
          <w:szCs w:val="24"/>
          <w:lang w:val="en-GB" w:eastAsia="en-GB"/>
        </w:rPr>
      </w:pPr>
    </w:p>
    <w:p w:rsidR="006E0FB9" w:rsidRPr="009B39E9" w:rsidRDefault="006E0FB9" w:rsidP="00610834">
      <w:pPr>
        <w:autoSpaceDE w:val="0"/>
        <w:autoSpaceDN w:val="0"/>
        <w:adjustRightInd w:val="0"/>
        <w:spacing w:after="0" w:line="240" w:lineRule="auto"/>
        <w:jc w:val="both"/>
        <w:rPr>
          <w:rFonts w:ascii="Times New Roman" w:hAnsi="Times New Roman"/>
          <w:b/>
          <w:color w:val="000000"/>
          <w:spacing w:val="6"/>
          <w:sz w:val="24"/>
          <w:szCs w:val="24"/>
          <w:lang w:val="en-GB" w:eastAsia="en-GB"/>
        </w:rPr>
      </w:pPr>
    </w:p>
    <w:p w:rsidR="00610834" w:rsidRPr="009B39E9" w:rsidRDefault="00610834" w:rsidP="00610834">
      <w:pPr>
        <w:autoSpaceDE w:val="0"/>
        <w:autoSpaceDN w:val="0"/>
        <w:adjustRightInd w:val="0"/>
        <w:spacing w:after="0" w:line="240" w:lineRule="auto"/>
        <w:jc w:val="both"/>
        <w:rPr>
          <w:rFonts w:ascii="Times New Roman" w:hAnsi="Times New Roman"/>
          <w:b/>
          <w:color w:val="000000"/>
          <w:spacing w:val="6"/>
          <w:sz w:val="24"/>
          <w:szCs w:val="24"/>
          <w:lang w:val="en-GB" w:eastAsia="en-GB"/>
        </w:rPr>
      </w:pPr>
      <w:r w:rsidRPr="009B39E9">
        <w:rPr>
          <w:rFonts w:ascii="Times New Roman" w:hAnsi="Times New Roman"/>
          <w:b/>
          <w:color w:val="000000"/>
          <w:spacing w:val="6"/>
          <w:sz w:val="24"/>
          <w:szCs w:val="24"/>
          <w:lang w:val="en-GB" w:eastAsia="en-GB"/>
        </w:rPr>
        <w:t xml:space="preserve">Table 1: Division of Nationally Raised Revenue among the National, Provincial and Local Spheres of Government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1699"/>
        <w:gridCol w:w="2287"/>
        <w:gridCol w:w="1698"/>
      </w:tblGrid>
      <w:tr w:rsidR="00610834" w:rsidRPr="009B39E9" w:rsidTr="003E48E5">
        <w:trPr>
          <w:trHeight w:val="360"/>
        </w:trPr>
        <w:tc>
          <w:tcPr>
            <w:tcW w:w="1665" w:type="pct"/>
            <w:vMerge w:val="restart"/>
            <w:shd w:val="clear" w:color="auto" w:fill="auto"/>
            <w:hideMark/>
          </w:tcPr>
          <w:p w:rsidR="00610834" w:rsidRPr="009B39E9" w:rsidRDefault="00610834" w:rsidP="009E689B">
            <w:pPr>
              <w:autoSpaceDE w:val="0"/>
              <w:autoSpaceDN w:val="0"/>
              <w:adjustRightInd w:val="0"/>
              <w:spacing w:after="0" w:line="240" w:lineRule="auto"/>
              <w:rPr>
                <w:rFonts w:ascii="Times New Roman" w:hAnsi="Times New Roman"/>
                <w:b/>
                <w:bCs/>
                <w:iCs/>
                <w:color w:val="000000"/>
                <w:sz w:val="24"/>
                <w:szCs w:val="24"/>
                <w:lang w:eastAsia="en-ZA"/>
              </w:rPr>
            </w:pPr>
            <w:r w:rsidRPr="009B39E9">
              <w:rPr>
                <w:rFonts w:ascii="Times New Roman" w:hAnsi="Times New Roman"/>
                <w:b/>
                <w:bCs/>
                <w:iCs/>
                <w:color w:val="000000"/>
                <w:sz w:val="24"/>
                <w:szCs w:val="24"/>
                <w:lang w:eastAsia="en-ZA"/>
              </w:rPr>
              <w:t>Spheres of Government</w:t>
            </w:r>
          </w:p>
        </w:tc>
        <w:tc>
          <w:tcPr>
            <w:tcW w:w="997" w:type="pct"/>
            <w:shd w:val="clear" w:color="auto" w:fill="auto"/>
            <w:noWrap/>
            <w:hideMark/>
          </w:tcPr>
          <w:p w:rsidR="00610834" w:rsidRPr="009B39E9" w:rsidRDefault="00610834" w:rsidP="009E689B">
            <w:pPr>
              <w:autoSpaceDE w:val="0"/>
              <w:autoSpaceDN w:val="0"/>
              <w:adjustRightInd w:val="0"/>
              <w:spacing w:after="0" w:line="240" w:lineRule="auto"/>
              <w:rPr>
                <w:rFonts w:ascii="Times New Roman" w:hAnsi="Times New Roman"/>
                <w:b/>
                <w:bCs/>
                <w:iCs/>
                <w:color w:val="000000"/>
                <w:sz w:val="24"/>
                <w:szCs w:val="24"/>
                <w:lang w:eastAsia="en-ZA"/>
              </w:rPr>
            </w:pPr>
            <w:r w:rsidRPr="009B39E9">
              <w:rPr>
                <w:rFonts w:ascii="Times New Roman" w:hAnsi="Times New Roman"/>
                <w:b/>
                <w:bCs/>
                <w:iCs/>
                <w:color w:val="000000"/>
                <w:sz w:val="24"/>
                <w:szCs w:val="24"/>
                <w:lang w:eastAsia="en-ZA"/>
              </w:rPr>
              <w:t>Column A</w:t>
            </w:r>
          </w:p>
        </w:tc>
        <w:tc>
          <w:tcPr>
            <w:tcW w:w="2338" w:type="pct"/>
            <w:gridSpan w:val="2"/>
            <w:shd w:val="clear" w:color="auto" w:fill="auto"/>
            <w:noWrap/>
            <w:hideMark/>
          </w:tcPr>
          <w:p w:rsidR="00610834" w:rsidRPr="009B39E9" w:rsidRDefault="00610834" w:rsidP="009E689B">
            <w:pPr>
              <w:autoSpaceDE w:val="0"/>
              <w:autoSpaceDN w:val="0"/>
              <w:adjustRightInd w:val="0"/>
              <w:spacing w:after="0" w:line="240" w:lineRule="auto"/>
              <w:rPr>
                <w:rFonts w:ascii="Times New Roman" w:hAnsi="Times New Roman"/>
                <w:b/>
                <w:bCs/>
                <w:iCs/>
                <w:color w:val="000000"/>
                <w:sz w:val="24"/>
                <w:szCs w:val="24"/>
                <w:lang w:eastAsia="en-ZA"/>
              </w:rPr>
            </w:pPr>
            <w:r w:rsidRPr="009B39E9">
              <w:rPr>
                <w:rFonts w:ascii="Times New Roman" w:hAnsi="Times New Roman"/>
                <w:b/>
                <w:bCs/>
                <w:iCs/>
                <w:color w:val="000000"/>
                <w:sz w:val="24"/>
                <w:szCs w:val="24"/>
                <w:lang w:eastAsia="en-ZA"/>
              </w:rPr>
              <w:t>Column B</w:t>
            </w:r>
          </w:p>
        </w:tc>
      </w:tr>
      <w:tr w:rsidR="00610834" w:rsidRPr="009B39E9" w:rsidTr="003E48E5">
        <w:trPr>
          <w:trHeight w:val="360"/>
        </w:trPr>
        <w:tc>
          <w:tcPr>
            <w:tcW w:w="1665" w:type="pct"/>
            <w:vMerge/>
            <w:shd w:val="clear" w:color="auto" w:fill="auto"/>
            <w:hideMark/>
          </w:tcPr>
          <w:p w:rsidR="00610834" w:rsidRPr="009B39E9" w:rsidRDefault="00610834" w:rsidP="009E689B">
            <w:pPr>
              <w:autoSpaceDE w:val="0"/>
              <w:autoSpaceDN w:val="0"/>
              <w:adjustRightInd w:val="0"/>
              <w:spacing w:after="0" w:line="240" w:lineRule="auto"/>
              <w:rPr>
                <w:rFonts w:ascii="Times New Roman" w:hAnsi="Times New Roman"/>
                <w:b/>
                <w:bCs/>
                <w:iCs/>
                <w:color w:val="000000"/>
                <w:sz w:val="24"/>
                <w:szCs w:val="24"/>
                <w:lang w:eastAsia="en-ZA"/>
              </w:rPr>
            </w:pPr>
          </w:p>
        </w:tc>
        <w:tc>
          <w:tcPr>
            <w:tcW w:w="997" w:type="pct"/>
            <w:vMerge w:val="restart"/>
            <w:shd w:val="clear" w:color="auto" w:fill="auto"/>
            <w:hideMark/>
          </w:tcPr>
          <w:p w:rsidR="00610834" w:rsidRPr="009B39E9" w:rsidRDefault="008E54E5" w:rsidP="009E689B">
            <w:pPr>
              <w:autoSpaceDE w:val="0"/>
              <w:autoSpaceDN w:val="0"/>
              <w:adjustRightInd w:val="0"/>
              <w:spacing w:after="0" w:line="240" w:lineRule="auto"/>
              <w:rPr>
                <w:rFonts w:ascii="Times New Roman" w:hAnsi="Times New Roman"/>
                <w:b/>
                <w:bCs/>
                <w:iCs/>
                <w:color w:val="000000"/>
                <w:sz w:val="24"/>
                <w:szCs w:val="24"/>
                <w:lang w:eastAsia="en-ZA"/>
              </w:rPr>
            </w:pPr>
            <w:r w:rsidRPr="009B39E9">
              <w:rPr>
                <w:rFonts w:ascii="Times New Roman" w:hAnsi="Times New Roman"/>
                <w:b/>
                <w:bCs/>
                <w:iCs/>
                <w:color w:val="000000"/>
                <w:sz w:val="24"/>
                <w:szCs w:val="24"/>
                <w:lang w:eastAsia="en-ZA"/>
              </w:rPr>
              <w:t>2017/18</w:t>
            </w:r>
          </w:p>
        </w:tc>
        <w:tc>
          <w:tcPr>
            <w:tcW w:w="1342" w:type="pct"/>
            <w:shd w:val="clear" w:color="auto" w:fill="auto"/>
            <w:noWrap/>
            <w:hideMark/>
          </w:tcPr>
          <w:p w:rsidR="00610834" w:rsidRPr="009B39E9" w:rsidRDefault="00610834" w:rsidP="009E689B">
            <w:pPr>
              <w:autoSpaceDE w:val="0"/>
              <w:autoSpaceDN w:val="0"/>
              <w:adjustRightInd w:val="0"/>
              <w:spacing w:after="0" w:line="240" w:lineRule="auto"/>
              <w:rPr>
                <w:rFonts w:ascii="Times New Roman" w:hAnsi="Times New Roman"/>
                <w:b/>
                <w:bCs/>
                <w:iCs/>
                <w:color w:val="000000"/>
                <w:sz w:val="24"/>
                <w:szCs w:val="24"/>
                <w:lang w:eastAsia="en-ZA"/>
              </w:rPr>
            </w:pPr>
            <w:r w:rsidRPr="009B39E9">
              <w:rPr>
                <w:rFonts w:ascii="Times New Roman" w:hAnsi="Times New Roman"/>
                <w:b/>
                <w:bCs/>
                <w:iCs/>
                <w:color w:val="000000"/>
                <w:sz w:val="24"/>
                <w:szCs w:val="24"/>
                <w:lang w:eastAsia="en-ZA"/>
              </w:rPr>
              <w:t>Forward Estimates</w:t>
            </w:r>
          </w:p>
        </w:tc>
        <w:tc>
          <w:tcPr>
            <w:tcW w:w="996" w:type="pct"/>
            <w:shd w:val="clear" w:color="auto" w:fill="auto"/>
            <w:noWrap/>
            <w:hideMark/>
          </w:tcPr>
          <w:p w:rsidR="00610834" w:rsidRPr="009B39E9" w:rsidRDefault="00610834" w:rsidP="009E689B">
            <w:pPr>
              <w:autoSpaceDE w:val="0"/>
              <w:autoSpaceDN w:val="0"/>
              <w:adjustRightInd w:val="0"/>
              <w:spacing w:after="0" w:line="240" w:lineRule="auto"/>
              <w:rPr>
                <w:rFonts w:ascii="Times New Roman" w:hAnsi="Times New Roman"/>
                <w:b/>
                <w:bCs/>
                <w:iCs/>
                <w:color w:val="000000"/>
                <w:sz w:val="24"/>
                <w:szCs w:val="24"/>
                <w:lang w:eastAsia="en-ZA"/>
              </w:rPr>
            </w:pPr>
            <w:r w:rsidRPr="009B39E9">
              <w:rPr>
                <w:rFonts w:ascii="Times New Roman" w:hAnsi="Times New Roman"/>
                <w:b/>
                <w:bCs/>
                <w:iCs/>
                <w:color w:val="000000"/>
                <w:sz w:val="24"/>
                <w:szCs w:val="24"/>
                <w:lang w:eastAsia="en-ZA"/>
              </w:rPr>
              <w:t> </w:t>
            </w:r>
          </w:p>
        </w:tc>
      </w:tr>
      <w:tr w:rsidR="00610834" w:rsidRPr="009B39E9" w:rsidTr="003E48E5">
        <w:trPr>
          <w:trHeight w:val="360"/>
        </w:trPr>
        <w:tc>
          <w:tcPr>
            <w:tcW w:w="1665" w:type="pct"/>
            <w:vMerge/>
            <w:shd w:val="clear" w:color="auto" w:fill="auto"/>
            <w:hideMark/>
          </w:tcPr>
          <w:p w:rsidR="00610834" w:rsidRPr="009B39E9" w:rsidRDefault="00610834" w:rsidP="009E689B">
            <w:pPr>
              <w:autoSpaceDE w:val="0"/>
              <w:autoSpaceDN w:val="0"/>
              <w:adjustRightInd w:val="0"/>
              <w:spacing w:after="0" w:line="240" w:lineRule="auto"/>
              <w:rPr>
                <w:rFonts w:ascii="Times New Roman" w:hAnsi="Times New Roman"/>
                <w:b/>
                <w:bCs/>
                <w:iCs/>
                <w:color w:val="000000"/>
                <w:sz w:val="24"/>
                <w:szCs w:val="24"/>
                <w:lang w:eastAsia="en-ZA"/>
              </w:rPr>
            </w:pPr>
          </w:p>
        </w:tc>
        <w:tc>
          <w:tcPr>
            <w:tcW w:w="997" w:type="pct"/>
            <w:vMerge/>
            <w:shd w:val="clear" w:color="auto" w:fill="auto"/>
            <w:hideMark/>
          </w:tcPr>
          <w:p w:rsidR="00610834" w:rsidRPr="009B39E9" w:rsidRDefault="00610834" w:rsidP="009E689B">
            <w:pPr>
              <w:autoSpaceDE w:val="0"/>
              <w:autoSpaceDN w:val="0"/>
              <w:adjustRightInd w:val="0"/>
              <w:spacing w:after="0" w:line="240" w:lineRule="auto"/>
              <w:rPr>
                <w:rFonts w:ascii="Times New Roman" w:hAnsi="Times New Roman"/>
                <w:b/>
                <w:bCs/>
                <w:iCs/>
                <w:color w:val="000000"/>
                <w:sz w:val="24"/>
                <w:szCs w:val="24"/>
                <w:lang w:eastAsia="en-ZA"/>
              </w:rPr>
            </w:pPr>
          </w:p>
        </w:tc>
        <w:tc>
          <w:tcPr>
            <w:tcW w:w="1342" w:type="pct"/>
            <w:shd w:val="clear" w:color="auto" w:fill="auto"/>
            <w:noWrap/>
            <w:hideMark/>
          </w:tcPr>
          <w:p w:rsidR="00610834" w:rsidRPr="009B39E9" w:rsidRDefault="008E54E5" w:rsidP="009E689B">
            <w:pPr>
              <w:autoSpaceDE w:val="0"/>
              <w:autoSpaceDN w:val="0"/>
              <w:adjustRightInd w:val="0"/>
              <w:spacing w:after="0" w:line="240" w:lineRule="auto"/>
              <w:rPr>
                <w:rFonts w:ascii="Times New Roman" w:hAnsi="Times New Roman"/>
                <w:b/>
                <w:bCs/>
                <w:iCs/>
                <w:color w:val="000000"/>
                <w:sz w:val="24"/>
                <w:szCs w:val="24"/>
                <w:lang w:eastAsia="en-ZA"/>
              </w:rPr>
            </w:pPr>
            <w:r w:rsidRPr="009B39E9">
              <w:rPr>
                <w:rFonts w:ascii="Times New Roman" w:hAnsi="Times New Roman"/>
                <w:b/>
                <w:bCs/>
                <w:iCs/>
                <w:color w:val="000000"/>
                <w:sz w:val="24"/>
                <w:szCs w:val="24"/>
                <w:lang w:eastAsia="en-ZA"/>
              </w:rPr>
              <w:t>2018/19</w:t>
            </w:r>
          </w:p>
        </w:tc>
        <w:tc>
          <w:tcPr>
            <w:tcW w:w="996" w:type="pct"/>
            <w:shd w:val="clear" w:color="auto" w:fill="auto"/>
            <w:noWrap/>
            <w:hideMark/>
          </w:tcPr>
          <w:p w:rsidR="00610834" w:rsidRPr="009B39E9" w:rsidRDefault="008E54E5" w:rsidP="009E689B">
            <w:pPr>
              <w:autoSpaceDE w:val="0"/>
              <w:autoSpaceDN w:val="0"/>
              <w:adjustRightInd w:val="0"/>
              <w:spacing w:after="0" w:line="240" w:lineRule="auto"/>
              <w:rPr>
                <w:rFonts w:ascii="Times New Roman" w:hAnsi="Times New Roman"/>
                <w:b/>
                <w:bCs/>
                <w:iCs/>
                <w:color w:val="000000"/>
                <w:sz w:val="24"/>
                <w:szCs w:val="24"/>
                <w:lang w:eastAsia="en-ZA"/>
              </w:rPr>
            </w:pPr>
            <w:r w:rsidRPr="009B39E9">
              <w:rPr>
                <w:rFonts w:ascii="Times New Roman" w:hAnsi="Times New Roman"/>
                <w:b/>
                <w:bCs/>
                <w:iCs/>
                <w:color w:val="000000"/>
                <w:sz w:val="24"/>
                <w:szCs w:val="24"/>
                <w:lang w:eastAsia="en-ZA"/>
              </w:rPr>
              <w:t>2019/20</w:t>
            </w:r>
          </w:p>
        </w:tc>
      </w:tr>
      <w:tr w:rsidR="00610834" w:rsidRPr="009B39E9" w:rsidTr="003E48E5">
        <w:trPr>
          <w:trHeight w:val="255"/>
        </w:trPr>
        <w:tc>
          <w:tcPr>
            <w:tcW w:w="1665" w:type="pct"/>
            <w:shd w:val="clear" w:color="auto" w:fill="auto"/>
            <w:noWrap/>
            <w:hideMark/>
          </w:tcPr>
          <w:p w:rsidR="00610834" w:rsidRPr="009B39E9" w:rsidRDefault="00610834" w:rsidP="009E689B">
            <w:pPr>
              <w:autoSpaceDE w:val="0"/>
              <w:autoSpaceDN w:val="0"/>
              <w:adjustRightInd w:val="0"/>
              <w:spacing w:after="0" w:line="240" w:lineRule="auto"/>
              <w:rPr>
                <w:rFonts w:ascii="Times New Roman" w:hAnsi="Times New Roman"/>
                <w:iCs/>
                <w:color w:val="000000"/>
                <w:sz w:val="24"/>
                <w:szCs w:val="24"/>
                <w:lang w:eastAsia="en-ZA"/>
              </w:rPr>
            </w:pPr>
            <w:r w:rsidRPr="009B39E9">
              <w:rPr>
                <w:rFonts w:ascii="Times New Roman" w:hAnsi="Times New Roman"/>
                <w:iCs/>
                <w:color w:val="000000"/>
                <w:sz w:val="24"/>
                <w:szCs w:val="24"/>
                <w:lang w:eastAsia="en-ZA"/>
              </w:rPr>
              <w:t> </w:t>
            </w:r>
          </w:p>
        </w:tc>
        <w:tc>
          <w:tcPr>
            <w:tcW w:w="997" w:type="pct"/>
            <w:shd w:val="clear" w:color="auto" w:fill="auto"/>
            <w:noWrap/>
            <w:hideMark/>
          </w:tcPr>
          <w:p w:rsidR="00610834" w:rsidRPr="009B39E9" w:rsidRDefault="00610834" w:rsidP="009E689B">
            <w:pPr>
              <w:autoSpaceDE w:val="0"/>
              <w:autoSpaceDN w:val="0"/>
              <w:adjustRightInd w:val="0"/>
              <w:spacing w:after="0" w:line="240" w:lineRule="auto"/>
              <w:rPr>
                <w:rFonts w:ascii="Times New Roman" w:hAnsi="Times New Roman"/>
                <w:b/>
                <w:bCs/>
                <w:iCs/>
                <w:color w:val="000000"/>
                <w:sz w:val="24"/>
                <w:szCs w:val="24"/>
                <w:lang w:eastAsia="en-ZA"/>
              </w:rPr>
            </w:pPr>
            <w:r w:rsidRPr="009B39E9">
              <w:rPr>
                <w:rFonts w:ascii="Times New Roman" w:hAnsi="Times New Roman"/>
                <w:b/>
                <w:bCs/>
                <w:iCs/>
                <w:color w:val="000000"/>
                <w:sz w:val="24"/>
                <w:szCs w:val="24"/>
                <w:lang w:eastAsia="en-ZA"/>
              </w:rPr>
              <w:t>R'000</w:t>
            </w:r>
          </w:p>
        </w:tc>
        <w:tc>
          <w:tcPr>
            <w:tcW w:w="1342" w:type="pct"/>
            <w:shd w:val="clear" w:color="auto" w:fill="auto"/>
            <w:noWrap/>
            <w:hideMark/>
          </w:tcPr>
          <w:p w:rsidR="00610834" w:rsidRPr="009B39E9" w:rsidRDefault="00610834" w:rsidP="009E689B">
            <w:pPr>
              <w:autoSpaceDE w:val="0"/>
              <w:autoSpaceDN w:val="0"/>
              <w:adjustRightInd w:val="0"/>
              <w:spacing w:after="0" w:line="240" w:lineRule="auto"/>
              <w:rPr>
                <w:rFonts w:ascii="Times New Roman" w:hAnsi="Times New Roman"/>
                <w:b/>
                <w:bCs/>
                <w:iCs/>
                <w:color w:val="000000"/>
                <w:sz w:val="24"/>
                <w:szCs w:val="24"/>
                <w:lang w:eastAsia="en-ZA"/>
              </w:rPr>
            </w:pPr>
            <w:r w:rsidRPr="009B39E9">
              <w:rPr>
                <w:rFonts w:ascii="Times New Roman" w:hAnsi="Times New Roman"/>
                <w:b/>
                <w:bCs/>
                <w:iCs/>
                <w:color w:val="000000"/>
                <w:sz w:val="24"/>
                <w:szCs w:val="24"/>
                <w:lang w:eastAsia="en-ZA"/>
              </w:rPr>
              <w:t>R'000</w:t>
            </w:r>
          </w:p>
        </w:tc>
        <w:tc>
          <w:tcPr>
            <w:tcW w:w="996" w:type="pct"/>
            <w:shd w:val="clear" w:color="auto" w:fill="auto"/>
            <w:noWrap/>
            <w:hideMark/>
          </w:tcPr>
          <w:p w:rsidR="00610834" w:rsidRPr="009B39E9" w:rsidRDefault="00610834" w:rsidP="009E689B">
            <w:pPr>
              <w:autoSpaceDE w:val="0"/>
              <w:autoSpaceDN w:val="0"/>
              <w:adjustRightInd w:val="0"/>
              <w:spacing w:after="0" w:line="240" w:lineRule="auto"/>
              <w:rPr>
                <w:rFonts w:ascii="Times New Roman" w:hAnsi="Times New Roman"/>
                <w:b/>
                <w:bCs/>
                <w:iCs/>
                <w:color w:val="000000"/>
                <w:sz w:val="24"/>
                <w:szCs w:val="24"/>
                <w:lang w:eastAsia="en-ZA"/>
              </w:rPr>
            </w:pPr>
            <w:r w:rsidRPr="009B39E9">
              <w:rPr>
                <w:rFonts w:ascii="Times New Roman" w:hAnsi="Times New Roman"/>
                <w:b/>
                <w:bCs/>
                <w:iCs/>
                <w:color w:val="000000"/>
                <w:sz w:val="24"/>
                <w:szCs w:val="24"/>
                <w:lang w:eastAsia="en-ZA"/>
              </w:rPr>
              <w:t>R'000</w:t>
            </w:r>
          </w:p>
        </w:tc>
      </w:tr>
      <w:tr w:rsidR="003E48E5" w:rsidRPr="009B39E9" w:rsidTr="003E48E5">
        <w:trPr>
          <w:trHeight w:val="315"/>
        </w:trPr>
        <w:tc>
          <w:tcPr>
            <w:tcW w:w="1665" w:type="pct"/>
            <w:shd w:val="clear" w:color="auto" w:fill="auto"/>
            <w:noWrap/>
            <w:hideMark/>
          </w:tcPr>
          <w:p w:rsidR="003E48E5" w:rsidRPr="009B39E9" w:rsidRDefault="003E48E5" w:rsidP="003E48E5">
            <w:pPr>
              <w:autoSpaceDE w:val="0"/>
              <w:autoSpaceDN w:val="0"/>
              <w:adjustRightInd w:val="0"/>
              <w:spacing w:after="0" w:line="240" w:lineRule="auto"/>
              <w:rPr>
                <w:rFonts w:ascii="Times New Roman" w:hAnsi="Times New Roman"/>
                <w:iCs/>
                <w:color w:val="000000"/>
                <w:sz w:val="24"/>
                <w:szCs w:val="24"/>
                <w:lang w:eastAsia="en-ZA"/>
              </w:rPr>
            </w:pPr>
            <w:r w:rsidRPr="009B39E9">
              <w:rPr>
                <w:rFonts w:ascii="Times New Roman" w:hAnsi="Times New Roman"/>
                <w:iCs/>
                <w:color w:val="000000"/>
                <w:sz w:val="24"/>
                <w:szCs w:val="24"/>
                <w:lang w:eastAsia="en-ZA"/>
              </w:rPr>
              <w:t>National</w:t>
            </w:r>
            <w:r w:rsidRPr="009B39E9">
              <w:rPr>
                <w:rFonts w:ascii="Times New Roman" w:hAnsi="Times New Roman"/>
                <w:iCs/>
                <w:color w:val="000000"/>
                <w:sz w:val="24"/>
                <w:szCs w:val="24"/>
                <w:vertAlign w:val="superscript"/>
                <w:lang w:eastAsia="en-ZA"/>
              </w:rPr>
              <w:t>1.</w:t>
            </w:r>
          </w:p>
        </w:tc>
        <w:tc>
          <w:tcPr>
            <w:tcW w:w="997" w:type="pct"/>
            <w:shd w:val="clear" w:color="auto" w:fill="auto"/>
            <w:noWrap/>
            <w:hideMark/>
          </w:tcPr>
          <w:p w:rsidR="003E48E5" w:rsidRPr="009B39E9" w:rsidRDefault="003E48E5" w:rsidP="003E48E5">
            <w:pPr>
              <w:rPr>
                <w:rFonts w:ascii="Times New Roman" w:hAnsi="Times New Roman"/>
                <w:sz w:val="24"/>
                <w:szCs w:val="24"/>
              </w:rPr>
            </w:pPr>
            <w:r w:rsidRPr="009B39E9">
              <w:rPr>
                <w:rFonts w:ascii="Times New Roman" w:hAnsi="Times New Roman"/>
                <w:sz w:val="24"/>
                <w:szCs w:val="24"/>
              </w:rPr>
              <w:t xml:space="preserve"> 910 872 117  </w:t>
            </w:r>
          </w:p>
        </w:tc>
        <w:tc>
          <w:tcPr>
            <w:tcW w:w="1342" w:type="pct"/>
            <w:shd w:val="clear" w:color="auto" w:fill="auto"/>
            <w:noWrap/>
            <w:hideMark/>
          </w:tcPr>
          <w:p w:rsidR="003E48E5" w:rsidRPr="009B39E9" w:rsidRDefault="003E48E5" w:rsidP="003E48E5">
            <w:pPr>
              <w:rPr>
                <w:rFonts w:ascii="Times New Roman" w:hAnsi="Times New Roman"/>
                <w:sz w:val="24"/>
                <w:szCs w:val="24"/>
              </w:rPr>
            </w:pPr>
            <w:r w:rsidRPr="009B39E9">
              <w:rPr>
                <w:rFonts w:ascii="Times New Roman" w:hAnsi="Times New Roman"/>
                <w:sz w:val="24"/>
                <w:szCs w:val="24"/>
              </w:rPr>
              <w:t xml:space="preserve"> 987 928 992  </w:t>
            </w:r>
          </w:p>
        </w:tc>
        <w:tc>
          <w:tcPr>
            <w:tcW w:w="996" w:type="pct"/>
            <w:shd w:val="clear" w:color="auto" w:fill="auto"/>
            <w:noWrap/>
            <w:hideMark/>
          </w:tcPr>
          <w:p w:rsidR="003E48E5" w:rsidRPr="009B39E9" w:rsidRDefault="003E48E5" w:rsidP="003E48E5">
            <w:pPr>
              <w:rPr>
                <w:rFonts w:ascii="Times New Roman" w:hAnsi="Times New Roman"/>
                <w:sz w:val="24"/>
                <w:szCs w:val="24"/>
              </w:rPr>
            </w:pPr>
            <w:r w:rsidRPr="009B39E9">
              <w:rPr>
                <w:rFonts w:ascii="Times New Roman" w:hAnsi="Times New Roman"/>
                <w:sz w:val="24"/>
                <w:szCs w:val="24"/>
              </w:rPr>
              <w:t xml:space="preserve">1 076 814 856  </w:t>
            </w:r>
          </w:p>
        </w:tc>
      </w:tr>
      <w:tr w:rsidR="003E48E5" w:rsidRPr="009B39E9" w:rsidTr="003E48E5">
        <w:trPr>
          <w:trHeight w:val="255"/>
        </w:trPr>
        <w:tc>
          <w:tcPr>
            <w:tcW w:w="1665" w:type="pct"/>
            <w:shd w:val="clear" w:color="auto" w:fill="auto"/>
            <w:noWrap/>
            <w:hideMark/>
          </w:tcPr>
          <w:p w:rsidR="003E48E5" w:rsidRPr="009B39E9" w:rsidRDefault="003E48E5" w:rsidP="003E48E5">
            <w:pPr>
              <w:autoSpaceDE w:val="0"/>
              <w:autoSpaceDN w:val="0"/>
              <w:adjustRightInd w:val="0"/>
              <w:spacing w:after="0" w:line="240" w:lineRule="auto"/>
              <w:rPr>
                <w:rFonts w:ascii="Times New Roman" w:hAnsi="Times New Roman"/>
                <w:iCs/>
                <w:color w:val="000000"/>
                <w:sz w:val="24"/>
                <w:szCs w:val="24"/>
                <w:lang w:eastAsia="en-ZA"/>
              </w:rPr>
            </w:pPr>
            <w:r w:rsidRPr="009B39E9">
              <w:rPr>
                <w:rFonts w:ascii="Times New Roman" w:hAnsi="Times New Roman"/>
                <w:iCs/>
                <w:color w:val="000000"/>
                <w:sz w:val="24"/>
                <w:szCs w:val="24"/>
                <w:lang w:eastAsia="en-ZA"/>
              </w:rPr>
              <w:t>Provincial</w:t>
            </w:r>
          </w:p>
        </w:tc>
        <w:tc>
          <w:tcPr>
            <w:tcW w:w="997" w:type="pct"/>
            <w:shd w:val="clear" w:color="auto" w:fill="auto"/>
            <w:noWrap/>
            <w:hideMark/>
          </w:tcPr>
          <w:p w:rsidR="003E48E5" w:rsidRPr="009B39E9" w:rsidRDefault="003E48E5" w:rsidP="003E48E5">
            <w:pPr>
              <w:rPr>
                <w:rFonts w:ascii="Times New Roman" w:hAnsi="Times New Roman"/>
                <w:sz w:val="24"/>
                <w:szCs w:val="24"/>
              </w:rPr>
            </w:pPr>
            <w:r w:rsidRPr="009B39E9">
              <w:rPr>
                <w:rFonts w:ascii="Times New Roman" w:hAnsi="Times New Roman"/>
                <w:sz w:val="24"/>
                <w:szCs w:val="24"/>
              </w:rPr>
              <w:t xml:space="preserve"> 441 331 122  </w:t>
            </w:r>
          </w:p>
        </w:tc>
        <w:tc>
          <w:tcPr>
            <w:tcW w:w="1342" w:type="pct"/>
            <w:shd w:val="clear" w:color="auto" w:fill="auto"/>
            <w:noWrap/>
            <w:hideMark/>
          </w:tcPr>
          <w:p w:rsidR="003E48E5" w:rsidRPr="009B39E9" w:rsidRDefault="003E48E5" w:rsidP="003E48E5">
            <w:pPr>
              <w:rPr>
                <w:rFonts w:ascii="Times New Roman" w:hAnsi="Times New Roman"/>
                <w:sz w:val="24"/>
                <w:szCs w:val="24"/>
              </w:rPr>
            </w:pPr>
            <w:r w:rsidRPr="009B39E9">
              <w:rPr>
                <w:rFonts w:ascii="Times New Roman" w:hAnsi="Times New Roman"/>
                <w:sz w:val="24"/>
                <w:szCs w:val="24"/>
              </w:rPr>
              <w:t xml:space="preserve"> 471 522 489  </w:t>
            </w:r>
          </w:p>
        </w:tc>
        <w:tc>
          <w:tcPr>
            <w:tcW w:w="996" w:type="pct"/>
            <w:shd w:val="clear" w:color="auto" w:fill="auto"/>
            <w:noWrap/>
            <w:hideMark/>
          </w:tcPr>
          <w:p w:rsidR="003E48E5" w:rsidRPr="009B39E9" w:rsidRDefault="003E48E5" w:rsidP="003E48E5">
            <w:pPr>
              <w:rPr>
                <w:rFonts w:ascii="Times New Roman" w:hAnsi="Times New Roman"/>
                <w:sz w:val="24"/>
                <w:szCs w:val="24"/>
              </w:rPr>
            </w:pPr>
            <w:r w:rsidRPr="009B39E9">
              <w:rPr>
                <w:rFonts w:ascii="Times New Roman" w:hAnsi="Times New Roman"/>
                <w:sz w:val="24"/>
                <w:szCs w:val="24"/>
              </w:rPr>
              <w:t xml:space="preserve"> 506 103 653  </w:t>
            </w:r>
          </w:p>
        </w:tc>
      </w:tr>
      <w:tr w:rsidR="003E48E5" w:rsidRPr="009B39E9" w:rsidTr="003E48E5">
        <w:trPr>
          <w:trHeight w:val="255"/>
        </w:trPr>
        <w:tc>
          <w:tcPr>
            <w:tcW w:w="1665" w:type="pct"/>
            <w:shd w:val="clear" w:color="auto" w:fill="auto"/>
            <w:noWrap/>
            <w:hideMark/>
          </w:tcPr>
          <w:p w:rsidR="003E48E5" w:rsidRPr="009B39E9" w:rsidRDefault="008E54E5" w:rsidP="008E54E5">
            <w:pPr>
              <w:autoSpaceDE w:val="0"/>
              <w:autoSpaceDN w:val="0"/>
              <w:adjustRightInd w:val="0"/>
              <w:spacing w:after="0" w:line="240" w:lineRule="auto"/>
              <w:rPr>
                <w:rFonts w:ascii="Times New Roman" w:hAnsi="Times New Roman"/>
                <w:iCs/>
                <w:color w:val="000000"/>
                <w:sz w:val="24"/>
                <w:szCs w:val="24"/>
                <w:lang w:eastAsia="en-ZA"/>
              </w:rPr>
            </w:pPr>
            <w:r w:rsidRPr="009B39E9">
              <w:rPr>
                <w:rFonts w:ascii="Times New Roman" w:hAnsi="Times New Roman"/>
                <w:iCs/>
                <w:color w:val="000000"/>
                <w:sz w:val="24"/>
                <w:szCs w:val="24"/>
                <w:lang w:eastAsia="en-ZA"/>
              </w:rPr>
              <w:t>Local</w:t>
            </w:r>
            <w:r w:rsidRPr="009B39E9">
              <w:rPr>
                <w:rFonts w:ascii="Times New Roman" w:hAnsi="Times New Roman"/>
                <w:iCs/>
                <w:color w:val="000000"/>
                <w:sz w:val="24"/>
                <w:szCs w:val="24"/>
                <w:vertAlign w:val="superscript"/>
                <w:lang w:eastAsia="en-ZA"/>
              </w:rPr>
              <w:t>2</w:t>
            </w:r>
          </w:p>
        </w:tc>
        <w:tc>
          <w:tcPr>
            <w:tcW w:w="997" w:type="pct"/>
            <w:shd w:val="clear" w:color="auto" w:fill="auto"/>
            <w:noWrap/>
            <w:hideMark/>
          </w:tcPr>
          <w:p w:rsidR="003E48E5" w:rsidRPr="009B39E9" w:rsidRDefault="003E48E5" w:rsidP="003E48E5">
            <w:pPr>
              <w:rPr>
                <w:rFonts w:ascii="Times New Roman" w:hAnsi="Times New Roman"/>
                <w:sz w:val="24"/>
                <w:szCs w:val="24"/>
              </w:rPr>
            </w:pPr>
            <w:r w:rsidRPr="009B39E9">
              <w:rPr>
                <w:rFonts w:ascii="Times New Roman" w:hAnsi="Times New Roman"/>
                <w:sz w:val="24"/>
                <w:szCs w:val="24"/>
              </w:rPr>
              <w:t xml:space="preserve"> 57 012 141  </w:t>
            </w:r>
          </w:p>
        </w:tc>
        <w:tc>
          <w:tcPr>
            <w:tcW w:w="1342" w:type="pct"/>
            <w:shd w:val="clear" w:color="auto" w:fill="auto"/>
            <w:noWrap/>
            <w:hideMark/>
          </w:tcPr>
          <w:p w:rsidR="003E48E5" w:rsidRPr="009B39E9" w:rsidRDefault="003E48E5" w:rsidP="003E48E5">
            <w:pPr>
              <w:rPr>
                <w:rFonts w:ascii="Times New Roman" w:hAnsi="Times New Roman"/>
                <w:sz w:val="24"/>
                <w:szCs w:val="24"/>
              </w:rPr>
            </w:pPr>
            <w:r w:rsidRPr="009B39E9">
              <w:rPr>
                <w:rFonts w:ascii="Times New Roman" w:hAnsi="Times New Roman"/>
                <w:sz w:val="24"/>
                <w:szCs w:val="24"/>
              </w:rPr>
              <w:t xml:space="preserve"> 62 731 845  </w:t>
            </w:r>
          </w:p>
        </w:tc>
        <w:tc>
          <w:tcPr>
            <w:tcW w:w="996" w:type="pct"/>
            <w:shd w:val="clear" w:color="auto" w:fill="auto"/>
            <w:noWrap/>
            <w:hideMark/>
          </w:tcPr>
          <w:p w:rsidR="003E48E5" w:rsidRPr="009B39E9" w:rsidRDefault="003E48E5" w:rsidP="003E48E5">
            <w:pPr>
              <w:rPr>
                <w:rFonts w:ascii="Times New Roman" w:hAnsi="Times New Roman"/>
                <w:sz w:val="24"/>
                <w:szCs w:val="24"/>
              </w:rPr>
            </w:pPr>
            <w:r w:rsidRPr="009B39E9">
              <w:rPr>
                <w:rFonts w:ascii="Times New Roman" w:hAnsi="Times New Roman"/>
                <w:sz w:val="24"/>
                <w:szCs w:val="24"/>
              </w:rPr>
              <w:t xml:space="preserve"> 69 273 465  </w:t>
            </w:r>
          </w:p>
        </w:tc>
      </w:tr>
      <w:tr w:rsidR="003E48E5" w:rsidRPr="009B39E9" w:rsidTr="003E48E5">
        <w:trPr>
          <w:trHeight w:val="255"/>
        </w:trPr>
        <w:tc>
          <w:tcPr>
            <w:tcW w:w="1665" w:type="pct"/>
            <w:shd w:val="clear" w:color="auto" w:fill="auto"/>
            <w:noWrap/>
            <w:hideMark/>
          </w:tcPr>
          <w:p w:rsidR="003E48E5" w:rsidRPr="009B39E9" w:rsidRDefault="003E48E5" w:rsidP="003E48E5">
            <w:pPr>
              <w:autoSpaceDE w:val="0"/>
              <w:autoSpaceDN w:val="0"/>
              <w:adjustRightInd w:val="0"/>
              <w:spacing w:after="0" w:line="240" w:lineRule="auto"/>
              <w:rPr>
                <w:rFonts w:ascii="Times New Roman" w:hAnsi="Times New Roman"/>
                <w:b/>
                <w:bCs/>
                <w:iCs/>
                <w:color w:val="000000"/>
                <w:sz w:val="24"/>
                <w:szCs w:val="24"/>
                <w:lang w:eastAsia="en-ZA"/>
              </w:rPr>
            </w:pPr>
            <w:r w:rsidRPr="009B39E9">
              <w:rPr>
                <w:rFonts w:ascii="Times New Roman" w:hAnsi="Times New Roman"/>
                <w:b/>
                <w:bCs/>
                <w:iCs/>
                <w:color w:val="000000"/>
                <w:sz w:val="24"/>
                <w:szCs w:val="24"/>
                <w:lang w:eastAsia="en-ZA"/>
              </w:rPr>
              <w:t>TOTAL</w:t>
            </w:r>
          </w:p>
        </w:tc>
        <w:tc>
          <w:tcPr>
            <w:tcW w:w="997" w:type="pct"/>
            <w:shd w:val="clear" w:color="auto" w:fill="auto"/>
            <w:noWrap/>
            <w:hideMark/>
          </w:tcPr>
          <w:p w:rsidR="003E48E5" w:rsidRPr="009B39E9" w:rsidRDefault="003E48E5" w:rsidP="003E48E5">
            <w:pPr>
              <w:rPr>
                <w:rFonts w:ascii="Times New Roman" w:hAnsi="Times New Roman"/>
                <w:b/>
                <w:sz w:val="24"/>
                <w:szCs w:val="24"/>
              </w:rPr>
            </w:pPr>
            <w:r w:rsidRPr="009B39E9">
              <w:rPr>
                <w:rFonts w:ascii="Times New Roman" w:hAnsi="Times New Roman"/>
                <w:b/>
                <w:sz w:val="24"/>
                <w:szCs w:val="24"/>
              </w:rPr>
              <w:t xml:space="preserve">1 409 215 380  </w:t>
            </w:r>
          </w:p>
        </w:tc>
        <w:tc>
          <w:tcPr>
            <w:tcW w:w="1342" w:type="pct"/>
            <w:shd w:val="clear" w:color="auto" w:fill="auto"/>
            <w:noWrap/>
            <w:hideMark/>
          </w:tcPr>
          <w:p w:rsidR="003E48E5" w:rsidRPr="009B39E9" w:rsidRDefault="003E48E5" w:rsidP="003E48E5">
            <w:pPr>
              <w:rPr>
                <w:rFonts w:ascii="Times New Roman" w:hAnsi="Times New Roman"/>
                <w:b/>
                <w:sz w:val="24"/>
                <w:szCs w:val="24"/>
              </w:rPr>
            </w:pPr>
            <w:r w:rsidRPr="009B39E9">
              <w:rPr>
                <w:rFonts w:ascii="Times New Roman" w:hAnsi="Times New Roman"/>
                <w:b/>
                <w:sz w:val="24"/>
                <w:szCs w:val="24"/>
              </w:rPr>
              <w:t xml:space="preserve">1 522 183 326  </w:t>
            </w:r>
          </w:p>
        </w:tc>
        <w:tc>
          <w:tcPr>
            <w:tcW w:w="996" w:type="pct"/>
            <w:shd w:val="clear" w:color="auto" w:fill="auto"/>
            <w:noWrap/>
            <w:hideMark/>
          </w:tcPr>
          <w:p w:rsidR="003E48E5" w:rsidRPr="009B39E9" w:rsidRDefault="003E48E5" w:rsidP="003E48E5">
            <w:pPr>
              <w:rPr>
                <w:rFonts w:ascii="Times New Roman" w:hAnsi="Times New Roman"/>
                <w:b/>
                <w:sz w:val="24"/>
                <w:szCs w:val="24"/>
              </w:rPr>
            </w:pPr>
            <w:r w:rsidRPr="009B39E9">
              <w:rPr>
                <w:rFonts w:ascii="Times New Roman" w:hAnsi="Times New Roman"/>
                <w:b/>
                <w:sz w:val="24"/>
                <w:szCs w:val="24"/>
              </w:rPr>
              <w:t xml:space="preserve">1 652 191 974  </w:t>
            </w:r>
          </w:p>
        </w:tc>
      </w:tr>
    </w:tbl>
    <w:p w:rsidR="00610834" w:rsidRPr="009B39E9" w:rsidRDefault="00610834" w:rsidP="00610834">
      <w:pPr>
        <w:numPr>
          <w:ilvl w:val="0"/>
          <w:numId w:val="2"/>
        </w:numPr>
        <w:autoSpaceDE w:val="0"/>
        <w:autoSpaceDN w:val="0"/>
        <w:adjustRightInd w:val="0"/>
        <w:spacing w:after="0" w:line="240" w:lineRule="auto"/>
        <w:rPr>
          <w:rFonts w:ascii="Times New Roman" w:hAnsi="Times New Roman"/>
          <w:i/>
          <w:iCs/>
          <w:color w:val="000000"/>
          <w:sz w:val="24"/>
          <w:szCs w:val="24"/>
          <w:lang w:eastAsia="en-ZA"/>
        </w:rPr>
      </w:pPr>
      <w:r w:rsidRPr="009B39E9">
        <w:rPr>
          <w:rFonts w:ascii="Times New Roman" w:hAnsi="Times New Roman"/>
          <w:i/>
          <w:iCs/>
          <w:color w:val="000000"/>
          <w:sz w:val="24"/>
          <w:szCs w:val="24"/>
          <w:lang w:eastAsia="en-ZA"/>
        </w:rPr>
        <w:t xml:space="preserve">National share includes conditional allocations to provincial and local spheres, general fuel levy sharing with metropolitan municipalities, debt-service costs and the contingency reserve. </w:t>
      </w:r>
    </w:p>
    <w:p w:rsidR="003E48E5" w:rsidRPr="009B39E9" w:rsidRDefault="003E48E5" w:rsidP="003E48E5">
      <w:pPr>
        <w:numPr>
          <w:ilvl w:val="0"/>
          <w:numId w:val="2"/>
        </w:numPr>
        <w:autoSpaceDE w:val="0"/>
        <w:autoSpaceDN w:val="0"/>
        <w:adjustRightInd w:val="0"/>
        <w:spacing w:after="0" w:line="240" w:lineRule="auto"/>
        <w:rPr>
          <w:rFonts w:ascii="Times New Roman" w:hAnsi="Times New Roman"/>
          <w:i/>
          <w:iCs/>
          <w:color w:val="000000"/>
          <w:sz w:val="24"/>
          <w:szCs w:val="24"/>
          <w:lang w:eastAsia="en-ZA"/>
        </w:rPr>
      </w:pPr>
      <w:r w:rsidRPr="009B39E9">
        <w:rPr>
          <w:rFonts w:ascii="Times New Roman" w:hAnsi="Times New Roman"/>
          <w:i/>
          <w:iCs/>
          <w:color w:val="000000"/>
          <w:sz w:val="24"/>
          <w:szCs w:val="24"/>
          <w:lang w:eastAsia="en-ZA"/>
        </w:rPr>
        <w:t>Local share includes an unallocated amount of R1.8 billion in 2019/20 that is not included in the forward estimates of local allocations in Schedule 3</w:t>
      </w:r>
    </w:p>
    <w:p w:rsidR="00610834" w:rsidRPr="009B39E9" w:rsidRDefault="00610834" w:rsidP="00610834">
      <w:pPr>
        <w:autoSpaceDE w:val="0"/>
        <w:autoSpaceDN w:val="0"/>
        <w:adjustRightInd w:val="0"/>
        <w:spacing w:after="0" w:line="240" w:lineRule="auto"/>
        <w:rPr>
          <w:rFonts w:ascii="Times New Roman" w:hAnsi="Times New Roman"/>
          <w:i/>
          <w:iCs/>
          <w:color w:val="000000"/>
          <w:sz w:val="24"/>
          <w:szCs w:val="24"/>
          <w:lang w:eastAsia="en-ZA"/>
        </w:rPr>
      </w:pPr>
    </w:p>
    <w:p w:rsidR="00610834" w:rsidRPr="009B39E9" w:rsidRDefault="00610834" w:rsidP="00751FDA">
      <w:pPr>
        <w:spacing w:line="360" w:lineRule="auto"/>
        <w:jc w:val="both"/>
        <w:rPr>
          <w:rFonts w:ascii="Times New Roman" w:hAnsi="Times New Roman"/>
          <w:sz w:val="24"/>
          <w:szCs w:val="24"/>
        </w:rPr>
      </w:pPr>
      <w:r w:rsidRPr="009B39E9">
        <w:rPr>
          <w:rFonts w:ascii="Times New Roman" w:hAnsi="Times New Roman"/>
          <w:sz w:val="24"/>
          <w:szCs w:val="24"/>
        </w:rPr>
        <w:t xml:space="preserve">The Division of Revenue Bill proposes that the most important public spending programmes that help poor South Africans, </w:t>
      </w:r>
      <w:r w:rsidR="000A0946" w:rsidRPr="009B39E9">
        <w:rPr>
          <w:rFonts w:ascii="Times New Roman" w:hAnsi="Times New Roman"/>
          <w:sz w:val="24"/>
          <w:szCs w:val="24"/>
        </w:rPr>
        <w:t xml:space="preserve">generate employment and </w:t>
      </w:r>
      <w:r w:rsidRPr="009B39E9">
        <w:rPr>
          <w:rFonts w:ascii="Times New Roman" w:hAnsi="Times New Roman"/>
          <w:sz w:val="24"/>
          <w:szCs w:val="24"/>
        </w:rPr>
        <w:t xml:space="preserve">contribute to growth have been protected from major reductions. </w:t>
      </w:r>
      <w:r w:rsidR="003E48E5" w:rsidRPr="009B39E9">
        <w:rPr>
          <w:rFonts w:ascii="Times New Roman" w:hAnsi="Times New Roman"/>
          <w:sz w:val="24"/>
          <w:szCs w:val="24"/>
        </w:rPr>
        <w:t>The 2017 division of revenue reprioritises existing funds to ensure these objectives are met despite a lower</w:t>
      </w:r>
      <w:r w:rsidR="00563047" w:rsidRPr="009B39E9">
        <w:rPr>
          <w:rFonts w:ascii="Times New Roman" w:hAnsi="Times New Roman"/>
          <w:sz w:val="24"/>
          <w:szCs w:val="24"/>
        </w:rPr>
        <w:t xml:space="preserve"> </w:t>
      </w:r>
      <w:r w:rsidR="003E48E5" w:rsidRPr="009B39E9">
        <w:rPr>
          <w:rFonts w:ascii="Times New Roman" w:hAnsi="Times New Roman"/>
          <w:sz w:val="24"/>
          <w:szCs w:val="24"/>
        </w:rPr>
        <w:t>expenditure ceiling.</w:t>
      </w:r>
    </w:p>
    <w:p w:rsidR="00610834" w:rsidRPr="009B39E9" w:rsidRDefault="00610834" w:rsidP="00751FDA">
      <w:pPr>
        <w:spacing w:after="0" w:line="360" w:lineRule="auto"/>
        <w:jc w:val="both"/>
        <w:rPr>
          <w:rFonts w:ascii="Times New Roman" w:hAnsi="Times New Roman"/>
          <w:b/>
          <w:sz w:val="24"/>
          <w:szCs w:val="24"/>
        </w:rPr>
      </w:pPr>
      <w:r w:rsidRPr="009B39E9">
        <w:rPr>
          <w:rFonts w:ascii="Times New Roman" w:hAnsi="Times New Roman"/>
          <w:b/>
          <w:sz w:val="24"/>
          <w:szCs w:val="24"/>
        </w:rPr>
        <w:t>2.1</w:t>
      </w:r>
      <w:r w:rsidRPr="009B39E9">
        <w:rPr>
          <w:rFonts w:ascii="Times New Roman" w:hAnsi="Times New Roman"/>
          <w:b/>
          <w:sz w:val="24"/>
          <w:szCs w:val="24"/>
        </w:rPr>
        <w:tab/>
        <w:t>Main Budget Allocations</w:t>
      </w:r>
    </w:p>
    <w:p w:rsidR="00610834" w:rsidRPr="009B39E9" w:rsidRDefault="00610834" w:rsidP="00751FDA">
      <w:pPr>
        <w:spacing w:after="0" w:line="360" w:lineRule="auto"/>
        <w:jc w:val="both"/>
        <w:rPr>
          <w:rFonts w:ascii="Times New Roman" w:hAnsi="Times New Roman"/>
          <w:sz w:val="24"/>
          <w:szCs w:val="24"/>
        </w:rPr>
      </w:pPr>
    </w:p>
    <w:p w:rsidR="00610834" w:rsidRPr="009B39E9" w:rsidRDefault="00610834" w:rsidP="00751FDA">
      <w:pPr>
        <w:spacing w:line="360" w:lineRule="auto"/>
        <w:jc w:val="both"/>
        <w:rPr>
          <w:rFonts w:ascii="Times New Roman" w:hAnsi="Times New Roman"/>
          <w:sz w:val="24"/>
          <w:szCs w:val="24"/>
        </w:rPr>
      </w:pPr>
      <w:r w:rsidRPr="009B39E9">
        <w:rPr>
          <w:rFonts w:ascii="Times New Roman" w:hAnsi="Times New Roman"/>
          <w:sz w:val="24"/>
          <w:szCs w:val="24"/>
        </w:rPr>
        <w:t>The main budget exp</w:t>
      </w:r>
      <w:r w:rsidR="00B15C3B" w:rsidRPr="009B39E9">
        <w:rPr>
          <w:rFonts w:ascii="Times New Roman" w:hAnsi="Times New Roman"/>
          <w:sz w:val="24"/>
          <w:szCs w:val="24"/>
        </w:rPr>
        <w:t>enditure has increased from R1.307 trillion for the 2016/17 financial year to R1.409 trillion for the 2017/18</w:t>
      </w:r>
      <w:r w:rsidRPr="009B39E9">
        <w:rPr>
          <w:rFonts w:ascii="Times New Roman" w:hAnsi="Times New Roman"/>
          <w:sz w:val="24"/>
          <w:szCs w:val="24"/>
        </w:rPr>
        <w:t xml:space="preserve"> financial year. The main budget framework provides for average annu</w:t>
      </w:r>
      <w:r w:rsidR="00B15C3B" w:rsidRPr="009B39E9">
        <w:rPr>
          <w:rFonts w:ascii="Times New Roman" w:hAnsi="Times New Roman"/>
          <w:sz w:val="24"/>
          <w:szCs w:val="24"/>
        </w:rPr>
        <w:t>al growth of 8.1</w:t>
      </w:r>
      <w:r w:rsidRPr="009B39E9">
        <w:rPr>
          <w:rFonts w:ascii="Times New Roman" w:hAnsi="Times New Roman"/>
          <w:sz w:val="24"/>
          <w:szCs w:val="24"/>
        </w:rPr>
        <w:t xml:space="preserve"> per cent in the main budget allocations over the next three years. Non-interest allocations for the three spheres of government grow </w:t>
      </w:r>
      <w:r w:rsidR="00B15C3B" w:rsidRPr="009B39E9">
        <w:rPr>
          <w:rFonts w:ascii="Times New Roman" w:hAnsi="Times New Roman"/>
          <w:sz w:val="24"/>
          <w:szCs w:val="24"/>
        </w:rPr>
        <w:t>at an average annual rate of 7.3</w:t>
      </w:r>
      <w:r w:rsidRPr="009B39E9">
        <w:rPr>
          <w:rFonts w:ascii="Times New Roman" w:hAnsi="Times New Roman"/>
          <w:sz w:val="24"/>
          <w:szCs w:val="24"/>
        </w:rPr>
        <w:t xml:space="preserve"> per cent over the </w:t>
      </w:r>
      <w:r w:rsidR="00FD6ECC" w:rsidRPr="009B39E9">
        <w:rPr>
          <w:rFonts w:ascii="Times New Roman" w:hAnsi="Times New Roman"/>
          <w:sz w:val="24"/>
          <w:szCs w:val="24"/>
        </w:rPr>
        <w:t>M</w:t>
      </w:r>
      <w:r w:rsidR="0055725A" w:rsidRPr="009B39E9">
        <w:rPr>
          <w:rFonts w:ascii="Times New Roman" w:hAnsi="Times New Roman"/>
          <w:sz w:val="24"/>
          <w:szCs w:val="24"/>
        </w:rPr>
        <w:t xml:space="preserve">edium </w:t>
      </w:r>
      <w:r w:rsidR="00FD6ECC" w:rsidRPr="009B39E9">
        <w:rPr>
          <w:rFonts w:ascii="Times New Roman" w:hAnsi="Times New Roman"/>
          <w:sz w:val="24"/>
          <w:szCs w:val="24"/>
        </w:rPr>
        <w:t>T</w:t>
      </w:r>
      <w:r w:rsidR="0055725A" w:rsidRPr="009B39E9">
        <w:rPr>
          <w:rFonts w:ascii="Times New Roman" w:hAnsi="Times New Roman"/>
          <w:sz w:val="24"/>
          <w:szCs w:val="24"/>
        </w:rPr>
        <w:t xml:space="preserve">erm </w:t>
      </w:r>
      <w:r w:rsidR="00FD6ECC" w:rsidRPr="009B39E9">
        <w:rPr>
          <w:rFonts w:ascii="Times New Roman" w:hAnsi="Times New Roman"/>
          <w:sz w:val="24"/>
          <w:szCs w:val="24"/>
        </w:rPr>
        <w:t>E</w:t>
      </w:r>
      <w:r w:rsidR="0055725A" w:rsidRPr="009B39E9">
        <w:rPr>
          <w:rFonts w:ascii="Times New Roman" w:hAnsi="Times New Roman"/>
          <w:sz w:val="24"/>
          <w:szCs w:val="24"/>
        </w:rPr>
        <w:t xml:space="preserve">xpenditure </w:t>
      </w:r>
      <w:r w:rsidR="00FD6ECC" w:rsidRPr="009B39E9">
        <w:rPr>
          <w:rFonts w:ascii="Times New Roman" w:hAnsi="Times New Roman"/>
          <w:sz w:val="24"/>
          <w:szCs w:val="24"/>
        </w:rPr>
        <w:t>F</w:t>
      </w:r>
      <w:r w:rsidR="0055725A" w:rsidRPr="009B39E9">
        <w:rPr>
          <w:rFonts w:ascii="Times New Roman" w:hAnsi="Times New Roman"/>
          <w:sz w:val="24"/>
          <w:szCs w:val="24"/>
        </w:rPr>
        <w:t>ramework</w:t>
      </w:r>
      <w:r w:rsidR="00ED6B24" w:rsidRPr="009B39E9">
        <w:rPr>
          <w:rFonts w:ascii="Times New Roman" w:hAnsi="Times New Roman"/>
          <w:sz w:val="24"/>
          <w:szCs w:val="24"/>
        </w:rPr>
        <w:t xml:space="preserve"> (MTEF).</w:t>
      </w:r>
      <w:r w:rsidR="0055725A" w:rsidRPr="009B39E9">
        <w:rPr>
          <w:rFonts w:ascii="Times New Roman" w:hAnsi="Times New Roman"/>
          <w:sz w:val="24"/>
          <w:szCs w:val="24"/>
        </w:rPr>
        <w:t xml:space="preserve"> </w:t>
      </w:r>
      <w:r w:rsidR="00B15C3B" w:rsidRPr="009B39E9">
        <w:rPr>
          <w:rFonts w:ascii="Times New Roman" w:hAnsi="Times New Roman"/>
          <w:sz w:val="24"/>
          <w:szCs w:val="24"/>
        </w:rPr>
        <w:t>For the 2017</w:t>
      </w:r>
      <w:r w:rsidR="008E54E5" w:rsidRPr="009B39E9">
        <w:rPr>
          <w:rFonts w:ascii="Times New Roman" w:hAnsi="Times New Roman"/>
          <w:sz w:val="24"/>
          <w:szCs w:val="24"/>
        </w:rPr>
        <w:t>/18</w:t>
      </w:r>
      <w:r w:rsidRPr="009B39E9">
        <w:rPr>
          <w:rFonts w:ascii="Times New Roman" w:hAnsi="Times New Roman"/>
          <w:sz w:val="24"/>
          <w:szCs w:val="24"/>
        </w:rPr>
        <w:t>, natio</w:t>
      </w:r>
      <w:r w:rsidR="008E54E5" w:rsidRPr="009B39E9">
        <w:rPr>
          <w:rFonts w:ascii="Times New Roman" w:hAnsi="Times New Roman"/>
          <w:sz w:val="24"/>
          <w:szCs w:val="24"/>
        </w:rPr>
        <w:t>nal government is allocated 47.</w:t>
      </w:r>
      <w:r w:rsidR="00FC423E" w:rsidRPr="009B39E9">
        <w:rPr>
          <w:rFonts w:ascii="Times New Roman" w:hAnsi="Times New Roman"/>
          <w:sz w:val="24"/>
          <w:szCs w:val="24"/>
        </w:rPr>
        <w:t>5</w:t>
      </w:r>
      <w:r w:rsidRPr="009B39E9">
        <w:rPr>
          <w:rFonts w:ascii="Times New Roman" w:hAnsi="Times New Roman"/>
          <w:sz w:val="24"/>
          <w:szCs w:val="24"/>
        </w:rPr>
        <w:t xml:space="preserve"> per cent of available funds after debt costs and the contingency reserve have been provided for, provinc</w:t>
      </w:r>
      <w:r w:rsidR="008E54E5" w:rsidRPr="009B39E9">
        <w:rPr>
          <w:rFonts w:ascii="Times New Roman" w:hAnsi="Times New Roman"/>
          <w:sz w:val="24"/>
          <w:szCs w:val="24"/>
        </w:rPr>
        <w:t>ial government is allocated 43.4</w:t>
      </w:r>
      <w:r w:rsidRPr="009B39E9">
        <w:rPr>
          <w:rFonts w:ascii="Times New Roman" w:hAnsi="Times New Roman"/>
          <w:sz w:val="24"/>
          <w:szCs w:val="24"/>
        </w:rPr>
        <w:t xml:space="preserve"> </w:t>
      </w:r>
      <w:r w:rsidRPr="009B39E9">
        <w:rPr>
          <w:rFonts w:ascii="Times New Roman" w:hAnsi="Times New Roman"/>
          <w:sz w:val="24"/>
          <w:szCs w:val="24"/>
        </w:rPr>
        <w:lastRenderedPageBreak/>
        <w:t xml:space="preserve">per cent of available funds and local government is allocated 9.1 per cent of available funds. </w:t>
      </w:r>
    </w:p>
    <w:p w:rsidR="002444F3" w:rsidRPr="009B39E9" w:rsidRDefault="002444F3" w:rsidP="00751FDA">
      <w:pPr>
        <w:autoSpaceDE w:val="0"/>
        <w:autoSpaceDN w:val="0"/>
        <w:adjustRightInd w:val="0"/>
        <w:spacing w:after="0" w:line="360" w:lineRule="auto"/>
        <w:jc w:val="both"/>
        <w:rPr>
          <w:rFonts w:ascii="Times New Roman" w:hAnsi="Times New Roman"/>
          <w:b/>
          <w:color w:val="000000"/>
          <w:spacing w:val="6"/>
          <w:sz w:val="24"/>
          <w:szCs w:val="24"/>
          <w:lang w:val="en-GB" w:eastAsia="en-GB"/>
        </w:rPr>
      </w:pPr>
    </w:p>
    <w:p w:rsidR="002444F3" w:rsidRPr="009B39E9" w:rsidRDefault="002444F3" w:rsidP="00610834">
      <w:pPr>
        <w:autoSpaceDE w:val="0"/>
        <w:autoSpaceDN w:val="0"/>
        <w:adjustRightInd w:val="0"/>
        <w:spacing w:after="0" w:line="240" w:lineRule="auto"/>
        <w:jc w:val="both"/>
        <w:rPr>
          <w:rFonts w:ascii="Times New Roman" w:hAnsi="Times New Roman"/>
          <w:b/>
          <w:color w:val="000000"/>
          <w:spacing w:val="6"/>
          <w:sz w:val="24"/>
          <w:szCs w:val="24"/>
          <w:lang w:val="en-GB" w:eastAsia="en-GB"/>
        </w:rPr>
      </w:pPr>
    </w:p>
    <w:p w:rsidR="002444F3" w:rsidRPr="009B39E9" w:rsidRDefault="002444F3" w:rsidP="00610834">
      <w:pPr>
        <w:autoSpaceDE w:val="0"/>
        <w:autoSpaceDN w:val="0"/>
        <w:adjustRightInd w:val="0"/>
        <w:spacing w:after="0" w:line="240" w:lineRule="auto"/>
        <w:jc w:val="both"/>
        <w:rPr>
          <w:rFonts w:ascii="Times New Roman" w:hAnsi="Times New Roman"/>
          <w:b/>
          <w:color w:val="000000"/>
          <w:spacing w:val="6"/>
          <w:sz w:val="24"/>
          <w:szCs w:val="24"/>
          <w:lang w:val="en-GB" w:eastAsia="en-GB"/>
        </w:rPr>
      </w:pPr>
    </w:p>
    <w:p w:rsidR="00610834" w:rsidRPr="009B39E9" w:rsidRDefault="00610834" w:rsidP="00610834">
      <w:pPr>
        <w:autoSpaceDE w:val="0"/>
        <w:autoSpaceDN w:val="0"/>
        <w:adjustRightInd w:val="0"/>
        <w:spacing w:after="0" w:line="240" w:lineRule="auto"/>
        <w:jc w:val="both"/>
        <w:rPr>
          <w:rFonts w:ascii="Times New Roman" w:hAnsi="Times New Roman"/>
          <w:b/>
          <w:color w:val="000000"/>
          <w:spacing w:val="6"/>
          <w:sz w:val="24"/>
          <w:szCs w:val="24"/>
          <w:lang w:val="en-GB" w:eastAsia="en-GB"/>
        </w:rPr>
      </w:pPr>
      <w:r w:rsidRPr="009B39E9">
        <w:rPr>
          <w:rFonts w:ascii="Times New Roman" w:hAnsi="Times New Roman"/>
          <w:b/>
          <w:color w:val="000000"/>
          <w:spacing w:val="6"/>
          <w:sz w:val="24"/>
          <w:szCs w:val="24"/>
          <w:lang w:val="en-GB" w:eastAsia="en-GB"/>
        </w:rPr>
        <w:t>Table 2: Division of Na</w:t>
      </w:r>
      <w:r w:rsidR="00B15C3B" w:rsidRPr="009B39E9">
        <w:rPr>
          <w:rFonts w:ascii="Times New Roman" w:hAnsi="Times New Roman"/>
          <w:b/>
          <w:color w:val="000000"/>
          <w:spacing w:val="6"/>
          <w:sz w:val="24"/>
          <w:szCs w:val="24"/>
          <w:lang w:val="en-GB" w:eastAsia="en-GB"/>
        </w:rPr>
        <w:t>tionally Raised Revenue, 20</w:t>
      </w:r>
      <w:r w:rsidR="00640163" w:rsidRPr="009B39E9">
        <w:rPr>
          <w:rFonts w:ascii="Times New Roman" w:hAnsi="Times New Roman"/>
          <w:b/>
          <w:color w:val="000000"/>
          <w:spacing w:val="6"/>
          <w:sz w:val="24"/>
          <w:szCs w:val="24"/>
          <w:lang w:val="en-GB" w:eastAsia="en-GB"/>
        </w:rPr>
        <w:t>1</w:t>
      </w:r>
      <w:r w:rsidR="00B15C3B" w:rsidRPr="009B39E9">
        <w:rPr>
          <w:rFonts w:ascii="Times New Roman" w:hAnsi="Times New Roman"/>
          <w:b/>
          <w:color w:val="000000"/>
          <w:spacing w:val="6"/>
          <w:sz w:val="24"/>
          <w:szCs w:val="24"/>
          <w:lang w:val="en-GB" w:eastAsia="en-GB"/>
        </w:rPr>
        <w:t>3/14 – 2019/20</w:t>
      </w:r>
      <w:r w:rsidRPr="009B39E9">
        <w:rPr>
          <w:rFonts w:ascii="Times New Roman" w:hAnsi="Times New Roman"/>
          <w:b/>
          <w:color w:val="000000"/>
          <w:spacing w:val="6"/>
          <w:sz w:val="24"/>
          <w:szCs w:val="24"/>
          <w:lang w:val="en-GB" w:eastAsia="en-GB"/>
        </w:rPr>
        <w:t xml:space="preserve"> </w:t>
      </w:r>
    </w:p>
    <w:p w:rsidR="00610834" w:rsidRPr="009B39E9" w:rsidRDefault="00B15C3B" w:rsidP="00610834">
      <w:pPr>
        <w:spacing w:line="240" w:lineRule="auto"/>
        <w:jc w:val="both"/>
        <w:rPr>
          <w:rFonts w:ascii="Times New Roman" w:hAnsi="Times New Roman"/>
          <w:sz w:val="24"/>
          <w:szCs w:val="24"/>
        </w:rPr>
      </w:pPr>
      <w:r w:rsidRPr="009B39E9">
        <w:rPr>
          <w:rFonts w:ascii="Times New Roman" w:hAnsi="Times New Roman"/>
          <w:sz w:val="24"/>
          <w:szCs w:val="24"/>
        </w:rPr>
        <w:object w:dxaOrig="9346" w:dyaOrig="61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303pt" o:ole="">
            <v:imagedata r:id="rId9" o:title=""/>
          </v:shape>
          <o:OLEObject Type="Embed" ProgID="Excel.Sheet.8" ShapeID="_x0000_i1025" DrawAspect="Content" ObjectID="_1551258252" r:id="rId10"/>
        </w:object>
      </w:r>
    </w:p>
    <w:p w:rsidR="00610834" w:rsidRPr="009B39E9" w:rsidRDefault="00610834" w:rsidP="00610834">
      <w:pPr>
        <w:spacing w:line="240" w:lineRule="auto"/>
        <w:jc w:val="both"/>
        <w:rPr>
          <w:rFonts w:ascii="Times New Roman" w:hAnsi="Times New Roman"/>
          <w:sz w:val="24"/>
          <w:szCs w:val="24"/>
        </w:rPr>
      </w:pPr>
      <w:r w:rsidRPr="009B39E9">
        <w:rPr>
          <w:rFonts w:ascii="Times New Roman" w:hAnsi="Times New Roman"/>
          <w:i/>
          <w:sz w:val="24"/>
          <w:szCs w:val="24"/>
        </w:rPr>
        <w:t>Source: National Treasury 201</w:t>
      </w:r>
      <w:r w:rsidR="00B15C3B" w:rsidRPr="009B39E9">
        <w:rPr>
          <w:rFonts w:ascii="Times New Roman" w:hAnsi="Times New Roman"/>
          <w:i/>
          <w:sz w:val="24"/>
          <w:szCs w:val="24"/>
        </w:rPr>
        <w:t>7</w:t>
      </w:r>
    </w:p>
    <w:p w:rsidR="008E54E5" w:rsidRPr="009B39E9" w:rsidRDefault="008E54E5" w:rsidP="00610834">
      <w:pPr>
        <w:spacing w:after="0" w:line="240" w:lineRule="auto"/>
        <w:contextualSpacing/>
        <w:jc w:val="both"/>
        <w:rPr>
          <w:rFonts w:ascii="Times New Roman" w:hAnsi="Times New Roman"/>
          <w:b/>
          <w:sz w:val="24"/>
          <w:szCs w:val="24"/>
        </w:rPr>
      </w:pPr>
    </w:p>
    <w:p w:rsidR="008E1387" w:rsidRPr="009B39E9" w:rsidRDefault="008E1387" w:rsidP="00751FDA">
      <w:pPr>
        <w:spacing w:line="360" w:lineRule="auto"/>
        <w:jc w:val="both"/>
        <w:rPr>
          <w:rFonts w:ascii="Times New Roman" w:hAnsi="Times New Roman"/>
          <w:sz w:val="24"/>
          <w:szCs w:val="24"/>
        </w:rPr>
      </w:pPr>
      <w:r w:rsidRPr="009B39E9">
        <w:rPr>
          <w:rFonts w:ascii="Times New Roman" w:hAnsi="Times New Roman"/>
          <w:sz w:val="24"/>
          <w:szCs w:val="24"/>
        </w:rPr>
        <w:t>National Treasury submitted that priorities over the 2017 MTEF period that are funded through reprioritisations in the division of revenue include:</w:t>
      </w:r>
    </w:p>
    <w:p w:rsidR="008E1387" w:rsidRPr="009B39E9" w:rsidRDefault="008E1387" w:rsidP="00751FDA">
      <w:pPr>
        <w:pStyle w:val="ListParagraph"/>
        <w:numPr>
          <w:ilvl w:val="0"/>
          <w:numId w:val="15"/>
        </w:numPr>
        <w:spacing w:line="360" w:lineRule="auto"/>
        <w:jc w:val="both"/>
        <w:rPr>
          <w:rFonts w:ascii="Times New Roman" w:hAnsi="Times New Roman"/>
          <w:sz w:val="24"/>
          <w:szCs w:val="24"/>
        </w:rPr>
      </w:pPr>
      <w:r w:rsidRPr="009B39E9">
        <w:rPr>
          <w:rFonts w:ascii="Times New Roman" w:hAnsi="Times New Roman"/>
          <w:sz w:val="24"/>
          <w:szCs w:val="24"/>
        </w:rPr>
        <w:t>Strengthening specialised tertiary health services for children through a new paediatric hospital.</w:t>
      </w:r>
    </w:p>
    <w:p w:rsidR="008E1387" w:rsidRPr="009B39E9" w:rsidRDefault="008E1387" w:rsidP="00751FDA">
      <w:pPr>
        <w:pStyle w:val="ListParagraph"/>
        <w:numPr>
          <w:ilvl w:val="0"/>
          <w:numId w:val="15"/>
        </w:numPr>
        <w:spacing w:line="360" w:lineRule="auto"/>
        <w:jc w:val="both"/>
        <w:rPr>
          <w:rFonts w:ascii="Times New Roman" w:hAnsi="Times New Roman"/>
          <w:sz w:val="24"/>
          <w:szCs w:val="24"/>
        </w:rPr>
      </w:pPr>
      <w:r w:rsidRPr="009B39E9">
        <w:rPr>
          <w:rFonts w:ascii="Times New Roman" w:hAnsi="Times New Roman"/>
          <w:sz w:val="24"/>
          <w:szCs w:val="24"/>
        </w:rPr>
        <w:t>Preserving the school nutrition initiative by countering the effects of rapid food price inflation</w:t>
      </w:r>
      <w:r w:rsidR="004362BF" w:rsidRPr="009B39E9">
        <w:rPr>
          <w:rFonts w:ascii="Times New Roman" w:hAnsi="Times New Roman"/>
          <w:sz w:val="24"/>
          <w:szCs w:val="24"/>
        </w:rPr>
        <w:t>.</w:t>
      </w:r>
    </w:p>
    <w:p w:rsidR="008E1387" w:rsidRPr="009B39E9" w:rsidRDefault="008E1387" w:rsidP="00751FDA">
      <w:pPr>
        <w:pStyle w:val="ListParagraph"/>
        <w:numPr>
          <w:ilvl w:val="0"/>
          <w:numId w:val="15"/>
        </w:numPr>
        <w:spacing w:line="360" w:lineRule="auto"/>
        <w:jc w:val="both"/>
        <w:rPr>
          <w:rFonts w:ascii="Times New Roman" w:hAnsi="Times New Roman"/>
          <w:sz w:val="24"/>
          <w:szCs w:val="24"/>
        </w:rPr>
      </w:pPr>
      <w:r w:rsidRPr="009B39E9">
        <w:rPr>
          <w:rFonts w:ascii="Times New Roman" w:hAnsi="Times New Roman"/>
          <w:sz w:val="24"/>
          <w:szCs w:val="24"/>
        </w:rPr>
        <w:t>increasing the number of children receiving meals.</w:t>
      </w:r>
    </w:p>
    <w:p w:rsidR="008E1387" w:rsidRPr="009B39E9" w:rsidRDefault="008E1387" w:rsidP="00751FDA">
      <w:pPr>
        <w:pStyle w:val="ListParagraph"/>
        <w:numPr>
          <w:ilvl w:val="0"/>
          <w:numId w:val="15"/>
        </w:numPr>
        <w:spacing w:line="360" w:lineRule="auto"/>
        <w:jc w:val="both"/>
        <w:rPr>
          <w:rFonts w:ascii="Times New Roman" w:hAnsi="Times New Roman"/>
          <w:sz w:val="24"/>
          <w:szCs w:val="24"/>
        </w:rPr>
      </w:pPr>
      <w:r w:rsidRPr="009B39E9">
        <w:rPr>
          <w:rFonts w:ascii="Times New Roman" w:hAnsi="Times New Roman"/>
          <w:sz w:val="24"/>
          <w:szCs w:val="24"/>
        </w:rPr>
        <w:t>Providing free basic services to poor households.</w:t>
      </w:r>
    </w:p>
    <w:p w:rsidR="008E1387" w:rsidRPr="009B39E9" w:rsidRDefault="008E1387" w:rsidP="00751FDA">
      <w:pPr>
        <w:pStyle w:val="ListParagraph"/>
        <w:numPr>
          <w:ilvl w:val="0"/>
          <w:numId w:val="15"/>
        </w:numPr>
        <w:spacing w:line="360" w:lineRule="auto"/>
        <w:jc w:val="both"/>
        <w:rPr>
          <w:rFonts w:ascii="Times New Roman" w:hAnsi="Times New Roman"/>
          <w:sz w:val="24"/>
          <w:szCs w:val="24"/>
        </w:rPr>
      </w:pPr>
      <w:r w:rsidRPr="009B39E9">
        <w:rPr>
          <w:rFonts w:ascii="Times New Roman" w:hAnsi="Times New Roman"/>
          <w:sz w:val="24"/>
          <w:szCs w:val="24"/>
        </w:rPr>
        <w:t>Promoting access to social housing through increased subsidies.</w:t>
      </w:r>
    </w:p>
    <w:p w:rsidR="008E1387" w:rsidRPr="009B39E9" w:rsidRDefault="008E1387" w:rsidP="00751FDA">
      <w:pPr>
        <w:pStyle w:val="ListParagraph"/>
        <w:numPr>
          <w:ilvl w:val="0"/>
          <w:numId w:val="15"/>
        </w:numPr>
        <w:spacing w:line="360" w:lineRule="auto"/>
        <w:jc w:val="both"/>
        <w:rPr>
          <w:rFonts w:ascii="Times New Roman" w:hAnsi="Times New Roman"/>
          <w:sz w:val="24"/>
          <w:szCs w:val="24"/>
        </w:rPr>
      </w:pPr>
      <w:r w:rsidRPr="009B39E9">
        <w:rPr>
          <w:rFonts w:ascii="Times New Roman" w:hAnsi="Times New Roman"/>
          <w:sz w:val="24"/>
          <w:szCs w:val="24"/>
        </w:rPr>
        <w:lastRenderedPageBreak/>
        <w:t xml:space="preserve">Introducing a new </w:t>
      </w:r>
      <w:r w:rsidR="00ED5914" w:rsidRPr="009B39E9">
        <w:rPr>
          <w:rFonts w:ascii="Times New Roman" w:hAnsi="Times New Roman"/>
          <w:sz w:val="24"/>
          <w:szCs w:val="24"/>
        </w:rPr>
        <w:t xml:space="preserve">social worker employment </w:t>
      </w:r>
      <w:r w:rsidRPr="009B39E9">
        <w:rPr>
          <w:rFonts w:ascii="Times New Roman" w:hAnsi="Times New Roman"/>
          <w:sz w:val="24"/>
          <w:szCs w:val="24"/>
        </w:rPr>
        <w:t>grant</w:t>
      </w:r>
      <w:r w:rsidR="004362BF" w:rsidRPr="009B39E9">
        <w:rPr>
          <w:rFonts w:ascii="Times New Roman" w:hAnsi="Times New Roman"/>
          <w:sz w:val="24"/>
          <w:szCs w:val="24"/>
        </w:rPr>
        <w:t>.</w:t>
      </w:r>
      <w:r w:rsidRPr="009B39E9">
        <w:rPr>
          <w:rFonts w:ascii="Times New Roman" w:hAnsi="Times New Roman"/>
          <w:sz w:val="24"/>
          <w:szCs w:val="24"/>
        </w:rPr>
        <w:t xml:space="preserve"> Introducing a new grant to educate learners with profound intellectual disabilities.</w:t>
      </w:r>
    </w:p>
    <w:p w:rsidR="008E1387" w:rsidRDefault="008E1387" w:rsidP="00751FDA">
      <w:pPr>
        <w:spacing w:after="0" w:line="360" w:lineRule="auto"/>
        <w:contextualSpacing/>
        <w:jc w:val="both"/>
        <w:rPr>
          <w:rFonts w:ascii="Times New Roman" w:hAnsi="Times New Roman"/>
          <w:b/>
          <w:sz w:val="24"/>
          <w:szCs w:val="24"/>
        </w:rPr>
      </w:pPr>
    </w:p>
    <w:p w:rsidR="00696BF2" w:rsidRPr="009B39E9" w:rsidRDefault="00696BF2" w:rsidP="00751FDA">
      <w:pPr>
        <w:spacing w:after="0" w:line="360" w:lineRule="auto"/>
        <w:contextualSpacing/>
        <w:jc w:val="both"/>
        <w:rPr>
          <w:rFonts w:ascii="Times New Roman" w:hAnsi="Times New Roman"/>
          <w:b/>
          <w:sz w:val="24"/>
          <w:szCs w:val="24"/>
        </w:rPr>
      </w:pPr>
    </w:p>
    <w:p w:rsidR="00610834" w:rsidRPr="009B39E9" w:rsidRDefault="00610834" w:rsidP="00751FDA">
      <w:pPr>
        <w:spacing w:after="0" w:line="360" w:lineRule="auto"/>
        <w:contextualSpacing/>
        <w:jc w:val="both"/>
        <w:rPr>
          <w:rFonts w:ascii="Times New Roman" w:hAnsi="Times New Roman"/>
          <w:b/>
          <w:sz w:val="24"/>
          <w:szCs w:val="24"/>
        </w:rPr>
      </w:pPr>
      <w:r w:rsidRPr="009B39E9">
        <w:rPr>
          <w:rFonts w:ascii="Times New Roman" w:hAnsi="Times New Roman"/>
          <w:b/>
          <w:sz w:val="24"/>
          <w:szCs w:val="24"/>
        </w:rPr>
        <w:t>2.2</w:t>
      </w:r>
      <w:r w:rsidRPr="009B39E9">
        <w:rPr>
          <w:rFonts w:ascii="Times New Roman" w:hAnsi="Times New Roman"/>
          <w:b/>
          <w:sz w:val="24"/>
          <w:szCs w:val="24"/>
        </w:rPr>
        <w:tab/>
        <w:t xml:space="preserve">Summary of changes </w:t>
      </w:r>
      <w:r w:rsidR="00ED5914" w:rsidRPr="009B39E9">
        <w:rPr>
          <w:rFonts w:ascii="Times New Roman" w:hAnsi="Times New Roman"/>
          <w:b/>
          <w:sz w:val="24"/>
          <w:szCs w:val="24"/>
        </w:rPr>
        <w:t xml:space="preserve">in </w:t>
      </w:r>
      <w:r w:rsidRPr="009B39E9">
        <w:rPr>
          <w:rFonts w:ascii="Times New Roman" w:hAnsi="Times New Roman"/>
          <w:b/>
          <w:sz w:val="24"/>
          <w:szCs w:val="24"/>
        </w:rPr>
        <w:t>transfers to provinces and municipalities</w:t>
      </w:r>
    </w:p>
    <w:p w:rsidR="00610834" w:rsidRPr="009B39E9" w:rsidRDefault="00610834" w:rsidP="00751FDA">
      <w:pPr>
        <w:spacing w:line="360" w:lineRule="auto"/>
        <w:jc w:val="both"/>
        <w:rPr>
          <w:rFonts w:ascii="Times New Roman" w:hAnsi="Times New Roman"/>
          <w:sz w:val="24"/>
          <w:szCs w:val="24"/>
        </w:rPr>
      </w:pPr>
    </w:p>
    <w:p w:rsidR="00BB56C7" w:rsidRPr="009B39E9" w:rsidRDefault="00751FDA" w:rsidP="00751FDA">
      <w:pPr>
        <w:spacing w:line="360" w:lineRule="auto"/>
        <w:jc w:val="both"/>
        <w:rPr>
          <w:rFonts w:ascii="Times New Roman" w:hAnsi="Times New Roman"/>
          <w:sz w:val="24"/>
          <w:szCs w:val="24"/>
        </w:rPr>
      </w:pPr>
      <w:r>
        <w:rPr>
          <w:rFonts w:ascii="Times New Roman" w:hAnsi="Times New Roman"/>
          <w:sz w:val="24"/>
          <w:szCs w:val="24"/>
        </w:rPr>
        <w:t xml:space="preserve">National Treasury </w:t>
      </w:r>
      <w:r w:rsidR="00610834" w:rsidRPr="009B39E9">
        <w:rPr>
          <w:rFonts w:ascii="Times New Roman" w:hAnsi="Times New Roman"/>
          <w:sz w:val="24"/>
          <w:szCs w:val="24"/>
        </w:rPr>
        <w:t xml:space="preserve">indicated that provincial baselines </w:t>
      </w:r>
      <w:r w:rsidR="008E1387" w:rsidRPr="009B39E9">
        <w:rPr>
          <w:rFonts w:ascii="Times New Roman" w:hAnsi="Times New Roman"/>
          <w:sz w:val="24"/>
          <w:szCs w:val="24"/>
        </w:rPr>
        <w:t xml:space="preserve">remain unchanged </w:t>
      </w:r>
      <w:r w:rsidR="00610834" w:rsidRPr="009B39E9">
        <w:rPr>
          <w:rFonts w:ascii="Times New Roman" w:hAnsi="Times New Roman"/>
          <w:sz w:val="24"/>
          <w:szCs w:val="24"/>
        </w:rPr>
        <w:t>compared to indicati</w:t>
      </w:r>
      <w:r w:rsidR="008E1387" w:rsidRPr="009B39E9">
        <w:rPr>
          <w:rFonts w:ascii="Times New Roman" w:hAnsi="Times New Roman"/>
          <w:sz w:val="24"/>
          <w:szCs w:val="24"/>
        </w:rPr>
        <w:t>ve figures contained in the 2016</w:t>
      </w:r>
      <w:r w:rsidR="00610834" w:rsidRPr="009B39E9">
        <w:rPr>
          <w:rFonts w:ascii="Times New Roman" w:hAnsi="Times New Roman"/>
          <w:sz w:val="24"/>
          <w:szCs w:val="24"/>
        </w:rPr>
        <w:t xml:space="preserve"> MTBPS. To protect basic services funded by the provincial equitable share</w:t>
      </w:r>
      <w:r w:rsidR="007E50B6" w:rsidRPr="009B39E9">
        <w:rPr>
          <w:rFonts w:ascii="Times New Roman" w:hAnsi="Times New Roman"/>
          <w:sz w:val="24"/>
          <w:szCs w:val="24"/>
        </w:rPr>
        <w:t xml:space="preserve"> when</w:t>
      </w:r>
      <w:r w:rsidR="008E1387" w:rsidRPr="009B39E9">
        <w:rPr>
          <w:rFonts w:ascii="Times New Roman" w:hAnsi="Times New Roman"/>
          <w:sz w:val="24"/>
          <w:szCs w:val="24"/>
        </w:rPr>
        <w:t xml:space="preserve"> effecting budget reductions</w:t>
      </w:r>
      <w:r w:rsidR="00BB56C7" w:rsidRPr="009B39E9">
        <w:rPr>
          <w:rFonts w:ascii="Times New Roman" w:hAnsi="Times New Roman"/>
          <w:sz w:val="24"/>
          <w:szCs w:val="24"/>
        </w:rPr>
        <w:t xml:space="preserve"> of R6.8 billion in the provincial fiscal framework as published in 2016, only 23.5 per cent (R1.6</w:t>
      </w:r>
      <w:r w:rsidR="00610834" w:rsidRPr="009B39E9">
        <w:rPr>
          <w:rFonts w:ascii="Times New Roman" w:hAnsi="Times New Roman"/>
          <w:sz w:val="24"/>
          <w:szCs w:val="24"/>
        </w:rPr>
        <w:t xml:space="preserve"> billion) </w:t>
      </w:r>
      <w:r w:rsidR="00BB56C7" w:rsidRPr="009B39E9">
        <w:rPr>
          <w:rFonts w:ascii="Times New Roman" w:hAnsi="Times New Roman"/>
          <w:sz w:val="24"/>
          <w:szCs w:val="24"/>
        </w:rPr>
        <w:t>of this is applied to</w:t>
      </w:r>
      <w:r w:rsidR="00610834" w:rsidRPr="009B39E9">
        <w:rPr>
          <w:rFonts w:ascii="Times New Roman" w:hAnsi="Times New Roman"/>
          <w:sz w:val="24"/>
          <w:szCs w:val="24"/>
        </w:rPr>
        <w:t xml:space="preserve"> </w:t>
      </w:r>
      <w:r w:rsidR="00BB56C7" w:rsidRPr="009B39E9">
        <w:rPr>
          <w:rFonts w:ascii="Times New Roman" w:hAnsi="Times New Roman"/>
          <w:sz w:val="24"/>
          <w:szCs w:val="24"/>
        </w:rPr>
        <w:t>the equitable share, despite its</w:t>
      </w:r>
      <w:r w:rsidR="00610834" w:rsidRPr="009B39E9">
        <w:rPr>
          <w:rFonts w:ascii="Times New Roman" w:hAnsi="Times New Roman"/>
          <w:sz w:val="24"/>
          <w:szCs w:val="24"/>
        </w:rPr>
        <w:t xml:space="preserve"> accounting for more than 80 per cent of transfers to provinces while </w:t>
      </w:r>
      <w:r w:rsidR="00BB56C7" w:rsidRPr="009B39E9">
        <w:rPr>
          <w:rFonts w:ascii="Times New Roman" w:hAnsi="Times New Roman"/>
          <w:sz w:val="24"/>
          <w:szCs w:val="24"/>
        </w:rPr>
        <w:t xml:space="preserve">the remaining R5.2 billion of the reduction comes from provincial conditional grants. </w:t>
      </w:r>
      <w:r w:rsidR="00610834" w:rsidRPr="009B39E9">
        <w:rPr>
          <w:rFonts w:ascii="Times New Roman" w:hAnsi="Times New Roman"/>
          <w:sz w:val="24"/>
          <w:szCs w:val="24"/>
        </w:rPr>
        <w:t xml:space="preserve">National Treasury submitted that reductions were biased </w:t>
      </w:r>
      <w:r w:rsidR="00C45A92" w:rsidRPr="009B39E9">
        <w:rPr>
          <w:rFonts w:ascii="Times New Roman" w:hAnsi="Times New Roman"/>
          <w:sz w:val="24"/>
          <w:szCs w:val="24"/>
        </w:rPr>
        <w:t>against</w:t>
      </w:r>
      <w:r w:rsidR="00610834" w:rsidRPr="009B39E9">
        <w:rPr>
          <w:rFonts w:ascii="Times New Roman" w:hAnsi="Times New Roman"/>
          <w:sz w:val="24"/>
          <w:szCs w:val="24"/>
        </w:rPr>
        <w:t xml:space="preserve"> grants with a history of under-spending. </w:t>
      </w:r>
    </w:p>
    <w:p w:rsidR="00BB56C7" w:rsidRPr="009B39E9" w:rsidRDefault="00322692" w:rsidP="00751FDA">
      <w:pPr>
        <w:spacing w:line="360" w:lineRule="auto"/>
        <w:jc w:val="both"/>
        <w:rPr>
          <w:rFonts w:ascii="Times New Roman" w:hAnsi="Times New Roman"/>
          <w:sz w:val="24"/>
          <w:szCs w:val="24"/>
        </w:rPr>
      </w:pPr>
      <w:r w:rsidRPr="009B39E9">
        <w:rPr>
          <w:rFonts w:ascii="Times New Roman" w:hAnsi="Times New Roman"/>
          <w:sz w:val="24"/>
          <w:szCs w:val="24"/>
        </w:rPr>
        <w:t>In addition</w:t>
      </w:r>
      <w:r w:rsidR="00610834" w:rsidRPr="009B39E9">
        <w:rPr>
          <w:rFonts w:ascii="Times New Roman" w:hAnsi="Times New Roman"/>
          <w:sz w:val="24"/>
          <w:szCs w:val="24"/>
        </w:rPr>
        <w:t xml:space="preserve">, a number of grants funding essential services, </w:t>
      </w:r>
      <w:r w:rsidR="00BB56C7" w:rsidRPr="009B39E9">
        <w:rPr>
          <w:rFonts w:ascii="Times New Roman" w:hAnsi="Times New Roman"/>
          <w:sz w:val="24"/>
          <w:szCs w:val="24"/>
        </w:rPr>
        <w:t xml:space="preserve">such as the </w:t>
      </w:r>
      <w:r w:rsidR="00BB56C7" w:rsidRPr="009B39E9">
        <w:rPr>
          <w:rFonts w:ascii="Times New Roman" w:hAnsi="Times New Roman"/>
          <w:i/>
          <w:iCs/>
          <w:sz w:val="24"/>
          <w:szCs w:val="24"/>
        </w:rPr>
        <w:t>national school nutrition programme grant</w:t>
      </w:r>
      <w:r w:rsidR="00BB56C7" w:rsidRPr="009B39E9">
        <w:rPr>
          <w:rFonts w:ascii="Times New Roman" w:hAnsi="Times New Roman"/>
          <w:sz w:val="24"/>
          <w:szCs w:val="24"/>
        </w:rPr>
        <w:t xml:space="preserve">, the </w:t>
      </w:r>
      <w:r w:rsidR="00BB56C7" w:rsidRPr="009B39E9">
        <w:rPr>
          <w:rFonts w:ascii="Times New Roman" w:hAnsi="Times New Roman"/>
          <w:i/>
          <w:iCs/>
          <w:sz w:val="24"/>
          <w:szCs w:val="24"/>
        </w:rPr>
        <w:t xml:space="preserve">early childhood development grant </w:t>
      </w:r>
      <w:r w:rsidR="00BB56C7" w:rsidRPr="009B39E9">
        <w:rPr>
          <w:rFonts w:ascii="Times New Roman" w:hAnsi="Times New Roman"/>
          <w:sz w:val="24"/>
          <w:szCs w:val="24"/>
        </w:rPr>
        <w:t xml:space="preserve">and the </w:t>
      </w:r>
      <w:r w:rsidR="00BB56C7" w:rsidRPr="009B39E9">
        <w:rPr>
          <w:rFonts w:ascii="Times New Roman" w:hAnsi="Times New Roman"/>
          <w:i/>
          <w:iCs/>
          <w:sz w:val="24"/>
          <w:szCs w:val="24"/>
        </w:rPr>
        <w:t xml:space="preserve">public transport operations grant </w:t>
      </w:r>
      <w:r w:rsidR="00BB56C7" w:rsidRPr="009B39E9">
        <w:rPr>
          <w:rFonts w:ascii="Times New Roman" w:hAnsi="Times New Roman"/>
          <w:sz w:val="24"/>
          <w:szCs w:val="24"/>
        </w:rPr>
        <w:t>were not reduced.</w:t>
      </w:r>
    </w:p>
    <w:p w:rsidR="00BB56C7" w:rsidRPr="009B39E9" w:rsidRDefault="00322692" w:rsidP="00751FDA">
      <w:pPr>
        <w:spacing w:line="360" w:lineRule="auto"/>
        <w:jc w:val="both"/>
        <w:rPr>
          <w:rFonts w:ascii="Times New Roman" w:hAnsi="Times New Roman"/>
          <w:sz w:val="24"/>
          <w:szCs w:val="24"/>
        </w:rPr>
      </w:pPr>
      <w:r w:rsidRPr="009B39E9">
        <w:rPr>
          <w:rFonts w:ascii="Times New Roman" w:hAnsi="Times New Roman"/>
          <w:sz w:val="24"/>
          <w:szCs w:val="24"/>
        </w:rPr>
        <w:t>National T</w:t>
      </w:r>
      <w:r w:rsidR="00BB56C7" w:rsidRPr="009B39E9">
        <w:rPr>
          <w:rFonts w:ascii="Times New Roman" w:hAnsi="Times New Roman"/>
          <w:sz w:val="24"/>
          <w:szCs w:val="24"/>
        </w:rPr>
        <w:t xml:space="preserve">reasury indicated that </w:t>
      </w:r>
      <w:r w:rsidRPr="009B39E9">
        <w:rPr>
          <w:rFonts w:ascii="Times New Roman" w:hAnsi="Times New Roman"/>
          <w:sz w:val="24"/>
          <w:szCs w:val="24"/>
        </w:rPr>
        <w:t xml:space="preserve">over the medium term </w:t>
      </w:r>
      <w:r w:rsidR="00BB56C7" w:rsidRPr="009B39E9">
        <w:rPr>
          <w:rFonts w:ascii="Times New Roman" w:hAnsi="Times New Roman"/>
          <w:sz w:val="24"/>
          <w:szCs w:val="24"/>
        </w:rPr>
        <w:t xml:space="preserve">the following additions were made to ensure provinces and municipalities can serve growing populations, namely, R7.3 billion to the Provincial Equitable Share mainly for education and health, R5.1 billion for the local government equitable share for basic services including a R1.8 billion provisional allocation, R390 million is added to the </w:t>
      </w:r>
      <w:r w:rsidR="00BB56C7" w:rsidRPr="009B39E9">
        <w:rPr>
          <w:rFonts w:ascii="Times New Roman" w:hAnsi="Times New Roman"/>
          <w:i/>
          <w:sz w:val="24"/>
          <w:szCs w:val="24"/>
        </w:rPr>
        <w:t>National School Nutrition Programme Grant</w:t>
      </w:r>
      <w:r w:rsidR="00BB56C7" w:rsidRPr="009B39E9">
        <w:rPr>
          <w:rFonts w:ascii="Times New Roman" w:hAnsi="Times New Roman"/>
          <w:sz w:val="24"/>
          <w:szCs w:val="24"/>
        </w:rPr>
        <w:t xml:space="preserve"> and R1 billion to the Integrated National Electrification Programme Grant</w:t>
      </w:r>
      <w:r w:rsidR="00751FDA">
        <w:rPr>
          <w:rFonts w:ascii="Times New Roman" w:hAnsi="Times New Roman"/>
          <w:sz w:val="24"/>
          <w:szCs w:val="24"/>
        </w:rPr>
        <w:t>.</w:t>
      </w:r>
    </w:p>
    <w:p w:rsidR="00610834" w:rsidRPr="009B39E9" w:rsidRDefault="00610834" w:rsidP="00610834">
      <w:pPr>
        <w:spacing w:after="0" w:line="240" w:lineRule="auto"/>
        <w:jc w:val="both"/>
        <w:rPr>
          <w:rFonts w:ascii="Times New Roman" w:hAnsi="Times New Roman"/>
          <w:color w:val="000000"/>
          <w:sz w:val="24"/>
          <w:szCs w:val="24"/>
          <w:lang w:eastAsia="en-ZA"/>
        </w:rPr>
      </w:pPr>
    </w:p>
    <w:p w:rsidR="00751FDA" w:rsidRDefault="00751FDA" w:rsidP="00610834">
      <w:pPr>
        <w:spacing w:after="0" w:line="240" w:lineRule="auto"/>
        <w:jc w:val="both"/>
        <w:rPr>
          <w:rFonts w:ascii="Times New Roman" w:hAnsi="Times New Roman"/>
          <w:b/>
          <w:color w:val="000000"/>
          <w:sz w:val="24"/>
          <w:szCs w:val="24"/>
          <w:lang w:eastAsia="en-ZA"/>
        </w:rPr>
      </w:pPr>
    </w:p>
    <w:p w:rsidR="00751FDA" w:rsidRDefault="00751FDA" w:rsidP="00610834">
      <w:pPr>
        <w:spacing w:after="0" w:line="240" w:lineRule="auto"/>
        <w:jc w:val="both"/>
        <w:rPr>
          <w:rFonts w:ascii="Times New Roman" w:hAnsi="Times New Roman"/>
          <w:b/>
          <w:color w:val="000000"/>
          <w:sz w:val="24"/>
          <w:szCs w:val="24"/>
          <w:lang w:eastAsia="en-ZA"/>
        </w:rPr>
      </w:pPr>
    </w:p>
    <w:p w:rsidR="00751FDA" w:rsidRDefault="00751FDA" w:rsidP="00610834">
      <w:pPr>
        <w:spacing w:after="0" w:line="240" w:lineRule="auto"/>
        <w:jc w:val="both"/>
        <w:rPr>
          <w:rFonts w:ascii="Times New Roman" w:hAnsi="Times New Roman"/>
          <w:b/>
          <w:color w:val="000000"/>
          <w:sz w:val="24"/>
          <w:szCs w:val="24"/>
          <w:lang w:eastAsia="en-ZA"/>
        </w:rPr>
      </w:pPr>
    </w:p>
    <w:p w:rsidR="00751FDA" w:rsidRDefault="00751FDA" w:rsidP="00610834">
      <w:pPr>
        <w:spacing w:after="0" w:line="240" w:lineRule="auto"/>
        <w:jc w:val="both"/>
        <w:rPr>
          <w:rFonts w:ascii="Times New Roman" w:hAnsi="Times New Roman"/>
          <w:b/>
          <w:color w:val="000000"/>
          <w:sz w:val="24"/>
          <w:szCs w:val="24"/>
          <w:lang w:eastAsia="en-ZA"/>
        </w:rPr>
      </w:pPr>
    </w:p>
    <w:p w:rsidR="00751FDA" w:rsidRDefault="00751FDA" w:rsidP="00610834">
      <w:pPr>
        <w:spacing w:after="0" w:line="240" w:lineRule="auto"/>
        <w:jc w:val="both"/>
        <w:rPr>
          <w:rFonts w:ascii="Times New Roman" w:hAnsi="Times New Roman"/>
          <w:b/>
          <w:color w:val="000000"/>
          <w:sz w:val="24"/>
          <w:szCs w:val="24"/>
          <w:lang w:eastAsia="en-ZA"/>
        </w:rPr>
      </w:pPr>
    </w:p>
    <w:p w:rsidR="00751FDA" w:rsidRDefault="00751FDA" w:rsidP="00610834">
      <w:pPr>
        <w:spacing w:after="0" w:line="240" w:lineRule="auto"/>
        <w:jc w:val="both"/>
        <w:rPr>
          <w:rFonts w:ascii="Times New Roman" w:hAnsi="Times New Roman"/>
          <w:b/>
          <w:color w:val="000000"/>
          <w:sz w:val="24"/>
          <w:szCs w:val="24"/>
          <w:lang w:eastAsia="en-ZA"/>
        </w:rPr>
      </w:pPr>
    </w:p>
    <w:p w:rsidR="00751FDA" w:rsidRDefault="00751FDA" w:rsidP="00610834">
      <w:pPr>
        <w:spacing w:after="0" w:line="240" w:lineRule="auto"/>
        <w:jc w:val="both"/>
        <w:rPr>
          <w:rFonts w:ascii="Times New Roman" w:hAnsi="Times New Roman"/>
          <w:b/>
          <w:color w:val="000000"/>
          <w:sz w:val="24"/>
          <w:szCs w:val="24"/>
          <w:lang w:eastAsia="en-ZA"/>
        </w:rPr>
      </w:pPr>
    </w:p>
    <w:p w:rsidR="00751FDA" w:rsidRDefault="00751FDA" w:rsidP="00610834">
      <w:pPr>
        <w:spacing w:after="0" w:line="240" w:lineRule="auto"/>
        <w:jc w:val="both"/>
        <w:rPr>
          <w:rFonts w:ascii="Times New Roman" w:hAnsi="Times New Roman"/>
          <w:b/>
          <w:color w:val="000000"/>
          <w:sz w:val="24"/>
          <w:szCs w:val="24"/>
          <w:lang w:eastAsia="en-ZA"/>
        </w:rPr>
      </w:pPr>
    </w:p>
    <w:p w:rsidR="00751FDA" w:rsidRDefault="00751FDA" w:rsidP="00610834">
      <w:pPr>
        <w:spacing w:after="0" w:line="240" w:lineRule="auto"/>
        <w:jc w:val="both"/>
        <w:rPr>
          <w:rFonts w:ascii="Times New Roman" w:hAnsi="Times New Roman"/>
          <w:b/>
          <w:color w:val="000000"/>
          <w:sz w:val="24"/>
          <w:szCs w:val="24"/>
          <w:lang w:eastAsia="en-ZA"/>
        </w:rPr>
      </w:pPr>
    </w:p>
    <w:p w:rsidR="00751FDA" w:rsidRDefault="00751FDA" w:rsidP="00610834">
      <w:pPr>
        <w:spacing w:after="0" w:line="240" w:lineRule="auto"/>
        <w:jc w:val="both"/>
        <w:rPr>
          <w:rFonts w:ascii="Times New Roman" w:hAnsi="Times New Roman"/>
          <w:b/>
          <w:color w:val="000000"/>
          <w:sz w:val="24"/>
          <w:szCs w:val="24"/>
          <w:lang w:eastAsia="en-ZA"/>
        </w:rPr>
      </w:pPr>
    </w:p>
    <w:p w:rsidR="00751FDA" w:rsidRDefault="00751FDA" w:rsidP="00610834">
      <w:pPr>
        <w:spacing w:after="0" w:line="240" w:lineRule="auto"/>
        <w:jc w:val="both"/>
        <w:rPr>
          <w:rFonts w:ascii="Times New Roman" w:hAnsi="Times New Roman"/>
          <w:b/>
          <w:color w:val="000000"/>
          <w:sz w:val="24"/>
          <w:szCs w:val="24"/>
          <w:lang w:eastAsia="en-ZA"/>
        </w:rPr>
      </w:pPr>
    </w:p>
    <w:p w:rsidR="00751FDA" w:rsidRDefault="00751FDA" w:rsidP="00610834">
      <w:pPr>
        <w:spacing w:after="0" w:line="240" w:lineRule="auto"/>
        <w:jc w:val="both"/>
        <w:rPr>
          <w:rFonts w:ascii="Times New Roman" w:hAnsi="Times New Roman"/>
          <w:b/>
          <w:color w:val="000000"/>
          <w:sz w:val="24"/>
          <w:szCs w:val="24"/>
          <w:lang w:eastAsia="en-ZA"/>
        </w:rPr>
      </w:pPr>
    </w:p>
    <w:p w:rsidR="00751FDA" w:rsidRDefault="00751FDA" w:rsidP="00610834">
      <w:pPr>
        <w:spacing w:after="0" w:line="240" w:lineRule="auto"/>
        <w:jc w:val="both"/>
        <w:rPr>
          <w:rFonts w:ascii="Times New Roman" w:hAnsi="Times New Roman"/>
          <w:b/>
          <w:color w:val="000000"/>
          <w:sz w:val="24"/>
          <w:szCs w:val="24"/>
          <w:lang w:eastAsia="en-ZA"/>
        </w:rPr>
      </w:pPr>
    </w:p>
    <w:p w:rsidR="00751FDA" w:rsidRDefault="00751FDA" w:rsidP="00610834">
      <w:pPr>
        <w:spacing w:after="0" w:line="240" w:lineRule="auto"/>
        <w:jc w:val="both"/>
        <w:rPr>
          <w:rFonts w:ascii="Times New Roman" w:hAnsi="Times New Roman"/>
          <w:b/>
          <w:color w:val="000000"/>
          <w:sz w:val="24"/>
          <w:szCs w:val="24"/>
          <w:lang w:eastAsia="en-ZA"/>
        </w:rPr>
      </w:pPr>
    </w:p>
    <w:p w:rsidR="00751FDA" w:rsidRDefault="00751FDA" w:rsidP="00610834">
      <w:pPr>
        <w:spacing w:after="0" w:line="240" w:lineRule="auto"/>
        <w:jc w:val="both"/>
        <w:rPr>
          <w:rFonts w:ascii="Times New Roman" w:hAnsi="Times New Roman"/>
          <w:b/>
          <w:color w:val="000000"/>
          <w:sz w:val="24"/>
          <w:szCs w:val="24"/>
          <w:lang w:eastAsia="en-ZA"/>
        </w:rPr>
      </w:pPr>
    </w:p>
    <w:p w:rsidR="00751FDA" w:rsidRDefault="00751FDA" w:rsidP="00610834">
      <w:pPr>
        <w:spacing w:after="0" w:line="240" w:lineRule="auto"/>
        <w:jc w:val="both"/>
        <w:rPr>
          <w:rFonts w:ascii="Times New Roman" w:hAnsi="Times New Roman"/>
          <w:b/>
          <w:color w:val="000000"/>
          <w:sz w:val="24"/>
          <w:szCs w:val="24"/>
          <w:lang w:eastAsia="en-ZA"/>
        </w:rPr>
      </w:pPr>
    </w:p>
    <w:p w:rsidR="00751FDA" w:rsidRDefault="00751FDA" w:rsidP="00610834">
      <w:pPr>
        <w:spacing w:after="0" w:line="240" w:lineRule="auto"/>
        <w:jc w:val="both"/>
        <w:rPr>
          <w:rFonts w:ascii="Times New Roman" w:hAnsi="Times New Roman"/>
          <w:b/>
          <w:color w:val="000000"/>
          <w:sz w:val="24"/>
          <w:szCs w:val="24"/>
          <w:lang w:eastAsia="en-ZA"/>
        </w:rPr>
      </w:pPr>
    </w:p>
    <w:p w:rsidR="00610834" w:rsidRPr="009B39E9" w:rsidRDefault="00610834" w:rsidP="00610834">
      <w:pPr>
        <w:spacing w:after="0" w:line="240" w:lineRule="auto"/>
        <w:jc w:val="both"/>
        <w:rPr>
          <w:rFonts w:ascii="Times New Roman" w:hAnsi="Times New Roman"/>
          <w:b/>
          <w:color w:val="000000"/>
          <w:sz w:val="24"/>
          <w:szCs w:val="24"/>
          <w:lang w:eastAsia="en-ZA"/>
        </w:rPr>
      </w:pPr>
      <w:r w:rsidRPr="009B39E9">
        <w:rPr>
          <w:rFonts w:ascii="Times New Roman" w:hAnsi="Times New Roman"/>
          <w:b/>
          <w:color w:val="000000"/>
          <w:sz w:val="24"/>
          <w:szCs w:val="24"/>
          <w:lang w:eastAsia="en-ZA"/>
        </w:rPr>
        <w:t>Table 3: Conditi</w:t>
      </w:r>
      <w:r w:rsidR="006A4A54" w:rsidRPr="009B39E9">
        <w:rPr>
          <w:rFonts w:ascii="Times New Roman" w:hAnsi="Times New Roman"/>
          <w:b/>
          <w:color w:val="000000"/>
          <w:sz w:val="24"/>
          <w:szCs w:val="24"/>
          <w:lang w:eastAsia="en-ZA"/>
        </w:rPr>
        <w:t>onal Grants to provinces 2016/17 to 2019/20</w:t>
      </w:r>
      <w:r w:rsidRPr="009B39E9">
        <w:rPr>
          <w:rFonts w:ascii="Times New Roman" w:hAnsi="Times New Roman"/>
          <w:b/>
          <w:color w:val="000000"/>
          <w:sz w:val="24"/>
          <w:szCs w:val="24"/>
          <w:lang w:eastAsia="en-ZA"/>
        </w:rPr>
        <w:t xml:space="preserve"> </w:t>
      </w:r>
    </w:p>
    <w:p w:rsidR="00610834" w:rsidRPr="009B39E9" w:rsidRDefault="00610834" w:rsidP="00610834">
      <w:pPr>
        <w:spacing w:after="0" w:line="240" w:lineRule="auto"/>
        <w:jc w:val="both"/>
        <w:rPr>
          <w:rFonts w:ascii="Times New Roman" w:hAnsi="Times New Roman"/>
          <w:b/>
          <w:color w:val="000000"/>
          <w:sz w:val="24"/>
          <w:szCs w:val="24"/>
          <w:lang w:eastAsia="en-ZA"/>
        </w:rPr>
      </w:pPr>
    </w:p>
    <w:p w:rsidR="00610834" w:rsidRPr="009B39E9" w:rsidRDefault="009A1721" w:rsidP="00610834">
      <w:pPr>
        <w:spacing w:after="0" w:line="240" w:lineRule="auto"/>
        <w:jc w:val="both"/>
        <w:rPr>
          <w:rFonts w:ascii="Times New Roman" w:hAnsi="Times New Roman"/>
          <w:color w:val="000000"/>
          <w:sz w:val="24"/>
          <w:szCs w:val="24"/>
          <w:lang w:eastAsia="en-ZA"/>
        </w:rPr>
      </w:pPr>
      <w:r w:rsidRPr="009B39E9">
        <w:rPr>
          <w:rFonts w:ascii="Times New Roman" w:hAnsi="Times New Roman"/>
          <w:noProof/>
          <w:sz w:val="24"/>
          <w:szCs w:val="24"/>
          <w:lang w:eastAsia="en-ZA"/>
        </w:rPr>
        <w:object w:dxaOrig="8365" w:dyaOrig="6688">
          <v:shape id="_x0000_i1026" type="#_x0000_t75" style="width:417.75pt;height:333.75pt" o:ole="">
            <v:imagedata r:id="rId11" o:title=""/>
          </v:shape>
          <o:OLEObject Type="Embed" ProgID="Excel.Sheet.8" ShapeID="_x0000_i1026" DrawAspect="Content" ObjectID="_1551258253" r:id="rId12"/>
        </w:object>
      </w:r>
      <w:r w:rsidR="000A0946" w:rsidRPr="009B39E9">
        <w:rPr>
          <w:rFonts w:ascii="Times New Roman" w:hAnsi="Times New Roman"/>
          <w:noProof/>
          <w:sz w:val="24"/>
          <w:szCs w:val="24"/>
          <w:lang w:eastAsia="en-ZA"/>
        </w:rPr>
        <w:t>1. Excludes provisional allocations</w:t>
      </w:r>
    </w:p>
    <w:p w:rsidR="00610834" w:rsidRPr="009B39E9" w:rsidRDefault="002C20C8" w:rsidP="00610834">
      <w:pPr>
        <w:spacing w:after="0" w:line="240" w:lineRule="auto"/>
        <w:jc w:val="both"/>
        <w:rPr>
          <w:rFonts w:ascii="Times New Roman" w:hAnsi="Times New Roman"/>
          <w:i/>
          <w:color w:val="000000"/>
          <w:sz w:val="24"/>
          <w:szCs w:val="24"/>
          <w:lang w:eastAsia="en-ZA"/>
        </w:rPr>
      </w:pPr>
      <w:r w:rsidRPr="009B39E9">
        <w:rPr>
          <w:rFonts w:ascii="Times New Roman" w:hAnsi="Times New Roman"/>
          <w:i/>
          <w:color w:val="000000"/>
          <w:sz w:val="24"/>
          <w:szCs w:val="24"/>
          <w:lang w:eastAsia="en-ZA"/>
        </w:rPr>
        <w:t>Source: National Treasury 2017</w:t>
      </w:r>
    </w:p>
    <w:p w:rsidR="00610834" w:rsidRPr="009B39E9" w:rsidRDefault="00610834" w:rsidP="00610834">
      <w:pPr>
        <w:spacing w:after="0" w:line="240" w:lineRule="auto"/>
        <w:jc w:val="both"/>
        <w:rPr>
          <w:rFonts w:ascii="Times New Roman" w:hAnsi="Times New Roman"/>
          <w:color w:val="000000"/>
          <w:sz w:val="24"/>
          <w:szCs w:val="24"/>
          <w:lang w:eastAsia="en-ZA"/>
        </w:rPr>
      </w:pPr>
    </w:p>
    <w:p w:rsidR="00610834" w:rsidRPr="009B39E9" w:rsidRDefault="006A4A54" w:rsidP="00751FDA">
      <w:pPr>
        <w:spacing w:after="0" w:line="360" w:lineRule="auto"/>
        <w:jc w:val="both"/>
        <w:rPr>
          <w:rFonts w:ascii="Times New Roman" w:hAnsi="Times New Roman"/>
          <w:color w:val="000000"/>
          <w:sz w:val="24"/>
          <w:szCs w:val="24"/>
          <w:lang w:eastAsia="en-ZA"/>
        </w:rPr>
      </w:pPr>
      <w:r w:rsidRPr="009B39E9">
        <w:rPr>
          <w:rFonts w:ascii="Times New Roman" w:hAnsi="Times New Roman"/>
          <w:color w:val="000000"/>
          <w:sz w:val="24"/>
          <w:szCs w:val="24"/>
          <w:lang w:eastAsia="en-ZA"/>
        </w:rPr>
        <w:t>Direct conditional grant baselines total R96.829 billion in 2017/18, R107.092 billion in 2018/19 and R114.292 billion in 2019/20. Indirect conditional grants amount to R4.258 billion, R1.765 billion and</w:t>
      </w:r>
      <w:r w:rsidR="00322692" w:rsidRPr="009B39E9">
        <w:rPr>
          <w:rFonts w:ascii="Times New Roman" w:hAnsi="Times New Roman"/>
          <w:color w:val="000000"/>
          <w:sz w:val="24"/>
          <w:szCs w:val="24"/>
          <w:lang w:eastAsia="en-ZA"/>
        </w:rPr>
        <w:t xml:space="preserve"> R1.8</w:t>
      </w:r>
      <w:r w:rsidRPr="009B39E9">
        <w:rPr>
          <w:rFonts w:ascii="Times New Roman" w:hAnsi="Times New Roman"/>
          <w:color w:val="000000"/>
          <w:sz w:val="24"/>
          <w:szCs w:val="24"/>
          <w:lang w:eastAsia="en-ZA"/>
        </w:rPr>
        <w:t xml:space="preserve">64 billion respectively for each year of the same period. </w:t>
      </w:r>
      <w:r w:rsidR="00610834" w:rsidRPr="009B39E9">
        <w:rPr>
          <w:rFonts w:ascii="Times New Roman" w:hAnsi="Times New Roman"/>
          <w:color w:val="000000"/>
          <w:sz w:val="24"/>
          <w:szCs w:val="24"/>
          <w:lang w:eastAsia="en-ZA"/>
        </w:rPr>
        <w:t>C</w:t>
      </w:r>
      <w:r w:rsidR="00C84CC3" w:rsidRPr="009B39E9">
        <w:rPr>
          <w:rFonts w:ascii="Times New Roman" w:hAnsi="Times New Roman"/>
          <w:color w:val="000000"/>
          <w:sz w:val="24"/>
          <w:szCs w:val="24"/>
          <w:lang w:eastAsia="en-ZA"/>
        </w:rPr>
        <w:t>hanges to provincial allocations</w:t>
      </w:r>
      <w:r w:rsidR="00FD6ECC" w:rsidRPr="009B39E9">
        <w:rPr>
          <w:rFonts w:ascii="Times New Roman" w:hAnsi="Times New Roman"/>
          <w:color w:val="000000"/>
          <w:sz w:val="24"/>
          <w:szCs w:val="24"/>
          <w:lang w:eastAsia="en-ZA"/>
        </w:rPr>
        <w:t xml:space="preserve"> over</w:t>
      </w:r>
      <w:r w:rsidRPr="009B39E9">
        <w:rPr>
          <w:rFonts w:ascii="Times New Roman" w:hAnsi="Times New Roman"/>
          <w:color w:val="000000"/>
          <w:sz w:val="24"/>
          <w:szCs w:val="24"/>
          <w:lang w:eastAsia="en-ZA"/>
        </w:rPr>
        <w:t xml:space="preserve"> the 2017</w:t>
      </w:r>
      <w:r w:rsidR="00610834" w:rsidRPr="009B39E9">
        <w:rPr>
          <w:rFonts w:ascii="Times New Roman" w:hAnsi="Times New Roman"/>
          <w:color w:val="000000"/>
          <w:sz w:val="24"/>
          <w:szCs w:val="24"/>
          <w:lang w:eastAsia="en-ZA"/>
        </w:rPr>
        <w:t xml:space="preserve"> MTEF include:</w:t>
      </w:r>
    </w:p>
    <w:p w:rsidR="006A4A54" w:rsidRPr="009B39E9" w:rsidRDefault="006A4A54" w:rsidP="00751FDA">
      <w:pPr>
        <w:spacing w:after="0" w:line="360" w:lineRule="auto"/>
        <w:ind w:left="720"/>
        <w:jc w:val="both"/>
        <w:rPr>
          <w:rFonts w:ascii="Times New Roman" w:hAnsi="Times New Roman"/>
          <w:color w:val="000000"/>
          <w:sz w:val="24"/>
          <w:szCs w:val="24"/>
          <w:lang w:eastAsia="en-ZA"/>
        </w:rPr>
      </w:pPr>
    </w:p>
    <w:p w:rsidR="006A4A54" w:rsidRPr="009B39E9" w:rsidRDefault="006A4A54" w:rsidP="00751FDA">
      <w:pPr>
        <w:numPr>
          <w:ilvl w:val="0"/>
          <w:numId w:val="7"/>
        </w:numPr>
        <w:spacing w:after="0" w:line="360" w:lineRule="auto"/>
        <w:jc w:val="both"/>
        <w:rPr>
          <w:rFonts w:ascii="Times New Roman" w:hAnsi="Times New Roman"/>
          <w:color w:val="000000"/>
          <w:sz w:val="24"/>
          <w:szCs w:val="24"/>
          <w:lang w:eastAsia="en-ZA"/>
        </w:rPr>
      </w:pPr>
      <w:r w:rsidRPr="009B39E9">
        <w:rPr>
          <w:rFonts w:ascii="Times New Roman" w:hAnsi="Times New Roman"/>
          <w:color w:val="000000"/>
          <w:sz w:val="24"/>
          <w:szCs w:val="24"/>
          <w:lang w:eastAsia="en-ZA"/>
        </w:rPr>
        <w:t>I</w:t>
      </w:r>
      <w:r w:rsidR="00C45A92" w:rsidRPr="009B39E9">
        <w:rPr>
          <w:rFonts w:ascii="Times New Roman" w:hAnsi="Times New Roman"/>
          <w:color w:val="000000"/>
          <w:sz w:val="24"/>
          <w:szCs w:val="24"/>
          <w:lang w:eastAsia="en-ZA"/>
        </w:rPr>
        <w:t>mplementation of an i</w:t>
      </w:r>
      <w:r w:rsidRPr="009B39E9">
        <w:rPr>
          <w:rFonts w:ascii="Times New Roman" w:hAnsi="Times New Roman"/>
          <w:color w:val="000000"/>
          <w:sz w:val="24"/>
          <w:szCs w:val="24"/>
          <w:lang w:eastAsia="en-ZA"/>
        </w:rPr>
        <w:t>ncentive component within the provincial roads maintenance grant to improve performance</w:t>
      </w:r>
      <w:r w:rsidR="00C45A92" w:rsidRPr="009B39E9">
        <w:rPr>
          <w:rFonts w:ascii="Times New Roman" w:hAnsi="Times New Roman"/>
          <w:color w:val="000000"/>
          <w:sz w:val="24"/>
          <w:szCs w:val="24"/>
          <w:lang w:eastAsia="en-ZA"/>
        </w:rPr>
        <w:t>;</w:t>
      </w:r>
    </w:p>
    <w:p w:rsidR="006A4A54" w:rsidRPr="009B39E9" w:rsidRDefault="006A4A54" w:rsidP="00751FDA">
      <w:pPr>
        <w:numPr>
          <w:ilvl w:val="0"/>
          <w:numId w:val="7"/>
        </w:numPr>
        <w:spacing w:after="0" w:line="360" w:lineRule="auto"/>
        <w:jc w:val="both"/>
        <w:rPr>
          <w:rFonts w:ascii="Times New Roman" w:hAnsi="Times New Roman"/>
          <w:color w:val="000000"/>
          <w:sz w:val="24"/>
          <w:szCs w:val="24"/>
          <w:lang w:eastAsia="en-ZA"/>
        </w:rPr>
      </w:pPr>
      <w:r w:rsidRPr="009B39E9">
        <w:rPr>
          <w:rFonts w:ascii="Times New Roman" w:hAnsi="Times New Roman"/>
          <w:color w:val="000000"/>
          <w:sz w:val="24"/>
          <w:szCs w:val="24"/>
          <w:lang w:eastAsia="en-ZA"/>
        </w:rPr>
        <w:lastRenderedPageBreak/>
        <w:t xml:space="preserve">National School Nutrition Programme benefits </w:t>
      </w:r>
      <w:r w:rsidR="00322692" w:rsidRPr="009B39E9">
        <w:rPr>
          <w:rFonts w:ascii="Times New Roman" w:hAnsi="Times New Roman"/>
          <w:color w:val="000000"/>
          <w:sz w:val="24"/>
          <w:szCs w:val="24"/>
          <w:lang w:eastAsia="en-ZA"/>
        </w:rPr>
        <w:t>from additional R390 million to</w:t>
      </w:r>
      <w:r w:rsidRPr="009B39E9">
        <w:rPr>
          <w:rFonts w:ascii="Times New Roman" w:hAnsi="Times New Roman"/>
          <w:color w:val="000000"/>
          <w:sz w:val="24"/>
          <w:szCs w:val="24"/>
          <w:lang w:eastAsia="en-ZA"/>
        </w:rPr>
        <w:t xml:space="preserve"> mitigate food price inflat</w:t>
      </w:r>
      <w:r w:rsidR="00DF5D17" w:rsidRPr="009B39E9">
        <w:rPr>
          <w:rFonts w:ascii="Times New Roman" w:hAnsi="Times New Roman"/>
          <w:color w:val="000000"/>
          <w:sz w:val="24"/>
          <w:szCs w:val="24"/>
          <w:lang w:eastAsia="en-ZA"/>
        </w:rPr>
        <w:t>ion and additional learners;</w:t>
      </w:r>
    </w:p>
    <w:p w:rsidR="006A4A54" w:rsidRPr="009B39E9" w:rsidRDefault="004362BF" w:rsidP="00751FDA">
      <w:pPr>
        <w:numPr>
          <w:ilvl w:val="0"/>
          <w:numId w:val="7"/>
        </w:numPr>
        <w:spacing w:after="0" w:line="360" w:lineRule="auto"/>
        <w:jc w:val="both"/>
        <w:rPr>
          <w:rFonts w:ascii="Times New Roman" w:hAnsi="Times New Roman"/>
          <w:color w:val="000000"/>
          <w:sz w:val="24"/>
          <w:szCs w:val="24"/>
          <w:lang w:eastAsia="en-ZA"/>
        </w:rPr>
      </w:pPr>
      <w:r w:rsidRPr="009B39E9">
        <w:rPr>
          <w:rFonts w:ascii="Times New Roman" w:hAnsi="Times New Roman"/>
          <w:color w:val="000000"/>
          <w:sz w:val="24"/>
          <w:szCs w:val="24"/>
          <w:lang w:eastAsia="en-ZA"/>
        </w:rPr>
        <w:t>T</w:t>
      </w:r>
      <w:r w:rsidR="006A4A54" w:rsidRPr="009B39E9">
        <w:rPr>
          <w:rFonts w:ascii="Times New Roman" w:hAnsi="Times New Roman"/>
          <w:color w:val="000000"/>
          <w:sz w:val="24"/>
          <w:szCs w:val="24"/>
          <w:lang w:eastAsia="en-ZA"/>
        </w:rPr>
        <w:t xml:space="preserve">he </w:t>
      </w:r>
      <w:r w:rsidR="00322692" w:rsidRPr="009B39E9">
        <w:rPr>
          <w:rFonts w:ascii="Times New Roman" w:hAnsi="Times New Roman"/>
          <w:i/>
          <w:color w:val="000000"/>
          <w:sz w:val="24"/>
          <w:szCs w:val="24"/>
          <w:lang w:eastAsia="en-ZA"/>
        </w:rPr>
        <w:t>s</w:t>
      </w:r>
      <w:r w:rsidR="006A4A54" w:rsidRPr="009B39E9">
        <w:rPr>
          <w:rFonts w:ascii="Times New Roman" w:hAnsi="Times New Roman"/>
          <w:i/>
          <w:color w:val="000000"/>
          <w:sz w:val="24"/>
          <w:szCs w:val="24"/>
          <w:lang w:eastAsia="en-ZA"/>
        </w:rPr>
        <w:t xml:space="preserve">ocial workers </w:t>
      </w:r>
      <w:r w:rsidR="00322692" w:rsidRPr="009B39E9">
        <w:rPr>
          <w:rFonts w:ascii="Times New Roman" w:hAnsi="Times New Roman"/>
          <w:i/>
          <w:color w:val="000000"/>
          <w:sz w:val="24"/>
          <w:szCs w:val="24"/>
          <w:lang w:eastAsia="en-ZA"/>
        </w:rPr>
        <w:t xml:space="preserve">employment </w:t>
      </w:r>
      <w:r w:rsidR="006A4A54" w:rsidRPr="009B39E9">
        <w:rPr>
          <w:rFonts w:ascii="Times New Roman" w:hAnsi="Times New Roman"/>
          <w:i/>
          <w:color w:val="000000"/>
          <w:sz w:val="24"/>
          <w:szCs w:val="24"/>
          <w:lang w:eastAsia="en-ZA"/>
        </w:rPr>
        <w:t>grant</w:t>
      </w:r>
      <w:r w:rsidR="006A4A54" w:rsidRPr="009B39E9">
        <w:rPr>
          <w:rFonts w:ascii="Times New Roman" w:hAnsi="Times New Roman"/>
          <w:color w:val="000000"/>
          <w:sz w:val="24"/>
          <w:szCs w:val="24"/>
          <w:lang w:eastAsia="en-ZA"/>
        </w:rPr>
        <w:t xml:space="preserve"> to hire social workers to improve access to social services; </w:t>
      </w:r>
      <w:r w:rsidR="00322692" w:rsidRPr="009B39E9">
        <w:rPr>
          <w:rFonts w:ascii="Times New Roman" w:hAnsi="Times New Roman"/>
          <w:i/>
          <w:color w:val="000000"/>
          <w:sz w:val="24"/>
          <w:szCs w:val="24"/>
          <w:lang w:eastAsia="en-ZA"/>
        </w:rPr>
        <w:t>early c</w:t>
      </w:r>
      <w:r w:rsidR="006A4A54" w:rsidRPr="009B39E9">
        <w:rPr>
          <w:rFonts w:ascii="Times New Roman" w:hAnsi="Times New Roman"/>
          <w:i/>
          <w:color w:val="000000"/>
          <w:sz w:val="24"/>
          <w:szCs w:val="24"/>
          <w:lang w:eastAsia="en-ZA"/>
        </w:rPr>
        <w:t>hildhood</w:t>
      </w:r>
      <w:r w:rsidR="00322692" w:rsidRPr="009B39E9">
        <w:rPr>
          <w:rFonts w:ascii="Times New Roman" w:hAnsi="Times New Roman"/>
          <w:i/>
          <w:color w:val="000000"/>
          <w:sz w:val="24"/>
          <w:szCs w:val="24"/>
          <w:lang w:eastAsia="en-ZA"/>
        </w:rPr>
        <w:t xml:space="preserve"> development</w:t>
      </w:r>
      <w:r w:rsidR="006A4A54" w:rsidRPr="009B39E9">
        <w:rPr>
          <w:rFonts w:ascii="Times New Roman" w:hAnsi="Times New Roman"/>
          <w:i/>
          <w:color w:val="000000"/>
          <w:sz w:val="24"/>
          <w:szCs w:val="24"/>
          <w:lang w:eastAsia="en-ZA"/>
        </w:rPr>
        <w:t xml:space="preserve"> grant</w:t>
      </w:r>
      <w:r w:rsidR="006A4A54" w:rsidRPr="009B39E9">
        <w:rPr>
          <w:rFonts w:ascii="Times New Roman" w:hAnsi="Times New Roman"/>
          <w:color w:val="000000"/>
          <w:sz w:val="24"/>
          <w:szCs w:val="24"/>
          <w:lang w:eastAsia="en-ZA"/>
        </w:rPr>
        <w:t xml:space="preserve"> will improve access and conditions of this service and </w:t>
      </w:r>
      <w:r w:rsidR="002C20C8" w:rsidRPr="009B39E9">
        <w:rPr>
          <w:rFonts w:ascii="Times New Roman" w:hAnsi="Times New Roman"/>
          <w:color w:val="000000"/>
          <w:sz w:val="24"/>
          <w:szCs w:val="24"/>
          <w:lang w:eastAsia="en-ZA"/>
        </w:rPr>
        <w:t xml:space="preserve">a </w:t>
      </w:r>
      <w:r w:rsidR="002C20C8" w:rsidRPr="009B39E9">
        <w:rPr>
          <w:rFonts w:ascii="Times New Roman" w:hAnsi="Times New Roman"/>
          <w:i/>
          <w:color w:val="000000"/>
          <w:sz w:val="24"/>
          <w:szCs w:val="24"/>
          <w:lang w:eastAsia="en-ZA"/>
        </w:rPr>
        <w:t>learners</w:t>
      </w:r>
      <w:r w:rsidR="006A4A54" w:rsidRPr="009B39E9">
        <w:rPr>
          <w:rFonts w:ascii="Times New Roman" w:hAnsi="Times New Roman"/>
          <w:i/>
          <w:color w:val="000000"/>
          <w:sz w:val="24"/>
          <w:szCs w:val="24"/>
          <w:lang w:eastAsia="en-ZA"/>
        </w:rPr>
        <w:t xml:space="preserve"> with profound </w:t>
      </w:r>
      <w:r w:rsidR="00DF5D17" w:rsidRPr="009B39E9">
        <w:rPr>
          <w:rFonts w:ascii="Times New Roman" w:hAnsi="Times New Roman"/>
          <w:i/>
          <w:color w:val="000000"/>
          <w:sz w:val="24"/>
          <w:szCs w:val="24"/>
          <w:lang w:eastAsia="en-ZA"/>
        </w:rPr>
        <w:t xml:space="preserve">intellectual </w:t>
      </w:r>
      <w:r w:rsidR="006A4A54" w:rsidRPr="009B39E9">
        <w:rPr>
          <w:rFonts w:ascii="Times New Roman" w:hAnsi="Times New Roman"/>
          <w:i/>
          <w:color w:val="000000"/>
          <w:sz w:val="24"/>
          <w:szCs w:val="24"/>
          <w:lang w:eastAsia="en-ZA"/>
        </w:rPr>
        <w:t xml:space="preserve">disabilities </w:t>
      </w:r>
      <w:r w:rsidR="002C20C8" w:rsidRPr="009B39E9">
        <w:rPr>
          <w:rFonts w:ascii="Times New Roman" w:hAnsi="Times New Roman"/>
          <w:i/>
          <w:color w:val="000000"/>
          <w:sz w:val="24"/>
          <w:szCs w:val="24"/>
          <w:lang w:eastAsia="en-ZA"/>
        </w:rPr>
        <w:t>grant</w:t>
      </w:r>
      <w:r w:rsidR="002C20C8" w:rsidRPr="009B39E9">
        <w:rPr>
          <w:rFonts w:ascii="Times New Roman" w:hAnsi="Times New Roman"/>
          <w:color w:val="000000"/>
          <w:sz w:val="24"/>
          <w:szCs w:val="24"/>
          <w:lang w:eastAsia="en-ZA"/>
        </w:rPr>
        <w:t xml:space="preserve"> </w:t>
      </w:r>
      <w:r w:rsidR="006A4A54" w:rsidRPr="009B39E9">
        <w:rPr>
          <w:rFonts w:ascii="Times New Roman" w:hAnsi="Times New Roman"/>
          <w:color w:val="000000"/>
          <w:sz w:val="24"/>
          <w:szCs w:val="24"/>
          <w:lang w:eastAsia="en-ZA"/>
        </w:rPr>
        <w:t xml:space="preserve">to improve education opportunities for learners with </w:t>
      </w:r>
      <w:r w:rsidR="00C45A92" w:rsidRPr="009B39E9">
        <w:rPr>
          <w:rFonts w:ascii="Times New Roman" w:hAnsi="Times New Roman"/>
          <w:color w:val="000000"/>
          <w:sz w:val="24"/>
          <w:szCs w:val="24"/>
          <w:lang w:eastAsia="en-ZA"/>
        </w:rPr>
        <w:t xml:space="preserve">these </w:t>
      </w:r>
      <w:r w:rsidR="006A4A54" w:rsidRPr="009B39E9">
        <w:rPr>
          <w:rFonts w:ascii="Times New Roman" w:hAnsi="Times New Roman"/>
          <w:color w:val="000000"/>
          <w:sz w:val="24"/>
          <w:szCs w:val="24"/>
          <w:lang w:eastAsia="en-ZA"/>
        </w:rPr>
        <w:t>disabilit</w:t>
      </w:r>
      <w:r w:rsidR="00C45A92" w:rsidRPr="009B39E9">
        <w:rPr>
          <w:rFonts w:ascii="Times New Roman" w:hAnsi="Times New Roman"/>
          <w:color w:val="000000"/>
          <w:sz w:val="24"/>
          <w:szCs w:val="24"/>
          <w:lang w:eastAsia="en-ZA"/>
        </w:rPr>
        <w:t>ies</w:t>
      </w:r>
      <w:r w:rsidR="00DF5D17" w:rsidRPr="009B39E9">
        <w:rPr>
          <w:rFonts w:ascii="Times New Roman" w:hAnsi="Times New Roman"/>
          <w:color w:val="000000"/>
          <w:sz w:val="24"/>
          <w:szCs w:val="24"/>
          <w:lang w:eastAsia="en-ZA"/>
        </w:rPr>
        <w:t>;</w:t>
      </w:r>
    </w:p>
    <w:p w:rsidR="006A4A54" w:rsidRPr="009B39E9" w:rsidRDefault="006A4A54" w:rsidP="00751FDA">
      <w:pPr>
        <w:numPr>
          <w:ilvl w:val="0"/>
          <w:numId w:val="7"/>
        </w:numPr>
        <w:spacing w:after="0" w:line="360" w:lineRule="auto"/>
        <w:jc w:val="both"/>
        <w:rPr>
          <w:rFonts w:ascii="Times New Roman" w:hAnsi="Times New Roman"/>
          <w:color w:val="000000"/>
          <w:sz w:val="24"/>
          <w:szCs w:val="24"/>
          <w:lang w:eastAsia="en-ZA"/>
        </w:rPr>
      </w:pPr>
      <w:r w:rsidRPr="009B39E9">
        <w:rPr>
          <w:rFonts w:ascii="Times New Roman" w:hAnsi="Times New Roman"/>
          <w:color w:val="000000"/>
          <w:sz w:val="24"/>
          <w:szCs w:val="24"/>
          <w:lang w:eastAsia="en-ZA"/>
        </w:rPr>
        <w:t xml:space="preserve">Reprioritising R660 million over the MTEF period from the </w:t>
      </w:r>
      <w:r w:rsidRPr="009B39E9">
        <w:rPr>
          <w:rFonts w:ascii="Times New Roman" w:hAnsi="Times New Roman"/>
          <w:i/>
          <w:color w:val="000000"/>
          <w:sz w:val="24"/>
          <w:szCs w:val="24"/>
          <w:lang w:eastAsia="en-ZA"/>
        </w:rPr>
        <w:t>human settlements development grant</w:t>
      </w:r>
      <w:r w:rsidRPr="009B39E9">
        <w:rPr>
          <w:rFonts w:ascii="Times New Roman" w:hAnsi="Times New Roman"/>
          <w:color w:val="000000"/>
          <w:sz w:val="24"/>
          <w:szCs w:val="24"/>
          <w:lang w:eastAsia="en-ZA"/>
        </w:rPr>
        <w:t xml:space="preserve"> to the Social Housing Regulatory</w:t>
      </w:r>
      <w:r w:rsidR="00DF5D17" w:rsidRPr="009B39E9">
        <w:rPr>
          <w:rFonts w:ascii="Times New Roman" w:hAnsi="Times New Roman"/>
          <w:color w:val="000000"/>
          <w:sz w:val="24"/>
          <w:szCs w:val="24"/>
          <w:lang w:eastAsia="en-ZA"/>
        </w:rPr>
        <w:t xml:space="preserve"> Agency;</w:t>
      </w:r>
    </w:p>
    <w:p w:rsidR="006A4A54" w:rsidRPr="009B39E9" w:rsidRDefault="00C45A92" w:rsidP="00751FDA">
      <w:pPr>
        <w:numPr>
          <w:ilvl w:val="0"/>
          <w:numId w:val="7"/>
        </w:numPr>
        <w:spacing w:after="0" w:line="360" w:lineRule="auto"/>
        <w:jc w:val="both"/>
        <w:rPr>
          <w:rFonts w:ascii="Times New Roman" w:hAnsi="Times New Roman"/>
          <w:color w:val="000000"/>
          <w:sz w:val="24"/>
          <w:szCs w:val="24"/>
          <w:lang w:eastAsia="en-ZA"/>
        </w:rPr>
      </w:pPr>
      <w:r w:rsidRPr="009B39E9">
        <w:rPr>
          <w:rFonts w:ascii="Times New Roman" w:hAnsi="Times New Roman"/>
          <w:color w:val="000000"/>
          <w:sz w:val="24"/>
          <w:szCs w:val="24"/>
          <w:lang w:eastAsia="en-ZA"/>
        </w:rPr>
        <w:t xml:space="preserve">Extension of the </w:t>
      </w:r>
      <w:r w:rsidR="006A4A54" w:rsidRPr="009B39E9">
        <w:rPr>
          <w:rFonts w:ascii="Times New Roman" w:hAnsi="Times New Roman"/>
          <w:i/>
          <w:color w:val="000000"/>
          <w:sz w:val="24"/>
          <w:szCs w:val="24"/>
          <w:lang w:eastAsia="en-ZA"/>
        </w:rPr>
        <w:t>school infrastructure backlogs grant</w:t>
      </w:r>
      <w:r w:rsidR="006A4A54" w:rsidRPr="009B39E9">
        <w:rPr>
          <w:rFonts w:ascii="Times New Roman" w:hAnsi="Times New Roman"/>
          <w:color w:val="000000"/>
          <w:sz w:val="24"/>
          <w:szCs w:val="24"/>
          <w:lang w:eastAsia="en-ZA"/>
        </w:rPr>
        <w:t xml:space="preserve"> </w:t>
      </w:r>
      <w:r w:rsidRPr="009B39E9">
        <w:rPr>
          <w:rFonts w:ascii="Times New Roman" w:hAnsi="Times New Roman"/>
          <w:color w:val="000000"/>
          <w:sz w:val="24"/>
          <w:szCs w:val="24"/>
          <w:lang w:eastAsia="en-ZA"/>
        </w:rPr>
        <w:t xml:space="preserve">which </w:t>
      </w:r>
      <w:r w:rsidR="006A4A54" w:rsidRPr="009B39E9">
        <w:rPr>
          <w:rFonts w:ascii="Times New Roman" w:hAnsi="Times New Roman"/>
          <w:color w:val="000000"/>
          <w:sz w:val="24"/>
          <w:szCs w:val="24"/>
          <w:lang w:eastAsia="en-ZA"/>
        </w:rPr>
        <w:t xml:space="preserve">was to </w:t>
      </w:r>
      <w:r w:rsidRPr="009B39E9">
        <w:rPr>
          <w:rFonts w:ascii="Times New Roman" w:hAnsi="Times New Roman"/>
          <w:color w:val="000000"/>
          <w:sz w:val="24"/>
          <w:szCs w:val="24"/>
          <w:lang w:eastAsia="en-ZA"/>
        </w:rPr>
        <w:t xml:space="preserve">be </w:t>
      </w:r>
      <w:r w:rsidR="006A4A54" w:rsidRPr="009B39E9">
        <w:rPr>
          <w:rFonts w:ascii="Times New Roman" w:hAnsi="Times New Roman"/>
          <w:color w:val="000000"/>
          <w:sz w:val="24"/>
          <w:szCs w:val="24"/>
          <w:lang w:eastAsia="en-ZA"/>
        </w:rPr>
        <w:t>merge</w:t>
      </w:r>
      <w:r w:rsidRPr="009B39E9">
        <w:rPr>
          <w:rFonts w:ascii="Times New Roman" w:hAnsi="Times New Roman"/>
          <w:color w:val="000000"/>
          <w:sz w:val="24"/>
          <w:szCs w:val="24"/>
          <w:lang w:eastAsia="en-ZA"/>
        </w:rPr>
        <w:t>d</w:t>
      </w:r>
      <w:r w:rsidR="006A4A54" w:rsidRPr="009B39E9">
        <w:rPr>
          <w:rFonts w:ascii="Times New Roman" w:hAnsi="Times New Roman"/>
          <w:color w:val="000000"/>
          <w:sz w:val="24"/>
          <w:szCs w:val="24"/>
          <w:lang w:eastAsia="en-ZA"/>
        </w:rPr>
        <w:t xml:space="preserve"> with the </w:t>
      </w:r>
      <w:r w:rsidR="006A4A54" w:rsidRPr="009B39E9">
        <w:rPr>
          <w:rFonts w:ascii="Times New Roman" w:hAnsi="Times New Roman"/>
          <w:i/>
          <w:color w:val="000000"/>
          <w:sz w:val="24"/>
          <w:szCs w:val="24"/>
          <w:lang w:eastAsia="en-ZA"/>
        </w:rPr>
        <w:t>educationinfrastructure grant</w:t>
      </w:r>
      <w:r w:rsidR="006A4A54" w:rsidRPr="009B39E9">
        <w:rPr>
          <w:rFonts w:ascii="Times New Roman" w:hAnsi="Times New Roman"/>
          <w:color w:val="000000"/>
          <w:sz w:val="24"/>
          <w:szCs w:val="24"/>
          <w:lang w:eastAsia="en-ZA"/>
        </w:rPr>
        <w:t xml:space="preserve"> in 2017/18, to allow time for projects to be completed and for the thorough assessment of the grant transition process.</w:t>
      </w:r>
    </w:p>
    <w:p w:rsidR="006A4A54" w:rsidRPr="009B39E9" w:rsidRDefault="006A4A54" w:rsidP="00751FDA">
      <w:pPr>
        <w:spacing w:after="0" w:line="360" w:lineRule="auto"/>
        <w:ind w:left="720"/>
        <w:jc w:val="both"/>
        <w:rPr>
          <w:rFonts w:ascii="Times New Roman" w:hAnsi="Times New Roman"/>
          <w:color w:val="000000"/>
          <w:sz w:val="24"/>
          <w:szCs w:val="24"/>
          <w:lang w:eastAsia="en-ZA"/>
        </w:rPr>
      </w:pPr>
    </w:p>
    <w:p w:rsidR="00610834" w:rsidRPr="009B39E9" w:rsidRDefault="002C20C8" w:rsidP="00751FDA">
      <w:pPr>
        <w:spacing w:after="0" w:line="360" w:lineRule="auto"/>
        <w:jc w:val="both"/>
        <w:rPr>
          <w:rFonts w:ascii="Times New Roman" w:hAnsi="Times New Roman"/>
          <w:color w:val="000000"/>
          <w:sz w:val="24"/>
          <w:szCs w:val="24"/>
          <w:lang w:eastAsia="en-ZA"/>
        </w:rPr>
      </w:pPr>
      <w:r w:rsidRPr="009B39E9">
        <w:rPr>
          <w:rFonts w:ascii="Times New Roman" w:hAnsi="Times New Roman"/>
          <w:color w:val="000000"/>
          <w:sz w:val="24"/>
          <w:szCs w:val="24"/>
          <w:lang w:eastAsia="en-ZA"/>
        </w:rPr>
        <w:t>Local government grants fall into two main groups: infrastructure and capacity building. The total value of conditional grants directly transferred to local government increases from R43.7</w:t>
      </w:r>
      <w:r w:rsidR="000D698D" w:rsidRPr="009B39E9">
        <w:rPr>
          <w:rFonts w:ascii="Times New Roman" w:hAnsi="Times New Roman"/>
          <w:color w:val="000000"/>
          <w:sz w:val="24"/>
          <w:szCs w:val="24"/>
          <w:lang w:eastAsia="en-ZA"/>
        </w:rPr>
        <w:t>27</w:t>
      </w:r>
      <w:r w:rsidRPr="009B39E9">
        <w:rPr>
          <w:rFonts w:ascii="Times New Roman" w:hAnsi="Times New Roman"/>
          <w:color w:val="000000"/>
          <w:sz w:val="24"/>
          <w:szCs w:val="24"/>
          <w:lang w:eastAsia="en-ZA"/>
        </w:rPr>
        <w:t xml:space="preserve"> billion in 2017/18 to R46.</w:t>
      </w:r>
      <w:r w:rsidR="000D698D" w:rsidRPr="009B39E9">
        <w:rPr>
          <w:rFonts w:ascii="Times New Roman" w:hAnsi="Times New Roman"/>
          <w:color w:val="000000"/>
          <w:sz w:val="24"/>
          <w:szCs w:val="24"/>
          <w:lang w:eastAsia="en-ZA"/>
        </w:rPr>
        <w:t>270</w:t>
      </w:r>
      <w:r w:rsidRPr="009B39E9">
        <w:rPr>
          <w:rFonts w:ascii="Times New Roman" w:hAnsi="Times New Roman"/>
          <w:color w:val="000000"/>
          <w:sz w:val="24"/>
          <w:szCs w:val="24"/>
          <w:lang w:eastAsia="en-ZA"/>
        </w:rPr>
        <w:t xml:space="preserve"> billion in 2018/19 and </w:t>
      </w:r>
      <w:r w:rsidR="007743CB">
        <w:rPr>
          <w:rFonts w:ascii="Times New Roman" w:hAnsi="Times New Roman"/>
          <w:color w:val="000000"/>
          <w:sz w:val="24"/>
          <w:szCs w:val="24"/>
          <w:lang w:eastAsia="en-ZA"/>
        </w:rPr>
        <w:br/>
      </w:r>
      <w:r w:rsidRPr="009B39E9">
        <w:rPr>
          <w:rFonts w:ascii="Times New Roman" w:hAnsi="Times New Roman"/>
          <w:color w:val="000000"/>
          <w:sz w:val="24"/>
          <w:szCs w:val="24"/>
          <w:lang w:eastAsia="en-ZA"/>
        </w:rPr>
        <w:t>R49.8</w:t>
      </w:r>
      <w:r w:rsidR="000D698D" w:rsidRPr="009B39E9">
        <w:rPr>
          <w:rFonts w:ascii="Times New Roman" w:hAnsi="Times New Roman"/>
          <w:color w:val="000000"/>
          <w:sz w:val="24"/>
          <w:szCs w:val="24"/>
          <w:lang w:eastAsia="en-ZA"/>
        </w:rPr>
        <w:t>36</w:t>
      </w:r>
      <w:r w:rsidRPr="009B39E9">
        <w:rPr>
          <w:rFonts w:ascii="Times New Roman" w:hAnsi="Times New Roman"/>
          <w:color w:val="000000"/>
          <w:sz w:val="24"/>
          <w:szCs w:val="24"/>
          <w:lang w:eastAsia="en-ZA"/>
        </w:rPr>
        <w:t xml:space="preserve"> billion in 2019/20.</w:t>
      </w:r>
    </w:p>
    <w:p w:rsidR="002C20C8" w:rsidRPr="009B39E9" w:rsidRDefault="002C20C8" w:rsidP="00751FDA">
      <w:pPr>
        <w:spacing w:after="0" w:line="360" w:lineRule="auto"/>
        <w:jc w:val="both"/>
        <w:rPr>
          <w:rFonts w:ascii="Times New Roman" w:hAnsi="Times New Roman"/>
          <w:color w:val="000000"/>
          <w:sz w:val="24"/>
          <w:szCs w:val="24"/>
          <w:lang w:eastAsia="en-ZA"/>
        </w:rPr>
      </w:pPr>
    </w:p>
    <w:p w:rsidR="00610834" w:rsidRPr="009B39E9" w:rsidRDefault="00610834" w:rsidP="00610834">
      <w:pPr>
        <w:spacing w:after="0" w:line="240" w:lineRule="auto"/>
        <w:jc w:val="both"/>
        <w:rPr>
          <w:rFonts w:ascii="Times New Roman" w:hAnsi="Times New Roman"/>
          <w:b/>
          <w:color w:val="000000"/>
          <w:sz w:val="24"/>
          <w:szCs w:val="24"/>
          <w:lang w:eastAsia="en-ZA"/>
        </w:rPr>
      </w:pPr>
      <w:r w:rsidRPr="009B39E9">
        <w:rPr>
          <w:rFonts w:ascii="Times New Roman" w:hAnsi="Times New Roman"/>
          <w:b/>
          <w:color w:val="000000"/>
          <w:sz w:val="24"/>
          <w:szCs w:val="24"/>
          <w:lang w:eastAsia="en-ZA"/>
        </w:rPr>
        <w:t>Table 4: Conditional Gr</w:t>
      </w:r>
      <w:r w:rsidR="002C20C8" w:rsidRPr="009B39E9">
        <w:rPr>
          <w:rFonts w:ascii="Times New Roman" w:hAnsi="Times New Roman"/>
          <w:b/>
          <w:color w:val="000000"/>
          <w:sz w:val="24"/>
          <w:szCs w:val="24"/>
          <w:lang w:eastAsia="en-ZA"/>
        </w:rPr>
        <w:t>ants to local government 2016/17</w:t>
      </w:r>
      <w:r w:rsidRPr="009B39E9">
        <w:rPr>
          <w:rFonts w:ascii="Times New Roman" w:hAnsi="Times New Roman"/>
          <w:b/>
          <w:color w:val="000000"/>
          <w:sz w:val="24"/>
          <w:szCs w:val="24"/>
          <w:lang w:eastAsia="en-ZA"/>
        </w:rPr>
        <w:t xml:space="preserve"> to 201</w:t>
      </w:r>
      <w:r w:rsidR="002C20C8" w:rsidRPr="009B39E9">
        <w:rPr>
          <w:rFonts w:ascii="Times New Roman" w:hAnsi="Times New Roman"/>
          <w:b/>
          <w:color w:val="000000"/>
          <w:sz w:val="24"/>
          <w:szCs w:val="24"/>
          <w:lang w:eastAsia="en-ZA"/>
        </w:rPr>
        <w:t>9/20</w:t>
      </w:r>
      <w:r w:rsidRPr="009B39E9">
        <w:rPr>
          <w:rFonts w:ascii="Times New Roman" w:hAnsi="Times New Roman"/>
          <w:b/>
          <w:color w:val="000000"/>
          <w:sz w:val="24"/>
          <w:szCs w:val="24"/>
          <w:lang w:eastAsia="en-ZA"/>
        </w:rPr>
        <w:t xml:space="preserve"> </w:t>
      </w:r>
    </w:p>
    <w:p w:rsidR="00610834" w:rsidRPr="009B39E9" w:rsidRDefault="00610834" w:rsidP="00610834">
      <w:pPr>
        <w:spacing w:after="0" w:line="240" w:lineRule="auto"/>
        <w:jc w:val="both"/>
        <w:rPr>
          <w:rFonts w:ascii="Times New Roman" w:hAnsi="Times New Roman"/>
          <w:b/>
          <w:color w:val="000000"/>
          <w:sz w:val="24"/>
          <w:szCs w:val="24"/>
          <w:lang w:eastAsia="en-ZA"/>
        </w:rPr>
      </w:pPr>
    </w:p>
    <w:p w:rsidR="00610834" w:rsidRPr="009B39E9" w:rsidRDefault="002C20C8" w:rsidP="00610834">
      <w:pPr>
        <w:spacing w:after="0" w:line="240" w:lineRule="auto"/>
        <w:jc w:val="both"/>
        <w:rPr>
          <w:rFonts w:ascii="Times New Roman" w:hAnsi="Times New Roman"/>
          <w:sz w:val="24"/>
          <w:szCs w:val="24"/>
        </w:rPr>
      </w:pPr>
      <w:r w:rsidRPr="009B39E9">
        <w:rPr>
          <w:rFonts w:ascii="Times New Roman" w:hAnsi="Times New Roman"/>
          <w:sz w:val="24"/>
          <w:szCs w:val="24"/>
        </w:rPr>
        <w:object w:dxaOrig="8169" w:dyaOrig="6988">
          <v:shape id="_x0000_i1027" type="#_x0000_t75" style="width:408.75pt;height:349.5pt" o:ole="">
            <v:imagedata r:id="rId13" o:title=""/>
          </v:shape>
          <o:OLEObject Type="Embed" ProgID="Excel.Sheet.8" ShapeID="_x0000_i1027" DrawAspect="Content" ObjectID="_1551258254" r:id="rId14"/>
        </w:object>
      </w:r>
    </w:p>
    <w:p w:rsidR="000A0946" w:rsidRPr="00696BF2" w:rsidRDefault="000A0946" w:rsidP="00696BF2">
      <w:pPr>
        <w:pStyle w:val="ListParagraph"/>
        <w:numPr>
          <w:ilvl w:val="0"/>
          <w:numId w:val="30"/>
        </w:numPr>
        <w:spacing w:after="0" w:line="240" w:lineRule="auto"/>
        <w:ind w:left="284" w:hanging="142"/>
        <w:jc w:val="both"/>
        <w:rPr>
          <w:rFonts w:ascii="Times New Roman" w:hAnsi="Times New Roman"/>
          <w:i/>
          <w:sz w:val="16"/>
          <w:szCs w:val="16"/>
        </w:rPr>
      </w:pPr>
      <w:r w:rsidRPr="00696BF2">
        <w:rPr>
          <w:rFonts w:ascii="Times New Roman" w:hAnsi="Times New Roman"/>
          <w:i/>
          <w:sz w:val="16"/>
          <w:szCs w:val="16"/>
        </w:rPr>
        <w:t>Excludes provisional allocations</w:t>
      </w:r>
    </w:p>
    <w:p w:rsidR="00610834" w:rsidRPr="009B39E9" w:rsidRDefault="002C20C8" w:rsidP="00610834">
      <w:pPr>
        <w:spacing w:after="0" w:line="240" w:lineRule="auto"/>
        <w:jc w:val="both"/>
        <w:rPr>
          <w:rFonts w:ascii="Times New Roman" w:hAnsi="Times New Roman"/>
          <w:i/>
          <w:color w:val="000000"/>
          <w:sz w:val="24"/>
          <w:szCs w:val="24"/>
          <w:lang w:eastAsia="en-ZA"/>
        </w:rPr>
      </w:pPr>
      <w:r w:rsidRPr="009B39E9">
        <w:rPr>
          <w:rFonts w:ascii="Times New Roman" w:hAnsi="Times New Roman"/>
          <w:i/>
          <w:sz w:val="24"/>
          <w:szCs w:val="24"/>
        </w:rPr>
        <w:t>Source: National Treasury 2017</w:t>
      </w:r>
    </w:p>
    <w:p w:rsidR="00610834" w:rsidRPr="009B39E9" w:rsidRDefault="00610834" w:rsidP="00610834">
      <w:pPr>
        <w:spacing w:after="0" w:line="240" w:lineRule="auto"/>
        <w:jc w:val="both"/>
        <w:rPr>
          <w:rFonts w:ascii="Times New Roman" w:hAnsi="Times New Roman"/>
          <w:color w:val="000000"/>
          <w:sz w:val="24"/>
          <w:szCs w:val="24"/>
          <w:lang w:eastAsia="en-ZA"/>
        </w:rPr>
      </w:pPr>
    </w:p>
    <w:p w:rsidR="00610834" w:rsidRPr="009B39E9" w:rsidRDefault="00610834" w:rsidP="007743CB">
      <w:pPr>
        <w:spacing w:after="0" w:line="360" w:lineRule="auto"/>
        <w:jc w:val="both"/>
        <w:rPr>
          <w:rFonts w:ascii="Times New Roman" w:hAnsi="Times New Roman"/>
          <w:color w:val="000000"/>
          <w:sz w:val="24"/>
          <w:szCs w:val="24"/>
          <w:lang w:eastAsia="en-ZA"/>
        </w:rPr>
      </w:pPr>
      <w:r w:rsidRPr="009B39E9">
        <w:rPr>
          <w:rFonts w:ascii="Times New Roman" w:hAnsi="Times New Roman"/>
          <w:color w:val="000000"/>
          <w:sz w:val="24"/>
          <w:szCs w:val="24"/>
          <w:lang w:eastAsia="en-ZA"/>
        </w:rPr>
        <w:t xml:space="preserve">With regards to municipal grants, </w:t>
      </w:r>
      <w:r w:rsidR="00C84CC3" w:rsidRPr="009B39E9">
        <w:rPr>
          <w:rFonts w:ascii="Times New Roman" w:hAnsi="Times New Roman"/>
          <w:color w:val="000000"/>
          <w:sz w:val="24"/>
          <w:szCs w:val="24"/>
          <w:lang w:eastAsia="en-ZA"/>
        </w:rPr>
        <w:t>several conditional grants have been merged in previous years and the consolidation trend is expected to continue.</w:t>
      </w:r>
      <w:r w:rsidRPr="009B39E9">
        <w:rPr>
          <w:rFonts w:ascii="Times New Roman" w:hAnsi="Times New Roman"/>
          <w:color w:val="000000"/>
          <w:sz w:val="24"/>
          <w:szCs w:val="24"/>
          <w:lang w:eastAsia="en-ZA"/>
        </w:rPr>
        <w:t xml:space="preserve"> </w:t>
      </w:r>
      <w:r w:rsidR="00C84CC3" w:rsidRPr="009B39E9">
        <w:rPr>
          <w:rFonts w:ascii="Times New Roman" w:hAnsi="Times New Roman"/>
          <w:color w:val="000000"/>
          <w:sz w:val="24"/>
          <w:szCs w:val="24"/>
          <w:lang w:eastAsia="en-ZA"/>
        </w:rPr>
        <w:t>Proposed changes to municipal allocations for the 2017</w:t>
      </w:r>
      <w:r w:rsidRPr="009B39E9">
        <w:rPr>
          <w:rFonts w:ascii="Times New Roman" w:hAnsi="Times New Roman"/>
          <w:color w:val="000000"/>
          <w:sz w:val="24"/>
          <w:szCs w:val="24"/>
          <w:lang w:eastAsia="en-ZA"/>
        </w:rPr>
        <w:t xml:space="preserve"> MTEF include</w:t>
      </w:r>
      <w:r w:rsidR="00567553" w:rsidRPr="009B39E9">
        <w:rPr>
          <w:rFonts w:ascii="Times New Roman" w:hAnsi="Times New Roman"/>
          <w:color w:val="000000"/>
          <w:sz w:val="24"/>
          <w:szCs w:val="24"/>
          <w:lang w:eastAsia="en-ZA"/>
        </w:rPr>
        <w:t xml:space="preserve"> the following</w:t>
      </w:r>
      <w:r w:rsidRPr="009B39E9">
        <w:rPr>
          <w:rFonts w:ascii="Times New Roman" w:hAnsi="Times New Roman"/>
          <w:color w:val="000000"/>
          <w:sz w:val="24"/>
          <w:szCs w:val="24"/>
          <w:lang w:eastAsia="en-ZA"/>
        </w:rPr>
        <w:t>:</w:t>
      </w:r>
    </w:p>
    <w:p w:rsidR="00610834" w:rsidRPr="009B39E9" w:rsidRDefault="00610834" w:rsidP="007743CB">
      <w:pPr>
        <w:spacing w:after="0" w:line="360" w:lineRule="auto"/>
        <w:jc w:val="both"/>
        <w:rPr>
          <w:rFonts w:ascii="Times New Roman" w:hAnsi="Times New Roman"/>
          <w:color w:val="000000"/>
          <w:sz w:val="24"/>
          <w:szCs w:val="24"/>
          <w:lang w:eastAsia="en-ZA"/>
        </w:rPr>
      </w:pPr>
    </w:p>
    <w:p w:rsidR="00C84CC3" w:rsidRPr="009B39E9" w:rsidRDefault="00C84CC3" w:rsidP="007743CB">
      <w:pPr>
        <w:numPr>
          <w:ilvl w:val="0"/>
          <w:numId w:val="8"/>
        </w:numPr>
        <w:spacing w:after="0" w:line="360" w:lineRule="auto"/>
        <w:jc w:val="both"/>
        <w:rPr>
          <w:rFonts w:ascii="Times New Roman" w:hAnsi="Times New Roman"/>
          <w:color w:val="000000"/>
          <w:sz w:val="24"/>
          <w:szCs w:val="24"/>
          <w:lang w:eastAsia="en-ZA"/>
        </w:rPr>
      </w:pPr>
      <w:r w:rsidRPr="009B39E9">
        <w:rPr>
          <w:rFonts w:ascii="Times New Roman" w:hAnsi="Times New Roman"/>
          <w:color w:val="000000"/>
          <w:sz w:val="24"/>
          <w:szCs w:val="24"/>
          <w:lang w:eastAsia="en-ZA"/>
        </w:rPr>
        <w:t xml:space="preserve"> </w:t>
      </w:r>
      <w:r w:rsidR="00BE229C" w:rsidRPr="009B39E9">
        <w:rPr>
          <w:rFonts w:ascii="Times New Roman" w:hAnsi="Times New Roman"/>
          <w:color w:val="000000"/>
          <w:sz w:val="24"/>
          <w:szCs w:val="24"/>
          <w:lang w:eastAsia="en-ZA"/>
        </w:rPr>
        <w:t>I Government’s intention to i</w:t>
      </w:r>
      <w:r w:rsidRPr="009B39E9">
        <w:rPr>
          <w:rFonts w:ascii="Times New Roman" w:hAnsi="Times New Roman"/>
          <w:color w:val="000000"/>
          <w:sz w:val="24"/>
          <w:szCs w:val="24"/>
          <w:lang w:eastAsia="en-ZA"/>
        </w:rPr>
        <w:t>ntroduce a new funding model for district municipalities once the Department of Cooperative Governance has completed its review of their functional role.</w:t>
      </w:r>
    </w:p>
    <w:p w:rsidR="00C84CC3" w:rsidRPr="009B39E9" w:rsidRDefault="00C84CC3" w:rsidP="007743CB">
      <w:pPr>
        <w:numPr>
          <w:ilvl w:val="0"/>
          <w:numId w:val="8"/>
        </w:numPr>
        <w:spacing w:after="0" w:line="360" w:lineRule="auto"/>
        <w:jc w:val="both"/>
        <w:rPr>
          <w:rFonts w:ascii="Times New Roman" w:hAnsi="Times New Roman"/>
          <w:color w:val="000000"/>
          <w:sz w:val="24"/>
          <w:szCs w:val="24"/>
          <w:lang w:eastAsia="en-ZA"/>
        </w:rPr>
      </w:pPr>
      <w:r w:rsidRPr="009B39E9">
        <w:rPr>
          <w:rFonts w:ascii="Times New Roman" w:hAnsi="Times New Roman"/>
          <w:color w:val="000000"/>
          <w:sz w:val="24"/>
          <w:szCs w:val="24"/>
          <w:lang w:eastAsia="en-ZA"/>
        </w:rPr>
        <w:t>National Treasury work</w:t>
      </w:r>
      <w:r w:rsidR="004362BF" w:rsidRPr="009B39E9">
        <w:rPr>
          <w:rFonts w:ascii="Times New Roman" w:hAnsi="Times New Roman"/>
          <w:color w:val="000000"/>
          <w:sz w:val="24"/>
          <w:szCs w:val="24"/>
          <w:lang w:eastAsia="en-ZA"/>
        </w:rPr>
        <w:t>ing</w:t>
      </w:r>
      <w:r w:rsidRPr="009B39E9">
        <w:rPr>
          <w:rFonts w:ascii="Times New Roman" w:hAnsi="Times New Roman"/>
          <w:color w:val="000000"/>
          <w:sz w:val="24"/>
          <w:szCs w:val="24"/>
          <w:lang w:eastAsia="en-ZA"/>
        </w:rPr>
        <w:t xml:space="preserve"> with the Department of Energy and Department of Human Settlements to consolidate electrification funding for metropolitan municipalities into the urban settlements development grant.</w:t>
      </w:r>
    </w:p>
    <w:p w:rsidR="00610834" w:rsidRPr="009B39E9" w:rsidRDefault="00C84CC3" w:rsidP="007743CB">
      <w:pPr>
        <w:numPr>
          <w:ilvl w:val="0"/>
          <w:numId w:val="8"/>
        </w:numPr>
        <w:spacing w:after="0" w:line="360" w:lineRule="auto"/>
        <w:jc w:val="both"/>
        <w:rPr>
          <w:rFonts w:ascii="Times New Roman" w:hAnsi="Times New Roman"/>
          <w:color w:val="000000"/>
          <w:sz w:val="24"/>
          <w:szCs w:val="24"/>
          <w:lang w:eastAsia="en-ZA"/>
        </w:rPr>
      </w:pPr>
      <w:r w:rsidRPr="009B39E9">
        <w:rPr>
          <w:rFonts w:ascii="Times New Roman" w:hAnsi="Times New Roman"/>
          <w:color w:val="000000"/>
          <w:sz w:val="24"/>
          <w:szCs w:val="24"/>
          <w:lang w:eastAsia="en-ZA"/>
        </w:rPr>
        <w:t xml:space="preserve">The Bucket Eradication Programme Grant ends in 2016/17 and all remaining projects will be completed through existing grants. In 2017/18 </w:t>
      </w:r>
      <w:r w:rsidRPr="009B39E9">
        <w:rPr>
          <w:rFonts w:ascii="Times New Roman" w:hAnsi="Times New Roman"/>
          <w:color w:val="000000"/>
          <w:sz w:val="24"/>
          <w:szCs w:val="24"/>
          <w:lang w:eastAsia="en-ZA"/>
        </w:rPr>
        <w:lastRenderedPageBreak/>
        <w:t xml:space="preserve">R385.6 million is allocated for bucket eradication projects in the </w:t>
      </w:r>
      <w:r w:rsidRPr="009B39E9">
        <w:rPr>
          <w:rFonts w:ascii="Times New Roman" w:hAnsi="Times New Roman"/>
          <w:i/>
          <w:color w:val="000000"/>
          <w:sz w:val="24"/>
          <w:szCs w:val="24"/>
          <w:lang w:eastAsia="en-ZA"/>
        </w:rPr>
        <w:t xml:space="preserve">Regional Bulk Infrastructure Grant </w:t>
      </w:r>
      <w:r w:rsidRPr="009B39E9">
        <w:rPr>
          <w:rFonts w:ascii="Times New Roman" w:hAnsi="Times New Roman"/>
          <w:color w:val="000000"/>
          <w:sz w:val="24"/>
          <w:szCs w:val="24"/>
          <w:lang w:eastAsia="en-ZA"/>
        </w:rPr>
        <w:t xml:space="preserve">and the </w:t>
      </w:r>
      <w:r w:rsidRPr="009B39E9">
        <w:rPr>
          <w:rFonts w:ascii="Times New Roman" w:hAnsi="Times New Roman"/>
          <w:i/>
          <w:color w:val="000000"/>
          <w:sz w:val="24"/>
          <w:szCs w:val="24"/>
          <w:lang w:eastAsia="en-ZA"/>
        </w:rPr>
        <w:t xml:space="preserve">Water Services Infrastructure Grant. </w:t>
      </w:r>
    </w:p>
    <w:p w:rsidR="00610834" w:rsidRPr="009B39E9" w:rsidRDefault="00610834" w:rsidP="007743CB">
      <w:pPr>
        <w:spacing w:after="0" w:line="360" w:lineRule="auto"/>
        <w:ind w:left="360"/>
        <w:jc w:val="both"/>
        <w:rPr>
          <w:rFonts w:ascii="Times New Roman" w:hAnsi="Times New Roman"/>
          <w:color w:val="000000"/>
          <w:sz w:val="24"/>
          <w:szCs w:val="24"/>
          <w:lang w:eastAsia="en-ZA"/>
        </w:rPr>
      </w:pPr>
    </w:p>
    <w:p w:rsidR="00610834" w:rsidRPr="009B39E9" w:rsidRDefault="008B1B41" w:rsidP="00751FDA">
      <w:pPr>
        <w:spacing w:after="0" w:line="360" w:lineRule="auto"/>
        <w:contextualSpacing/>
        <w:jc w:val="both"/>
        <w:rPr>
          <w:rFonts w:ascii="Times New Roman" w:hAnsi="Times New Roman"/>
          <w:color w:val="000000"/>
          <w:sz w:val="24"/>
          <w:szCs w:val="24"/>
          <w:lang w:eastAsia="en-ZA"/>
        </w:rPr>
      </w:pPr>
      <w:r w:rsidRPr="009B39E9">
        <w:rPr>
          <w:rFonts w:ascii="Times New Roman" w:hAnsi="Times New Roman"/>
          <w:b/>
          <w:sz w:val="24"/>
          <w:szCs w:val="24"/>
        </w:rPr>
        <w:t>2.3</w:t>
      </w:r>
      <w:r w:rsidRPr="009B39E9">
        <w:rPr>
          <w:rFonts w:ascii="Times New Roman" w:hAnsi="Times New Roman"/>
          <w:b/>
          <w:sz w:val="24"/>
          <w:szCs w:val="24"/>
        </w:rPr>
        <w:tab/>
        <w:t xml:space="preserve">Main Changes to 2017 </w:t>
      </w:r>
      <w:r w:rsidR="00610834" w:rsidRPr="009B39E9">
        <w:rPr>
          <w:rFonts w:ascii="Times New Roman" w:hAnsi="Times New Roman"/>
          <w:b/>
          <w:sz w:val="24"/>
          <w:szCs w:val="24"/>
        </w:rPr>
        <w:t xml:space="preserve">Division of Revenue Bill </w:t>
      </w:r>
    </w:p>
    <w:p w:rsidR="00610834" w:rsidRPr="009B39E9" w:rsidRDefault="00610834" w:rsidP="00751FDA">
      <w:pPr>
        <w:spacing w:after="0" w:line="360" w:lineRule="auto"/>
        <w:jc w:val="both"/>
        <w:rPr>
          <w:rFonts w:ascii="Times New Roman" w:hAnsi="Times New Roman"/>
          <w:color w:val="000000"/>
          <w:sz w:val="24"/>
          <w:szCs w:val="24"/>
          <w:lang w:eastAsia="en-ZA"/>
        </w:rPr>
      </w:pPr>
    </w:p>
    <w:p w:rsidR="00610834" w:rsidRPr="009B39E9" w:rsidRDefault="00DC297C" w:rsidP="00751FDA">
      <w:pPr>
        <w:spacing w:after="0" w:line="360" w:lineRule="auto"/>
        <w:jc w:val="both"/>
        <w:rPr>
          <w:rFonts w:ascii="Times New Roman" w:hAnsi="Times New Roman"/>
          <w:color w:val="000000"/>
          <w:sz w:val="24"/>
          <w:szCs w:val="24"/>
          <w:lang w:eastAsia="en-ZA"/>
        </w:rPr>
      </w:pPr>
      <w:r w:rsidRPr="009B39E9">
        <w:rPr>
          <w:rFonts w:ascii="Times New Roman" w:hAnsi="Times New Roman"/>
          <w:color w:val="000000"/>
          <w:sz w:val="24"/>
          <w:szCs w:val="24"/>
          <w:lang w:eastAsia="en-ZA"/>
        </w:rPr>
        <w:t>The 2017</w:t>
      </w:r>
      <w:r w:rsidR="00610834" w:rsidRPr="009B39E9">
        <w:rPr>
          <w:rFonts w:ascii="Times New Roman" w:hAnsi="Times New Roman"/>
          <w:color w:val="000000"/>
          <w:sz w:val="24"/>
          <w:szCs w:val="24"/>
          <w:lang w:eastAsia="en-ZA"/>
        </w:rPr>
        <w:t xml:space="preserve"> Division of Revenue Bill continues with emphasis on reprioritisation within the existing fiscal envelope so as to ensure that the state’s policy objectives are met despite a lower expenditure ceiling. </w:t>
      </w:r>
    </w:p>
    <w:p w:rsidR="00610834" w:rsidRPr="009B39E9" w:rsidRDefault="00610834" w:rsidP="00751FDA">
      <w:pPr>
        <w:spacing w:after="0" w:line="360" w:lineRule="auto"/>
        <w:jc w:val="both"/>
        <w:rPr>
          <w:rFonts w:ascii="Times New Roman" w:hAnsi="Times New Roman"/>
          <w:color w:val="000000"/>
          <w:sz w:val="24"/>
          <w:szCs w:val="24"/>
          <w:lang w:eastAsia="en-ZA"/>
        </w:rPr>
      </w:pPr>
    </w:p>
    <w:p w:rsidR="00DC297C" w:rsidRPr="009B39E9" w:rsidRDefault="00610834" w:rsidP="00751FDA">
      <w:pPr>
        <w:spacing w:after="0" w:line="360" w:lineRule="auto"/>
        <w:jc w:val="both"/>
        <w:rPr>
          <w:rFonts w:ascii="Times New Roman" w:hAnsi="Times New Roman"/>
          <w:color w:val="000000"/>
          <w:sz w:val="24"/>
          <w:szCs w:val="24"/>
          <w:lang w:eastAsia="en-ZA"/>
        </w:rPr>
      </w:pPr>
      <w:r w:rsidRPr="009B39E9">
        <w:rPr>
          <w:rFonts w:ascii="Times New Roman" w:hAnsi="Times New Roman"/>
          <w:color w:val="000000"/>
          <w:sz w:val="24"/>
          <w:szCs w:val="24"/>
          <w:lang w:eastAsia="en-ZA"/>
        </w:rPr>
        <w:t>The main policy issues consi</w:t>
      </w:r>
      <w:r w:rsidR="00DC297C" w:rsidRPr="009B39E9">
        <w:rPr>
          <w:rFonts w:ascii="Times New Roman" w:hAnsi="Times New Roman"/>
          <w:color w:val="000000"/>
          <w:sz w:val="24"/>
          <w:szCs w:val="24"/>
          <w:lang w:eastAsia="en-ZA"/>
        </w:rPr>
        <w:t>dered and adjusted into the 2017</w:t>
      </w:r>
      <w:r w:rsidRPr="009B39E9">
        <w:rPr>
          <w:rFonts w:ascii="Times New Roman" w:hAnsi="Times New Roman"/>
          <w:color w:val="000000"/>
          <w:sz w:val="24"/>
          <w:szCs w:val="24"/>
          <w:lang w:eastAsia="en-ZA"/>
        </w:rPr>
        <w:t xml:space="preserve"> Division of Revenue </w:t>
      </w:r>
      <w:r w:rsidR="00DF5D17" w:rsidRPr="009B39E9">
        <w:rPr>
          <w:rFonts w:ascii="Times New Roman" w:hAnsi="Times New Roman"/>
          <w:color w:val="000000"/>
          <w:sz w:val="24"/>
          <w:szCs w:val="24"/>
          <w:lang w:eastAsia="en-ZA"/>
        </w:rPr>
        <w:t xml:space="preserve">Bill clauses </w:t>
      </w:r>
      <w:r w:rsidRPr="009B39E9">
        <w:rPr>
          <w:rFonts w:ascii="Times New Roman" w:hAnsi="Times New Roman"/>
          <w:color w:val="000000"/>
          <w:sz w:val="24"/>
          <w:szCs w:val="24"/>
          <w:lang w:eastAsia="en-ZA"/>
        </w:rPr>
        <w:t xml:space="preserve">include: </w:t>
      </w:r>
    </w:p>
    <w:p w:rsidR="00DC297C" w:rsidRPr="009B39E9" w:rsidRDefault="00DC297C" w:rsidP="00751FDA">
      <w:pPr>
        <w:numPr>
          <w:ilvl w:val="0"/>
          <w:numId w:val="8"/>
        </w:numPr>
        <w:spacing w:after="0" w:line="360" w:lineRule="auto"/>
        <w:jc w:val="both"/>
        <w:rPr>
          <w:rFonts w:ascii="Times New Roman" w:hAnsi="Times New Roman"/>
          <w:color w:val="000000"/>
          <w:sz w:val="24"/>
          <w:szCs w:val="24"/>
          <w:lang w:eastAsia="en-ZA"/>
        </w:rPr>
      </w:pPr>
      <w:r w:rsidRPr="009B39E9">
        <w:rPr>
          <w:rFonts w:ascii="Times New Roman" w:hAnsi="Times New Roman"/>
          <w:color w:val="000000"/>
          <w:sz w:val="24"/>
          <w:szCs w:val="24"/>
          <w:lang w:eastAsia="en-ZA"/>
        </w:rPr>
        <w:t xml:space="preserve">Clause 21(1) is changed to make it easier for indirect allocations to be converted to direct transfers in-year (will make it easier for </w:t>
      </w:r>
      <w:r w:rsidR="00DF5D17" w:rsidRPr="009B39E9">
        <w:rPr>
          <w:rFonts w:ascii="Times New Roman" w:hAnsi="Times New Roman"/>
          <w:color w:val="000000"/>
          <w:sz w:val="24"/>
          <w:szCs w:val="24"/>
          <w:lang w:eastAsia="en-ZA"/>
        </w:rPr>
        <w:t>provinces to complete projects);</w:t>
      </w:r>
    </w:p>
    <w:p w:rsidR="00DC297C" w:rsidRPr="009B39E9" w:rsidRDefault="00DC297C" w:rsidP="00751FDA">
      <w:pPr>
        <w:numPr>
          <w:ilvl w:val="0"/>
          <w:numId w:val="8"/>
        </w:numPr>
        <w:spacing w:after="0" w:line="360" w:lineRule="auto"/>
        <w:jc w:val="both"/>
        <w:rPr>
          <w:rFonts w:ascii="Times New Roman" w:hAnsi="Times New Roman"/>
          <w:color w:val="000000"/>
          <w:sz w:val="24"/>
          <w:szCs w:val="24"/>
          <w:lang w:eastAsia="en-ZA"/>
        </w:rPr>
      </w:pPr>
      <w:r w:rsidRPr="009B39E9">
        <w:rPr>
          <w:rFonts w:ascii="Times New Roman" w:hAnsi="Times New Roman"/>
          <w:color w:val="000000"/>
          <w:sz w:val="24"/>
          <w:szCs w:val="24"/>
          <w:lang w:eastAsia="en-ZA"/>
        </w:rPr>
        <w:t>Clause 21(2) clarifies the criteria for the in-year conversion of direct grants to indirect. These include: national departments must demonstrate capacity; province/municipality must have a history of underperformance; efforts must have been made to develop their capacity; and it will prevent under-</w:t>
      </w:r>
      <w:r w:rsidR="00DF5D17" w:rsidRPr="009B39E9">
        <w:rPr>
          <w:rFonts w:ascii="Times New Roman" w:hAnsi="Times New Roman"/>
          <w:color w:val="000000"/>
          <w:sz w:val="24"/>
          <w:szCs w:val="24"/>
          <w:lang w:eastAsia="en-ZA"/>
        </w:rPr>
        <w:t>expenditure or improve delivery;</w:t>
      </w:r>
    </w:p>
    <w:p w:rsidR="00610834" w:rsidRPr="009B39E9" w:rsidRDefault="00DC297C" w:rsidP="00751FDA">
      <w:pPr>
        <w:numPr>
          <w:ilvl w:val="0"/>
          <w:numId w:val="8"/>
        </w:numPr>
        <w:spacing w:after="0" w:line="360" w:lineRule="auto"/>
        <w:jc w:val="both"/>
        <w:rPr>
          <w:rFonts w:ascii="Times New Roman" w:hAnsi="Times New Roman"/>
          <w:color w:val="000000"/>
          <w:sz w:val="24"/>
          <w:szCs w:val="24"/>
          <w:lang w:eastAsia="en-ZA"/>
        </w:rPr>
      </w:pPr>
      <w:r w:rsidRPr="009B39E9">
        <w:rPr>
          <w:rFonts w:ascii="Times New Roman" w:hAnsi="Times New Roman"/>
          <w:color w:val="000000"/>
          <w:sz w:val="24"/>
          <w:szCs w:val="24"/>
          <w:lang w:eastAsia="en-ZA"/>
        </w:rPr>
        <w:t>Clause 21(4) clarifies that, when possible, an allocation converted in-year should be used to implement the same project(s) that were p</w:t>
      </w:r>
      <w:r w:rsidR="00DF5D17" w:rsidRPr="009B39E9">
        <w:rPr>
          <w:rFonts w:ascii="Times New Roman" w:hAnsi="Times New Roman"/>
          <w:color w:val="000000"/>
          <w:sz w:val="24"/>
          <w:szCs w:val="24"/>
          <w:lang w:eastAsia="en-ZA"/>
        </w:rPr>
        <w:t>lanned prior to the conversion;</w:t>
      </w:r>
    </w:p>
    <w:p w:rsidR="00DC297C" w:rsidRPr="009B39E9" w:rsidRDefault="00DC297C" w:rsidP="00751FDA">
      <w:pPr>
        <w:numPr>
          <w:ilvl w:val="0"/>
          <w:numId w:val="8"/>
        </w:numPr>
        <w:spacing w:after="0" w:line="360" w:lineRule="auto"/>
        <w:jc w:val="both"/>
        <w:rPr>
          <w:rFonts w:ascii="Times New Roman" w:hAnsi="Times New Roman"/>
          <w:color w:val="000000"/>
          <w:sz w:val="24"/>
          <w:szCs w:val="24"/>
          <w:lang w:eastAsia="en-ZA"/>
        </w:rPr>
      </w:pPr>
      <w:r w:rsidRPr="009B39E9">
        <w:rPr>
          <w:rFonts w:ascii="Times New Roman" w:hAnsi="Times New Roman"/>
          <w:color w:val="000000"/>
          <w:sz w:val="24"/>
          <w:szCs w:val="24"/>
          <w:lang w:eastAsia="en-ZA"/>
        </w:rPr>
        <w:t>A new sub-clause is added to clause 35 that allows transferring officer</w:t>
      </w:r>
      <w:r w:rsidR="008F6487" w:rsidRPr="009B39E9">
        <w:rPr>
          <w:rFonts w:ascii="Times New Roman" w:hAnsi="Times New Roman"/>
          <w:color w:val="000000"/>
          <w:sz w:val="24"/>
          <w:szCs w:val="24"/>
          <w:lang w:eastAsia="en-ZA"/>
        </w:rPr>
        <w:t>s</w:t>
      </w:r>
      <w:r w:rsidRPr="009B39E9">
        <w:rPr>
          <w:rFonts w:ascii="Times New Roman" w:hAnsi="Times New Roman"/>
          <w:color w:val="000000"/>
          <w:sz w:val="24"/>
          <w:szCs w:val="24"/>
          <w:lang w:eastAsia="en-ZA"/>
        </w:rPr>
        <w:t xml:space="preserve"> to delegate their powers and responsibilities in terms of this Act. This is intended to make grant management </w:t>
      </w:r>
      <w:r w:rsidR="00DF5D17" w:rsidRPr="009B39E9">
        <w:rPr>
          <w:rFonts w:ascii="Times New Roman" w:hAnsi="Times New Roman"/>
          <w:color w:val="000000"/>
          <w:sz w:val="24"/>
          <w:szCs w:val="24"/>
          <w:lang w:eastAsia="en-ZA"/>
        </w:rPr>
        <w:t>more efficient in</w:t>
      </w:r>
      <w:r w:rsidRPr="009B39E9">
        <w:rPr>
          <w:rFonts w:ascii="Times New Roman" w:hAnsi="Times New Roman"/>
          <w:color w:val="000000"/>
          <w:sz w:val="24"/>
          <w:szCs w:val="24"/>
          <w:lang w:eastAsia="en-ZA"/>
        </w:rPr>
        <w:t xml:space="preserve"> national departments</w:t>
      </w:r>
      <w:r w:rsidR="00DF5D17" w:rsidRPr="009B39E9">
        <w:rPr>
          <w:rFonts w:ascii="Times New Roman" w:hAnsi="Times New Roman"/>
          <w:color w:val="000000"/>
          <w:sz w:val="24"/>
          <w:szCs w:val="24"/>
          <w:lang w:eastAsia="en-ZA"/>
        </w:rPr>
        <w:t>;</w:t>
      </w:r>
    </w:p>
    <w:p w:rsidR="00DC297C" w:rsidRPr="009B39E9" w:rsidRDefault="00DC297C" w:rsidP="00751FDA">
      <w:pPr>
        <w:numPr>
          <w:ilvl w:val="0"/>
          <w:numId w:val="8"/>
        </w:numPr>
        <w:spacing w:after="0" w:line="360" w:lineRule="auto"/>
        <w:jc w:val="both"/>
        <w:rPr>
          <w:rFonts w:ascii="Times New Roman" w:hAnsi="Times New Roman"/>
          <w:color w:val="000000"/>
          <w:sz w:val="24"/>
          <w:szCs w:val="24"/>
          <w:lang w:eastAsia="en-ZA"/>
        </w:rPr>
      </w:pPr>
      <w:r w:rsidRPr="009B39E9">
        <w:rPr>
          <w:rFonts w:ascii="Times New Roman" w:hAnsi="Times New Roman"/>
          <w:color w:val="000000"/>
          <w:sz w:val="24"/>
          <w:szCs w:val="24"/>
          <w:lang w:eastAsia="en-ZA"/>
        </w:rPr>
        <w:t>Reducing reporting requirements by no longer requiring the submission of draft capacity reports</w:t>
      </w:r>
      <w:r w:rsidR="00DF5D17" w:rsidRPr="009B39E9">
        <w:rPr>
          <w:rFonts w:ascii="Times New Roman" w:hAnsi="Times New Roman"/>
          <w:color w:val="000000"/>
          <w:sz w:val="24"/>
          <w:szCs w:val="24"/>
          <w:lang w:eastAsia="en-ZA"/>
        </w:rPr>
        <w:t>; and</w:t>
      </w:r>
    </w:p>
    <w:p w:rsidR="00DC297C" w:rsidRPr="009B39E9" w:rsidRDefault="00DC297C" w:rsidP="00751FDA">
      <w:pPr>
        <w:numPr>
          <w:ilvl w:val="0"/>
          <w:numId w:val="8"/>
        </w:numPr>
        <w:spacing w:after="0" w:line="360" w:lineRule="auto"/>
        <w:jc w:val="both"/>
        <w:rPr>
          <w:rFonts w:ascii="Times New Roman" w:hAnsi="Times New Roman"/>
          <w:color w:val="000000"/>
          <w:sz w:val="24"/>
          <w:szCs w:val="24"/>
          <w:lang w:eastAsia="en-ZA"/>
        </w:rPr>
      </w:pPr>
      <w:r w:rsidRPr="009B39E9">
        <w:rPr>
          <w:rFonts w:ascii="Times New Roman" w:hAnsi="Times New Roman"/>
          <w:color w:val="000000"/>
          <w:sz w:val="24"/>
          <w:szCs w:val="24"/>
          <w:lang w:eastAsia="en-ZA"/>
        </w:rPr>
        <w:t>Clarif</w:t>
      </w:r>
      <w:r w:rsidR="008F6487" w:rsidRPr="009B39E9">
        <w:rPr>
          <w:rFonts w:ascii="Times New Roman" w:hAnsi="Times New Roman"/>
          <w:color w:val="000000"/>
          <w:sz w:val="24"/>
          <w:szCs w:val="24"/>
          <w:lang w:eastAsia="en-ZA"/>
        </w:rPr>
        <w:t>ying</w:t>
      </w:r>
      <w:r w:rsidRPr="009B39E9">
        <w:rPr>
          <w:rFonts w:ascii="Times New Roman" w:hAnsi="Times New Roman"/>
          <w:color w:val="000000"/>
          <w:sz w:val="24"/>
          <w:szCs w:val="24"/>
          <w:lang w:eastAsia="en-ZA"/>
        </w:rPr>
        <w:t xml:space="preserve"> that withholding is done to prevent underspending by the receiving officer (and not the transferring officer)</w:t>
      </w:r>
      <w:r w:rsidR="003703EE" w:rsidRPr="009B39E9">
        <w:rPr>
          <w:rFonts w:ascii="Times New Roman" w:hAnsi="Times New Roman"/>
          <w:color w:val="000000"/>
          <w:sz w:val="24"/>
          <w:szCs w:val="24"/>
          <w:lang w:eastAsia="en-ZA"/>
        </w:rPr>
        <w:t>.</w:t>
      </w:r>
    </w:p>
    <w:p w:rsidR="003703EE" w:rsidRPr="009B39E9" w:rsidRDefault="003703EE" w:rsidP="00751FDA">
      <w:pPr>
        <w:spacing w:after="0" w:line="360" w:lineRule="auto"/>
        <w:jc w:val="both"/>
        <w:rPr>
          <w:rFonts w:ascii="Times New Roman" w:hAnsi="Times New Roman"/>
          <w:color w:val="000000"/>
          <w:sz w:val="24"/>
          <w:szCs w:val="24"/>
          <w:lang w:eastAsia="en-ZA"/>
        </w:rPr>
      </w:pPr>
    </w:p>
    <w:p w:rsidR="004F2AC9" w:rsidRPr="009B39E9" w:rsidRDefault="00BE729D" w:rsidP="00751FDA">
      <w:pPr>
        <w:spacing w:after="0" w:line="360" w:lineRule="auto"/>
        <w:jc w:val="both"/>
        <w:rPr>
          <w:rFonts w:ascii="Times New Roman" w:hAnsi="Times New Roman"/>
          <w:sz w:val="24"/>
          <w:szCs w:val="24"/>
          <w:lang w:val="en-US"/>
        </w:rPr>
      </w:pPr>
      <w:r w:rsidRPr="009B39E9">
        <w:rPr>
          <w:rFonts w:ascii="Times New Roman" w:hAnsi="Times New Roman"/>
          <w:sz w:val="24"/>
          <w:szCs w:val="24"/>
          <w:lang w:val="en-US"/>
        </w:rPr>
        <w:t xml:space="preserve">National Treasury in its briefing to the Committee on the Bill indicated that there is a technical error in the Bill. National Treasury indicated that the error resulted in the </w:t>
      </w:r>
      <w:r w:rsidRPr="009B39E9">
        <w:rPr>
          <w:rFonts w:ascii="Times New Roman" w:hAnsi="Times New Roman"/>
          <w:sz w:val="24"/>
          <w:szCs w:val="24"/>
          <w:lang w:val="en-US"/>
        </w:rPr>
        <w:lastRenderedPageBreak/>
        <w:t xml:space="preserve">zero being omitted from all the municipal codes in Schedule 3 of the Bill and the Annexures and Appendixes to the Bill.  </w:t>
      </w:r>
    </w:p>
    <w:p w:rsidR="004F2AC9" w:rsidRPr="009B39E9" w:rsidRDefault="004F2AC9" w:rsidP="00751FDA">
      <w:pPr>
        <w:spacing w:after="0" w:line="360" w:lineRule="auto"/>
        <w:jc w:val="both"/>
        <w:rPr>
          <w:rFonts w:ascii="Times New Roman" w:hAnsi="Times New Roman"/>
          <w:color w:val="000000"/>
          <w:sz w:val="24"/>
          <w:szCs w:val="24"/>
          <w:lang w:eastAsia="en-ZA"/>
        </w:rPr>
      </w:pPr>
    </w:p>
    <w:p w:rsidR="00610834" w:rsidRPr="009B39E9" w:rsidRDefault="00610834" w:rsidP="00751FDA">
      <w:pPr>
        <w:spacing w:after="0" w:line="360" w:lineRule="auto"/>
        <w:rPr>
          <w:rFonts w:ascii="Times New Roman" w:hAnsi="Times New Roman"/>
          <w:b/>
          <w:sz w:val="24"/>
          <w:szCs w:val="24"/>
          <w:lang w:val="en-GB"/>
        </w:rPr>
      </w:pPr>
    </w:p>
    <w:p w:rsidR="00610834" w:rsidRPr="009B39E9" w:rsidRDefault="00610834" w:rsidP="00751FDA">
      <w:pPr>
        <w:pStyle w:val="ListParagraph"/>
        <w:spacing w:after="0" w:line="360" w:lineRule="auto"/>
        <w:ind w:left="284" w:hanging="284"/>
        <w:rPr>
          <w:rFonts w:ascii="Times New Roman" w:hAnsi="Times New Roman"/>
          <w:b/>
          <w:sz w:val="24"/>
          <w:szCs w:val="24"/>
        </w:rPr>
      </w:pPr>
      <w:r w:rsidRPr="009B39E9">
        <w:rPr>
          <w:rFonts w:ascii="Times New Roman" w:hAnsi="Times New Roman"/>
          <w:b/>
          <w:sz w:val="24"/>
          <w:szCs w:val="24"/>
        </w:rPr>
        <w:t>3.</w:t>
      </w:r>
      <w:r w:rsidRPr="009B39E9">
        <w:rPr>
          <w:rFonts w:ascii="Times New Roman" w:hAnsi="Times New Roman"/>
          <w:b/>
          <w:sz w:val="24"/>
          <w:szCs w:val="24"/>
        </w:rPr>
        <w:tab/>
        <w:t>Stakeholder</w:t>
      </w:r>
      <w:r w:rsidR="005B4507" w:rsidRPr="009B39E9">
        <w:rPr>
          <w:rFonts w:ascii="Times New Roman" w:hAnsi="Times New Roman"/>
          <w:b/>
          <w:sz w:val="24"/>
          <w:szCs w:val="24"/>
        </w:rPr>
        <w:t xml:space="preserve"> and Public</w:t>
      </w:r>
      <w:r w:rsidRPr="009B39E9">
        <w:rPr>
          <w:rFonts w:ascii="Times New Roman" w:hAnsi="Times New Roman"/>
          <w:b/>
          <w:sz w:val="24"/>
          <w:szCs w:val="24"/>
        </w:rPr>
        <w:t xml:space="preserve"> Inputs on the 201</w:t>
      </w:r>
      <w:r w:rsidR="00DC297C" w:rsidRPr="009B39E9">
        <w:rPr>
          <w:rFonts w:ascii="Times New Roman" w:hAnsi="Times New Roman"/>
          <w:b/>
          <w:sz w:val="24"/>
          <w:szCs w:val="24"/>
        </w:rPr>
        <w:t>7</w:t>
      </w:r>
      <w:r w:rsidRPr="009B39E9">
        <w:rPr>
          <w:rFonts w:ascii="Times New Roman" w:hAnsi="Times New Roman"/>
          <w:b/>
          <w:sz w:val="24"/>
          <w:szCs w:val="24"/>
        </w:rPr>
        <w:t xml:space="preserve"> Division of Revenue Bill</w:t>
      </w:r>
    </w:p>
    <w:p w:rsidR="00610834" w:rsidRPr="009B39E9" w:rsidRDefault="00610834" w:rsidP="00751FDA">
      <w:pPr>
        <w:spacing w:after="0" w:line="360" w:lineRule="auto"/>
        <w:jc w:val="both"/>
        <w:rPr>
          <w:rFonts w:ascii="Times New Roman" w:hAnsi="Times New Roman"/>
          <w:sz w:val="24"/>
          <w:szCs w:val="24"/>
          <w:lang w:val="en-US"/>
        </w:rPr>
      </w:pPr>
    </w:p>
    <w:p w:rsidR="00610834" w:rsidRPr="009B39E9" w:rsidRDefault="00610834" w:rsidP="00751FDA">
      <w:pPr>
        <w:spacing w:after="0" w:line="360" w:lineRule="auto"/>
        <w:jc w:val="both"/>
        <w:rPr>
          <w:rFonts w:ascii="Times New Roman" w:hAnsi="Times New Roman"/>
          <w:sz w:val="24"/>
          <w:szCs w:val="24"/>
          <w:lang w:val="en-US"/>
        </w:rPr>
      </w:pPr>
    </w:p>
    <w:p w:rsidR="00295BE7" w:rsidRPr="009B39E9" w:rsidRDefault="003A30A3" w:rsidP="00751FDA">
      <w:pPr>
        <w:tabs>
          <w:tab w:val="left" w:pos="284"/>
          <w:tab w:val="left" w:pos="567"/>
        </w:tabs>
        <w:spacing w:after="0" w:line="360" w:lineRule="auto"/>
        <w:jc w:val="both"/>
        <w:rPr>
          <w:rFonts w:ascii="Times New Roman" w:hAnsi="Times New Roman"/>
          <w:b/>
          <w:sz w:val="24"/>
          <w:szCs w:val="24"/>
          <w:lang w:val="en-US"/>
        </w:rPr>
      </w:pPr>
      <w:r w:rsidRPr="009B39E9">
        <w:rPr>
          <w:rFonts w:ascii="Times New Roman" w:hAnsi="Times New Roman"/>
          <w:b/>
          <w:sz w:val="24"/>
          <w:szCs w:val="24"/>
          <w:lang w:val="en-US"/>
        </w:rPr>
        <w:t>3.1</w:t>
      </w:r>
      <w:r w:rsidRPr="009B39E9">
        <w:rPr>
          <w:rFonts w:ascii="Times New Roman" w:hAnsi="Times New Roman"/>
          <w:b/>
          <w:sz w:val="24"/>
          <w:szCs w:val="24"/>
          <w:lang w:val="en-US"/>
        </w:rPr>
        <w:tab/>
        <w:t>Financial and Fiscal Commission</w:t>
      </w:r>
    </w:p>
    <w:p w:rsidR="00DE2240" w:rsidRPr="009B39E9" w:rsidRDefault="00DE2240" w:rsidP="00751FDA">
      <w:pPr>
        <w:tabs>
          <w:tab w:val="left" w:pos="284"/>
          <w:tab w:val="left" w:pos="567"/>
        </w:tabs>
        <w:spacing w:after="0" w:line="360" w:lineRule="auto"/>
        <w:jc w:val="both"/>
        <w:rPr>
          <w:rFonts w:ascii="Times New Roman" w:hAnsi="Times New Roman"/>
          <w:b/>
          <w:sz w:val="24"/>
          <w:szCs w:val="24"/>
          <w:lang w:val="en-US"/>
        </w:rPr>
      </w:pPr>
    </w:p>
    <w:p w:rsidR="00DE2240" w:rsidRPr="009B39E9" w:rsidRDefault="00A72795" w:rsidP="00751FDA">
      <w:pPr>
        <w:tabs>
          <w:tab w:val="left" w:pos="284"/>
          <w:tab w:val="left" w:pos="567"/>
        </w:tabs>
        <w:spacing w:after="0" w:line="360" w:lineRule="auto"/>
        <w:jc w:val="both"/>
        <w:rPr>
          <w:rFonts w:ascii="Times New Roman" w:hAnsi="Times New Roman"/>
          <w:b/>
          <w:sz w:val="24"/>
          <w:szCs w:val="24"/>
          <w:lang w:val="en-US"/>
        </w:rPr>
      </w:pPr>
      <w:r w:rsidRPr="009B39E9">
        <w:rPr>
          <w:rFonts w:ascii="Times New Roman" w:hAnsi="Times New Roman"/>
          <w:sz w:val="24"/>
          <w:szCs w:val="24"/>
          <w:lang w:val="en-US"/>
        </w:rPr>
        <w:t xml:space="preserve">The submission by the Financial and Fiscal Commission (the Commission) </w:t>
      </w:r>
      <w:r w:rsidR="006435B5" w:rsidRPr="009B39E9">
        <w:rPr>
          <w:rFonts w:ascii="Times New Roman" w:hAnsi="Times New Roman"/>
          <w:sz w:val="24"/>
          <w:szCs w:val="24"/>
          <w:lang w:val="en-US"/>
        </w:rPr>
        <w:t>acknow</w:t>
      </w:r>
      <w:r w:rsidRPr="009B39E9">
        <w:rPr>
          <w:rFonts w:ascii="Times New Roman" w:hAnsi="Times New Roman"/>
          <w:sz w:val="24"/>
          <w:szCs w:val="24"/>
          <w:lang w:val="en-US"/>
        </w:rPr>
        <w:t xml:space="preserve">ledged the economic background underlying </w:t>
      </w:r>
      <w:r w:rsidR="006435B5" w:rsidRPr="009B39E9">
        <w:rPr>
          <w:rFonts w:ascii="Times New Roman" w:hAnsi="Times New Roman"/>
          <w:sz w:val="24"/>
          <w:szCs w:val="24"/>
          <w:lang w:val="en-US"/>
        </w:rPr>
        <w:t>the budget and alluded to low growth</w:t>
      </w:r>
      <w:r w:rsidR="00F03930" w:rsidRPr="009B39E9">
        <w:rPr>
          <w:rFonts w:ascii="Times New Roman" w:hAnsi="Times New Roman"/>
          <w:sz w:val="24"/>
          <w:szCs w:val="24"/>
          <w:lang w:val="en-US"/>
        </w:rPr>
        <w:t xml:space="preserve"> below the National Development Plan target</w:t>
      </w:r>
      <w:r w:rsidR="00E4078B" w:rsidRPr="009B39E9">
        <w:rPr>
          <w:rFonts w:ascii="Times New Roman" w:hAnsi="Times New Roman"/>
          <w:sz w:val="24"/>
          <w:szCs w:val="24"/>
          <w:lang w:val="en-US"/>
        </w:rPr>
        <w:t xml:space="preserve"> which constrain</w:t>
      </w:r>
      <w:r w:rsidR="0099592A" w:rsidRPr="009B39E9">
        <w:rPr>
          <w:rFonts w:ascii="Times New Roman" w:hAnsi="Times New Roman"/>
          <w:sz w:val="24"/>
          <w:szCs w:val="24"/>
          <w:lang w:val="en-US"/>
        </w:rPr>
        <w:t>s</w:t>
      </w:r>
      <w:r w:rsidR="006435B5" w:rsidRPr="009B39E9">
        <w:rPr>
          <w:rFonts w:ascii="Times New Roman" w:hAnsi="Times New Roman"/>
          <w:sz w:val="24"/>
          <w:szCs w:val="24"/>
          <w:lang w:val="en-US"/>
        </w:rPr>
        <w:t xml:space="preserve"> government’s ability to address unemployment, inequality and poverty. The Commission highlighted that social and fiscal risks remain high and encouraged government’s efforts to exercise fiscal discipline and improve the composition and quality of spending. </w:t>
      </w:r>
    </w:p>
    <w:p w:rsidR="00E37192" w:rsidRPr="009B39E9" w:rsidRDefault="00E37192" w:rsidP="00751FDA">
      <w:pPr>
        <w:tabs>
          <w:tab w:val="left" w:pos="284"/>
          <w:tab w:val="left" w:pos="567"/>
        </w:tabs>
        <w:spacing w:after="0" w:line="360" w:lineRule="auto"/>
        <w:jc w:val="both"/>
        <w:rPr>
          <w:rFonts w:ascii="Times New Roman" w:hAnsi="Times New Roman"/>
          <w:b/>
          <w:sz w:val="24"/>
          <w:szCs w:val="24"/>
          <w:lang w:val="en-US"/>
        </w:rPr>
      </w:pPr>
    </w:p>
    <w:p w:rsidR="005456BD" w:rsidRPr="009B39E9" w:rsidRDefault="005456BD" w:rsidP="00751FDA">
      <w:pPr>
        <w:tabs>
          <w:tab w:val="left" w:pos="284"/>
          <w:tab w:val="left" w:pos="567"/>
        </w:tabs>
        <w:spacing w:after="0" w:line="360" w:lineRule="auto"/>
        <w:jc w:val="both"/>
        <w:rPr>
          <w:rFonts w:ascii="Times New Roman" w:hAnsi="Times New Roman"/>
          <w:sz w:val="24"/>
          <w:szCs w:val="24"/>
          <w:lang w:val="en-US"/>
        </w:rPr>
      </w:pPr>
      <w:r w:rsidRPr="009B39E9">
        <w:rPr>
          <w:rFonts w:ascii="Times New Roman" w:hAnsi="Times New Roman"/>
          <w:sz w:val="24"/>
          <w:szCs w:val="24"/>
          <w:lang w:val="en-US"/>
        </w:rPr>
        <w:t xml:space="preserve">The Commission noted the revisions in Clauses 21(1), (2) and (4) </w:t>
      </w:r>
      <w:r w:rsidR="00E91517" w:rsidRPr="009B39E9">
        <w:rPr>
          <w:rFonts w:ascii="Times New Roman" w:hAnsi="Times New Roman"/>
          <w:sz w:val="24"/>
          <w:szCs w:val="24"/>
          <w:lang w:val="en-US"/>
        </w:rPr>
        <w:t xml:space="preserve">of the Bill </w:t>
      </w:r>
      <w:r w:rsidRPr="009B39E9">
        <w:rPr>
          <w:rFonts w:ascii="Times New Roman" w:hAnsi="Times New Roman"/>
          <w:sz w:val="24"/>
          <w:szCs w:val="24"/>
          <w:lang w:val="en-US"/>
        </w:rPr>
        <w:t xml:space="preserve">on the in-year conversion of allocations and acknowledged that this aims to reduce inefficiencies in </w:t>
      </w:r>
      <w:r w:rsidR="00956720" w:rsidRPr="009B39E9">
        <w:rPr>
          <w:rFonts w:ascii="Times New Roman" w:hAnsi="Times New Roman"/>
          <w:sz w:val="24"/>
          <w:szCs w:val="24"/>
          <w:lang w:val="en-US"/>
        </w:rPr>
        <w:t>the management of</w:t>
      </w:r>
      <w:r w:rsidRPr="009B39E9">
        <w:rPr>
          <w:rFonts w:ascii="Times New Roman" w:hAnsi="Times New Roman"/>
          <w:sz w:val="24"/>
          <w:szCs w:val="24"/>
          <w:lang w:val="en-US"/>
        </w:rPr>
        <w:t xml:space="preserve"> conditional grants. However,</w:t>
      </w:r>
      <w:r w:rsidR="00CF3F25" w:rsidRPr="009B39E9">
        <w:rPr>
          <w:rFonts w:ascii="Times New Roman" w:hAnsi="Times New Roman"/>
          <w:sz w:val="24"/>
          <w:szCs w:val="24"/>
          <w:lang w:val="en-US"/>
        </w:rPr>
        <w:t xml:space="preserve"> the Commission was </w:t>
      </w:r>
      <w:r w:rsidR="00956720" w:rsidRPr="009B39E9">
        <w:rPr>
          <w:rFonts w:ascii="Times New Roman" w:hAnsi="Times New Roman"/>
          <w:sz w:val="24"/>
          <w:szCs w:val="24"/>
          <w:lang w:val="en-US"/>
        </w:rPr>
        <w:t>concerned</w:t>
      </w:r>
      <w:r w:rsidR="00CF3F25" w:rsidRPr="009B39E9">
        <w:rPr>
          <w:rFonts w:ascii="Times New Roman" w:hAnsi="Times New Roman"/>
          <w:sz w:val="24"/>
          <w:szCs w:val="24"/>
          <w:lang w:val="en-US"/>
        </w:rPr>
        <w:t xml:space="preserve"> that the definition of thresholds for conditions under which </w:t>
      </w:r>
      <w:r w:rsidR="00956720" w:rsidRPr="009B39E9">
        <w:rPr>
          <w:rFonts w:ascii="Times New Roman" w:hAnsi="Times New Roman"/>
          <w:sz w:val="24"/>
          <w:szCs w:val="24"/>
          <w:lang w:val="en-US"/>
        </w:rPr>
        <w:t xml:space="preserve">direct grants are converted to </w:t>
      </w:r>
      <w:r w:rsidR="00CF3F25" w:rsidRPr="009B39E9">
        <w:rPr>
          <w:rFonts w:ascii="Times New Roman" w:hAnsi="Times New Roman"/>
          <w:sz w:val="24"/>
          <w:szCs w:val="24"/>
          <w:lang w:val="en-US"/>
        </w:rPr>
        <w:t>indirect grants is not clear</w:t>
      </w:r>
      <w:r w:rsidRPr="009B39E9">
        <w:rPr>
          <w:rFonts w:ascii="Times New Roman" w:hAnsi="Times New Roman"/>
          <w:sz w:val="24"/>
          <w:szCs w:val="24"/>
          <w:lang w:val="en-US"/>
        </w:rPr>
        <w:t xml:space="preserve"> </w:t>
      </w:r>
      <w:r w:rsidR="00CF3F25" w:rsidRPr="009B39E9">
        <w:rPr>
          <w:rFonts w:ascii="Times New Roman" w:hAnsi="Times New Roman"/>
          <w:sz w:val="24"/>
          <w:szCs w:val="24"/>
          <w:lang w:val="en-US"/>
        </w:rPr>
        <w:t xml:space="preserve">and may lead to partiality. The Commission </w:t>
      </w:r>
      <w:r w:rsidR="00956720" w:rsidRPr="009B39E9">
        <w:rPr>
          <w:rFonts w:ascii="Times New Roman" w:hAnsi="Times New Roman"/>
          <w:sz w:val="24"/>
          <w:szCs w:val="24"/>
          <w:lang w:val="en-US"/>
        </w:rPr>
        <w:t>was of the view that the use of indirect grants may have an unintended negative impact on the repairs and maintenance of infrastructure due to national departments delivering infrastructure on behalf of municipalities.</w:t>
      </w:r>
      <w:r w:rsidR="00F03930" w:rsidRPr="009B39E9">
        <w:rPr>
          <w:rFonts w:ascii="Times New Roman" w:hAnsi="Times New Roman"/>
          <w:sz w:val="24"/>
          <w:szCs w:val="24"/>
          <w:lang w:val="en-US"/>
        </w:rPr>
        <w:t xml:space="preserve"> National departments were encouraged to strengthen oversight and monitoring mechanisms instead of relying on indirect grants. </w:t>
      </w:r>
    </w:p>
    <w:p w:rsidR="00F03930" w:rsidRPr="009B39E9" w:rsidRDefault="00F03930" w:rsidP="00751FDA">
      <w:pPr>
        <w:tabs>
          <w:tab w:val="left" w:pos="284"/>
          <w:tab w:val="left" w:pos="567"/>
        </w:tabs>
        <w:spacing w:after="0" w:line="360" w:lineRule="auto"/>
        <w:jc w:val="both"/>
        <w:rPr>
          <w:rFonts w:ascii="Times New Roman" w:hAnsi="Times New Roman"/>
          <w:sz w:val="24"/>
          <w:szCs w:val="24"/>
          <w:lang w:val="en-US"/>
        </w:rPr>
      </w:pPr>
    </w:p>
    <w:p w:rsidR="00F03930" w:rsidRPr="009B39E9" w:rsidRDefault="00F03930" w:rsidP="00751FDA">
      <w:pPr>
        <w:tabs>
          <w:tab w:val="left" w:pos="284"/>
          <w:tab w:val="left" w:pos="567"/>
        </w:tabs>
        <w:spacing w:after="0" w:line="360" w:lineRule="auto"/>
        <w:jc w:val="both"/>
        <w:rPr>
          <w:rFonts w:ascii="Times New Roman" w:hAnsi="Times New Roman"/>
          <w:sz w:val="24"/>
          <w:szCs w:val="24"/>
          <w:lang w:val="en-US"/>
        </w:rPr>
      </w:pPr>
      <w:r w:rsidRPr="009B39E9">
        <w:rPr>
          <w:rFonts w:ascii="Times New Roman" w:hAnsi="Times New Roman"/>
          <w:sz w:val="24"/>
          <w:szCs w:val="24"/>
          <w:lang w:val="en-US"/>
        </w:rPr>
        <w:t xml:space="preserve">The Commission welcomed the removal of a sub-section under Clause 27(2)(d) and the addition of clause 35(5) and (6) to improve grant administration by allowing transferring officers to delegate powers and responsibilities subject to the same constraints allowed for the National Treasury and provincial treasuries. The Commission was of the view that this will prevent inconsistencies and accountability </w:t>
      </w:r>
      <w:r w:rsidRPr="009B39E9">
        <w:rPr>
          <w:rFonts w:ascii="Times New Roman" w:hAnsi="Times New Roman"/>
          <w:sz w:val="24"/>
          <w:szCs w:val="24"/>
          <w:lang w:val="en-US"/>
        </w:rPr>
        <w:lastRenderedPageBreak/>
        <w:t>problems. The Commission also welcomed an addition to Clause 23(2)(b) which provides for the correction of under-payments to municipalitie</w:t>
      </w:r>
      <w:r w:rsidR="00E91517" w:rsidRPr="009B39E9">
        <w:rPr>
          <w:rFonts w:ascii="Times New Roman" w:hAnsi="Times New Roman"/>
          <w:sz w:val="24"/>
          <w:szCs w:val="24"/>
          <w:lang w:val="en-US"/>
        </w:rPr>
        <w:t xml:space="preserve">s within ten days thus preventing disruptions in service delivery. </w:t>
      </w:r>
      <w:r w:rsidRPr="009B39E9">
        <w:rPr>
          <w:rFonts w:ascii="Times New Roman" w:hAnsi="Times New Roman"/>
          <w:sz w:val="24"/>
          <w:szCs w:val="24"/>
          <w:lang w:val="en-US"/>
        </w:rPr>
        <w:t xml:space="preserve"> </w:t>
      </w:r>
    </w:p>
    <w:p w:rsidR="00E37192" w:rsidRPr="009B39E9" w:rsidRDefault="00E37192" w:rsidP="00751FDA">
      <w:pPr>
        <w:tabs>
          <w:tab w:val="left" w:pos="284"/>
          <w:tab w:val="left" w:pos="567"/>
        </w:tabs>
        <w:spacing w:after="0" w:line="360" w:lineRule="auto"/>
        <w:jc w:val="both"/>
        <w:rPr>
          <w:rFonts w:ascii="Times New Roman" w:hAnsi="Times New Roman"/>
          <w:b/>
          <w:sz w:val="24"/>
          <w:szCs w:val="24"/>
          <w:lang w:val="en-US"/>
        </w:rPr>
      </w:pPr>
    </w:p>
    <w:p w:rsidR="00E37192" w:rsidRPr="009B39E9" w:rsidRDefault="00E91517" w:rsidP="00751FDA">
      <w:pPr>
        <w:tabs>
          <w:tab w:val="left" w:pos="284"/>
          <w:tab w:val="left" w:pos="567"/>
        </w:tabs>
        <w:spacing w:after="0" w:line="360" w:lineRule="auto"/>
        <w:jc w:val="both"/>
        <w:rPr>
          <w:rFonts w:ascii="Times New Roman" w:hAnsi="Times New Roman"/>
          <w:sz w:val="24"/>
          <w:szCs w:val="24"/>
          <w:lang w:val="en-US"/>
        </w:rPr>
      </w:pPr>
      <w:r w:rsidRPr="009B39E9">
        <w:rPr>
          <w:rFonts w:ascii="Times New Roman" w:hAnsi="Times New Roman"/>
          <w:sz w:val="24"/>
          <w:szCs w:val="24"/>
          <w:lang w:val="en-US"/>
        </w:rPr>
        <w:t xml:space="preserve">With regard to the division of revenue at national level, the Commission noted the </w:t>
      </w:r>
      <w:r w:rsidR="00751FDA">
        <w:rPr>
          <w:rFonts w:ascii="Times New Roman" w:hAnsi="Times New Roman"/>
          <w:sz w:val="24"/>
          <w:szCs w:val="24"/>
          <w:lang w:val="en-US"/>
        </w:rPr>
        <w:br/>
      </w:r>
      <w:r w:rsidRPr="009B39E9">
        <w:rPr>
          <w:rFonts w:ascii="Times New Roman" w:hAnsi="Times New Roman"/>
          <w:sz w:val="24"/>
          <w:szCs w:val="24"/>
          <w:lang w:val="en-US"/>
        </w:rPr>
        <w:t xml:space="preserve">R5 billion </w:t>
      </w:r>
      <w:r w:rsidR="00C54D49" w:rsidRPr="009B39E9">
        <w:rPr>
          <w:rFonts w:ascii="Times New Roman" w:hAnsi="Times New Roman"/>
          <w:sz w:val="24"/>
          <w:szCs w:val="24"/>
          <w:lang w:val="en-US"/>
        </w:rPr>
        <w:t xml:space="preserve">proposed </w:t>
      </w:r>
      <w:r w:rsidRPr="009B39E9">
        <w:rPr>
          <w:rFonts w:ascii="Times New Roman" w:hAnsi="Times New Roman"/>
          <w:sz w:val="24"/>
          <w:szCs w:val="24"/>
          <w:lang w:val="en-US"/>
        </w:rPr>
        <w:t xml:space="preserve">increase in </w:t>
      </w:r>
      <w:r w:rsidR="00C54D49" w:rsidRPr="009B39E9">
        <w:rPr>
          <w:rFonts w:ascii="Times New Roman" w:hAnsi="Times New Roman"/>
          <w:sz w:val="24"/>
          <w:szCs w:val="24"/>
          <w:lang w:val="en-US"/>
        </w:rPr>
        <w:t xml:space="preserve">the MTEF outer year </w:t>
      </w:r>
      <w:r w:rsidRPr="009B39E9">
        <w:rPr>
          <w:rFonts w:ascii="Times New Roman" w:hAnsi="Times New Roman"/>
          <w:sz w:val="24"/>
          <w:szCs w:val="24"/>
          <w:lang w:val="en-US"/>
        </w:rPr>
        <w:t xml:space="preserve">for higher education and also welcomed the pilot project for a mixed funding scheme to accommodate the missing middle. The Commission </w:t>
      </w:r>
      <w:r w:rsidR="00203CB1" w:rsidRPr="009B39E9">
        <w:rPr>
          <w:rFonts w:ascii="Times New Roman" w:hAnsi="Times New Roman"/>
          <w:sz w:val="24"/>
          <w:szCs w:val="24"/>
          <w:lang w:val="en-US"/>
        </w:rPr>
        <w:t>welcomed the</w:t>
      </w:r>
      <w:r w:rsidRPr="009B39E9">
        <w:rPr>
          <w:rFonts w:ascii="Times New Roman" w:hAnsi="Times New Roman"/>
          <w:sz w:val="24"/>
          <w:szCs w:val="24"/>
          <w:lang w:val="en-US"/>
        </w:rPr>
        <w:t xml:space="preserve"> sustained spending on infrastructure and the introduction of the new infrastructure budgeting facility which aims to address planning and execution challenges which undermine the effectiveness of infrastructure projects. </w:t>
      </w:r>
      <w:r w:rsidR="00203CB1" w:rsidRPr="009B39E9">
        <w:rPr>
          <w:rFonts w:ascii="Times New Roman" w:hAnsi="Times New Roman"/>
          <w:sz w:val="24"/>
          <w:szCs w:val="24"/>
          <w:lang w:val="en-US"/>
        </w:rPr>
        <w:t xml:space="preserve">It was of the view that the facility should be extended to infrastructure projects undertaken by local government and </w:t>
      </w:r>
      <w:r w:rsidR="00E4078B" w:rsidRPr="009B39E9">
        <w:rPr>
          <w:rFonts w:ascii="Times New Roman" w:hAnsi="Times New Roman"/>
          <w:sz w:val="24"/>
          <w:szCs w:val="24"/>
          <w:lang w:val="en-US"/>
        </w:rPr>
        <w:t xml:space="preserve">also </w:t>
      </w:r>
      <w:r w:rsidR="00203CB1" w:rsidRPr="009B39E9">
        <w:rPr>
          <w:rFonts w:ascii="Times New Roman" w:hAnsi="Times New Roman"/>
          <w:sz w:val="24"/>
          <w:szCs w:val="24"/>
          <w:lang w:val="en-US"/>
        </w:rPr>
        <w:t xml:space="preserve">aligned with the existing sub-national planning and co-ordination processes. </w:t>
      </w:r>
      <w:r w:rsidRPr="009B39E9">
        <w:rPr>
          <w:rFonts w:ascii="Times New Roman" w:hAnsi="Times New Roman"/>
          <w:sz w:val="24"/>
          <w:szCs w:val="24"/>
          <w:lang w:val="en-US"/>
        </w:rPr>
        <w:t xml:space="preserve">It was highlighted that infrastructure investment is mainly driven by State Owned Entities with a share of 45 per cent whilst provinces and municipalities account for 20 per cent and 18 per cent respectively. </w:t>
      </w:r>
    </w:p>
    <w:p w:rsidR="00203CB1" w:rsidRPr="009B39E9" w:rsidRDefault="00203CB1" w:rsidP="00751FDA">
      <w:pPr>
        <w:tabs>
          <w:tab w:val="left" w:pos="284"/>
          <w:tab w:val="left" w:pos="567"/>
        </w:tabs>
        <w:spacing w:after="0" w:line="360" w:lineRule="auto"/>
        <w:jc w:val="both"/>
        <w:rPr>
          <w:rFonts w:ascii="Times New Roman" w:hAnsi="Times New Roman"/>
          <w:sz w:val="24"/>
          <w:szCs w:val="24"/>
          <w:lang w:val="en-US"/>
        </w:rPr>
      </w:pPr>
    </w:p>
    <w:p w:rsidR="00203CB1" w:rsidRPr="009B39E9" w:rsidRDefault="00203CB1" w:rsidP="00751FDA">
      <w:pPr>
        <w:tabs>
          <w:tab w:val="left" w:pos="284"/>
          <w:tab w:val="left" w:pos="567"/>
        </w:tabs>
        <w:spacing w:after="0" w:line="360" w:lineRule="auto"/>
        <w:jc w:val="both"/>
        <w:rPr>
          <w:rFonts w:ascii="Times New Roman" w:hAnsi="Times New Roman"/>
          <w:sz w:val="24"/>
          <w:szCs w:val="24"/>
          <w:lang w:val="en-US"/>
        </w:rPr>
      </w:pPr>
      <w:r w:rsidRPr="009B39E9">
        <w:rPr>
          <w:rFonts w:ascii="Times New Roman" w:hAnsi="Times New Roman"/>
          <w:sz w:val="24"/>
          <w:szCs w:val="24"/>
          <w:lang w:val="en-US"/>
        </w:rPr>
        <w:t>The Commission welcomed th</w:t>
      </w:r>
      <w:r w:rsidR="001D6979" w:rsidRPr="009B39E9">
        <w:rPr>
          <w:rFonts w:ascii="Times New Roman" w:hAnsi="Times New Roman"/>
          <w:sz w:val="24"/>
          <w:szCs w:val="24"/>
          <w:lang w:val="en-US"/>
        </w:rPr>
        <w:t>e</w:t>
      </w:r>
      <w:r w:rsidRPr="009B39E9">
        <w:rPr>
          <w:rFonts w:ascii="Times New Roman" w:hAnsi="Times New Roman"/>
          <w:sz w:val="24"/>
          <w:szCs w:val="24"/>
          <w:lang w:val="en-US"/>
        </w:rPr>
        <w:t xml:space="preserve"> </w:t>
      </w:r>
      <w:r w:rsidR="001D6979" w:rsidRPr="009B39E9">
        <w:rPr>
          <w:rFonts w:ascii="Times New Roman" w:hAnsi="Times New Roman"/>
          <w:sz w:val="24"/>
          <w:szCs w:val="24"/>
          <w:lang w:val="en-US"/>
        </w:rPr>
        <w:t xml:space="preserve">fact that </w:t>
      </w:r>
      <w:r w:rsidRPr="009B39E9">
        <w:rPr>
          <w:rFonts w:ascii="Times New Roman" w:hAnsi="Times New Roman"/>
          <w:sz w:val="24"/>
          <w:szCs w:val="24"/>
          <w:lang w:val="en-US"/>
        </w:rPr>
        <w:t>there were no total baseline adjustments to the provincial fiscal framework and noted that the provincial equitable share</w:t>
      </w:r>
      <w:r w:rsidR="0059328E" w:rsidRPr="009B39E9">
        <w:rPr>
          <w:rFonts w:ascii="Times New Roman" w:hAnsi="Times New Roman"/>
          <w:sz w:val="24"/>
          <w:szCs w:val="24"/>
          <w:lang w:val="en-US"/>
        </w:rPr>
        <w:t xml:space="preserve"> (PES)</w:t>
      </w:r>
      <w:r w:rsidRPr="009B39E9">
        <w:rPr>
          <w:rFonts w:ascii="Times New Roman" w:hAnsi="Times New Roman"/>
          <w:sz w:val="24"/>
          <w:szCs w:val="24"/>
          <w:lang w:val="en-US"/>
        </w:rPr>
        <w:t xml:space="preserve"> and conditional grants are expected to grow on average above the rate of inflation over the </w:t>
      </w:r>
      <w:r w:rsidR="00AE520B" w:rsidRPr="009B39E9">
        <w:rPr>
          <w:rFonts w:ascii="Times New Roman" w:hAnsi="Times New Roman"/>
          <w:sz w:val="24"/>
          <w:szCs w:val="24"/>
          <w:lang w:val="en-US"/>
        </w:rPr>
        <w:t>2017 M</w:t>
      </w:r>
      <w:r w:rsidRPr="009B39E9">
        <w:rPr>
          <w:rFonts w:ascii="Times New Roman" w:hAnsi="Times New Roman"/>
          <w:sz w:val="24"/>
          <w:szCs w:val="24"/>
          <w:lang w:val="en-US"/>
        </w:rPr>
        <w:t xml:space="preserve">TEF. The Commission indicated that </w:t>
      </w:r>
      <w:r w:rsidR="00AE520B" w:rsidRPr="009B39E9">
        <w:rPr>
          <w:rFonts w:ascii="Times New Roman" w:hAnsi="Times New Roman"/>
          <w:sz w:val="24"/>
          <w:szCs w:val="24"/>
          <w:lang w:val="en-US"/>
        </w:rPr>
        <w:t>al</w:t>
      </w:r>
      <w:r w:rsidRPr="009B39E9">
        <w:rPr>
          <w:rFonts w:ascii="Times New Roman" w:hAnsi="Times New Roman"/>
          <w:sz w:val="24"/>
          <w:szCs w:val="24"/>
          <w:lang w:val="en-US"/>
        </w:rPr>
        <w:t>though the real growth in PES and conditional grants was insufficient to address backlogs in education and health</w:t>
      </w:r>
      <w:r w:rsidR="00AE520B" w:rsidRPr="009B39E9">
        <w:rPr>
          <w:rFonts w:ascii="Times New Roman" w:hAnsi="Times New Roman"/>
          <w:sz w:val="24"/>
          <w:szCs w:val="24"/>
          <w:lang w:val="en-US"/>
        </w:rPr>
        <w:t xml:space="preserve">, </w:t>
      </w:r>
      <w:r w:rsidRPr="009B39E9">
        <w:rPr>
          <w:rFonts w:ascii="Times New Roman" w:hAnsi="Times New Roman"/>
          <w:sz w:val="24"/>
          <w:szCs w:val="24"/>
          <w:lang w:val="en-US"/>
        </w:rPr>
        <w:t xml:space="preserve">provinces should still be able to marginally expand the delivery of constitutionally mandated basic services. </w:t>
      </w:r>
      <w:r w:rsidR="0059328E" w:rsidRPr="009B39E9">
        <w:rPr>
          <w:rFonts w:ascii="Times New Roman" w:hAnsi="Times New Roman"/>
          <w:sz w:val="24"/>
          <w:szCs w:val="24"/>
          <w:lang w:val="en-US"/>
        </w:rPr>
        <w:t xml:space="preserve">The Commission welcomed the stabilisation of the provincial wage bill and </w:t>
      </w:r>
      <w:r w:rsidR="001D6979" w:rsidRPr="009B39E9">
        <w:rPr>
          <w:rFonts w:ascii="Times New Roman" w:hAnsi="Times New Roman"/>
          <w:sz w:val="24"/>
          <w:szCs w:val="24"/>
          <w:lang w:val="en-US"/>
        </w:rPr>
        <w:t xml:space="preserve">felt that there is a </w:t>
      </w:r>
      <w:r w:rsidR="0059328E" w:rsidRPr="009B39E9">
        <w:rPr>
          <w:rFonts w:ascii="Times New Roman" w:hAnsi="Times New Roman"/>
          <w:sz w:val="24"/>
          <w:szCs w:val="24"/>
          <w:lang w:val="en-US"/>
        </w:rPr>
        <w:t xml:space="preserve">need for linkages between wage increases and productivity through a framework for measuring public sector productivity. The Commission also welcomed the review of the PES formula which is expected to cover the funding burden of poorer schools, assessment of data reliability and the cost of service provision. </w:t>
      </w:r>
    </w:p>
    <w:p w:rsidR="00B12423" w:rsidRPr="009B39E9" w:rsidRDefault="00B12423" w:rsidP="00751FDA">
      <w:pPr>
        <w:tabs>
          <w:tab w:val="left" w:pos="284"/>
          <w:tab w:val="left" w:pos="567"/>
        </w:tabs>
        <w:spacing w:after="0" w:line="360" w:lineRule="auto"/>
        <w:jc w:val="both"/>
        <w:rPr>
          <w:rFonts w:ascii="Times New Roman" w:hAnsi="Times New Roman"/>
          <w:sz w:val="24"/>
          <w:szCs w:val="24"/>
          <w:lang w:val="en-US"/>
        </w:rPr>
      </w:pPr>
    </w:p>
    <w:p w:rsidR="0059328E" w:rsidRPr="009B39E9" w:rsidRDefault="00B12423" w:rsidP="00751FDA">
      <w:pPr>
        <w:tabs>
          <w:tab w:val="left" w:pos="284"/>
          <w:tab w:val="left" w:pos="567"/>
        </w:tabs>
        <w:spacing w:after="0" w:line="360" w:lineRule="auto"/>
        <w:jc w:val="both"/>
        <w:rPr>
          <w:rFonts w:ascii="Times New Roman" w:hAnsi="Times New Roman"/>
          <w:sz w:val="24"/>
          <w:szCs w:val="24"/>
          <w:lang w:val="en-US"/>
        </w:rPr>
      </w:pPr>
      <w:r w:rsidRPr="009B39E9">
        <w:rPr>
          <w:rFonts w:ascii="Times New Roman" w:hAnsi="Times New Roman"/>
          <w:sz w:val="24"/>
          <w:szCs w:val="24"/>
          <w:lang w:val="en-US"/>
        </w:rPr>
        <w:t xml:space="preserve">The Commission welcomed the strong growth in the local equitable share (LES) and </w:t>
      </w:r>
      <w:r w:rsidR="00D6078F" w:rsidRPr="009B39E9">
        <w:rPr>
          <w:rFonts w:ascii="Times New Roman" w:hAnsi="Times New Roman"/>
          <w:sz w:val="24"/>
          <w:szCs w:val="24"/>
          <w:lang w:val="en-US"/>
        </w:rPr>
        <w:t xml:space="preserve">in particular the addition for offsetting the increasing costs of basic services. The Commission </w:t>
      </w:r>
      <w:r w:rsidRPr="009B39E9">
        <w:rPr>
          <w:rFonts w:ascii="Times New Roman" w:hAnsi="Times New Roman"/>
          <w:sz w:val="24"/>
          <w:szCs w:val="24"/>
          <w:lang w:val="en-US"/>
        </w:rPr>
        <w:t xml:space="preserve">viewed the effective spending of the LES as having significant </w:t>
      </w:r>
      <w:r w:rsidRPr="009B39E9">
        <w:rPr>
          <w:rFonts w:ascii="Times New Roman" w:hAnsi="Times New Roman"/>
          <w:sz w:val="24"/>
          <w:szCs w:val="24"/>
          <w:lang w:val="en-US"/>
        </w:rPr>
        <w:lastRenderedPageBreak/>
        <w:t xml:space="preserve">redistributive effects in terms of service delivery to the poor. </w:t>
      </w:r>
      <w:r w:rsidR="00586321" w:rsidRPr="009B39E9">
        <w:rPr>
          <w:rFonts w:ascii="Times New Roman" w:hAnsi="Times New Roman"/>
          <w:sz w:val="24"/>
          <w:szCs w:val="24"/>
          <w:lang w:val="en-US"/>
        </w:rPr>
        <w:t xml:space="preserve">The Commission emphasised that municipalities can be compensated for the rising costs of basic service only if the true cost of municipal operating and maintenance services is used and reference was made to a model on true costs of basic services developed jointly with the South African Local Government Association. The Commission also welcomed the recognition of discrepancies in the funding of </w:t>
      </w:r>
      <w:r w:rsidR="004362BF" w:rsidRPr="009B39E9">
        <w:rPr>
          <w:rFonts w:ascii="Times New Roman" w:hAnsi="Times New Roman"/>
          <w:sz w:val="24"/>
          <w:szCs w:val="24"/>
          <w:lang w:val="en-US"/>
        </w:rPr>
        <w:t>D</w:t>
      </w:r>
      <w:r w:rsidR="00586321" w:rsidRPr="009B39E9">
        <w:rPr>
          <w:rFonts w:ascii="Times New Roman" w:hAnsi="Times New Roman"/>
          <w:sz w:val="24"/>
          <w:szCs w:val="24"/>
          <w:lang w:val="en-US"/>
        </w:rPr>
        <w:t xml:space="preserve">istrict </w:t>
      </w:r>
      <w:r w:rsidR="004362BF" w:rsidRPr="009B39E9">
        <w:rPr>
          <w:rFonts w:ascii="Times New Roman" w:hAnsi="Times New Roman"/>
          <w:sz w:val="24"/>
          <w:szCs w:val="24"/>
          <w:lang w:val="en-US"/>
        </w:rPr>
        <w:t>M</w:t>
      </w:r>
      <w:r w:rsidR="00586321" w:rsidRPr="009B39E9">
        <w:rPr>
          <w:rFonts w:ascii="Times New Roman" w:hAnsi="Times New Roman"/>
          <w:sz w:val="24"/>
          <w:szCs w:val="24"/>
          <w:lang w:val="en-US"/>
        </w:rPr>
        <w:t>unicipalities (DMs) and the interim measures for relieving funding bottlenecks faced by 13 DMs.</w:t>
      </w:r>
      <w:r w:rsidR="00392391" w:rsidRPr="009B39E9">
        <w:rPr>
          <w:rFonts w:ascii="Times New Roman" w:hAnsi="Times New Roman"/>
          <w:sz w:val="24"/>
          <w:szCs w:val="24"/>
          <w:lang w:val="en-US"/>
        </w:rPr>
        <w:t xml:space="preserve"> The Commission was of the view that a long term sustainable funding model for DMs should be found and that this model should be based on a clear identification of the powers and functions of the DMs. </w:t>
      </w:r>
    </w:p>
    <w:p w:rsidR="00392391" w:rsidRPr="009B39E9" w:rsidRDefault="00392391" w:rsidP="00751FDA">
      <w:pPr>
        <w:tabs>
          <w:tab w:val="left" w:pos="284"/>
          <w:tab w:val="left" w:pos="567"/>
        </w:tabs>
        <w:spacing w:after="0" w:line="360" w:lineRule="auto"/>
        <w:jc w:val="both"/>
        <w:rPr>
          <w:rFonts w:ascii="Times New Roman" w:hAnsi="Times New Roman"/>
          <w:sz w:val="24"/>
          <w:szCs w:val="24"/>
          <w:lang w:val="en-US"/>
        </w:rPr>
      </w:pPr>
    </w:p>
    <w:p w:rsidR="00392391" w:rsidRPr="009B39E9" w:rsidRDefault="00392391" w:rsidP="00751FDA">
      <w:pPr>
        <w:tabs>
          <w:tab w:val="left" w:pos="284"/>
          <w:tab w:val="left" w:pos="567"/>
        </w:tabs>
        <w:spacing w:after="0" w:line="360" w:lineRule="auto"/>
        <w:jc w:val="both"/>
        <w:rPr>
          <w:rFonts w:ascii="Times New Roman" w:hAnsi="Times New Roman"/>
          <w:sz w:val="24"/>
          <w:szCs w:val="24"/>
          <w:lang w:val="en-US"/>
        </w:rPr>
      </w:pPr>
      <w:r w:rsidRPr="009B39E9">
        <w:rPr>
          <w:rFonts w:ascii="Times New Roman" w:hAnsi="Times New Roman"/>
          <w:sz w:val="24"/>
          <w:szCs w:val="24"/>
          <w:lang w:val="en-US"/>
        </w:rPr>
        <w:t>In terms of provincial conditional grants, the Commission noted with concern the reduction in the baseline of the Human Settle</w:t>
      </w:r>
      <w:r w:rsidR="00D06312" w:rsidRPr="009B39E9">
        <w:rPr>
          <w:rFonts w:ascii="Times New Roman" w:hAnsi="Times New Roman"/>
          <w:sz w:val="24"/>
          <w:szCs w:val="24"/>
          <w:lang w:val="en-US"/>
        </w:rPr>
        <w:t>ments Development</w:t>
      </w:r>
      <w:r w:rsidR="007547CF" w:rsidRPr="009B39E9">
        <w:rPr>
          <w:rFonts w:ascii="Times New Roman" w:hAnsi="Times New Roman"/>
          <w:sz w:val="24"/>
          <w:szCs w:val="24"/>
          <w:lang w:val="en-US"/>
        </w:rPr>
        <w:t xml:space="preserve"> grant</w:t>
      </w:r>
      <w:r w:rsidR="00D06312" w:rsidRPr="009B39E9">
        <w:rPr>
          <w:rFonts w:ascii="Times New Roman" w:hAnsi="Times New Roman"/>
          <w:sz w:val="24"/>
          <w:szCs w:val="24"/>
          <w:lang w:val="en-US"/>
        </w:rPr>
        <w:t xml:space="preserve"> </w:t>
      </w:r>
      <w:r w:rsidRPr="009B39E9">
        <w:rPr>
          <w:rFonts w:ascii="Times New Roman" w:hAnsi="Times New Roman"/>
          <w:sz w:val="24"/>
          <w:szCs w:val="24"/>
          <w:lang w:val="en-US"/>
        </w:rPr>
        <w:t xml:space="preserve">and was of the view that this would negatively affect the performance of the sector in terms of housing units delivered and thus widen the gap between housing needs and delivery in the affordable housing market. </w:t>
      </w:r>
      <w:r w:rsidR="00D06312" w:rsidRPr="009B39E9">
        <w:rPr>
          <w:rFonts w:ascii="Times New Roman" w:hAnsi="Times New Roman"/>
          <w:sz w:val="24"/>
          <w:szCs w:val="24"/>
          <w:lang w:val="en-US"/>
        </w:rPr>
        <w:t>With regard to the R3.6 billion ring-fenced for upgrading informal settlements in mining</w:t>
      </w:r>
      <w:r w:rsidR="0005326B" w:rsidRPr="009B39E9">
        <w:rPr>
          <w:rFonts w:ascii="Times New Roman" w:hAnsi="Times New Roman"/>
          <w:sz w:val="24"/>
          <w:szCs w:val="24"/>
          <w:lang w:val="en-US"/>
        </w:rPr>
        <w:t xml:space="preserve"> </w:t>
      </w:r>
      <w:r w:rsidR="00D06312" w:rsidRPr="009B39E9">
        <w:rPr>
          <w:rFonts w:ascii="Times New Roman" w:hAnsi="Times New Roman"/>
          <w:sz w:val="24"/>
          <w:szCs w:val="24"/>
          <w:lang w:val="en-US"/>
        </w:rPr>
        <w:t>tow</w:t>
      </w:r>
      <w:r w:rsidR="0005326B" w:rsidRPr="009B39E9">
        <w:rPr>
          <w:rFonts w:ascii="Times New Roman" w:hAnsi="Times New Roman"/>
          <w:sz w:val="24"/>
          <w:szCs w:val="24"/>
          <w:lang w:val="en-US"/>
        </w:rPr>
        <w:t>n</w:t>
      </w:r>
      <w:r w:rsidR="00D06312" w:rsidRPr="009B39E9">
        <w:rPr>
          <w:rFonts w:ascii="Times New Roman" w:hAnsi="Times New Roman"/>
          <w:sz w:val="24"/>
          <w:szCs w:val="24"/>
          <w:lang w:val="en-US"/>
        </w:rPr>
        <w:t xml:space="preserve">s, the Commission re-iterated its recommendation for a rental tenure option or a balanced mix given that mining areas comprise mainly of migrant labour who may prefer rental over ownership. The Commission also encouraged government to partner with the mining sector </w:t>
      </w:r>
      <w:r w:rsidR="00B15E91" w:rsidRPr="009B39E9">
        <w:rPr>
          <w:rFonts w:ascii="Times New Roman" w:hAnsi="Times New Roman"/>
          <w:sz w:val="24"/>
          <w:szCs w:val="24"/>
          <w:lang w:val="en-US"/>
        </w:rPr>
        <w:t>for t</w:t>
      </w:r>
      <w:r w:rsidR="00D06312" w:rsidRPr="009B39E9">
        <w:rPr>
          <w:rFonts w:ascii="Times New Roman" w:hAnsi="Times New Roman"/>
          <w:sz w:val="24"/>
          <w:szCs w:val="24"/>
          <w:lang w:val="en-US"/>
        </w:rPr>
        <w:t xml:space="preserve">he upgrading of informal settlements in mining towns in a way that is less of a burden to the fiscus. </w:t>
      </w:r>
      <w:r w:rsidR="002917A2" w:rsidRPr="009B39E9">
        <w:rPr>
          <w:rFonts w:ascii="Times New Roman" w:hAnsi="Times New Roman"/>
          <w:sz w:val="24"/>
          <w:szCs w:val="24"/>
          <w:lang w:val="en-US"/>
        </w:rPr>
        <w:t xml:space="preserve">The Commission supported the proposed devolving of the public transport contracting and regulatory function to metros </w:t>
      </w:r>
      <w:r w:rsidR="0005326B" w:rsidRPr="009B39E9">
        <w:rPr>
          <w:rFonts w:ascii="Times New Roman" w:hAnsi="Times New Roman"/>
          <w:sz w:val="24"/>
          <w:szCs w:val="24"/>
          <w:lang w:val="en-US"/>
        </w:rPr>
        <w:t xml:space="preserve">and recommended that careful consideration be made to </w:t>
      </w:r>
      <w:r w:rsidR="008E2A11" w:rsidRPr="009B39E9">
        <w:rPr>
          <w:rFonts w:ascii="Times New Roman" w:hAnsi="Times New Roman"/>
          <w:sz w:val="24"/>
          <w:szCs w:val="24"/>
          <w:lang w:val="en-US"/>
        </w:rPr>
        <w:t xml:space="preserve">the </w:t>
      </w:r>
      <w:r w:rsidR="0005326B" w:rsidRPr="009B39E9">
        <w:rPr>
          <w:rFonts w:ascii="Times New Roman" w:hAnsi="Times New Roman"/>
          <w:sz w:val="24"/>
          <w:szCs w:val="24"/>
          <w:lang w:val="en-US"/>
        </w:rPr>
        <w:t>baseline to ensure that metros are not dis</w:t>
      </w:r>
      <w:r w:rsidR="00DE2E7D" w:rsidRPr="009B39E9">
        <w:rPr>
          <w:rFonts w:ascii="Times New Roman" w:hAnsi="Times New Roman"/>
          <w:sz w:val="24"/>
          <w:szCs w:val="24"/>
          <w:lang w:val="en-US"/>
        </w:rPr>
        <w:t>advantag</w:t>
      </w:r>
      <w:r w:rsidR="0005326B" w:rsidRPr="009B39E9">
        <w:rPr>
          <w:rFonts w:ascii="Times New Roman" w:hAnsi="Times New Roman"/>
          <w:sz w:val="24"/>
          <w:szCs w:val="24"/>
          <w:lang w:val="en-US"/>
        </w:rPr>
        <w:t>ed</w:t>
      </w:r>
      <w:r w:rsidR="00DE2E7D" w:rsidRPr="009B39E9">
        <w:rPr>
          <w:rFonts w:ascii="Times New Roman" w:hAnsi="Times New Roman"/>
          <w:sz w:val="24"/>
          <w:szCs w:val="24"/>
          <w:lang w:val="en-US"/>
        </w:rPr>
        <w:t xml:space="preserve">. Furthermore, the Commission recommended that the decision to devolve be communicated soon to the affected metros to facilitate planning and contracting. </w:t>
      </w:r>
    </w:p>
    <w:p w:rsidR="005456BD" w:rsidRPr="009B39E9" w:rsidRDefault="005456BD" w:rsidP="00751FDA">
      <w:pPr>
        <w:tabs>
          <w:tab w:val="left" w:pos="284"/>
          <w:tab w:val="left" w:pos="567"/>
        </w:tabs>
        <w:spacing w:after="0" w:line="360" w:lineRule="auto"/>
        <w:jc w:val="both"/>
        <w:rPr>
          <w:rFonts w:ascii="Times New Roman" w:hAnsi="Times New Roman"/>
          <w:b/>
          <w:sz w:val="24"/>
          <w:szCs w:val="24"/>
          <w:lang w:val="en-US"/>
        </w:rPr>
      </w:pPr>
    </w:p>
    <w:p w:rsidR="005456BD" w:rsidRPr="009B39E9" w:rsidRDefault="00A148BB" w:rsidP="00751FDA">
      <w:pPr>
        <w:tabs>
          <w:tab w:val="left" w:pos="284"/>
          <w:tab w:val="left" w:pos="567"/>
        </w:tabs>
        <w:spacing w:after="0" w:line="360" w:lineRule="auto"/>
        <w:jc w:val="both"/>
        <w:rPr>
          <w:rFonts w:ascii="Times New Roman" w:hAnsi="Times New Roman"/>
          <w:b/>
          <w:sz w:val="24"/>
          <w:szCs w:val="24"/>
          <w:lang w:val="en-US"/>
        </w:rPr>
      </w:pPr>
      <w:r w:rsidRPr="009B39E9">
        <w:rPr>
          <w:rFonts w:ascii="Times New Roman" w:hAnsi="Times New Roman"/>
          <w:sz w:val="24"/>
          <w:szCs w:val="24"/>
          <w:lang w:val="en-US"/>
        </w:rPr>
        <w:t xml:space="preserve">The Commission </w:t>
      </w:r>
      <w:r w:rsidR="002065D9" w:rsidRPr="009B39E9">
        <w:rPr>
          <w:rFonts w:ascii="Times New Roman" w:hAnsi="Times New Roman"/>
          <w:sz w:val="24"/>
          <w:szCs w:val="24"/>
          <w:lang w:val="en-US"/>
        </w:rPr>
        <w:t>was</w:t>
      </w:r>
      <w:r w:rsidR="008A32F0" w:rsidRPr="009B39E9">
        <w:rPr>
          <w:rFonts w:ascii="Times New Roman" w:hAnsi="Times New Roman"/>
          <w:sz w:val="24"/>
          <w:szCs w:val="24"/>
          <w:lang w:val="en-US"/>
        </w:rPr>
        <w:t xml:space="preserve"> concern</w:t>
      </w:r>
      <w:r w:rsidR="002065D9" w:rsidRPr="009B39E9">
        <w:rPr>
          <w:rFonts w:ascii="Times New Roman" w:hAnsi="Times New Roman"/>
          <w:sz w:val="24"/>
          <w:szCs w:val="24"/>
          <w:lang w:val="en-US"/>
        </w:rPr>
        <w:t>ed about</w:t>
      </w:r>
      <w:r w:rsidR="008A32F0" w:rsidRPr="009B39E9">
        <w:rPr>
          <w:rFonts w:ascii="Times New Roman" w:hAnsi="Times New Roman"/>
          <w:sz w:val="24"/>
          <w:szCs w:val="24"/>
          <w:lang w:val="en-US"/>
        </w:rPr>
        <w:t xml:space="preserve"> the base line reduction</w:t>
      </w:r>
      <w:r w:rsidR="002065D9" w:rsidRPr="009B39E9">
        <w:rPr>
          <w:rFonts w:ascii="Times New Roman" w:hAnsi="Times New Roman"/>
          <w:sz w:val="24"/>
          <w:szCs w:val="24"/>
          <w:lang w:val="en-US"/>
        </w:rPr>
        <w:t>s</w:t>
      </w:r>
      <w:r w:rsidR="008A32F0" w:rsidRPr="009B39E9">
        <w:rPr>
          <w:rFonts w:ascii="Times New Roman" w:hAnsi="Times New Roman"/>
          <w:sz w:val="24"/>
          <w:szCs w:val="24"/>
          <w:lang w:val="en-US"/>
        </w:rPr>
        <w:t xml:space="preserve"> in the </w:t>
      </w:r>
      <w:r w:rsidR="007547CF" w:rsidRPr="009B39E9">
        <w:rPr>
          <w:rFonts w:ascii="Times New Roman" w:hAnsi="Times New Roman"/>
          <w:sz w:val="24"/>
          <w:szCs w:val="24"/>
          <w:lang w:val="en-US"/>
        </w:rPr>
        <w:t>Health Facility Revitalisation g</w:t>
      </w:r>
      <w:r w:rsidR="008A32F0" w:rsidRPr="009B39E9">
        <w:rPr>
          <w:rFonts w:ascii="Times New Roman" w:hAnsi="Times New Roman"/>
          <w:sz w:val="24"/>
          <w:szCs w:val="24"/>
          <w:lang w:val="en-US"/>
        </w:rPr>
        <w:t xml:space="preserve">rant </w:t>
      </w:r>
      <w:r w:rsidR="002065D9" w:rsidRPr="009B39E9">
        <w:rPr>
          <w:rFonts w:ascii="Times New Roman" w:hAnsi="Times New Roman"/>
          <w:sz w:val="24"/>
          <w:szCs w:val="24"/>
          <w:lang w:val="en-US"/>
        </w:rPr>
        <w:t xml:space="preserve">given its importance to the construction and maintenance of health infrastructure in line with the National Health Insurance reforms underway and HIV/AIDS and TB grant given the increased uptake of people on ARVs every year. With regard to the closure of the direct component of the National Health Insurance (NHI) grant, the Commission noted that the direct NHI grant has been plagued by </w:t>
      </w:r>
      <w:r w:rsidR="002065D9" w:rsidRPr="009B39E9">
        <w:rPr>
          <w:rFonts w:ascii="Times New Roman" w:hAnsi="Times New Roman"/>
          <w:sz w:val="24"/>
          <w:szCs w:val="24"/>
          <w:lang w:val="en-US"/>
        </w:rPr>
        <w:lastRenderedPageBreak/>
        <w:t xml:space="preserve">poor spending problems due to poor supply chain management systems, weak human resource capacity and the lack of delegation powers at district levels. The Commission was of the view that this </w:t>
      </w:r>
      <w:r w:rsidR="007547CF" w:rsidRPr="009B39E9">
        <w:rPr>
          <w:rFonts w:ascii="Times New Roman" w:hAnsi="Times New Roman"/>
          <w:sz w:val="24"/>
          <w:szCs w:val="24"/>
          <w:lang w:val="en-US"/>
        </w:rPr>
        <w:t>points to a need for far reaching reforms which also address pre-existing operational and institutional challenges at provincial level before the NHI is rolled out. The Commission proposed that the National Department of Health should use the indirect NHI grant to build the capacity of health district offices given their central role in the impl</w:t>
      </w:r>
      <w:r w:rsidR="008E2A11" w:rsidRPr="009B39E9">
        <w:rPr>
          <w:rFonts w:ascii="Times New Roman" w:hAnsi="Times New Roman"/>
          <w:sz w:val="24"/>
          <w:szCs w:val="24"/>
          <w:lang w:val="en-US"/>
        </w:rPr>
        <w:t>em</w:t>
      </w:r>
      <w:r w:rsidR="007547CF" w:rsidRPr="009B39E9">
        <w:rPr>
          <w:rFonts w:ascii="Times New Roman" w:hAnsi="Times New Roman"/>
          <w:sz w:val="24"/>
          <w:szCs w:val="24"/>
          <w:lang w:val="en-US"/>
        </w:rPr>
        <w:t>antation of the NHI</w:t>
      </w:r>
      <w:r w:rsidR="004362BF" w:rsidRPr="009B39E9">
        <w:rPr>
          <w:rFonts w:ascii="Times New Roman" w:hAnsi="Times New Roman"/>
          <w:sz w:val="24"/>
          <w:szCs w:val="24"/>
          <w:lang w:val="en-US"/>
        </w:rPr>
        <w:t xml:space="preserve"> programme</w:t>
      </w:r>
      <w:r w:rsidR="007547CF" w:rsidRPr="009B39E9">
        <w:rPr>
          <w:rFonts w:ascii="Times New Roman" w:hAnsi="Times New Roman"/>
          <w:sz w:val="24"/>
          <w:szCs w:val="24"/>
          <w:lang w:val="en-US"/>
        </w:rPr>
        <w:t xml:space="preserve">. </w:t>
      </w:r>
      <w:r w:rsidR="00DB4B97" w:rsidRPr="009B39E9">
        <w:rPr>
          <w:rFonts w:ascii="Times New Roman" w:hAnsi="Times New Roman"/>
          <w:sz w:val="24"/>
          <w:szCs w:val="24"/>
          <w:lang w:val="en-US"/>
        </w:rPr>
        <w:t xml:space="preserve">The Commission also encouraged government to implement the NHI reforms in a sequential manner and </w:t>
      </w:r>
      <w:r w:rsidR="00E47BE4" w:rsidRPr="009B39E9">
        <w:rPr>
          <w:rFonts w:ascii="Times New Roman" w:hAnsi="Times New Roman"/>
          <w:sz w:val="24"/>
          <w:szCs w:val="24"/>
          <w:lang w:val="en-US"/>
        </w:rPr>
        <w:t xml:space="preserve">made reference to </w:t>
      </w:r>
      <w:r w:rsidR="00DB4B97" w:rsidRPr="009B39E9">
        <w:rPr>
          <w:rFonts w:ascii="Times New Roman" w:hAnsi="Times New Roman"/>
          <w:sz w:val="24"/>
          <w:szCs w:val="24"/>
          <w:lang w:val="en-US"/>
        </w:rPr>
        <w:t xml:space="preserve">stewardship and governance, pooling, purchasing and benefits design. </w:t>
      </w:r>
    </w:p>
    <w:p w:rsidR="005456BD" w:rsidRPr="009B39E9" w:rsidRDefault="005456BD" w:rsidP="00751FDA">
      <w:pPr>
        <w:tabs>
          <w:tab w:val="left" w:pos="284"/>
          <w:tab w:val="left" w:pos="567"/>
        </w:tabs>
        <w:spacing w:after="0" w:line="360" w:lineRule="auto"/>
        <w:jc w:val="both"/>
        <w:rPr>
          <w:rFonts w:ascii="Times New Roman" w:hAnsi="Times New Roman"/>
          <w:b/>
          <w:sz w:val="24"/>
          <w:szCs w:val="24"/>
          <w:lang w:val="en-US"/>
        </w:rPr>
      </w:pPr>
    </w:p>
    <w:p w:rsidR="00325127" w:rsidRPr="009B39E9" w:rsidRDefault="006634CF" w:rsidP="00751FDA">
      <w:pPr>
        <w:tabs>
          <w:tab w:val="left" w:pos="284"/>
          <w:tab w:val="left" w:pos="567"/>
        </w:tabs>
        <w:spacing w:after="0" w:line="360" w:lineRule="auto"/>
        <w:jc w:val="both"/>
        <w:rPr>
          <w:rFonts w:ascii="Times New Roman" w:hAnsi="Times New Roman"/>
          <w:sz w:val="24"/>
          <w:szCs w:val="24"/>
          <w:lang w:val="en-US"/>
        </w:rPr>
      </w:pPr>
      <w:r w:rsidRPr="009B39E9">
        <w:rPr>
          <w:rFonts w:ascii="Times New Roman" w:hAnsi="Times New Roman"/>
          <w:sz w:val="24"/>
          <w:szCs w:val="24"/>
          <w:lang w:val="en-US"/>
        </w:rPr>
        <w:t xml:space="preserve">In terms of education grants, the Commission welcomed the increase in the allocation for the National School Nutrition Programme (NSNP) </w:t>
      </w:r>
      <w:r w:rsidR="00804093" w:rsidRPr="009B39E9">
        <w:rPr>
          <w:rFonts w:ascii="Times New Roman" w:hAnsi="Times New Roman"/>
          <w:sz w:val="24"/>
          <w:szCs w:val="24"/>
          <w:lang w:val="en-US"/>
        </w:rPr>
        <w:t>which accommodates</w:t>
      </w:r>
      <w:r w:rsidRPr="009B39E9">
        <w:rPr>
          <w:rFonts w:ascii="Times New Roman" w:hAnsi="Times New Roman"/>
          <w:sz w:val="24"/>
          <w:szCs w:val="24"/>
          <w:lang w:val="en-US"/>
        </w:rPr>
        <w:t xml:space="preserve"> inflation and the expansion of access of nutrition to poor learners in public schools. However</w:t>
      </w:r>
      <w:r w:rsidR="00804093" w:rsidRPr="009B39E9">
        <w:rPr>
          <w:rFonts w:ascii="Times New Roman" w:hAnsi="Times New Roman"/>
          <w:sz w:val="24"/>
          <w:szCs w:val="24"/>
          <w:lang w:val="en-US"/>
        </w:rPr>
        <w:t>, there were concerns about the reduction in the Maths, Science and Technology grant given its critical role towards the improvement of educational outcomes.</w:t>
      </w:r>
      <w:r w:rsidR="00BC4F22" w:rsidRPr="009B39E9">
        <w:rPr>
          <w:rFonts w:ascii="Times New Roman" w:hAnsi="Times New Roman"/>
          <w:sz w:val="24"/>
          <w:szCs w:val="24"/>
          <w:lang w:val="en-US"/>
        </w:rPr>
        <w:t xml:space="preserve"> The Commission welcomed th</w:t>
      </w:r>
      <w:r w:rsidR="00A04BFC" w:rsidRPr="009B39E9">
        <w:rPr>
          <w:rFonts w:ascii="Times New Roman" w:hAnsi="Times New Roman"/>
          <w:sz w:val="24"/>
          <w:szCs w:val="24"/>
          <w:lang w:val="en-US"/>
        </w:rPr>
        <w:t>e introduction of the new grant</w:t>
      </w:r>
      <w:r w:rsidR="00804093" w:rsidRPr="009B39E9">
        <w:rPr>
          <w:rFonts w:ascii="Times New Roman" w:hAnsi="Times New Roman"/>
          <w:sz w:val="24"/>
          <w:szCs w:val="24"/>
          <w:lang w:val="en-US"/>
        </w:rPr>
        <w:t xml:space="preserve"> </w:t>
      </w:r>
      <w:r w:rsidR="00A04BFC" w:rsidRPr="009B39E9">
        <w:rPr>
          <w:rFonts w:ascii="Times New Roman" w:hAnsi="Times New Roman"/>
          <w:sz w:val="24"/>
          <w:szCs w:val="24"/>
          <w:lang w:val="en-US"/>
        </w:rPr>
        <w:t xml:space="preserve">for learners with profound intellectual disabilities in line with meeting international and local obligations of </w:t>
      </w:r>
      <w:r w:rsidR="008E2A11" w:rsidRPr="009B39E9">
        <w:rPr>
          <w:rFonts w:ascii="Times New Roman" w:hAnsi="Times New Roman"/>
          <w:sz w:val="24"/>
          <w:szCs w:val="24"/>
          <w:lang w:val="en-US"/>
        </w:rPr>
        <w:t xml:space="preserve">an </w:t>
      </w:r>
      <w:r w:rsidR="00A04BFC" w:rsidRPr="009B39E9">
        <w:rPr>
          <w:rFonts w:ascii="Times New Roman" w:hAnsi="Times New Roman"/>
          <w:sz w:val="24"/>
          <w:szCs w:val="24"/>
          <w:lang w:val="en-US"/>
        </w:rPr>
        <w:t xml:space="preserve">inclusive society for all persons. The Commission indicated that the grant will address amongst other things issues of accessibility to public transport, the physical condition of schools as well as professional capacity. </w:t>
      </w:r>
    </w:p>
    <w:p w:rsidR="00325127" w:rsidRPr="009B39E9" w:rsidRDefault="00325127" w:rsidP="00751FDA">
      <w:pPr>
        <w:tabs>
          <w:tab w:val="left" w:pos="284"/>
          <w:tab w:val="left" w:pos="567"/>
        </w:tabs>
        <w:spacing w:after="0" w:line="360" w:lineRule="auto"/>
        <w:jc w:val="both"/>
        <w:rPr>
          <w:rFonts w:ascii="Times New Roman" w:hAnsi="Times New Roman"/>
          <w:sz w:val="24"/>
          <w:szCs w:val="24"/>
          <w:lang w:val="en-US"/>
        </w:rPr>
      </w:pPr>
    </w:p>
    <w:p w:rsidR="005456BD" w:rsidRPr="009B39E9" w:rsidRDefault="00325127" w:rsidP="00751FDA">
      <w:pPr>
        <w:tabs>
          <w:tab w:val="left" w:pos="284"/>
          <w:tab w:val="left" w:pos="567"/>
        </w:tabs>
        <w:spacing w:after="0" w:line="360" w:lineRule="auto"/>
        <w:jc w:val="both"/>
        <w:rPr>
          <w:rFonts w:ascii="Times New Roman" w:hAnsi="Times New Roman"/>
          <w:sz w:val="24"/>
          <w:szCs w:val="24"/>
          <w:lang w:val="en-US"/>
        </w:rPr>
      </w:pPr>
      <w:r w:rsidRPr="009B39E9">
        <w:rPr>
          <w:rFonts w:ascii="Times New Roman" w:hAnsi="Times New Roman"/>
          <w:sz w:val="24"/>
          <w:szCs w:val="24"/>
          <w:lang w:val="en-US"/>
        </w:rPr>
        <w:t xml:space="preserve">The </w:t>
      </w:r>
      <w:r w:rsidR="00A04BFC" w:rsidRPr="009B39E9">
        <w:rPr>
          <w:rFonts w:ascii="Times New Roman" w:hAnsi="Times New Roman"/>
          <w:sz w:val="24"/>
          <w:szCs w:val="24"/>
          <w:lang w:val="en-US"/>
        </w:rPr>
        <w:t>MTEF allocations</w:t>
      </w:r>
      <w:r w:rsidR="002444F3" w:rsidRPr="009B39E9">
        <w:rPr>
          <w:rFonts w:ascii="Times New Roman" w:hAnsi="Times New Roman"/>
          <w:sz w:val="24"/>
          <w:szCs w:val="24"/>
          <w:lang w:val="en-US"/>
        </w:rPr>
        <w:t xml:space="preserve"> of R1.3 billion for</w:t>
      </w:r>
      <w:r w:rsidR="00A04BFC" w:rsidRPr="009B39E9">
        <w:rPr>
          <w:rFonts w:ascii="Times New Roman" w:hAnsi="Times New Roman"/>
          <w:sz w:val="24"/>
          <w:szCs w:val="24"/>
          <w:lang w:val="en-US"/>
        </w:rPr>
        <w:t xml:space="preserve"> Early Childhood Development and </w:t>
      </w:r>
      <w:r w:rsidR="002444F3" w:rsidRPr="009B39E9">
        <w:rPr>
          <w:rFonts w:ascii="Times New Roman" w:hAnsi="Times New Roman"/>
          <w:sz w:val="24"/>
          <w:szCs w:val="24"/>
          <w:lang w:val="en-US"/>
        </w:rPr>
        <w:br/>
      </w:r>
      <w:r w:rsidR="00A04BFC" w:rsidRPr="009B39E9">
        <w:rPr>
          <w:rFonts w:ascii="Times New Roman" w:hAnsi="Times New Roman"/>
          <w:sz w:val="24"/>
          <w:szCs w:val="24"/>
          <w:lang w:val="en-US"/>
        </w:rPr>
        <w:t xml:space="preserve">R591.3 million for the </w:t>
      </w:r>
      <w:r w:rsidR="002444F3" w:rsidRPr="009B39E9">
        <w:rPr>
          <w:rFonts w:ascii="Times New Roman" w:hAnsi="Times New Roman"/>
          <w:sz w:val="24"/>
          <w:szCs w:val="24"/>
          <w:lang w:val="en-US"/>
        </w:rPr>
        <w:t>new</w:t>
      </w:r>
      <w:r w:rsidR="00A04BFC" w:rsidRPr="009B39E9">
        <w:rPr>
          <w:rFonts w:ascii="Times New Roman" w:hAnsi="Times New Roman"/>
          <w:sz w:val="24"/>
          <w:szCs w:val="24"/>
          <w:lang w:val="en-US"/>
        </w:rPr>
        <w:t xml:space="preserve"> social worker employment grant were also welcomed by the Commission. </w:t>
      </w:r>
      <w:r w:rsidR="00C21325" w:rsidRPr="009B39E9">
        <w:rPr>
          <w:rFonts w:ascii="Times New Roman" w:hAnsi="Times New Roman"/>
          <w:sz w:val="24"/>
          <w:szCs w:val="24"/>
          <w:lang w:val="en-US"/>
        </w:rPr>
        <w:t>The Commission proposed that government should clarify if provinces can use the social worker employment grant to fund Non-Government Organisations that are in need of social workers as the grant framework was not clear on this.  Furthermore, t</w:t>
      </w:r>
      <w:r w:rsidR="00A04BFC" w:rsidRPr="009B39E9">
        <w:rPr>
          <w:rFonts w:ascii="Times New Roman" w:hAnsi="Times New Roman"/>
          <w:sz w:val="24"/>
          <w:szCs w:val="24"/>
          <w:lang w:val="en-US"/>
        </w:rPr>
        <w:t xml:space="preserve">he Commission </w:t>
      </w:r>
      <w:r w:rsidR="00C21325" w:rsidRPr="009B39E9">
        <w:rPr>
          <w:rFonts w:ascii="Times New Roman" w:hAnsi="Times New Roman"/>
          <w:sz w:val="24"/>
          <w:szCs w:val="24"/>
          <w:lang w:val="en-US"/>
        </w:rPr>
        <w:t>was of the view that departments should be discouraged from designing scholarship programs linked to guaranteed employment as this could lead to financial mismanagement especially if the graduates were not budgeted for in compensation budgets of the departments.</w:t>
      </w:r>
    </w:p>
    <w:p w:rsidR="005456BD" w:rsidRPr="009B39E9" w:rsidRDefault="005456BD" w:rsidP="00751FDA">
      <w:pPr>
        <w:tabs>
          <w:tab w:val="left" w:pos="284"/>
          <w:tab w:val="left" w:pos="567"/>
        </w:tabs>
        <w:spacing w:after="0" w:line="360" w:lineRule="auto"/>
        <w:jc w:val="both"/>
        <w:rPr>
          <w:rFonts w:ascii="Times New Roman" w:hAnsi="Times New Roman"/>
          <w:b/>
          <w:sz w:val="24"/>
          <w:szCs w:val="24"/>
          <w:lang w:val="en-US"/>
        </w:rPr>
      </w:pPr>
    </w:p>
    <w:p w:rsidR="00811454" w:rsidRPr="009B39E9" w:rsidRDefault="00811454" w:rsidP="00751FDA">
      <w:pPr>
        <w:tabs>
          <w:tab w:val="left" w:pos="284"/>
          <w:tab w:val="left" w:pos="567"/>
        </w:tabs>
        <w:spacing w:after="0" w:line="360" w:lineRule="auto"/>
        <w:jc w:val="both"/>
        <w:rPr>
          <w:rFonts w:ascii="Times New Roman" w:hAnsi="Times New Roman"/>
          <w:sz w:val="24"/>
          <w:szCs w:val="24"/>
          <w:lang w:val="en-US"/>
        </w:rPr>
      </w:pPr>
      <w:r w:rsidRPr="009B39E9">
        <w:rPr>
          <w:rFonts w:ascii="Times New Roman" w:hAnsi="Times New Roman"/>
          <w:sz w:val="24"/>
          <w:szCs w:val="24"/>
          <w:lang w:val="en-US"/>
        </w:rPr>
        <w:lastRenderedPageBreak/>
        <w:t xml:space="preserve">In terms of local government conditional grants, the Commission was overall concerned about the </w:t>
      </w:r>
      <w:r w:rsidR="00F438EC" w:rsidRPr="009B39E9">
        <w:rPr>
          <w:rFonts w:ascii="Times New Roman" w:hAnsi="Times New Roman"/>
          <w:sz w:val="24"/>
          <w:szCs w:val="24"/>
          <w:lang w:val="en-US"/>
        </w:rPr>
        <w:t xml:space="preserve">baseline </w:t>
      </w:r>
      <w:r w:rsidRPr="009B39E9">
        <w:rPr>
          <w:rFonts w:ascii="Times New Roman" w:hAnsi="Times New Roman"/>
          <w:sz w:val="24"/>
          <w:szCs w:val="24"/>
          <w:lang w:val="en-US"/>
        </w:rPr>
        <w:t>reduc</w:t>
      </w:r>
      <w:r w:rsidR="00F438EC" w:rsidRPr="009B39E9">
        <w:rPr>
          <w:rFonts w:ascii="Times New Roman" w:hAnsi="Times New Roman"/>
          <w:sz w:val="24"/>
          <w:szCs w:val="24"/>
          <w:lang w:val="en-US"/>
        </w:rPr>
        <w:t>tions to the Municipal Infrastructure Grant (MIG), the Wate</w:t>
      </w:r>
      <w:r w:rsidR="00155607" w:rsidRPr="009B39E9">
        <w:rPr>
          <w:rFonts w:ascii="Times New Roman" w:hAnsi="Times New Roman"/>
          <w:sz w:val="24"/>
          <w:szCs w:val="24"/>
          <w:lang w:val="en-US"/>
        </w:rPr>
        <w:t>r Services Infrastructure G</w:t>
      </w:r>
      <w:r w:rsidR="00F438EC" w:rsidRPr="009B39E9">
        <w:rPr>
          <w:rFonts w:ascii="Times New Roman" w:hAnsi="Times New Roman"/>
          <w:sz w:val="24"/>
          <w:szCs w:val="24"/>
          <w:lang w:val="en-US"/>
        </w:rPr>
        <w:t>rant</w:t>
      </w:r>
      <w:r w:rsidR="00155607" w:rsidRPr="009B39E9">
        <w:rPr>
          <w:rFonts w:ascii="Times New Roman" w:hAnsi="Times New Roman"/>
          <w:sz w:val="24"/>
          <w:szCs w:val="24"/>
          <w:lang w:val="en-US"/>
        </w:rPr>
        <w:t xml:space="preserve"> (WSIG)</w:t>
      </w:r>
      <w:r w:rsidR="00F438EC" w:rsidRPr="009B39E9">
        <w:rPr>
          <w:rFonts w:ascii="Times New Roman" w:hAnsi="Times New Roman"/>
          <w:sz w:val="24"/>
          <w:szCs w:val="24"/>
          <w:lang w:val="en-US"/>
        </w:rPr>
        <w:t xml:space="preserve">, the Urban Settlements Development Grant (USDG) and the Public Transport Operations grant. The Commission highlighted that it has repeatedly recommended that reductions should target underperforming grants however the MIG and USDG were amongst the best performing grants. </w:t>
      </w:r>
      <w:r w:rsidR="00C310B6" w:rsidRPr="009B39E9">
        <w:rPr>
          <w:rFonts w:ascii="Times New Roman" w:hAnsi="Times New Roman"/>
          <w:sz w:val="24"/>
          <w:szCs w:val="24"/>
          <w:lang w:val="en-US"/>
        </w:rPr>
        <w:t>The Commission was concerned that the reductions affect key municipal deliverables</w:t>
      </w:r>
      <w:r w:rsidR="00155607" w:rsidRPr="009B39E9">
        <w:rPr>
          <w:rFonts w:ascii="Times New Roman" w:hAnsi="Times New Roman"/>
          <w:sz w:val="24"/>
          <w:szCs w:val="24"/>
          <w:lang w:val="en-US"/>
        </w:rPr>
        <w:t xml:space="preserve">. In addition, it was highlighted that the WSIG was affected the most </w:t>
      </w:r>
      <w:r w:rsidR="00411B64" w:rsidRPr="009B39E9">
        <w:rPr>
          <w:rFonts w:ascii="Times New Roman" w:hAnsi="Times New Roman"/>
          <w:sz w:val="24"/>
          <w:szCs w:val="24"/>
          <w:lang w:val="en-US"/>
        </w:rPr>
        <w:t xml:space="preserve"> by the reductions </w:t>
      </w:r>
      <w:r w:rsidR="00155607" w:rsidRPr="009B39E9">
        <w:rPr>
          <w:rFonts w:ascii="Times New Roman" w:hAnsi="Times New Roman"/>
          <w:sz w:val="24"/>
          <w:szCs w:val="24"/>
          <w:lang w:val="en-US"/>
        </w:rPr>
        <w:t xml:space="preserve">despite the increase in its scope for the inclusion of sanitation and </w:t>
      </w:r>
      <w:r w:rsidR="00ED3D1F" w:rsidRPr="009B39E9">
        <w:rPr>
          <w:rFonts w:ascii="Times New Roman" w:hAnsi="Times New Roman"/>
          <w:sz w:val="24"/>
          <w:szCs w:val="24"/>
          <w:lang w:val="en-US"/>
        </w:rPr>
        <w:t>the Commission</w:t>
      </w:r>
      <w:r w:rsidR="00155607" w:rsidRPr="009B39E9">
        <w:rPr>
          <w:rFonts w:ascii="Times New Roman" w:hAnsi="Times New Roman"/>
          <w:sz w:val="24"/>
          <w:szCs w:val="24"/>
          <w:lang w:val="en-US"/>
        </w:rPr>
        <w:t xml:space="preserve"> contrasted </w:t>
      </w:r>
      <w:r w:rsidR="00ED3D1F" w:rsidRPr="009B39E9">
        <w:rPr>
          <w:rFonts w:ascii="Times New Roman" w:hAnsi="Times New Roman"/>
          <w:sz w:val="24"/>
          <w:szCs w:val="24"/>
          <w:lang w:val="en-US"/>
        </w:rPr>
        <w:t xml:space="preserve">this </w:t>
      </w:r>
      <w:r w:rsidR="00155607" w:rsidRPr="009B39E9">
        <w:rPr>
          <w:rFonts w:ascii="Times New Roman" w:hAnsi="Times New Roman"/>
          <w:sz w:val="24"/>
          <w:szCs w:val="24"/>
          <w:lang w:val="en-US"/>
        </w:rPr>
        <w:t xml:space="preserve">to sanitation backlogs which remain high especially in rural areas and the government target of universal access to sanitation by 2014. </w:t>
      </w:r>
    </w:p>
    <w:p w:rsidR="005D453B" w:rsidRPr="009B39E9" w:rsidRDefault="005D453B" w:rsidP="00751FDA">
      <w:pPr>
        <w:tabs>
          <w:tab w:val="left" w:pos="284"/>
          <w:tab w:val="left" w:pos="567"/>
        </w:tabs>
        <w:spacing w:after="0" w:line="360" w:lineRule="auto"/>
        <w:jc w:val="both"/>
        <w:rPr>
          <w:rFonts w:ascii="Times New Roman" w:hAnsi="Times New Roman"/>
          <w:b/>
          <w:sz w:val="24"/>
          <w:szCs w:val="24"/>
          <w:lang w:val="en-US"/>
        </w:rPr>
      </w:pPr>
    </w:p>
    <w:p w:rsidR="005D453B" w:rsidRPr="009B39E9" w:rsidRDefault="0036780A" w:rsidP="00751FDA">
      <w:pPr>
        <w:tabs>
          <w:tab w:val="left" w:pos="284"/>
          <w:tab w:val="left" w:pos="567"/>
        </w:tabs>
        <w:spacing w:after="0" w:line="360" w:lineRule="auto"/>
        <w:jc w:val="both"/>
        <w:rPr>
          <w:rFonts w:ascii="Times New Roman" w:hAnsi="Times New Roman"/>
          <w:sz w:val="24"/>
          <w:szCs w:val="24"/>
          <w:lang w:val="en-US"/>
        </w:rPr>
      </w:pPr>
      <w:r w:rsidRPr="009B39E9">
        <w:rPr>
          <w:rFonts w:ascii="Times New Roman" w:hAnsi="Times New Roman"/>
          <w:sz w:val="24"/>
          <w:szCs w:val="24"/>
          <w:lang w:val="en-US"/>
        </w:rPr>
        <w:t>The Commission also welcomed government’s focus areas to turnaround the local government</w:t>
      </w:r>
      <w:r w:rsidR="00E97C2B" w:rsidRPr="009B39E9">
        <w:rPr>
          <w:rFonts w:ascii="Times New Roman" w:hAnsi="Times New Roman"/>
          <w:sz w:val="24"/>
          <w:szCs w:val="24"/>
          <w:lang w:val="en-US"/>
        </w:rPr>
        <w:t>, namely, the Municipal Standard Charts of Accounts for improving financial management; supply chain improvements for minimising irregular expenditure and corruption; guidelines for setting tariffs to minimise disparities in costs of services and tariffs; and improved asset management and asset maintenance. The Commission also alluded to the issue of escalating consumer debt which affects the fiscal viability and financial health of municipalities as well as municipal debt affecting the operations of public entities owed large sums of money by municipalities. The Commission indicated that currently ESKOM is owed R10 billion by municipalities whilst municipalities are owed R113 billion as of June 2016 by national and provincial spheres, businesses and households. In this regard, the Commission implored the task team examining intergovernmental debt to speedily resolve the issue</w:t>
      </w:r>
      <w:r w:rsidR="00595F22" w:rsidRPr="009B39E9">
        <w:rPr>
          <w:rFonts w:ascii="Times New Roman" w:hAnsi="Times New Roman"/>
          <w:sz w:val="24"/>
          <w:szCs w:val="24"/>
          <w:lang w:val="en-US"/>
        </w:rPr>
        <w:t>.</w:t>
      </w:r>
    </w:p>
    <w:p w:rsidR="003A30A3" w:rsidRPr="009B39E9" w:rsidRDefault="003A30A3" w:rsidP="00751FDA">
      <w:pPr>
        <w:tabs>
          <w:tab w:val="left" w:pos="1302"/>
        </w:tabs>
        <w:spacing w:after="0" w:line="360" w:lineRule="auto"/>
        <w:jc w:val="both"/>
        <w:rPr>
          <w:rFonts w:ascii="Times New Roman" w:hAnsi="Times New Roman"/>
          <w:b/>
          <w:sz w:val="24"/>
          <w:szCs w:val="24"/>
          <w:lang w:val="en-US"/>
        </w:rPr>
      </w:pPr>
    </w:p>
    <w:p w:rsidR="00DE2240" w:rsidRPr="009B39E9" w:rsidRDefault="003A30A3" w:rsidP="00751FDA">
      <w:pPr>
        <w:tabs>
          <w:tab w:val="left" w:pos="284"/>
          <w:tab w:val="left" w:pos="567"/>
        </w:tabs>
        <w:spacing w:after="0" w:line="360" w:lineRule="auto"/>
        <w:jc w:val="both"/>
        <w:rPr>
          <w:rFonts w:ascii="Times New Roman" w:hAnsi="Times New Roman"/>
          <w:b/>
          <w:sz w:val="24"/>
          <w:szCs w:val="24"/>
          <w:lang w:val="en-US"/>
        </w:rPr>
      </w:pPr>
      <w:r w:rsidRPr="009B39E9">
        <w:rPr>
          <w:rFonts w:ascii="Times New Roman" w:hAnsi="Times New Roman"/>
          <w:b/>
          <w:sz w:val="24"/>
          <w:szCs w:val="24"/>
          <w:lang w:val="en-US"/>
        </w:rPr>
        <w:t xml:space="preserve">3.2 </w:t>
      </w:r>
      <w:r w:rsidR="00DE2240" w:rsidRPr="009B39E9">
        <w:rPr>
          <w:rFonts w:ascii="Times New Roman" w:hAnsi="Times New Roman"/>
          <w:b/>
          <w:sz w:val="24"/>
          <w:szCs w:val="24"/>
          <w:lang w:val="en-US"/>
        </w:rPr>
        <w:tab/>
      </w:r>
      <w:r w:rsidRPr="009B39E9">
        <w:rPr>
          <w:rFonts w:ascii="Times New Roman" w:hAnsi="Times New Roman"/>
          <w:b/>
          <w:sz w:val="24"/>
          <w:szCs w:val="24"/>
          <w:lang w:val="en-US"/>
        </w:rPr>
        <w:t>South Afric</w:t>
      </w:r>
      <w:r w:rsidR="00DE2240" w:rsidRPr="009B39E9">
        <w:rPr>
          <w:rFonts w:ascii="Times New Roman" w:hAnsi="Times New Roman"/>
          <w:b/>
          <w:sz w:val="24"/>
          <w:szCs w:val="24"/>
          <w:lang w:val="en-US"/>
        </w:rPr>
        <w:t>an Local Government Association</w:t>
      </w:r>
    </w:p>
    <w:p w:rsidR="00BF23FE" w:rsidRPr="009B39E9" w:rsidRDefault="00BF23FE" w:rsidP="00751FDA">
      <w:pPr>
        <w:tabs>
          <w:tab w:val="left" w:pos="284"/>
          <w:tab w:val="left" w:pos="567"/>
        </w:tabs>
        <w:spacing w:after="0" w:line="360" w:lineRule="auto"/>
        <w:jc w:val="both"/>
        <w:rPr>
          <w:rFonts w:ascii="Times New Roman" w:hAnsi="Times New Roman"/>
          <w:b/>
          <w:sz w:val="24"/>
          <w:szCs w:val="24"/>
          <w:lang w:val="en-US"/>
        </w:rPr>
      </w:pPr>
    </w:p>
    <w:p w:rsidR="00D159A7" w:rsidRPr="009B39E9" w:rsidRDefault="00D159A7" w:rsidP="00751FDA">
      <w:pPr>
        <w:tabs>
          <w:tab w:val="left" w:pos="284"/>
          <w:tab w:val="left" w:pos="567"/>
        </w:tabs>
        <w:spacing w:after="0" w:line="360" w:lineRule="auto"/>
        <w:jc w:val="both"/>
        <w:rPr>
          <w:rFonts w:ascii="Times New Roman" w:hAnsi="Times New Roman"/>
          <w:sz w:val="24"/>
          <w:szCs w:val="24"/>
          <w:lang w:val="en-US"/>
        </w:rPr>
      </w:pPr>
      <w:r w:rsidRPr="009B39E9">
        <w:rPr>
          <w:rFonts w:ascii="Times New Roman" w:hAnsi="Times New Roman"/>
          <w:sz w:val="24"/>
          <w:szCs w:val="24"/>
          <w:lang w:val="en-US"/>
        </w:rPr>
        <w:t>The South African Local Government Association (SALGA) in its submission acknowledge</w:t>
      </w:r>
      <w:r w:rsidR="00BD2DFA" w:rsidRPr="009B39E9">
        <w:rPr>
          <w:rFonts w:ascii="Times New Roman" w:hAnsi="Times New Roman"/>
          <w:sz w:val="24"/>
          <w:szCs w:val="24"/>
          <w:lang w:val="en-US"/>
        </w:rPr>
        <w:t>d</w:t>
      </w:r>
      <w:r w:rsidRPr="009B39E9">
        <w:rPr>
          <w:rFonts w:ascii="Times New Roman" w:hAnsi="Times New Roman"/>
          <w:sz w:val="24"/>
          <w:szCs w:val="24"/>
          <w:lang w:val="en-US"/>
        </w:rPr>
        <w:t xml:space="preserve"> the work done by National Treasury in </w:t>
      </w:r>
      <w:r w:rsidR="0045297C" w:rsidRPr="009B39E9">
        <w:rPr>
          <w:rFonts w:ascii="Times New Roman" w:hAnsi="Times New Roman"/>
          <w:sz w:val="24"/>
          <w:szCs w:val="24"/>
          <w:lang w:val="en-US"/>
        </w:rPr>
        <w:t>d</w:t>
      </w:r>
      <w:r w:rsidRPr="009B39E9">
        <w:rPr>
          <w:rFonts w:ascii="Times New Roman" w:hAnsi="Times New Roman"/>
          <w:sz w:val="24"/>
          <w:szCs w:val="24"/>
          <w:lang w:val="en-US"/>
        </w:rPr>
        <w:t xml:space="preserve">rafting the 2017 budget in difficult conditions and stated that it supported the theme of transformation for inclusive growth. It further stated that the theme of the 2017 budget </w:t>
      </w:r>
      <w:r w:rsidR="00FF1879" w:rsidRPr="009B39E9">
        <w:rPr>
          <w:rFonts w:ascii="Times New Roman" w:hAnsi="Times New Roman"/>
          <w:sz w:val="24"/>
          <w:szCs w:val="24"/>
          <w:lang w:val="en-US"/>
        </w:rPr>
        <w:t>resonates</w:t>
      </w:r>
      <w:r w:rsidR="009F1DDD" w:rsidRPr="009B39E9">
        <w:rPr>
          <w:rFonts w:ascii="Times New Roman" w:hAnsi="Times New Roman"/>
          <w:sz w:val="24"/>
          <w:szCs w:val="24"/>
          <w:lang w:val="en-US"/>
        </w:rPr>
        <w:t xml:space="preserve"> with </w:t>
      </w:r>
      <w:r w:rsidR="009F1DDD" w:rsidRPr="009B39E9">
        <w:rPr>
          <w:rFonts w:ascii="Times New Roman" w:hAnsi="Times New Roman"/>
          <w:sz w:val="24"/>
          <w:szCs w:val="24"/>
          <w:lang w:val="en-US"/>
        </w:rPr>
        <w:lastRenderedPageBreak/>
        <w:t>some of the analysi</w:t>
      </w:r>
      <w:r w:rsidRPr="009B39E9">
        <w:rPr>
          <w:rFonts w:ascii="Times New Roman" w:hAnsi="Times New Roman"/>
          <w:sz w:val="24"/>
          <w:szCs w:val="24"/>
          <w:lang w:val="en-US"/>
        </w:rPr>
        <w:t>s and resolutions taken at its National Executive Conference which was held in November 2016. The resolutions taken at the said conference included the following:</w:t>
      </w:r>
    </w:p>
    <w:p w:rsidR="00D159A7" w:rsidRPr="009B39E9" w:rsidRDefault="00D159A7" w:rsidP="00751FDA">
      <w:pPr>
        <w:tabs>
          <w:tab w:val="left" w:pos="284"/>
          <w:tab w:val="left" w:pos="567"/>
        </w:tabs>
        <w:spacing w:after="0" w:line="360" w:lineRule="auto"/>
        <w:jc w:val="both"/>
        <w:rPr>
          <w:rFonts w:ascii="Times New Roman" w:hAnsi="Times New Roman"/>
          <w:sz w:val="24"/>
          <w:szCs w:val="24"/>
          <w:lang w:val="en-US"/>
        </w:rPr>
      </w:pPr>
    </w:p>
    <w:p w:rsidR="00D159A7" w:rsidRPr="009B39E9" w:rsidRDefault="00D159A7" w:rsidP="00751FDA">
      <w:pPr>
        <w:pStyle w:val="ListParagraph"/>
        <w:numPr>
          <w:ilvl w:val="0"/>
          <w:numId w:val="20"/>
        </w:numPr>
        <w:tabs>
          <w:tab w:val="left" w:pos="284"/>
          <w:tab w:val="left" w:pos="567"/>
        </w:tabs>
        <w:spacing w:after="0" w:line="360" w:lineRule="auto"/>
        <w:ind w:left="567" w:hanging="207"/>
        <w:jc w:val="both"/>
        <w:rPr>
          <w:rFonts w:ascii="Times New Roman" w:hAnsi="Times New Roman"/>
          <w:sz w:val="24"/>
          <w:szCs w:val="24"/>
          <w:lang w:val="en-US"/>
        </w:rPr>
      </w:pPr>
      <w:r w:rsidRPr="009B39E9">
        <w:rPr>
          <w:rFonts w:ascii="Times New Roman" w:hAnsi="Times New Roman"/>
          <w:sz w:val="24"/>
          <w:szCs w:val="24"/>
          <w:lang w:val="en-US"/>
        </w:rPr>
        <w:t>Finding alternative revenue instruments to enhance the financial viability and health o</w:t>
      </w:r>
      <w:r w:rsidR="0045297C" w:rsidRPr="009B39E9">
        <w:rPr>
          <w:rFonts w:ascii="Times New Roman" w:hAnsi="Times New Roman"/>
          <w:sz w:val="24"/>
          <w:szCs w:val="24"/>
          <w:lang w:val="en-US"/>
        </w:rPr>
        <w:t>f</w:t>
      </w:r>
      <w:r w:rsidRPr="009B39E9">
        <w:rPr>
          <w:rFonts w:ascii="Times New Roman" w:hAnsi="Times New Roman"/>
          <w:sz w:val="24"/>
          <w:szCs w:val="24"/>
          <w:lang w:val="en-US"/>
        </w:rPr>
        <w:t xml:space="preserve"> municipalities;</w:t>
      </w:r>
    </w:p>
    <w:p w:rsidR="00D159A7" w:rsidRPr="009B39E9" w:rsidRDefault="00D159A7" w:rsidP="00751FDA">
      <w:pPr>
        <w:pStyle w:val="ListParagraph"/>
        <w:numPr>
          <w:ilvl w:val="0"/>
          <w:numId w:val="20"/>
        </w:numPr>
        <w:tabs>
          <w:tab w:val="left" w:pos="284"/>
          <w:tab w:val="left" w:pos="567"/>
        </w:tabs>
        <w:spacing w:after="0" w:line="360" w:lineRule="auto"/>
        <w:ind w:left="567" w:hanging="207"/>
        <w:jc w:val="both"/>
        <w:rPr>
          <w:rFonts w:ascii="Times New Roman" w:hAnsi="Times New Roman"/>
          <w:sz w:val="24"/>
          <w:szCs w:val="24"/>
          <w:lang w:val="en-US"/>
        </w:rPr>
      </w:pPr>
      <w:r w:rsidRPr="009B39E9">
        <w:rPr>
          <w:rFonts w:ascii="Times New Roman" w:hAnsi="Times New Roman"/>
          <w:sz w:val="24"/>
          <w:szCs w:val="24"/>
          <w:lang w:val="en-US"/>
        </w:rPr>
        <w:t>Find</w:t>
      </w:r>
      <w:r w:rsidR="004362BF" w:rsidRPr="009B39E9">
        <w:rPr>
          <w:rFonts w:ascii="Times New Roman" w:hAnsi="Times New Roman"/>
          <w:sz w:val="24"/>
          <w:szCs w:val="24"/>
          <w:lang w:val="en-US"/>
        </w:rPr>
        <w:t>ing</w:t>
      </w:r>
      <w:r w:rsidRPr="009B39E9">
        <w:rPr>
          <w:rFonts w:ascii="Times New Roman" w:hAnsi="Times New Roman"/>
          <w:sz w:val="24"/>
          <w:szCs w:val="24"/>
          <w:lang w:val="en-US"/>
        </w:rPr>
        <w:t xml:space="preserve"> measures to deal with the increasing debt currently standing at R117 billion;</w:t>
      </w:r>
    </w:p>
    <w:p w:rsidR="00D159A7" w:rsidRPr="009B39E9" w:rsidRDefault="00D159A7" w:rsidP="00751FDA">
      <w:pPr>
        <w:pStyle w:val="ListParagraph"/>
        <w:numPr>
          <w:ilvl w:val="0"/>
          <w:numId w:val="20"/>
        </w:numPr>
        <w:tabs>
          <w:tab w:val="left" w:pos="284"/>
          <w:tab w:val="left" w:pos="567"/>
        </w:tabs>
        <w:spacing w:after="0" w:line="360" w:lineRule="auto"/>
        <w:ind w:left="567" w:hanging="207"/>
        <w:jc w:val="both"/>
        <w:rPr>
          <w:rFonts w:ascii="Times New Roman" w:hAnsi="Times New Roman"/>
          <w:sz w:val="24"/>
          <w:szCs w:val="24"/>
          <w:lang w:val="en-US"/>
        </w:rPr>
      </w:pPr>
      <w:r w:rsidRPr="009B39E9">
        <w:rPr>
          <w:rFonts w:ascii="Times New Roman" w:hAnsi="Times New Roman"/>
          <w:sz w:val="24"/>
          <w:szCs w:val="24"/>
          <w:lang w:val="en-US"/>
        </w:rPr>
        <w:t>Build</w:t>
      </w:r>
      <w:r w:rsidR="004362BF" w:rsidRPr="009B39E9">
        <w:rPr>
          <w:rFonts w:ascii="Times New Roman" w:hAnsi="Times New Roman"/>
          <w:sz w:val="24"/>
          <w:szCs w:val="24"/>
          <w:lang w:val="en-US"/>
        </w:rPr>
        <w:t>ing</w:t>
      </w:r>
      <w:r w:rsidRPr="009B39E9">
        <w:rPr>
          <w:rFonts w:ascii="Times New Roman" w:hAnsi="Times New Roman"/>
          <w:sz w:val="24"/>
          <w:szCs w:val="24"/>
          <w:lang w:val="en-US"/>
        </w:rPr>
        <w:t xml:space="preserve"> municipal capacity to manage both debtors and creditors;</w:t>
      </w:r>
    </w:p>
    <w:p w:rsidR="00D159A7" w:rsidRPr="009B39E9" w:rsidRDefault="00D159A7" w:rsidP="00751FDA">
      <w:pPr>
        <w:pStyle w:val="ListParagraph"/>
        <w:numPr>
          <w:ilvl w:val="0"/>
          <w:numId w:val="20"/>
        </w:numPr>
        <w:tabs>
          <w:tab w:val="left" w:pos="284"/>
          <w:tab w:val="left" w:pos="567"/>
        </w:tabs>
        <w:spacing w:after="0" w:line="360" w:lineRule="auto"/>
        <w:ind w:left="567" w:hanging="207"/>
        <w:jc w:val="both"/>
        <w:rPr>
          <w:rFonts w:ascii="Times New Roman" w:hAnsi="Times New Roman"/>
          <w:sz w:val="24"/>
          <w:szCs w:val="24"/>
          <w:lang w:val="en-US"/>
        </w:rPr>
      </w:pPr>
      <w:r w:rsidRPr="009B39E9">
        <w:rPr>
          <w:rFonts w:ascii="Times New Roman" w:hAnsi="Times New Roman"/>
          <w:sz w:val="24"/>
          <w:szCs w:val="24"/>
          <w:lang w:val="en-US"/>
        </w:rPr>
        <w:t>Find</w:t>
      </w:r>
      <w:r w:rsidR="004362BF" w:rsidRPr="009B39E9">
        <w:rPr>
          <w:rFonts w:ascii="Times New Roman" w:hAnsi="Times New Roman"/>
          <w:sz w:val="24"/>
          <w:szCs w:val="24"/>
          <w:lang w:val="en-US"/>
        </w:rPr>
        <w:t>ing</w:t>
      </w:r>
      <w:r w:rsidRPr="009B39E9">
        <w:rPr>
          <w:rFonts w:ascii="Times New Roman" w:hAnsi="Times New Roman"/>
          <w:sz w:val="24"/>
          <w:szCs w:val="24"/>
          <w:lang w:val="en-US"/>
        </w:rPr>
        <w:t xml:space="preserve"> suitable measures to resolve Eskom issues;</w:t>
      </w:r>
    </w:p>
    <w:p w:rsidR="00D159A7" w:rsidRPr="009B39E9" w:rsidRDefault="00D159A7" w:rsidP="00751FDA">
      <w:pPr>
        <w:pStyle w:val="ListParagraph"/>
        <w:numPr>
          <w:ilvl w:val="0"/>
          <w:numId w:val="20"/>
        </w:numPr>
        <w:tabs>
          <w:tab w:val="left" w:pos="284"/>
          <w:tab w:val="left" w:pos="567"/>
        </w:tabs>
        <w:spacing w:after="0" w:line="360" w:lineRule="auto"/>
        <w:ind w:left="567" w:hanging="207"/>
        <w:jc w:val="both"/>
        <w:rPr>
          <w:rFonts w:ascii="Times New Roman" w:hAnsi="Times New Roman"/>
          <w:sz w:val="24"/>
          <w:szCs w:val="24"/>
          <w:lang w:val="en-US"/>
        </w:rPr>
      </w:pPr>
      <w:r w:rsidRPr="009B39E9">
        <w:rPr>
          <w:rFonts w:ascii="Times New Roman" w:hAnsi="Times New Roman"/>
          <w:sz w:val="24"/>
          <w:szCs w:val="24"/>
          <w:lang w:val="en-US"/>
        </w:rPr>
        <w:t>Work</w:t>
      </w:r>
      <w:r w:rsidR="004362BF" w:rsidRPr="009B39E9">
        <w:rPr>
          <w:rFonts w:ascii="Times New Roman" w:hAnsi="Times New Roman"/>
          <w:sz w:val="24"/>
          <w:szCs w:val="24"/>
          <w:lang w:val="en-US"/>
        </w:rPr>
        <w:t>ing</w:t>
      </w:r>
      <w:r w:rsidRPr="009B39E9">
        <w:rPr>
          <w:rFonts w:ascii="Times New Roman" w:hAnsi="Times New Roman"/>
          <w:sz w:val="24"/>
          <w:szCs w:val="24"/>
          <w:lang w:val="en-US"/>
        </w:rPr>
        <w:t xml:space="preserve"> with National Treasury and the South African Revenue Service (SARS) in better profiling municipal clients and better manage their payment records;</w:t>
      </w:r>
    </w:p>
    <w:p w:rsidR="00D159A7" w:rsidRPr="009B39E9" w:rsidRDefault="00D159A7" w:rsidP="00751FDA">
      <w:pPr>
        <w:pStyle w:val="ListParagraph"/>
        <w:numPr>
          <w:ilvl w:val="0"/>
          <w:numId w:val="20"/>
        </w:numPr>
        <w:tabs>
          <w:tab w:val="left" w:pos="284"/>
          <w:tab w:val="left" w:pos="567"/>
        </w:tabs>
        <w:spacing w:after="0" w:line="360" w:lineRule="auto"/>
        <w:ind w:left="567" w:hanging="207"/>
        <w:jc w:val="both"/>
        <w:rPr>
          <w:rFonts w:ascii="Times New Roman" w:hAnsi="Times New Roman"/>
          <w:sz w:val="24"/>
          <w:szCs w:val="24"/>
          <w:lang w:val="en-US"/>
        </w:rPr>
      </w:pPr>
      <w:r w:rsidRPr="009B39E9">
        <w:rPr>
          <w:rFonts w:ascii="Times New Roman" w:hAnsi="Times New Roman"/>
          <w:sz w:val="24"/>
          <w:szCs w:val="24"/>
          <w:lang w:val="en-US"/>
        </w:rPr>
        <w:t>Lobby</w:t>
      </w:r>
      <w:r w:rsidR="004362BF" w:rsidRPr="009B39E9">
        <w:rPr>
          <w:rFonts w:ascii="Times New Roman" w:hAnsi="Times New Roman"/>
          <w:sz w:val="24"/>
          <w:szCs w:val="24"/>
          <w:lang w:val="en-US"/>
        </w:rPr>
        <w:t>ing</w:t>
      </w:r>
      <w:r w:rsidRPr="009B39E9">
        <w:rPr>
          <w:rFonts w:ascii="Times New Roman" w:hAnsi="Times New Roman"/>
          <w:sz w:val="24"/>
          <w:szCs w:val="24"/>
          <w:lang w:val="en-US"/>
        </w:rPr>
        <w:t xml:space="preserve"> for increased allocations to the sector in line with the Cost of Basic Service Study recommendations; and </w:t>
      </w:r>
    </w:p>
    <w:p w:rsidR="00D159A7" w:rsidRPr="009B39E9" w:rsidRDefault="00D159A7" w:rsidP="00751FDA">
      <w:pPr>
        <w:pStyle w:val="ListParagraph"/>
        <w:numPr>
          <w:ilvl w:val="0"/>
          <w:numId w:val="20"/>
        </w:numPr>
        <w:tabs>
          <w:tab w:val="left" w:pos="284"/>
          <w:tab w:val="left" w:pos="567"/>
        </w:tabs>
        <w:spacing w:after="0" w:line="360" w:lineRule="auto"/>
        <w:ind w:left="567" w:hanging="207"/>
        <w:jc w:val="both"/>
        <w:rPr>
          <w:rFonts w:ascii="Times New Roman" w:hAnsi="Times New Roman"/>
          <w:sz w:val="24"/>
          <w:szCs w:val="24"/>
          <w:lang w:val="en-US"/>
        </w:rPr>
      </w:pPr>
      <w:r w:rsidRPr="009B39E9">
        <w:rPr>
          <w:rFonts w:ascii="Times New Roman" w:hAnsi="Times New Roman"/>
          <w:sz w:val="24"/>
          <w:szCs w:val="24"/>
          <w:lang w:val="en-US"/>
        </w:rPr>
        <w:t>Provid</w:t>
      </w:r>
      <w:r w:rsidR="004362BF" w:rsidRPr="009B39E9">
        <w:rPr>
          <w:rFonts w:ascii="Times New Roman" w:hAnsi="Times New Roman"/>
          <w:sz w:val="24"/>
          <w:szCs w:val="24"/>
          <w:lang w:val="en-US"/>
        </w:rPr>
        <w:t>ing</w:t>
      </w:r>
      <w:r w:rsidRPr="009B39E9">
        <w:rPr>
          <w:rFonts w:ascii="Times New Roman" w:hAnsi="Times New Roman"/>
          <w:sz w:val="24"/>
          <w:szCs w:val="24"/>
          <w:lang w:val="en-US"/>
        </w:rPr>
        <w:t xml:space="preserve"> differentiated support to small struggling municipalities and districts. </w:t>
      </w:r>
    </w:p>
    <w:p w:rsidR="00D159A7" w:rsidRPr="009B39E9" w:rsidRDefault="00D159A7" w:rsidP="00751FDA">
      <w:pPr>
        <w:tabs>
          <w:tab w:val="left" w:pos="284"/>
          <w:tab w:val="left" w:pos="567"/>
        </w:tabs>
        <w:spacing w:after="0" w:line="360" w:lineRule="auto"/>
        <w:jc w:val="both"/>
        <w:rPr>
          <w:rFonts w:ascii="Times New Roman" w:hAnsi="Times New Roman"/>
          <w:b/>
          <w:sz w:val="24"/>
          <w:szCs w:val="24"/>
          <w:lang w:val="en-US"/>
        </w:rPr>
      </w:pPr>
    </w:p>
    <w:p w:rsidR="00D159A7" w:rsidRPr="009B39E9" w:rsidRDefault="00D159A7" w:rsidP="00751FDA">
      <w:pPr>
        <w:tabs>
          <w:tab w:val="left" w:pos="284"/>
          <w:tab w:val="left" w:pos="567"/>
        </w:tabs>
        <w:spacing w:after="0" w:line="360" w:lineRule="auto"/>
        <w:jc w:val="both"/>
        <w:rPr>
          <w:rFonts w:ascii="Times New Roman" w:hAnsi="Times New Roman"/>
          <w:sz w:val="24"/>
          <w:szCs w:val="24"/>
          <w:lang w:val="en-US"/>
        </w:rPr>
      </w:pPr>
      <w:r w:rsidRPr="009B39E9">
        <w:rPr>
          <w:rFonts w:ascii="Times New Roman" w:hAnsi="Times New Roman"/>
          <w:sz w:val="24"/>
          <w:szCs w:val="24"/>
          <w:lang w:val="en-US"/>
        </w:rPr>
        <w:t>SALGA in its submission on the Bill stated that the division of revenue achieved a substantial redistribution of revenue raised through taxes in relatively wealthy (mainly urban) areas to areas where demand for subsidized public services is the highest. Thus, most rural municipalities receive twice the allocation per household than what is transferred to metropolitan municipalities.</w:t>
      </w:r>
      <w:r w:rsidR="00517181" w:rsidRPr="009B39E9">
        <w:rPr>
          <w:rFonts w:ascii="Times New Roman" w:hAnsi="Times New Roman"/>
          <w:sz w:val="24"/>
          <w:szCs w:val="24"/>
          <w:lang w:val="en-US"/>
        </w:rPr>
        <w:t xml:space="preserve"> </w:t>
      </w:r>
      <w:r w:rsidRPr="009B39E9">
        <w:rPr>
          <w:rFonts w:ascii="Times New Roman" w:hAnsi="Times New Roman"/>
          <w:sz w:val="24"/>
          <w:szCs w:val="24"/>
          <w:lang w:val="en-US"/>
        </w:rPr>
        <w:t xml:space="preserve">SALGA submitted that it supported the general thrust of the 2017 budget however it would continue engaging </w:t>
      </w:r>
      <w:r w:rsidR="0045297C" w:rsidRPr="009B39E9">
        <w:rPr>
          <w:rFonts w:ascii="Times New Roman" w:hAnsi="Times New Roman"/>
          <w:sz w:val="24"/>
          <w:szCs w:val="24"/>
          <w:lang w:val="en-US"/>
        </w:rPr>
        <w:t xml:space="preserve">with </w:t>
      </w:r>
      <w:r w:rsidRPr="009B39E9">
        <w:rPr>
          <w:rFonts w:ascii="Times New Roman" w:hAnsi="Times New Roman"/>
          <w:sz w:val="24"/>
          <w:szCs w:val="24"/>
          <w:lang w:val="en-US"/>
        </w:rPr>
        <w:t>the relevant stakeholders on the following areas:</w:t>
      </w:r>
    </w:p>
    <w:p w:rsidR="00D159A7" w:rsidRPr="009B39E9" w:rsidRDefault="00D159A7" w:rsidP="00751FDA">
      <w:pPr>
        <w:tabs>
          <w:tab w:val="left" w:pos="284"/>
          <w:tab w:val="left" w:pos="567"/>
        </w:tabs>
        <w:spacing w:after="0" w:line="360" w:lineRule="auto"/>
        <w:jc w:val="both"/>
        <w:rPr>
          <w:rFonts w:ascii="Times New Roman" w:hAnsi="Times New Roman"/>
          <w:sz w:val="24"/>
          <w:szCs w:val="24"/>
          <w:lang w:val="en-US"/>
        </w:rPr>
      </w:pPr>
    </w:p>
    <w:p w:rsidR="00D159A7" w:rsidRPr="009B39E9" w:rsidRDefault="00D159A7" w:rsidP="00751FDA">
      <w:pPr>
        <w:pStyle w:val="ListParagraph"/>
        <w:numPr>
          <w:ilvl w:val="0"/>
          <w:numId w:val="20"/>
        </w:numPr>
        <w:tabs>
          <w:tab w:val="left" w:pos="284"/>
          <w:tab w:val="left" w:pos="567"/>
        </w:tabs>
        <w:spacing w:after="0" w:line="360" w:lineRule="auto"/>
        <w:ind w:left="567" w:hanging="207"/>
        <w:jc w:val="both"/>
        <w:rPr>
          <w:rFonts w:ascii="Times New Roman" w:hAnsi="Times New Roman"/>
          <w:sz w:val="24"/>
          <w:szCs w:val="24"/>
          <w:lang w:val="en-US"/>
        </w:rPr>
      </w:pPr>
      <w:r w:rsidRPr="009B39E9">
        <w:rPr>
          <w:rFonts w:ascii="Times New Roman" w:hAnsi="Times New Roman"/>
          <w:sz w:val="24"/>
          <w:szCs w:val="24"/>
          <w:lang w:val="en-US"/>
        </w:rPr>
        <w:t>The consideration by National Treasury of the recommendations of the study conducted by SALGA and the FFC on the Cost of Basic Services so that the Equitable Share review process factors some of the recommendations made;</w:t>
      </w:r>
    </w:p>
    <w:p w:rsidR="00D159A7" w:rsidRPr="009B39E9" w:rsidRDefault="00D159A7" w:rsidP="00751FDA">
      <w:pPr>
        <w:pStyle w:val="ListParagraph"/>
        <w:numPr>
          <w:ilvl w:val="0"/>
          <w:numId w:val="20"/>
        </w:numPr>
        <w:tabs>
          <w:tab w:val="left" w:pos="284"/>
          <w:tab w:val="left" w:pos="567"/>
        </w:tabs>
        <w:spacing w:after="0" w:line="360" w:lineRule="auto"/>
        <w:ind w:left="567" w:hanging="207"/>
        <w:jc w:val="both"/>
        <w:rPr>
          <w:rFonts w:ascii="Times New Roman" w:hAnsi="Times New Roman"/>
          <w:sz w:val="24"/>
          <w:szCs w:val="24"/>
          <w:lang w:val="en-US"/>
        </w:rPr>
      </w:pPr>
      <w:r w:rsidRPr="009B39E9">
        <w:rPr>
          <w:rFonts w:ascii="Times New Roman" w:hAnsi="Times New Roman"/>
          <w:sz w:val="24"/>
          <w:szCs w:val="24"/>
          <w:lang w:val="en-US"/>
        </w:rPr>
        <w:t>Of continuous concern is the allocation to local government which amounts to 9.1 per cent of the overall budget with (5 per cent Equitable Share, 3 per cent grants, 1 per cent indirect transfers, and  1 per cent of the fuel levy);</w:t>
      </w:r>
    </w:p>
    <w:p w:rsidR="00D159A7" w:rsidRPr="009B39E9" w:rsidRDefault="00D159A7" w:rsidP="00751FDA">
      <w:pPr>
        <w:pStyle w:val="ListParagraph"/>
        <w:numPr>
          <w:ilvl w:val="0"/>
          <w:numId w:val="20"/>
        </w:numPr>
        <w:tabs>
          <w:tab w:val="left" w:pos="284"/>
          <w:tab w:val="left" w:pos="567"/>
        </w:tabs>
        <w:spacing w:after="0" w:line="360" w:lineRule="auto"/>
        <w:ind w:left="567" w:hanging="207"/>
        <w:jc w:val="both"/>
        <w:rPr>
          <w:rFonts w:ascii="Times New Roman" w:hAnsi="Times New Roman"/>
          <w:sz w:val="24"/>
          <w:szCs w:val="24"/>
          <w:lang w:val="en-US"/>
        </w:rPr>
      </w:pPr>
      <w:r w:rsidRPr="009B39E9">
        <w:rPr>
          <w:rFonts w:ascii="Times New Roman" w:hAnsi="Times New Roman"/>
          <w:sz w:val="24"/>
          <w:szCs w:val="24"/>
          <w:lang w:val="en-US"/>
        </w:rPr>
        <w:lastRenderedPageBreak/>
        <w:t xml:space="preserve">There is a need for a continuous review of the allocation methods to address the fact that a number of municipalities are economically and financially unviable. The challenges faced by these </w:t>
      </w:r>
      <w:r w:rsidR="002F7ACA" w:rsidRPr="009B39E9">
        <w:rPr>
          <w:rFonts w:ascii="Times New Roman" w:hAnsi="Times New Roman"/>
          <w:sz w:val="24"/>
          <w:szCs w:val="24"/>
          <w:lang w:val="en-US"/>
        </w:rPr>
        <w:t>municipalities</w:t>
      </w:r>
      <w:r w:rsidRPr="009B39E9">
        <w:rPr>
          <w:rFonts w:ascii="Times New Roman" w:hAnsi="Times New Roman"/>
          <w:sz w:val="24"/>
          <w:szCs w:val="24"/>
          <w:lang w:val="en-US"/>
        </w:rPr>
        <w:t xml:space="preserve"> cannot be addressed through the demarcation instrument;</w:t>
      </w:r>
    </w:p>
    <w:p w:rsidR="00D159A7" w:rsidRPr="009B39E9" w:rsidRDefault="00D159A7" w:rsidP="00751FDA">
      <w:pPr>
        <w:pStyle w:val="ListParagraph"/>
        <w:numPr>
          <w:ilvl w:val="0"/>
          <w:numId w:val="20"/>
        </w:numPr>
        <w:tabs>
          <w:tab w:val="left" w:pos="284"/>
          <w:tab w:val="left" w:pos="567"/>
        </w:tabs>
        <w:spacing w:after="0" w:line="360" w:lineRule="auto"/>
        <w:ind w:left="567" w:hanging="207"/>
        <w:jc w:val="both"/>
        <w:rPr>
          <w:rFonts w:ascii="Times New Roman" w:hAnsi="Times New Roman"/>
          <w:sz w:val="24"/>
          <w:szCs w:val="24"/>
          <w:lang w:val="en-US"/>
        </w:rPr>
      </w:pPr>
      <w:r w:rsidRPr="009B39E9">
        <w:rPr>
          <w:rFonts w:ascii="Times New Roman" w:hAnsi="Times New Roman"/>
          <w:sz w:val="24"/>
          <w:szCs w:val="24"/>
          <w:lang w:val="en-US"/>
        </w:rPr>
        <w:t>SALGA will engage with National Treasury on the cost of traded services and the tariff increases granted by the National Energy Regulator South Africa (NERSA); and</w:t>
      </w:r>
    </w:p>
    <w:p w:rsidR="00D159A7" w:rsidRPr="009B39E9" w:rsidRDefault="00D159A7" w:rsidP="00751FDA">
      <w:pPr>
        <w:pStyle w:val="ListParagraph"/>
        <w:numPr>
          <w:ilvl w:val="0"/>
          <w:numId w:val="20"/>
        </w:numPr>
        <w:tabs>
          <w:tab w:val="left" w:pos="284"/>
          <w:tab w:val="left" w:pos="567"/>
        </w:tabs>
        <w:spacing w:after="0" w:line="360" w:lineRule="auto"/>
        <w:ind w:left="567" w:hanging="207"/>
        <w:jc w:val="both"/>
        <w:rPr>
          <w:rFonts w:ascii="Times New Roman" w:hAnsi="Times New Roman"/>
          <w:sz w:val="24"/>
          <w:szCs w:val="24"/>
          <w:lang w:val="en-US"/>
        </w:rPr>
      </w:pPr>
      <w:r w:rsidRPr="009B39E9">
        <w:rPr>
          <w:rFonts w:ascii="Times New Roman" w:hAnsi="Times New Roman"/>
          <w:sz w:val="24"/>
          <w:szCs w:val="24"/>
          <w:lang w:val="en-US"/>
        </w:rPr>
        <w:t>The increasing debt to municipalities has to be resolved as a matter of urgency otherwise it undermines the financial stability of local government.</w:t>
      </w:r>
    </w:p>
    <w:p w:rsidR="00D159A7" w:rsidRPr="009B39E9" w:rsidRDefault="00D159A7" w:rsidP="00751FDA">
      <w:pPr>
        <w:tabs>
          <w:tab w:val="left" w:pos="284"/>
          <w:tab w:val="left" w:pos="567"/>
        </w:tabs>
        <w:spacing w:after="0" w:line="360" w:lineRule="auto"/>
        <w:jc w:val="both"/>
        <w:rPr>
          <w:rFonts w:ascii="Times New Roman" w:hAnsi="Times New Roman"/>
          <w:b/>
          <w:sz w:val="24"/>
          <w:szCs w:val="24"/>
          <w:lang w:val="en-US"/>
        </w:rPr>
      </w:pPr>
    </w:p>
    <w:p w:rsidR="00DE2240" w:rsidRPr="009B39E9" w:rsidRDefault="00DE2240" w:rsidP="00751FDA">
      <w:pPr>
        <w:tabs>
          <w:tab w:val="left" w:pos="284"/>
          <w:tab w:val="left" w:pos="567"/>
        </w:tabs>
        <w:spacing w:after="0" w:line="360" w:lineRule="auto"/>
        <w:jc w:val="both"/>
        <w:rPr>
          <w:rFonts w:ascii="Times New Roman" w:hAnsi="Times New Roman"/>
          <w:b/>
          <w:sz w:val="24"/>
          <w:szCs w:val="24"/>
          <w:lang w:val="en-US"/>
        </w:rPr>
      </w:pPr>
    </w:p>
    <w:p w:rsidR="00DE2240" w:rsidRPr="009B39E9" w:rsidRDefault="00DE2240" w:rsidP="00751FDA">
      <w:pPr>
        <w:tabs>
          <w:tab w:val="left" w:pos="284"/>
          <w:tab w:val="left" w:pos="567"/>
        </w:tabs>
        <w:spacing w:after="0" w:line="360" w:lineRule="auto"/>
        <w:jc w:val="both"/>
        <w:rPr>
          <w:rFonts w:ascii="Times New Roman" w:hAnsi="Times New Roman"/>
          <w:b/>
          <w:sz w:val="24"/>
          <w:szCs w:val="24"/>
          <w:lang w:val="en-US"/>
        </w:rPr>
      </w:pPr>
      <w:r w:rsidRPr="009B39E9">
        <w:rPr>
          <w:rFonts w:ascii="Times New Roman" w:hAnsi="Times New Roman"/>
          <w:b/>
          <w:sz w:val="24"/>
          <w:szCs w:val="24"/>
          <w:lang w:val="en-US"/>
        </w:rPr>
        <w:t>3.3</w:t>
      </w:r>
      <w:r w:rsidRPr="009B39E9">
        <w:rPr>
          <w:rFonts w:ascii="Times New Roman" w:hAnsi="Times New Roman"/>
          <w:b/>
          <w:sz w:val="24"/>
          <w:szCs w:val="24"/>
          <w:lang w:val="en-US"/>
        </w:rPr>
        <w:tab/>
        <w:t>Equal Education</w:t>
      </w:r>
    </w:p>
    <w:p w:rsidR="00BF23FE" w:rsidRPr="009B39E9" w:rsidRDefault="00BF23FE" w:rsidP="00751FDA">
      <w:pPr>
        <w:tabs>
          <w:tab w:val="left" w:pos="284"/>
          <w:tab w:val="left" w:pos="567"/>
        </w:tabs>
        <w:spacing w:after="0" w:line="360" w:lineRule="auto"/>
        <w:jc w:val="both"/>
        <w:rPr>
          <w:rFonts w:ascii="Times New Roman" w:hAnsi="Times New Roman"/>
          <w:b/>
          <w:sz w:val="24"/>
          <w:szCs w:val="24"/>
          <w:lang w:val="en-US"/>
        </w:rPr>
      </w:pPr>
    </w:p>
    <w:p w:rsidR="00D159A7" w:rsidRPr="009B39E9" w:rsidRDefault="00D159A7" w:rsidP="00751FDA">
      <w:pPr>
        <w:tabs>
          <w:tab w:val="left" w:pos="284"/>
          <w:tab w:val="left" w:pos="567"/>
        </w:tabs>
        <w:spacing w:after="0" w:line="360" w:lineRule="auto"/>
        <w:jc w:val="both"/>
        <w:rPr>
          <w:rFonts w:ascii="Times New Roman" w:hAnsi="Times New Roman"/>
          <w:sz w:val="24"/>
          <w:szCs w:val="24"/>
          <w:lang w:val="en-US"/>
        </w:rPr>
      </w:pPr>
      <w:r w:rsidRPr="009B39E9">
        <w:rPr>
          <w:rFonts w:ascii="Times New Roman" w:hAnsi="Times New Roman"/>
          <w:sz w:val="24"/>
          <w:szCs w:val="24"/>
          <w:lang w:val="en-US"/>
        </w:rPr>
        <w:t>Equal Education</w:t>
      </w:r>
      <w:r w:rsidR="004362BF" w:rsidRPr="009B39E9">
        <w:rPr>
          <w:rFonts w:ascii="Times New Roman" w:hAnsi="Times New Roman"/>
          <w:sz w:val="24"/>
          <w:szCs w:val="24"/>
          <w:lang w:val="en-US"/>
        </w:rPr>
        <w:t xml:space="preserve"> (EE)</w:t>
      </w:r>
      <w:r w:rsidRPr="009B39E9">
        <w:rPr>
          <w:rFonts w:ascii="Times New Roman" w:hAnsi="Times New Roman"/>
          <w:sz w:val="24"/>
          <w:szCs w:val="24"/>
          <w:lang w:val="en-US"/>
        </w:rPr>
        <w:t xml:space="preserve"> in its submission on the 2017 Division of Revenue Bill highlighted concerns around the Equitable Share Formula with specific focus on redress, rurality and scholar transport within the basic education sector. It further commented on the progress by National Treasury on the recommendations made by the Committee regarding the possible introduction of a conditional grant for scholar transport. </w:t>
      </w:r>
    </w:p>
    <w:p w:rsidR="00D159A7" w:rsidRPr="009B39E9" w:rsidRDefault="00D159A7" w:rsidP="00751FDA">
      <w:pPr>
        <w:tabs>
          <w:tab w:val="left" w:pos="284"/>
          <w:tab w:val="left" w:pos="567"/>
        </w:tabs>
        <w:spacing w:after="0" w:line="360" w:lineRule="auto"/>
        <w:jc w:val="both"/>
        <w:rPr>
          <w:rFonts w:ascii="Times New Roman" w:hAnsi="Times New Roman"/>
          <w:sz w:val="24"/>
          <w:szCs w:val="24"/>
          <w:lang w:val="en-US"/>
        </w:rPr>
      </w:pPr>
    </w:p>
    <w:p w:rsidR="00D159A7" w:rsidRPr="009B39E9" w:rsidRDefault="004362BF" w:rsidP="00751FDA">
      <w:pPr>
        <w:tabs>
          <w:tab w:val="left" w:pos="284"/>
          <w:tab w:val="left" w:pos="567"/>
        </w:tabs>
        <w:spacing w:after="0" w:line="360" w:lineRule="auto"/>
        <w:jc w:val="both"/>
        <w:rPr>
          <w:rFonts w:ascii="Times New Roman" w:hAnsi="Times New Roman"/>
          <w:sz w:val="24"/>
          <w:szCs w:val="24"/>
          <w:lang w:val="en-US"/>
        </w:rPr>
      </w:pPr>
      <w:r w:rsidRPr="009B39E9">
        <w:rPr>
          <w:rFonts w:ascii="Times New Roman" w:hAnsi="Times New Roman"/>
          <w:sz w:val="24"/>
          <w:szCs w:val="24"/>
          <w:lang w:val="en-US"/>
        </w:rPr>
        <w:t>EE</w:t>
      </w:r>
      <w:r w:rsidR="00D159A7" w:rsidRPr="009B39E9">
        <w:rPr>
          <w:rFonts w:ascii="Times New Roman" w:hAnsi="Times New Roman"/>
          <w:sz w:val="24"/>
          <w:szCs w:val="24"/>
          <w:lang w:val="en-US"/>
        </w:rPr>
        <w:t xml:space="preserve"> submitted that the cost o</w:t>
      </w:r>
      <w:r w:rsidR="00E4078B" w:rsidRPr="009B39E9">
        <w:rPr>
          <w:rFonts w:ascii="Times New Roman" w:hAnsi="Times New Roman"/>
          <w:sz w:val="24"/>
          <w:szCs w:val="24"/>
          <w:lang w:val="en-US"/>
        </w:rPr>
        <w:t>f providing quality education in</w:t>
      </w:r>
      <w:r w:rsidR="00D159A7" w:rsidRPr="009B39E9">
        <w:rPr>
          <w:rFonts w:ascii="Times New Roman" w:hAnsi="Times New Roman"/>
          <w:sz w:val="24"/>
          <w:szCs w:val="24"/>
          <w:lang w:val="en-US"/>
        </w:rPr>
        <w:t xml:space="preserve"> rural provinces was substantially higher due to its historic underfunding and dire economic circumstances, as well as the geographic, infrastructural and demographic characteristics. </w:t>
      </w:r>
      <w:r w:rsidRPr="009B39E9">
        <w:rPr>
          <w:rFonts w:ascii="Times New Roman" w:hAnsi="Times New Roman"/>
          <w:sz w:val="24"/>
          <w:szCs w:val="24"/>
          <w:lang w:val="en-US"/>
        </w:rPr>
        <w:t>EE</w:t>
      </w:r>
      <w:r w:rsidR="00D159A7" w:rsidRPr="009B39E9">
        <w:rPr>
          <w:rFonts w:ascii="Times New Roman" w:hAnsi="Times New Roman"/>
          <w:sz w:val="24"/>
          <w:szCs w:val="24"/>
          <w:lang w:val="en-US"/>
        </w:rPr>
        <w:t xml:space="preserve"> further stated that while the 2017/18 budget should be lauded for taking some steps towards meeting the pressing needs in the Early Childhood Development and Higher Education Sectors, it however fails to comprehensively address the funding in education and other social services in a pro-poor manner across provinces, i.e. the link between poverty and rurality. </w:t>
      </w:r>
      <w:r w:rsidRPr="009B39E9">
        <w:rPr>
          <w:rFonts w:ascii="Times New Roman" w:hAnsi="Times New Roman"/>
          <w:sz w:val="24"/>
          <w:szCs w:val="24"/>
          <w:lang w:val="en-US"/>
        </w:rPr>
        <w:t>EE</w:t>
      </w:r>
      <w:r w:rsidR="00696BF2">
        <w:rPr>
          <w:rFonts w:ascii="Times New Roman" w:hAnsi="Times New Roman"/>
          <w:sz w:val="24"/>
          <w:szCs w:val="24"/>
          <w:lang w:val="en-US"/>
        </w:rPr>
        <w:t xml:space="preserve"> </w:t>
      </w:r>
      <w:r w:rsidR="00D159A7" w:rsidRPr="009B39E9">
        <w:rPr>
          <w:rFonts w:ascii="Times New Roman" w:hAnsi="Times New Roman"/>
          <w:sz w:val="24"/>
          <w:szCs w:val="24"/>
          <w:lang w:val="en-US"/>
        </w:rPr>
        <w:t xml:space="preserve">further submitted that in the exercise of revising the Equitable Share Formula, National Treasury should consider the true cost of providing adequate rural education, so as to ensure that those </w:t>
      </w:r>
      <w:r w:rsidR="008C4BE5" w:rsidRPr="009B39E9">
        <w:rPr>
          <w:rFonts w:ascii="Times New Roman" w:hAnsi="Times New Roman"/>
          <w:sz w:val="24"/>
          <w:szCs w:val="24"/>
          <w:lang w:val="en-US"/>
        </w:rPr>
        <w:t>most in</w:t>
      </w:r>
      <w:r w:rsidR="00D159A7" w:rsidRPr="009B39E9">
        <w:rPr>
          <w:rFonts w:ascii="Times New Roman" w:hAnsi="Times New Roman"/>
          <w:sz w:val="24"/>
          <w:szCs w:val="24"/>
          <w:lang w:val="en-US"/>
        </w:rPr>
        <w:t xml:space="preserve"> need receive  most aid.</w:t>
      </w:r>
    </w:p>
    <w:p w:rsidR="00D159A7" w:rsidRPr="009B39E9" w:rsidRDefault="00D159A7" w:rsidP="00751FDA">
      <w:pPr>
        <w:tabs>
          <w:tab w:val="left" w:pos="284"/>
          <w:tab w:val="left" w:pos="567"/>
        </w:tabs>
        <w:spacing w:after="0" w:line="360" w:lineRule="auto"/>
        <w:jc w:val="both"/>
        <w:rPr>
          <w:rFonts w:ascii="Times New Roman" w:hAnsi="Times New Roman"/>
          <w:sz w:val="24"/>
          <w:szCs w:val="24"/>
          <w:lang w:val="en-US"/>
        </w:rPr>
      </w:pPr>
    </w:p>
    <w:p w:rsidR="00D159A7" w:rsidRPr="009B39E9" w:rsidRDefault="00C218D7" w:rsidP="00751FDA">
      <w:pPr>
        <w:tabs>
          <w:tab w:val="left" w:pos="284"/>
          <w:tab w:val="left" w:pos="567"/>
        </w:tabs>
        <w:spacing w:after="0" w:line="360" w:lineRule="auto"/>
        <w:jc w:val="both"/>
        <w:rPr>
          <w:rFonts w:ascii="Times New Roman" w:hAnsi="Times New Roman"/>
          <w:sz w:val="24"/>
          <w:szCs w:val="24"/>
          <w:lang w:val="en-US"/>
        </w:rPr>
      </w:pPr>
      <w:r w:rsidRPr="009B39E9">
        <w:rPr>
          <w:rFonts w:ascii="Times New Roman" w:hAnsi="Times New Roman"/>
          <w:sz w:val="24"/>
          <w:szCs w:val="24"/>
          <w:lang w:val="en-US"/>
        </w:rPr>
        <w:lastRenderedPageBreak/>
        <w:t xml:space="preserve">Ordinary public schools in South Africa are organised in a system ranging from 1 to 5, with 5 being the most affluent and 1 being the poorest. Schools in quintile 1 to 3 are no fee schools therefore their funding comes from the state. </w:t>
      </w:r>
      <w:r w:rsidR="00D159A7" w:rsidRPr="009B39E9">
        <w:rPr>
          <w:rFonts w:ascii="Times New Roman" w:hAnsi="Times New Roman"/>
          <w:sz w:val="24"/>
          <w:szCs w:val="24"/>
          <w:lang w:val="en-US"/>
        </w:rPr>
        <w:t xml:space="preserve">EE submitted that a disproportionately high number of quintile 1 to 3 schools were located in rural provinces thus rendering the cost of education substantially higher than in urban provinces. </w:t>
      </w:r>
    </w:p>
    <w:p w:rsidR="00696BF2" w:rsidRDefault="00696BF2" w:rsidP="00751FDA">
      <w:pPr>
        <w:tabs>
          <w:tab w:val="left" w:pos="284"/>
          <w:tab w:val="left" w:pos="567"/>
        </w:tabs>
        <w:spacing w:after="0" w:line="360" w:lineRule="auto"/>
        <w:jc w:val="both"/>
        <w:rPr>
          <w:rFonts w:ascii="Times New Roman" w:hAnsi="Times New Roman"/>
          <w:sz w:val="24"/>
          <w:szCs w:val="24"/>
          <w:lang w:val="en-US"/>
        </w:rPr>
      </w:pPr>
    </w:p>
    <w:p w:rsidR="00D159A7" w:rsidRPr="009B39E9" w:rsidRDefault="00D159A7" w:rsidP="00751FDA">
      <w:pPr>
        <w:tabs>
          <w:tab w:val="left" w:pos="284"/>
          <w:tab w:val="left" w:pos="567"/>
        </w:tabs>
        <w:spacing w:after="0" w:line="360" w:lineRule="auto"/>
        <w:jc w:val="both"/>
        <w:rPr>
          <w:rFonts w:ascii="Times New Roman" w:hAnsi="Times New Roman"/>
          <w:sz w:val="24"/>
          <w:szCs w:val="24"/>
          <w:lang w:val="en-US"/>
        </w:rPr>
      </w:pPr>
      <w:r w:rsidRPr="009B39E9">
        <w:rPr>
          <w:rFonts w:ascii="Times New Roman" w:hAnsi="Times New Roman"/>
          <w:sz w:val="24"/>
          <w:szCs w:val="24"/>
          <w:lang w:val="en-US"/>
        </w:rPr>
        <w:t xml:space="preserve">With regard to the schools transport system, </w:t>
      </w:r>
      <w:r w:rsidR="00C218D7" w:rsidRPr="009B39E9">
        <w:rPr>
          <w:rFonts w:ascii="Times New Roman" w:hAnsi="Times New Roman"/>
          <w:sz w:val="24"/>
          <w:szCs w:val="24"/>
          <w:lang w:val="en-US"/>
        </w:rPr>
        <w:t>EE</w:t>
      </w:r>
      <w:r w:rsidRPr="009B39E9">
        <w:rPr>
          <w:rFonts w:ascii="Times New Roman" w:hAnsi="Times New Roman"/>
          <w:sz w:val="24"/>
          <w:szCs w:val="24"/>
          <w:lang w:val="en-US"/>
        </w:rPr>
        <w:t xml:space="preserve"> submitted that the challenges were still prevalent </w:t>
      </w:r>
      <w:r w:rsidR="00C218D7" w:rsidRPr="009B39E9">
        <w:rPr>
          <w:rFonts w:ascii="Times New Roman" w:hAnsi="Times New Roman"/>
          <w:sz w:val="24"/>
          <w:szCs w:val="24"/>
          <w:lang w:val="en-US"/>
        </w:rPr>
        <w:t xml:space="preserve">despite the fact that </w:t>
      </w:r>
      <w:r w:rsidRPr="009B39E9">
        <w:rPr>
          <w:rFonts w:ascii="Times New Roman" w:hAnsi="Times New Roman"/>
          <w:sz w:val="24"/>
          <w:szCs w:val="24"/>
          <w:lang w:val="en-US"/>
        </w:rPr>
        <w:t xml:space="preserve"> it </w:t>
      </w:r>
      <w:r w:rsidR="00C218D7" w:rsidRPr="009B39E9">
        <w:rPr>
          <w:rFonts w:ascii="Times New Roman" w:hAnsi="Times New Roman"/>
          <w:sz w:val="24"/>
          <w:szCs w:val="24"/>
          <w:lang w:val="en-US"/>
        </w:rPr>
        <w:t xml:space="preserve">had </w:t>
      </w:r>
      <w:r w:rsidRPr="009B39E9">
        <w:rPr>
          <w:rFonts w:ascii="Times New Roman" w:hAnsi="Times New Roman"/>
          <w:sz w:val="24"/>
          <w:szCs w:val="24"/>
          <w:lang w:val="en-US"/>
        </w:rPr>
        <w:t xml:space="preserve">made recommendations to the Committee in its submission on the 2016 Division of Revenue Bill. </w:t>
      </w:r>
      <w:r w:rsidR="00C218D7" w:rsidRPr="009B39E9">
        <w:rPr>
          <w:rFonts w:ascii="Times New Roman" w:hAnsi="Times New Roman"/>
          <w:sz w:val="24"/>
          <w:szCs w:val="24"/>
          <w:lang w:val="en-US"/>
        </w:rPr>
        <w:t>EE</w:t>
      </w:r>
      <w:r w:rsidRPr="009B39E9">
        <w:rPr>
          <w:rFonts w:ascii="Times New Roman" w:hAnsi="Times New Roman"/>
          <w:sz w:val="24"/>
          <w:szCs w:val="24"/>
          <w:lang w:val="en-US"/>
        </w:rPr>
        <w:t xml:space="preserve"> further reiterated the following key issues which impacted on effective funding and planning for scholar transport:</w:t>
      </w:r>
    </w:p>
    <w:p w:rsidR="00D159A7" w:rsidRPr="009B39E9" w:rsidRDefault="00D159A7" w:rsidP="00751FDA">
      <w:pPr>
        <w:tabs>
          <w:tab w:val="left" w:pos="284"/>
          <w:tab w:val="left" w:pos="567"/>
        </w:tabs>
        <w:spacing w:after="0" w:line="360" w:lineRule="auto"/>
        <w:jc w:val="both"/>
        <w:rPr>
          <w:rFonts w:ascii="Times New Roman" w:hAnsi="Times New Roman"/>
          <w:sz w:val="24"/>
          <w:szCs w:val="24"/>
          <w:lang w:val="en-US"/>
        </w:rPr>
      </w:pPr>
    </w:p>
    <w:p w:rsidR="00D159A7" w:rsidRPr="009B39E9" w:rsidRDefault="00D159A7" w:rsidP="00751FDA">
      <w:pPr>
        <w:pStyle w:val="ListParagraph"/>
        <w:numPr>
          <w:ilvl w:val="0"/>
          <w:numId w:val="23"/>
        </w:numPr>
        <w:tabs>
          <w:tab w:val="left" w:pos="284"/>
          <w:tab w:val="left" w:pos="851"/>
        </w:tabs>
        <w:spacing w:after="0" w:line="360" w:lineRule="auto"/>
        <w:ind w:left="709" w:hanging="293"/>
        <w:jc w:val="both"/>
        <w:rPr>
          <w:rFonts w:ascii="Times New Roman" w:hAnsi="Times New Roman"/>
          <w:sz w:val="24"/>
          <w:szCs w:val="24"/>
          <w:lang w:val="en-US"/>
        </w:rPr>
      </w:pPr>
      <w:r w:rsidRPr="009B39E9">
        <w:rPr>
          <w:rFonts w:ascii="Times New Roman" w:hAnsi="Times New Roman"/>
          <w:sz w:val="24"/>
          <w:szCs w:val="24"/>
          <w:lang w:val="en-US"/>
        </w:rPr>
        <w:t>Ineffective coordination between the Departments of Transport and the Department of Basic Education;</w:t>
      </w:r>
    </w:p>
    <w:p w:rsidR="00D159A7" w:rsidRPr="009B39E9" w:rsidRDefault="00D159A7" w:rsidP="00751FDA">
      <w:pPr>
        <w:pStyle w:val="ListParagraph"/>
        <w:numPr>
          <w:ilvl w:val="0"/>
          <w:numId w:val="23"/>
        </w:numPr>
        <w:tabs>
          <w:tab w:val="left" w:pos="284"/>
          <w:tab w:val="left" w:pos="851"/>
        </w:tabs>
        <w:spacing w:after="0" w:line="360" w:lineRule="auto"/>
        <w:ind w:left="709" w:hanging="293"/>
        <w:jc w:val="both"/>
        <w:rPr>
          <w:rFonts w:ascii="Times New Roman" w:hAnsi="Times New Roman"/>
          <w:sz w:val="24"/>
          <w:szCs w:val="24"/>
          <w:lang w:val="en-US"/>
        </w:rPr>
      </w:pPr>
      <w:r w:rsidRPr="009B39E9">
        <w:rPr>
          <w:rFonts w:ascii="Times New Roman" w:hAnsi="Times New Roman"/>
          <w:sz w:val="24"/>
          <w:szCs w:val="24"/>
          <w:lang w:val="en-US"/>
        </w:rPr>
        <w:t>Inaccurate and inconsistent data on the number of learners in need of scholar transport;</w:t>
      </w:r>
    </w:p>
    <w:p w:rsidR="00D159A7" w:rsidRPr="009B39E9" w:rsidRDefault="00D159A7" w:rsidP="00751FDA">
      <w:pPr>
        <w:pStyle w:val="ListParagraph"/>
        <w:numPr>
          <w:ilvl w:val="0"/>
          <w:numId w:val="23"/>
        </w:numPr>
        <w:tabs>
          <w:tab w:val="left" w:pos="284"/>
          <w:tab w:val="left" w:pos="851"/>
        </w:tabs>
        <w:spacing w:after="0" w:line="360" w:lineRule="auto"/>
        <w:ind w:left="709" w:hanging="293"/>
        <w:jc w:val="both"/>
        <w:rPr>
          <w:rFonts w:ascii="Times New Roman" w:hAnsi="Times New Roman"/>
          <w:sz w:val="24"/>
          <w:szCs w:val="24"/>
          <w:lang w:val="en-US"/>
        </w:rPr>
      </w:pPr>
      <w:r w:rsidRPr="009B39E9">
        <w:rPr>
          <w:rFonts w:ascii="Times New Roman" w:hAnsi="Times New Roman"/>
          <w:sz w:val="24"/>
          <w:szCs w:val="24"/>
          <w:lang w:val="en-US"/>
        </w:rPr>
        <w:t xml:space="preserve">Consistent under-funding and under-budgeting for scholar transport by provinces, particularly rural provinces. </w:t>
      </w:r>
    </w:p>
    <w:p w:rsidR="00D159A7" w:rsidRPr="009B39E9" w:rsidRDefault="00D159A7" w:rsidP="00751FDA">
      <w:pPr>
        <w:tabs>
          <w:tab w:val="left" w:pos="284"/>
          <w:tab w:val="left" w:pos="567"/>
        </w:tabs>
        <w:spacing w:after="0" w:line="360" w:lineRule="auto"/>
        <w:jc w:val="both"/>
        <w:rPr>
          <w:rFonts w:ascii="Times New Roman" w:hAnsi="Times New Roman"/>
          <w:sz w:val="24"/>
          <w:szCs w:val="24"/>
          <w:lang w:val="en-US"/>
        </w:rPr>
      </w:pPr>
    </w:p>
    <w:p w:rsidR="00D159A7" w:rsidRPr="009B39E9" w:rsidRDefault="00D159A7" w:rsidP="00751FDA">
      <w:pPr>
        <w:tabs>
          <w:tab w:val="left" w:pos="284"/>
          <w:tab w:val="left" w:pos="567"/>
        </w:tabs>
        <w:spacing w:after="0" w:line="360" w:lineRule="auto"/>
        <w:jc w:val="both"/>
        <w:rPr>
          <w:rFonts w:ascii="Times New Roman" w:hAnsi="Times New Roman"/>
          <w:sz w:val="24"/>
          <w:szCs w:val="24"/>
          <w:lang w:val="en-US"/>
        </w:rPr>
      </w:pPr>
      <w:r w:rsidRPr="009B39E9">
        <w:rPr>
          <w:rFonts w:ascii="Times New Roman" w:hAnsi="Times New Roman"/>
          <w:sz w:val="24"/>
          <w:szCs w:val="24"/>
          <w:lang w:val="en-US"/>
        </w:rPr>
        <w:t>Equal Education made the following recommendations on the 2017 Division of Revenue Bill:</w:t>
      </w:r>
    </w:p>
    <w:p w:rsidR="00D159A7" w:rsidRPr="009B39E9" w:rsidRDefault="00D159A7" w:rsidP="00751FDA">
      <w:pPr>
        <w:tabs>
          <w:tab w:val="left" w:pos="284"/>
          <w:tab w:val="left" w:pos="567"/>
        </w:tabs>
        <w:spacing w:after="0" w:line="360" w:lineRule="auto"/>
        <w:jc w:val="both"/>
        <w:rPr>
          <w:rFonts w:ascii="Times New Roman" w:hAnsi="Times New Roman"/>
          <w:sz w:val="24"/>
          <w:szCs w:val="24"/>
          <w:lang w:val="en-US"/>
        </w:rPr>
      </w:pPr>
    </w:p>
    <w:p w:rsidR="00D159A7" w:rsidRPr="009B39E9" w:rsidRDefault="00D159A7" w:rsidP="00751FDA">
      <w:pPr>
        <w:pStyle w:val="ListParagraph"/>
        <w:numPr>
          <w:ilvl w:val="0"/>
          <w:numId w:val="27"/>
        </w:numPr>
        <w:tabs>
          <w:tab w:val="left" w:pos="284"/>
          <w:tab w:val="left" w:pos="567"/>
        </w:tabs>
        <w:spacing w:after="0" w:line="360" w:lineRule="auto"/>
        <w:jc w:val="both"/>
        <w:rPr>
          <w:rFonts w:ascii="Times New Roman" w:hAnsi="Times New Roman"/>
          <w:sz w:val="24"/>
          <w:szCs w:val="24"/>
          <w:lang w:val="en-US"/>
        </w:rPr>
      </w:pPr>
      <w:r w:rsidRPr="009B39E9">
        <w:rPr>
          <w:rFonts w:ascii="Times New Roman" w:hAnsi="Times New Roman"/>
          <w:sz w:val="24"/>
          <w:szCs w:val="24"/>
          <w:lang w:val="en-US"/>
        </w:rPr>
        <w:t>That National Treasury make</w:t>
      </w:r>
      <w:r w:rsidR="00C218D7" w:rsidRPr="009B39E9">
        <w:rPr>
          <w:rFonts w:ascii="Times New Roman" w:hAnsi="Times New Roman"/>
          <w:sz w:val="24"/>
          <w:szCs w:val="24"/>
          <w:lang w:val="en-US"/>
        </w:rPr>
        <w:t>s</w:t>
      </w:r>
      <w:r w:rsidRPr="009B39E9">
        <w:rPr>
          <w:rFonts w:ascii="Times New Roman" w:hAnsi="Times New Roman"/>
          <w:sz w:val="24"/>
          <w:szCs w:val="24"/>
          <w:lang w:val="en-US"/>
        </w:rPr>
        <w:t xml:space="preserve"> a solid commitment to revising the Equitable Share Formula (ESF) to:</w:t>
      </w:r>
    </w:p>
    <w:p w:rsidR="00D159A7" w:rsidRPr="009B39E9" w:rsidRDefault="00D159A7" w:rsidP="00751FDA">
      <w:pPr>
        <w:pStyle w:val="ListParagraph"/>
        <w:numPr>
          <w:ilvl w:val="0"/>
          <w:numId w:val="21"/>
        </w:numPr>
        <w:tabs>
          <w:tab w:val="left" w:pos="284"/>
          <w:tab w:val="left" w:pos="567"/>
        </w:tabs>
        <w:spacing w:after="0" w:line="360" w:lineRule="auto"/>
        <w:jc w:val="both"/>
        <w:rPr>
          <w:rFonts w:ascii="Times New Roman" w:hAnsi="Times New Roman"/>
          <w:sz w:val="24"/>
          <w:szCs w:val="24"/>
          <w:lang w:val="en-US"/>
        </w:rPr>
      </w:pPr>
      <w:r w:rsidRPr="009B39E9">
        <w:rPr>
          <w:rFonts w:ascii="Times New Roman" w:hAnsi="Times New Roman"/>
          <w:sz w:val="24"/>
          <w:szCs w:val="24"/>
          <w:lang w:val="en-US"/>
        </w:rPr>
        <w:t>Take into account the costs of education provisioning in rural areas,</w:t>
      </w:r>
    </w:p>
    <w:p w:rsidR="00D159A7" w:rsidRPr="009B39E9" w:rsidRDefault="00D159A7" w:rsidP="00751FDA">
      <w:pPr>
        <w:pStyle w:val="ListParagraph"/>
        <w:numPr>
          <w:ilvl w:val="0"/>
          <w:numId w:val="21"/>
        </w:numPr>
        <w:tabs>
          <w:tab w:val="left" w:pos="284"/>
          <w:tab w:val="left" w:pos="567"/>
        </w:tabs>
        <w:spacing w:after="0" w:line="360" w:lineRule="auto"/>
        <w:jc w:val="both"/>
        <w:rPr>
          <w:rFonts w:ascii="Times New Roman" w:hAnsi="Times New Roman"/>
          <w:sz w:val="24"/>
          <w:szCs w:val="24"/>
          <w:lang w:val="en-US"/>
        </w:rPr>
      </w:pPr>
      <w:r w:rsidRPr="009B39E9">
        <w:rPr>
          <w:rFonts w:ascii="Times New Roman" w:hAnsi="Times New Roman"/>
          <w:sz w:val="24"/>
          <w:szCs w:val="24"/>
          <w:lang w:val="en-US"/>
        </w:rPr>
        <w:t>Increasing the poverty component of the formula;</w:t>
      </w:r>
    </w:p>
    <w:p w:rsidR="00D159A7" w:rsidRPr="009B39E9" w:rsidRDefault="00D159A7" w:rsidP="00751FDA">
      <w:pPr>
        <w:pStyle w:val="ListParagraph"/>
        <w:numPr>
          <w:ilvl w:val="0"/>
          <w:numId w:val="27"/>
        </w:numPr>
        <w:tabs>
          <w:tab w:val="left" w:pos="284"/>
          <w:tab w:val="left" w:pos="567"/>
        </w:tabs>
        <w:spacing w:after="0" w:line="360" w:lineRule="auto"/>
        <w:jc w:val="both"/>
        <w:rPr>
          <w:rFonts w:ascii="Times New Roman" w:hAnsi="Times New Roman"/>
          <w:sz w:val="24"/>
          <w:szCs w:val="24"/>
          <w:lang w:val="en-US"/>
        </w:rPr>
      </w:pPr>
      <w:r w:rsidRPr="009B39E9">
        <w:rPr>
          <w:rFonts w:ascii="Times New Roman" w:hAnsi="Times New Roman"/>
          <w:sz w:val="24"/>
          <w:szCs w:val="24"/>
          <w:lang w:val="en-US"/>
        </w:rPr>
        <w:t>The timeframe for the Equitable Share review be made public;</w:t>
      </w:r>
    </w:p>
    <w:p w:rsidR="00D159A7" w:rsidRPr="009B39E9" w:rsidRDefault="00D159A7" w:rsidP="00751FDA">
      <w:pPr>
        <w:pStyle w:val="ListParagraph"/>
        <w:numPr>
          <w:ilvl w:val="0"/>
          <w:numId w:val="27"/>
        </w:numPr>
        <w:tabs>
          <w:tab w:val="left" w:pos="284"/>
          <w:tab w:val="left" w:pos="567"/>
        </w:tabs>
        <w:spacing w:after="0" w:line="360" w:lineRule="auto"/>
        <w:jc w:val="both"/>
        <w:rPr>
          <w:rFonts w:ascii="Times New Roman" w:hAnsi="Times New Roman"/>
          <w:sz w:val="24"/>
          <w:szCs w:val="24"/>
          <w:lang w:val="en-US"/>
        </w:rPr>
      </w:pPr>
      <w:r w:rsidRPr="009B39E9">
        <w:rPr>
          <w:rFonts w:ascii="Times New Roman" w:hAnsi="Times New Roman"/>
          <w:sz w:val="24"/>
          <w:szCs w:val="24"/>
          <w:lang w:val="en-US"/>
        </w:rPr>
        <w:t>The Review should include a period of public consultation on proposed models for the n</w:t>
      </w:r>
      <w:r w:rsidR="00463FEA" w:rsidRPr="009B39E9">
        <w:rPr>
          <w:rFonts w:ascii="Times New Roman" w:hAnsi="Times New Roman"/>
          <w:sz w:val="24"/>
          <w:szCs w:val="24"/>
          <w:lang w:val="en-US"/>
        </w:rPr>
        <w:t>ew ESF;</w:t>
      </w:r>
    </w:p>
    <w:p w:rsidR="00D159A7" w:rsidRPr="009B39E9" w:rsidRDefault="00C218D7" w:rsidP="00751FDA">
      <w:pPr>
        <w:pStyle w:val="ListParagraph"/>
        <w:numPr>
          <w:ilvl w:val="0"/>
          <w:numId w:val="27"/>
        </w:numPr>
        <w:tabs>
          <w:tab w:val="left" w:pos="284"/>
          <w:tab w:val="left" w:pos="567"/>
        </w:tabs>
        <w:spacing w:after="0" w:line="360" w:lineRule="auto"/>
        <w:jc w:val="both"/>
        <w:rPr>
          <w:rFonts w:ascii="Times New Roman" w:hAnsi="Times New Roman"/>
          <w:sz w:val="24"/>
          <w:szCs w:val="24"/>
          <w:lang w:val="en-US"/>
        </w:rPr>
      </w:pPr>
      <w:r w:rsidRPr="009B39E9">
        <w:rPr>
          <w:rFonts w:ascii="Times New Roman" w:hAnsi="Times New Roman"/>
          <w:sz w:val="24"/>
          <w:szCs w:val="24"/>
          <w:lang w:val="en-US"/>
        </w:rPr>
        <w:t>EE recommends that the</w:t>
      </w:r>
      <w:r w:rsidR="00D159A7" w:rsidRPr="009B39E9">
        <w:rPr>
          <w:rFonts w:ascii="Times New Roman" w:hAnsi="Times New Roman"/>
          <w:sz w:val="24"/>
          <w:szCs w:val="24"/>
          <w:lang w:val="en-US"/>
        </w:rPr>
        <w:t xml:space="preserve"> Committee reiterate its previous recommendation on the 201</w:t>
      </w:r>
      <w:r w:rsidR="005D4C97" w:rsidRPr="009B39E9">
        <w:rPr>
          <w:rFonts w:ascii="Times New Roman" w:hAnsi="Times New Roman"/>
          <w:sz w:val="24"/>
          <w:szCs w:val="24"/>
          <w:lang w:val="en-US"/>
        </w:rPr>
        <w:t>5</w:t>
      </w:r>
      <w:r w:rsidR="00D159A7" w:rsidRPr="009B39E9">
        <w:rPr>
          <w:rFonts w:ascii="Times New Roman" w:hAnsi="Times New Roman"/>
          <w:sz w:val="24"/>
          <w:szCs w:val="24"/>
          <w:lang w:val="en-US"/>
        </w:rPr>
        <w:t xml:space="preserve"> Division of Revenue Bill that a conditional grant should be properly c</w:t>
      </w:r>
      <w:r w:rsidR="00463FEA" w:rsidRPr="009B39E9">
        <w:rPr>
          <w:rFonts w:ascii="Times New Roman" w:hAnsi="Times New Roman"/>
          <w:sz w:val="24"/>
          <w:szCs w:val="24"/>
          <w:lang w:val="en-US"/>
        </w:rPr>
        <w:t>onsidered for scholar transport; and</w:t>
      </w:r>
    </w:p>
    <w:p w:rsidR="00D159A7" w:rsidRPr="009B39E9" w:rsidRDefault="00C218D7" w:rsidP="00751FDA">
      <w:pPr>
        <w:pStyle w:val="ListParagraph"/>
        <w:numPr>
          <w:ilvl w:val="0"/>
          <w:numId w:val="27"/>
        </w:numPr>
        <w:tabs>
          <w:tab w:val="left" w:pos="284"/>
          <w:tab w:val="left" w:pos="567"/>
        </w:tabs>
        <w:spacing w:after="0" w:line="360" w:lineRule="auto"/>
        <w:jc w:val="both"/>
        <w:rPr>
          <w:rFonts w:ascii="Times New Roman" w:hAnsi="Times New Roman"/>
          <w:sz w:val="24"/>
          <w:szCs w:val="24"/>
          <w:lang w:val="en-US"/>
        </w:rPr>
      </w:pPr>
      <w:r w:rsidRPr="009B39E9">
        <w:rPr>
          <w:rFonts w:ascii="Times New Roman" w:hAnsi="Times New Roman"/>
          <w:sz w:val="24"/>
          <w:szCs w:val="24"/>
          <w:lang w:val="en-US"/>
        </w:rPr>
        <w:lastRenderedPageBreak/>
        <w:t>EE recommends that the</w:t>
      </w:r>
      <w:r w:rsidR="00D159A7" w:rsidRPr="009B39E9">
        <w:rPr>
          <w:rFonts w:ascii="Times New Roman" w:hAnsi="Times New Roman"/>
          <w:sz w:val="24"/>
          <w:szCs w:val="24"/>
          <w:lang w:val="en-US"/>
        </w:rPr>
        <w:t xml:space="preserve"> Committee call National Treasury to account on all the steps taken toward the design and implementation of a conditional grant, including steps to engage relevant stakeholders. </w:t>
      </w:r>
    </w:p>
    <w:p w:rsidR="00DE2240" w:rsidRPr="009B39E9" w:rsidRDefault="00DE2240" w:rsidP="00751FDA">
      <w:pPr>
        <w:tabs>
          <w:tab w:val="left" w:pos="284"/>
          <w:tab w:val="left" w:pos="567"/>
        </w:tabs>
        <w:spacing w:after="0" w:line="360" w:lineRule="auto"/>
        <w:jc w:val="both"/>
        <w:rPr>
          <w:rFonts w:ascii="Times New Roman" w:hAnsi="Times New Roman"/>
          <w:b/>
          <w:sz w:val="24"/>
          <w:szCs w:val="24"/>
          <w:lang w:val="en-US"/>
        </w:rPr>
      </w:pPr>
    </w:p>
    <w:p w:rsidR="003A30A3" w:rsidRPr="009B39E9" w:rsidRDefault="00DE2240" w:rsidP="00751FDA">
      <w:pPr>
        <w:tabs>
          <w:tab w:val="left" w:pos="284"/>
          <w:tab w:val="left" w:pos="567"/>
        </w:tabs>
        <w:spacing w:after="0" w:line="360" w:lineRule="auto"/>
        <w:jc w:val="both"/>
        <w:rPr>
          <w:rFonts w:ascii="Times New Roman" w:hAnsi="Times New Roman"/>
          <w:b/>
          <w:sz w:val="24"/>
          <w:szCs w:val="24"/>
          <w:lang w:val="en-US"/>
        </w:rPr>
      </w:pPr>
      <w:r w:rsidRPr="009B39E9">
        <w:rPr>
          <w:rFonts w:ascii="Times New Roman" w:hAnsi="Times New Roman"/>
          <w:b/>
          <w:sz w:val="24"/>
          <w:szCs w:val="24"/>
          <w:lang w:val="en-US"/>
        </w:rPr>
        <w:t>3.4</w:t>
      </w:r>
      <w:r w:rsidRPr="009B39E9">
        <w:rPr>
          <w:rFonts w:ascii="Times New Roman" w:hAnsi="Times New Roman"/>
          <w:b/>
          <w:sz w:val="24"/>
          <w:szCs w:val="24"/>
          <w:lang w:val="en-US"/>
        </w:rPr>
        <w:tab/>
      </w:r>
      <w:r w:rsidR="003A30A3" w:rsidRPr="009B39E9">
        <w:rPr>
          <w:rFonts w:ascii="Times New Roman" w:hAnsi="Times New Roman"/>
          <w:b/>
          <w:sz w:val="24"/>
          <w:szCs w:val="24"/>
          <w:lang w:val="en-US"/>
        </w:rPr>
        <w:t>Rural Health Advocacy Project</w:t>
      </w:r>
    </w:p>
    <w:p w:rsidR="00595F22" w:rsidRPr="009B39E9" w:rsidRDefault="00595F22" w:rsidP="00751FDA">
      <w:pPr>
        <w:tabs>
          <w:tab w:val="left" w:pos="284"/>
          <w:tab w:val="left" w:pos="567"/>
        </w:tabs>
        <w:spacing w:after="0" w:line="360" w:lineRule="auto"/>
        <w:jc w:val="both"/>
        <w:rPr>
          <w:rFonts w:ascii="Times New Roman" w:hAnsi="Times New Roman"/>
          <w:b/>
          <w:sz w:val="24"/>
          <w:szCs w:val="24"/>
          <w:lang w:val="en-US"/>
        </w:rPr>
      </w:pPr>
    </w:p>
    <w:p w:rsidR="00165C44" w:rsidRPr="009B39E9" w:rsidRDefault="00595F22" w:rsidP="00751FDA">
      <w:pPr>
        <w:tabs>
          <w:tab w:val="left" w:pos="284"/>
          <w:tab w:val="left" w:pos="567"/>
        </w:tabs>
        <w:spacing w:after="0" w:line="360" w:lineRule="auto"/>
        <w:jc w:val="both"/>
        <w:rPr>
          <w:rFonts w:ascii="Times New Roman" w:hAnsi="Times New Roman"/>
          <w:sz w:val="24"/>
          <w:szCs w:val="24"/>
          <w:lang w:val="en-US"/>
        </w:rPr>
      </w:pPr>
      <w:r w:rsidRPr="009B39E9">
        <w:rPr>
          <w:rFonts w:ascii="Times New Roman" w:hAnsi="Times New Roman"/>
          <w:sz w:val="24"/>
          <w:szCs w:val="24"/>
          <w:lang w:val="en-US"/>
        </w:rPr>
        <w:t xml:space="preserve">The submission by Rural Health Advocacy Project (RHAP) focused on aspects of the budget that relate to the health of rural communities. </w:t>
      </w:r>
      <w:r w:rsidR="00165C44" w:rsidRPr="009B39E9">
        <w:rPr>
          <w:rFonts w:ascii="Times New Roman" w:hAnsi="Times New Roman"/>
          <w:sz w:val="24"/>
          <w:szCs w:val="24"/>
          <w:lang w:val="en-US"/>
        </w:rPr>
        <w:t>RHAP noted that health expenditure has grown in real terms by about 1.3 per cent between 2012/13 and 2018/19</w:t>
      </w:r>
      <w:r w:rsidR="003422C6" w:rsidRPr="009B39E9">
        <w:rPr>
          <w:rFonts w:ascii="Times New Roman" w:hAnsi="Times New Roman"/>
          <w:sz w:val="24"/>
          <w:szCs w:val="24"/>
          <w:lang w:val="en-US"/>
        </w:rPr>
        <w:t xml:space="preserve"> and that expenditure is driven by the expansion of ART programmes and increased drug prices</w:t>
      </w:r>
      <w:r w:rsidR="005E6C4E" w:rsidRPr="009B39E9">
        <w:rPr>
          <w:rFonts w:ascii="Times New Roman" w:hAnsi="Times New Roman"/>
          <w:sz w:val="24"/>
          <w:szCs w:val="24"/>
          <w:lang w:val="en-US"/>
        </w:rPr>
        <w:t>. RHAP</w:t>
      </w:r>
      <w:r w:rsidR="003422C6" w:rsidRPr="009B39E9">
        <w:rPr>
          <w:rFonts w:ascii="Times New Roman" w:hAnsi="Times New Roman"/>
          <w:sz w:val="24"/>
          <w:szCs w:val="24"/>
          <w:lang w:val="en-US"/>
        </w:rPr>
        <w:t xml:space="preserve"> also</w:t>
      </w:r>
      <w:r w:rsidR="005E6C4E" w:rsidRPr="009B39E9">
        <w:rPr>
          <w:rFonts w:ascii="Times New Roman" w:hAnsi="Times New Roman"/>
          <w:sz w:val="24"/>
          <w:szCs w:val="24"/>
          <w:lang w:val="en-US"/>
        </w:rPr>
        <w:t xml:space="preserve"> observed that there is continued pressure on health budgets due to high drug prices and cost of employment increases. </w:t>
      </w:r>
      <w:r w:rsidR="00165C44" w:rsidRPr="009B39E9">
        <w:rPr>
          <w:rFonts w:ascii="Times New Roman" w:hAnsi="Times New Roman"/>
          <w:sz w:val="24"/>
          <w:szCs w:val="24"/>
          <w:lang w:val="en-US"/>
        </w:rPr>
        <w:t xml:space="preserve"> </w:t>
      </w:r>
      <w:r w:rsidR="003422C6" w:rsidRPr="009B39E9">
        <w:rPr>
          <w:rFonts w:ascii="Times New Roman" w:hAnsi="Times New Roman"/>
          <w:sz w:val="24"/>
          <w:szCs w:val="24"/>
          <w:lang w:val="en-US"/>
        </w:rPr>
        <w:t>They also highlighted that there is a rising burden of non-communicable diseases and unless this is planned for it could result in massive downstream costs to the health systems.</w:t>
      </w:r>
    </w:p>
    <w:p w:rsidR="00165C44" w:rsidRPr="009B39E9" w:rsidRDefault="00165C44" w:rsidP="00751FDA">
      <w:pPr>
        <w:tabs>
          <w:tab w:val="left" w:pos="284"/>
          <w:tab w:val="left" w:pos="567"/>
        </w:tabs>
        <w:spacing w:after="0" w:line="360" w:lineRule="auto"/>
        <w:jc w:val="both"/>
        <w:rPr>
          <w:rFonts w:ascii="Times New Roman" w:hAnsi="Times New Roman"/>
          <w:sz w:val="24"/>
          <w:szCs w:val="24"/>
          <w:lang w:val="en-US"/>
        </w:rPr>
      </w:pPr>
    </w:p>
    <w:p w:rsidR="00595F22" w:rsidRPr="009B39E9" w:rsidRDefault="00595F22" w:rsidP="00751FDA">
      <w:pPr>
        <w:tabs>
          <w:tab w:val="left" w:pos="284"/>
          <w:tab w:val="left" w:pos="567"/>
        </w:tabs>
        <w:spacing w:after="0" w:line="360" w:lineRule="auto"/>
        <w:jc w:val="both"/>
        <w:rPr>
          <w:rFonts w:ascii="Times New Roman" w:hAnsi="Times New Roman"/>
          <w:sz w:val="24"/>
          <w:szCs w:val="24"/>
          <w:lang w:val="en-US"/>
        </w:rPr>
      </w:pPr>
      <w:r w:rsidRPr="009B39E9">
        <w:rPr>
          <w:rFonts w:ascii="Times New Roman" w:hAnsi="Times New Roman"/>
          <w:sz w:val="24"/>
          <w:szCs w:val="24"/>
          <w:lang w:val="en-US"/>
        </w:rPr>
        <w:t>RHAP made reference to the Minister</w:t>
      </w:r>
      <w:r w:rsidR="00141298" w:rsidRPr="009B39E9">
        <w:rPr>
          <w:rFonts w:ascii="Times New Roman" w:hAnsi="Times New Roman"/>
          <w:sz w:val="24"/>
          <w:szCs w:val="24"/>
          <w:lang w:val="en-US"/>
        </w:rPr>
        <w:t xml:space="preserve"> of Finance’s</w:t>
      </w:r>
      <w:r w:rsidRPr="009B39E9">
        <w:rPr>
          <w:rFonts w:ascii="Times New Roman" w:hAnsi="Times New Roman"/>
          <w:sz w:val="24"/>
          <w:szCs w:val="24"/>
          <w:lang w:val="en-US"/>
        </w:rPr>
        <w:t xml:space="preserve"> announcement that rural provinces will continue to receive </w:t>
      </w:r>
      <w:r w:rsidR="00141298" w:rsidRPr="009B39E9">
        <w:rPr>
          <w:rFonts w:ascii="Times New Roman" w:hAnsi="Times New Roman"/>
          <w:sz w:val="24"/>
          <w:szCs w:val="24"/>
          <w:lang w:val="en-US"/>
        </w:rPr>
        <w:t xml:space="preserve">a </w:t>
      </w:r>
      <w:r w:rsidRPr="009B39E9">
        <w:rPr>
          <w:rFonts w:ascii="Times New Roman" w:hAnsi="Times New Roman"/>
          <w:sz w:val="24"/>
          <w:szCs w:val="24"/>
          <w:lang w:val="en-US"/>
        </w:rPr>
        <w:t xml:space="preserve">higher per capita proportion of </w:t>
      </w:r>
      <w:r w:rsidR="00141298" w:rsidRPr="009B39E9">
        <w:rPr>
          <w:rFonts w:ascii="Times New Roman" w:hAnsi="Times New Roman"/>
          <w:sz w:val="24"/>
          <w:szCs w:val="24"/>
          <w:lang w:val="en-US"/>
        </w:rPr>
        <w:t xml:space="preserve">the </w:t>
      </w:r>
      <w:r w:rsidRPr="009B39E9">
        <w:rPr>
          <w:rFonts w:ascii="Times New Roman" w:hAnsi="Times New Roman"/>
          <w:sz w:val="24"/>
          <w:szCs w:val="24"/>
          <w:lang w:val="en-US"/>
        </w:rPr>
        <w:t>e</w:t>
      </w:r>
      <w:r w:rsidR="00141298" w:rsidRPr="009B39E9">
        <w:rPr>
          <w:rFonts w:ascii="Times New Roman" w:hAnsi="Times New Roman"/>
          <w:sz w:val="24"/>
          <w:szCs w:val="24"/>
          <w:lang w:val="en-US"/>
        </w:rPr>
        <w:t>quitable share allocation</w:t>
      </w:r>
      <w:r w:rsidR="00A10DA8" w:rsidRPr="009B39E9">
        <w:rPr>
          <w:rFonts w:ascii="Times New Roman" w:hAnsi="Times New Roman"/>
          <w:sz w:val="24"/>
          <w:szCs w:val="24"/>
          <w:lang w:val="en-US"/>
        </w:rPr>
        <w:t xml:space="preserve"> and questioned the </w:t>
      </w:r>
      <w:r w:rsidR="00141298" w:rsidRPr="009B39E9">
        <w:rPr>
          <w:rFonts w:ascii="Times New Roman" w:hAnsi="Times New Roman"/>
          <w:sz w:val="24"/>
          <w:szCs w:val="24"/>
          <w:lang w:val="en-US"/>
        </w:rPr>
        <w:t>adequacy and effectiveness</w:t>
      </w:r>
      <w:r w:rsidR="00A10DA8" w:rsidRPr="009B39E9">
        <w:rPr>
          <w:rFonts w:ascii="Times New Roman" w:hAnsi="Times New Roman"/>
          <w:sz w:val="24"/>
          <w:szCs w:val="24"/>
          <w:lang w:val="en-US"/>
        </w:rPr>
        <w:t xml:space="preserve"> of the PES</w:t>
      </w:r>
      <w:r w:rsidR="00141298" w:rsidRPr="009B39E9">
        <w:rPr>
          <w:rFonts w:ascii="Times New Roman" w:hAnsi="Times New Roman"/>
          <w:sz w:val="24"/>
          <w:szCs w:val="24"/>
          <w:lang w:val="en-US"/>
        </w:rPr>
        <w:t>. RHAP argued the inadequacy of allocations by citing</w:t>
      </w:r>
      <w:r w:rsidR="008E4186" w:rsidRPr="009B39E9">
        <w:rPr>
          <w:rFonts w:ascii="Times New Roman" w:hAnsi="Times New Roman"/>
          <w:sz w:val="24"/>
          <w:szCs w:val="24"/>
          <w:lang w:val="en-US"/>
        </w:rPr>
        <w:t xml:space="preserve"> rural population</w:t>
      </w:r>
      <w:r w:rsidR="00141298" w:rsidRPr="009B39E9">
        <w:rPr>
          <w:rFonts w:ascii="Times New Roman" w:hAnsi="Times New Roman"/>
          <w:sz w:val="24"/>
          <w:szCs w:val="24"/>
          <w:lang w:val="en-US"/>
        </w:rPr>
        <w:t xml:space="preserve"> data </w:t>
      </w:r>
      <w:r w:rsidR="008E4186" w:rsidRPr="009B39E9">
        <w:rPr>
          <w:rFonts w:ascii="Times New Roman" w:hAnsi="Times New Roman"/>
          <w:sz w:val="24"/>
          <w:szCs w:val="24"/>
          <w:lang w:val="en-US"/>
        </w:rPr>
        <w:t>related to</w:t>
      </w:r>
      <w:r w:rsidR="00141298" w:rsidRPr="009B39E9">
        <w:rPr>
          <w:rFonts w:ascii="Times New Roman" w:hAnsi="Times New Roman"/>
          <w:sz w:val="24"/>
          <w:szCs w:val="24"/>
          <w:lang w:val="en-US"/>
        </w:rPr>
        <w:t xml:space="preserve"> levels of inequity and people who live below </w:t>
      </w:r>
      <w:r w:rsidR="008E4186" w:rsidRPr="009B39E9">
        <w:rPr>
          <w:rFonts w:ascii="Times New Roman" w:hAnsi="Times New Roman"/>
          <w:sz w:val="24"/>
          <w:szCs w:val="24"/>
          <w:lang w:val="en-US"/>
        </w:rPr>
        <w:t xml:space="preserve">the poverty line in rural areas as well as </w:t>
      </w:r>
      <w:r w:rsidR="00141298" w:rsidRPr="009B39E9">
        <w:rPr>
          <w:rFonts w:ascii="Times New Roman" w:hAnsi="Times New Roman"/>
          <w:sz w:val="24"/>
          <w:szCs w:val="24"/>
          <w:lang w:val="en-US"/>
        </w:rPr>
        <w:t xml:space="preserve">statistics related to understaffing in rural health care.  </w:t>
      </w:r>
      <w:r w:rsidR="008E4186" w:rsidRPr="009B39E9">
        <w:rPr>
          <w:rFonts w:ascii="Times New Roman" w:hAnsi="Times New Roman"/>
          <w:sz w:val="24"/>
          <w:szCs w:val="24"/>
          <w:lang w:val="en-US"/>
        </w:rPr>
        <w:t>They also</w:t>
      </w:r>
      <w:r w:rsidR="009F1DDD" w:rsidRPr="009B39E9">
        <w:rPr>
          <w:rFonts w:ascii="Times New Roman" w:hAnsi="Times New Roman"/>
          <w:sz w:val="24"/>
          <w:szCs w:val="24"/>
          <w:lang w:val="en-US"/>
        </w:rPr>
        <w:t xml:space="preserve"> highlighted</w:t>
      </w:r>
      <w:r w:rsidR="008E4186" w:rsidRPr="009B39E9">
        <w:rPr>
          <w:rFonts w:ascii="Times New Roman" w:hAnsi="Times New Roman"/>
          <w:sz w:val="24"/>
          <w:szCs w:val="24"/>
          <w:lang w:val="en-US"/>
        </w:rPr>
        <w:t xml:space="preserve"> the higher costs of service delivery in rural areas due to poor road infrastructure and distances</w:t>
      </w:r>
      <w:r w:rsidR="009F5F56" w:rsidRPr="009B39E9">
        <w:rPr>
          <w:rFonts w:ascii="Times New Roman" w:hAnsi="Times New Roman"/>
          <w:sz w:val="24"/>
          <w:szCs w:val="24"/>
          <w:lang w:val="en-US"/>
        </w:rPr>
        <w:t xml:space="preserve"> due to geographic remoteness</w:t>
      </w:r>
      <w:r w:rsidR="008E4186" w:rsidRPr="009B39E9">
        <w:rPr>
          <w:rFonts w:ascii="Times New Roman" w:hAnsi="Times New Roman"/>
          <w:sz w:val="24"/>
          <w:szCs w:val="24"/>
          <w:lang w:val="en-US"/>
        </w:rPr>
        <w:t xml:space="preserve">. Nonetheless, RHAP welcomed the announcement for the exploration of adding rural-focused indicators to the PES formula to further strengthen the equity of intergovernmental transfers.  </w:t>
      </w:r>
      <w:r w:rsidR="009F5F56" w:rsidRPr="009B39E9">
        <w:rPr>
          <w:rFonts w:ascii="Times New Roman" w:hAnsi="Times New Roman"/>
          <w:sz w:val="24"/>
          <w:szCs w:val="24"/>
          <w:lang w:val="en-US"/>
        </w:rPr>
        <w:t>They also indicated that more clarity was needed on the risk equalization component of the PES formula.</w:t>
      </w:r>
    </w:p>
    <w:p w:rsidR="00522BA2" w:rsidRPr="009B39E9" w:rsidRDefault="00522BA2" w:rsidP="00751FDA">
      <w:pPr>
        <w:spacing w:after="0" w:line="360" w:lineRule="auto"/>
        <w:jc w:val="both"/>
        <w:rPr>
          <w:rFonts w:ascii="Times New Roman" w:hAnsi="Times New Roman"/>
          <w:sz w:val="24"/>
          <w:szCs w:val="24"/>
          <w:lang w:val="en-US"/>
        </w:rPr>
      </w:pPr>
    </w:p>
    <w:p w:rsidR="00522BA2" w:rsidRPr="009B39E9" w:rsidRDefault="008A2B4D" w:rsidP="00751FDA">
      <w:pPr>
        <w:spacing w:after="0" w:line="360" w:lineRule="auto"/>
        <w:jc w:val="both"/>
        <w:rPr>
          <w:rFonts w:ascii="Times New Roman" w:hAnsi="Times New Roman"/>
          <w:sz w:val="24"/>
          <w:szCs w:val="24"/>
          <w:lang w:val="en-US"/>
        </w:rPr>
      </w:pPr>
      <w:r w:rsidRPr="009B39E9">
        <w:rPr>
          <w:rFonts w:ascii="Times New Roman" w:hAnsi="Times New Roman"/>
          <w:sz w:val="24"/>
          <w:szCs w:val="24"/>
          <w:lang w:val="en-US"/>
        </w:rPr>
        <w:t xml:space="preserve">With regard to the effectiveness of the PES, RHAP </w:t>
      </w:r>
      <w:r w:rsidR="00932ED4" w:rsidRPr="009B39E9">
        <w:rPr>
          <w:rFonts w:ascii="Times New Roman" w:hAnsi="Times New Roman"/>
          <w:sz w:val="24"/>
          <w:szCs w:val="24"/>
          <w:lang w:val="en-US"/>
        </w:rPr>
        <w:t>was of the view</w:t>
      </w:r>
      <w:r w:rsidRPr="009B39E9">
        <w:rPr>
          <w:rFonts w:ascii="Times New Roman" w:hAnsi="Times New Roman"/>
          <w:sz w:val="24"/>
          <w:szCs w:val="24"/>
          <w:lang w:val="en-US"/>
        </w:rPr>
        <w:t xml:space="preserve"> that there are serious flaws in the way health is funded and alluded to provinces having full discretion on how the PES is allocated within the province. </w:t>
      </w:r>
      <w:r w:rsidR="00E309A8" w:rsidRPr="009B39E9">
        <w:rPr>
          <w:rFonts w:ascii="Times New Roman" w:hAnsi="Times New Roman"/>
          <w:sz w:val="24"/>
          <w:szCs w:val="24"/>
          <w:lang w:val="en-US"/>
        </w:rPr>
        <w:t xml:space="preserve">RHAP was of the view that some provinces allocate far </w:t>
      </w:r>
      <w:r w:rsidR="00A33AA4" w:rsidRPr="009B39E9">
        <w:rPr>
          <w:rFonts w:ascii="Times New Roman" w:hAnsi="Times New Roman"/>
          <w:sz w:val="24"/>
          <w:szCs w:val="24"/>
          <w:lang w:val="en-US"/>
        </w:rPr>
        <w:t>smaller</w:t>
      </w:r>
      <w:r w:rsidR="00E309A8" w:rsidRPr="009B39E9">
        <w:rPr>
          <w:rFonts w:ascii="Times New Roman" w:hAnsi="Times New Roman"/>
          <w:sz w:val="24"/>
          <w:szCs w:val="24"/>
          <w:lang w:val="en-US"/>
        </w:rPr>
        <w:t xml:space="preserve"> portions of PES towards health which thus results in poor health facilities. They were concerned that the allocation process at the provincial level is non-transparent and vulnerable to priority-setting that is out of tune </w:t>
      </w:r>
      <w:r w:rsidR="00E309A8" w:rsidRPr="009B39E9">
        <w:rPr>
          <w:rFonts w:ascii="Times New Roman" w:hAnsi="Times New Roman"/>
          <w:sz w:val="24"/>
          <w:szCs w:val="24"/>
          <w:lang w:val="en-US"/>
        </w:rPr>
        <w:lastRenderedPageBreak/>
        <w:t xml:space="preserve">with the national goals of equity and transformation. Furthermore, they were of the view that health allocations </w:t>
      </w:r>
      <w:r w:rsidR="0011035B" w:rsidRPr="009B39E9">
        <w:rPr>
          <w:rFonts w:ascii="Times New Roman" w:hAnsi="Times New Roman"/>
          <w:sz w:val="24"/>
          <w:szCs w:val="24"/>
          <w:lang w:val="en-US"/>
        </w:rPr>
        <w:t xml:space="preserve">to those most in need </w:t>
      </w:r>
      <w:r w:rsidR="00E309A8" w:rsidRPr="009B39E9">
        <w:rPr>
          <w:rFonts w:ascii="Times New Roman" w:hAnsi="Times New Roman"/>
          <w:sz w:val="24"/>
          <w:szCs w:val="24"/>
          <w:lang w:val="en-US"/>
        </w:rPr>
        <w:t>are further co</w:t>
      </w:r>
      <w:r w:rsidR="00A33AA4" w:rsidRPr="009B39E9">
        <w:rPr>
          <w:rFonts w:ascii="Times New Roman" w:hAnsi="Times New Roman"/>
          <w:sz w:val="24"/>
          <w:szCs w:val="24"/>
          <w:lang w:val="en-US"/>
        </w:rPr>
        <w:t>mplicated</w:t>
      </w:r>
      <w:r w:rsidR="00E309A8" w:rsidRPr="009B39E9">
        <w:rPr>
          <w:rFonts w:ascii="Times New Roman" w:hAnsi="Times New Roman"/>
          <w:sz w:val="24"/>
          <w:szCs w:val="24"/>
          <w:lang w:val="en-US"/>
        </w:rPr>
        <w:t xml:space="preserve"> by another layer of decision-making at pr</w:t>
      </w:r>
      <w:r w:rsidR="0011035B" w:rsidRPr="009B39E9">
        <w:rPr>
          <w:rFonts w:ascii="Times New Roman" w:hAnsi="Times New Roman"/>
          <w:sz w:val="24"/>
          <w:szCs w:val="24"/>
          <w:lang w:val="en-US"/>
        </w:rPr>
        <w:t xml:space="preserve">ovincial departments of health. RHAP also cautioned against ill-considered cost-cutting measures and cited that rural health care facilities serving the most impoverished communities have been cut to skeleton staffing levels whilst outreach services to clinics and households have also come to a halt. </w:t>
      </w:r>
      <w:r w:rsidR="00993173" w:rsidRPr="009B39E9">
        <w:rPr>
          <w:rFonts w:ascii="Times New Roman" w:hAnsi="Times New Roman"/>
          <w:sz w:val="24"/>
          <w:szCs w:val="24"/>
          <w:lang w:val="en-US"/>
        </w:rPr>
        <w:t xml:space="preserve">RHAP purported </w:t>
      </w:r>
      <w:r w:rsidR="002B073C" w:rsidRPr="009B39E9">
        <w:rPr>
          <w:rFonts w:ascii="Times New Roman" w:hAnsi="Times New Roman"/>
          <w:sz w:val="24"/>
          <w:szCs w:val="24"/>
          <w:lang w:val="en-US"/>
        </w:rPr>
        <w:t>that whilst National Treasury’s call for cutting costs came with a proviso for protecting frontline health professionals, there have been instances of post rationali</w:t>
      </w:r>
      <w:r w:rsidR="00814A28" w:rsidRPr="009B39E9">
        <w:rPr>
          <w:rFonts w:ascii="Times New Roman" w:hAnsi="Times New Roman"/>
          <w:sz w:val="24"/>
          <w:szCs w:val="24"/>
          <w:lang w:val="en-US"/>
        </w:rPr>
        <w:t>s</w:t>
      </w:r>
      <w:r w:rsidR="002B073C" w:rsidRPr="009B39E9">
        <w:rPr>
          <w:rFonts w:ascii="Times New Roman" w:hAnsi="Times New Roman"/>
          <w:sz w:val="24"/>
          <w:szCs w:val="24"/>
          <w:lang w:val="en-US"/>
        </w:rPr>
        <w:t xml:space="preserve">ation and organogram reviews </w:t>
      </w:r>
      <w:r w:rsidR="00993173" w:rsidRPr="009B39E9">
        <w:rPr>
          <w:rFonts w:ascii="Times New Roman" w:hAnsi="Times New Roman"/>
          <w:sz w:val="24"/>
          <w:szCs w:val="24"/>
          <w:lang w:val="en-US"/>
        </w:rPr>
        <w:t xml:space="preserve">occurring outside of </w:t>
      </w:r>
      <w:r w:rsidR="008D4DAA" w:rsidRPr="009B39E9">
        <w:rPr>
          <w:rFonts w:ascii="Times New Roman" w:hAnsi="Times New Roman"/>
          <w:sz w:val="24"/>
          <w:szCs w:val="24"/>
          <w:lang w:val="en-US"/>
        </w:rPr>
        <w:t xml:space="preserve">the </w:t>
      </w:r>
      <w:r w:rsidR="00993173" w:rsidRPr="009B39E9">
        <w:rPr>
          <w:rFonts w:ascii="Times New Roman" w:hAnsi="Times New Roman"/>
          <w:sz w:val="24"/>
          <w:szCs w:val="24"/>
          <w:lang w:val="en-US"/>
        </w:rPr>
        <w:t xml:space="preserve">public domain with little or no consultation of communities and that this has affected health care delivery to the most vulnerable. </w:t>
      </w:r>
    </w:p>
    <w:p w:rsidR="00A62ABA" w:rsidRPr="009B39E9" w:rsidRDefault="00A62ABA" w:rsidP="00751FDA">
      <w:pPr>
        <w:spacing w:after="0" w:line="360" w:lineRule="auto"/>
        <w:jc w:val="both"/>
        <w:rPr>
          <w:rFonts w:ascii="Times New Roman" w:hAnsi="Times New Roman"/>
          <w:b/>
          <w:sz w:val="24"/>
          <w:szCs w:val="24"/>
          <w:lang w:val="en-US"/>
        </w:rPr>
      </w:pPr>
    </w:p>
    <w:p w:rsidR="00E37192" w:rsidRPr="009B39E9" w:rsidRDefault="00814A28" w:rsidP="00751FDA">
      <w:pPr>
        <w:spacing w:after="0" w:line="360" w:lineRule="auto"/>
        <w:jc w:val="both"/>
        <w:rPr>
          <w:rFonts w:ascii="Times New Roman" w:hAnsi="Times New Roman"/>
          <w:sz w:val="24"/>
          <w:szCs w:val="24"/>
          <w:lang w:val="en-US"/>
        </w:rPr>
      </w:pPr>
      <w:r w:rsidRPr="009B39E9">
        <w:rPr>
          <w:rFonts w:ascii="Times New Roman" w:hAnsi="Times New Roman"/>
          <w:sz w:val="24"/>
          <w:szCs w:val="24"/>
          <w:lang w:val="en-US"/>
        </w:rPr>
        <w:t xml:space="preserve">RHAP </w:t>
      </w:r>
      <w:r w:rsidR="005C4071" w:rsidRPr="009B39E9">
        <w:rPr>
          <w:rFonts w:ascii="Times New Roman" w:hAnsi="Times New Roman"/>
          <w:sz w:val="24"/>
          <w:szCs w:val="24"/>
          <w:lang w:val="en-US"/>
        </w:rPr>
        <w:t>argued for targeted funding to address historical inequities and unmet need and highlighted changes in disease patterns supported by a Stat</w:t>
      </w:r>
      <w:r w:rsidR="00F235D7" w:rsidRPr="009B39E9">
        <w:rPr>
          <w:rFonts w:ascii="Times New Roman" w:hAnsi="Times New Roman"/>
          <w:sz w:val="24"/>
          <w:szCs w:val="24"/>
          <w:lang w:val="en-US"/>
        </w:rPr>
        <w:t xml:space="preserve">istics South Africa </w:t>
      </w:r>
      <w:r w:rsidR="005C4071" w:rsidRPr="009B39E9">
        <w:rPr>
          <w:rFonts w:ascii="Times New Roman" w:hAnsi="Times New Roman"/>
          <w:sz w:val="24"/>
          <w:szCs w:val="24"/>
          <w:lang w:val="en-US"/>
        </w:rPr>
        <w:t>report which alluded to 60 per cent of deaths being due to non-communicable diseases. RHAP was of the view that the current funding system with its gaps and inefficiencies highlighted above caters little for rural communities with regard to diabetes, hypertension, cancer and mental health illness.</w:t>
      </w:r>
      <w:r w:rsidR="00A55DA3" w:rsidRPr="009B39E9">
        <w:rPr>
          <w:rFonts w:ascii="Times New Roman" w:hAnsi="Times New Roman"/>
          <w:sz w:val="24"/>
          <w:szCs w:val="24"/>
          <w:lang w:val="en-US"/>
        </w:rPr>
        <w:t xml:space="preserve"> They alluded to the predicament that rural citizens often face </w:t>
      </w:r>
      <w:r w:rsidR="00772BF9" w:rsidRPr="009B39E9">
        <w:rPr>
          <w:rFonts w:ascii="Times New Roman" w:hAnsi="Times New Roman"/>
          <w:sz w:val="24"/>
          <w:szCs w:val="24"/>
          <w:lang w:val="en-US"/>
        </w:rPr>
        <w:t>in</w:t>
      </w:r>
      <w:r w:rsidR="00A55DA3" w:rsidRPr="009B39E9">
        <w:rPr>
          <w:rFonts w:ascii="Times New Roman" w:hAnsi="Times New Roman"/>
          <w:sz w:val="24"/>
          <w:szCs w:val="24"/>
          <w:lang w:val="en-US"/>
        </w:rPr>
        <w:t xml:space="preserve"> spending their own scarce resources on travel to reach a facility that may not have medicine in stock, a doctor on call, or an allied health professional on the organogram. </w:t>
      </w:r>
      <w:r w:rsidR="00772BF9" w:rsidRPr="009B39E9">
        <w:rPr>
          <w:rFonts w:ascii="Times New Roman" w:hAnsi="Times New Roman"/>
          <w:sz w:val="24"/>
          <w:szCs w:val="24"/>
          <w:lang w:val="en-US"/>
        </w:rPr>
        <w:t xml:space="preserve">Although </w:t>
      </w:r>
      <w:r w:rsidR="005C4071" w:rsidRPr="009B39E9">
        <w:rPr>
          <w:rFonts w:ascii="Times New Roman" w:hAnsi="Times New Roman"/>
          <w:sz w:val="24"/>
          <w:szCs w:val="24"/>
          <w:lang w:val="en-US"/>
        </w:rPr>
        <w:t>RHAP</w:t>
      </w:r>
      <w:r w:rsidR="00772BF9" w:rsidRPr="009B39E9">
        <w:rPr>
          <w:rFonts w:ascii="Times New Roman" w:hAnsi="Times New Roman"/>
          <w:sz w:val="24"/>
          <w:szCs w:val="24"/>
          <w:lang w:val="en-US"/>
        </w:rPr>
        <w:t xml:space="preserve"> </w:t>
      </w:r>
      <w:r w:rsidR="00A565AF" w:rsidRPr="009B39E9">
        <w:rPr>
          <w:rFonts w:ascii="Times New Roman" w:hAnsi="Times New Roman"/>
          <w:sz w:val="24"/>
          <w:szCs w:val="24"/>
          <w:lang w:val="en-US"/>
        </w:rPr>
        <w:t>welcomed the launch of the NHI and hoped that it would</w:t>
      </w:r>
      <w:r w:rsidR="00772BF9" w:rsidRPr="009B39E9">
        <w:rPr>
          <w:rFonts w:ascii="Times New Roman" w:hAnsi="Times New Roman"/>
          <w:sz w:val="24"/>
          <w:szCs w:val="24"/>
          <w:lang w:val="en-US"/>
        </w:rPr>
        <w:t xml:space="preserve"> address these challenges they</w:t>
      </w:r>
      <w:r w:rsidR="005C4071" w:rsidRPr="009B39E9">
        <w:rPr>
          <w:rFonts w:ascii="Times New Roman" w:hAnsi="Times New Roman"/>
          <w:sz w:val="24"/>
          <w:szCs w:val="24"/>
          <w:lang w:val="en-US"/>
        </w:rPr>
        <w:t xml:space="preserve"> </w:t>
      </w:r>
      <w:r w:rsidR="00772BF9" w:rsidRPr="009B39E9">
        <w:rPr>
          <w:rFonts w:ascii="Times New Roman" w:hAnsi="Times New Roman"/>
          <w:sz w:val="24"/>
          <w:szCs w:val="24"/>
          <w:lang w:val="en-US"/>
        </w:rPr>
        <w:t>were</w:t>
      </w:r>
      <w:r w:rsidR="005C4071" w:rsidRPr="009B39E9">
        <w:rPr>
          <w:rFonts w:ascii="Times New Roman" w:hAnsi="Times New Roman"/>
          <w:sz w:val="24"/>
          <w:szCs w:val="24"/>
          <w:lang w:val="en-US"/>
        </w:rPr>
        <w:t xml:space="preserve"> concerned about the lack of clarity about the NHI and the role of provinces and district health services in its implementation. </w:t>
      </w:r>
      <w:r w:rsidR="00A565AF" w:rsidRPr="009B39E9">
        <w:rPr>
          <w:rFonts w:ascii="Times New Roman" w:hAnsi="Times New Roman"/>
          <w:sz w:val="24"/>
          <w:szCs w:val="24"/>
          <w:lang w:val="en-US"/>
        </w:rPr>
        <w:t>RHAP highlighted potential risks to a single purchaser model where the fund purchases services from health care providers and alluded to the possibility of expenditure over runs as patients abandon under resource</w:t>
      </w:r>
      <w:r w:rsidR="009C28EC" w:rsidRPr="009B39E9">
        <w:rPr>
          <w:rFonts w:ascii="Times New Roman" w:hAnsi="Times New Roman"/>
          <w:sz w:val="24"/>
          <w:szCs w:val="24"/>
          <w:lang w:val="en-US"/>
        </w:rPr>
        <w:t>d</w:t>
      </w:r>
      <w:r w:rsidR="00A565AF" w:rsidRPr="009B39E9">
        <w:rPr>
          <w:rFonts w:ascii="Times New Roman" w:hAnsi="Times New Roman"/>
          <w:sz w:val="24"/>
          <w:szCs w:val="24"/>
          <w:lang w:val="en-US"/>
        </w:rPr>
        <w:t xml:space="preserve"> district health services. </w:t>
      </w:r>
      <w:r w:rsidR="007C39DA" w:rsidRPr="009B39E9">
        <w:rPr>
          <w:rFonts w:ascii="Times New Roman" w:hAnsi="Times New Roman"/>
          <w:sz w:val="24"/>
          <w:szCs w:val="24"/>
          <w:lang w:val="en-US"/>
        </w:rPr>
        <w:t>In sum</w:t>
      </w:r>
      <w:r w:rsidR="009C28EC" w:rsidRPr="009B39E9">
        <w:rPr>
          <w:rFonts w:ascii="Times New Roman" w:hAnsi="Times New Roman"/>
          <w:sz w:val="24"/>
          <w:szCs w:val="24"/>
          <w:lang w:val="en-US"/>
        </w:rPr>
        <w:t>mary</w:t>
      </w:r>
      <w:r w:rsidR="007C39DA" w:rsidRPr="009B39E9">
        <w:rPr>
          <w:rFonts w:ascii="Times New Roman" w:hAnsi="Times New Roman"/>
          <w:sz w:val="24"/>
          <w:szCs w:val="24"/>
          <w:lang w:val="en-US"/>
        </w:rPr>
        <w:t xml:space="preserve"> </w:t>
      </w:r>
      <w:r w:rsidR="005C4071" w:rsidRPr="009B39E9">
        <w:rPr>
          <w:rFonts w:ascii="Times New Roman" w:hAnsi="Times New Roman"/>
          <w:sz w:val="24"/>
          <w:szCs w:val="24"/>
          <w:lang w:val="en-US"/>
        </w:rPr>
        <w:t>RHAP</w:t>
      </w:r>
      <w:r w:rsidR="007C39DA" w:rsidRPr="009B39E9">
        <w:rPr>
          <w:rFonts w:ascii="Times New Roman" w:hAnsi="Times New Roman"/>
          <w:sz w:val="24"/>
          <w:szCs w:val="24"/>
          <w:lang w:val="en-US"/>
        </w:rPr>
        <w:t xml:space="preserve"> emphasised</w:t>
      </w:r>
      <w:r w:rsidR="005C4071" w:rsidRPr="009B39E9">
        <w:rPr>
          <w:rFonts w:ascii="Times New Roman" w:hAnsi="Times New Roman"/>
          <w:sz w:val="24"/>
          <w:szCs w:val="24"/>
          <w:lang w:val="en-US"/>
        </w:rPr>
        <w:t xml:space="preserve"> that </w:t>
      </w:r>
      <w:r w:rsidR="00A55DA3" w:rsidRPr="009B39E9">
        <w:rPr>
          <w:rFonts w:ascii="Times New Roman" w:hAnsi="Times New Roman"/>
          <w:sz w:val="24"/>
          <w:szCs w:val="24"/>
          <w:lang w:val="en-US"/>
        </w:rPr>
        <w:t>radical transformation includes how health care is funded and maintained</w:t>
      </w:r>
      <w:r w:rsidR="009C28EC" w:rsidRPr="009B39E9">
        <w:rPr>
          <w:rFonts w:ascii="Times New Roman" w:hAnsi="Times New Roman"/>
          <w:sz w:val="24"/>
          <w:szCs w:val="24"/>
          <w:lang w:val="en-US"/>
        </w:rPr>
        <w:t>,</w:t>
      </w:r>
      <w:r w:rsidR="00A55DA3" w:rsidRPr="009B39E9">
        <w:rPr>
          <w:rFonts w:ascii="Times New Roman" w:hAnsi="Times New Roman"/>
          <w:sz w:val="24"/>
          <w:szCs w:val="24"/>
          <w:lang w:val="en-US"/>
        </w:rPr>
        <w:t xml:space="preserve"> </w:t>
      </w:r>
      <w:r w:rsidR="009C28EC" w:rsidRPr="009B39E9">
        <w:rPr>
          <w:rFonts w:ascii="Times New Roman" w:hAnsi="Times New Roman"/>
          <w:sz w:val="24"/>
          <w:szCs w:val="24"/>
          <w:lang w:val="en-US"/>
        </w:rPr>
        <w:t xml:space="preserve">and </w:t>
      </w:r>
      <w:r w:rsidR="00A55DA3" w:rsidRPr="009B39E9">
        <w:rPr>
          <w:rFonts w:ascii="Times New Roman" w:hAnsi="Times New Roman"/>
          <w:sz w:val="24"/>
          <w:szCs w:val="24"/>
          <w:lang w:val="en-US"/>
        </w:rPr>
        <w:t xml:space="preserve">that rural communities need a reliable, functional, accessible, </w:t>
      </w:r>
      <w:r w:rsidR="007C39DA" w:rsidRPr="009B39E9">
        <w:rPr>
          <w:rFonts w:ascii="Times New Roman" w:hAnsi="Times New Roman"/>
          <w:sz w:val="24"/>
          <w:szCs w:val="24"/>
          <w:lang w:val="en-US"/>
        </w:rPr>
        <w:t xml:space="preserve">and </w:t>
      </w:r>
      <w:r w:rsidR="00A55DA3" w:rsidRPr="009B39E9">
        <w:rPr>
          <w:rFonts w:ascii="Times New Roman" w:hAnsi="Times New Roman"/>
          <w:sz w:val="24"/>
          <w:szCs w:val="24"/>
          <w:lang w:val="en-US"/>
        </w:rPr>
        <w:t>comprehensive health care service.</w:t>
      </w:r>
    </w:p>
    <w:p w:rsidR="005F444F" w:rsidRPr="009B39E9" w:rsidRDefault="005F444F" w:rsidP="00751FDA">
      <w:pPr>
        <w:tabs>
          <w:tab w:val="left" w:pos="567"/>
        </w:tabs>
        <w:spacing w:after="0" w:line="360" w:lineRule="auto"/>
        <w:jc w:val="both"/>
        <w:rPr>
          <w:rFonts w:ascii="Times New Roman" w:hAnsi="Times New Roman"/>
          <w:b/>
          <w:sz w:val="24"/>
          <w:szCs w:val="24"/>
          <w:lang w:val="en-US"/>
        </w:rPr>
      </w:pPr>
    </w:p>
    <w:p w:rsidR="00610834" w:rsidRPr="009B39E9" w:rsidRDefault="00610834" w:rsidP="00751FDA">
      <w:pPr>
        <w:spacing w:after="0" w:line="360" w:lineRule="auto"/>
        <w:jc w:val="both"/>
        <w:rPr>
          <w:rFonts w:ascii="Times New Roman" w:hAnsi="Times New Roman"/>
          <w:b/>
          <w:sz w:val="24"/>
          <w:szCs w:val="24"/>
          <w:lang w:val="en-US"/>
        </w:rPr>
      </w:pPr>
    </w:p>
    <w:p w:rsidR="00610834" w:rsidRPr="009B39E9" w:rsidRDefault="00610834" w:rsidP="00751FDA">
      <w:pPr>
        <w:pStyle w:val="ListParagraph"/>
        <w:spacing w:after="0" w:line="360" w:lineRule="auto"/>
        <w:ind w:left="0"/>
        <w:jc w:val="both"/>
        <w:rPr>
          <w:rFonts w:ascii="Times New Roman" w:hAnsi="Times New Roman"/>
          <w:b/>
          <w:sz w:val="24"/>
          <w:szCs w:val="24"/>
        </w:rPr>
      </w:pPr>
      <w:r w:rsidRPr="009B39E9">
        <w:rPr>
          <w:rFonts w:ascii="Times New Roman" w:hAnsi="Times New Roman"/>
          <w:b/>
          <w:sz w:val="24"/>
          <w:szCs w:val="24"/>
        </w:rPr>
        <w:t>4.</w:t>
      </w:r>
      <w:r w:rsidRPr="009B39E9">
        <w:rPr>
          <w:rFonts w:ascii="Times New Roman" w:hAnsi="Times New Roman"/>
          <w:b/>
          <w:sz w:val="24"/>
          <w:szCs w:val="24"/>
        </w:rPr>
        <w:tab/>
        <w:t>Findings and Observations</w:t>
      </w:r>
    </w:p>
    <w:p w:rsidR="00610834" w:rsidRPr="009B39E9" w:rsidRDefault="00610834" w:rsidP="00751FDA">
      <w:pPr>
        <w:spacing w:after="0" w:line="360" w:lineRule="auto"/>
        <w:jc w:val="both"/>
        <w:rPr>
          <w:rFonts w:ascii="Times New Roman" w:hAnsi="Times New Roman"/>
          <w:sz w:val="24"/>
          <w:szCs w:val="24"/>
          <w:lang w:val="en-US"/>
        </w:rPr>
      </w:pPr>
    </w:p>
    <w:p w:rsidR="00517181" w:rsidRPr="009B39E9" w:rsidRDefault="00610834" w:rsidP="00751FDA">
      <w:pPr>
        <w:pStyle w:val="ListParagraph"/>
        <w:numPr>
          <w:ilvl w:val="1"/>
          <w:numId w:val="26"/>
        </w:numPr>
        <w:spacing w:line="360" w:lineRule="auto"/>
        <w:ind w:left="567" w:hanging="567"/>
        <w:jc w:val="both"/>
        <w:rPr>
          <w:rFonts w:ascii="Times New Roman" w:hAnsi="Times New Roman"/>
          <w:sz w:val="24"/>
          <w:szCs w:val="24"/>
          <w:lang w:val="en-US"/>
        </w:rPr>
      </w:pPr>
      <w:r w:rsidRPr="009B39E9">
        <w:rPr>
          <w:rFonts w:ascii="Times New Roman" w:hAnsi="Times New Roman"/>
          <w:sz w:val="24"/>
          <w:szCs w:val="24"/>
          <w:lang w:val="en-US"/>
        </w:rPr>
        <w:lastRenderedPageBreak/>
        <w:t xml:space="preserve">The Committee notes </w:t>
      </w:r>
      <w:r w:rsidR="008B1B41" w:rsidRPr="009B39E9">
        <w:rPr>
          <w:rFonts w:ascii="Times New Roman" w:hAnsi="Times New Roman"/>
          <w:sz w:val="24"/>
          <w:szCs w:val="24"/>
          <w:lang w:val="en-US"/>
        </w:rPr>
        <w:t xml:space="preserve">that the 2017 Budget lowers the spending ceiling by </w:t>
      </w:r>
      <w:r w:rsidR="00195ADC" w:rsidRPr="009B39E9">
        <w:rPr>
          <w:rFonts w:ascii="Times New Roman" w:hAnsi="Times New Roman"/>
          <w:sz w:val="24"/>
          <w:szCs w:val="24"/>
          <w:lang w:val="en-US"/>
        </w:rPr>
        <w:br/>
      </w:r>
      <w:r w:rsidR="008B1B41" w:rsidRPr="009B39E9">
        <w:rPr>
          <w:rFonts w:ascii="Times New Roman" w:hAnsi="Times New Roman"/>
          <w:sz w:val="24"/>
          <w:szCs w:val="24"/>
          <w:lang w:val="en-US"/>
        </w:rPr>
        <w:t>R10.2 billion in 2017/18 and R15.9 billion in 2018/19. This will be achieved through reduced national department operating budgets; lower transfers to entities, provinces and local government; and reallocations.</w:t>
      </w:r>
      <w:r w:rsidRPr="009B39E9">
        <w:rPr>
          <w:rFonts w:ascii="Times New Roman" w:hAnsi="Times New Roman"/>
          <w:sz w:val="24"/>
          <w:szCs w:val="24"/>
          <w:lang w:val="en-US"/>
        </w:rPr>
        <w:t xml:space="preserve"> </w:t>
      </w:r>
    </w:p>
    <w:p w:rsidR="00A66701" w:rsidRPr="009B39E9" w:rsidRDefault="00A66701" w:rsidP="00751FDA">
      <w:pPr>
        <w:pStyle w:val="ListParagraph"/>
        <w:spacing w:line="360" w:lineRule="auto"/>
        <w:ind w:left="567"/>
        <w:jc w:val="both"/>
        <w:rPr>
          <w:rFonts w:ascii="Times New Roman" w:hAnsi="Times New Roman"/>
          <w:sz w:val="24"/>
          <w:szCs w:val="24"/>
          <w:lang w:val="en-US"/>
        </w:rPr>
      </w:pPr>
    </w:p>
    <w:p w:rsidR="00A66701" w:rsidRPr="009B39E9" w:rsidRDefault="00A66701" w:rsidP="00751FDA">
      <w:pPr>
        <w:pStyle w:val="ListParagraph"/>
        <w:numPr>
          <w:ilvl w:val="1"/>
          <w:numId w:val="26"/>
        </w:numPr>
        <w:spacing w:line="360" w:lineRule="auto"/>
        <w:ind w:left="567" w:hanging="567"/>
        <w:jc w:val="both"/>
        <w:rPr>
          <w:rFonts w:ascii="Times New Roman" w:hAnsi="Times New Roman"/>
          <w:sz w:val="24"/>
          <w:szCs w:val="24"/>
          <w:lang w:val="en-US"/>
        </w:rPr>
      </w:pPr>
      <w:r w:rsidRPr="009B39E9">
        <w:rPr>
          <w:rFonts w:ascii="Times New Roman" w:hAnsi="Times New Roman"/>
          <w:sz w:val="24"/>
          <w:szCs w:val="24"/>
          <w:lang w:val="en-US"/>
        </w:rPr>
        <w:t xml:space="preserve">The Committee acknowledges the utilisation of incentive grants in improving spending performance for provinces and municipalities. In addition, the incentives now also explicitly include performance measures as part of their allocation criteria following the Committee’s previous recommendations. The Committee is of the view that provinces and municipalities currently scoring lower in incentives frameworks should be supported so that they are not unfairly disadvantaged in future resource allocations. </w:t>
      </w:r>
    </w:p>
    <w:p w:rsidR="00A66701" w:rsidRPr="009B39E9" w:rsidRDefault="00A66701" w:rsidP="00751FDA">
      <w:pPr>
        <w:pStyle w:val="ListParagraph"/>
        <w:spacing w:line="360" w:lineRule="auto"/>
        <w:rPr>
          <w:rFonts w:ascii="Times New Roman" w:hAnsi="Times New Roman"/>
          <w:sz w:val="24"/>
          <w:szCs w:val="24"/>
          <w:lang w:val="en-US"/>
        </w:rPr>
      </w:pPr>
    </w:p>
    <w:p w:rsidR="00A66701" w:rsidRPr="009B39E9" w:rsidRDefault="00A66701" w:rsidP="00751FDA">
      <w:pPr>
        <w:pStyle w:val="ListParagraph"/>
        <w:numPr>
          <w:ilvl w:val="1"/>
          <w:numId w:val="26"/>
        </w:numPr>
        <w:spacing w:line="360" w:lineRule="auto"/>
        <w:ind w:left="567" w:hanging="567"/>
        <w:jc w:val="both"/>
        <w:rPr>
          <w:rFonts w:ascii="Times New Roman" w:hAnsi="Times New Roman"/>
          <w:sz w:val="24"/>
          <w:szCs w:val="24"/>
          <w:lang w:val="en-US"/>
        </w:rPr>
      </w:pPr>
      <w:r w:rsidRPr="009B39E9">
        <w:rPr>
          <w:rFonts w:ascii="Times New Roman" w:hAnsi="Times New Roman"/>
          <w:sz w:val="24"/>
          <w:szCs w:val="24"/>
          <w:lang w:val="en-US"/>
        </w:rPr>
        <w:t>The Committee notes work underway in reforming and consolidating conditional grants including baseline reductions in a number of conditional grants. The Committee views the provision of continued support to provinces and local government with regards to the reforms and budget reductions in conditional grants as critical in ensuring the sustainable provision of basic services.</w:t>
      </w:r>
    </w:p>
    <w:p w:rsidR="00195ADC" w:rsidRPr="009B39E9" w:rsidRDefault="00195ADC" w:rsidP="00751FDA">
      <w:pPr>
        <w:pStyle w:val="ListParagraph"/>
        <w:spacing w:line="360" w:lineRule="auto"/>
        <w:ind w:left="567"/>
        <w:jc w:val="both"/>
        <w:rPr>
          <w:rFonts w:ascii="Times New Roman" w:hAnsi="Times New Roman"/>
          <w:sz w:val="24"/>
          <w:szCs w:val="24"/>
          <w:lang w:val="en-US"/>
        </w:rPr>
      </w:pPr>
    </w:p>
    <w:p w:rsidR="00A66701" w:rsidRPr="009B39E9" w:rsidRDefault="00A66701" w:rsidP="00751FDA">
      <w:pPr>
        <w:pStyle w:val="ListParagraph"/>
        <w:numPr>
          <w:ilvl w:val="1"/>
          <w:numId w:val="26"/>
        </w:numPr>
        <w:spacing w:line="360" w:lineRule="auto"/>
        <w:ind w:left="567" w:hanging="567"/>
        <w:jc w:val="both"/>
        <w:rPr>
          <w:rFonts w:ascii="Times New Roman" w:hAnsi="Times New Roman"/>
          <w:sz w:val="24"/>
          <w:szCs w:val="24"/>
          <w:lang w:val="en-US"/>
        </w:rPr>
      </w:pPr>
      <w:r w:rsidRPr="009B39E9">
        <w:rPr>
          <w:rFonts w:ascii="Times New Roman" w:hAnsi="Times New Roman"/>
          <w:sz w:val="24"/>
          <w:szCs w:val="24"/>
          <w:lang w:val="en-US"/>
        </w:rPr>
        <w:t xml:space="preserve">The Committee notes work underway in introducing a new funding model for </w:t>
      </w:r>
      <w:r w:rsidR="007752D5" w:rsidRPr="009B39E9">
        <w:rPr>
          <w:rFonts w:ascii="Times New Roman" w:hAnsi="Times New Roman"/>
          <w:sz w:val="24"/>
          <w:szCs w:val="24"/>
          <w:lang w:val="en-US"/>
        </w:rPr>
        <w:t xml:space="preserve">District Municipalities </w:t>
      </w:r>
      <w:r w:rsidRPr="009B39E9">
        <w:rPr>
          <w:rFonts w:ascii="Times New Roman" w:hAnsi="Times New Roman"/>
          <w:sz w:val="24"/>
          <w:szCs w:val="24"/>
          <w:lang w:val="en-US"/>
        </w:rPr>
        <w:t xml:space="preserve"> and </w:t>
      </w:r>
      <w:r w:rsidR="0093597A" w:rsidRPr="009B39E9">
        <w:rPr>
          <w:rFonts w:ascii="Times New Roman" w:hAnsi="Times New Roman"/>
          <w:sz w:val="24"/>
          <w:szCs w:val="24"/>
          <w:lang w:val="en-US"/>
        </w:rPr>
        <w:t>supports the F</w:t>
      </w:r>
      <w:r w:rsidR="006F49FD" w:rsidRPr="009B39E9">
        <w:rPr>
          <w:rFonts w:ascii="Times New Roman" w:hAnsi="Times New Roman"/>
          <w:sz w:val="24"/>
          <w:szCs w:val="24"/>
          <w:lang w:val="en-US"/>
        </w:rPr>
        <w:t xml:space="preserve">inancial and Fiscal Commission’s </w:t>
      </w:r>
      <w:r w:rsidRPr="009B39E9">
        <w:rPr>
          <w:rFonts w:ascii="Times New Roman" w:hAnsi="Times New Roman"/>
          <w:sz w:val="24"/>
          <w:szCs w:val="24"/>
          <w:lang w:val="en-US"/>
        </w:rPr>
        <w:t xml:space="preserve">view that a long term sustainable funding model for </w:t>
      </w:r>
      <w:r w:rsidR="0093597A" w:rsidRPr="009B39E9">
        <w:rPr>
          <w:rFonts w:ascii="Times New Roman" w:hAnsi="Times New Roman"/>
          <w:sz w:val="24"/>
          <w:szCs w:val="24"/>
          <w:lang w:val="en-US"/>
        </w:rPr>
        <w:t>district municipalitie</w:t>
      </w:r>
      <w:r w:rsidRPr="009B39E9">
        <w:rPr>
          <w:rFonts w:ascii="Times New Roman" w:hAnsi="Times New Roman"/>
          <w:sz w:val="24"/>
          <w:szCs w:val="24"/>
          <w:lang w:val="en-US"/>
        </w:rPr>
        <w:t xml:space="preserve">s should be found based on a clear identification of the powers and functions of the </w:t>
      </w:r>
      <w:r w:rsidR="0093597A" w:rsidRPr="009B39E9">
        <w:rPr>
          <w:rFonts w:ascii="Times New Roman" w:hAnsi="Times New Roman"/>
          <w:sz w:val="24"/>
          <w:szCs w:val="24"/>
          <w:lang w:val="en-US"/>
        </w:rPr>
        <w:t>district municipalities</w:t>
      </w:r>
    </w:p>
    <w:p w:rsidR="00A66701" w:rsidRPr="009B39E9" w:rsidRDefault="00A66701" w:rsidP="00751FDA">
      <w:pPr>
        <w:pStyle w:val="ListParagraph"/>
        <w:spacing w:line="360" w:lineRule="auto"/>
        <w:rPr>
          <w:rFonts w:ascii="Times New Roman" w:hAnsi="Times New Roman"/>
          <w:sz w:val="24"/>
          <w:szCs w:val="24"/>
          <w:lang w:val="en-US"/>
        </w:rPr>
      </w:pPr>
    </w:p>
    <w:p w:rsidR="00A66701" w:rsidRPr="009B39E9" w:rsidRDefault="00A66701" w:rsidP="00751FDA">
      <w:pPr>
        <w:pStyle w:val="ListParagraph"/>
        <w:numPr>
          <w:ilvl w:val="1"/>
          <w:numId w:val="26"/>
        </w:numPr>
        <w:spacing w:line="360" w:lineRule="auto"/>
        <w:ind w:left="567" w:hanging="567"/>
        <w:jc w:val="both"/>
        <w:rPr>
          <w:rFonts w:ascii="Times New Roman" w:hAnsi="Times New Roman"/>
          <w:sz w:val="24"/>
          <w:szCs w:val="24"/>
          <w:lang w:val="en-US"/>
        </w:rPr>
      </w:pPr>
      <w:r w:rsidRPr="009B39E9">
        <w:rPr>
          <w:rFonts w:ascii="Times New Roman" w:hAnsi="Times New Roman"/>
          <w:sz w:val="24"/>
          <w:szCs w:val="24"/>
          <w:lang w:val="en-US"/>
        </w:rPr>
        <w:t xml:space="preserve">The Committee welcomes new conditional grants, namely, the social workers employment </w:t>
      </w:r>
      <w:r w:rsidR="00D63368" w:rsidRPr="009B39E9">
        <w:rPr>
          <w:rFonts w:ascii="Times New Roman" w:hAnsi="Times New Roman"/>
          <w:sz w:val="24"/>
          <w:szCs w:val="24"/>
          <w:lang w:val="en-US"/>
        </w:rPr>
        <w:t>grant, the</w:t>
      </w:r>
      <w:r w:rsidRPr="009B39E9">
        <w:rPr>
          <w:rFonts w:ascii="Times New Roman" w:hAnsi="Times New Roman"/>
          <w:sz w:val="24"/>
          <w:szCs w:val="24"/>
          <w:lang w:val="en-US"/>
        </w:rPr>
        <w:t xml:space="preserve"> early childhood development grant</w:t>
      </w:r>
      <w:r w:rsidR="00D63368" w:rsidRPr="009B39E9">
        <w:rPr>
          <w:rFonts w:ascii="Times New Roman" w:hAnsi="Times New Roman"/>
          <w:sz w:val="24"/>
          <w:szCs w:val="24"/>
          <w:lang w:val="en-US"/>
        </w:rPr>
        <w:t>,</w:t>
      </w:r>
      <w:r w:rsidRPr="009B39E9">
        <w:rPr>
          <w:rFonts w:ascii="Times New Roman" w:hAnsi="Times New Roman"/>
          <w:sz w:val="24"/>
          <w:szCs w:val="24"/>
          <w:lang w:val="en-US"/>
        </w:rPr>
        <w:t xml:space="preserve"> and a learners with profound </w:t>
      </w:r>
      <w:r w:rsidR="0064652F" w:rsidRPr="009B39E9">
        <w:rPr>
          <w:rFonts w:ascii="Times New Roman" w:hAnsi="Times New Roman"/>
          <w:sz w:val="24"/>
          <w:szCs w:val="24"/>
          <w:lang w:val="en-US"/>
        </w:rPr>
        <w:t xml:space="preserve">intellectual </w:t>
      </w:r>
      <w:r w:rsidRPr="009B39E9">
        <w:rPr>
          <w:rFonts w:ascii="Times New Roman" w:hAnsi="Times New Roman"/>
          <w:sz w:val="24"/>
          <w:szCs w:val="24"/>
          <w:lang w:val="en-US"/>
        </w:rPr>
        <w:t xml:space="preserve">disabilities grant </w:t>
      </w:r>
      <w:r w:rsidR="00D63368" w:rsidRPr="009B39E9">
        <w:rPr>
          <w:rFonts w:ascii="Times New Roman" w:hAnsi="Times New Roman"/>
          <w:sz w:val="24"/>
          <w:szCs w:val="24"/>
          <w:lang w:val="en-US"/>
        </w:rPr>
        <w:t>and</w:t>
      </w:r>
      <w:r w:rsidRPr="009B39E9">
        <w:rPr>
          <w:rFonts w:ascii="Times New Roman" w:hAnsi="Times New Roman"/>
          <w:sz w:val="24"/>
          <w:szCs w:val="24"/>
          <w:lang w:val="en-US"/>
        </w:rPr>
        <w:t xml:space="preserve"> views these as positive contributions in enhancing government’s social support package and calls for close monitoring of these grants to ensure their success.  Whilst the Committee welcomes the new early childhood development grant, it emphasises that there </w:t>
      </w:r>
      <w:r w:rsidRPr="009B39E9">
        <w:rPr>
          <w:rFonts w:ascii="Times New Roman" w:hAnsi="Times New Roman"/>
          <w:sz w:val="24"/>
          <w:szCs w:val="24"/>
          <w:lang w:val="en-US"/>
        </w:rPr>
        <w:lastRenderedPageBreak/>
        <w:t>should be close collaboration between the Departments of Social Development, Basic Education and Health in this regard.</w:t>
      </w:r>
    </w:p>
    <w:p w:rsidR="00A66701" w:rsidRPr="009B39E9" w:rsidRDefault="00A66701" w:rsidP="00751FDA">
      <w:pPr>
        <w:pStyle w:val="ListParagraph"/>
        <w:spacing w:line="360" w:lineRule="auto"/>
        <w:rPr>
          <w:rFonts w:ascii="Times New Roman" w:hAnsi="Times New Roman"/>
          <w:sz w:val="24"/>
          <w:szCs w:val="24"/>
          <w:lang w:val="en-US"/>
        </w:rPr>
      </w:pPr>
    </w:p>
    <w:p w:rsidR="005A4FA7" w:rsidRPr="009B39E9" w:rsidRDefault="006F49FD" w:rsidP="00751FDA">
      <w:pPr>
        <w:pStyle w:val="ListParagraph"/>
        <w:numPr>
          <w:ilvl w:val="1"/>
          <w:numId w:val="26"/>
        </w:numPr>
        <w:spacing w:line="360" w:lineRule="auto"/>
        <w:ind w:left="567" w:hanging="567"/>
        <w:jc w:val="both"/>
        <w:rPr>
          <w:rFonts w:ascii="Times New Roman" w:hAnsi="Times New Roman"/>
          <w:sz w:val="24"/>
          <w:szCs w:val="24"/>
          <w:lang w:val="en-US"/>
        </w:rPr>
      </w:pPr>
      <w:r w:rsidRPr="009B39E9">
        <w:rPr>
          <w:rFonts w:ascii="Times New Roman" w:hAnsi="Times New Roman"/>
          <w:sz w:val="24"/>
          <w:szCs w:val="24"/>
          <w:lang w:val="en-US"/>
        </w:rPr>
        <w:t xml:space="preserve">The Committee notes the concerns raised by the Financial and Fiscal Commission on the impact of the downward revision of allocations for the Human Settlements Development Grant (HSDG) and Water Services Infrastructure </w:t>
      </w:r>
      <w:r w:rsidR="00343835" w:rsidRPr="009B39E9">
        <w:rPr>
          <w:rFonts w:ascii="Times New Roman" w:hAnsi="Times New Roman"/>
          <w:sz w:val="24"/>
          <w:szCs w:val="24"/>
          <w:lang w:val="en-US"/>
        </w:rPr>
        <w:t>G</w:t>
      </w:r>
      <w:r w:rsidRPr="009B39E9">
        <w:rPr>
          <w:rFonts w:ascii="Times New Roman" w:hAnsi="Times New Roman"/>
          <w:sz w:val="24"/>
          <w:szCs w:val="24"/>
          <w:lang w:val="en-US"/>
        </w:rPr>
        <w:t>rant</w:t>
      </w:r>
      <w:r w:rsidR="00B27DD3" w:rsidRPr="009B39E9">
        <w:rPr>
          <w:rFonts w:ascii="Times New Roman" w:hAnsi="Times New Roman"/>
          <w:sz w:val="24"/>
          <w:szCs w:val="24"/>
          <w:lang w:val="en-US"/>
        </w:rPr>
        <w:t xml:space="preserve"> </w:t>
      </w:r>
      <w:r w:rsidR="00343835" w:rsidRPr="009B39E9">
        <w:rPr>
          <w:rFonts w:ascii="Times New Roman" w:hAnsi="Times New Roman"/>
          <w:sz w:val="24"/>
          <w:szCs w:val="24"/>
          <w:lang w:val="en-US"/>
        </w:rPr>
        <w:t>(WSIG)</w:t>
      </w:r>
      <w:r w:rsidRPr="009B39E9">
        <w:rPr>
          <w:rFonts w:ascii="Times New Roman" w:hAnsi="Times New Roman"/>
          <w:sz w:val="24"/>
          <w:szCs w:val="24"/>
          <w:lang w:val="en-US"/>
        </w:rPr>
        <w:t xml:space="preserve"> which negatively affect</w:t>
      </w:r>
      <w:r w:rsidR="00343835" w:rsidRPr="009B39E9">
        <w:rPr>
          <w:rFonts w:ascii="Times New Roman" w:hAnsi="Times New Roman"/>
          <w:sz w:val="24"/>
          <w:szCs w:val="24"/>
          <w:lang w:val="en-US"/>
        </w:rPr>
        <w:t>s</w:t>
      </w:r>
      <w:r w:rsidRPr="009B39E9">
        <w:rPr>
          <w:rFonts w:ascii="Times New Roman" w:hAnsi="Times New Roman"/>
          <w:sz w:val="24"/>
          <w:szCs w:val="24"/>
          <w:lang w:val="en-US"/>
        </w:rPr>
        <w:t xml:space="preserve"> houses delivered per allocation and efforts at</w:t>
      </w:r>
      <w:r w:rsidR="007B5227" w:rsidRPr="009B39E9">
        <w:rPr>
          <w:rFonts w:ascii="Times New Roman" w:hAnsi="Times New Roman"/>
          <w:sz w:val="24"/>
          <w:szCs w:val="24"/>
          <w:lang w:val="en-US"/>
        </w:rPr>
        <w:t xml:space="preserve"> addressing sanitation backlogs</w:t>
      </w:r>
      <w:r w:rsidR="006F40DA" w:rsidRPr="009B39E9">
        <w:rPr>
          <w:rFonts w:ascii="Times New Roman" w:hAnsi="Times New Roman"/>
          <w:sz w:val="24"/>
          <w:szCs w:val="24"/>
          <w:lang w:val="en-US"/>
        </w:rPr>
        <w:t xml:space="preserve"> and eradicating the bucket system.</w:t>
      </w:r>
      <w:r w:rsidRPr="009B39E9">
        <w:rPr>
          <w:rFonts w:ascii="Times New Roman" w:hAnsi="Times New Roman"/>
          <w:sz w:val="24"/>
          <w:szCs w:val="24"/>
          <w:lang w:val="en-US"/>
        </w:rPr>
        <w:t xml:space="preserve"> </w:t>
      </w:r>
      <w:r w:rsidR="005A4FA7" w:rsidRPr="009B39E9">
        <w:rPr>
          <w:rFonts w:ascii="Times New Roman" w:hAnsi="Times New Roman"/>
          <w:sz w:val="24"/>
          <w:szCs w:val="24"/>
          <w:lang w:val="en-US"/>
        </w:rPr>
        <w:t xml:space="preserve">However, the Committee views the complete eradication of the bucket system as urgent and wants clear timeframes on the completion of this programme. </w:t>
      </w:r>
    </w:p>
    <w:p w:rsidR="005A4FA7" w:rsidRPr="009B39E9" w:rsidRDefault="005A4FA7" w:rsidP="00751FDA">
      <w:pPr>
        <w:pStyle w:val="ListParagraph"/>
        <w:spacing w:line="360" w:lineRule="auto"/>
        <w:ind w:left="567"/>
        <w:jc w:val="both"/>
        <w:rPr>
          <w:rFonts w:ascii="Times New Roman" w:hAnsi="Times New Roman"/>
          <w:sz w:val="24"/>
          <w:szCs w:val="24"/>
          <w:lang w:val="en-US"/>
        </w:rPr>
      </w:pPr>
    </w:p>
    <w:p w:rsidR="001C22CD" w:rsidRPr="009B39E9" w:rsidRDefault="001C22CD" w:rsidP="00751FDA">
      <w:pPr>
        <w:pStyle w:val="ListParagraph"/>
        <w:numPr>
          <w:ilvl w:val="1"/>
          <w:numId w:val="26"/>
        </w:numPr>
        <w:spacing w:line="360" w:lineRule="auto"/>
        <w:ind w:left="567" w:hanging="567"/>
        <w:jc w:val="both"/>
        <w:rPr>
          <w:rFonts w:ascii="Times New Roman" w:hAnsi="Times New Roman"/>
          <w:sz w:val="24"/>
          <w:szCs w:val="24"/>
          <w:lang w:val="en-US"/>
        </w:rPr>
      </w:pPr>
      <w:r w:rsidRPr="009B39E9">
        <w:rPr>
          <w:rFonts w:ascii="Times New Roman" w:hAnsi="Times New Roman"/>
          <w:sz w:val="24"/>
          <w:szCs w:val="24"/>
          <w:lang w:val="en-US"/>
        </w:rPr>
        <w:t>The Committee further notes the F</w:t>
      </w:r>
      <w:r w:rsidR="006F49FD" w:rsidRPr="009B39E9">
        <w:rPr>
          <w:rFonts w:ascii="Times New Roman" w:hAnsi="Times New Roman"/>
          <w:sz w:val="24"/>
          <w:szCs w:val="24"/>
          <w:lang w:val="en-US"/>
        </w:rPr>
        <w:t xml:space="preserve">inancial and </w:t>
      </w:r>
      <w:r w:rsidRPr="009B39E9">
        <w:rPr>
          <w:rFonts w:ascii="Times New Roman" w:hAnsi="Times New Roman"/>
          <w:sz w:val="24"/>
          <w:szCs w:val="24"/>
          <w:lang w:val="en-US"/>
        </w:rPr>
        <w:t>F</w:t>
      </w:r>
      <w:r w:rsidR="006F49FD" w:rsidRPr="009B39E9">
        <w:rPr>
          <w:rFonts w:ascii="Times New Roman" w:hAnsi="Times New Roman"/>
          <w:sz w:val="24"/>
          <w:szCs w:val="24"/>
          <w:lang w:val="en-US"/>
        </w:rPr>
        <w:t>iscal Commission’s</w:t>
      </w:r>
      <w:r w:rsidRPr="009B39E9">
        <w:rPr>
          <w:rFonts w:ascii="Times New Roman" w:hAnsi="Times New Roman"/>
          <w:sz w:val="24"/>
          <w:szCs w:val="24"/>
          <w:lang w:val="en-US"/>
        </w:rPr>
        <w:t xml:space="preserve"> submission that the use of indirect grants may have an unintended negative impact on the repairs and maintenance of infrastructure due to national departments delivering infrastructure on behalf of municipalities.</w:t>
      </w:r>
      <w:r w:rsidR="008601FE" w:rsidRPr="009B39E9">
        <w:rPr>
          <w:rFonts w:ascii="Times New Roman" w:hAnsi="Times New Roman"/>
          <w:sz w:val="24"/>
          <w:szCs w:val="24"/>
          <w:lang w:val="en-US"/>
        </w:rPr>
        <w:t xml:space="preserve"> The Committee is of the view that there should be proper transfer of ownership of completed infrastructure by national departments </w:t>
      </w:r>
      <w:r w:rsidR="00C070C7" w:rsidRPr="009B39E9">
        <w:rPr>
          <w:rFonts w:ascii="Times New Roman" w:hAnsi="Times New Roman"/>
          <w:sz w:val="24"/>
          <w:szCs w:val="24"/>
          <w:lang w:val="en-US"/>
        </w:rPr>
        <w:t xml:space="preserve">to municipalities. </w:t>
      </w:r>
      <w:r w:rsidR="004F18F1" w:rsidRPr="009B39E9">
        <w:rPr>
          <w:rFonts w:ascii="Times New Roman" w:hAnsi="Times New Roman"/>
          <w:sz w:val="24"/>
          <w:szCs w:val="24"/>
          <w:lang w:val="en-US"/>
        </w:rPr>
        <w:t xml:space="preserve"> </w:t>
      </w:r>
    </w:p>
    <w:p w:rsidR="001C22CD" w:rsidRPr="009B39E9" w:rsidRDefault="001C22CD" w:rsidP="00751FDA">
      <w:pPr>
        <w:pStyle w:val="ListParagraph"/>
        <w:spacing w:line="360" w:lineRule="auto"/>
        <w:rPr>
          <w:rFonts w:ascii="Times New Roman" w:hAnsi="Times New Roman"/>
          <w:sz w:val="24"/>
          <w:szCs w:val="24"/>
          <w:lang w:val="en-US"/>
        </w:rPr>
      </w:pPr>
    </w:p>
    <w:p w:rsidR="001C22CD" w:rsidRPr="009B39E9" w:rsidRDefault="00E7528D" w:rsidP="00751FDA">
      <w:pPr>
        <w:pStyle w:val="ListParagraph"/>
        <w:numPr>
          <w:ilvl w:val="1"/>
          <w:numId w:val="26"/>
        </w:numPr>
        <w:spacing w:line="360" w:lineRule="auto"/>
        <w:ind w:left="567" w:hanging="567"/>
        <w:jc w:val="both"/>
        <w:rPr>
          <w:rFonts w:ascii="Times New Roman" w:hAnsi="Times New Roman"/>
          <w:sz w:val="24"/>
          <w:szCs w:val="24"/>
          <w:lang w:val="en-US"/>
        </w:rPr>
      </w:pPr>
      <w:r w:rsidRPr="009B39E9">
        <w:rPr>
          <w:rFonts w:ascii="Times New Roman" w:hAnsi="Times New Roman"/>
          <w:sz w:val="24"/>
          <w:szCs w:val="24"/>
          <w:lang w:val="en-US"/>
        </w:rPr>
        <w:t xml:space="preserve">The Committee remains concerned </w:t>
      </w:r>
      <w:r w:rsidR="009260A7" w:rsidRPr="009B39E9">
        <w:rPr>
          <w:rFonts w:ascii="Times New Roman" w:hAnsi="Times New Roman"/>
          <w:sz w:val="24"/>
          <w:szCs w:val="24"/>
          <w:lang w:val="en-US"/>
        </w:rPr>
        <w:t xml:space="preserve">about consumer debt owed to municipalities </w:t>
      </w:r>
      <w:r w:rsidR="00867C0B" w:rsidRPr="009B39E9">
        <w:rPr>
          <w:rFonts w:ascii="Times New Roman" w:hAnsi="Times New Roman"/>
          <w:sz w:val="24"/>
          <w:szCs w:val="24"/>
          <w:lang w:val="en-US"/>
        </w:rPr>
        <w:t>including</w:t>
      </w:r>
      <w:r w:rsidR="00E45A5C" w:rsidRPr="009B39E9">
        <w:rPr>
          <w:rFonts w:ascii="Times New Roman" w:hAnsi="Times New Roman"/>
          <w:sz w:val="24"/>
          <w:szCs w:val="24"/>
          <w:lang w:val="en-US"/>
        </w:rPr>
        <w:t xml:space="preserve"> national and provincial spheres of government </w:t>
      </w:r>
      <w:r w:rsidR="009260A7" w:rsidRPr="009B39E9">
        <w:rPr>
          <w:rFonts w:ascii="Times New Roman" w:hAnsi="Times New Roman"/>
          <w:sz w:val="24"/>
          <w:szCs w:val="24"/>
          <w:lang w:val="en-US"/>
        </w:rPr>
        <w:t>a</w:t>
      </w:r>
      <w:r w:rsidR="00AE4BEB" w:rsidRPr="009B39E9">
        <w:rPr>
          <w:rFonts w:ascii="Times New Roman" w:hAnsi="Times New Roman"/>
          <w:sz w:val="24"/>
          <w:szCs w:val="24"/>
          <w:lang w:val="en-US"/>
        </w:rPr>
        <w:t xml:space="preserve">nd </w:t>
      </w:r>
      <w:r w:rsidR="00E45A5C" w:rsidRPr="009B39E9">
        <w:rPr>
          <w:rFonts w:ascii="Times New Roman" w:hAnsi="Times New Roman"/>
          <w:sz w:val="24"/>
          <w:szCs w:val="24"/>
          <w:lang w:val="en-US"/>
        </w:rPr>
        <w:t xml:space="preserve">is of the view that this undermines the financial viability of municipalities’ especially rural and poor municipalities. The Committee is also very concerned about </w:t>
      </w:r>
      <w:r w:rsidR="009260A7" w:rsidRPr="009B39E9">
        <w:rPr>
          <w:rFonts w:ascii="Times New Roman" w:hAnsi="Times New Roman"/>
          <w:sz w:val="24"/>
          <w:szCs w:val="24"/>
          <w:lang w:val="en-US"/>
        </w:rPr>
        <w:t xml:space="preserve">intergovernmental debt whereby </w:t>
      </w:r>
      <w:r w:rsidR="009B0E9A" w:rsidRPr="009B39E9">
        <w:rPr>
          <w:rFonts w:ascii="Times New Roman" w:hAnsi="Times New Roman"/>
          <w:sz w:val="24"/>
          <w:szCs w:val="24"/>
          <w:lang w:val="en-US"/>
        </w:rPr>
        <w:t xml:space="preserve">municipalities </w:t>
      </w:r>
      <w:r w:rsidR="009260A7" w:rsidRPr="009B39E9">
        <w:rPr>
          <w:rFonts w:ascii="Times New Roman" w:hAnsi="Times New Roman"/>
          <w:sz w:val="24"/>
          <w:szCs w:val="24"/>
          <w:lang w:val="en-US"/>
        </w:rPr>
        <w:t xml:space="preserve">also owe significant amounts to state entities such as ESKOM and the Water </w:t>
      </w:r>
      <w:r w:rsidR="009B0E9A" w:rsidRPr="009B39E9">
        <w:rPr>
          <w:rFonts w:ascii="Times New Roman" w:hAnsi="Times New Roman"/>
          <w:sz w:val="24"/>
          <w:szCs w:val="24"/>
          <w:lang w:val="en-US"/>
        </w:rPr>
        <w:t xml:space="preserve">Trading </w:t>
      </w:r>
      <w:r w:rsidR="009260A7" w:rsidRPr="009B39E9">
        <w:rPr>
          <w:rFonts w:ascii="Times New Roman" w:hAnsi="Times New Roman"/>
          <w:sz w:val="24"/>
          <w:szCs w:val="24"/>
          <w:lang w:val="en-US"/>
        </w:rPr>
        <w:t>Entity</w:t>
      </w:r>
      <w:r w:rsidR="008A4475" w:rsidRPr="009B39E9">
        <w:rPr>
          <w:rFonts w:ascii="Times New Roman" w:hAnsi="Times New Roman"/>
          <w:sz w:val="24"/>
          <w:szCs w:val="24"/>
          <w:lang w:val="en-US"/>
        </w:rPr>
        <w:t xml:space="preserve"> and </w:t>
      </w:r>
      <w:r w:rsidR="00E45A5C" w:rsidRPr="009B39E9">
        <w:rPr>
          <w:rFonts w:ascii="Times New Roman" w:hAnsi="Times New Roman"/>
          <w:sz w:val="24"/>
          <w:szCs w:val="24"/>
          <w:lang w:val="en-US"/>
        </w:rPr>
        <w:t xml:space="preserve">is of the view that this </w:t>
      </w:r>
      <w:r w:rsidR="005F52F6" w:rsidRPr="009B39E9">
        <w:rPr>
          <w:rFonts w:ascii="Times New Roman" w:hAnsi="Times New Roman"/>
          <w:sz w:val="24"/>
          <w:szCs w:val="24"/>
          <w:lang w:val="en-US"/>
        </w:rPr>
        <w:t xml:space="preserve">jeopardises the operations of public entities. </w:t>
      </w:r>
      <w:r w:rsidR="005127DA" w:rsidRPr="009B39E9">
        <w:rPr>
          <w:rFonts w:ascii="Times New Roman" w:hAnsi="Times New Roman"/>
          <w:sz w:val="24"/>
          <w:szCs w:val="24"/>
          <w:lang w:val="en-US"/>
        </w:rPr>
        <w:t>The Committee notes the</w:t>
      </w:r>
      <w:r w:rsidRPr="009B39E9">
        <w:rPr>
          <w:rFonts w:ascii="Times New Roman" w:hAnsi="Times New Roman"/>
          <w:sz w:val="24"/>
          <w:szCs w:val="24"/>
          <w:lang w:val="en-US"/>
        </w:rPr>
        <w:t xml:space="preserve"> work underway by </w:t>
      </w:r>
      <w:r w:rsidR="00867C0B" w:rsidRPr="009B39E9">
        <w:rPr>
          <w:rFonts w:ascii="Times New Roman" w:hAnsi="Times New Roman"/>
          <w:sz w:val="24"/>
          <w:szCs w:val="24"/>
          <w:lang w:val="en-US"/>
        </w:rPr>
        <w:t xml:space="preserve">the </w:t>
      </w:r>
      <w:r w:rsidRPr="009B39E9">
        <w:rPr>
          <w:rFonts w:ascii="Times New Roman" w:hAnsi="Times New Roman"/>
          <w:sz w:val="24"/>
          <w:szCs w:val="24"/>
          <w:lang w:val="en-US"/>
        </w:rPr>
        <w:t>inter-ministerial committee in dealing with the issue including reviving bes</w:t>
      </w:r>
      <w:r w:rsidR="005127DA" w:rsidRPr="009B39E9">
        <w:rPr>
          <w:rFonts w:ascii="Times New Roman" w:hAnsi="Times New Roman"/>
          <w:sz w:val="24"/>
          <w:szCs w:val="24"/>
          <w:lang w:val="en-US"/>
        </w:rPr>
        <w:t xml:space="preserve">t practices in debt management however it is of the view that this process should be expedited as a matter of urgency. </w:t>
      </w:r>
    </w:p>
    <w:p w:rsidR="001C22CD" w:rsidRPr="009B39E9" w:rsidRDefault="001C22CD" w:rsidP="00751FDA">
      <w:pPr>
        <w:pStyle w:val="ListParagraph"/>
        <w:spacing w:line="360" w:lineRule="auto"/>
        <w:rPr>
          <w:rFonts w:ascii="Times New Roman" w:hAnsi="Times New Roman"/>
          <w:sz w:val="24"/>
          <w:szCs w:val="24"/>
        </w:rPr>
      </w:pPr>
    </w:p>
    <w:p w:rsidR="00F6541F" w:rsidRPr="009B39E9" w:rsidRDefault="001C22CD" w:rsidP="00751FDA">
      <w:pPr>
        <w:pStyle w:val="ListParagraph"/>
        <w:numPr>
          <w:ilvl w:val="1"/>
          <w:numId w:val="26"/>
        </w:numPr>
        <w:spacing w:line="360" w:lineRule="auto"/>
        <w:ind w:left="567" w:hanging="567"/>
        <w:jc w:val="both"/>
        <w:rPr>
          <w:rFonts w:ascii="Times New Roman" w:hAnsi="Times New Roman"/>
          <w:sz w:val="24"/>
          <w:szCs w:val="24"/>
          <w:lang w:val="en-US"/>
        </w:rPr>
      </w:pPr>
      <w:r w:rsidRPr="009B39E9">
        <w:rPr>
          <w:rFonts w:ascii="Times New Roman" w:hAnsi="Times New Roman"/>
          <w:sz w:val="24"/>
          <w:szCs w:val="24"/>
        </w:rPr>
        <w:t>The Committee notes the initiatives undertaken by S</w:t>
      </w:r>
      <w:r w:rsidR="006F49FD" w:rsidRPr="009B39E9">
        <w:rPr>
          <w:rFonts w:ascii="Times New Roman" w:hAnsi="Times New Roman"/>
          <w:sz w:val="24"/>
          <w:szCs w:val="24"/>
        </w:rPr>
        <w:t>outh African Local Government Association t</w:t>
      </w:r>
      <w:r w:rsidRPr="009B39E9">
        <w:rPr>
          <w:rFonts w:ascii="Times New Roman" w:hAnsi="Times New Roman"/>
          <w:sz w:val="24"/>
          <w:szCs w:val="24"/>
        </w:rPr>
        <w:t>hat point to improvements</w:t>
      </w:r>
      <w:r w:rsidR="00867C0B" w:rsidRPr="009B39E9">
        <w:rPr>
          <w:rFonts w:ascii="Times New Roman" w:hAnsi="Times New Roman"/>
          <w:sz w:val="24"/>
          <w:szCs w:val="24"/>
        </w:rPr>
        <w:t xml:space="preserve"> in municipal operations. However, the Committee calls</w:t>
      </w:r>
      <w:r w:rsidRPr="009B39E9">
        <w:rPr>
          <w:rFonts w:ascii="Times New Roman" w:hAnsi="Times New Roman"/>
          <w:sz w:val="24"/>
          <w:szCs w:val="24"/>
        </w:rPr>
        <w:t xml:space="preserve"> for stricter application of consequence </w:t>
      </w:r>
      <w:r w:rsidRPr="009B39E9">
        <w:rPr>
          <w:rFonts w:ascii="Times New Roman" w:hAnsi="Times New Roman"/>
          <w:sz w:val="24"/>
          <w:szCs w:val="24"/>
        </w:rPr>
        <w:lastRenderedPageBreak/>
        <w:t>management in municipalities, the need to elevate the role of municipalities in economic development, enforcement of municipal by-laws and formulating innovative technology solutio</w:t>
      </w:r>
      <w:r w:rsidR="00867C0B" w:rsidRPr="009B39E9">
        <w:rPr>
          <w:rFonts w:ascii="Times New Roman" w:hAnsi="Times New Roman"/>
          <w:sz w:val="24"/>
          <w:szCs w:val="24"/>
        </w:rPr>
        <w:t>ns and other legal mechanisms in</w:t>
      </w:r>
      <w:r w:rsidRPr="009B39E9">
        <w:rPr>
          <w:rFonts w:ascii="Times New Roman" w:hAnsi="Times New Roman"/>
          <w:sz w:val="24"/>
          <w:szCs w:val="24"/>
        </w:rPr>
        <w:t xml:space="preserve"> dealing with municipal debt and revenue collection. </w:t>
      </w:r>
    </w:p>
    <w:p w:rsidR="00F6541F" w:rsidRPr="009B39E9" w:rsidRDefault="00F6541F" w:rsidP="00751FDA">
      <w:pPr>
        <w:pStyle w:val="ListParagraph"/>
        <w:spacing w:line="360" w:lineRule="auto"/>
        <w:rPr>
          <w:rFonts w:ascii="Times New Roman" w:hAnsi="Times New Roman"/>
          <w:sz w:val="24"/>
          <w:szCs w:val="24"/>
          <w:lang w:val="en-US"/>
        </w:rPr>
      </w:pPr>
    </w:p>
    <w:p w:rsidR="001C22CD" w:rsidRPr="009B39E9" w:rsidRDefault="001C22CD" w:rsidP="00751FDA">
      <w:pPr>
        <w:pStyle w:val="ListParagraph"/>
        <w:numPr>
          <w:ilvl w:val="1"/>
          <w:numId w:val="26"/>
        </w:numPr>
        <w:spacing w:line="360" w:lineRule="auto"/>
        <w:ind w:left="567" w:hanging="567"/>
        <w:jc w:val="both"/>
        <w:rPr>
          <w:rFonts w:ascii="Times New Roman" w:hAnsi="Times New Roman"/>
          <w:sz w:val="24"/>
          <w:szCs w:val="24"/>
          <w:lang w:val="en-US"/>
        </w:rPr>
      </w:pPr>
      <w:r w:rsidRPr="009B39E9">
        <w:rPr>
          <w:rFonts w:ascii="Times New Roman" w:hAnsi="Times New Roman"/>
          <w:sz w:val="24"/>
          <w:szCs w:val="24"/>
          <w:lang w:val="en-US"/>
        </w:rPr>
        <w:t>The Committee notes concern</w:t>
      </w:r>
      <w:r w:rsidR="003531FE" w:rsidRPr="009B39E9">
        <w:rPr>
          <w:rFonts w:ascii="Times New Roman" w:hAnsi="Times New Roman"/>
          <w:sz w:val="24"/>
          <w:szCs w:val="24"/>
          <w:lang w:val="en-US"/>
        </w:rPr>
        <w:t>s raised by the</w:t>
      </w:r>
      <w:r w:rsidRPr="009B39E9">
        <w:rPr>
          <w:rFonts w:ascii="Times New Roman" w:hAnsi="Times New Roman"/>
          <w:sz w:val="24"/>
          <w:szCs w:val="24"/>
          <w:lang w:val="en-US"/>
        </w:rPr>
        <w:t xml:space="preserve"> R</w:t>
      </w:r>
      <w:r w:rsidR="003531FE" w:rsidRPr="009B39E9">
        <w:rPr>
          <w:rFonts w:ascii="Times New Roman" w:hAnsi="Times New Roman"/>
          <w:sz w:val="24"/>
          <w:szCs w:val="24"/>
          <w:lang w:val="en-US"/>
        </w:rPr>
        <w:t>ural Health Advocacy</w:t>
      </w:r>
      <w:r w:rsidR="00867C0B" w:rsidRPr="009B39E9">
        <w:rPr>
          <w:rFonts w:ascii="Times New Roman" w:hAnsi="Times New Roman"/>
          <w:sz w:val="24"/>
          <w:szCs w:val="24"/>
          <w:lang w:val="en-US"/>
        </w:rPr>
        <w:t xml:space="preserve"> Project</w:t>
      </w:r>
      <w:r w:rsidR="00E7116B" w:rsidRPr="009B39E9">
        <w:rPr>
          <w:rFonts w:ascii="Times New Roman" w:hAnsi="Times New Roman"/>
          <w:sz w:val="24"/>
          <w:szCs w:val="24"/>
          <w:lang w:val="en-US"/>
        </w:rPr>
        <w:t xml:space="preserve"> </w:t>
      </w:r>
      <w:r w:rsidR="003531FE" w:rsidRPr="009B39E9">
        <w:rPr>
          <w:rFonts w:ascii="Times New Roman" w:hAnsi="Times New Roman"/>
          <w:sz w:val="24"/>
          <w:szCs w:val="24"/>
          <w:lang w:val="en-US"/>
        </w:rPr>
        <w:t>around the</w:t>
      </w:r>
      <w:r w:rsidRPr="009B39E9">
        <w:rPr>
          <w:rFonts w:ascii="Times New Roman" w:hAnsi="Times New Roman"/>
          <w:sz w:val="24"/>
          <w:szCs w:val="24"/>
          <w:lang w:val="en-US"/>
        </w:rPr>
        <w:t xml:space="preserve"> </w:t>
      </w:r>
      <w:r w:rsidR="00867C0B" w:rsidRPr="009B39E9">
        <w:rPr>
          <w:rFonts w:ascii="Times New Roman" w:hAnsi="Times New Roman"/>
          <w:sz w:val="24"/>
          <w:szCs w:val="24"/>
          <w:lang w:val="en-US"/>
        </w:rPr>
        <w:t xml:space="preserve">lack of transparent resource </w:t>
      </w:r>
      <w:r w:rsidRPr="009B39E9">
        <w:rPr>
          <w:rFonts w:ascii="Times New Roman" w:hAnsi="Times New Roman"/>
          <w:sz w:val="24"/>
          <w:szCs w:val="24"/>
          <w:lang w:val="en-US"/>
        </w:rPr>
        <w:t xml:space="preserve">allocation </w:t>
      </w:r>
      <w:r w:rsidR="00867C0B" w:rsidRPr="009B39E9">
        <w:rPr>
          <w:rFonts w:ascii="Times New Roman" w:hAnsi="Times New Roman"/>
          <w:sz w:val="24"/>
          <w:szCs w:val="24"/>
          <w:lang w:val="en-US"/>
        </w:rPr>
        <w:t xml:space="preserve">in the health sector at </w:t>
      </w:r>
      <w:r w:rsidRPr="009B39E9">
        <w:rPr>
          <w:rFonts w:ascii="Times New Roman" w:hAnsi="Times New Roman"/>
          <w:sz w:val="24"/>
          <w:szCs w:val="24"/>
          <w:lang w:val="en-US"/>
        </w:rPr>
        <w:t>provincial level</w:t>
      </w:r>
      <w:r w:rsidR="00867C0B" w:rsidRPr="009B39E9">
        <w:rPr>
          <w:rFonts w:ascii="Times New Roman" w:hAnsi="Times New Roman"/>
          <w:sz w:val="24"/>
          <w:szCs w:val="24"/>
          <w:lang w:val="en-US"/>
        </w:rPr>
        <w:t xml:space="preserve"> and concerns around the effectiveness of budget allocations vis-à-vis the health needs of rural communities. </w:t>
      </w:r>
      <w:r w:rsidR="003531FE" w:rsidRPr="009B39E9">
        <w:rPr>
          <w:rFonts w:ascii="Times New Roman" w:hAnsi="Times New Roman"/>
          <w:sz w:val="24"/>
          <w:szCs w:val="24"/>
          <w:lang w:val="en-US"/>
        </w:rPr>
        <w:t xml:space="preserve"> </w:t>
      </w:r>
      <w:r w:rsidR="000A73E0" w:rsidRPr="009B39E9">
        <w:rPr>
          <w:rFonts w:ascii="Times New Roman" w:hAnsi="Times New Roman"/>
          <w:sz w:val="24"/>
          <w:szCs w:val="24"/>
          <w:lang w:val="en-US"/>
        </w:rPr>
        <w:t>The Committee wi</w:t>
      </w:r>
      <w:r w:rsidR="00F6541F" w:rsidRPr="009B39E9">
        <w:rPr>
          <w:rFonts w:ascii="Times New Roman" w:hAnsi="Times New Roman"/>
          <w:sz w:val="24"/>
          <w:szCs w:val="24"/>
          <w:lang w:val="en-US"/>
        </w:rPr>
        <w:t>ll be holding meetings</w:t>
      </w:r>
      <w:r w:rsidR="000A73E0" w:rsidRPr="009B39E9">
        <w:rPr>
          <w:rFonts w:ascii="Times New Roman" w:hAnsi="Times New Roman"/>
          <w:sz w:val="24"/>
          <w:szCs w:val="24"/>
          <w:lang w:val="en-US"/>
        </w:rPr>
        <w:t xml:space="preserve"> with the national and provincial</w:t>
      </w:r>
      <w:r w:rsidR="00F6541F" w:rsidRPr="009B39E9">
        <w:rPr>
          <w:rFonts w:ascii="Times New Roman" w:hAnsi="Times New Roman"/>
          <w:sz w:val="24"/>
          <w:szCs w:val="24"/>
          <w:lang w:val="en-US"/>
        </w:rPr>
        <w:t xml:space="preserve"> health</w:t>
      </w:r>
      <w:r w:rsidR="000A73E0" w:rsidRPr="009B39E9">
        <w:rPr>
          <w:rFonts w:ascii="Times New Roman" w:hAnsi="Times New Roman"/>
          <w:sz w:val="24"/>
          <w:szCs w:val="24"/>
          <w:lang w:val="en-US"/>
        </w:rPr>
        <w:t xml:space="preserve"> departments</w:t>
      </w:r>
      <w:r w:rsidR="00F6541F" w:rsidRPr="009B39E9">
        <w:rPr>
          <w:rFonts w:ascii="Times New Roman" w:hAnsi="Times New Roman"/>
          <w:sz w:val="24"/>
          <w:szCs w:val="24"/>
          <w:lang w:val="en-US"/>
        </w:rPr>
        <w:t xml:space="preserve"> on the effective co-ordination and alignment of national and provincial spheres of government in the delivery of health services so as to ensure value for money, efficient planning and resource allocation. The Committee will invite the Rural Health Advocacy Project to form part of these discussions.</w:t>
      </w:r>
    </w:p>
    <w:p w:rsidR="00F6541F" w:rsidRPr="009B39E9" w:rsidRDefault="00F6541F" w:rsidP="00751FDA">
      <w:pPr>
        <w:pStyle w:val="ListParagraph"/>
        <w:spacing w:line="360" w:lineRule="auto"/>
        <w:ind w:left="567"/>
        <w:jc w:val="both"/>
        <w:rPr>
          <w:rFonts w:ascii="Times New Roman" w:hAnsi="Times New Roman"/>
          <w:sz w:val="24"/>
          <w:szCs w:val="24"/>
          <w:lang w:val="en-US"/>
        </w:rPr>
      </w:pPr>
    </w:p>
    <w:p w:rsidR="00BE3D94" w:rsidRPr="009B39E9" w:rsidRDefault="00483C62" w:rsidP="00751FDA">
      <w:pPr>
        <w:pStyle w:val="ListParagraph"/>
        <w:numPr>
          <w:ilvl w:val="1"/>
          <w:numId w:val="26"/>
        </w:numPr>
        <w:spacing w:line="360" w:lineRule="auto"/>
        <w:ind w:left="567" w:hanging="567"/>
        <w:jc w:val="both"/>
        <w:rPr>
          <w:rFonts w:ascii="Times New Roman" w:hAnsi="Times New Roman"/>
          <w:sz w:val="24"/>
          <w:szCs w:val="24"/>
          <w:lang w:val="en-US"/>
        </w:rPr>
      </w:pPr>
      <w:r w:rsidRPr="009B39E9">
        <w:rPr>
          <w:rFonts w:ascii="Times New Roman" w:hAnsi="Times New Roman"/>
          <w:sz w:val="24"/>
          <w:szCs w:val="24"/>
          <w:lang w:val="en-US"/>
        </w:rPr>
        <w:t>The Committee notes Equal Education’s submission that the cost of providing quality education in rural provinces is substantially higher due to their history of underfunding and their continued challenging economic conditions including infrastructure backlogs and high unemploymen</w:t>
      </w:r>
      <w:r w:rsidR="00F6541F" w:rsidRPr="009B39E9">
        <w:rPr>
          <w:rFonts w:ascii="Times New Roman" w:hAnsi="Times New Roman"/>
          <w:sz w:val="24"/>
          <w:szCs w:val="24"/>
          <w:lang w:val="en-US"/>
        </w:rPr>
        <w:t>t. The Committee also notes National Treasury</w:t>
      </w:r>
      <w:r w:rsidR="00622DB3" w:rsidRPr="009B39E9">
        <w:rPr>
          <w:rFonts w:ascii="Times New Roman" w:hAnsi="Times New Roman"/>
          <w:sz w:val="24"/>
          <w:szCs w:val="24"/>
          <w:lang w:val="en-US"/>
        </w:rPr>
        <w:t>’s</w:t>
      </w:r>
      <w:r w:rsidR="00F6541F" w:rsidRPr="009B39E9">
        <w:rPr>
          <w:rFonts w:ascii="Times New Roman" w:hAnsi="Times New Roman"/>
          <w:sz w:val="24"/>
          <w:szCs w:val="24"/>
          <w:lang w:val="en-US"/>
        </w:rPr>
        <w:t xml:space="preserve"> submission that work is underway in addressing issues on funding services in rural areas through </w:t>
      </w:r>
      <w:r w:rsidR="009C7460" w:rsidRPr="009B39E9">
        <w:rPr>
          <w:rFonts w:ascii="Times New Roman" w:hAnsi="Times New Roman"/>
          <w:sz w:val="24"/>
          <w:szCs w:val="24"/>
          <w:lang w:val="en-US"/>
        </w:rPr>
        <w:t xml:space="preserve">the </w:t>
      </w:r>
      <w:r w:rsidR="00F6541F" w:rsidRPr="009B39E9">
        <w:rPr>
          <w:rFonts w:ascii="Times New Roman" w:hAnsi="Times New Roman"/>
          <w:sz w:val="24"/>
          <w:szCs w:val="24"/>
          <w:lang w:val="en-US"/>
        </w:rPr>
        <w:t>review of the provincial equitable share formula.</w:t>
      </w:r>
      <w:r w:rsidRPr="009B39E9">
        <w:rPr>
          <w:rFonts w:ascii="Times New Roman" w:hAnsi="Times New Roman"/>
          <w:sz w:val="24"/>
          <w:szCs w:val="24"/>
          <w:lang w:val="en-US"/>
        </w:rPr>
        <w:t xml:space="preserve"> </w:t>
      </w:r>
    </w:p>
    <w:p w:rsidR="001C22CD" w:rsidRPr="009B39E9" w:rsidRDefault="001C22CD" w:rsidP="00751FDA">
      <w:pPr>
        <w:pStyle w:val="ListParagraph"/>
        <w:spacing w:line="360" w:lineRule="auto"/>
        <w:ind w:left="567"/>
        <w:jc w:val="both"/>
        <w:rPr>
          <w:rFonts w:ascii="Times New Roman" w:hAnsi="Times New Roman"/>
          <w:sz w:val="24"/>
          <w:szCs w:val="24"/>
          <w:highlight w:val="yellow"/>
          <w:lang w:val="en-US"/>
        </w:rPr>
      </w:pPr>
    </w:p>
    <w:p w:rsidR="002F1473" w:rsidRPr="009B39E9" w:rsidRDefault="00BE3D94" w:rsidP="00751FDA">
      <w:pPr>
        <w:pStyle w:val="ListParagraph"/>
        <w:numPr>
          <w:ilvl w:val="1"/>
          <w:numId w:val="26"/>
        </w:numPr>
        <w:spacing w:line="360" w:lineRule="auto"/>
        <w:ind w:left="567" w:hanging="567"/>
        <w:jc w:val="both"/>
        <w:rPr>
          <w:rFonts w:ascii="Times New Roman" w:hAnsi="Times New Roman"/>
          <w:sz w:val="24"/>
          <w:szCs w:val="24"/>
          <w:lang w:val="en-US"/>
        </w:rPr>
      </w:pPr>
      <w:r w:rsidRPr="009B39E9">
        <w:rPr>
          <w:rFonts w:ascii="Times New Roman" w:hAnsi="Times New Roman"/>
          <w:sz w:val="24"/>
          <w:szCs w:val="24"/>
          <w:lang w:val="en-US"/>
        </w:rPr>
        <w:t xml:space="preserve">The Committee </w:t>
      </w:r>
      <w:r w:rsidR="009C7460" w:rsidRPr="009B39E9">
        <w:rPr>
          <w:rFonts w:ascii="Times New Roman" w:hAnsi="Times New Roman"/>
          <w:sz w:val="24"/>
          <w:szCs w:val="24"/>
          <w:lang w:val="en-US"/>
        </w:rPr>
        <w:t xml:space="preserve">notes </w:t>
      </w:r>
      <w:r w:rsidRPr="009B39E9">
        <w:rPr>
          <w:rFonts w:ascii="Times New Roman" w:hAnsi="Times New Roman"/>
          <w:sz w:val="24"/>
          <w:szCs w:val="24"/>
          <w:lang w:val="en-US"/>
        </w:rPr>
        <w:t xml:space="preserve">with concern Equal Education’s submission with regard to the schools’ transport system wherein it highlights ineffective coordination between the Departments of Transport and the Department of Basic Education; inaccurate and inconsistent data on the number of learners in need of scholar transport and under-funding and under-budgeting for scholar transport by provinces, particularly rural provinces. </w:t>
      </w:r>
      <w:r w:rsidR="009C7460" w:rsidRPr="009B39E9">
        <w:rPr>
          <w:rFonts w:ascii="Times New Roman" w:hAnsi="Times New Roman"/>
          <w:sz w:val="24"/>
          <w:szCs w:val="24"/>
          <w:lang w:val="en-US"/>
        </w:rPr>
        <w:t xml:space="preserve">The Committee notes government’s response that the Departments of </w:t>
      </w:r>
      <w:r w:rsidR="003577A0" w:rsidRPr="009B39E9">
        <w:rPr>
          <w:rFonts w:ascii="Times New Roman" w:hAnsi="Times New Roman"/>
          <w:sz w:val="24"/>
          <w:szCs w:val="24"/>
          <w:lang w:val="en-US"/>
        </w:rPr>
        <w:t xml:space="preserve">Basic </w:t>
      </w:r>
      <w:r w:rsidR="009C7460" w:rsidRPr="009B39E9">
        <w:rPr>
          <w:rFonts w:ascii="Times New Roman" w:hAnsi="Times New Roman"/>
          <w:sz w:val="24"/>
          <w:szCs w:val="24"/>
          <w:lang w:val="en-US"/>
        </w:rPr>
        <w:t xml:space="preserve">Education and Transport still need to </w:t>
      </w:r>
      <w:r w:rsidR="00E058B0" w:rsidRPr="009B39E9">
        <w:rPr>
          <w:rFonts w:ascii="Times New Roman" w:hAnsi="Times New Roman"/>
          <w:sz w:val="24"/>
          <w:szCs w:val="24"/>
          <w:lang w:val="en-US"/>
        </w:rPr>
        <w:t>finalis</w:t>
      </w:r>
      <w:r w:rsidR="009C7460" w:rsidRPr="009B39E9">
        <w:rPr>
          <w:rFonts w:ascii="Times New Roman" w:hAnsi="Times New Roman"/>
          <w:sz w:val="24"/>
          <w:szCs w:val="24"/>
          <w:lang w:val="en-US"/>
        </w:rPr>
        <w:t xml:space="preserve">e the assignment of the scholar transport function.   </w:t>
      </w:r>
    </w:p>
    <w:p w:rsidR="003577A0" w:rsidRPr="009B39E9" w:rsidRDefault="003577A0" w:rsidP="00751FDA">
      <w:pPr>
        <w:pStyle w:val="ListParagraph"/>
        <w:spacing w:line="360" w:lineRule="auto"/>
        <w:rPr>
          <w:rFonts w:ascii="Times New Roman" w:hAnsi="Times New Roman"/>
          <w:sz w:val="24"/>
          <w:szCs w:val="24"/>
          <w:lang w:val="en-US"/>
        </w:rPr>
      </w:pPr>
    </w:p>
    <w:p w:rsidR="00006FED" w:rsidRPr="009B39E9" w:rsidRDefault="00006FED" w:rsidP="00751FDA">
      <w:pPr>
        <w:pStyle w:val="ListParagraph"/>
        <w:numPr>
          <w:ilvl w:val="1"/>
          <w:numId w:val="26"/>
        </w:numPr>
        <w:spacing w:line="360" w:lineRule="auto"/>
        <w:ind w:left="567" w:hanging="567"/>
        <w:jc w:val="both"/>
        <w:rPr>
          <w:rFonts w:ascii="Times New Roman" w:hAnsi="Times New Roman"/>
          <w:sz w:val="24"/>
          <w:szCs w:val="24"/>
          <w:lang w:val="en-US"/>
        </w:rPr>
      </w:pPr>
      <w:r w:rsidRPr="009B39E9">
        <w:rPr>
          <w:rFonts w:ascii="Times New Roman" w:hAnsi="Times New Roman"/>
          <w:sz w:val="24"/>
          <w:szCs w:val="24"/>
          <w:lang w:val="en-US"/>
        </w:rPr>
        <w:lastRenderedPageBreak/>
        <w:t xml:space="preserve">The Committee notes Equal Education’s submission that a disproportionately high number of quintile 1 to 3 schools were located in rural provinces thus rendering the cost of education substantially higher than in urban provinces. The Committee is the view that the quintile system needs to be significantly improved so that it does not disadvantage poor learner’s who reside in urban areas. </w:t>
      </w:r>
    </w:p>
    <w:p w:rsidR="001C22CD" w:rsidRPr="009B39E9" w:rsidRDefault="001C22CD" w:rsidP="00751FDA">
      <w:pPr>
        <w:pStyle w:val="ListParagraph"/>
        <w:spacing w:line="360" w:lineRule="auto"/>
        <w:ind w:left="567"/>
        <w:jc w:val="both"/>
        <w:rPr>
          <w:rFonts w:ascii="Times New Roman" w:hAnsi="Times New Roman"/>
          <w:sz w:val="24"/>
          <w:szCs w:val="24"/>
          <w:highlight w:val="yellow"/>
          <w:lang w:val="en-US"/>
        </w:rPr>
      </w:pPr>
    </w:p>
    <w:p w:rsidR="0063309E" w:rsidRPr="00696BF2" w:rsidRDefault="002F1473" w:rsidP="00696BF2">
      <w:pPr>
        <w:pStyle w:val="ListParagraph"/>
        <w:numPr>
          <w:ilvl w:val="1"/>
          <w:numId w:val="26"/>
        </w:numPr>
        <w:spacing w:line="360" w:lineRule="auto"/>
        <w:ind w:left="567" w:hanging="567"/>
        <w:jc w:val="both"/>
        <w:rPr>
          <w:rFonts w:ascii="Times New Roman" w:hAnsi="Times New Roman"/>
          <w:sz w:val="24"/>
          <w:szCs w:val="24"/>
          <w:lang w:val="en-US"/>
        </w:rPr>
      </w:pPr>
      <w:r w:rsidRPr="009B39E9">
        <w:rPr>
          <w:rFonts w:ascii="Times New Roman" w:hAnsi="Times New Roman"/>
          <w:sz w:val="24"/>
          <w:szCs w:val="24"/>
          <w:lang w:val="en-US"/>
        </w:rPr>
        <w:t xml:space="preserve">The Committee notes that there is a technical error in the Bill. National Treasury indicated that the error resulted in the zero being omitted from all the municipal codes in Schedule 3 of the Bill and the Annexures and Appendixes to the Bill.  </w:t>
      </w:r>
      <w:r w:rsidR="00BE729D" w:rsidRPr="009B39E9">
        <w:rPr>
          <w:rFonts w:ascii="Times New Roman" w:hAnsi="Times New Roman"/>
          <w:sz w:val="24"/>
          <w:szCs w:val="24"/>
          <w:lang w:val="en-US"/>
        </w:rPr>
        <w:t xml:space="preserve">The Committee agreed that this </w:t>
      </w:r>
      <w:r w:rsidR="0093597A" w:rsidRPr="009B39E9">
        <w:rPr>
          <w:rFonts w:ascii="Times New Roman" w:hAnsi="Times New Roman"/>
          <w:sz w:val="24"/>
          <w:szCs w:val="24"/>
          <w:lang w:val="en-US"/>
        </w:rPr>
        <w:t>be corrected</w:t>
      </w:r>
      <w:r w:rsidR="00E058B0" w:rsidRPr="009B39E9">
        <w:rPr>
          <w:rFonts w:ascii="Times New Roman" w:hAnsi="Times New Roman"/>
          <w:sz w:val="24"/>
          <w:szCs w:val="24"/>
          <w:lang w:val="en-US"/>
        </w:rPr>
        <w:t xml:space="preserve"> by the Minister of Finance in the National Assembly as per Section 14 of the Money Bills Act which provides that the House may consider amendments proposed by Minister to make technical corrections.</w:t>
      </w:r>
      <w:r w:rsidR="00BE729D" w:rsidRPr="009B39E9">
        <w:rPr>
          <w:rFonts w:ascii="Times New Roman" w:hAnsi="Times New Roman"/>
          <w:sz w:val="24"/>
          <w:szCs w:val="24"/>
          <w:lang w:val="en-US"/>
        </w:rPr>
        <w:t xml:space="preserve"> </w:t>
      </w:r>
    </w:p>
    <w:p w:rsidR="00610834" w:rsidRPr="009B39E9" w:rsidRDefault="00610834" w:rsidP="00751FDA">
      <w:pPr>
        <w:spacing w:after="160" w:line="360" w:lineRule="auto"/>
        <w:ind w:left="720" w:hanging="720"/>
        <w:contextualSpacing/>
        <w:jc w:val="both"/>
        <w:rPr>
          <w:rFonts w:ascii="Times New Roman" w:hAnsi="Times New Roman"/>
          <w:b/>
          <w:sz w:val="24"/>
          <w:szCs w:val="24"/>
        </w:rPr>
      </w:pPr>
      <w:r w:rsidRPr="009B39E9">
        <w:rPr>
          <w:rFonts w:ascii="Times New Roman" w:hAnsi="Times New Roman"/>
          <w:b/>
          <w:sz w:val="24"/>
          <w:szCs w:val="24"/>
        </w:rPr>
        <w:t>5.</w:t>
      </w:r>
      <w:r w:rsidRPr="009B39E9">
        <w:rPr>
          <w:rFonts w:ascii="Times New Roman" w:hAnsi="Times New Roman"/>
          <w:b/>
          <w:sz w:val="24"/>
          <w:szCs w:val="24"/>
        </w:rPr>
        <w:tab/>
        <w:t xml:space="preserve">Recommendations </w:t>
      </w:r>
    </w:p>
    <w:p w:rsidR="00610834" w:rsidRPr="009B39E9" w:rsidRDefault="00610834" w:rsidP="00696BF2">
      <w:pPr>
        <w:spacing w:after="0" w:line="360" w:lineRule="auto"/>
        <w:rPr>
          <w:rFonts w:ascii="Times New Roman" w:hAnsi="Times New Roman"/>
          <w:sz w:val="24"/>
          <w:szCs w:val="24"/>
        </w:rPr>
      </w:pPr>
    </w:p>
    <w:p w:rsidR="00610834" w:rsidRPr="009B39E9" w:rsidRDefault="00610834" w:rsidP="00751FDA">
      <w:pPr>
        <w:spacing w:after="0" w:line="360" w:lineRule="auto"/>
        <w:rPr>
          <w:rFonts w:ascii="Times New Roman" w:hAnsi="Times New Roman"/>
          <w:sz w:val="24"/>
          <w:szCs w:val="24"/>
        </w:rPr>
      </w:pPr>
      <w:r w:rsidRPr="009B39E9">
        <w:rPr>
          <w:rFonts w:ascii="Times New Roman" w:hAnsi="Times New Roman"/>
          <w:sz w:val="24"/>
          <w:szCs w:val="24"/>
        </w:rPr>
        <w:t>The Standing Committee on Appropriations having considered the 201</w:t>
      </w:r>
      <w:r w:rsidR="008B1B41" w:rsidRPr="009B39E9">
        <w:rPr>
          <w:rFonts w:ascii="Times New Roman" w:hAnsi="Times New Roman"/>
          <w:sz w:val="24"/>
          <w:szCs w:val="24"/>
        </w:rPr>
        <w:t>7</w:t>
      </w:r>
      <w:r w:rsidRPr="009B39E9">
        <w:rPr>
          <w:rFonts w:ascii="Times New Roman" w:hAnsi="Times New Roman"/>
          <w:sz w:val="24"/>
          <w:szCs w:val="24"/>
        </w:rPr>
        <w:t xml:space="preserve"> Division of Revenue Bill recommends as follows:</w:t>
      </w:r>
    </w:p>
    <w:p w:rsidR="00CC4552" w:rsidRPr="009B39E9" w:rsidRDefault="00610834" w:rsidP="00751FDA">
      <w:pPr>
        <w:spacing w:after="0" w:line="360" w:lineRule="auto"/>
        <w:rPr>
          <w:rFonts w:ascii="Times New Roman" w:hAnsi="Times New Roman"/>
          <w:sz w:val="24"/>
          <w:szCs w:val="24"/>
        </w:rPr>
      </w:pPr>
      <w:r w:rsidRPr="009B39E9">
        <w:rPr>
          <w:rFonts w:ascii="Times New Roman" w:hAnsi="Times New Roman"/>
          <w:sz w:val="24"/>
          <w:szCs w:val="24"/>
        </w:rPr>
        <w:tab/>
      </w:r>
    </w:p>
    <w:p w:rsidR="00610834" w:rsidRPr="009B39E9" w:rsidRDefault="00610834" w:rsidP="00751FDA">
      <w:pPr>
        <w:pStyle w:val="ListParagraph"/>
        <w:numPr>
          <w:ilvl w:val="1"/>
          <w:numId w:val="28"/>
        </w:numPr>
        <w:spacing w:after="0" w:line="360" w:lineRule="auto"/>
        <w:rPr>
          <w:rFonts w:ascii="Times New Roman" w:hAnsi="Times New Roman"/>
          <w:sz w:val="24"/>
          <w:szCs w:val="24"/>
        </w:rPr>
      </w:pPr>
      <w:r w:rsidRPr="009B39E9">
        <w:rPr>
          <w:rFonts w:ascii="Times New Roman" w:hAnsi="Times New Roman"/>
          <w:sz w:val="24"/>
          <w:szCs w:val="24"/>
        </w:rPr>
        <w:t>That the Minister of Finance should ensure the following:</w:t>
      </w:r>
    </w:p>
    <w:p w:rsidR="00610834" w:rsidRPr="009B39E9" w:rsidRDefault="00610834" w:rsidP="00751FDA">
      <w:pPr>
        <w:spacing w:after="0" w:line="360" w:lineRule="auto"/>
        <w:jc w:val="both"/>
        <w:rPr>
          <w:rFonts w:ascii="Times New Roman" w:hAnsi="Times New Roman"/>
          <w:sz w:val="24"/>
          <w:szCs w:val="24"/>
        </w:rPr>
      </w:pPr>
      <w:r w:rsidRPr="009B39E9">
        <w:rPr>
          <w:rFonts w:ascii="Times New Roman" w:hAnsi="Times New Roman"/>
          <w:sz w:val="24"/>
          <w:szCs w:val="24"/>
        </w:rPr>
        <w:t xml:space="preserve">  </w:t>
      </w:r>
    </w:p>
    <w:p w:rsidR="00E4407A" w:rsidRPr="009B39E9" w:rsidRDefault="00E7528D" w:rsidP="00751FDA">
      <w:pPr>
        <w:pStyle w:val="ListParagraph"/>
        <w:numPr>
          <w:ilvl w:val="2"/>
          <w:numId w:val="28"/>
        </w:numPr>
        <w:autoSpaceDE w:val="0"/>
        <w:autoSpaceDN w:val="0"/>
        <w:adjustRightInd w:val="0"/>
        <w:spacing w:line="360" w:lineRule="auto"/>
        <w:jc w:val="both"/>
        <w:rPr>
          <w:rFonts w:ascii="Times New Roman" w:hAnsi="Times New Roman"/>
          <w:sz w:val="24"/>
          <w:szCs w:val="24"/>
        </w:rPr>
      </w:pPr>
      <w:r w:rsidRPr="009B39E9">
        <w:rPr>
          <w:rFonts w:ascii="Times New Roman" w:hAnsi="Times New Roman"/>
          <w:sz w:val="24"/>
          <w:szCs w:val="24"/>
        </w:rPr>
        <w:t>That the National Treasury in partnership with the Department of P</w:t>
      </w:r>
      <w:r w:rsidR="003577A0" w:rsidRPr="009B39E9">
        <w:rPr>
          <w:rFonts w:ascii="Times New Roman" w:hAnsi="Times New Roman"/>
          <w:sz w:val="24"/>
          <w:szCs w:val="24"/>
        </w:rPr>
        <w:t>lanning</w:t>
      </w:r>
      <w:r w:rsidRPr="009B39E9">
        <w:rPr>
          <w:rFonts w:ascii="Times New Roman" w:hAnsi="Times New Roman"/>
          <w:sz w:val="24"/>
          <w:szCs w:val="24"/>
        </w:rPr>
        <w:t xml:space="preserve">, Monitoring and Evaluation, civil society and relevant stakeholders develop systems to enhance monitoring and implementation effectiveness including value for money principles in all conditional grants whose baselines have been reduced. </w:t>
      </w:r>
    </w:p>
    <w:p w:rsidR="00D40E6A" w:rsidRPr="00696BF2" w:rsidRDefault="00E7528D" w:rsidP="00696BF2">
      <w:pPr>
        <w:pStyle w:val="ListParagraph"/>
        <w:numPr>
          <w:ilvl w:val="2"/>
          <w:numId w:val="28"/>
        </w:numPr>
        <w:autoSpaceDE w:val="0"/>
        <w:autoSpaceDN w:val="0"/>
        <w:adjustRightInd w:val="0"/>
        <w:spacing w:line="360" w:lineRule="auto"/>
        <w:jc w:val="both"/>
        <w:rPr>
          <w:rFonts w:ascii="Times New Roman" w:hAnsi="Times New Roman"/>
          <w:sz w:val="24"/>
          <w:szCs w:val="24"/>
        </w:rPr>
      </w:pPr>
      <w:r w:rsidRPr="009B39E9">
        <w:rPr>
          <w:rFonts w:ascii="Times New Roman" w:hAnsi="Times New Roman"/>
          <w:sz w:val="24"/>
          <w:szCs w:val="24"/>
        </w:rPr>
        <w:t>That the National Treasury strengthen budget formulation and planning</w:t>
      </w:r>
      <w:r w:rsidR="000D698D" w:rsidRPr="009B39E9">
        <w:rPr>
          <w:rFonts w:ascii="Times New Roman" w:hAnsi="Times New Roman"/>
          <w:sz w:val="24"/>
          <w:szCs w:val="24"/>
        </w:rPr>
        <w:t xml:space="preserve"> in</w:t>
      </w:r>
      <w:r w:rsidRPr="009B39E9">
        <w:rPr>
          <w:rFonts w:ascii="Times New Roman" w:hAnsi="Times New Roman"/>
          <w:sz w:val="24"/>
          <w:szCs w:val="24"/>
        </w:rPr>
        <w:t xml:space="preserve"> provinces with specific reference to </w:t>
      </w:r>
      <w:r w:rsidR="00F24542" w:rsidRPr="009B39E9">
        <w:rPr>
          <w:rFonts w:ascii="Times New Roman" w:hAnsi="Times New Roman"/>
          <w:sz w:val="24"/>
          <w:szCs w:val="24"/>
        </w:rPr>
        <w:t xml:space="preserve">the principles of openness, </w:t>
      </w:r>
      <w:r w:rsidRPr="009B39E9">
        <w:rPr>
          <w:rFonts w:ascii="Times New Roman" w:hAnsi="Times New Roman"/>
          <w:sz w:val="24"/>
          <w:szCs w:val="24"/>
        </w:rPr>
        <w:t>transparency</w:t>
      </w:r>
      <w:r w:rsidR="00F24542" w:rsidRPr="009B39E9">
        <w:rPr>
          <w:rFonts w:ascii="Times New Roman" w:hAnsi="Times New Roman"/>
          <w:sz w:val="24"/>
          <w:szCs w:val="24"/>
        </w:rPr>
        <w:t xml:space="preserve"> and public participation</w:t>
      </w:r>
      <w:r w:rsidRPr="009B39E9">
        <w:rPr>
          <w:rFonts w:ascii="Times New Roman" w:hAnsi="Times New Roman"/>
          <w:sz w:val="24"/>
          <w:szCs w:val="24"/>
        </w:rPr>
        <w:t xml:space="preserve">. This should include public outreach and education programmes on the review and finalisation of </w:t>
      </w:r>
      <w:r w:rsidR="00334232" w:rsidRPr="009B39E9">
        <w:rPr>
          <w:rFonts w:ascii="Times New Roman" w:hAnsi="Times New Roman"/>
          <w:sz w:val="24"/>
          <w:szCs w:val="24"/>
        </w:rPr>
        <w:t xml:space="preserve">the provincial equitable share formulas. </w:t>
      </w:r>
    </w:p>
    <w:p w:rsidR="009F1145" w:rsidRPr="009B39E9" w:rsidRDefault="009F1145" w:rsidP="00751FDA">
      <w:pPr>
        <w:pStyle w:val="ListParagraph"/>
        <w:numPr>
          <w:ilvl w:val="2"/>
          <w:numId w:val="28"/>
        </w:numPr>
        <w:autoSpaceDE w:val="0"/>
        <w:autoSpaceDN w:val="0"/>
        <w:adjustRightInd w:val="0"/>
        <w:spacing w:line="360" w:lineRule="auto"/>
        <w:jc w:val="both"/>
        <w:rPr>
          <w:rFonts w:ascii="Times New Roman" w:hAnsi="Times New Roman"/>
          <w:sz w:val="24"/>
          <w:szCs w:val="24"/>
        </w:rPr>
      </w:pPr>
      <w:r w:rsidRPr="009B39E9">
        <w:rPr>
          <w:rFonts w:ascii="Times New Roman" w:hAnsi="Times New Roman"/>
          <w:sz w:val="24"/>
          <w:szCs w:val="24"/>
          <w:lang w:val="en-US"/>
        </w:rPr>
        <w:lastRenderedPageBreak/>
        <w:t>That the National Treasury in partnership with the Financial and Fiscal Commission research and develop instruments and mechanisms that will allow for the ring fencing of budget allocations for government departments and entities to pay their outstanding municipal debts and municipal services.</w:t>
      </w:r>
    </w:p>
    <w:p w:rsidR="00334232" w:rsidRPr="009B39E9" w:rsidRDefault="00334232" w:rsidP="00751FDA">
      <w:pPr>
        <w:pStyle w:val="ListParagraph"/>
        <w:autoSpaceDE w:val="0"/>
        <w:autoSpaceDN w:val="0"/>
        <w:adjustRightInd w:val="0"/>
        <w:spacing w:line="360" w:lineRule="auto"/>
        <w:jc w:val="both"/>
        <w:rPr>
          <w:rFonts w:ascii="Times New Roman" w:hAnsi="Times New Roman"/>
          <w:sz w:val="24"/>
          <w:szCs w:val="24"/>
        </w:rPr>
      </w:pPr>
    </w:p>
    <w:p w:rsidR="002F1473" w:rsidRPr="009B39E9" w:rsidRDefault="002F1473" w:rsidP="00751FDA">
      <w:pPr>
        <w:pStyle w:val="ListParagraph"/>
        <w:numPr>
          <w:ilvl w:val="2"/>
          <w:numId w:val="28"/>
        </w:numPr>
        <w:autoSpaceDE w:val="0"/>
        <w:autoSpaceDN w:val="0"/>
        <w:adjustRightInd w:val="0"/>
        <w:spacing w:line="360" w:lineRule="auto"/>
        <w:jc w:val="both"/>
        <w:rPr>
          <w:rFonts w:ascii="Times New Roman" w:hAnsi="Times New Roman"/>
          <w:sz w:val="24"/>
          <w:szCs w:val="24"/>
        </w:rPr>
      </w:pPr>
      <w:r w:rsidRPr="009B39E9">
        <w:rPr>
          <w:rFonts w:ascii="Times New Roman" w:hAnsi="Times New Roman"/>
          <w:sz w:val="24"/>
          <w:szCs w:val="24"/>
        </w:rPr>
        <w:t xml:space="preserve">That the Minister of Finance should ensure that National Treasury effects corrections to the technical error </w:t>
      </w:r>
      <w:r w:rsidR="00334232" w:rsidRPr="009B39E9">
        <w:rPr>
          <w:rFonts w:ascii="Times New Roman" w:hAnsi="Times New Roman"/>
          <w:sz w:val="24"/>
          <w:szCs w:val="24"/>
        </w:rPr>
        <w:t>in Schedule 3 of</w:t>
      </w:r>
      <w:r w:rsidRPr="009B39E9">
        <w:rPr>
          <w:rFonts w:ascii="Times New Roman" w:hAnsi="Times New Roman"/>
          <w:sz w:val="24"/>
          <w:szCs w:val="24"/>
        </w:rPr>
        <w:t xml:space="preserve"> the Bill</w:t>
      </w:r>
      <w:r w:rsidR="00334232" w:rsidRPr="009B39E9">
        <w:rPr>
          <w:rFonts w:ascii="Times New Roman" w:hAnsi="Times New Roman"/>
          <w:sz w:val="24"/>
          <w:szCs w:val="24"/>
        </w:rPr>
        <w:t>.</w:t>
      </w:r>
      <w:r w:rsidRPr="009B39E9">
        <w:rPr>
          <w:rFonts w:ascii="Times New Roman" w:hAnsi="Times New Roman"/>
          <w:sz w:val="24"/>
          <w:szCs w:val="24"/>
        </w:rPr>
        <w:t xml:space="preserve">  </w:t>
      </w:r>
    </w:p>
    <w:p w:rsidR="00D40E6A" w:rsidRPr="009B39E9" w:rsidRDefault="00D40E6A" w:rsidP="00751FDA">
      <w:pPr>
        <w:spacing w:after="0" w:line="360" w:lineRule="auto"/>
        <w:rPr>
          <w:rFonts w:ascii="Times New Roman" w:hAnsi="Times New Roman"/>
          <w:sz w:val="24"/>
          <w:szCs w:val="24"/>
          <w:highlight w:val="yellow"/>
        </w:rPr>
      </w:pPr>
    </w:p>
    <w:p w:rsidR="00E7528D" w:rsidRPr="009B39E9" w:rsidRDefault="00CC4552" w:rsidP="00751FDA">
      <w:pPr>
        <w:spacing w:after="0" w:line="360" w:lineRule="auto"/>
        <w:ind w:left="416" w:hanging="416"/>
        <w:rPr>
          <w:rFonts w:ascii="Times New Roman" w:hAnsi="Times New Roman"/>
          <w:sz w:val="24"/>
          <w:szCs w:val="24"/>
        </w:rPr>
      </w:pPr>
      <w:r w:rsidRPr="009B39E9">
        <w:rPr>
          <w:rFonts w:ascii="Times New Roman" w:hAnsi="Times New Roman"/>
          <w:b/>
          <w:sz w:val="24"/>
          <w:szCs w:val="24"/>
        </w:rPr>
        <w:t>5.2</w:t>
      </w:r>
      <w:r w:rsidRPr="009B39E9">
        <w:rPr>
          <w:rFonts w:ascii="Times New Roman" w:hAnsi="Times New Roman"/>
          <w:b/>
          <w:sz w:val="24"/>
          <w:szCs w:val="24"/>
        </w:rPr>
        <w:tab/>
      </w:r>
      <w:r w:rsidR="00E7528D" w:rsidRPr="009B39E9">
        <w:rPr>
          <w:rFonts w:ascii="Times New Roman" w:hAnsi="Times New Roman"/>
          <w:sz w:val="24"/>
          <w:szCs w:val="24"/>
        </w:rPr>
        <w:t xml:space="preserve">That the </w:t>
      </w:r>
      <w:r w:rsidR="00F235D7" w:rsidRPr="009B39E9">
        <w:rPr>
          <w:rFonts w:ascii="Times New Roman" w:hAnsi="Times New Roman"/>
          <w:sz w:val="24"/>
          <w:szCs w:val="24"/>
        </w:rPr>
        <w:t>Minister</w:t>
      </w:r>
      <w:r w:rsidR="003577A0" w:rsidRPr="009B39E9">
        <w:rPr>
          <w:rFonts w:ascii="Times New Roman" w:hAnsi="Times New Roman"/>
          <w:sz w:val="24"/>
          <w:szCs w:val="24"/>
        </w:rPr>
        <w:t>s</w:t>
      </w:r>
      <w:r w:rsidR="00F235D7" w:rsidRPr="009B39E9">
        <w:rPr>
          <w:rFonts w:ascii="Times New Roman" w:hAnsi="Times New Roman"/>
          <w:sz w:val="24"/>
          <w:szCs w:val="24"/>
        </w:rPr>
        <w:t xml:space="preserve"> of Finance</w:t>
      </w:r>
      <w:r w:rsidR="003577A0" w:rsidRPr="009B39E9">
        <w:rPr>
          <w:rFonts w:ascii="Times New Roman" w:hAnsi="Times New Roman"/>
          <w:sz w:val="24"/>
          <w:szCs w:val="24"/>
        </w:rPr>
        <w:t>,</w:t>
      </w:r>
      <w:r w:rsidR="00F235D7" w:rsidRPr="009B39E9">
        <w:rPr>
          <w:rFonts w:ascii="Times New Roman" w:hAnsi="Times New Roman"/>
          <w:sz w:val="24"/>
          <w:szCs w:val="24"/>
        </w:rPr>
        <w:t xml:space="preserve"> </w:t>
      </w:r>
      <w:r w:rsidR="00E7528D" w:rsidRPr="009B39E9">
        <w:rPr>
          <w:rFonts w:ascii="Times New Roman" w:hAnsi="Times New Roman"/>
          <w:sz w:val="24"/>
          <w:szCs w:val="24"/>
        </w:rPr>
        <w:t>Basic Education</w:t>
      </w:r>
      <w:r w:rsidR="003577A0" w:rsidRPr="009B39E9">
        <w:rPr>
          <w:rFonts w:ascii="Times New Roman" w:hAnsi="Times New Roman"/>
          <w:sz w:val="24"/>
          <w:szCs w:val="24"/>
        </w:rPr>
        <w:t>,</w:t>
      </w:r>
      <w:r w:rsidR="00E7528D" w:rsidRPr="009B39E9">
        <w:rPr>
          <w:rFonts w:ascii="Times New Roman" w:hAnsi="Times New Roman"/>
          <w:sz w:val="24"/>
          <w:szCs w:val="24"/>
        </w:rPr>
        <w:t xml:space="preserve"> and Transport should ensure the following:</w:t>
      </w:r>
    </w:p>
    <w:p w:rsidR="000D698D" w:rsidRPr="009B39E9" w:rsidRDefault="000D698D" w:rsidP="00751FDA">
      <w:pPr>
        <w:spacing w:after="0" w:line="360" w:lineRule="auto"/>
        <w:rPr>
          <w:rFonts w:ascii="Times New Roman" w:hAnsi="Times New Roman"/>
          <w:b/>
          <w:sz w:val="24"/>
          <w:szCs w:val="24"/>
        </w:rPr>
      </w:pPr>
    </w:p>
    <w:p w:rsidR="00F235D7" w:rsidRPr="009B39E9" w:rsidRDefault="00F235D7" w:rsidP="00751FDA">
      <w:pPr>
        <w:pStyle w:val="ListParagraph"/>
        <w:numPr>
          <w:ilvl w:val="0"/>
          <w:numId w:val="23"/>
        </w:numPr>
        <w:spacing w:line="360" w:lineRule="auto"/>
        <w:rPr>
          <w:rFonts w:ascii="Times New Roman" w:hAnsi="Times New Roman"/>
          <w:sz w:val="24"/>
          <w:szCs w:val="24"/>
          <w:lang w:val="en-US"/>
        </w:rPr>
      </w:pPr>
      <w:r w:rsidRPr="009B39E9">
        <w:rPr>
          <w:rFonts w:ascii="Times New Roman" w:hAnsi="Times New Roman"/>
          <w:sz w:val="24"/>
          <w:szCs w:val="24"/>
          <w:lang w:val="en-US"/>
        </w:rPr>
        <w:t xml:space="preserve">That the scholar transport function within provinces is clearly assigned with defined sector roles for the Departments of Basic Education and Transport. </w:t>
      </w:r>
    </w:p>
    <w:p w:rsidR="000D698D" w:rsidRPr="009B39E9" w:rsidRDefault="000D698D" w:rsidP="00751FDA">
      <w:pPr>
        <w:pStyle w:val="ListParagraph"/>
        <w:numPr>
          <w:ilvl w:val="0"/>
          <w:numId w:val="23"/>
        </w:numPr>
        <w:spacing w:line="360" w:lineRule="auto"/>
        <w:rPr>
          <w:rFonts w:ascii="Times New Roman" w:hAnsi="Times New Roman"/>
          <w:sz w:val="24"/>
          <w:szCs w:val="24"/>
          <w:lang w:val="en-US"/>
        </w:rPr>
      </w:pPr>
      <w:r w:rsidRPr="009B39E9">
        <w:rPr>
          <w:rFonts w:ascii="Times New Roman" w:hAnsi="Times New Roman"/>
          <w:sz w:val="24"/>
          <w:szCs w:val="24"/>
          <w:lang w:val="en-US"/>
        </w:rPr>
        <w:t>That there is effective coordination between the Department of Transport and the Department of Basic Education;</w:t>
      </w:r>
    </w:p>
    <w:p w:rsidR="000D698D" w:rsidRPr="009B39E9" w:rsidRDefault="000D698D" w:rsidP="00751FDA">
      <w:pPr>
        <w:pStyle w:val="ListParagraph"/>
        <w:numPr>
          <w:ilvl w:val="0"/>
          <w:numId w:val="23"/>
        </w:numPr>
        <w:spacing w:line="360" w:lineRule="auto"/>
        <w:rPr>
          <w:rFonts w:ascii="Times New Roman" w:hAnsi="Times New Roman"/>
          <w:sz w:val="24"/>
          <w:szCs w:val="24"/>
          <w:lang w:val="en-US"/>
        </w:rPr>
      </w:pPr>
      <w:r w:rsidRPr="009B39E9">
        <w:rPr>
          <w:rFonts w:ascii="Times New Roman" w:hAnsi="Times New Roman"/>
          <w:sz w:val="24"/>
          <w:szCs w:val="24"/>
          <w:lang w:val="en-US"/>
        </w:rPr>
        <w:t>That there is reliable, accurate and consistent data on the number of learners in need of scholar transport;</w:t>
      </w:r>
      <w:r w:rsidR="003577A0" w:rsidRPr="009B39E9">
        <w:rPr>
          <w:rFonts w:ascii="Times New Roman" w:hAnsi="Times New Roman"/>
          <w:sz w:val="24"/>
          <w:szCs w:val="24"/>
          <w:lang w:val="en-US"/>
        </w:rPr>
        <w:t xml:space="preserve"> </w:t>
      </w:r>
      <w:r w:rsidR="0064652F" w:rsidRPr="009B39E9">
        <w:rPr>
          <w:rFonts w:ascii="Times New Roman" w:hAnsi="Times New Roman"/>
          <w:sz w:val="24"/>
          <w:szCs w:val="24"/>
          <w:lang w:val="en-US"/>
        </w:rPr>
        <w:t>and</w:t>
      </w:r>
    </w:p>
    <w:p w:rsidR="000D698D" w:rsidRPr="009B39E9" w:rsidRDefault="000D698D" w:rsidP="00751FDA">
      <w:pPr>
        <w:pStyle w:val="ListParagraph"/>
        <w:numPr>
          <w:ilvl w:val="0"/>
          <w:numId w:val="23"/>
        </w:numPr>
        <w:spacing w:line="360" w:lineRule="auto"/>
        <w:rPr>
          <w:rFonts w:ascii="Times New Roman" w:hAnsi="Times New Roman"/>
          <w:sz w:val="24"/>
          <w:szCs w:val="24"/>
          <w:lang w:val="en-US"/>
        </w:rPr>
      </w:pPr>
      <w:r w:rsidRPr="009B39E9">
        <w:rPr>
          <w:rFonts w:ascii="Times New Roman" w:hAnsi="Times New Roman"/>
          <w:sz w:val="24"/>
          <w:szCs w:val="24"/>
          <w:lang w:val="en-US"/>
        </w:rPr>
        <w:t>That budget allocations are responsive and aligned to scholar transport needs and requirements in provinces</w:t>
      </w:r>
      <w:r w:rsidR="003577A0" w:rsidRPr="009B39E9">
        <w:rPr>
          <w:rFonts w:ascii="Times New Roman" w:hAnsi="Times New Roman"/>
          <w:sz w:val="24"/>
          <w:szCs w:val="24"/>
          <w:lang w:val="en-US"/>
        </w:rPr>
        <w:t>.</w:t>
      </w:r>
      <w:r w:rsidRPr="009B39E9">
        <w:rPr>
          <w:rFonts w:ascii="Times New Roman" w:hAnsi="Times New Roman"/>
          <w:sz w:val="24"/>
          <w:szCs w:val="24"/>
          <w:lang w:val="en-US"/>
        </w:rPr>
        <w:t xml:space="preserve"> </w:t>
      </w:r>
    </w:p>
    <w:p w:rsidR="00F24542" w:rsidRPr="009B39E9" w:rsidRDefault="00F24542" w:rsidP="00751FDA">
      <w:pPr>
        <w:pStyle w:val="ListParagraph"/>
        <w:spacing w:line="360" w:lineRule="auto"/>
        <w:ind w:left="776"/>
        <w:rPr>
          <w:rFonts w:ascii="Times New Roman" w:hAnsi="Times New Roman"/>
          <w:sz w:val="24"/>
          <w:szCs w:val="24"/>
          <w:highlight w:val="yellow"/>
          <w:lang w:val="en-US"/>
        </w:rPr>
      </w:pPr>
    </w:p>
    <w:p w:rsidR="0064652F" w:rsidRPr="00696BF2" w:rsidRDefault="003D6EE8" w:rsidP="00696BF2">
      <w:pPr>
        <w:pStyle w:val="ListParagraph"/>
        <w:numPr>
          <w:ilvl w:val="1"/>
          <w:numId w:val="29"/>
        </w:numPr>
        <w:spacing w:after="0" w:line="360" w:lineRule="auto"/>
        <w:jc w:val="both"/>
        <w:rPr>
          <w:rFonts w:ascii="Times New Roman" w:hAnsi="Times New Roman"/>
          <w:sz w:val="24"/>
          <w:szCs w:val="24"/>
        </w:rPr>
      </w:pPr>
      <w:r w:rsidRPr="009B39E9">
        <w:rPr>
          <w:rFonts w:ascii="Times New Roman" w:hAnsi="Times New Roman"/>
          <w:sz w:val="24"/>
          <w:szCs w:val="24"/>
        </w:rPr>
        <w:t>That the Minister of Finance and Minister of Cooperative Governa</w:t>
      </w:r>
      <w:r w:rsidR="00FA7F8C" w:rsidRPr="009B39E9">
        <w:rPr>
          <w:rFonts w:ascii="Times New Roman" w:hAnsi="Times New Roman"/>
          <w:sz w:val="24"/>
          <w:szCs w:val="24"/>
        </w:rPr>
        <w:t>nce should ensure t</w:t>
      </w:r>
      <w:r w:rsidRPr="009B39E9">
        <w:rPr>
          <w:rFonts w:ascii="Times New Roman" w:hAnsi="Times New Roman"/>
          <w:sz w:val="24"/>
          <w:szCs w:val="24"/>
        </w:rPr>
        <w:t>hat the National Treasury and Department of Cooperative Governance develop systems and mechanisms to ensure that cost reflective tariffs are sufficiently communicated to communities and phased in with due consideration to the ability of household to absorb these costs</w:t>
      </w:r>
      <w:r w:rsidR="00F235D7" w:rsidRPr="009B39E9">
        <w:rPr>
          <w:rFonts w:ascii="Times New Roman" w:hAnsi="Times New Roman"/>
          <w:sz w:val="24"/>
          <w:szCs w:val="24"/>
        </w:rPr>
        <w:t>.</w:t>
      </w:r>
    </w:p>
    <w:p w:rsidR="00804F26" w:rsidRPr="009B39E9" w:rsidRDefault="00804F26" w:rsidP="00751FDA">
      <w:pPr>
        <w:spacing w:after="0" w:line="360" w:lineRule="auto"/>
        <w:jc w:val="both"/>
        <w:rPr>
          <w:rFonts w:ascii="Times New Roman" w:hAnsi="Times New Roman"/>
          <w:sz w:val="24"/>
          <w:szCs w:val="24"/>
          <w:lang w:val="en-US"/>
        </w:rPr>
      </w:pPr>
    </w:p>
    <w:p w:rsidR="00804F26" w:rsidRPr="009B39E9" w:rsidRDefault="00610834" w:rsidP="00751FDA">
      <w:pPr>
        <w:spacing w:after="0" w:line="360" w:lineRule="auto"/>
        <w:jc w:val="both"/>
        <w:rPr>
          <w:rFonts w:ascii="Times New Roman" w:hAnsi="Times New Roman"/>
          <w:b/>
          <w:color w:val="000000"/>
          <w:spacing w:val="6"/>
          <w:sz w:val="24"/>
          <w:szCs w:val="24"/>
          <w:lang w:eastAsia="en-GB"/>
        </w:rPr>
      </w:pPr>
      <w:r w:rsidRPr="009B39E9">
        <w:rPr>
          <w:rFonts w:ascii="Times New Roman" w:hAnsi="Times New Roman"/>
          <w:b/>
          <w:sz w:val="24"/>
          <w:szCs w:val="24"/>
          <w:lang w:val="en-US"/>
        </w:rPr>
        <w:t>6</w:t>
      </w:r>
      <w:r w:rsidRPr="009B39E9">
        <w:rPr>
          <w:rFonts w:ascii="Times New Roman" w:hAnsi="Times New Roman"/>
          <w:sz w:val="24"/>
          <w:szCs w:val="24"/>
          <w:lang w:val="en-US"/>
        </w:rPr>
        <w:tab/>
      </w:r>
      <w:r w:rsidR="00804F26" w:rsidRPr="009B39E9">
        <w:rPr>
          <w:rFonts w:ascii="Times New Roman" w:hAnsi="Times New Roman"/>
          <w:b/>
          <w:color w:val="000000"/>
          <w:spacing w:val="6"/>
          <w:sz w:val="24"/>
          <w:szCs w:val="24"/>
          <w:lang w:eastAsia="en-GB"/>
        </w:rPr>
        <w:t>Committee’s Recommendation on the Bill</w:t>
      </w:r>
    </w:p>
    <w:p w:rsidR="00804F26" w:rsidRPr="009B39E9" w:rsidRDefault="00804F26" w:rsidP="00751FDA">
      <w:pPr>
        <w:spacing w:after="0" w:line="360" w:lineRule="auto"/>
        <w:jc w:val="both"/>
        <w:rPr>
          <w:rFonts w:ascii="Times New Roman" w:hAnsi="Times New Roman"/>
          <w:sz w:val="24"/>
          <w:szCs w:val="24"/>
          <w:lang w:val="en-US"/>
        </w:rPr>
      </w:pPr>
    </w:p>
    <w:p w:rsidR="00804F26" w:rsidRPr="009B39E9" w:rsidRDefault="00804F26" w:rsidP="00751FDA">
      <w:pPr>
        <w:autoSpaceDE w:val="0"/>
        <w:autoSpaceDN w:val="0"/>
        <w:adjustRightInd w:val="0"/>
        <w:spacing w:after="0" w:line="360" w:lineRule="auto"/>
        <w:jc w:val="both"/>
        <w:rPr>
          <w:rFonts w:ascii="Times New Roman" w:hAnsi="Times New Roman"/>
          <w:sz w:val="24"/>
          <w:szCs w:val="24"/>
        </w:rPr>
      </w:pPr>
      <w:r w:rsidRPr="009B39E9">
        <w:rPr>
          <w:rFonts w:ascii="Times New Roman" w:hAnsi="Times New Roman"/>
          <w:sz w:val="24"/>
          <w:szCs w:val="24"/>
        </w:rPr>
        <w:t xml:space="preserve">The Standing Committee on Appropriations having considered the </w:t>
      </w:r>
      <w:r w:rsidRPr="009B39E9">
        <w:rPr>
          <w:rFonts w:ascii="Times New Roman" w:hAnsi="Times New Roman"/>
          <w:b/>
          <w:bCs/>
          <w:i/>
          <w:iCs/>
          <w:sz w:val="24"/>
          <w:szCs w:val="24"/>
        </w:rPr>
        <w:t xml:space="preserve">Division of Revenue Bill </w:t>
      </w:r>
      <w:r w:rsidRPr="009B39E9">
        <w:rPr>
          <w:rFonts w:ascii="Times New Roman" w:hAnsi="Times New Roman"/>
          <w:bCs/>
          <w:iCs/>
          <w:sz w:val="24"/>
          <w:szCs w:val="24"/>
        </w:rPr>
        <w:t>[</w:t>
      </w:r>
      <w:r w:rsidR="0063309E" w:rsidRPr="009B39E9">
        <w:rPr>
          <w:rFonts w:ascii="Times New Roman" w:hAnsi="Times New Roman"/>
          <w:sz w:val="24"/>
          <w:szCs w:val="24"/>
        </w:rPr>
        <w:t>B4</w:t>
      </w:r>
      <w:r w:rsidRPr="009B39E9">
        <w:rPr>
          <w:rFonts w:ascii="Times New Roman" w:hAnsi="Times New Roman"/>
          <w:sz w:val="24"/>
          <w:szCs w:val="24"/>
        </w:rPr>
        <w:t>—201</w:t>
      </w:r>
      <w:r w:rsidR="0063309E" w:rsidRPr="009B39E9">
        <w:rPr>
          <w:rFonts w:ascii="Times New Roman" w:hAnsi="Times New Roman"/>
          <w:sz w:val="24"/>
          <w:szCs w:val="24"/>
        </w:rPr>
        <w:t>7</w:t>
      </w:r>
      <w:r w:rsidRPr="009B39E9">
        <w:rPr>
          <w:rFonts w:ascii="Times New Roman" w:hAnsi="Times New Roman"/>
          <w:sz w:val="24"/>
          <w:szCs w:val="24"/>
        </w:rPr>
        <w:t xml:space="preserve">] (National Assembly) referred to it and </w:t>
      </w:r>
      <w:r w:rsidR="005D6C07" w:rsidRPr="009B39E9">
        <w:rPr>
          <w:rFonts w:ascii="Times New Roman" w:hAnsi="Times New Roman"/>
          <w:sz w:val="24"/>
          <w:szCs w:val="24"/>
        </w:rPr>
        <w:t>classified by the JTM</w:t>
      </w:r>
      <w:r w:rsidRPr="009B39E9">
        <w:rPr>
          <w:rFonts w:ascii="Times New Roman" w:hAnsi="Times New Roman"/>
          <w:sz w:val="24"/>
          <w:szCs w:val="24"/>
        </w:rPr>
        <w:t xml:space="preserve"> as a section 76 Bill, reports that it has agreed to the Bill without amendments.</w:t>
      </w:r>
    </w:p>
    <w:p w:rsidR="003C13BB" w:rsidRPr="009B39E9" w:rsidRDefault="003C13BB" w:rsidP="00751FDA">
      <w:pPr>
        <w:spacing w:after="0" w:line="360" w:lineRule="auto"/>
        <w:jc w:val="both"/>
        <w:rPr>
          <w:rFonts w:ascii="Times New Roman" w:hAnsi="Times New Roman"/>
          <w:sz w:val="24"/>
          <w:szCs w:val="24"/>
          <w:lang w:val="en-US"/>
        </w:rPr>
      </w:pPr>
    </w:p>
    <w:p w:rsidR="00804F26" w:rsidRPr="009B39E9" w:rsidRDefault="00610834" w:rsidP="00751FDA">
      <w:pPr>
        <w:spacing w:after="0" w:line="360" w:lineRule="auto"/>
        <w:jc w:val="both"/>
        <w:rPr>
          <w:rFonts w:ascii="Times New Roman" w:hAnsi="Times New Roman"/>
          <w:b/>
          <w:sz w:val="24"/>
          <w:szCs w:val="24"/>
          <w:lang w:val="en-US"/>
        </w:rPr>
      </w:pPr>
      <w:r w:rsidRPr="009B39E9">
        <w:rPr>
          <w:rFonts w:ascii="Times New Roman" w:hAnsi="Times New Roman"/>
          <w:b/>
          <w:sz w:val="24"/>
          <w:szCs w:val="24"/>
          <w:lang w:val="en-US"/>
        </w:rPr>
        <w:lastRenderedPageBreak/>
        <w:t xml:space="preserve"> </w:t>
      </w:r>
      <w:r w:rsidR="00804F26" w:rsidRPr="009B39E9">
        <w:rPr>
          <w:rFonts w:ascii="Times New Roman" w:hAnsi="Times New Roman"/>
          <w:b/>
          <w:sz w:val="24"/>
          <w:szCs w:val="24"/>
          <w:lang w:val="en-US"/>
        </w:rPr>
        <w:t>7</w:t>
      </w:r>
      <w:r w:rsidR="00804F26" w:rsidRPr="009B39E9">
        <w:rPr>
          <w:rFonts w:ascii="Times New Roman" w:hAnsi="Times New Roman"/>
          <w:b/>
          <w:sz w:val="24"/>
          <w:szCs w:val="24"/>
          <w:lang w:val="en-US"/>
        </w:rPr>
        <w:tab/>
      </w:r>
      <w:r w:rsidRPr="009B39E9">
        <w:rPr>
          <w:rFonts w:ascii="Times New Roman" w:hAnsi="Times New Roman"/>
          <w:b/>
          <w:sz w:val="24"/>
          <w:szCs w:val="24"/>
          <w:lang w:val="en-US"/>
        </w:rPr>
        <w:t>Conclusion</w:t>
      </w:r>
    </w:p>
    <w:p w:rsidR="00804F26" w:rsidRPr="009B39E9" w:rsidRDefault="00804F26" w:rsidP="00751FDA">
      <w:pPr>
        <w:spacing w:after="0" w:line="360" w:lineRule="auto"/>
        <w:jc w:val="both"/>
        <w:rPr>
          <w:rFonts w:ascii="Times New Roman" w:hAnsi="Times New Roman"/>
          <w:b/>
          <w:sz w:val="24"/>
          <w:szCs w:val="24"/>
          <w:lang w:val="en-US"/>
        </w:rPr>
      </w:pPr>
      <w:r w:rsidRPr="009B39E9">
        <w:rPr>
          <w:rFonts w:ascii="Times New Roman" w:hAnsi="Times New Roman"/>
          <w:b/>
          <w:sz w:val="24"/>
          <w:szCs w:val="24"/>
          <w:lang w:val="en-US"/>
        </w:rPr>
        <w:br/>
      </w:r>
      <w:r w:rsidRPr="009B39E9">
        <w:rPr>
          <w:rFonts w:ascii="Times New Roman" w:hAnsi="Times New Roman"/>
          <w:color w:val="000000"/>
          <w:spacing w:val="6"/>
          <w:sz w:val="24"/>
          <w:szCs w:val="24"/>
          <w:lang w:val="en-GB" w:eastAsia="en-GB"/>
        </w:rPr>
        <w:t>The responses, by the relevant Executive Authorities, to the recommendations as set out in section 5 above must be sent to Parliament within 60 days of the adoption of this report by the National Assembly.</w:t>
      </w:r>
    </w:p>
    <w:p w:rsidR="00610834" w:rsidRPr="009B39E9" w:rsidRDefault="00610834" w:rsidP="00751FDA">
      <w:pPr>
        <w:spacing w:after="0" w:line="360" w:lineRule="auto"/>
        <w:jc w:val="both"/>
        <w:rPr>
          <w:rFonts w:ascii="Times New Roman" w:hAnsi="Times New Roman"/>
          <w:b/>
          <w:sz w:val="24"/>
          <w:szCs w:val="24"/>
        </w:rPr>
      </w:pPr>
    </w:p>
    <w:p w:rsidR="00610834" w:rsidRPr="009B39E9" w:rsidRDefault="00610834" w:rsidP="00751FDA">
      <w:pPr>
        <w:spacing w:after="0" w:line="360" w:lineRule="auto"/>
        <w:jc w:val="both"/>
        <w:rPr>
          <w:rFonts w:ascii="Times New Roman" w:hAnsi="Times New Roman"/>
          <w:sz w:val="24"/>
          <w:szCs w:val="24"/>
        </w:rPr>
      </w:pPr>
    </w:p>
    <w:p w:rsidR="00E62D45" w:rsidRDefault="009B0808" w:rsidP="00751FDA">
      <w:pPr>
        <w:spacing w:after="0" w:line="360" w:lineRule="auto"/>
        <w:jc w:val="both"/>
        <w:rPr>
          <w:rFonts w:ascii="Times New Roman" w:hAnsi="Times New Roman"/>
          <w:sz w:val="24"/>
          <w:szCs w:val="24"/>
        </w:rPr>
      </w:pPr>
      <w:r w:rsidRPr="009B39E9">
        <w:rPr>
          <w:rFonts w:ascii="Times New Roman" w:hAnsi="Times New Roman"/>
          <w:sz w:val="24"/>
          <w:szCs w:val="24"/>
        </w:rPr>
        <w:t>Report to be considered.</w:t>
      </w:r>
    </w:p>
    <w:p w:rsidR="00C537FA" w:rsidRDefault="00C537FA" w:rsidP="00751FDA">
      <w:pPr>
        <w:spacing w:after="0" w:line="360" w:lineRule="auto"/>
        <w:jc w:val="both"/>
        <w:rPr>
          <w:rFonts w:ascii="Times New Roman" w:hAnsi="Times New Roman"/>
          <w:sz w:val="24"/>
          <w:szCs w:val="24"/>
        </w:rPr>
      </w:pPr>
    </w:p>
    <w:p w:rsidR="00C537FA" w:rsidRDefault="00C537FA" w:rsidP="00751FDA">
      <w:pPr>
        <w:spacing w:after="0" w:line="360" w:lineRule="auto"/>
        <w:jc w:val="both"/>
        <w:rPr>
          <w:rFonts w:ascii="Times New Roman" w:hAnsi="Times New Roman"/>
          <w:sz w:val="24"/>
          <w:szCs w:val="24"/>
        </w:rPr>
      </w:pPr>
    </w:p>
    <w:p w:rsidR="00C537FA" w:rsidRPr="00E62D45" w:rsidRDefault="00C537FA" w:rsidP="00C537FA">
      <w:pPr>
        <w:widowControl w:val="0"/>
        <w:tabs>
          <w:tab w:val="left" w:pos="7380"/>
        </w:tabs>
        <w:suppressAutoHyphens/>
        <w:autoSpaceDE w:val="0"/>
        <w:autoSpaceDN w:val="0"/>
        <w:spacing w:after="0" w:line="240" w:lineRule="auto"/>
        <w:textAlignment w:val="baseline"/>
        <w:rPr>
          <w:rFonts w:ascii="Arial" w:hAnsi="Arial" w:cs="Arial"/>
          <w:b/>
          <w:lang w:val="en-US" w:eastAsia="en-GB"/>
        </w:rPr>
      </w:pPr>
      <w:r w:rsidRPr="00E62D45">
        <w:rPr>
          <w:rFonts w:ascii="Arial" w:hAnsi="Arial" w:cs="Arial"/>
          <w:b/>
          <w:lang w:val="en-US" w:eastAsia="en-GB"/>
        </w:rPr>
        <w:tab/>
      </w:r>
      <w:r w:rsidRPr="00E62D45">
        <w:rPr>
          <w:rFonts w:ascii="Arial" w:hAnsi="Arial" w:cs="Arial"/>
          <w:b/>
          <w:lang w:val="en-US" w:eastAsia="en-GB"/>
        </w:rPr>
        <w:tab/>
      </w:r>
    </w:p>
    <w:p w:rsidR="00696BF2" w:rsidRDefault="00696BF2" w:rsidP="00C537FA">
      <w:pPr>
        <w:widowControl w:val="0"/>
        <w:tabs>
          <w:tab w:val="left" w:pos="7380"/>
        </w:tabs>
        <w:suppressAutoHyphens/>
        <w:autoSpaceDE w:val="0"/>
        <w:autoSpaceDN w:val="0"/>
        <w:spacing w:after="0" w:line="240" w:lineRule="auto"/>
        <w:textAlignment w:val="baseline"/>
        <w:rPr>
          <w:rFonts w:ascii="Times New Roman" w:hAnsi="Times New Roman"/>
          <w:b/>
          <w:sz w:val="24"/>
          <w:szCs w:val="24"/>
          <w:lang w:val="en-US" w:eastAsia="en-GB"/>
        </w:rPr>
      </w:pPr>
      <w:r>
        <w:rPr>
          <w:rFonts w:ascii="Times New Roman" w:hAnsi="Times New Roman"/>
          <w:b/>
          <w:sz w:val="24"/>
          <w:szCs w:val="24"/>
          <w:lang w:val="en-US" w:eastAsia="en-GB"/>
        </w:rPr>
        <w:t>______________________                                                                     ____________</w:t>
      </w:r>
    </w:p>
    <w:p w:rsidR="00C537FA" w:rsidRPr="00C537FA" w:rsidRDefault="00C537FA" w:rsidP="00C537FA">
      <w:pPr>
        <w:widowControl w:val="0"/>
        <w:tabs>
          <w:tab w:val="left" w:pos="7380"/>
        </w:tabs>
        <w:suppressAutoHyphens/>
        <w:autoSpaceDE w:val="0"/>
        <w:autoSpaceDN w:val="0"/>
        <w:spacing w:after="0" w:line="240" w:lineRule="auto"/>
        <w:textAlignment w:val="baseline"/>
        <w:rPr>
          <w:rFonts w:ascii="Times New Roman" w:hAnsi="Times New Roman"/>
          <w:b/>
          <w:sz w:val="24"/>
          <w:szCs w:val="24"/>
          <w:lang w:val="en-US" w:eastAsia="en-GB"/>
        </w:rPr>
      </w:pPr>
      <w:r w:rsidRPr="00C537FA">
        <w:rPr>
          <w:rFonts w:ascii="Times New Roman" w:hAnsi="Times New Roman"/>
          <w:b/>
          <w:sz w:val="24"/>
          <w:szCs w:val="24"/>
          <w:lang w:val="en-US" w:eastAsia="en-GB"/>
        </w:rPr>
        <w:t>M</w:t>
      </w:r>
      <w:r>
        <w:rPr>
          <w:rFonts w:ascii="Times New Roman" w:hAnsi="Times New Roman"/>
          <w:b/>
          <w:sz w:val="24"/>
          <w:szCs w:val="24"/>
          <w:lang w:val="en-US" w:eastAsia="en-GB"/>
        </w:rPr>
        <w:t>s YN Phosa</w:t>
      </w:r>
      <w:r w:rsidR="00696BF2">
        <w:rPr>
          <w:rFonts w:ascii="Times New Roman" w:hAnsi="Times New Roman"/>
          <w:b/>
          <w:sz w:val="24"/>
          <w:szCs w:val="24"/>
          <w:lang w:val="en-US" w:eastAsia="en-GB"/>
        </w:rPr>
        <w:t xml:space="preserve">, MP                                                                                 </w:t>
      </w:r>
      <w:r w:rsidRPr="00C537FA">
        <w:rPr>
          <w:rFonts w:ascii="Times New Roman" w:hAnsi="Times New Roman"/>
          <w:b/>
          <w:sz w:val="24"/>
          <w:szCs w:val="24"/>
          <w:lang w:val="en-US" w:eastAsia="en-GB"/>
        </w:rPr>
        <w:t>Date</w:t>
      </w:r>
    </w:p>
    <w:p w:rsidR="00C537FA" w:rsidRPr="00C537FA" w:rsidRDefault="00C537FA" w:rsidP="00C537FA">
      <w:pPr>
        <w:widowControl w:val="0"/>
        <w:tabs>
          <w:tab w:val="left" w:pos="7380"/>
        </w:tabs>
        <w:suppressAutoHyphens/>
        <w:autoSpaceDE w:val="0"/>
        <w:autoSpaceDN w:val="0"/>
        <w:spacing w:after="0" w:line="240" w:lineRule="auto"/>
        <w:textAlignment w:val="baseline"/>
        <w:rPr>
          <w:rFonts w:ascii="Times New Roman" w:hAnsi="Times New Roman"/>
          <w:b/>
          <w:sz w:val="24"/>
          <w:szCs w:val="24"/>
          <w:lang w:val="en-US" w:eastAsia="en-GB"/>
        </w:rPr>
      </w:pPr>
      <w:r w:rsidRPr="00C537FA">
        <w:rPr>
          <w:rFonts w:ascii="Times New Roman" w:hAnsi="Times New Roman"/>
          <w:b/>
          <w:sz w:val="24"/>
          <w:szCs w:val="24"/>
          <w:lang w:val="en-US" w:eastAsia="en-GB"/>
        </w:rPr>
        <w:t>Chairperson: Standing Committee on Appropriations</w:t>
      </w:r>
    </w:p>
    <w:p w:rsidR="00C537FA" w:rsidRPr="00C537FA" w:rsidRDefault="00C537FA" w:rsidP="00751FDA">
      <w:pPr>
        <w:spacing w:after="0" w:line="360" w:lineRule="auto"/>
        <w:jc w:val="both"/>
        <w:rPr>
          <w:rFonts w:ascii="Times New Roman" w:hAnsi="Times New Roman"/>
          <w:sz w:val="24"/>
          <w:szCs w:val="24"/>
        </w:rPr>
      </w:pPr>
    </w:p>
    <w:sectPr w:rsidR="00C537FA" w:rsidRPr="00C537FA" w:rsidSect="009E689B">
      <w:headerReference w:type="even" r:id="rId15"/>
      <w:headerReference w:type="default" r:id="rId16"/>
      <w:footerReference w:type="even" r:id="rId17"/>
      <w:footerReference w:type="default" r:id="rId18"/>
      <w:headerReference w:type="firs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A3A" w:rsidRDefault="00FF1A3A">
      <w:pPr>
        <w:spacing w:after="0" w:line="240" w:lineRule="auto"/>
      </w:pPr>
      <w:r>
        <w:separator/>
      </w:r>
    </w:p>
  </w:endnote>
  <w:endnote w:type="continuationSeparator" w:id="0">
    <w:p w:rsidR="00FF1A3A" w:rsidRDefault="00FF1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047" w:rsidRDefault="00563047" w:rsidP="009E68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3047" w:rsidRDefault="00563047" w:rsidP="009E68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047" w:rsidRDefault="00563047">
    <w:pPr>
      <w:pStyle w:val="Footer"/>
      <w:jc w:val="right"/>
    </w:pPr>
    <w:r>
      <w:fldChar w:fldCharType="begin"/>
    </w:r>
    <w:r>
      <w:instrText xml:space="preserve"> PAGE   \* MERGEFORMAT </w:instrText>
    </w:r>
    <w:r>
      <w:fldChar w:fldCharType="separate"/>
    </w:r>
    <w:r w:rsidR="00223784">
      <w:rPr>
        <w:noProof/>
      </w:rPr>
      <w:t>1</w:t>
    </w:r>
    <w:r>
      <w:fldChar w:fldCharType="end"/>
    </w:r>
  </w:p>
  <w:p w:rsidR="00563047" w:rsidRDefault="00563047" w:rsidP="009E689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A3A" w:rsidRDefault="00FF1A3A">
      <w:pPr>
        <w:spacing w:after="0" w:line="240" w:lineRule="auto"/>
      </w:pPr>
      <w:r>
        <w:separator/>
      </w:r>
    </w:p>
  </w:footnote>
  <w:footnote w:type="continuationSeparator" w:id="0">
    <w:p w:rsidR="00FF1A3A" w:rsidRDefault="00FF1A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047" w:rsidRDefault="005630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047" w:rsidRDefault="005630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047" w:rsidRDefault="005630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47D"/>
    <w:multiLevelType w:val="hybridMultilevel"/>
    <w:tmpl w:val="EE549004"/>
    <w:lvl w:ilvl="0" w:tplc="AC0257B4">
      <w:start w:val="1"/>
      <w:numFmt w:val="decimal"/>
      <w:lvlText w:val="%1."/>
      <w:lvlJc w:val="left"/>
      <w:pPr>
        <w:ind w:left="-270" w:hanging="360"/>
      </w:pPr>
      <w:rPr>
        <w:rFonts w:hint="default"/>
      </w:rPr>
    </w:lvl>
    <w:lvl w:ilvl="1" w:tplc="1C090019" w:tentative="1">
      <w:start w:val="1"/>
      <w:numFmt w:val="lowerLetter"/>
      <w:lvlText w:val="%2."/>
      <w:lvlJc w:val="left"/>
      <w:pPr>
        <w:ind w:left="450" w:hanging="360"/>
      </w:pPr>
    </w:lvl>
    <w:lvl w:ilvl="2" w:tplc="1C09001B" w:tentative="1">
      <w:start w:val="1"/>
      <w:numFmt w:val="lowerRoman"/>
      <w:lvlText w:val="%3."/>
      <w:lvlJc w:val="right"/>
      <w:pPr>
        <w:ind w:left="1170" w:hanging="180"/>
      </w:pPr>
    </w:lvl>
    <w:lvl w:ilvl="3" w:tplc="1C09000F" w:tentative="1">
      <w:start w:val="1"/>
      <w:numFmt w:val="decimal"/>
      <w:lvlText w:val="%4."/>
      <w:lvlJc w:val="left"/>
      <w:pPr>
        <w:ind w:left="1890" w:hanging="360"/>
      </w:pPr>
    </w:lvl>
    <w:lvl w:ilvl="4" w:tplc="1C090019" w:tentative="1">
      <w:start w:val="1"/>
      <w:numFmt w:val="lowerLetter"/>
      <w:lvlText w:val="%5."/>
      <w:lvlJc w:val="left"/>
      <w:pPr>
        <w:ind w:left="2610" w:hanging="360"/>
      </w:pPr>
    </w:lvl>
    <w:lvl w:ilvl="5" w:tplc="1C09001B" w:tentative="1">
      <w:start w:val="1"/>
      <w:numFmt w:val="lowerRoman"/>
      <w:lvlText w:val="%6."/>
      <w:lvlJc w:val="right"/>
      <w:pPr>
        <w:ind w:left="3330" w:hanging="180"/>
      </w:pPr>
    </w:lvl>
    <w:lvl w:ilvl="6" w:tplc="1C09000F" w:tentative="1">
      <w:start w:val="1"/>
      <w:numFmt w:val="decimal"/>
      <w:lvlText w:val="%7."/>
      <w:lvlJc w:val="left"/>
      <w:pPr>
        <w:ind w:left="4050" w:hanging="360"/>
      </w:pPr>
    </w:lvl>
    <w:lvl w:ilvl="7" w:tplc="1C090019" w:tentative="1">
      <w:start w:val="1"/>
      <w:numFmt w:val="lowerLetter"/>
      <w:lvlText w:val="%8."/>
      <w:lvlJc w:val="left"/>
      <w:pPr>
        <w:ind w:left="4770" w:hanging="360"/>
      </w:pPr>
    </w:lvl>
    <w:lvl w:ilvl="8" w:tplc="1C09001B" w:tentative="1">
      <w:start w:val="1"/>
      <w:numFmt w:val="lowerRoman"/>
      <w:lvlText w:val="%9."/>
      <w:lvlJc w:val="right"/>
      <w:pPr>
        <w:ind w:left="5490" w:hanging="180"/>
      </w:pPr>
    </w:lvl>
  </w:abstractNum>
  <w:abstractNum w:abstractNumId="1">
    <w:nsid w:val="03917B9D"/>
    <w:multiLevelType w:val="hybridMultilevel"/>
    <w:tmpl w:val="03C877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43D368A"/>
    <w:multiLevelType w:val="hybridMultilevel"/>
    <w:tmpl w:val="F502F2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86E22C9"/>
    <w:multiLevelType w:val="multilevel"/>
    <w:tmpl w:val="8020C3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DDB43D4"/>
    <w:multiLevelType w:val="hybridMultilevel"/>
    <w:tmpl w:val="AC62BA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0A372E8"/>
    <w:multiLevelType w:val="hybridMultilevel"/>
    <w:tmpl w:val="DD7094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0F00082"/>
    <w:multiLevelType w:val="hybridMultilevel"/>
    <w:tmpl w:val="3094ECE0"/>
    <w:lvl w:ilvl="0" w:tplc="A1D8464C">
      <w:start w:val="3"/>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140B2DFB"/>
    <w:multiLevelType w:val="multilevel"/>
    <w:tmpl w:val="66B8403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167A6C05"/>
    <w:multiLevelType w:val="hybridMultilevel"/>
    <w:tmpl w:val="A72238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B9E3402"/>
    <w:multiLevelType w:val="hybridMultilevel"/>
    <w:tmpl w:val="E8B856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CB3432A"/>
    <w:multiLevelType w:val="hybridMultilevel"/>
    <w:tmpl w:val="C3DEA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FA5EC9"/>
    <w:multiLevelType w:val="hybridMultilevel"/>
    <w:tmpl w:val="3152A5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95C69D9"/>
    <w:multiLevelType w:val="hybridMultilevel"/>
    <w:tmpl w:val="E106375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387645E1"/>
    <w:multiLevelType w:val="hybridMultilevel"/>
    <w:tmpl w:val="0908B7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B2D7AE8"/>
    <w:multiLevelType w:val="hybridMultilevel"/>
    <w:tmpl w:val="C6C61C16"/>
    <w:lvl w:ilvl="0" w:tplc="1C090001">
      <w:start w:val="1"/>
      <w:numFmt w:val="bullet"/>
      <w:lvlText w:val=""/>
      <w:lvlJc w:val="left"/>
      <w:pPr>
        <w:ind w:left="1446" w:hanging="360"/>
      </w:pPr>
      <w:rPr>
        <w:rFonts w:ascii="Symbol" w:hAnsi="Symbol" w:hint="default"/>
      </w:rPr>
    </w:lvl>
    <w:lvl w:ilvl="1" w:tplc="1C090003" w:tentative="1">
      <w:start w:val="1"/>
      <w:numFmt w:val="bullet"/>
      <w:lvlText w:val="o"/>
      <w:lvlJc w:val="left"/>
      <w:pPr>
        <w:ind w:left="2166" w:hanging="360"/>
      </w:pPr>
      <w:rPr>
        <w:rFonts w:ascii="Courier New" w:hAnsi="Courier New" w:cs="Courier New" w:hint="default"/>
      </w:rPr>
    </w:lvl>
    <w:lvl w:ilvl="2" w:tplc="1C090005" w:tentative="1">
      <w:start w:val="1"/>
      <w:numFmt w:val="bullet"/>
      <w:lvlText w:val=""/>
      <w:lvlJc w:val="left"/>
      <w:pPr>
        <w:ind w:left="2886" w:hanging="360"/>
      </w:pPr>
      <w:rPr>
        <w:rFonts w:ascii="Wingdings" w:hAnsi="Wingdings" w:hint="default"/>
      </w:rPr>
    </w:lvl>
    <w:lvl w:ilvl="3" w:tplc="1C090001" w:tentative="1">
      <w:start w:val="1"/>
      <w:numFmt w:val="bullet"/>
      <w:lvlText w:val=""/>
      <w:lvlJc w:val="left"/>
      <w:pPr>
        <w:ind w:left="3606" w:hanging="360"/>
      </w:pPr>
      <w:rPr>
        <w:rFonts w:ascii="Symbol" w:hAnsi="Symbol" w:hint="default"/>
      </w:rPr>
    </w:lvl>
    <w:lvl w:ilvl="4" w:tplc="1C090003" w:tentative="1">
      <w:start w:val="1"/>
      <w:numFmt w:val="bullet"/>
      <w:lvlText w:val="o"/>
      <w:lvlJc w:val="left"/>
      <w:pPr>
        <w:ind w:left="4326" w:hanging="360"/>
      </w:pPr>
      <w:rPr>
        <w:rFonts w:ascii="Courier New" w:hAnsi="Courier New" w:cs="Courier New" w:hint="default"/>
      </w:rPr>
    </w:lvl>
    <w:lvl w:ilvl="5" w:tplc="1C090005" w:tentative="1">
      <w:start w:val="1"/>
      <w:numFmt w:val="bullet"/>
      <w:lvlText w:val=""/>
      <w:lvlJc w:val="left"/>
      <w:pPr>
        <w:ind w:left="5046" w:hanging="360"/>
      </w:pPr>
      <w:rPr>
        <w:rFonts w:ascii="Wingdings" w:hAnsi="Wingdings" w:hint="default"/>
      </w:rPr>
    </w:lvl>
    <w:lvl w:ilvl="6" w:tplc="1C090001" w:tentative="1">
      <w:start w:val="1"/>
      <w:numFmt w:val="bullet"/>
      <w:lvlText w:val=""/>
      <w:lvlJc w:val="left"/>
      <w:pPr>
        <w:ind w:left="5766" w:hanging="360"/>
      </w:pPr>
      <w:rPr>
        <w:rFonts w:ascii="Symbol" w:hAnsi="Symbol" w:hint="default"/>
      </w:rPr>
    </w:lvl>
    <w:lvl w:ilvl="7" w:tplc="1C090003" w:tentative="1">
      <w:start w:val="1"/>
      <w:numFmt w:val="bullet"/>
      <w:lvlText w:val="o"/>
      <w:lvlJc w:val="left"/>
      <w:pPr>
        <w:ind w:left="6486" w:hanging="360"/>
      </w:pPr>
      <w:rPr>
        <w:rFonts w:ascii="Courier New" w:hAnsi="Courier New" w:cs="Courier New" w:hint="default"/>
      </w:rPr>
    </w:lvl>
    <w:lvl w:ilvl="8" w:tplc="1C090005" w:tentative="1">
      <w:start w:val="1"/>
      <w:numFmt w:val="bullet"/>
      <w:lvlText w:val=""/>
      <w:lvlJc w:val="left"/>
      <w:pPr>
        <w:ind w:left="7206" w:hanging="360"/>
      </w:pPr>
      <w:rPr>
        <w:rFonts w:ascii="Wingdings" w:hAnsi="Wingdings" w:hint="default"/>
      </w:rPr>
    </w:lvl>
  </w:abstractNum>
  <w:abstractNum w:abstractNumId="15">
    <w:nsid w:val="3BFD0788"/>
    <w:multiLevelType w:val="hybridMultilevel"/>
    <w:tmpl w:val="2A988C50"/>
    <w:lvl w:ilvl="0" w:tplc="1C090001">
      <w:start w:val="1"/>
      <w:numFmt w:val="bullet"/>
      <w:lvlText w:val=""/>
      <w:lvlJc w:val="left"/>
      <w:pPr>
        <w:ind w:left="776" w:hanging="360"/>
      </w:pPr>
      <w:rPr>
        <w:rFonts w:ascii="Symbol" w:hAnsi="Symbol" w:hint="default"/>
      </w:rPr>
    </w:lvl>
    <w:lvl w:ilvl="1" w:tplc="1C090003" w:tentative="1">
      <w:start w:val="1"/>
      <w:numFmt w:val="bullet"/>
      <w:lvlText w:val="o"/>
      <w:lvlJc w:val="left"/>
      <w:pPr>
        <w:ind w:left="1496" w:hanging="360"/>
      </w:pPr>
      <w:rPr>
        <w:rFonts w:ascii="Courier New" w:hAnsi="Courier New" w:cs="Courier New" w:hint="default"/>
      </w:rPr>
    </w:lvl>
    <w:lvl w:ilvl="2" w:tplc="1C090005" w:tentative="1">
      <w:start w:val="1"/>
      <w:numFmt w:val="bullet"/>
      <w:lvlText w:val=""/>
      <w:lvlJc w:val="left"/>
      <w:pPr>
        <w:ind w:left="2216" w:hanging="360"/>
      </w:pPr>
      <w:rPr>
        <w:rFonts w:ascii="Wingdings" w:hAnsi="Wingdings" w:hint="default"/>
      </w:rPr>
    </w:lvl>
    <w:lvl w:ilvl="3" w:tplc="1C090001" w:tentative="1">
      <w:start w:val="1"/>
      <w:numFmt w:val="bullet"/>
      <w:lvlText w:val=""/>
      <w:lvlJc w:val="left"/>
      <w:pPr>
        <w:ind w:left="2936" w:hanging="360"/>
      </w:pPr>
      <w:rPr>
        <w:rFonts w:ascii="Symbol" w:hAnsi="Symbol" w:hint="default"/>
      </w:rPr>
    </w:lvl>
    <w:lvl w:ilvl="4" w:tplc="1C090003" w:tentative="1">
      <w:start w:val="1"/>
      <w:numFmt w:val="bullet"/>
      <w:lvlText w:val="o"/>
      <w:lvlJc w:val="left"/>
      <w:pPr>
        <w:ind w:left="3656" w:hanging="360"/>
      </w:pPr>
      <w:rPr>
        <w:rFonts w:ascii="Courier New" w:hAnsi="Courier New" w:cs="Courier New" w:hint="default"/>
      </w:rPr>
    </w:lvl>
    <w:lvl w:ilvl="5" w:tplc="1C090005" w:tentative="1">
      <w:start w:val="1"/>
      <w:numFmt w:val="bullet"/>
      <w:lvlText w:val=""/>
      <w:lvlJc w:val="left"/>
      <w:pPr>
        <w:ind w:left="4376" w:hanging="360"/>
      </w:pPr>
      <w:rPr>
        <w:rFonts w:ascii="Wingdings" w:hAnsi="Wingdings" w:hint="default"/>
      </w:rPr>
    </w:lvl>
    <w:lvl w:ilvl="6" w:tplc="1C090001" w:tentative="1">
      <w:start w:val="1"/>
      <w:numFmt w:val="bullet"/>
      <w:lvlText w:val=""/>
      <w:lvlJc w:val="left"/>
      <w:pPr>
        <w:ind w:left="5096" w:hanging="360"/>
      </w:pPr>
      <w:rPr>
        <w:rFonts w:ascii="Symbol" w:hAnsi="Symbol" w:hint="default"/>
      </w:rPr>
    </w:lvl>
    <w:lvl w:ilvl="7" w:tplc="1C090003" w:tentative="1">
      <w:start w:val="1"/>
      <w:numFmt w:val="bullet"/>
      <w:lvlText w:val="o"/>
      <w:lvlJc w:val="left"/>
      <w:pPr>
        <w:ind w:left="5816" w:hanging="360"/>
      </w:pPr>
      <w:rPr>
        <w:rFonts w:ascii="Courier New" w:hAnsi="Courier New" w:cs="Courier New" w:hint="default"/>
      </w:rPr>
    </w:lvl>
    <w:lvl w:ilvl="8" w:tplc="1C090005" w:tentative="1">
      <w:start w:val="1"/>
      <w:numFmt w:val="bullet"/>
      <w:lvlText w:val=""/>
      <w:lvlJc w:val="left"/>
      <w:pPr>
        <w:ind w:left="6536" w:hanging="360"/>
      </w:pPr>
      <w:rPr>
        <w:rFonts w:ascii="Wingdings" w:hAnsi="Wingdings" w:hint="default"/>
      </w:rPr>
    </w:lvl>
  </w:abstractNum>
  <w:abstractNum w:abstractNumId="16">
    <w:nsid w:val="44A36C8B"/>
    <w:multiLevelType w:val="hybridMultilevel"/>
    <w:tmpl w:val="B57831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D9C1929"/>
    <w:multiLevelType w:val="hybridMultilevel"/>
    <w:tmpl w:val="EE303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116621"/>
    <w:multiLevelType w:val="hybridMultilevel"/>
    <w:tmpl w:val="CC8CA0FC"/>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9">
    <w:nsid w:val="553227A1"/>
    <w:multiLevelType w:val="hybridMultilevel"/>
    <w:tmpl w:val="ECFAE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094084"/>
    <w:multiLevelType w:val="multilevel"/>
    <w:tmpl w:val="AAB696EC"/>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5D136987"/>
    <w:multiLevelType w:val="hybridMultilevel"/>
    <w:tmpl w:val="F650E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746A04"/>
    <w:multiLevelType w:val="multilevel"/>
    <w:tmpl w:val="F53233A6"/>
    <w:lvl w:ilvl="0">
      <w:start w:val="4"/>
      <w:numFmt w:val="decimal"/>
      <w:lvlText w:val="%1"/>
      <w:lvlJc w:val="left"/>
      <w:pPr>
        <w:ind w:left="360" w:hanging="360"/>
      </w:pPr>
      <w:rPr>
        <w:rFonts w:hint="default"/>
      </w:rPr>
    </w:lvl>
    <w:lvl w:ilvl="1">
      <w:start w:val="1"/>
      <w:numFmt w:val="decimal"/>
      <w:lvlText w:val="%1.%2"/>
      <w:lvlJc w:val="left"/>
      <w:pPr>
        <w:ind w:left="3338"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EC860D5"/>
    <w:multiLevelType w:val="hybridMultilevel"/>
    <w:tmpl w:val="4462D1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23A1071"/>
    <w:multiLevelType w:val="hybridMultilevel"/>
    <w:tmpl w:val="91CE129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nsid w:val="629F32AF"/>
    <w:multiLevelType w:val="hybridMultilevel"/>
    <w:tmpl w:val="3A0098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43333E3"/>
    <w:multiLevelType w:val="multilevel"/>
    <w:tmpl w:val="38C694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6A32A07"/>
    <w:multiLevelType w:val="multilevel"/>
    <w:tmpl w:val="02B63EE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9A46D5F"/>
    <w:multiLevelType w:val="multilevel"/>
    <w:tmpl w:val="AAB696EC"/>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nsid w:val="7EDF030B"/>
    <w:multiLevelType w:val="hybridMultilevel"/>
    <w:tmpl w:val="C11A9638"/>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3"/>
  </w:num>
  <w:num w:numId="4">
    <w:abstractNumId w:val="4"/>
  </w:num>
  <w:num w:numId="5">
    <w:abstractNumId w:val="25"/>
  </w:num>
  <w:num w:numId="6">
    <w:abstractNumId w:val="13"/>
  </w:num>
  <w:num w:numId="7">
    <w:abstractNumId w:val="11"/>
  </w:num>
  <w:num w:numId="8">
    <w:abstractNumId w:val="24"/>
  </w:num>
  <w:num w:numId="9">
    <w:abstractNumId w:val="8"/>
  </w:num>
  <w:num w:numId="10">
    <w:abstractNumId w:val="9"/>
  </w:num>
  <w:num w:numId="11">
    <w:abstractNumId w:val="5"/>
  </w:num>
  <w:num w:numId="12">
    <w:abstractNumId w:val="29"/>
  </w:num>
  <w:num w:numId="13">
    <w:abstractNumId w:val="14"/>
  </w:num>
  <w:num w:numId="14">
    <w:abstractNumId w:val="3"/>
  </w:num>
  <w:num w:numId="15">
    <w:abstractNumId w:val="2"/>
  </w:num>
  <w:num w:numId="16">
    <w:abstractNumId w:val="12"/>
  </w:num>
  <w:num w:numId="17">
    <w:abstractNumId w:val="18"/>
  </w:num>
  <w:num w:numId="18">
    <w:abstractNumId w:val="17"/>
  </w:num>
  <w:num w:numId="19">
    <w:abstractNumId w:val="19"/>
  </w:num>
  <w:num w:numId="20">
    <w:abstractNumId w:val="1"/>
  </w:num>
  <w:num w:numId="21">
    <w:abstractNumId w:val="6"/>
  </w:num>
  <w:num w:numId="22">
    <w:abstractNumId w:val="28"/>
  </w:num>
  <w:num w:numId="23">
    <w:abstractNumId w:val="15"/>
  </w:num>
  <w:num w:numId="24">
    <w:abstractNumId w:val="20"/>
  </w:num>
  <w:num w:numId="25">
    <w:abstractNumId w:val="26"/>
  </w:num>
  <w:num w:numId="26">
    <w:abstractNumId w:val="22"/>
  </w:num>
  <w:num w:numId="27">
    <w:abstractNumId w:val="10"/>
  </w:num>
  <w:num w:numId="28">
    <w:abstractNumId w:val="7"/>
  </w:num>
  <w:num w:numId="29">
    <w:abstractNumId w:val="27"/>
  </w:num>
  <w:num w:numId="30">
    <w:abstractNumId w:val="2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34"/>
    <w:rsid w:val="00006FED"/>
    <w:rsid w:val="00051435"/>
    <w:rsid w:val="0005326B"/>
    <w:rsid w:val="00061523"/>
    <w:rsid w:val="00093164"/>
    <w:rsid w:val="000A0946"/>
    <w:rsid w:val="000A1340"/>
    <w:rsid w:val="000A6874"/>
    <w:rsid w:val="000A73E0"/>
    <w:rsid w:val="000C7958"/>
    <w:rsid w:val="000D18DD"/>
    <w:rsid w:val="000D3976"/>
    <w:rsid w:val="000D698D"/>
    <w:rsid w:val="000F20DF"/>
    <w:rsid w:val="0011035B"/>
    <w:rsid w:val="00141298"/>
    <w:rsid w:val="00155607"/>
    <w:rsid w:val="00165587"/>
    <w:rsid w:val="00165C44"/>
    <w:rsid w:val="001773FE"/>
    <w:rsid w:val="00195ADC"/>
    <w:rsid w:val="001A5AAD"/>
    <w:rsid w:val="001B2DE9"/>
    <w:rsid w:val="001C22CD"/>
    <w:rsid w:val="001C6E37"/>
    <w:rsid w:val="001D4A95"/>
    <w:rsid w:val="001D5C7B"/>
    <w:rsid w:val="001D6979"/>
    <w:rsid w:val="001F751B"/>
    <w:rsid w:val="00203CB1"/>
    <w:rsid w:val="00204854"/>
    <w:rsid w:val="002065D9"/>
    <w:rsid w:val="00214132"/>
    <w:rsid w:val="00216024"/>
    <w:rsid w:val="00223784"/>
    <w:rsid w:val="00223E3E"/>
    <w:rsid w:val="002303FB"/>
    <w:rsid w:val="0024162E"/>
    <w:rsid w:val="002444F3"/>
    <w:rsid w:val="00246486"/>
    <w:rsid w:val="002917A2"/>
    <w:rsid w:val="00295BE7"/>
    <w:rsid w:val="002A4E40"/>
    <w:rsid w:val="002B073C"/>
    <w:rsid w:val="002B185D"/>
    <w:rsid w:val="002C20C8"/>
    <w:rsid w:val="002D697D"/>
    <w:rsid w:val="002E196F"/>
    <w:rsid w:val="002F1156"/>
    <w:rsid w:val="002F1473"/>
    <w:rsid w:val="002F7ACA"/>
    <w:rsid w:val="00322692"/>
    <w:rsid w:val="00323BA8"/>
    <w:rsid w:val="00325127"/>
    <w:rsid w:val="00334232"/>
    <w:rsid w:val="003422C6"/>
    <w:rsid w:val="00343835"/>
    <w:rsid w:val="00351AB1"/>
    <w:rsid w:val="003531FE"/>
    <w:rsid w:val="003577A0"/>
    <w:rsid w:val="0036780A"/>
    <w:rsid w:val="003703EE"/>
    <w:rsid w:val="00392391"/>
    <w:rsid w:val="003A09A1"/>
    <w:rsid w:val="003A30A3"/>
    <w:rsid w:val="003B2EE3"/>
    <w:rsid w:val="003B3201"/>
    <w:rsid w:val="003C13BB"/>
    <w:rsid w:val="003C6A61"/>
    <w:rsid w:val="003D6EE8"/>
    <w:rsid w:val="003E48E5"/>
    <w:rsid w:val="0040220F"/>
    <w:rsid w:val="00403188"/>
    <w:rsid w:val="00411B64"/>
    <w:rsid w:val="004347AD"/>
    <w:rsid w:val="004362BF"/>
    <w:rsid w:val="004374CB"/>
    <w:rsid w:val="00437FBA"/>
    <w:rsid w:val="00445DC5"/>
    <w:rsid w:val="0045297C"/>
    <w:rsid w:val="00463FEA"/>
    <w:rsid w:val="00483C62"/>
    <w:rsid w:val="00487E96"/>
    <w:rsid w:val="004B16B5"/>
    <w:rsid w:val="004C4545"/>
    <w:rsid w:val="004C77C1"/>
    <w:rsid w:val="004E0B69"/>
    <w:rsid w:val="004E4571"/>
    <w:rsid w:val="004E690C"/>
    <w:rsid w:val="004F18F1"/>
    <w:rsid w:val="004F2AC9"/>
    <w:rsid w:val="005076E4"/>
    <w:rsid w:val="005127DA"/>
    <w:rsid w:val="00517181"/>
    <w:rsid w:val="00522BA2"/>
    <w:rsid w:val="005240BB"/>
    <w:rsid w:val="00524A54"/>
    <w:rsid w:val="00532B76"/>
    <w:rsid w:val="00545509"/>
    <w:rsid w:val="005456BD"/>
    <w:rsid w:val="0055725A"/>
    <w:rsid w:val="00563047"/>
    <w:rsid w:val="00567553"/>
    <w:rsid w:val="00586321"/>
    <w:rsid w:val="0059328E"/>
    <w:rsid w:val="00595F22"/>
    <w:rsid w:val="005A4FA7"/>
    <w:rsid w:val="005B4507"/>
    <w:rsid w:val="005C305F"/>
    <w:rsid w:val="005C4071"/>
    <w:rsid w:val="005D453B"/>
    <w:rsid w:val="005D4C97"/>
    <w:rsid w:val="005D5D62"/>
    <w:rsid w:val="005D6C07"/>
    <w:rsid w:val="005E453F"/>
    <w:rsid w:val="005E6C4E"/>
    <w:rsid w:val="005F444F"/>
    <w:rsid w:val="005F52F6"/>
    <w:rsid w:val="005F7613"/>
    <w:rsid w:val="00610834"/>
    <w:rsid w:val="0061400A"/>
    <w:rsid w:val="00622DB3"/>
    <w:rsid w:val="00625641"/>
    <w:rsid w:val="0063309E"/>
    <w:rsid w:val="00634874"/>
    <w:rsid w:val="00640163"/>
    <w:rsid w:val="006435B5"/>
    <w:rsid w:val="00644933"/>
    <w:rsid w:val="0064652F"/>
    <w:rsid w:val="00653F16"/>
    <w:rsid w:val="006601CB"/>
    <w:rsid w:val="006628CE"/>
    <w:rsid w:val="006634CF"/>
    <w:rsid w:val="00670D79"/>
    <w:rsid w:val="00675973"/>
    <w:rsid w:val="0069331E"/>
    <w:rsid w:val="00696BF2"/>
    <w:rsid w:val="006A4A54"/>
    <w:rsid w:val="006E0FB9"/>
    <w:rsid w:val="006E7DB4"/>
    <w:rsid w:val="006F40DA"/>
    <w:rsid w:val="006F49FD"/>
    <w:rsid w:val="00705D7B"/>
    <w:rsid w:val="00751FDA"/>
    <w:rsid w:val="00752490"/>
    <w:rsid w:val="007547CF"/>
    <w:rsid w:val="007565C4"/>
    <w:rsid w:val="0076392B"/>
    <w:rsid w:val="00770C71"/>
    <w:rsid w:val="00771779"/>
    <w:rsid w:val="00772BF9"/>
    <w:rsid w:val="007743CB"/>
    <w:rsid w:val="007752D5"/>
    <w:rsid w:val="007B5227"/>
    <w:rsid w:val="007C39DA"/>
    <w:rsid w:val="007D33BC"/>
    <w:rsid w:val="007E0EE9"/>
    <w:rsid w:val="007E2EE1"/>
    <w:rsid w:val="007E50B6"/>
    <w:rsid w:val="007E61F2"/>
    <w:rsid w:val="007F34D0"/>
    <w:rsid w:val="007F7DAA"/>
    <w:rsid w:val="00804093"/>
    <w:rsid w:val="00804F26"/>
    <w:rsid w:val="00811454"/>
    <w:rsid w:val="00814A28"/>
    <w:rsid w:val="00850FB2"/>
    <w:rsid w:val="008601FE"/>
    <w:rsid w:val="00867C0B"/>
    <w:rsid w:val="008A2B4D"/>
    <w:rsid w:val="008A32F0"/>
    <w:rsid w:val="008A4475"/>
    <w:rsid w:val="008B1B41"/>
    <w:rsid w:val="008B461B"/>
    <w:rsid w:val="008C1649"/>
    <w:rsid w:val="008C3EEC"/>
    <w:rsid w:val="008C4BE5"/>
    <w:rsid w:val="008D20C4"/>
    <w:rsid w:val="008D4DAA"/>
    <w:rsid w:val="008E1387"/>
    <w:rsid w:val="008E2A11"/>
    <w:rsid w:val="008E4186"/>
    <w:rsid w:val="008E54E5"/>
    <w:rsid w:val="008F5DB6"/>
    <w:rsid w:val="008F6487"/>
    <w:rsid w:val="009260A7"/>
    <w:rsid w:val="0093151A"/>
    <w:rsid w:val="00932ED4"/>
    <w:rsid w:val="0093597A"/>
    <w:rsid w:val="00956720"/>
    <w:rsid w:val="00956BD7"/>
    <w:rsid w:val="00970DDB"/>
    <w:rsid w:val="009712A0"/>
    <w:rsid w:val="009805F5"/>
    <w:rsid w:val="00993173"/>
    <w:rsid w:val="0099592A"/>
    <w:rsid w:val="009A1721"/>
    <w:rsid w:val="009B0808"/>
    <w:rsid w:val="009B0E9A"/>
    <w:rsid w:val="009B39E9"/>
    <w:rsid w:val="009C1BA1"/>
    <w:rsid w:val="009C28EC"/>
    <w:rsid w:val="009C7460"/>
    <w:rsid w:val="009E51CE"/>
    <w:rsid w:val="009E689B"/>
    <w:rsid w:val="009F1145"/>
    <w:rsid w:val="009F1DDD"/>
    <w:rsid w:val="009F4809"/>
    <w:rsid w:val="009F5F56"/>
    <w:rsid w:val="00A04BFC"/>
    <w:rsid w:val="00A10DA8"/>
    <w:rsid w:val="00A148BB"/>
    <w:rsid w:val="00A1498C"/>
    <w:rsid w:val="00A1724F"/>
    <w:rsid w:val="00A302E8"/>
    <w:rsid w:val="00A33AA4"/>
    <w:rsid w:val="00A45AA3"/>
    <w:rsid w:val="00A55DA3"/>
    <w:rsid w:val="00A565AF"/>
    <w:rsid w:val="00A62ABA"/>
    <w:rsid w:val="00A66701"/>
    <w:rsid w:val="00A72795"/>
    <w:rsid w:val="00AB250D"/>
    <w:rsid w:val="00AB5089"/>
    <w:rsid w:val="00AC3A37"/>
    <w:rsid w:val="00AE4BEB"/>
    <w:rsid w:val="00AE520B"/>
    <w:rsid w:val="00AF1328"/>
    <w:rsid w:val="00B01028"/>
    <w:rsid w:val="00B070CA"/>
    <w:rsid w:val="00B12423"/>
    <w:rsid w:val="00B15C3B"/>
    <w:rsid w:val="00B15E91"/>
    <w:rsid w:val="00B25434"/>
    <w:rsid w:val="00B273C1"/>
    <w:rsid w:val="00B27DD3"/>
    <w:rsid w:val="00B32432"/>
    <w:rsid w:val="00B355D4"/>
    <w:rsid w:val="00B910CB"/>
    <w:rsid w:val="00BB56C7"/>
    <w:rsid w:val="00BC07FF"/>
    <w:rsid w:val="00BC4F22"/>
    <w:rsid w:val="00BD2DFA"/>
    <w:rsid w:val="00BD4E81"/>
    <w:rsid w:val="00BE229C"/>
    <w:rsid w:val="00BE3D94"/>
    <w:rsid w:val="00BE729D"/>
    <w:rsid w:val="00BF23FE"/>
    <w:rsid w:val="00BF59BD"/>
    <w:rsid w:val="00C070C7"/>
    <w:rsid w:val="00C15009"/>
    <w:rsid w:val="00C21325"/>
    <w:rsid w:val="00C218D7"/>
    <w:rsid w:val="00C2616D"/>
    <w:rsid w:val="00C310B6"/>
    <w:rsid w:val="00C42192"/>
    <w:rsid w:val="00C45A92"/>
    <w:rsid w:val="00C537FA"/>
    <w:rsid w:val="00C54D49"/>
    <w:rsid w:val="00C643EE"/>
    <w:rsid w:val="00C744A7"/>
    <w:rsid w:val="00C841C3"/>
    <w:rsid w:val="00C84CC3"/>
    <w:rsid w:val="00C8595F"/>
    <w:rsid w:val="00C93AAC"/>
    <w:rsid w:val="00CC4552"/>
    <w:rsid w:val="00CC6AC4"/>
    <w:rsid w:val="00CC6E55"/>
    <w:rsid w:val="00CE3DE8"/>
    <w:rsid w:val="00CF3F25"/>
    <w:rsid w:val="00D06312"/>
    <w:rsid w:val="00D159A7"/>
    <w:rsid w:val="00D2057D"/>
    <w:rsid w:val="00D21335"/>
    <w:rsid w:val="00D27E04"/>
    <w:rsid w:val="00D40E6A"/>
    <w:rsid w:val="00D429E4"/>
    <w:rsid w:val="00D52130"/>
    <w:rsid w:val="00D5706B"/>
    <w:rsid w:val="00D6078F"/>
    <w:rsid w:val="00D63368"/>
    <w:rsid w:val="00D745D9"/>
    <w:rsid w:val="00D75600"/>
    <w:rsid w:val="00D80E02"/>
    <w:rsid w:val="00D95EF7"/>
    <w:rsid w:val="00DA31A9"/>
    <w:rsid w:val="00DB4B97"/>
    <w:rsid w:val="00DB77F3"/>
    <w:rsid w:val="00DC297C"/>
    <w:rsid w:val="00DE2240"/>
    <w:rsid w:val="00DE2E7D"/>
    <w:rsid w:val="00DF5D17"/>
    <w:rsid w:val="00E058B0"/>
    <w:rsid w:val="00E309A8"/>
    <w:rsid w:val="00E34F2D"/>
    <w:rsid w:val="00E36D8B"/>
    <w:rsid w:val="00E37192"/>
    <w:rsid w:val="00E4078B"/>
    <w:rsid w:val="00E4407A"/>
    <w:rsid w:val="00E45A5C"/>
    <w:rsid w:val="00E47BE4"/>
    <w:rsid w:val="00E62D45"/>
    <w:rsid w:val="00E7116B"/>
    <w:rsid w:val="00E7528D"/>
    <w:rsid w:val="00E91517"/>
    <w:rsid w:val="00E97C2B"/>
    <w:rsid w:val="00EA5CB9"/>
    <w:rsid w:val="00EB0940"/>
    <w:rsid w:val="00ED3D1F"/>
    <w:rsid w:val="00ED5914"/>
    <w:rsid w:val="00ED6B24"/>
    <w:rsid w:val="00F03930"/>
    <w:rsid w:val="00F235D7"/>
    <w:rsid w:val="00F24542"/>
    <w:rsid w:val="00F26A1A"/>
    <w:rsid w:val="00F438EC"/>
    <w:rsid w:val="00F50A97"/>
    <w:rsid w:val="00F6541F"/>
    <w:rsid w:val="00F84B33"/>
    <w:rsid w:val="00F93622"/>
    <w:rsid w:val="00FA3249"/>
    <w:rsid w:val="00FA7F8C"/>
    <w:rsid w:val="00FB5781"/>
    <w:rsid w:val="00FB69AA"/>
    <w:rsid w:val="00FC423E"/>
    <w:rsid w:val="00FD6ECC"/>
    <w:rsid w:val="00FF1879"/>
    <w:rsid w:val="00FF1A3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834"/>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834"/>
    <w:pPr>
      <w:ind w:left="720"/>
      <w:contextualSpacing/>
    </w:pPr>
  </w:style>
  <w:style w:type="paragraph" w:styleId="Header">
    <w:name w:val="header"/>
    <w:basedOn w:val="Normal"/>
    <w:link w:val="HeaderChar"/>
    <w:uiPriority w:val="99"/>
    <w:rsid w:val="00610834"/>
    <w:pPr>
      <w:tabs>
        <w:tab w:val="center" w:pos="4153"/>
        <w:tab w:val="right" w:pos="8306"/>
      </w:tabs>
    </w:pPr>
    <w:rPr>
      <w:sz w:val="20"/>
      <w:szCs w:val="20"/>
      <w:lang w:eastAsia="x-none"/>
    </w:rPr>
  </w:style>
  <w:style w:type="character" w:customStyle="1" w:styleId="HeaderChar">
    <w:name w:val="Header Char"/>
    <w:basedOn w:val="DefaultParagraphFont"/>
    <w:link w:val="Header"/>
    <w:uiPriority w:val="99"/>
    <w:rsid w:val="00610834"/>
    <w:rPr>
      <w:rFonts w:ascii="Calibri" w:eastAsia="Times New Roman" w:hAnsi="Calibri" w:cs="Times New Roman"/>
      <w:sz w:val="20"/>
      <w:szCs w:val="20"/>
      <w:lang w:eastAsia="x-none"/>
    </w:rPr>
  </w:style>
  <w:style w:type="paragraph" w:styleId="Footer">
    <w:name w:val="footer"/>
    <w:basedOn w:val="Normal"/>
    <w:link w:val="FooterChar"/>
    <w:uiPriority w:val="99"/>
    <w:rsid w:val="00610834"/>
    <w:pPr>
      <w:tabs>
        <w:tab w:val="center" w:pos="4153"/>
        <w:tab w:val="right" w:pos="8306"/>
      </w:tabs>
    </w:pPr>
    <w:rPr>
      <w:lang w:val="x-none"/>
    </w:rPr>
  </w:style>
  <w:style w:type="character" w:customStyle="1" w:styleId="FooterChar">
    <w:name w:val="Footer Char"/>
    <w:basedOn w:val="DefaultParagraphFont"/>
    <w:link w:val="Footer"/>
    <w:uiPriority w:val="99"/>
    <w:rsid w:val="00610834"/>
    <w:rPr>
      <w:rFonts w:ascii="Calibri" w:eastAsia="Times New Roman" w:hAnsi="Calibri" w:cs="Times New Roman"/>
      <w:lang w:val="x-none"/>
    </w:rPr>
  </w:style>
  <w:style w:type="character" w:styleId="PageNumber">
    <w:name w:val="page number"/>
    <w:uiPriority w:val="99"/>
    <w:rsid w:val="00610834"/>
    <w:rPr>
      <w:rFonts w:cs="Times New Roman"/>
    </w:rPr>
  </w:style>
  <w:style w:type="paragraph" w:styleId="NoSpacing">
    <w:name w:val="No Spacing"/>
    <w:uiPriority w:val="1"/>
    <w:qFormat/>
    <w:rsid w:val="00610834"/>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2B1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85D"/>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8E54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54E5"/>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8E54E5"/>
    <w:rPr>
      <w:vertAlign w:val="superscript"/>
    </w:rPr>
  </w:style>
  <w:style w:type="character" w:customStyle="1" w:styleId="apple-converted-space">
    <w:name w:val="apple-converted-space"/>
    <w:basedOn w:val="DefaultParagraphFont"/>
    <w:rsid w:val="000D698D"/>
  </w:style>
  <w:style w:type="paragraph" w:styleId="NormalWeb">
    <w:name w:val="Normal (Web)"/>
    <w:basedOn w:val="Normal"/>
    <w:uiPriority w:val="99"/>
    <w:semiHidden/>
    <w:unhideWhenUsed/>
    <w:rsid w:val="00A66701"/>
    <w:pPr>
      <w:spacing w:before="100" w:beforeAutospacing="1" w:after="100" w:afterAutospacing="1" w:line="240" w:lineRule="auto"/>
    </w:pPr>
    <w:rPr>
      <w:rFonts w:ascii="Times New Roman" w:hAnsi="Times New Roman"/>
      <w:sz w:val="24"/>
      <w:szCs w:val="24"/>
      <w:lang w:val="en-GB" w:eastAsia="en-GB"/>
    </w:rPr>
  </w:style>
  <w:style w:type="paragraph" w:styleId="BodyText">
    <w:name w:val="Body Text"/>
    <w:basedOn w:val="Normal"/>
    <w:link w:val="BodyTextChar"/>
    <w:rsid w:val="00F6541F"/>
    <w:pPr>
      <w:spacing w:after="0" w:line="240" w:lineRule="auto"/>
    </w:pPr>
    <w:rPr>
      <w:rFonts w:ascii="Times New Roman" w:hAnsi="Times New Roman"/>
      <w:sz w:val="24"/>
      <w:szCs w:val="20"/>
      <w:lang w:val="en-US"/>
    </w:rPr>
  </w:style>
  <w:style w:type="character" w:customStyle="1" w:styleId="BodyTextChar">
    <w:name w:val="Body Text Char"/>
    <w:basedOn w:val="DefaultParagraphFont"/>
    <w:link w:val="BodyText"/>
    <w:rsid w:val="00F6541F"/>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834"/>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834"/>
    <w:pPr>
      <w:ind w:left="720"/>
      <w:contextualSpacing/>
    </w:pPr>
  </w:style>
  <w:style w:type="paragraph" w:styleId="Header">
    <w:name w:val="header"/>
    <w:basedOn w:val="Normal"/>
    <w:link w:val="HeaderChar"/>
    <w:uiPriority w:val="99"/>
    <w:rsid w:val="00610834"/>
    <w:pPr>
      <w:tabs>
        <w:tab w:val="center" w:pos="4153"/>
        <w:tab w:val="right" w:pos="8306"/>
      </w:tabs>
    </w:pPr>
    <w:rPr>
      <w:sz w:val="20"/>
      <w:szCs w:val="20"/>
      <w:lang w:eastAsia="x-none"/>
    </w:rPr>
  </w:style>
  <w:style w:type="character" w:customStyle="1" w:styleId="HeaderChar">
    <w:name w:val="Header Char"/>
    <w:basedOn w:val="DefaultParagraphFont"/>
    <w:link w:val="Header"/>
    <w:uiPriority w:val="99"/>
    <w:rsid w:val="00610834"/>
    <w:rPr>
      <w:rFonts w:ascii="Calibri" w:eastAsia="Times New Roman" w:hAnsi="Calibri" w:cs="Times New Roman"/>
      <w:sz w:val="20"/>
      <w:szCs w:val="20"/>
      <w:lang w:eastAsia="x-none"/>
    </w:rPr>
  </w:style>
  <w:style w:type="paragraph" w:styleId="Footer">
    <w:name w:val="footer"/>
    <w:basedOn w:val="Normal"/>
    <w:link w:val="FooterChar"/>
    <w:uiPriority w:val="99"/>
    <w:rsid w:val="00610834"/>
    <w:pPr>
      <w:tabs>
        <w:tab w:val="center" w:pos="4153"/>
        <w:tab w:val="right" w:pos="8306"/>
      </w:tabs>
    </w:pPr>
    <w:rPr>
      <w:lang w:val="x-none"/>
    </w:rPr>
  </w:style>
  <w:style w:type="character" w:customStyle="1" w:styleId="FooterChar">
    <w:name w:val="Footer Char"/>
    <w:basedOn w:val="DefaultParagraphFont"/>
    <w:link w:val="Footer"/>
    <w:uiPriority w:val="99"/>
    <w:rsid w:val="00610834"/>
    <w:rPr>
      <w:rFonts w:ascii="Calibri" w:eastAsia="Times New Roman" w:hAnsi="Calibri" w:cs="Times New Roman"/>
      <w:lang w:val="x-none"/>
    </w:rPr>
  </w:style>
  <w:style w:type="character" w:styleId="PageNumber">
    <w:name w:val="page number"/>
    <w:uiPriority w:val="99"/>
    <w:rsid w:val="00610834"/>
    <w:rPr>
      <w:rFonts w:cs="Times New Roman"/>
    </w:rPr>
  </w:style>
  <w:style w:type="paragraph" w:styleId="NoSpacing">
    <w:name w:val="No Spacing"/>
    <w:uiPriority w:val="1"/>
    <w:qFormat/>
    <w:rsid w:val="00610834"/>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2B1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85D"/>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8E54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54E5"/>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8E54E5"/>
    <w:rPr>
      <w:vertAlign w:val="superscript"/>
    </w:rPr>
  </w:style>
  <w:style w:type="character" w:customStyle="1" w:styleId="apple-converted-space">
    <w:name w:val="apple-converted-space"/>
    <w:basedOn w:val="DefaultParagraphFont"/>
    <w:rsid w:val="000D698D"/>
  </w:style>
  <w:style w:type="paragraph" w:styleId="NormalWeb">
    <w:name w:val="Normal (Web)"/>
    <w:basedOn w:val="Normal"/>
    <w:uiPriority w:val="99"/>
    <w:semiHidden/>
    <w:unhideWhenUsed/>
    <w:rsid w:val="00A66701"/>
    <w:pPr>
      <w:spacing w:before="100" w:beforeAutospacing="1" w:after="100" w:afterAutospacing="1" w:line="240" w:lineRule="auto"/>
    </w:pPr>
    <w:rPr>
      <w:rFonts w:ascii="Times New Roman" w:hAnsi="Times New Roman"/>
      <w:sz w:val="24"/>
      <w:szCs w:val="24"/>
      <w:lang w:val="en-GB" w:eastAsia="en-GB"/>
    </w:rPr>
  </w:style>
  <w:style w:type="paragraph" w:styleId="BodyText">
    <w:name w:val="Body Text"/>
    <w:basedOn w:val="Normal"/>
    <w:link w:val="BodyTextChar"/>
    <w:rsid w:val="00F6541F"/>
    <w:pPr>
      <w:spacing w:after="0" w:line="240" w:lineRule="auto"/>
    </w:pPr>
    <w:rPr>
      <w:rFonts w:ascii="Times New Roman" w:hAnsi="Times New Roman"/>
      <w:sz w:val="24"/>
      <w:szCs w:val="20"/>
      <w:lang w:val="en-US"/>
    </w:rPr>
  </w:style>
  <w:style w:type="character" w:customStyle="1" w:styleId="BodyTextChar">
    <w:name w:val="Body Text Char"/>
    <w:basedOn w:val="DefaultParagraphFont"/>
    <w:link w:val="BodyText"/>
    <w:rsid w:val="00F6541F"/>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5041">
      <w:bodyDiv w:val="1"/>
      <w:marLeft w:val="0"/>
      <w:marRight w:val="0"/>
      <w:marTop w:val="0"/>
      <w:marBottom w:val="0"/>
      <w:divBdr>
        <w:top w:val="none" w:sz="0" w:space="0" w:color="auto"/>
        <w:left w:val="none" w:sz="0" w:space="0" w:color="auto"/>
        <w:bottom w:val="none" w:sz="0" w:space="0" w:color="auto"/>
        <w:right w:val="none" w:sz="0" w:space="0" w:color="auto"/>
      </w:divBdr>
      <w:divsChild>
        <w:div w:id="228656740">
          <w:marLeft w:val="0"/>
          <w:marRight w:val="0"/>
          <w:marTop w:val="0"/>
          <w:marBottom w:val="0"/>
          <w:divBdr>
            <w:top w:val="none" w:sz="0" w:space="0" w:color="auto"/>
            <w:left w:val="none" w:sz="0" w:space="0" w:color="auto"/>
            <w:bottom w:val="none" w:sz="0" w:space="0" w:color="auto"/>
            <w:right w:val="none" w:sz="0" w:space="0" w:color="auto"/>
          </w:divBdr>
        </w:div>
        <w:div w:id="864249072">
          <w:marLeft w:val="0"/>
          <w:marRight w:val="0"/>
          <w:marTop w:val="0"/>
          <w:marBottom w:val="0"/>
          <w:divBdr>
            <w:top w:val="none" w:sz="0" w:space="0" w:color="auto"/>
            <w:left w:val="none" w:sz="0" w:space="0" w:color="auto"/>
            <w:bottom w:val="none" w:sz="0" w:space="0" w:color="auto"/>
            <w:right w:val="none" w:sz="0" w:space="0" w:color="auto"/>
          </w:divBdr>
        </w:div>
        <w:div w:id="13381238">
          <w:marLeft w:val="0"/>
          <w:marRight w:val="0"/>
          <w:marTop w:val="0"/>
          <w:marBottom w:val="0"/>
          <w:divBdr>
            <w:top w:val="none" w:sz="0" w:space="0" w:color="auto"/>
            <w:left w:val="none" w:sz="0" w:space="0" w:color="auto"/>
            <w:bottom w:val="none" w:sz="0" w:space="0" w:color="auto"/>
            <w:right w:val="none" w:sz="0" w:space="0" w:color="auto"/>
          </w:divBdr>
        </w:div>
      </w:divsChild>
    </w:div>
    <w:div w:id="884097881">
      <w:bodyDiv w:val="1"/>
      <w:marLeft w:val="0"/>
      <w:marRight w:val="0"/>
      <w:marTop w:val="0"/>
      <w:marBottom w:val="0"/>
      <w:divBdr>
        <w:top w:val="none" w:sz="0" w:space="0" w:color="auto"/>
        <w:left w:val="none" w:sz="0" w:space="0" w:color="auto"/>
        <w:bottom w:val="none" w:sz="0" w:space="0" w:color="auto"/>
        <w:right w:val="none" w:sz="0" w:space="0" w:color="auto"/>
      </w:divBdr>
    </w:div>
    <w:div w:id="180638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Microsoft_Excel_97-2003_Worksheet2.xls"/><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Microsoft_Excel_97-2003_Worksheet1.xls"/><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Microsoft_Excel_97-2003_Worksheet3.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D808D-5D27-4720-A703-CA004A85C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6801</Words>
  <Characters>38769</Characters>
  <Application>Microsoft Office Word</Application>
  <DocSecurity>4</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Tshepo Masoeu</dc:creator>
  <cp:lastModifiedBy>Asanda</cp:lastModifiedBy>
  <cp:revision>2</cp:revision>
  <cp:lastPrinted>2017-03-14T12:31:00Z</cp:lastPrinted>
  <dcterms:created xsi:type="dcterms:W3CDTF">2017-03-17T10:18:00Z</dcterms:created>
  <dcterms:modified xsi:type="dcterms:W3CDTF">2017-03-17T10:18:00Z</dcterms:modified>
</cp:coreProperties>
</file>