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8C2D" w14:textId="77777777" w:rsidR="00AC035C" w:rsidRPr="00263016" w:rsidRDefault="00AC035C" w:rsidP="00263016">
      <w:pPr>
        <w:pStyle w:val="ListParagraph"/>
        <w:numPr>
          <w:ilvl w:val="0"/>
          <w:numId w:val="38"/>
        </w:numPr>
        <w:spacing w:before="120" w:after="120" w:line="240" w:lineRule="auto"/>
        <w:ind w:left="360"/>
        <w:jc w:val="both"/>
        <w:rPr>
          <w:rFonts w:ascii="Times New Roman" w:hAnsi="Times New Roman"/>
          <w:b/>
          <w:sz w:val="28"/>
          <w:szCs w:val="28"/>
        </w:rPr>
      </w:pPr>
      <w:bookmarkStart w:id="0" w:name="_GoBack"/>
      <w:bookmarkEnd w:id="0"/>
      <w:r w:rsidRPr="00263016">
        <w:rPr>
          <w:rFonts w:ascii="Times New Roman" w:hAnsi="Times New Roman"/>
          <w:b/>
          <w:sz w:val="28"/>
          <w:szCs w:val="28"/>
        </w:rPr>
        <w:t>REPORT OF THE STANDING COMMITTEE ON APPROPRIATIONS ON THE DIVISION OF REVENUE BILL [B</w:t>
      </w:r>
      <w:r w:rsidR="003F349C" w:rsidRPr="00263016">
        <w:rPr>
          <w:rFonts w:ascii="Times New Roman" w:hAnsi="Times New Roman"/>
          <w:b/>
          <w:sz w:val="28"/>
          <w:szCs w:val="28"/>
        </w:rPr>
        <w:t>2</w:t>
      </w:r>
      <w:r w:rsidRPr="00263016">
        <w:rPr>
          <w:rFonts w:ascii="Times New Roman" w:hAnsi="Times New Roman"/>
          <w:b/>
          <w:sz w:val="28"/>
          <w:szCs w:val="28"/>
        </w:rPr>
        <w:t xml:space="preserve"> –201</w:t>
      </w:r>
      <w:r w:rsidR="003F349C" w:rsidRPr="00263016">
        <w:rPr>
          <w:rFonts w:ascii="Times New Roman" w:hAnsi="Times New Roman"/>
          <w:b/>
          <w:sz w:val="28"/>
          <w:szCs w:val="28"/>
        </w:rPr>
        <w:t>8</w:t>
      </w:r>
      <w:r w:rsidRPr="00263016">
        <w:rPr>
          <w:rFonts w:ascii="Times New Roman" w:hAnsi="Times New Roman"/>
          <w:b/>
          <w:sz w:val="28"/>
          <w:szCs w:val="28"/>
        </w:rPr>
        <w:t>] (NATIONAL ASSEMBLY –  SECTION 76), DATED 14 MARCH 2018</w:t>
      </w:r>
    </w:p>
    <w:p w14:paraId="55B380EC" w14:textId="77777777" w:rsidR="00AC035C" w:rsidRPr="00263016" w:rsidRDefault="00AC035C" w:rsidP="00263016">
      <w:pPr>
        <w:spacing w:before="120" w:after="120" w:line="240" w:lineRule="auto"/>
        <w:jc w:val="both"/>
        <w:rPr>
          <w:rFonts w:ascii="Times New Roman" w:hAnsi="Times New Roman"/>
          <w:b/>
          <w:sz w:val="24"/>
          <w:szCs w:val="24"/>
          <w:highlight w:val="yellow"/>
        </w:rPr>
      </w:pPr>
    </w:p>
    <w:p w14:paraId="6265D132" w14:textId="77777777" w:rsidR="00AC035C" w:rsidRPr="00263016" w:rsidRDefault="00AC035C"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The Standing Committee on Appropriations (the Committee), having considered the </w:t>
      </w:r>
      <w:r w:rsidRPr="00263016">
        <w:rPr>
          <w:rFonts w:ascii="Times New Roman" w:hAnsi="Times New Roman"/>
          <w:b/>
          <w:bCs/>
          <w:i/>
          <w:iCs/>
          <w:sz w:val="24"/>
          <w:szCs w:val="24"/>
        </w:rPr>
        <w:t xml:space="preserve">Division of Revenue Bill </w:t>
      </w:r>
      <w:r w:rsidRPr="00263016">
        <w:rPr>
          <w:rFonts w:ascii="Times New Roman" w:hAnsi="Times New Roman"/>
          <w:b/>
          <w:bCs/>
          <w:iCs/>
          <w:sz w:val="24"/>
          <w:szCs w:val="24"/>
        </w:rPr>
        <w:t>[</w:t>
      </w:r>
      <w:r w:rsidRPr="00263016">
        <w:rPr>
          <w:rFonts w:ascii="Times New Roman" w:hAnsi="Times New Roman"/>
          <w:b/>
          <w:sz w:val="24"/>
          <w:szCs w:val="24"/>
        </w:rPr>
        <w:t>B2—2018]</w:t>
      </w:r>
      <w:r w:rsidRPr="00263016">
        <w:rPr>
          <w:rFonts w:ascii="Times New Roman" w:hAnsi="Times New Roman"/>
          <w:b/>
          <w:i/>
          <w:sz w:val="24"/>
          <w:szCs w:val="24"/>
        </w:rPr>
        <w:t xml:space="preserve"> </w:t>
      </w:r>
      <w:r w:rsidRPr="00263016">
        <w:rPr>
          <w:rFonts w:ascii="Times New Roman" w:hAnsi="Times New Roman"/>
          <w:sz w:val="24"/>
          <w:szCs w:val="24"/>
        </w:rPr>
        <w:t xml:space="preserve">(National Assembly), </w:t>
      </w:r>
      <w:r w:rsidR="00CC3213" w:rsidRPr="00263016">
        <w:rPr>
          <w:rFonts w:ascii="Times New Roman" w:hAnsi="Times New Roman"/>
          <w:sz w:val="24"/>
          <w:szCs w:val="24"/>
        </w:rPr>
        <w:t>referred to it on 7 March 2018</w:t>
      </w:r>
      <w:r w:rsidRPr="00263016">
        <w:rPr>
          <w:rFonts w:ascii="Times New Roman" w:hAnsi="Times New Roman"/>
          <w:sz w:val="24"/>
          <w:szCs w:val="24"/>
        </w:rPr>
        <w:t xml:space="preserve"> </w:t>
      </w:r>
      <w:r w:rsidR="001C0A1F" w:rsidRPr="00263016">
        <w:rPr>
          <w:rFonts w:ascii="Times New Roman" w:hAnsi="Times New Roman"/>
          <w:sz w:val="24"/>
          <w:szCs w:val="24"/>
        </w:rPr>
        <w:t>and tagged</w:t>
      </w:r>
      <w:r w:rsidRPr="00263016">
        <w:rPr>
          <w:rFonts w:ascii="Times New Roman" w:hAnsi="Times New Roman"/>
          <w:sz w:val="24"/>
          <w:szCs w:val="24"/>
        </w:rPr>
        <w:t xml:space="preserve"> as a section 76 Bill, reports as follows:</w:t>
      </w:r>
    </w:p>
    <w:p w14:paraId="771767D7" w14:textId="77777777" w:rsidR="00AC035C" w:rsidRPr="00263016" w:rsidRDefault="00AC035C" w:rsidP="00263016">
      <w:pPr>
        <w:spacing w:before="120" w:after="120" w:line="240" w:lineRule="auto"/>
        <w:jc w:val="both"/>
        <w:rPr>
          <w:rFonts w:ascii="Times New Roman" w:hAnsi="Times New Roman"/>
          <w:b/>
          <w:sz w:val="24"/>
          <w:szCs w:val="24"/>
          <w:highlight w:val="yellow"/>
        </w:rPr>
      </w:pPr>
    </w:p>
    <w:p w14:paraId="57F7ACE6" w14:textId="77777777" w:rsidR="00AC035C" w:rsidRPr="00263016" w:rsidRDefault="00AC035C" w:rsidP="00263016">
      <w:pPr>
        <w:numPr>
          <w:ilvl w:val="0"/>
          <w:numId w:val="1"/>
        </w:numPr>
        <w:tabs>
          <w:tab w:val="num" w:pos="540"/>
        </w:tabs>
        <w:spacing w:before="120" w:after="120" w:line="240" w:lineRule="auto"/>
        <w:ind w:left="360"/>
        <w:jc w:val="both"/>
        <w:rPr>
          <w:rFonts w:ascii="Times New Roman" w:hAnsi="Times New Roman"/>
          <w:b/>
          <w:sz w:val="24"/>
          <w:szCs w:val="24"/>
        </w:rPr>
      </w:pPr>
      <w:r w:rsidRPr="00263016">
        <w:rPr>
          <w:rFonts w:ascii="Times New Roman" w:hAnsi="Times New Roman"/>
          <w:b/>
          <w:sz w:val="24"/>
          <w:szCs w:val="24"/>
        </w:rPr>
        <w:t>Introduction</w:t>
      </w:r>
    </w:p>
    <w:p w14:paraId="53B0CEE4" w14:textId="77777777" w:rsidR="00AC035C" w:rsidRPr="00263016" w:rsidRDefault="00AC035C" w:rsidP="00263016">
      <w:pPr>
        <w:spacing w:before="120" w:after="120" w:line="240" w:lineRule="auto"/>
        <w:jc w:val="both"/>
        <w:rPr>
          <w:rFonts w:ascii="Times New Roman" w:hAnsi="Times New Roman"/>
          <w:sz w:val="24"/>
          <w:szCs w:val="24"/>
          <w:highlight w:val="yellow"/>
        </w:rPr>
      </w:pPr>
    </w:p>
    <w:p w14:paraId="40FDEAC7" w14:textId="77777777" w:rsidR="00AC035C" w:rsidRPr="00263016" w:rsidRDefault="00AC035C"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Section 214(1) of the Constitution, 1996 (the Constitution) requires that every year a Division of Revenue Act (DORA) determines the equitable division of nationally raised revenue among the three spheres of government. This is intended to foster transparency and ensure smooth intergovernmental relations. The Intergovernmental Fiscal Relations Act, No. 97 of 1997 prescribes the process for the determination of an equitable sharing and allocation of revenue </w:t>
      </w:r>
      <w:proofErr w:type="gramStart"/>
      <w:r w:rsidRPr="00263016">
        <w:rPr>
          <w:rFonts w:ascii="Times New Roman" w:hAnsi="Times New Roman"/>
          <w:sz w:val="24"/>
          <w:szCs w:val="24"/>
        </w:rPr>
        <w:t>raised</w:t>
      </w:r>
      <w:proofErr w:type="gramEnd"/>
      <w:r w:rsidRPr="00263016">
        <w:rPr>
          <w:rFonts w:ascii="Times New Roman" w:hAnsi="Times New Roman"/>
          <w:sz w:val="24"/>
          <w:szCs w:val="24"/>
        </w:rPr>
        <w:t xml:space="preserve"> nationally. Sections 9 and 10 (4) of this Act set out the consultation process to be followed with the Financial and Fiscal Commission (FFC), including the process of considering recommendations made with regard to the equitable division of nationally raised revenue.</w:t>
      </w:r>
    </w:p>
    <w:p w14:paraId="6824A7FC" w14:textId="77777777" w:rsidR="00AC035C" w:rsidRPr="00263016" w:rsidRDefault="00AC035C" w:rsidP="00263016">
      <w:pPr>
        <w:spacing w:before="120" w:after="120" w:line="240" w:lineRule="auto"/>
        <w:jc w:val="both"/>
        <w:rPr>
          <w:rFonts w:ascii="Times New Roman" w:hAnsi="Times New Roman"/>
          <w:sz w:val="24"/>
          <w:szCs w:val="24"/>
        </w:rPr>
      </w:pPr>
    </w:p>
    <w:p w14:paraId="614D6AA0" w14:textId="77777777" w:rsidR="00AC035C" w:rsidRPr="00263016" w:rsidRDefault="00AC035C"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In giving effect to section 73 of the Constitution, the Money Bills Amendment Procedures and Related Matters Act, No. 9 of 2009 (the Money Bills Act) was enacted. In line with section 7(1) and Section 7(3) of the Money Bills Act, the Minister of Finance tabled the 2018 National Budget including the 2018 Division of the Revenue Bill on 21 February 2018. The Bill was then referred to the Standing Committee on Appropriations (the Committee) in line with Section 9 (2) of the Money Bills Act. </w:t>
      </w:r>
    </w:p>
    <w:p w14:paraId="72007488" w14:textId="77777777" w:rsidR="00AC035C" w:rsidRPr="00263016" w:rsidRDefault="00AC035C" w:rsidP="00263016">
      <w:pPr>
        <w:spacing w:before="120" w:after="120" w:line="240" w:lineRule="auto"/>
        <w:jc w:val="both"/>
        <w:rPr>
          <w:rFonts w:ascii="Times New Roman" w:hAnsi="Times New Roman"/>
          <w:sz w:val="24"/>
          <w:szCs w:val="24"/>
        </w:rPr>
      </w:pPr>
    </w:p>
    <w:p w14:paraId="168381A4" w14:textId="77777777" w:rsidR="00AC035C" w:rsidRPr="00263016" w:rsidRDefault="00AC035C" w:rsidP="00263016">
      <w:pPr>
        <w:shd w:val="clear" w:color="auto" w:fill="FFFFFF"/>
        <w:spacing w:before="120" w:after="120" w:line="240" w:lineRule="auto"/>
        <w:contextualSpacing/>
        <w:jc w:val="both"/>
        <w:rPr>
          <w:rFonts w:ascii="Times New Roman" w:hAnsi="Times New Roman"/>
          <w:sz w:val="24"/>
          <w:szCs w:val="24"/>
          <w:lang w:eastAsia="en-ZA"/>
        </w:rPr>
      </w:pPr>
      <w:r w:rsidRPr="00263016">
        <w:rPr>
          <w:rFonts w:ascii="Times New Roman" w:hAnsi="Times New Roman"/>
          <w:sz w:val="24"/>
          <w:szCs w:val="24"/>
        </w:rPr>
        <w:t>The Committee received a briefing on the Bill from the National Treasury and also had engagements with the Financial and Fiscal Commission (FFC), and the South African Local Government Association (SALGA). I</w:t>
      </w:r>
      <w:r w:rsidR="007C186C" w:rsidRPr="00263016">
        <w:rPr>
          <w:rFonts w:ascii="Times New Roman" w:hAnsi="Times New Roman"/>
          <w:sz w:val="24"/>
          <w:szCs w:val="24"/>
          <w:lang w:eastAsia="en-ZA"/>
        </w:rPr>
        <w:t>n line with s</w:t>
      </w:r>
      <w:r w:rsidRPr="00263016">
        <w:rPr>
          <w:rFonts w:ascii="Times New Roman" w:hAnsi="Times New Roman"/>
          <w:sz w:val="24"/>
          <w:szCs w:val="24"/>
          <w:lang w:eastAsia="en-ZA"/>
        </w:rPr>
        <w:t xml:space="preserve">ection 9 (5) (b) of the Money Bills Act, the Committee has a responsibility to hold public hearings on the Division of Revenue Bill. To this end, adverts calling for public submissions on the Bill were published in </w:t>
      </w:r>
      <w:r w:rsidR="007C186C" w:rsidRPr="00263016">
        <w:rPr>
          <w:rFonts w:ascii="Times New Roman" w:hAnsi="Times New Roman"/>
          <w:sz w:val="24"/>
          <w:szCs w:val="24"/>
          <w:lang w:eastAsia="en-ZA"/>
        </w:rPr>
        <w:t xml:space="preserve">both national and local </w:t>
      </w:r>
      <w:r w:rsidRPr="00263016">
        <w:rPr>
          <w:rFonts w:ascii="Times New Roman" w:hAnsi="Times New Roman"/>
          <w:sz w:val="24"/>
          <w:szCs w:val="24"/>
          <w:lang w:eastAsia="en-ZA"/>
        </w:rPr>
        <w:t>print media</w:t>
      </w:r>
      <w:r w:rsidR="007C186C" w:rsidRPr="00263016">
        <w:rPr>
          <w:rFonts w:ascii="Times New Roman" w:hAnsi="Times New Roman"/>
          <w:sz w:val="24"/>
          <w:szCs w:val="24"/>
          <w:lang w:eastAsia="en-ZA"/>
        </w:rPr>
        <w:t>.</w:t>
      </w:r>
      <w:r w:rsidRPr="00263016">
        <w:rPr>
          <w:rFonts w:ascii="Times New Roman" w:hAnsi="Times New Roman"/>
          <w:sz w:val="24"/>
          <w:szCs w:val="24"/>
          <w:lang w:eastAsia="en-ZA"/>
        </w:rPr>
        <w:t xml:space="preserve"> </w:t>
      </w:r>
      <w:r w:rsidR="007C186C" w:rsidRPr="00263016">
        <w:rPr>
          <w:rFonts w:ascii="Times New Roman" w:hAnsi="Times New Roman"/>
          <w:sz w:val="24"/>
          <w:szCs w:val="24"/>
          <w:lang w:eastAsia="en-ZA"/>
        </w:rPr>
        <w:t>R</w:t>
      </w:r>
      <w:r w:rsidRPr="00263016">
        <w:rPr>
          <w:rFonts w:ascii="Times New Roman" w:hAnsi="Times New Roman"/>
          <w:sz w:val="24"/>
          <w:szCs w:val="24"/>
          <w:lang w:eastAsia="en-ZA"/>
        </w:rPr>
        <w:t xml:space="preserve">adio announcements were </w:t>
      </w:r>
      <w:r w:rsidR="007C186C" w:rsidRPr="00263016">
        <w:rPr>
          <w:rFonts w:ascii="Times New Roman" w:hAnsi="Times New Roman"/>
          <w:sz w:val="24"/>
          <w:szCs w:val="24"/>
          <w:lang w:eastAsia="en-ZA"/>
        </w:rPr>
        <w:t xml:space="preserve">also </w:t>
      </w:r>
      <w:r w:rsidRPr="00263016">
        <w:rPr>
          <w:rFonts w:ascii="Times New Roman" w:hAnsi="Times New Roman"/>
          <w:sz w:val="24"/>
          <w:szCs w:val="24"/>
          <w:lang w:eastAsia="en-ZA"/>
        </w:rPr>
        <w:t>made in national and local radio stations. The Committee also sent out invitations to interested parties which have made submissions to the Committee before. Submissions from the following organisations or interest groups were received:</w:t>
      </w:r>
    </w:p>
    <w:p w14:paraId="4E112A59" w14:textId="77777777" w:rsidR="00AC035C" w:rsidRPr="00263016" w:rsidRDefault="00B21659" w:rsidP="00263016">
      <w:pPr>
        <w:pStyle w:val="ListParagraph"/>
        <w:numPr>
          <w:ilvl w:val="0"/>
          <w:numId w:val="7"/>
        </w:numPr>
        <w:shd w:val="clear" w:color="auto" w:fill="FFFFFF"/>
        <w:spacing w:before="120" w:after="120" w:line="240" w:lineRule="auto"/>
        <w:jc w:val="both"/>
        <w:rPr>
          <w:rFonts w:ascii="Times New Roman" w:hAnsi="Times New Roman"/>
          <w:sz w:val="24"/>
          <w:szCs w:val="24"/>
          <w:lang w:eastAsia="en-ZA"/>
        </w:rPr>
      </w:pPr>
      <w:r w:rsidRPr="00263016">
        <w:rPr>
          <w:rFonts w:ascii="Times New Roman" w:hAnsi="Times New Roman"/>
          <w:sz w:val="24"/>
          <w:szCs w:val="24"/>
          <w:lang w:eastAsia="en-ZA"/>
        </w:rPr>
        <w:t>South African Institute of Professional Accountants</w:t>
      </w:r>
      <w:r w:rsidR="00AC035C" w:rsidRPr="00263016">
        <w:rPr>
          <w:rFonts w:ascii="Times New Roman" w:hAnsi="Times New Roman"/>
          <w:sz w:val="24"/>
          <w:szCs w:val="24"/>
          <w:lang w:eastAsia="en-ZA"/>
        </w:rPr>
        <w:t>; and</w:t>
      </w:r>
    </w:p>
    <w:p w14:paraId="039273E6" w14:textId="77777777" w:rsidR="00AC035C" w:rsidRPr="00263016" w:rsidRDefault="000A365D" w:rsidP="00263016">
      <w:pPr>
        <w:pStyle w:val="ListParagraph"/>
        <w:numPr>
          <w:ilvl w:val="0"/>
          <w:numId w:val="7"/>
        </w:numPr>
        <w:shd w:val="clear" w:color="auto" w:fill="FFFFFF"/>
        <w:spacing w:before="120" w:after="120" w:line="240" w:lineRule="auto"/>
        <w:jc w:val="both"/>
        <w:rPr>
          <w:rFonts w:ascii="Times New Roman" w:hAnsi="Times New Roman"/>
          <w:sz w:val="24"/>
          <w:szCs w:val="24"/>
        </w:rPr>
      </w:pPr>
      <w:r w:rsidRPr="00263016">
        <w:rPr>
          <w:rFonts w:ascii="Times New Roman" w:hAnsi="Times New Roman"/>
          <w:sz w:val="24"/>
          <w:szCs w:val="24"/>
        </w:rPr>
        <w:t>Equal Education</w:t>
      </w:r>
      <w:r w:rsidR="007C186C" w:rsidRPr="00263016">
        <w:rPr>
          <w:rFonts w:ascii="Times New Roman" w:hAnsi="Times New Roman"/>
          <w:sz w:val="24"/>
          <w:szCs w:val="24"/>
        </w:rPr>
        <w:t>.</w:t>
      </w:r>
    </w:p>
    <w:p w14:paraId="2474F0AF" w14:textId="77777777" w:rsidR="00953446" w:rsidRPr="00263016" w:rsidRDefault="00953446"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The Committee also had meetings to assess the implementation challenges of learner transport in South Africa with the Human Scien</w:t>
      </w:r>
      <w:r w:rsidR="0004290C" w:rsidRPr="00263016">
        <w:rPr>
          <w:rFonts w:ascii="Times New Roman" w:hAnsi="Times New Roman"/>
          <w:sz w:val="24"/>
          <w:szCs w:val="24"/>
        </w:rPr>
        <w:t xml:space="preserve">ces Research Council, Equal Education, Department </w:t>
      </w:r>
      <w:r w:rsidRPr="00263016">
        <w:rPr>
          <w:rFonts w:ascii="Times New Roman" w:hAnsi="Times New Roman"/>
          <w:sz w:val="24"/>
          <w:szCs w:val="24"/>
        </w:rPr>
        <w:t xml:space="preserve">of Basic Education, </w:t>
      </w:r>
      <w:r w:rsidR="0004290C" w:rsidRPr="00263016">
        <w:rPr>
          <w:rFonts w:ascii="Times New Roman" w:hAnsi="Times New Roman"/>
          <w:sz w:val="24"/>
          <w:szCs w:val="24"/>
        </w:rPr>
        <w:t xml:space="preserve">Department of </w:t>
      </w:r>
      <w:r w:rsidRPr="00263016">
        <w:rPr>
          <w:rFonts w:ascii="Times New Roman" w:hAnsi="Times New Roman"/>
          <w:sz w:val="24"/>
          <w:szCs w:val="24"/>
        </w:rPr>
        <w:t xml:space="preserve">Transport and National Treasury. </w:t>
      </w:r>
      <w:r w:rsidR="00454312" w:rsidRPr="00263016">
        <w:rPr>
          <w:rFonts w:ascii="Times New Roman" w:hAnsi="Times New Roman"/>
          <w:sz w:val="24"/>
          <w:szCs w:val="24"/>
        </w:rPr>
        <w:t xml:space="preserve">The Western Cape Forum for Intellectual Disability, the </w:t>
      </w:r>
      <w:proofErr w:type="spellStart"/>
      <w:r w:rsidR="00454312" w:rsidRPr="00263016">
        <w:rPr>
          <w:rFonts w:ascii="Times New Roman" w:hAnsi="Times New Roman"/>
          <w:sz w:val="24"/>
          <w:szCs w:val="24"/>
        </w:rPr>
        <w:t>Carel</w:t>
      </w:r>
      <w:proofErr w:type="spellEnd"/>
      <w:r w:rsidR="00454312" w:rsidRPr="00263016">
        <w:rPr>
          <w:rFonts w:ascii="Times New Roman" w:hAnsi="Times New Roman"/>
          <w:sz w:val="24"/>
          <w:szCs w:val="24"/>
        </w:rPr>
        <w:t xml:space="preserve"> du </w:t>
      </w:r>
      <w:proofErr w:type="spellStart"/>
      <w:r w:rsidR="00454312" w:rsidRPr="00263016">
        <w:rPr>
          <w:rFonts w:ascii="Times New Roman" w:hAnsi="Times New Roman"/>
          <w:sz w:val="24"/>
          <w:szCs w:val="24"/>
        </w:rPr>
        <w:t>Toit</w:t>
      </w:r>
      <w:proofErr w:type="spellEnd"/>
      <w:r w:rsidR="00454312" w:rsidRPr="00263016">
        <w:rPr>
          <w:rFonts w:ascii="Times New Roman" w:hAnsi="Times New Roman"/>
          <w:sz w:val="24"/>
          <w:szCs w:val="24"/>
        </w:rPr>
        <w:t xml:space="preserve"> Centre </w:t>
      </w:r>
      <w:r w:rsidR="00CF25CD" w:rsidRPr="00263016">
        <w:rPr>
          <w:rFonts w:ascii="Times New Roman" w:hAnsi="Times New Roman"/>
          <w:sz w:val="24"/>
          <w:szCs w:val="24"/>
        </w:rPr>
        <w:t xml:space="preserve">and </w:t>
      </w:r>
      <w:proofErr w:type="spellStart"/>
      <w:r w:rsidR="00CF25CD" w:rsidRPr="00263016">
        <w:rPr>
          <w:rFonts w:ascii="Times New Roman" w:hAnsi="Times New Roman"/>
          <w:sz w:val="24"/>
          <w:szCs w:val="24"/>
        </w:rPr>
        <w:t>Zodwa</w:t>
      </w:r>
      <w:proofErr w:type="spellEnd"/>
      <w:r w:rsidR="00CF25CD" w:rsidRPr="00263016">
        <w:rPr>
          <w:rFonts w:ascii="Times New Roman" w:hAnsi="Times New Roman"/>
          <w:sz w:val="24"/>
          <w:szCs w:val="24"/>
        </w:rPr>
        <w:t xml:space="preserve"> </w:t>
      </w:r>
      <w:proofErr w:type="spellStart"/>
      <w:r w:rsidR="00CF25CD" w:rsidRPr="00263016">
        <w:rPr>
          <w:rFonts w:ascii="Times New Roman" w:hAnsi="Times New Roman"/>
          <w:sz w:val="24"/>
          <w:szCs w:val="24"/>
        </w:rPr>
        <w:t>Mthembu</w:t>
      </w:r>
      <w:proofErr w:type="spellEnd"/>
      <w:r w:rsidR="00CF25CD" w:rsidRPr="00263016">
        <w:rPr>
          <w:rFonts w:ascii="Times New Roman" w:hAnsi="Times New Roman"/>
          <w:sz w:val="24"/>
          <w:szCs w:val="24"/>
        </w:rPr>
        <w:t xml:space="preserve"> </w:t>
      </w:r>
      <w:r w:rsidR="00454312" w:rsidRPr="00263016">
        <w:rPr>
          <w:rFonts w:ascii="Times New Roman" w:hAnsi="Times New Roman"/>
          <w:sz w:val="24"/>
          <w:szCs w:val="24"/>
        </w:rPr>
        <w:t>made s</w:t>
      </w:r>
      <w:r w:rsidR="00496B65" w:rsidRPr="00263016">
        <w:rPr>
          <w:rFonts w:ascii="Times New Roman" w:hAnsi="Times New Roman"/>
          <w:sz w:val="24"/>
          <w:szCs w:val="24"/>
        </w:rPr>
        <w:t xml:space="preserve">ubmissions in </w:t>
      </w:r>
      <w:r w:rsidR="00496B65" w:rsidRPr="00263016">
        <w:rPr>
          <w:rFonts w:ascii="Times New Roman" w:hAnsi="Times New Roman"/>
          <w:sz w:val="24"/>
          <w:szCs w:val="24"/>
        </w:rPr>
        <w:lastRenderedPageBreak/>
        <w:t>r</w:t>
      </w:r>
      <w:r w:rsidR="00454312" w:rsidRPr="00263016">
        <w:rPr>
          <w:rFonts w:ascii="Times New Roman" w:hAnsi="Times New Roman"/>
          <w:sz w:val="24"/>
          <w:szCs w:val="24"/>
        </w:rPr>
        <w:t xml:space="preserve">espect of the learner transport. </w:t>
      </w:r>
      <w:r w:rsidRPr="00263016">
        <w:rPr>
          <w:rFonts w:ascii="Times New Roman" w:hAnsi="Times New Roman"/>
          <w:sz w:val="24"/>
          <w:szCs w:val="24"/>
        </w:rPr>
        <w:t xml:space="preserve">The main findings from the said meetings which were held on 28 February 2018 and 7 March 2018 will also be incorporated into the report. </w:t>
      </w:r>
    </w:p>
    <w:p w14:paraId="354230E8" w14:textId="77777777" w:rsidR="00AC035C" w:rsidRPr="00263016" w:rsidRDefault="00AC035C" w:rsidP="00263016">
      <w:pPr>
        <w:pStyle w:val="ListParagraph"/>
        <w:numPr>
          <w:ilvl w:val="0"/>
          <w:numId w:val="1"/>
        </w:numPr>
        <w:spacing w:before="120" w:after="120" w:line="240" w:lineRule="auto"/>
        <w:ind w:hanging="720"/>
        <w:rPr>
          <w:rFonts w:ascii="Times New Roman" w:hAnsi="Times New Roman"/>
          <w:b/>
          <w:sz w:val="24"/>
          <w:szCs w:val="24"/>
          <w:lang w:val="en-GB"/>
        </w:rPr>
      </w:pPr>
      <w:r w:rsidRPr="00263016">
        <w:rPr>
          <w:rFonts w:ascii="Times New Roman" w:hAnsi="Times New Roman"/>
          <w:b/>
          <w:sz w:val="24"/>
          <w:szCs w:val="24"/>
          <w:lang w:val="en-GB"/>
        </w:rPr>
        <w:t>Allocations of the Division of Revenue Bill for the 2018 Medium Term Expenditure Framework</w:t>
      </w:r>
    </w:p>
    <w:p w14:paraId="475B0B1F" w14:textId="77777777" w:rsidR="005D5677" w:rsidRPr="00263016" w:rsidRDefault="005D5677" w:rsidP="00263016">
      <w:pPr>
        <w:spacing w:before="120" w:after="120" w:line="240" w:lineRule="auto"/>
        <w:jc w:val="both"/>
        <w:rPr>
          <w:rFonts w:ascii="Times New Roman" w:hAnsi="Times New Roman"/>
          <w:sz w:val="24"/>
          <w:szCs w:val="24"/>
        </w:rPr>
      </w:pPr>
    </w:p>
    <w:p w14:paraId="0AC6921C" w14:textId="77777777" w:rsidR="00AC035C" w:rsidRPr="00263016" w:rsidRDefault="006156FC"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The 2018</w:t>
      </w:r>
      <w:r w:rsidR="00AC035C" w:rsidRPr="00263016">
        <w:rPr>
          <w:rFonts w:ascii="Times New Roman" w:hAnsi="Times New Roman"/>
          <w:sz w:val="24"/>
          <w:szCs w:val="24"/>
        </w:rPr>
        <w:t xml:space="preserve"> Budget proposals seek to maintain a balance between </w:t>
      </w:r>
      <w:proofErr w:type="gramStart"/>
      <w:r w:rsidR="00AC035C" w:rsidRPr="00263016">
        <w:rPr>
          <w:rFonts w:ascii="Times New Roman" w:hAnsi="Times New Roman"/>
          <w:sz w:val="24"/>
          <w:szCs w:val="24"/>
        </w:rPr>
        <w:t>government’s</w:t>
      </w:r>
      <w:proofErr w:type="gramEnd"/>
      <w:r w:rsidR="00AC035C" w:rsidRPr="00263016">
        <w:rPr>
          <w:rFonts w:ascii="Times New Roman" w:hAnsi="Times New Roman"/>
          <w:sz w:val="24"/>
          <w:szCs w:val="24"/>
        </w:rPr>
        <w:t xml:space="preserve"> spending commitments, particularly in higher education, health and social protection, and ensuring the long-term health of the public finances. </w:t>
      </w:r>
      <w:r w:rsidR="00AC035C" w:rsidRPr="00263016">
        <w:rPr>
          <w:rFonts w:ascii="Times New Roman" w:hAnsi="Times New Roman"/>
          <w:sz w:val="24"/>
          <w:szCs w:val="24"/>
          <w:lang w:val="en-US"/>
        </w:rPr>
        <w:t xml:space="preserve">These measures are aimed at contributing to the vision of the National Development Plan (NDP). </w:t>
      </w:r>
      <w:r w:rsidR="00AC035C" w:rsidRPr="00263016">
        <w:rPr>
          <w:rFonts w:ascii="Times New Roman" w:hAnsi="Times New Roman"/>
          <w:sz w:val="24"/>
          <w:szCs w:val="24"/>
        </w:rPr>
        <w:t xml:space="preserve">South Africa’s development objectives, expressed in the </w:t>
      </w:r>
      <w:r w:rsidR="00511BD7" w:rsidRPr="00263016">
        <w:rPr>
          <w:rFonts w:ascii="Times New Roman" w:hAnsi="Times New Roman"/>
          <w:sz w:val="24"/>
          <w:szCs w:val="24"/>
        </w:rPr>
        <w:t>NDP</w:t>
      </w:r>
      <w:r w:rsidR="00AC035C" w:rsidRPr="00263016">
        <w:rPr>
          <w:rFonts w:ascii="Times New Roman" w:hAnsi="Times New Roman"/>
          <w:sz w:val="24"/>
          <w:szCs w:val="24"/>
        </w:rPr>
        <w:t>, rely on achieving higher economic growth and using public resources effectively.</w:t>
      </w:r>
    </w:p>
    <w:p w14:paraId="7EDFFA95" w14:textId="77777777" w:rsidR="00AC035C" w:rsidRPr="00263016" w:rsidRDefault="00AC035C" w:rsidP="00263016">
      <w:pPr>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The Budget proposals indicate that Gross Domestic Product</w:t>
      </w:r>
      <w:r w:rsidR="00151BBB" w:rsidRPr="00263016">
        <w:rPr>
          <w:rFonts w:ascii="Times New Roman" w:hAnsi="Times New Roman"/>
          <w:sz w:val="24"/>
          <w:szCs w:val="24"/>
          <w:lang w:val="en-US"/>
        </w:rPr>
        <w:t xml:space="preserve"> is forecast to grow by</w:t>
      </w:r>
      <w:r w:rsidRPr="00263016">
        <w:rPr>
          <w:rFonts w:ascii="Times New Roman" w:hAnsi="Times New Roman"/>
          <w:sz w:val="24"/>
          <w:szCs w:val="24"/>
          <w:lang w:val="en-US"/>
        </w:rPr>
        <w:t xml:space="preserve"> </w:t>
      </w:r>
      <w:r w:rsidR="00151BBB" w:rsidRPr="00263016">
        <w:rPr>
          <w:rFonts w:ascii="Times New Roman" w:hAnsi="Times New Roman"/>
          <w:sz w:val="24"/>
          <w:szCs w:val="24"/>
          <w:lang w:val="en-US"/>
        </w:rPr>
        <w:t>1.5 per cent in 2018, 1.8 per cent in 2019 and 2.1 percent in 2020 largely due to an expected increase in private investment as a result of improved business and consumer confidence. The Budget proposals indicate that the main risks to the fiscal outlook are uncertainty in the growth forecast, contingent liabilities of state-owned companies and the public-service compensation budget. In addition, drought in several provinces poses significant risks to agriculture and tourism that could result in job losses.</w:t>
      </w:r>
    </w:p>
    <w:p w14:paraId="719D3218" w14:textId="77777777" w:rsidR="006D464E" w:rsidRPr="00263016" w:rsidRDefault="00FA7FFD" w:rsidP="00263016">
      <w:pPr>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In 2018/19, for example, government will spend more on interest payments than on transfers to local government. The budget documents show that s</w:t>
      </w:r>
      <w:r w:rsidR="006D464E" w:rsidRPr="00263016">
        <w:rPr>
          <w:rFonts w:ascii="Times New Roman" w:hAnsi="Times New Roman"/>
          <w:sz w:val="24"/>
          <w:szCs w:val="24"/>
          <w:lang w:val="en-US"/>
        </w:rPr>
        <w:t>ince 2011/12, interest payments have grown faster than allocations to national, provincial or local government, crowding out space for increasing productive expenditure. On current trends, by 2020/21, government is expected to spend 12.2 per cent of available revenue on servicing debt.</w:t>
      </w:r>
    </w:p>
    <w:p w14:paraId="3697A83F" w14:textId="77777777" w:rsidR="009C2F85" w:rsidRPr="00263016" w:rsidRDefault="00321CDE" w:rsidP="00263016">
      <w:pPr>
        <w:autoSpaceDE w:val="0"/>
        <w:autoSpaceDN w:val="0"/>
        <w:adjustRightInd w:val="0"/>
        <w:spacing w:before="120" w:after="120" w:line="240" w:lineRule="auto"/>
        <w:jc w:val="both"/>
        <w:rPr>
          <w:rFonts w:ascii="Times New Roman" w:hAnsi="Times New Roman"/>
          <w:color w:val="000000"/>
          <w:spacing w:val="6"/>
          <w:sz w:val="24"/>
          <w:szCs w:val="24"/>
        </w:rPr>
      </w:pPr>
      <w:r w:rsidRPr="00263016">
        <w:rPr>
          <w:rFonts w:ascii="Times New Roman" w:hAnsi="Times New Roman"/>
          <w:color w:val="000000"/>
          <w:spacing w:val="6"/>
          <w:sz w:val="24"/>
          <w:szCs w:val="24"/>
        </w:rPr>
        <w:t xml:space="preserve">The </w:t>
      </w:r>
      <w:r w:rsidR="009C2F85" w:rsidRPr="00263016">
        <w:rPr>
          <w:rFonts w:ascii="Times New Roman" w:hAnsi="Times New Roman"/>
          <w:color w:val="000000"/>
          <w:spacing w:val="6"/>
          <w:sz w:val="24"/>
          <w:szCs w:val="24"/>
        </w:rPr>
        <w:t xml:space="preserve">Committee notes that </w:t>
      </w:r>
      <w:r w:rsidRPr="00263016">
        <w:rPr>
          <w:rFonts w:ascii="Times New Roman" w:hAnsi="Times New Roman"/>
          <w:color w:val="000000"/>
          <w:spacing w:val="6"/>
          <w:sz w:val="24"/>
          <w:szCs w:val="24"/>
        </w:rPr>
        <w:t>2018</w:t>
      </w:r>
      <w:r w:rsidR="00AC035C" w:rsidRPr="00263016">
        <w:rPr>
          <w:rFonts w:ascii="Times New Roman" w:hAnsi="Times New Roman"/>
          <w:color w:val="000000"/>
          <w:spacing w:val="6"/>
          <w:sz w:val="24"/>
          <w:szCs w:val="24"/>
        </w:rPr>
        <w:t xml:space="preserve"> budget </w:t>
      </w:r>
      <w:r w:rsidR="009C2F85" w:rsidRPr="00263016">
        <w:rPr>
          <w:rFonts w:ascii="Times New Roman" w:hAnsi="Times New Roman"/>
          <w:color w:val="000000"/>
          <w:spacing w:val="6"/>
          <w:sz w:val="24"/>
          <w:szCs w:val="24"/>
        </w:rPr>
        <w:t xml:space="preserve">proposals include medium-term spending cuts amounting to R85 billion.  The budget documents indicate that R53 </w:t>
      </w:r>
      <w:proofErr w:type="spellStart"/>
      <w:r w:rsidR="009C2F85" w:rsidRPr="00263016">
        <w:rPr>
          <w:rFonts w:ascii="Times New Roman" w:hAnsi="Times New Roman"/>
          <w:color w:val="000000"/>
          <w:spacing w:val="6"/>
          <w:sz w:val="24"/>
          <w:szCs w:val="24"/>
        </w:rPr>
        <w:t>billion</w:t>
      </w:r>
      <w:proofErr w:type="spellEnd"/>
      <w:r w:rsidR="009C2F85" w:rsidRPr="00263016">
        <w:rPr>
          <w:rFonts w:ascii="Times New Roman" w:hAnsi="Times New Roman"/>
          <w:color w:val="000000"/>
          <w:spacing w:val="6"/>
          <w:sz w:val="24"/>
          <w:szCs w:val="24"/>
        </w:rPr>
        <w:t xml:space="preserve"> of this amount has been cut at national government level while conditional infrastructure grants of provincial and local government have been reduced by R28 billion. In addition, all national and provincial departments are required to reduce their spending on administration and adhere to compensation of </w:t>
      </w:r>
      <w:proofErr w:type="gramStart"/>
      <w:r w:rsidR="009C2F85" w:rsidRPr="00263016">
        <w:rPr>
          <w:rFonts w:ascii="Times New Roman" w:hAnsi="Times New Roman"/>
          <w:color w:val="000000"/>
          <w:spacing w:val="6"/>
          <w:sz w:val="24"/>
          <w:szCs w:val="24"/>
        </w:rPr>
        <w:t>employees</w:t>
      </w:r>
      <w:proofErr w:type="gramEnd"/>
      <w:r w:rsidR="009C2F85" w:rsidRPr="00263016">
        <w:rPr>
          <w:rFonts w:ascii="Times New Roman" w:hAnsi="Times New Roman"/>
          <w:color w:val="000000"/>
          <w:spacing w:val="6"/>
          <w:sz w:val="24"/>
          <w:szCs w:val="24"/>
        </w:rPr>
        <w:t xml:space="preserve"> budget ceilings. </w:t>
      </w:r>
    </w:p>
    <w:p w14:paraId="731E5785" w14:textId="77777777" w:rsidR="006802A9" w:rsidRPr="00263016" w:rsidRDefault="00EA2998" w:rsidP="00263016">
      <w:pPr>
        <w:autoSpaceDE w:val="0"/>
        <w:autoSpaceDN w:val="0"/>
        <w:adjustRightInd w:val="0"/>
        <w:spacing w:before="120" w:after="120" w:line="240" w:lineRule="auto"/>
        <w:jc w:val="both"/>
        <w:rPr>
          <w:rFonts w:ascii="Times New Roman" w:hAnsi="Times New Roman"/>
          <w:color w:val="000000"/>
          <w:spacing w:val="6"/>
          <w:sz w:val="24"/>
          <w:szCs w:val="24"/>
        </w:rPr>
      </w:pPr>
      <w:r w:rsidRPr="00263016">
        <w:rPr>
          <w:rFonts w:ascii="Times New Roman" w:hAnsi="Times New Roman"/>
          <w:color w:val="000000"/>
          <w:spacing w:val="6"/>
          <w:sz w:val="24"/>
          <w:szCs w:val="24"/>
        </w:rPr>
        <w:t xml:space="preserve">The Budget proposals indicate that budget reductions have been applied to programmes that underspent in previous financial years. In addition, even after the baseline reductions, allocations to these programmes continue to grow in real terms over the medium term. </w:t>
      </w:r>
    </w:p>
    <w:p w14:paraId="6E1072F6" w14:textId="77777777" w:rsidR="00AC035C" w:rsidRPr="00263016" w:rsidRDefault="009C2F85" w:rsidP="00263016">
      <w:pPr>
        <w:autoSpaceDE w:val="0"/>
        <w:autoSpaceDN w:val="0"/>
        <w:adjustRightInd w:val="0"/>
        <w:spacing w:before="120" w:after="120" w:line="240" w:lineRule="auto"/>
        <w:jc w:val="both"/>
        <w:rPr>
          <w:rFonts w:ascii="Times New Roman" w:hAnsi="Times New Roman"/>
          <w:color w:val="000000"/>
          <w:spacing w:val="6"/>
          <w:sz w:val="24"/>
          <w:szCs w:val="24"/>
        </w:rPr>
      </w:pPr>
      <w:r w:rsidRPr="00263016">
        <w:rPr>
          <w:rFonts w:ascii="Times New Roman" w:hAnsi="Times New Roman"/>
          <w:color w:val="000000"/>
          <w:spacing w:val="6"/>
          <w:sz w:val="24"/>
          <w:szCs w:val="24"/>
        </w:rPr>
        <w:t xml:space="preserve">The following are </w:t>
      </w:r>
      <w:r w:rsidR="00EA2998" w:rsidRPr="00263016">
        <w:rPr>
          <w:rFonts w:ascii="Times New Roman" w:hAnsi="Times New Roman"/>
          <w:color w:val="000000"/>
          <w:spacing w:val="6"/>
          <w:sz w:val="24"/>
          <w:szCs w:val="24"/>
        </w:rPr>
        <w:t xml:space="preserve">some of the </w:t>
      </w:r>
      <w:r w:rsidRPr="00263016">
        <w:rPr>
          <w:rFonts w:ascii="Times New Roman" w:hAnsi="Times New Roman"/>
          <w:color w:val="000000"/>
          <w:spacing w:val="6"/>
          <w:sz w:val="24"/>
          <w:szCs w:val="24"/>
        </w:rPr>
        <w:t xml:space="preserve">major revisions to the expenditure framework: </w:t>
      </w:r>
    </w:p>
    <w:p w14:paraId="08174C12" w14:textId="77777777" w:rsidR="009C2F85" w:rsidRPr="00263016" w:rsidRDefault="009C2F85"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Allocations to fee-free higher education and training for poor and working-class students amount to R12.4 billion in 2018/19, R20.3 billion in 2019/20 and R24.3 billion in 2020/21. </w:t>
      </w:r>
    </w:p>
    <w:p w14:paraId="00CDF608" w14:textId="77777777" w:rsidR="009C2F85" w:rsidRPr="00263016" w:rsidRDefault="009C2F85"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An additional amount of R2.6 billion to enable an above-inflation increase to social grants to partially offset the impact of tax increases on the poor.</w:t>
      </w:r>
    </w:p>
    <w:p w14:paraId="786439D0" w14:textId="77777777" w:rsidR="009C2F85" w:rsidRPr="00263016" w:rsidRDefault="009C2F85"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A provisional allocation of R6 billion set aside in 2018/19 for drought relief in several provinces, assistance to the water sector, and public investment projects supported by improved infrastructure planning.</w:t>
      </w:r>
    </w:p>
    <w:p w14:paraId="380AE783" w14:textId="77777777" w:rsidR="009C2F85" w:rsidRPr="00263016" w:rsidRDefault="009C2F85"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Additions of R5 billion in 2018/19, R3 billion in 2019/20 and R2 billion in 2020/21 for fiscal risks and unforeseen developments, bringing the total contingency reserve to R26 billion over the medium term</w:t>
      </w:r>
      <w:r w:rsidR="005D5677" w:rsidRPr="00263016">
        <w:rPr>
          <w:rFonts w:ascii="Times New Roman" w:hAnsi="Times New Roman"/>
          <w:sz w:val="24"/>
          <w:szCs w:val="24"/>
        </w:rPr>
        <w:t>.</w:t>
      </w:r>
    </w:p>
    <w:p w14:paraId="156050DA" w14:textId="77777777" w:rsidR="00AC035C" w:rsidRPr="00263016" w:rsidRDefault="00AC035C" w:rsidP="00263016">
      <w:pPr>
        <w:autoSpaceDE w:val="0"/>
        <w:autoSpaceDN w:val="0"/>
        <w:adjustRightInd w:val="0"/>
        <w:spacing w:before="120" w:after="120" w:line="240" w:lineRule="auto"/>
        <w:jc w:val="both"/>
        <w:rPr>
          <w:rFonts w:ascii="Times New Roman" w:hAnsi="Times New Roman"/>
          <w:color w:val="000000"/>
          <w:spacing w:val="6"/>
          <w:sz w:val="24"/>
          <w:szCs w:val="24"/>
        </w:rPr>
      </w:pPr>
      <w:r w:rsidRPr="00263016">
        <w:rPr>
          <w:rFonts w:ascii="Times New Roman" w:hAnsi="Times New Roman"/>
          <w:color w:val="000000"/>
          <w:spacing w:val="6"/>
          <w:sz w:val="24"/>
          <w:szCs w:val="24"/>
        </w:rPr>
        <w:lastRenderedPageBreak/>
        <w:t xml:space="preserve">The Constitution sets out specific criteria for the sharing of nationally raised revenue between national, provincial and local spheres of government. The constitutional principles taken into account when deciding on the Division of Revenue include the national interest, provision of debt costs, national government’s needs and interest, provincial and local government basic services, fiscal capacity and efficiency, developmental needs, economic disparities, obligations in terms of national legislation, predictability and stability; and flexibility in terms of responding to emergencies. </w:t>
      </w:r>
    </w:p>
    <w:p w14:paraId="2B0A80E1" w14:textId="77777777" w:rsidR="00953446" w:rsidRPr="00263016" w:rsidRDefault="00AC035C" w:rsidP="00263016">
      <w:pPr>
        <w:autoSpaceDE w:val="0"/>
        <w:autoSpaceDN w:val="0"/>
        <w:adjustRightInd w:val="0"/>
        <w:spacing w:before="120" w:after="120" w:line="240" w:lineRule="auto"/>
        <w:jc w:val="both"/>
        <w:rPr>
          <w:rFonts w:ascii="Times New Roman" w:hAnsi="Times New Roman"/>
          <w:b/>
          <w:color w:val="000000"/>
          <w:spacing w:val="6"/>
          <w:sz w:val="24"/>
          <w:szCs w:val="24"/>
          <w:lang w:val="en-GB" w:eastAsia="en-GB"/>
        </w:rPr>
      </w:pPr>
      <w:r w:rsidRPr="00263016">
        <w:rPr>
          <w:rFonts w:ascii="Times New Roman" w:hAnsi="Times New Roman"/>
          <w:color w:val="000000"/>
          <w:spacing w:val="6"/>
          <w:sz w:val="24"/>
          <w:szCs w:val="24"/>
        </w:rPr>
        <w:t>The Division of Revenue Bill classifies schedules from Schedule 1 to 7 (equitable share and conditional grants) in order to divide revenue between the three spheres of government. Table 1 below provides the legal division of nationally raised revenue among these three spheres of government.</w:t>
      </w:r>
    </w:p>
    <w:p w14:paraId="4CFF0EBB" w14:textId="77777777" w:rsidR="00953446" w:rsidRPr="00263016" w:rsidRDefault="00953446" w:rsidP="00263016">
      <w:pPr>
        <w:shd w:val="clear" w:color="auto" w:fill="FFFFFF" w:themeFill="background1"/>
        <w:autoSpaceDE w:val="0"/>
        <w:autoSpaceDN w:val="0"/>
        <w:adjustRightInd w:val="0"/>
        <w:spacing w:before="120" w:after="120" w:line="240" w:lineRule="auto"/>
        <w:jc w:val="both"/>
        <w:rPr>
          <w:rFonts w:ascii="Times New Roman" w:hAnsi="Times New Roman"/>
          <w:b/>
          <w:color w:val="000000"/>
          <w:spacing w:val="6"/>
          <w:sz w:val="24"/>
          <w:szCs w:val="24"/>
          <w:lang w:val="en-GB" w:eastAsia="en-GB"/>
        </w:rPr>
      </w:pPr>
    </w:p>
    <w:p w14:paraId="6FE4F159" w14:textId="77777777" w:rsidR="00953446" w:rsidRPr="00263016" w:rsidRDefault="00AC035C" w:rsidP="00263016">
      <w:pPr>
        <w:shd w:val="clear" w:color="auto" w:fill="FFFFFF" w:themeFill="background1"/>
        <w:autoSpaceDE w:val="0"/>
        <w:autoSpaceDN w:val="0"/>
        <w:adjustRightInd w:val="0"/>
        <w:spacing w:before="120" w:after="120" w:line="240" w:lineRule="auto"/>
        <w:jc w:val="both"/>
        <w:rPr>
          <w:rFonts w:ascii="Times New Roman" w:hAnsi="Times New Roman"/>
          <w:color w:val="000000"/>
          <w:spacing w:val="6"/>
          <w:sz w:val="24"/>
          <w:szCs w:val="24"/>
          <w:lang w:val="en-GB" w:eastAsia="en-GB"/>
        </w:rPr>
      </w:pPr>
      <w:r w:rsidRPr="00263016">
        <w:rPr>
          <w:rFonts w:ascii="Times New Roman" w:hAnsi="Times New Roman"/>
          <w:b/>
          <w:color w:val="000000"/>
          <w:spacing w:val="6"/>
          <w:sz w:val="24"/>
          <w:szCs w:val="24"/>
          <w:lang w:val="en-GB" w:eastAsia="en-GB"/>
        </w:rPr>
        <w:t xml:space="preserve">Table 1: </w:t>
      </w:r>
      <w:r w:rsidRPr="00263016">
        <w:rPr>
          <w:rFonts w:ascii="Times New Roman" w:hAnsi="Times New Roman"/>
          <w:color w:val="000000"/>
          <w:spacing w:val="6"/>
          <w:sz w:val="24"/>
          <w:szCs w:val="24"/>
          <w:lang w:val="en-GB" w:eastAsia="en-GB"/>
        </w:rPr>
        <w:t xml:space="preserve">Division of Nationally Raised Revenue among the National, Provincial and Local Spheres of Government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874"/>
        <w:gridCol w:w="2522"/>
        <w:gridCol w:w="1872"/>
      </w:tblGrid>
      <w:tr w:rsidR="00AC035C" w:rsidRPr="00263016" w14:paraId="2C186678" w14:textId="77777777" w:rsidTr="00C41C43">
        <w:trPr>
          <w:trHeight w:val="360"/>
        </w:trPr>
        <w:tc>
          <w:tcPr>
            <w:tcW w:w="1665" w:type="pct"/>
            <w:vMerge w:val="restart"/>
            <w:shd w:val="clear" w:color="auto" w:fill="auto"/>
            <w:hideMark/>
          </w:tcPr>
          <w:p w14:paraId="3D0BE63B"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Spheres of Government</w:t>
            </w:r>
          </w:p>
        </w:tc>
        <w:tc>
          <w:tcPr>
            <w:tcW w:w="997" w:type="pct"/>
            <w:shd w:val="clear" w:color="auto" w:fill="auto"/>
            <w:noWrap/>
            <w:hideMark/>
          </w:tcPr>
          <w:p w14:paraId="0C8C4BDD"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Column A</w:t>
            </w:r>
          </w:p>
        </w:tc>
        <w:tc>
          <w:tcPr>
            <w:tcW w:w="2338" w:type="pct"/>
            <w:gridSpan w:val="2"/>
            <w:shd w:val="clear" w:color="auto" w:fill="auto"/>
            <w:noWrap/>
            <w:hideMark/>
          </w:tcPr>
          <w:p w14:paraId="7D471C5F"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Column B</w:t>
            </w:r>
          </w:p>
        </w:tc>
      </w:tr>
      <w:tr w:rsidR="00AC035C" w:rsidRPr="00263016" w14:paraId="4AE24A99" w14:textId="77777777" w:rsidTr="00C41C43">
        <w:trPr>
          <w:trHeight w:val="360"/>
        </w:trPr>
        <w:tc>
          <w:tcPr>
            <w:tcW w:w="1665" w:type="pct"/>
            <w:vMerge/>
            <w:shd w:val="clear" w:color="auto" w:fill="auto"/>
            <w:hideMark/>
          </w:tcPr>
          <w:p w14:paraId="3F1FCA1B"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p>
        </w:tc>
        <w:tc>
          <w:tcPr>
            <w:tcW w:w="997" w:type="pct"/>
            <w:vMerge w:val="restart"/>
            <w:shd w:val="clear" w:color="auto" w:fill="auto"/>
            <w:hideMark/>
          </w:tcPr>
          <w:p w14:paraId="419956B5" w14:textId="77777777" w:rsidR="00AC035C" w:rsidRPr="00263016" w:rsidRDefault="00EA2998"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2018/19</w:t>
            </w:r>
          </w:p>
        </w:tc>
        <w:tc>
          <w:tcPr>
            <w:tcW w:w="1342" w:type="pct"/>
            <w:shd w:val="clear" w:color="auto" w:fill="auto"/>
            <w:noWrap/>
            <w:hideMark/>
          </w:tcPr>
          <w:p w14:paraId="32A042FC"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Forward Estimates</w:t>
            </w:r>
          </w:p>
        </w:tc>
        <w:tc>
          <w:tcPr>
            <w:tcW w:w="996" w:type="pct"/>
            <w:shd w:val="clear" w:color="auto" w:fill="auto"/>
            <w:noWrap/>
            <w:hideMark/>
          </w:tcPr>
          <w:p w14:paraId="4936803C"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 </w:t>
            </w:r>
          </w:p>
        </w:tc>
      </w:tr>
      <w:tr w:rsidR="00AC035C" w:rsidRPr="00263016" w14:paraId="278B5130" w14:textId="77777777" w:rsidTr="00C41C43">
        <w:trPr>
          <w:trHeight w:val="360"/>
        </w:trPr>
        <w:tc>
          <w:tcPr>
            <w:tcW w:w="1665" w:type="pct"/>
            <w:vMerge/>
            <w:shd w:val="clear" w:color="auto" w:fill="auto"/>
            <w:hideMark/>
          </w:tcPr>
          <w:p w14:paraId="6654B063"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p>
        </w:tc>
        <w:tc>
          <w:tcPr>
            <w:tcW w:w="997" w:type="pct"/>
            <w:vMerge/>
            <w:shd w:val="clear" w:color="auto" w:fill="auto"/>
            <w:hideMark/>
          </w:tcPr>
          <w:p w14:paraId="59FFB9E1"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p>
        </w:tc>
        <w:tc>
          <w:tcPr>
            <w:tcW w:w="1342" w:type="pct"/>
            <w:shd w:val="clear" w:color="auto" w:fill="auto"/>
            <w:noWrap/>
            <w:hideMark/>
          </w:tcPr>
          <w:p w14:paraId="428AC681" w14:textId="77777777" w:rsidR="00AC035C" w:rsidRPr="00263016" w:rsidRDefault="00EA2998"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2019/20</w:t>
            </w:r>
          </w:p>
        </w:tc>
        <w:tc>
          <w:tcPr>
            <w:tcW w:w="996" w:type="pct"/>
            <w:shd w:val="clear" w:color="auto" w:fill="auto"/>
            <w:noWrap/>
            <w:hideMark/>
          </w:tcPr>
          <w:p w14:paraId="60EE0D91" w14:textId="77777777" w:rsidR="00AC035C" w:rsidRPr="00263016" w:rsidRDefault="00EA2998"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2020/21</w:t>
            </w:r>
          </w:p>
        </w:tc>
      </w:tr>
      <w:tr w:rsidR="00AC035C" w:rsidRPr="00263016" w14:paraId="558A769F" w14:textId="77777777" w:rsidTr="00C41C43">
        <w:trPr>
          <w:trHeight w:val="255"/>
        </w:trPr>
        <w:tc>
          <w:tcPr>
            <w:tcW w:w="1665" w:type="pct"/>
            <w:shd w:val="clear" w:color="auto" w:fill="auto"/>
            <w:noWrap/>
            <w:hideMark/>
          </w:tcPr>
          <w:p w14:paraId="26B66C4A"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iCs/>
                <w:color w:val="000000"/>
                <w:sz w:val="24"/>
                <w:szCs w:val="24"/>
                <w:lang w:eastAsia="en-ZA"/>
              </w:rPr>
            </w:pPr>
            <w:r w:rsidRPr="00263016">
              <w:rPr>
                <w:rFonts w:ascii="Times New Roman" w:hAnsi="Times New Roman"/>
                <w:iCs/>
                <w:color w:val="000000"/>
                <w:sz w:val="24"/>
                <w:szCs w:val="24"/>
                <w:lang w:eastAsia="en-ZA"/>
              </w:rPr>
              <w:t> </w:t>
            </w:r>
          </w:p>
        </w:tc>
        <w:tc>
          <w:tcPr>
            <w:tcW w:w="997" w:type="pct"/>
            <w:shd w:val="clear" w:color="auto" w:fill="auto"/>
            <w:noWrap/>
            <w:hideMark/>
          </w:tcPr>
          <w:p w14:paraId="3F652228"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R'000</w:t>
            </w:r>
          </w:p>
        </w:tc>
        <w:tc>
          <w:tcPr>
            <w:tcW w:w="1342" w:type="pct"/>
            <w:shd w:val="clear" w:color="auto" w:fill="auto"/>
            <w:noWrap/>
            <w:hideMark/>
          </w:tcPr>
          <w:p w14:paraId="25DC391E"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R'000</w:t>
            </w:r>
          </w:p>
        </w:tc>
        <w:tc>
          <w:tcPr>
            <w:tcW w:w="996" w:type="pct"/>
            <w:shd w:val="clear" w:color="auto" w:fill="auto"/>
            <w:noWrap/>
            <w:hideMark/>
          </w:tcPr>
          <w:p w14:paraId="0C87EC8C" w14:textId="77777777" w:rsidR="00AC035C" w:rsidRPr="00263016" w:rsidRDefault="00AC035C"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R'000</w:t>
            </w:r>
          </w:p>
        </w:tc>
      </w:tr>
      <w:tr w:rsidR="00805D7F" w:rsidRPr="00263016" w14:paraId="328E6B5B" w14:textId="77777777" w:rsidTr="00C41C43">
        <w:trPr>
          <w:trHeight w:val="315"/>
        </w:trPr>
        <w:tc>
          <w:tcPr>
            <w:tcW w:w="1665" w:type="pct"/>
            <w:shd w:val="clear" w:color="auto" w:fill="auto"/>
            <w:noWrap/>
            <w:hideMark/>
          </w:tcPr>
          <w:p w14:paraId="3BF5A1B5" w14:textId="77777777" w:rsidR="00805D7F" w:rsidRPr="00263016" w:rsidRDefault="00805D7F" w:rsidP="00263016">
            <w:pPr>
              <w:shd w:val="clear" w:color="auto" w:fill="FFFFFF" w:themeFill="background1"/>
              <w:autoSpaceDE w:val="0"/>
              <w:autoSpaceDN w:val="0"/>
              <w:adjustRightInd w:val="0"/>
              <w:spacing w:before="120" w:after="120" w:line="240" w:lineRule="auto"/>
              <w:rPr>
                <w:rFonts w:ascii="Times New Roman" w:hAnsi="Times New Roman"/>
                <w:iCs/>
                <w:color w:val="000000"/>
                <w:sz w:val="24"/>
                <w:szCs w:val="24"/>
                <w:lang w:eastAsia="en-ZA"/>
              </w:rPr>
            </w:pPr>
            <w:r w:rsidRPr="00263016">
              <w:rPr>
                <w:rFonts w:ascii="Times New Roman" w:hAnsi="Times New Roman"/>
                <w:iCs/>
                <w:color w:val="000000"/>
                <w:sz w:val="24"/>
                <w:szCs w:val="24"/>
                <w:lang w:eastAsia="en-ZA"/>
              </w:rPr>
              <w:t>National</w:t>
            </w:r>
            <w:r w:rsidRPr="00263016">
              <w:rPr>
                <w:rFonts w:ascii="Times New Roman" w:hAnsi="Times New Roman"/>
                <w:iCs/>
                <w:color w:val="000000"/>
                <w:sz w:val="24"/>
                <w:szCs w:val="24"/>
                <w:vertAlign w:val="superscript"/>
                <w:lang w:eastAsia="en-ZA"/>
              </w:rPr>
              <w:t>1,2</w:t>
            </w:r>
          </w:p>
        </w:tc>
        <w:tc>
          <w:tcPr>
            <w:tcW w:w="997" w:type="pct"/>
            <w:shd w:val="clear" w:color="auto" w:fill="auto"/>
            <w:noWrap/>
            <w:hideMark/>
          </w:tcPr>
          <w:p w14:paraId="59495E77"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979 181 797  </w:t>
            </w:r>
          </w:p>
        </w:tc>
        <w:tc>
          <w:tcPr>
            <w:tcW w:w="1342" w:type="pct"/>
            <w:shd w:val="clear" w:color="auto" w:fill="auto"/>
            <w:noWrap/>
            <w:hideMark/>
          </w:tcPr>
          <w:p w14:paraId="6EB9E088"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1 058 577 591  </w:t>
            </w:r>
          </w:p>
        </w:tc>
        <w:tc>
          <w:tcPr>
            <w:tcW w:w="996" w:type="pct"/>
            <w:shd w:val="clear" w:color="auto" w:fill="auto"/>
            <w:noWrap/>
            <w:hideMark/>
          </w:tcPr>
          <w:p w14:paraId="6BE7B16C"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1 139 321 640  </w:t>
            </w:r>
          </w:p>
        </w:tc>
      </w:tr>
      <w:tr w:rsidR="00805D7F" w:rsidRPr="00263016" w14:paraId="5E54A964" w14:textId="77777777" w:rsidTr="00C41C43">
        <w:trPr>
          <w:trHeight w:val="255"/>
        </w:trPr>
        <w:tc>
          <w:tcPr>
            <w:tcW w:w="1665" w:type="pct"/>
            <w:shd w:val="clear" w:color="auto" w:fill="auto"/>
            <w:noWrap/>
            <w:hideMark/>
          </w:tcPr>
          <w:p w14:paraId="1CB943EC" w14:textId="77777777" w:rsidR="00805D7F" w:rsidRPr="00263016" w:rsidRDefault="00805D7F" w:rsidP="00263016">
            <w:pPr>
              <w:shd w:val="clear" w:color="auto" w:fill="FFFFFF" w:themeFill="background1"/>
              <w:autoSpaceDE w:val="0"/>
              <w:autoSpaceDN w:val="0"/>
              <w:adjustRightInd w:val="0"/>
              <w:spacing w:before="120" w:after="120" w:line="240" w:lineRule="auto"/>
              <w:rPr>
                <w:rFonts w:ascii="Times New Roman" w:hAnsi="Times New Roman"/>
                <w:iCs/>
                <w:color w:val="000000"/>
                <w:sz w:val="24"/>
                <w:szCs w:val="24"/>
                <w:lang w:eastAsia="en-ZA"/>
              </w:rPr>
            </w:pPr>
            <w:r w:rsidRPr="00263016">
              <w:rPr>
                <w:rFonts w:ascii="Times New Roman" w:hAnsi="Times New Roman"/>
                <w:iCs/>
                <w:color w:val="000000"/>
                <w:sz w:val="24"/>
                <w:szCs w:val="24"/>
                <w:lang w:eastAsia="en-ZA"/>
              </w:rPr>
              <w:t>Provincial</w:t>
            </w:r>
          </w:p>
        </w:tc>
        <w:tc>
          <w:tcPr>
            <w:tcW w:w="997" w:type="pct"/>
            <w:shd w:val="clear" w:color="auto" w:fill="auto"/>
            <w:noWrap/>
            <w:hideMark/>
          </w:tcPr>
          <w:p w14:paraId="0A6F819D"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470 286 510  </w:t>
            </w:r>
          </w:p>
        </w:tc>
        <w:tc>
          <w:tcPr>
            <w:tcW w:w="1342" w:type="pct"/>
            <w:shd w:val="clear" w:color="auto" w:fill="auto"/>
            <w:noWrap/>
            <w:hideMark/>
          </w:tcPr>
          <w:p w14:paraId="72CC2572"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505 019 653  </w:t>
            </w:r>
          </w:p>
        </w:tc>
        <w:tc>
          <w:tcPr>
            <w:tcW w:w="996" w:type="pct"/>
            <w:shd w:val="clear" w:color="auto" w:fill="auto"/>
            <w:noWrap/>
            <w:hideMark/>
          </w:tcPr>
          <w:p w14:paraId="1CC57636"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542 446 855  </w:t>
            </w:r>
          </w:p>
        </w:tc>
      </w:tr>
      <w:tr w:rsidR="00805D7F" w:rsidRPr="00263016" w14:paraId="741995BD" w14:textId="77777777" w:rsidTr="00C41C43">
        <w:trPr>
          <w:trHeight w:val="255"/>
        </w:trPr>
        <w:tc>
          <w:tcPr>
            <w:tcW w:w="1665" w:type="pct"/>
            <w:shd w:val="clear" w:color="auto" w:fill="auto"/>
            <w:noWrap/>
            <w:hideMark/>
          </w:tcPr>
          <w:p w14:paraId="70F34EDF" w14:textId="77777777" w:rsidR="00805D7F" w:rsidRPr="00263016" w:rsidRDefault="00805D7F" w:rsidP="00263016">
            <w:pPr>
              <w:shd w:val="clear" w:color="auto" w:fill="FFFFFF" w:themeFill="background1"/>
              <w:autoSpaceDE w:val="0"/>
              <w:autoSpaceDN w:val="0"/>
              <w:adjustRightInd w:val="0"/>
              <w:spacing w:before="120" w:after="120" w:line="240" w:lineRule="auto"/>
              <w:rPr>
                <w:rFonts w:ascii="Times New Roman" w:hAnsi="Times New Roman"/>
                <w:iCs/>
                <w:color w:val="000000"/>
                <w:sz w:val="24"/>
                <w:szCs w:val="24"/>
                <w:lang w:eastAsia="en-ZA"/>
              </w:rPr>
            </w:pPr>
            <w:r w:rsidRPr="00263016">
              <w:rPr>
                <w:rFonts w:ascii="Times New Roman" w:hAnsi="Times New Roman"/>
                <w:iCs/>
                <w:color w:val="000000"/>
                <w:sz w:val="24"/>
                <w:szCs w:val="24"/>
                <w:lang w:eastAsia="en-ZA"/>
              </w:rPr>
              <w:t>Local</w:t>
            </w:r>
          </w:p>
        </w:tc>
        <w:tc>
          <w:tcPr>
            <w:tcW w:w="997" w:type="pct"/>
            <w:shd w:val="clear" w:color="auto" w:fill="auto"/>
            <w:noWrap/>
            <w:hideMark/>
          </w:tcPr>
          <w:p w14:paraId="4125B048"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62 731 845  </w:t>
            </w:r>
          </w:p>
        </w:tc>
        <w:tc>
          <w:tcPr>
            <w:tcW w:w="1342" w:type="pct"/>
            <w:shd w:val="clear" w:color="auto" w:fill="auto"/>
            <w:noWrap/>
            <w:hideMark/>
          </w:tcPr>
          <w:p w14:paraId="5DE889F4"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68 973 465  </w:t>
            </w:r>
          </w:p>
        </w:tc>
        <w:tc>
          <w:tcPr>
            <w:tcW w:w="996" w:type="pct"/>
            <w:shd w:val="clear" w:color="auto" w:fill="auto"/>
            <w:noWrap/>
            <w:hideMark/>
          </w:tcPr>
          <w:p w14:paraId="3D0140A4" w14:textId="77777777" w:rsidR="00805D7F" w:rsidRPr="00263016" w:rsidRDefault="00805D7F" w:rsidP="00263016">
            <w:pPr>
              <w:spacing w:before="120" w:after="120" w:line="240" w:lineRule="auto"/>
              <w:rPr>
                <w:rFonts w:ascii="Times New Roman" w:hAnsi="Times New Roman"/>
                <w:sz w:val="24"/>
                <w:szCs w:val="24"/>
              </w:rPr>
            </w:pPr>
            <w:r w:rsidRPr="00263016">
              <w:rPr>
                <w:rFonts w:ascii="Times New Roman" w:hAnsi="Times New Roman"/>
                <w:sz w:val="24"/>
                <w:szCs w:val="24"/>
              </w:rPr>
              <w:t xml:space="preserve"> 75 683 326  </w:t>
            </w:r>
          </w:p>
        </w:tc>
      </w:tr>
      <w:tr w:rsidR="00805D7F" w:rsidRPr="00263016" w14:paraId="66941F08" w14:textId="77777777" w:rsidTr="00C41C43">
        <w:trPr>
          <w:trHeight w:val="255"/>
        </w:trPr>
        <w:tc>
          <w:tcPr>
            <w:tcW w:w="1665" w:type="pct"/>
            <w:shd w:val="clear" w:color="auto" w:fill="auto"/>
            <w:noWrap/>
            <w:hideMark/>
          </w:tcPr>
          <w:p w14:paraId="14925C6A" w14:textId="77777777" w:rsidR="00805D7F" w:rsidRPr="00263016" w:rsidRDefault="00805D7F" w:rsidP="00263016">
            <w:pPr>
              <w:shd w:val="clear" w:color="auto" w:fill="FFFFFF" w:themeFill="background1"/>
              <w:autoSpaceDE w:val="0"/>
              <w:autoSpaceDN w:val="0"/>
              <w:adjustRightInd w:val="0"/>
              <w:spacing w:before="120" w:after="120" w:line="240" w:lineRule="auto"/>
              <w:rPr>
                <w:rFonts w:ascii="Times New Roman" w:hAnsi="Times New Roman"/>
                <w:b/>
                <w:bCs/>
                <w:iCs/>
                <w:color w:val="000000"/>
                <w:sz w:val="24"/>
                <w:szCs w:val="24"/>
                <w:lang w:eastAsia="en-ZA"/>
              </w:rPr>
            </w:pPr>
            <w:r w:rsidRPr="00263016">
              <w:rPr>
                <w:rFonts w:ascii="Times New Roman" w:hAnsi="Times New Roman"/>
                <w:b/>
                <w:bCs/>
                <w:iCs/>
                <w:color w:val="000000"/>
                <w:sz w:val="24"/>
                <w:szCs w:val="24"/>
                <w:lang w:eastAsia="en-ZA"/>
              </w:rPr>
              <w:t>TOTAL</w:t>
            </w:r>
          </w:p>
        </w:tc>
        <w:tc>
          <w:tcPr>
            <w:tcW w:w="997" w:type="pct"/>
            <w:shd w:val="clear" w:color="auto" w:fill="auto"/>
            <w:noWrap/>
            <w:hideMark/>
          </w:tcPr>
          <w:p w14:paraId="4DEFFF96" w14:textId="77777777" w:rsidR="00805D7F" w:rsidRPr="00263016" w:rsidRDefault="00805D7F" w:rsidP="00263016">
            <w:pPr>
              <w:spacing w:before="120" w:after="120" w:line="240" w:lineRule="auto"/>
              <w:rPr>
                <w:rFonts w:ascii="Times New Roman" w:hAnsi="Times New Roman"/>
                <w:b/>
                <w:sz w:val="24"/>
                <w:szCs w:val="24"/>
              </w:rPr>
            </w:pPr>
            <w:r w:rsidRPr="00263016">
              <w:rPr>
                <w:rFonts w:ascii="Times New Roman" w:hAnsi="Times New Roman"/>
                <w:b/>
                <w:sz w:val="24"/>
                <w:szCs w:val="24"/>
              </w:rPr>
              <w:t xml:space="preserve">1 512 200 152  </w:t>
            </w:r>
          </w:p>
        </w:tc>
        <w:tc>
          <w:tcPr>
            <w:tcW w:w="1342" w:type="pct"/>
            <w:shd w:val="clear" w:color="auto" w:fill="auto"/>
            <w:noWrap/>
            <w:hideMark/>
          </w:tcPr>
          <w:p w14:paraId="0B2CF65C" w14:textId="77777777" w:rsidR="00805D7F" w:rsidRPr="00263016" w:rsidRDefault="00805D7F" w:rsidP="00263016">
            <w:pPr>
              <w:spacing w:before="120" w:after="120" w:line="240" w:lineRule="auto"/>
              <w:rPr>
                <w:rFonts w:ascii="Times New Roman" w:hAnsi="Times New Roman"/>
                <w:b/>
                <w:sz w:val="24"/>
                <w:szCs w:val="24"/>
              </w:rPr>
            </w:pPr>
            <w:r w:rsidRPr="00263016">
              <w:rPr>
                <w:rFonts w:ascii="Times New Roman" w:hAnsi="Times New Roman"/>
                <w:b/>
                <w:sz w:val="24"/>
                <w:szCs w:val="24"/>
              </w:rPr>
              <w:t xml:space="preserve">1 632 570 709  </w:t>
            </w:r>
          </w:p>
        </w:tc>
        <w:tc>
          <w:tcPr>
            <w:tcW w:w="996" w:type="pct"/>
            <w:shd w:val="clear" w:color="auto" w:fill="auto"/>
            <w:noWrap/>
            <w:hideMark/>
          </w:tcPr>
          <w:p w14:paraId="56F3EB3B" w14:textId="77777777" w:rsidR="00805D7F" w:rsidRPr="00263016" w:rsidRDefault="00805D7F" w:rsidP="00263016">
            <w:pPr>
              <w:spacing w:before="120" w:after="120" w:line="240" w:lineRule="auto"/>
              <w:rPr>
                <w:rFonts w:ascii="Times New Roman" w:hAnsi="Times New Roman"/>
                <w:b/>
                <w:sz w:val="24"/>
                <w:szCs w:val="24"/>
              </w:rPr>
            </w:pPr>
            <w:r w:rsidRPr="00263016">
              <w:rPr>
                <w:rFonts w:ascii="Times New Roman" w:hAnsi="Times New Roman"/>
                <w:b/>
                <w:sz w:val="24"/>
                <w:szCs w:val="24"/>
              </w:rPr>
              <w:t xml:space="preserve">1 757 451 821  </w:t>
            </w:r>
          </w:p>
        </w:tc>
      </w:tr>
    </w:tbl>
    <w:p w14:paraId="5B77659F" w14:textId="77777777" w:rsidR="00AC035C" w:rsidRPr="00263016" w:rsidRDefault="00AC035C" w:rsidP="00263016">
      <w:pPr>
        <w:numPr>
          <w:ilvl w:val="0"/>
          <w:numId w:val="2"/>
        </w:numPr>
        <w:shd w:val="clear" w:color="auto" w:fill="FFFFFF" w:themeFill="background1"/>
        <w:autoSpaceDE w:val="0"/>
        <w:autoSpaceDN w:val="0"/>
        <w:adjustRightInd w:val="0"/>
        <w:spacing w:before="120" w:after="120" w:line="240" w:lineRule="auto"/>
        <w:rPr>
          <w:rFonts w:ascii="Times New Roman" w:hAnsi="Times New Roman"/>
          <w:i/>
          <w:iCs/>
          <w:color w:val="000000"/>
          <w:sz w:val="24"/>
          <w:szCs w:val="24"/>
          <w:lang w:eastAsia="en-ZA"/>
        </w:rPr>
      </w:pPr>
      <w:r w:rsidRPr="00263016">
        <w:rPr>
          <w:rFonts w:ascii="Times New Roman" w:hAnsi="Times New Roman"/>
          <w:i/>
          <w:iCs/>
          <w:color w:val="000000"/>
          <w:sz w:val="24"/>
          <w:szCs w:val="24"/>
          <w:lang w:eastAsia="en-ZA"/>
        </w:rPr>
        <w:t xml:space="preserve">National share includes conditional allocations to provincial and local spheres, general fuel levy sharing with metropolitan municipalities, debt-service costs and the contingency reserve. </w:t>
      </w:r>
    </w:p>
    <w:p w14:paraId="0E827E4C" w14:textId="77777777" w:rsidR="00AC035C" w:rsidRPr="00263016" w:rsidRDefault="00805D7F" w:rsidP="00263016">
      <w:pPr>
        <w:pStyle w:val="ListParagraph"/>
        <w:numPr>
          <w:ilvl w:val="0"/>
          <w:numId w:val="2"/>
        </w:numPr>
        <w:autoSpaceDE w:val="0"/>
        <w:autoSpaceDN w:val="0"/>
        <w:adjustRightInd w:val="0"/>
        <w:spacing w:before="120" w:after="120" w:line="240" w:lineRule="auto"/>
        <w:rPr>
          <w:rFonts w:ascii="Times New Roman" w:hAnsi="Times New Roman"/>
          <w:i/>
          <w:iCs/>
          <w:color w:val="000000"/>
          <w:sz w:val="24"/>
          <w:szCs w:val="24"/>
          <w:lang w:eastAsia="en-ZA"/>
        </w:rPr>
      </w:pPr>
      <w:r w:rsidRPr="00263016">
        <w:rPr>
          <w:rFonts w:ascii="Times New Roman" w:hAnsi="Times New Roman"/>
          <w:i/>
          <w:iCs/>
          <w:color w:val="000000"/>
          <w:sz w:val="24"/>
          <w:szCs w:val="24"/>
          <w:lang w:eastAsia="en-ZA"/>
        </w:rPr>
        <w:t>The direct charges for the provincial equitable share are netted out</w:t>
      </w:r>
    </w:p>
    <w:p w14:paraId="3F33F4EA" w14:textId="77777777" w:rsidR="00AC035C" w:rsidRPr="00263016" w:rsidRDefault="00AC035C" w:rsidP="00263016">
      <w:pPr>
        <w:spacing w:before="120" w:after="120" w:line="240" w:lineRule="auto"/>
        <w:contextualSpacing/>
        <w:jc w:val="both"/>
        <w:rPr>
          <w:rFonts w:ascii="Times New Roman" w:hAnsi="Times New Roman"/>
          <w:b/>
          <w:sz w:val="24"/>
          <w:szCs w:val="24"/>
          <w:highlight w:val="yellow"/>
        </w:rPr>
      </w:pPr>
    </w:p>
    <w:p w14:paraId="47477D8A" w14:textId="77777777" w:rsidR="000D40FD" w:rsidRPr="00263016" w:rsidRDefault="000D40FD" w:rsidP="00263016">
      <w:pPr>
        <w:spacing w:before="120" w:after="120" w:line="240" w:lineRule="auto"/>
        <w:jc w:val="both"/>
        <w:rPr>
          <w:rFonts w:ascii="Times New Roman" w:hAnsi="Times New Roman"/>
          <w:b/>
          <w:sz w:val="24"/>
          <w:szCs w:val="24"/>
        </w:rPr>
      </w:pPr>
      <w:r w:rsidRPr="00263016">
        <w:rPr>
          <w:rFonts w:ascii="Times New Roman" w:hAnsi="Times New Roman"/>
          <w:b/>
          <w:sz w:val="24"/>
          <w:szCs w:val="24"/>
        </w:rPr>
        <w:t>2.1</w:t>
      </w:r>
      <w:r w:rsidRPr="00263016">
        <w:rPr>
          <w:rFonts w:ascii="Times New Roman" w:hAnsi="Times New Roman"/>
          <w:b/>
          <w:sz w:val="24"/>
          <w:szCs w:val="24"/>
        </w:rPr>
        <w:tab/>
        <w:t>Main Budget Allocations</w:t>
      </w:r>
    </w:p>
    <w:p w14:paraId="1CA7EA61" w14:textId="77777777" w:rsidR="000D40FD" w:rsidRPr="00263016" w:rsidRDefault="000D40FD" w:rsidP="00263016">
      <w:pPr>
        <w:spacing w:before="120" w:after="120" w:line="240" w:lineRule="auto"/>
        <w:jc w:val="both"/>
        <w:rPr>
          <w:rFonts w:ascii="Times New Roman" w:hAnsi="Times New Roman"/>
          <w:sz w:val="24"/>
          <w:szCs w:val="24"/>
        </w:rPr>
      </w:pPr>
    </w:p>
    <w:p w14:paraId="70D75D82" w14:textId="77777777" w:rsidR="001C0A1F" w:rsidRPr="00263016" w:rsidRDefault="000D40FD"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The 2018 Budget states that in the medium term, after providing for debt-service costs and the contingency reserve, 48 per cent of nationally raised funds are allocated to national government, 43 per cent to provincial government and 9 per cent to local government. Planned spending for 2018/19 has been affected by reprioritisation and budget reductions. Transfers to provinces are reduced by R5.2 billion, and transfers to local government are reduced by R3.2 billion. Nevertheless, average annual growth is above inflation for all three spheres of government over the 2018 MTEF. </w:t>
      </w:r>
    </w:p>
    <w:p w14:paraId="112B2F01" w14:textId="77777777" w:rsidR="00953446" w:rsidRPr="00263016" w:rsidRDefault="00953446" w:rsidP="00263016">
      <w:pPr>
        <w:autoSpaceDE w:val="0"/>
        <w:autoSpaceDN w:val="0"/>
        <w:adjustRightInd w:val="0"/>
        <w:spacing w:before="120" w:after="120" w:line="240" w:lineRule="auto"/>
        <w:jc w:val="both"/>
        <w:rPr>
          <w:rFonts w:ascii="Times New Roman" w:hAnsi="Times New Roman"/>
          <w:b/>
          <w:color w:val="000000"/>
          <w:spacing w:val="6"/>
          <w:sz w:val="24"/>
          <w:szCs w:val="24"/>
          <w:lang w:val="en-GB" w:eastAsia="en-GB"/>
        </w:rPr>
      </w:pPr>
    </w:p>
    <w:p w14:paraId="40B6E6B2" w14:textId="77777777" w:rsidR="00263016" w:rsidRDefault="00263016">
      <w:pPr>
        <w:spacing w:after="160" w:line="259" w:lineRule="auto"/>
        <w:rPr>
          <w:rFonts w:ascii="Times New Roman" w:hAnsi="Times New Roman"/>
          <w:b/>
          <w:color w:val="000000"/>
          <w:spacing w:val="6"/>
          <w:sz w:val="24"/>
          <w:szCs w:val="24"/>
          <w:lang w:val="en-GB" w:eastAsia="en-GB"/>
        </w:rPr>
      </w:pPr>
      <w:r>
        <w:rPr>
          <w:rFonts w:ascii="Times New Roman" w:hAnsi="Times New Roman"/>
          <w:b/>
          <w:color w:val="000000"/>
          <w:spacing w:val="6"/>
          <w:sz w:val="24"/>
          <w:szCs w:val="24"/>
          <w:lang w:val="en-GB" w:eastAsia="en-GB"/>
        </w:rPr>
        <w:lastRenderedPageBreak/>
        <w:br w:type="page"/>
      </w:r>
    </w:p>
    <w:p w14:paraId="43BD1062" w14:textId="77777777" w:rsidR="000D40FD" w:rsidRPr="00263016" w:rsidRDefault="000D40FD" w:rsidP="00263016">
      <w:pPr>
        <w:autoSpaceDE w:val="0"/>
        <w:autoSpaceDN w:val="0"/>
        <w:adjustRightInd w:val="0"/>
        <w:spacing w:before="120" w:after="120" w:line="240" w:lineRule="auto"/>
        <w:jc w:val="both"/>
        <w:rPr>
          <w:rFonts w:ascii="Times New Roman" w:hAnsi="Times New Roman"/>
          <w:b/>
          <w:color w:val="000000"/>
          <w:spacing w:val="6"/>
          <w:sz w:val="24"/>
          <w:szCs w:val="24"/>
          <w:lang w:val="en-GB" w:eastAsia="en-GB"/>
        </w:rPr>
      </w:pPr>
      <w:r w:rsidRPr="00263016">
        <w:rPr>
          <w:rFonts w:ascii="Times New Roman" w:hAnsi="Times New Roman"/>
          <w:b/>
          <w:color w:val="000000"/>
          <w:spacing w:val="6"/>
          <w:sz w:val="24"/>
          <w:szCs w:val="24"/>
          <w:lang w:val="en-GB" w:eastAsia="en-GB"/>
        </w:rPr>
        <w:lastRenderedPageBreak/>
        <w:t xml:space="preserve">Table 2: </w:t>
      </w:r>
      <w:r w:rsidRPr="00263016">
        <w:rPr>
          <w:rFonts w:ascii="Times New Roman" w:hAnsi="Times New Roman"/>
          <w:color w:val="000000"/>
          <w:spacing w:val="6"/>
          <w:sz w:val="24"/>
          <w:szCs w:val="24"/>
          <w:lang w:val="en-GB" w:eastAsia="en-GB"/>
        </w:rPr>
        <w:t>Division of Nationally Raised Revenue, 2014/15 – 2020/21</w:t>
      </w:r>
      <w:r w:rsidRPr="00263016">
        <w:rPr>
          <w:rFonts w:ascii="Times New Roman" w:hAnsi="Times New Roman"/>
          <w:b/>
          <w:color w:val="000000"/>
          <w:spacing w:val="6"/>
          <w:sz w:val="24"/>
          <w:szCs w:val="24"/>
          <w:lang w:val="en-GB" w:eastAsia="en-GB"/>
        </w:rPr>
        <w:t xml:space="preserve"> </w:t>
      </w:r>
    </w:p>
    <w:p w14:paraId="472A51A6" w14:textId="77777777" w:rsidR="000D40FD" w:rsidRPr="00263016" w:rsidRDefault="00C34006"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object w:dxaOrig="8719" w:dyaOrig="6681" w14:anchorId="77888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36pt" o:ole="">
            <v:imagedata r:id="rId9" o:title=""/>
          </v:shape>
          <o:OLEObject Type="Embed" ProgID="Excel.Sheet.12" ShapeID="_x0000_i1025" DrawAspect="Content" ObjectID="_1582706222" r:id="rId10"/>
        </w:object>
      </w:r>
    </w:p>
    <w:p w14:paraId="3D8B232C" w14:textId="77777777" w:rsidR="000D40FD" w:rsidRPr="00263016" w:rsidRDefault="000D40FD" w:rsidP="00263016">
      <w:pPr>
        <w:spacing w:before="120" w:after="120" w:line="240" w:lineRule="auto"/>
        <w:jc w:val="both"/>
        <w:rPr>
          <w:rFonts w:ascii="Times New Roman" w:hAnsi="Times New Roman"/>
          <w:i/>
          <w:sz w:val="24"/>
          <w:szCs w:val="24"/>
        </w:rPr>
      </w:pPr>
      <w:r w:rsidRPr="00263016">
        <w:rPr>
          <w:rFonts w:ascii="Times New Roman" w:hAnsi="Times New Roman"/>
          <w:i/>
          <w:sz w:val="24"/>
          <w:szCs w:val="24"/>
        </w:rPr>
        <w:t>Source: National Treasury 201</w:t>
      </w:r>
      <w:r w:rsidR="00C34006" w:rsidRPr="00263016">
        <w:rPr>
          <w:rFonts w:ascii="Times New Roman" w:hAnsi="Times New Roman"/>
          <w:i/>
          <w:sz w:val="24"/>
          <w:szCs w:val="24"/>
        </w:rPr>
        <w:t>8</w:t>
      </w:r>
    </w:p>
    <w:p w14:paraId="1DD12EF8" w14:textId="77777777" w:rsidR="00953446" w:rsidRPr="00263016" w:rsidRDefault="00953446" w:rsidP="00263016">
      <w:pPr>
        <w:spacing w:before="120" w:after="120" w:line="240" w:lineRule="auto"/>
        <w:jc w:val="both"/>
        <w:rPr>
          <w:rFonts w:ascii="Times New Roman" w:hAnsi="Times New Roman"/>
          <w:sz w:val="24"/>
          <w:szCs w:val="24"/>
        </w:rPr>
      </w:pPr>
    </w:p>
    <w:p w14:paraId="7D03ADB7" w14:textId="77777777" w:rsidR="00AC035C" w:rsidRPr="00263016" w:rsidRDefault="00AC035C" w:rsidP="00263016">
      <w:pPr>
        <w:spacing w:before="120" w:after="120" w:line="240" w:lineRule="auto"/>
        <w:ind w:left="720" w:hanging="720"/>
        <w:contextualSpacing/>
        <w:jc w:val="both"/>
        <w:rPr>
          <w:rFonts w:ascii="Times New Roman" w:hAnsi="Times New Roman"/>
          <w:b/>
          <w:sz w:val="24"/>
          <w:szCs w:val="24"/>
        </w:rPr>
      </w:pPr>
      <w:r w:rsidRPr="00263016">
        <w:rPr>
          <w:rFonts w:ascii="Times New Roman" w:hAnsi="Times New Roman"/>
          <w:b/>
          <w:sz w:val="24"/>
          <w:szCs w:val="24"/>
        </w:rPr>
        <w:t>2.2</w:t>
      </w:r>
      <w:r w:rsidRPr="00263016">
        <w:rPr>
          <w:rFonts w:ascii="Times New Roman" w:hAnsi="Times New Roman"/>
          <w:b/>
          <w:sz w:val="24"/>
          <w:szCs w:val="24"/>
        </w:rPr>
        <w:tab/>
        <w:t xml:space="preserve">Summary of </w:t>
      </w:r>
      <w:r w:rsidR="007C4D3F" w:rsidRPr="00263016">
        <w:rPr>
          <w:rFonts w:ascii="Times New Roman" w:hAnsi="Times New Roman"/>
          <w:b/>
          <w:sz w:val="24"/>
          <w:szCs w:val="24"/>
        </w:rPr>
        <w:t xml:space="preserve">main </w:t>
      </w:r>
      <w:r w:rsidRPr="00263016">
        <w:rPr>
          <w:rFonts w:ascii="Times New Roman" w:hAnsi="Times New Roman"/>
          <w:b/>
          <w:sz w:val="24"/>
          <w:szCs w:val="24"/>
        </w:rPr>
        <w:t xml:space="preserve">changes </w:t>
      </w:r>
      <w:r w:rsidR="00CA51B4" w:rsidRPr="00263016">
        <w:rPr>
          <w:rFonts w:ascii="Times New Roman" w:hAnsi="Times New Roman"/>
          <w:b/>
          <w:sz w:val="24"/>
          <w:szCs w:val="24"/>
        </w:rPr>
        <w:t xml:space="preserve">and key considerations </w:t>
      </w:r>
      <w:r w:rsidRPr="00263016">
        <w:rPr>
          <w:rFonts w:ascii="Times New Roman" w:hAnsi="Times New Roman"/>
          <w:b/>
          <w:sz w:val="24"/>
          <w:szCs w:val="24"/>
        </w:rPr>
        <w:t>in transfers to provinces and municipalities</w:t>
      </w:r>
    </w:p>
    <w:p w14:paraId="112C4C94" w14:textId="77777777" w:rsidR="005D5677" w:rsidRPr="00263016" w:rsidRDefault="005D5677" w:rsidP="00263016">
      <w:pPr>
        <w:autoSpaceDE w:val="0"/>
        <w:autoSpaceDN w:val="0"/>
        <w:adjustRightInd w:val="0"/>
        <w:spacing w:before="120" w:after="120" w:line="240" w:lineRule="auto"/>
        <w:jc w:val="both"/>
        <w:rPr>
          <w:rFonts w:ascii="Times New Roman" w:hAnsi="Times New Roman"/>
          <w:sz w:val="24"/>
          <w:szCs w:val="24"/>
        </w:rPr>
      </w:pPr>
    </w:p>
    <w:p w14:paraId="6B82906C" w14:textId="77777777" w:rsidR="00B261C3" w:rsidRPr="00263016" w:rsidRDefault="00B261C3"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in its submission to the Committee indicated that budget reductions will affect the implementation of programmes and projects though the reductions are small as a percentage of the total allocations. The average reductions over the medium term are equivalent to 1 per cent of provincial allocations and 3.5 per cent of local government allocations. The National Treasury submission also indicates that allocations through the Division of Revenue transfer higher per capita/per household amounts to rural areas. That is to say, allocations to rural municipalities are R10 500 per household while those of metros are set at R4 700 per household. </w:t>
      </w:r>
    </w:p>
    <w:p w14:paraId="0AEB6417" w14:textId="77777777" w:rsidR="00B261C3" w:rsidRPr="00263016" w:rsidRDefault="00B261C3"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The following are the Division of Revenue transfers</w:t>
      </w:r>
      <w:r w:rsidR="000523E7" w:rsidRPr="00263016">
        <w:rPr>
          <w:rFonts w:ascii="Times New Roman" w:hAnsi="Times New Roman"/>
          <w:sz w:val="24"/>
          <w:szCs w:val="24"/>
        </w:rPr>
        <w:t>,</w:t>
      </w:r>
      <w:r w:rsidRPr="00263016">
        <w:rPr>
          <w:rFonts w:ascii="Times New Roman" w:hAnsi="Times New Roman"/>
          <w:sz w:val="24"/>
          <w:szCs w:val="24"/>
        </w:rPr>
        <w:t xml:space="preserve"> which were reduced: </w:t>
      </w:r>
    </w:p>
    <w:p w14:paraId="036B8CB8"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Provincial equitable share –reduction of 0.3%, provinces expected to reduce goods and services</w:t>
      </w:r>
      <w:r w:rsidR="00953446" w:rsidRPr="00263016">
        <w:rPr>
          <w:rFonts w:ascii="Times New Roman" w:hAnsi="Times New Roman"/>
          <w:sz w:val="24"/>
          <w:szCs w:val="24"/>
        </w:rPr>
        <w:t>;</w:t>
      </w:r>
    </w:p>
    <w:p w14:paraId="50021176"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Education Infrastructure Grant and School Infrastructure Backlogs Grant </w:t>
      </w:r>
    </w:p>
    <w:p w14:paraId="7A64B28E"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Human Settlements Development Grant</w:t>
      </w:r>
      <w:r w:rsidR="00953446" w:rsidRPr="00263016">
        <w:rPr>
          <w:rFonts w:ascii="Times New Roman" w:hAnsi="Times New Roman"/>
          <w:sz w:val="24"/>
          <w:szCs w:val="24"/>
        </w:rPr>
        <w:t>;</w:t>
      </w:r>
    </w:p>
    <w:p w14:paraId="0422F7DD"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Smaller provincial grants, including for libraries and the EPWP</w:t>
      </w:r>
      <w:r w:rsidR="00953446" w:rsidRPr="00263016">
        <w:rPr>
          <w:rFonts w:ascii="Times New Roman" w:hAnsi="Times New Roman"/>
          <w:sz w:val="24"/>
          <w:szCs w:val="24"/>
        </w:rPr>
        <w:t>;</w:t>
      </w:r>
    </w:p>
    <w:p w14:paraId="4C8B7994"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lastRenderedPageBreak/>
        <w:t xml:space="preserve">Municipal Infrastructure Grant, Urban Settlements Development </w:t>
      </w:r>
      <w:proofErr w:type="spellStart"/>
      <w:r w:rsidRPr="00263016">
        <w:rPr>
          <w:rFonts w:ascii="Times New Roman" w:hAnsi="Times New Roman"/>
          <w:sz w:val="24"/>
          <w:szCs w:val="24"/>
        </w:rPr>
        <w:t>G</w:t>
      </w:r>
      <w:r w:rsidR="00953446" w:rsidRPr="00263016">
        <w:rPr>
          <w:rFonts w:ascii="Times New Roman" w:hAnsi="Times New Roman"/>
          <w:sz w:val="24"/>
          <w:szCs w:val="24"/>
        </w:rPr>
        <w:t>;</w:t>
      </w:r>
      <w:r w:rsidRPr="00263016">
        <w:rPr>
          <w:rFonts w:ascii="Times New Roman" w:hAnsi="Times New Roman"/>
          <w:sz w:val="24"/>
          <w:szCs w:val="24"/>
        </w:rPr>
        <w:t>rant</w:t>
      </w:r>
      <w:proofErr w:type="spellEnd"/>
      <w:r w:rsidRPr="00263016">
        <w:rPr>
          <w:rFonts w:ascii="Times New Roman" w:hAnsi="Times New Roman"/>
          <w:sz w:val="24"/>
          <w:szCs w:val="24"/>
        </w:rPr>
        <w:t>, Public Transport Network Grant, Integrated National Electrification Grant</w:t>
      </w:r>
    </w:p>
    <w:p w14:paraId="1DC4079F"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Water and sanitation specific grants –reduced by smaller proportions than other grants</w:t>
      </w:r>
      <w:r w:rsidR="00953446" w:rsidRPr="00263016">
        <w:rPr>
          <w:rFonts w:ascii="Times New Roman" w:hAnsi="Times New Roman"/>
          <w:sz w:val="24"/>
          <w:szCs w:val="24"/>
        </w:rPr>
        <w:t>; and</w:t>
      </w:r>
    </w:p>
    <w:p w14:paraId="046524F9"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Other local government grants including Financial Management Grant and EPWP.</w:t>
      </w:r>
    </w:p>
    <w:p w14:paraId="37481F80" w14:textId="77777777" w:rsidR="00B261C3" w:rsidRPr="00263016" w:rsidRDefault="00B261C3" w:rsidP="00263016">
      <w:pPr>
        <w:autoSpaceDE w:val="0"/>
        <w:autoSpaceDN w:val="0"/>
        <w:adjustRightInd w:val="0"/>
        <w:spacing w:before="120" w:after="120" w:line="240" w:lineRule="auto"/>
        <w:ind w:left="360" w:hanging="360"/>
        <w:jc w:val="both"/>
        <w:rPr>
          <w:rFonts w:ascii="Times New Roman" w:hAnsi="Times New Roman"/>
          <w:sz w:val="24"/>
          <w:szCs w:val="24"/>
        </w:rPr>
      </w:pPr>
      <w:r w:rsidRPr="00263016">
        <w:rPr>
          <w:rFonts w:ascii="Times New Roman" w:hAnsi="Times New Roman"/>
          <w:sz w:val="24"/>
          <w:szCs w:val="24"/>
        </w:rPr>
        <w:t>The following are the Division of Revenue transfers</w:t>
      </w:r>
      <w:r w:rsidR="000523E7" w:rsidRPr="00263016">
        <w:rPr>
          <w:rFonts w:ascii="Times New Roman" w:hAnsi="Times New Roman"/>
          <w:sz w:val="24"/>
          <w:szCs w:val="24"/>
        </w:rPr>
        <w:t>,</w:t>
      </w:r>
      <w:r w:rsidRPr="00263016">
        <w:rPr>
          <w:rFonts w:ascii="Times New Roman" w:hAnsi="Times New Roman"/>
          <w:sz w:val="24"/>
          <w:szCs w:val="24"/>
        </w:rPr>
        <w:t xml:space="preserve"> which were not reduced:</w:t>
      </w:r>
    </w:p>
    <w:p w14:paraId="64ED506F"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 National School Nutrition Programme Grant which provides meals to 9 million poor learners</w:t>
      </w:r>
      <w:r w:rsidR="00953446" w:rsidRPr="00263016">
        <w:rPr>
          <w:rFonts w:ascii="Times New Roman" w:hAnsi="Times New Roman"/>
          <w:sz w:val="24"/>
          <w:szCs w:val="24"/>
        </w:rPr>
        <w:t>;</w:t>
      </w:r>
    </w:p>
    <w:p w14:paraId="7F33917B"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Comprehensive HIV, Aids and TB Grant</w:t>
      </w:r>
      <w:r w:rsidR="00953446" w:rsidRPr="00263016">
        <w:rPr>
          <w:rFonts w:ascii="Times New Roman" w:hAnsi="Times New Roman"/>
          <w:sz w:val="24"/>
          <w:szCs w:val="24"/>
        </w:rPr>
        <w:t>;</w:t>
      </w:r>
    </w:p>
    <w:p w14:paraId="78610FBF"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Public Transport Operations Grant which funds bus subsidies for commuters</w:t>
      </w:r>
      <w:r w:rsidR="00953446" w:rsidRPr="00263016">
        <w:rPr>
          <w:rFonts w:ascii="Times New Roman" w:hAnsi="Times New Roman"/>
          <w:sz w:val="24"/>
          <w:szCs w:val="24"/>
        </w:rPr>
        <w:t>;</w:t>
      </w:r>
    </w:p>
    <w:p w14:paraId="3EA5FA2A"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Learners with Profound Intellectual Disabilities Grant which is to preserve access for intellectually challenged scholars</w:t>
      </w:r>
      <w:r w:rsidR="00953446" w:rsidRPr="00263016">
        <w:rPr>
          <w:rFonts w:ascii="Times New Roman" w:hAnsi="Times New Roman"/>
          <w:sz w:val="24"/>
          <w:szCs w:val="24"/>
        </w:rPr>
        <w:t>;</w:t>
      </w:r>
    </w:p>
    <w:p w14:paraId="007AE6C4"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Human Papillomavirus vaccine grant which reduces the incidence of cervical cancer in women</w:t>
      </w:r>
      <w:r w:rsidR="00953446" w:rsidRPr="00263016">
        <w:rPr>
          <w:rFonts w:ascii="Times New Roman" w:hAnsi="Times New Roman"/>
          <w:sz w:val="24"/>
          <w:szCs w:val="24"/>
        </w:rPr>
        <w:t>; and</w:t>
      </w:r>
    </w:p>
    <w:p w14:paraId="05F3A7F3" w14:textId="77777777" w:rsidR="00B261C3" w:rsidRPr="00263016" w:rsidRDefault="00B261C3" w:rsidP="00263016">
      <w:pPr>
        <w:pStyle w:val="ListParagraph"/>
        <w:numPr>
          <w:ilvl w:val="0"/>
          <w:numId w:val="3"/>
        </w:num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Other local government grants including the Energy Efficiency Demand Side Management Grant</w:t>
      </w:r>
      <w:r w:rsidR="00953446" w:rsidRPr="00263016">
        <w:rPr>
          <w:rFonts w:ascii="Times New Roman" w:hAnsi="Times New Roman"/>
          <w:sz w:val="24"/>
          <w:szCs w:val="24"/>
        </w:rPr>
        <w:t xml:space="preserve">. </w:t>
      </w:r>
    </w:p>
    <w:p w14:paraId="6F7ED856" w14:textId="77777777" w:rsidR="00AD1000" w:rsidRPr="00263016" w:rsidRDefault="00AD1000"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The 2018 Budget provides for a provisional allocation in 2018/19 of R6 billion for drought management, assistance to the water sector, and to improve the planning and execution of national priority infrastructure projects. National Treasury in its submission indicated that South Africa is a water-scarce country thus the need to reduce consumption and make greater use of groundwater and desalination. Furthermore, municipalities need to reduce leakages from their reticulation networks and consumers will have to adjust to paying tariffs that reflect the value of water as a precious resource.</w:t>
      </w:r>
    </w:p>
    <w:p w14:paraId="703E5661" w14:textId="77777777" w:rsidR="00AD1000" w:rsidRPr="00263016" w:rsidRDefault="00AD1000"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In engaging on the 2018 Division of Revenue, National Treasury submitted to the Committee that there is a need to improve the impact of transfers made to municipalities. More specifically, the </w:t>
      </w:r>
      <w:r w:rsidR="00D10758" w:rsidRPr="00263016">
        <w:rPr>
          <w:rFonts w:ascii="Times New Roman" w:hAnsi="Times New Roman"/>
          <w:sz w:val="24"/>
          <w:szCs w:val="24"/>
        </w:rPr>
        <w:t xml:space="preserve">National </w:t>
      </w:r>
      <w:r w:rsidRPr="00263016">
        <w:rPr>
          <w:rFonts w:ascii="Times New Roman" w:hAnsi="Times New Roman"/>
          <w:sz w:val="24"/>
          <w:szCs w:val="24"/>
        </w:rPr>
        <w:t xml:space="preserve">Treasury indicated that some of the municipalities that gained the most from the new LGES formula introduced in 2013/14 seem to have invested more of their increased resources on increased salaries rather than expanded services. In addition, increases for some District Municipalities from Regional Services Council (RSC) levies seem to have mostly been spent on salaries. Funds allocated for </w:t>
      </w:r>
      <w:r w:rsidR="00CA51B4" w:rsidRPr="00263016">
        <w:rPr>
          <w:rFonts w:ascii="Times New Roman" w:hAnsi="Times New Roman"/>
          <w:sz w:val="24"/>
          <w:szCs w:val="24"/>
        </w:rPr>
        <w:t>capacity</w:t>
      </w:r>
      <w:r w:rsidRPr="00263016">
        <w:rPr>
          <w:rFonts w:ascii="Times New Roman" w:hAnsi="Times New Roman"/>
          <w:sz w:val="24"/>
          <w:szCs w:val="24"/>
        </w:rPr>
        <w:t xml:space="preserve"> support amount to </w:t>
      </w:r>
      <w:r w:rsidR="00CA51B4" w:rsidRPr="00263016">
        <w:rPr>
          <w:rFonts w:ascii="Times New Roman" w:hAnsi="Times New Roman"/>
          <w:sz w:val="24"/>
          <w:szCs w:val="24"/>
        </w:rPr>
        <w:t xml:space="preserve">approximately </w:t>
      </w:r>
      <w:r w:rsidRPr="00263016">
        <w:rPr>
          <w:rFonts w:ascii="Times New Roman" w:hAnsi="Times New Roman"/>
          <w:sz w:val="24"/>
          <w:szCs w:val="24"/>
        </w:rPr>
        <w:t xml:space="preserve">R2 billion annually. </w:t>
      </w:r>
    </w:p>
    <w:p w14:paraId="2284C0D9" w14:textId="77777777" w:rsidR="00CA51B4" w:rsidRPr="00263016" w:rsidRDefault="00CA51B4"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indicated that work is underway in designing a new funding mechanism to support the implementation of recovery plans for municipalities in financial crisis. The proposed </w:t>
      </w:r>
      <w:r w:rsidRPr="00263016">
        <w:rPr>
          <w:rFonts w:ascii="Times New Roman" w:hAnsi="Times New Roman"/>
          <w:i/>
          <w:sz w:val="24"/>
          <w:szCs w:val="24"/>
        </w:rPr>
        <w:t>municipal restructuring conditional grant</w:t>
      </w:r>
      <w:r w:rsidRPr="00263016">
        <w:rPr>
          <w:rFonts w:ascii="Times New Roman" w:hAnsi="Times New Roman"/>
          <w:sz w:val="24"/>
          <w:szCs w:val="24"/>
        </w:rPr>
        <w:t xml:space="preserve"> </w:t>
      </w:r>
      <w:r w:rsidR="001E7C95" w:rsidRPr="00263016">
        <w:rPr>
          <w:rFonts w:ascii="Times New Roman" w:hAnsi="Times New Roman"/>
          <w:sz w:val="24"/>
          <w:szCs w:val="24"/>
        </w:rPr>
        <w:t xml:space="preserve">for 2019/20 </w:t>
      </w:r>
      <w:r w:rsidRPr="00263016">
        <w:rPr>
          <w:rFonts w:ascii="Times New Roman" w:hAnsi="Times New Roman"/>
          <w:sz w:val="24"/>
          <w:szCs w:val="24"/>
        </w:rPr>
        <w:t>will support the implementation of financial recovery plans with clear requirements such as municipalities demonstrating commitment to implementing necessary reforms before they access funding (including contain</w:t>
      </w:r>
      <w:r w:rsidR="007C186C" w:rsidRPr="00263016">
        <w:rPr>
          <w:rFonts w:ascii="Times New Roman" w:hAnsi="Times New Roman"/>
          <w:sz w:val="24"/>
          <w:szCs w:val="24"/>
        </w:rPr>
        <w:t>ing</w:t>
      </w:r>
      <w:r w:rsidRPr="00263016">
        <w:rPr>
          <w:rFonts w:ascii="Times New Roman" w:hAnsi="Times New Roman"/>
          <w:sz w:val="24"/>
          <w:szCs w:val="24"/>
        </w:rPr>
        <w:t xml:space="preserve"> employee related costs, limiting non-priority spending, increasing revenue collection and adopting funded budgets).</w:t>
      </w:r>
    </w:p>
    <w:p w14:paraId="59E7172D" w14:textId="77777777" w:rsidR="001E7C95" w:rsidRPr="00263016" w:rsidRDefault="001E7C95"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With respect to the </w:t>
      </w:r>
      <w:r w:rsidRPr="00263016">
        <w:rPr>
          <w:rFonts w:ascii="Times New Roman" w:hAnsi="Times New Roman"/>
          <w:i/>
          <w:sz w:val="24"/>
          <w:szCs w:val="24"/>
        </w:rPr>
        <w:t>Schools Infrastructure Backlogs Grant,</w:t>
      </w:r>
      <w:r w:rsidRPr="00263016">
        <w:rPr>
          <w:rFonts w:ascii="Times New Roman" w:hAnsi="Times New Roman"/>
          <w:sz w:val="24"/>
          <w:szCs w:val="24"/>
        </w:rPr>
        <w:t xml:space="preserve"> National Treasury indicated that it had issued a cost-control instruction note that seeks to manage and control costs of building schools in order to achieve value for money. Moreover, National Treasury can support the department with the implementation of this </w:t>
      </w:r>
      <w:r w:rsidRPr="00263016">
        <w:rPr>
          <w:rFonts w:ascii="Times New Roman" w:hAnsi="Times New Roman"/>
          <w:i/>
          <w:iCs/>
          <w:sz w:val="24"/>
          <w:szCs w:val="24"/>
        </w:rPr>
        <w:t xml:space="preserve">instruction note and </w:t>
      </w:r>
      <w:r w:rsidRPr="00263016">
        <w:rPr>
          <w:rFonts w:ascii="Times New Roman" w:hAnsi="Times New Roman"/>
          <w:sz w:val="24"/>
          <w:szCs w:val="24"/>
        </w:rPr>
        <w:t xml:space="preserve">can explore ways to assist </w:t>
      </w:r>
      <w:r w:rsidR="007C186C" w:rsidRPr="00263016">
        <w:rPr>
          <w:rFonts w:ascii="Times New Roman" w:hAnsi="Times New Roman"/>
          <w:sz w:val="24"/>
          <w:szCs w:val="24"/>
        </w:rPr>
        <w:t xml:space="preserve">the </w:t>
      </w:r>
      <w:r w:rsidRPr="00263016">
        <w:rPr>
          <w:rFonts w:ascii="Times New Roman" w:hAnsi="Times New Roman"/>
          <w:sz w:val="24"/>
          <w:szCs w:val="24"/>
        </w:rPr>
        <w:t xml:space="preserve">Department of Basic Education (DBE) on contract management issues. </w:t>
      </w:r>
    </w:p>
    <w:p w14:paraId="11710B18" w14:textId="77777777" w:rsidR="00CA51B4" w:rsidRPr="00263016" w:rsidRDefault="00302146"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The non-payment </w:t>
      </w:r>
      <w:r w:rsidR="0079078C" w:rsidRPr="00263016">
        <w:rPr>
          <w:rFonts w:ascii="Times New Roman" w:hAnsi="Times New Roman"/>
          <w:sz w:val="24"/>
          <w:szCs w:val="24"/>
        </w:rPr>
        <w:t>of</w:t>
      </w:r>
      <w:r w:rsidRPr="00263016">
        <w:rPr>
          <w:rFonts w:ascii="Times New Roman" w:hAnsi="Times New Roman"/>
          <w:sz w:val="24"/>
          <w:szCs w:val="24"/>
        </w:rPr>
        <w:t xml:space="preserve"> creditors </w:t>
      </w:r>
      <w:r w:rsidR="0079078C" w:rsidRPr="00263016">
        <w:rPr>
          <w:rFonts w:ascii="Times New Roman" w:hAnsi="Times New Roman"/>
          <w:sz w:val="24"/>
          <w:szCs w:val="24"/>
        </w:rPr>
        <w:t xml:space="preserve">by the three spheres of government </w:t>
      </w:r>
      <w:r w:rsidRPr="00263016">
        <w:rPr>
          <w:rFonts w:ascii="Times New Roman" w:hAnsi="Times New Roman"/>
          <w:sz w:val="24"/>
          <w:szCs w:val="24"/>
        </w:rPr>
        <w:t xml:space="preserve">continues to present a challenge. Political office bearers have been tasked to resolve this issue through the </w:t>
      </w:r>
      <w:r w:rsidRPr="00263016">
        <w:rPr>
          <w:rFonts w:ascii="Times New Roman" w:hAnsi="Times New Roman"/>
          <w:sz w:val="24"/>
          <w:szCs w:val="24"/>
        </w:rPr>
        <w:lastRenderedPageBreak/>
        <w:t xml:space="preserve">establishment of an </w:t>
      </w:r>
      <w:proofErr w:type="spellStart"/>
      <w:r w:rsidRPr="00263016">
        <w:rPr>
          <w:rFonts w:ascii="Times New Roman" w:hAnsi="Times New Roman"/>
          <w:sz w:val="24"/>
          <w:szCs w:val="24"/>
        </w:rPr>
        <w:t>Inter Ministerial</w:t>
      </w:r>
      <w:proofErr w:type="spellEnd"/>
      <w:r w:rsidRPr="00263016">
        <w:rPr>
          <w:rFonts w:ascii="Times New Roman" w:hAnsi="Times New Roman"/>
          <w:sz w:val="24"/>
          <w:szCs w:val="24"/>
        </w:rPr>
        <w:t xml:space="preserve"> Committee (IMC) which will deal with issues pertaining to the electricity bulk supply. The IMC will be supported by the Inter Ministerial Task Team (IMTT</w:t>
      </w:r>
      <w:proofErr w:type="gramStart"/>
      <w:r w:rsidRPr="00263016">
        <w:rPr>
          <w:rFonts w:ascii="Times New Roman" w:hAnsi="Times New Roman"/>
          <w:sz w:val="24"/>
          <w:szCs w:val="24"/>
        </w:rPr>
        <w:t>)  that</w:t>
      </w:r>
      <w:proofErr w:type="gramEnd"/>
      <w:r w:rsidRPr="00263016">
        <w:rPr>
          <w:rFonts w:ascii="Times New Roman" w:hAnsi="Times New Roman"/>
          <w:sz w:val="24"/>
          <w:szCs w:val="24"/>
        </w:rPr>
        <w:t xml:space="preserve"> will look into systemic and structural challenges and the mandate will include the non-payment of water bulk supply. National Treasury submitted that the ‘’culture of non-payment’’ threatens municipal financial sustainability. </w:t>
      </w:r>
    </w:p>
    <w:p w14:paraId="38C340DB" w14:textId="77777777" w:rsidR="00953446" w:rsidRPr="00263016" w:rsidRDefault="00302146"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Urban development reforms are moving beyond metropolitan municipalities into intermediate cites. National Treasury indicated that work is underway for the introduction of a new Integrated Urban Development Grant in 2019/20 which aims to support the dev</w:t>
      </w:r>
      <w:r w:rsidR="001C0A1F" w:rsidRPr="00263016">
        <w:rPr>
          <w:rFonts w:ascii="Times New Roman" w:hAnsi="Times New Roman"/>
          <w:sz w:val="24"/>
          <w:szCs w:val="24"/>
        </w:rPr>
        <w:t>elopment of intermediate cities.</w:t>
      </w:r>
    </w:p>
    <w:p w14:paraId="359BE0AF" w14:textId="77777777" w:rsidR="00953446" w:rsidRPr="00263016" w:rsidRDefault="00953446" w:rsidP="00263016">
      <w:pPr>
        <w:spacing w:before="120" w:after="120" w:line="240" w:lineRule="auto"/>
        <w:jc w:val="both"/>
        <w:rPr>
          <w:rFonts w:ascii="Times New Roman" w:hAnsi="Times New Roman"/>
          <w:color w:val="000000"/>
          <w:sz w:val="24"/>
          <w:szCs w:val="24"/>
          <w:highlight w:val="yellow"/>
          <w:lang w:eastAsia="en-ZA"/>
        </w:rPr>
      </w:pPr>
    </w:p>
    <w:p w14:paraId="38076C39"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b/>
          <w:color w:val="000000"/>
          <w:sz w:val="24"/>
          <w:szCs w:val="24"/>
          <w:lang w:eastAsia="en-ZA"/>
        </w:rPr>
        <w:t xml:space="preserve">Table 3: </w:t>
      </w:r>
      <w:r w:rsidRPr="00263016">
        <w:rPr>
          <w:rFonts w:ascii="Times New Roman" w:hAnsi="Times New Roman"/>
          <w:color w:val="000000"/>
          <w:sz w:val="24"/>
          <w:szCs w:val="24"/>
          <w:lang w:eastAsia="en-ZA"/>
        </w:rPr>
        <w:t>Condit</w:t>
      </w:r>
      <w:r w:rsidR="00612A3E" w:rsidRPr="00263016">
        <w:rPr>
          <w:rFonts w:ascii="Times New Roman" w:hAnsi="Times New Roman"/>
          <w:color w:val="000000"/>
          <w:sz w:val="24"/>
          <w:szCs w:val="24"/>
          <w:lang w:eastAsia="en-ZA"/>
        </w:rPr>
        <w:t>ional Grants to provinces 201</w:t>
      </w:r>
      <w:r w:rsidRPr="00263016">
        <w:rPr>
          <w:rFonts w:ascii="Times New Roman" w:hAnsi="Times New Roman"/>
          <w:color w:val="000000"/>
          <w:sz w:val="24"/>
          <w:szCs w:val="24"/>
          <w:lang w:eastAsia="en-ZA"/>
        </w:rPr>
        <w:t>7</w:t>
      </w:r>
      <w:r w:rsidR="00612A3E" w:rsidRPr="00263016">
        <w:rPr>
          <w:rFonts w:ascii="Times New Roman" w:hAnsi="Times New Roman"/>
          <w:color w:val="000000"/>
          <w:sz w:val="24"/>
          <w:szCs w:val="24"/>
          <w:lang w:eastAsia="en-ZA"/>
        </w:rPr>
        <w:t>/18</w:t>
      </w:r>
      <w:r w:rsidR="00B30205" w:rsidRPr="00263016">
        <w:rPr>
          <w:rFonts w:ascii="Times New Roman" w:hAnsi="Times New Roman"/>
          <w:color w:val="000000"/>
          <w:sz w:val="24"/>
          <w:szCs w:val="24"/>
          <w:lang w:eastAsia="en-ZA"/>
        </w:rPr>
        <w:t xml:space="preserve"> to 2020/21</w:t>
      </w:r>
      <w:r w:rsidRPr="00263016">
        <w:rPr>
          <w:rFonts w:ascii="Times New Roman" w:hAnsi="Times New Roman"/>
          <w:color w:val="000000"/>
          <w:sz w:val="24"/>
          <w:szCs w:val="24"/>
          <w:lang w:eastAsia="en-ZA"/>
        </w:rPr>
        <w:t xml:space="preserve"> </w:t>
      </w:r>
    </w:p>
    <w:p w14:paraId="0FCF8799" w14:textId="77777777" w:rsidR="00AC035C" w:rsidRPr="00263016" w:rsidRDefault="00476083" w:rsidP="00263016">
      <w:pPr>
        <w:spacing w:before="120" w:after="120" w:line="240" w:lineRule="auto"/>
        <w:jc w:val="both"/>
        <w:rPr>
          <w:rFonts w:ascii="Times New Roman" w:hAnsi="Times New Roman"/>
          <w:b/>
          <w:color w:val="000000"/>
          <w:sz w:val="24"/>
          <w:szCs w:val="24"/>
          <w:lang w:eastAsia="en-ZA"/>
        </w:rPr>
      </w:pPr>
      <w:r w:rsidRPr="00263016">
        <w:rPr>
          <w:rFonts w:ascii="Times New Roman" w:hAnsi="Times New Roman"/>
          <w:b/>
          <w:color w:val="000000"/>
          <w:sz w:val="24"/>
          <w:szCs w:val="24"/>
          <w:lang w:eastAsia="en-ZA"/>
        </w:rPr>
        <w:object w:dxaOrig="8652" w:dyaOrig="6744" w14:anchorId="4C3AEACD">
          <v:shape id="_x0000_i1026" type="#_x0000_t75" style="width:6in;height:336pt" o:ole="">
            <v:imagedata r:id="rId11" o:title=""/>
          </v:shape>
          <o:OLEObject Type="Embed" ProgID="Excel.Sheet.12" ShapeID="_x0000_i1026" DrawAspect="Content" ObjectID="_1582706223" r:id="rId12"/>
        </w:object>
      </w:r>
    </w:p>
    <w:p w14:paraId="2791B799" w14:textId="77777777" w:rsidR="00476083" w:rsidRPr="00263016" w:rsidRDefault="00476083" w:rsidP="00263016">
      <w:pPr>
        <w:spacing w:before="120" w:after="120" w:line="240" w:lineRule="auto"/>
        <w:jc w:val="both"/>
        <w:rPr>
          <w:rFonts w:ascii="Times New Roman" w:hAnsi="Times New Roman"/>
          <w:i/>
          <w:color w:val="000000"/>
          <w:sz w:val="24"/>
          <w:szCs w:val="24"/>
          <w:lang w:eastAsia="en-ZA"/>
        </w:rPr>
      </w:pPr>
      <w:r w:rsidRPr="00263016">
        <w:rPr>
          <w:rFonts w:ascii="Times New Roman" w:hAnsi="Times New Roman"/>
          <w:i/>
          <w:color w:val="000000"/>
          <w:sz w:val="24"/>
          <w:szCs w:val="24"/>
          <w:vertAlign w:val="superscript"/>
          <w:lang w:eastAsia="en-ZA"/>
        </w:rPr>
        <w:t>1</w:t>
      </w:r>
      <w:r w:rsidRPr="00263016">
        <w:rPr>
          <w:rFonts w:ascii="Times New Roman" w:hAnsi="Times New Roman"/>
          <w:i/>
          <w:color w:val="000000"/>
          <w:sz w:val="24"/>
          <w:szCs w:val="24"/>
          <w:lang w:eastAsia="en-ZA"/>
        </w:rPr>
        <w:t>Excludes provisional allocations</w:t>
      </w:r>
    </w:p>
    <w:p w14:paraId="1C3D3935" w14:textId="77777777" w:rsidR="00AC035C" w:rsidRPr="00263016" w:rsidRDefault="00612A3E" w:rsidP="00263016">
      <w:pPr>
        <w:spacing w:before="120" w:after="120" w:line="240" w:lineRule="auto"/>
        <w:jc w:val="both"/>
        <w:rPr>
          <w:rFonts w:ascii="Times New Roman" w:hAnsi="Times New Roman"/>
          <w:i/>
          <w:color w:val="000000"/>
          <w:sz w:val="24"/>
          <w:szCs w:val="24"/>
          <w:lang w:eastAsia="en-ZA"/>
        </w:rPr>
      </w:pPr>
      <w:r w:rsidRPr="00263016">
        <w:rPr>
          <w:rFonts w:ascii="Times New Roman" w:hAnsi="Times New Roman"/>
          <w:i/>
          <w:color w:val="000000"/>
          <w:sz w:val="24"/>
          <w:szCs w:val="24"/>
          <w:lang w:eastAsia="en-ZA"/>
        </w:rPr>
        <w:t>Source: National Treasury 2018</w:t>
      </w:r>
    </w:p>
    <w:p w14:paraId="73C86ACF"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p>
    <w:p w14:paraId="6AB68F1E"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Direct condition</w:t>
      </w:r>
      <w:r w:rsidR="00612A3E" w:rsidRPr="00263016">
        <w:rPr>
          <w:rFonts w:ascii="Times New Roman" w:hAnsi="Times New Roman"/>
          <w:color w:val="000000"/>
          <w:sz w:val="24"/>
          <w:szCs w:val="24"/>
          <w:lang w:eastAsia="en-ZA"/>
        </w:rPr>
        <w:t>al grant baselines total R100.711 billion in 2018/19, R106.739 billion in 2019/20 and R115.008 billion in 2020/21</w:t>
      </w:r>
      <w:r w:rsidRPr="00263016">
        <w:rPr>
          <w:rFonts w:ascii="Times New Roman" w:hAnsi="Times New Roman"/>
          <w:color w:val="000000"/>
          <w:sz w:val="24"/>
          <w:szCs w:val="24"/>
          <w:lang w:eastAsia="en-ZA"/>
        </w:rPr>
        <w:t>. Indirect conditional grants amount to R</w:t>
      </w:r>
      <w:r w:rsidR="007C186C" w:rsidRPr="00263016">
        <w:rPr>
          <w:rFonts w:ascii="Times New Roman" w:hAnsi="Times New Roman"/>
          <w:color w:val="000000"/>
          <w:sz w:val="24"/>
          <w:szCs w:val="24"/>
          <w:lang w:eastAsia="en-ZA"/>
        </w:rPr>
        <w:t>3</w:t>
      </w:r>
      <w:r w:rsidRPr="00263016">
        <w:rPr>
          <w:rFonts w:ascii="Times New Roman" w:hAnsi="Times New Roman"/>
          <w:color w:val="000000"/>
          <w:sz w:val="24"/>
          <w:szCs w:val="24"/>
          <w:lang w:eastAsia="en-ZA"/>
        </w:rPr>
        <w:t>.</w:t>
      </w:r>
      <w:r w:rsidR="00612A3E" w:rsidRPr="00263016">
        <w:rPr>
          <w:rFonts w:ascii="Times New Roman" w:hAnsi="Times New Roman"/>
          <w:color w:val="000000"/>
          <w:sz w:val="24"/>
          <w:szCs w:val="24"/>
          <w:lang w:eastAsia="en-ZA"/>
        </w:rPr>
        <w:t>776 billion, R4.366 billion and R4.744</w:t>
      </w:r>
      <w:r w:rsidRPr="00263016">
        <w:rPr>
          <w:rFonts w:ascii="Times New Roman" w:hAnsi="Times New Roman"/>
          <w:color w:val="000000"/>
          <w:sz w:val="24"/>
          <w:szCs w:val="24"/>
          <w:lang w:eastAsia="en-ZA"/>
        </w:rPr>
        <w:t xml:space="preserve"> billion respectively for each year of the same period. Changes to prov</w:t>
      </w:r>
      <w:r w:rsidR="00612A3E" w:rsidRPr="00263016">
        <w:rPr>
          <w:rFonts w:ascii="Times New Roman" w:hAnsi="Times New Roman"/>
          <w:color w:val="000000"/>
          <w:sz w:val="24"/>
          <w:szCs w:val="24"/>
          <w:lang w:eastAsia="en-ZA"/>
        </w:rPr>
        <w:t>incial allocations over the 2018</w:t>
      </w:r>
      <w:r w:rsidRPr="00263016">
        <w:rPr>
          <w:rFonts w:ascii="Times New Roman" w:hAnsi="Times New Roman"/>
          <w:color w:val="000000"/>
          <w:sz w:val="24"/>
          <w:szCs w:val="24"/>
          <w:lang w:eastAsia="en-ZA"/>
        </w:rPr>
        <w:t xml:space="preserve"> MTEF include:</w:t>
      </w:r>
    </w:p>
    <w:p w14:paraId="789D5EEA" w14:textId="77777777" w:rsidR="00AC035C" w:rsidRPr="00263016" w:rsidRDefault="00AC035C" w:rsidP="00263016">
      <w:pPr>
        <w:spacing w:before="120" w:after="120" w:line="240" w:lineRule="auto"/>
        <w:ind w:left="720"/>
        <w:jc w:val="both"/>
        <w:rPr>
          <w:rFonts w:ascii="Times New Roman" w:hAnsi="Times New Roman"/>
          <w:color w:val="000000"/>
          <w:sz w:val="24"/>
          <w:szCs w:val="24"/>
          <w:lang w:eastAsia="en-ZA"/>
        </w:rPr>
      </w:pPr>
    </w:p>
    <w:p w14:paraId="484F4239" w14:textId="77777777" w:rsidR="00AC035C" w:rsidRPr="00263016" w:rsidRDefault="00612A3E" w:rsidP="00263016">
      <w:pPr>
        <w:numPr>
          <w:ilvl w:val="0"/>
          <w:numId w:val="4"/>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lastRenderedPageBreak/>
        <w:t xml:space="preserve">A new </w:t>
      </w:r>
      <w:r w:rsidRPr="00263016">
        <w:rPr>
          <w:rFonts w:ascii="Times New Roman" w:hAnsi="Times New Roman"/>
          <w:i/>
          <w:color w:val="000000"/>
          <w:sz w:val="24"/>
          <w:szCs w:val="24"/>
          <w:lang w:eastAsia="en-ZA"/>
        </w:rPr>
        <w:t>title deeds restoration grant</w:t>
      </w:r>
      <w:r w:rsidRPr="00263016">
        <w:rPr>
          <w:rFonts w:ascii="Times New Roman" w:hAnsi="Times New Roman"/>
          <w:color w:val="000000"/>
          <w:sz w:val="24"/>
          <w:szCs w:val="24"/>
          <w:lang w:eastAsia="en-ZA"/>
        </w:rPr>
        <w:t>, which aims to improve the property market by eradicating the long-standing backlog in title deeds registration associated with past beneficiaries of state-subsidised housing</w:t>
      </w:r>
      <w:r w:rsidR="00953446" w:rsidRPr="00263016">
        <w:rPr>
          <w:rFonts w:ascii="Times New Roman" w:hAnsi="Times New Roman"/>
          <w:color w:val="000000"/>
          <w:sz w:val="24"/>
          <w:szCs w:val="24"/>
          <w:lang w:eastAsia="en-ZA"/>
        </w:rPr>
        <w:t>.</w:t>
      </w:r>
    </w:p>
    <w:p w14:paraId="23AC716E" w14:textId="77777777" w:rsidR="00612A3E" w:rsidRPr="00263016" w:rsidRDefault="00B30205" w:rsidP="00263016">
      <w:pPr>
        <w:numPr>
          <w:ilvl w:val="0"/>
          <w:numId w:val="4"/>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 xml:space="preserve">A new </w:t>
      </w:r>
      <w:r w:rsidR="00612A3E" w:rsidRPr="00263016">
        <w:rPr>
          <w:rFonts w:ascii="Times New Roman" w:hAnsi="Times New Roman"/>
          <w:i/>
          <w:color w:val="000000"/>
          <w:sz w:val="24"/>
          <w:szCs w:val="24"/>
          <w:lang w:eastAsia="en-ZA"/>
        </w:rPr>
        <w:t>provincial emergency</w:t>
      </w:r>
      <w:r w:rsidRPr="00263016">
        <w:rPr>
          <w:rFonts w:ascii="Times New Roman" w:hAnsi="Times New Roman"/>
          <w:i/>
          <w:color w:val="000000"/>
          <w:sz w:val="24"/>
          <w:szCs w:val="24"/>
          <w:lang w:eastAsia="en-ZA"/>
        </w:rPr>
        <w:t xml:space="preserve"> </w:t>
      </w:r>
      <w:r w:rsidR="00612A3E" w:rsidRPr="00263016">
        <w:rPr>
          <w:rFonts w:ascii="Times New Roman" w:hAnsi="Times New Roman"/>
          <w:i/>
          <w:color w:val="000000"/>
          <w:sz w:val="24"/>
          <w:szCs w:val="24"/>
          <w:lang w:eastAsia="en-ZA"/>
        </w:rPr>
        <w:t>housing grant</w:t>
      </w:r>
      <w:r w:rsidR="00612A3E" w:rsidRPr="00263016">
        <w:rPr>
          <w:rFonts w:ascii="Times New Roman" w:hAnsi="Times New Roman"/>
          <w:color w:val="000000"/>
          <w:sz w:val="24"/>
          <w:szCs w:val="24"/>
          <w:lang w:eastAsia="en-ZA"/>
        </w:rPr>
        <w:t>, which should allow national government to respond to emergency housing situations</w:t>
      </w:r>
      <w:r w:rsidRPr="00263016">
        <w:rPr>
          <w:rFonts w:ascii="Times New Roman" w:hAnsi="Times New Roman"/>
          <w:color w:val="000000"/>
          <w:sz w:val="24"/>
          <w:szCs w:val="24"/>
          <w:lang w:eastAsia="en-ZA"/>
        </w:rPr>
        <w:t xml:space="preserve"> </w:t>
      </w:r>
      <w:r w:rsidR="00612A3E" w:rsidRPr="00263016">
        <w:rPr>
          <w:rFonts w:ascii="Times New Roman" w:hAnsi="Times New Roman"/>
          <w:color w:val="000000"/>
          <w:sz w:val="24"/>
          <w:szCs w:val="24"/>
          <w:lang w:eastAsia="en-ZA"/>
        </w:rPr>
        <w:t>quickly and flexibly.</w:t>
      </w:r>
    </w:p>
    <w:p w14:paraId="298851F1" w14:textId="77777777" w:rsidR="00B30205" w:rsidRPr="00263016" w:rsidRDefault="00B30205" w:rsidP="00263016">
      <w:pPr>
        <w:numPr>
          <w:ilvl w:val="0"/>
          <w:numId w:val="4"/>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 xml:space="preserve">A new a sub-component for community outreach services is introduced into the </w:t>
      </w:r>
      <w:r w:rsidRPr="00263016">
        <w:rPr>
          <w:rFonts w:ascii="Times New Roman" w:hAnsi="Times New Roman"/>
          <w:i/>
          <w:color w:val="000000"/>
          <w:sz w:val="24"/>
          <w:szCs w:val="24"/>
          <w:lang w:eastAsia="en-ZA"/>
        </w:rPr>
        <w:t>comprehensive HIV, AIDS and TB grant</w:t>
      </w:r>
      <w:r w:rsidRPr="00263016">
        <w:rPr>
          <w:rFonts w:ascii="Times New Roman" w:hAnsi="Times New Roman"/>
          <w:color w:val="000000"/>
          <w:sz w:val="24"/>
          <w:szCs w:val="24"/>
          <w:lang w:eastAsia="en-ZA"/>
        </w:rPr>
        <w:t xml:space="preserve"> so that funds used to support community health workers can be explicitly earmarked. This will help ensure that this cadre of workers is better integrated into national health services.</w:t>
      </w:r>
    </w:p>
    <w:p w14:paraId="6DBC613E" w14:textId="77777777" w:rsidR="00AC035C" w:rsidRPr="00263016" w:rsidRDefault="00AC035C" w:rsidP="00263016">
      <w:pPr>
        <w:spacing w:before="120" w:after="120" w:line="240" w:lineRule="auto"/>
        <w:ind w:left="720"/>
        <w:jc w:val="both"/>
        <w:rPr>
          <w:rFonts w:ascii="Times New Roman" w:hAnsi="Times New Roman"/>
          <w:color w:val="000000"/>
          <w:sz w:val="24"/>
          <w:szCs w:val="24"/>
          <w:lang w:eastAsia="en-ZA"/>
        </w:rPr>
      </w:pPr>
    </w:p>
    <w:p w14:paraId="6EEB676E"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The total value of conditional grants directly transferred to local government increas</w:t>
      </w:r>
      <w:r w:rsidR="00476083" w:rsidRPr="00263016">
        <w:rPr>
          <w:rFonts w:ascii="Times New Roman" w:hAnsi="Times New Roman"/>
          <w:color w:val="000000"/>
          <w:sz w:val="24"/>
          <w:szCs w:val="24"/>
          <w:lang w:eastAsia="en-ZA"/>
        </w:rPr>
        <w:t>es from R43.258 billion in 2018/19</w:t>
      </w:r>
      <w:r w:rsidR="007D3B6E" w:rsidRPr="00263016">
        <w:rPr>
          <w:rFonts w:ascii="Times New Roman" w:hAnsi="Times New Roman"/>
          <w:color w:val="000000"/>
          <w:sz w:val="24"/>
          <w:szCs w:val="24"/>
          <w:lang w:eastAsia="en-ZA"/>
        </w:rPr>
        <w:t xml:space="preserve"> to R44.773 billion in 2019/20 and R47.752 billion in 2020/21</w:t>
      </w:r>
      <w:r w:rsidRPr="00263016">
        <w:rPr>
          <w:rFonts w:ascii="Times New Roman" w:hAnsi="Times New Roman"/>
          <w:color w:val="000000"/>
          <w:sz w:val="24"/>
          <w:szCs w:val="24"/>
          <w:lang w:eastAsia="en-ZA"/>
        </w:rPr>
        <w:t>.</w:t>
      </w:r>
    </w:p>
    <w:p w14:paraId="57EBD3FB"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p>
    <w:p w14:paraId="0D30291E" w14:textId="77777777" w:rsidR="00AC035C" w:rsidRPr="00263016" w:rsidRDefault="00476083"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b/>
          <w:color w:val="000000"/>
          <w:sz w:val="24"/>
          <w:szCs w:val="24"/>
          <w:lang w:eastAsia="en-ZA"/>
        </w:rPr>
        <w:t xml:space="preserve">Table 4: </w:t>
      </w:r>
      <w:r w:rsidRPr="00263016">
        <w:rPr>
          <w:rFonts w:ascii="Times New Roman" w:hAnsi="Times New Roman"/>
          <w:color w:val="000000"/>
          <w:sz w:val="24"/>
          <w:szCs w:val="24"/>
          <w:lang w:eastAsia="en-ZA"/>
        </w:rPr>
        <w:t>Transfers to local government 201</w:t>
      </w:r>
      <w:r w:rsidR="00AC035C" w:rsidRPr="00263016">
        <w:rPr>
          <w:rFonts w:ascii="Times New Roman" w:hAnsi="Times New Roman"/>
          <w:color w:val="000000"/>
          <w:sz w:val="24"/>
          <w:szCs w:val="24"/>
          <w:lang w:eastAsia="en-ZA"/>
        </w:rPr>
        <w:t>7</w:t>
      </w:r>
      <w:r w:rsidRPr="00263016">
        <w:rPr>
          <w:rFonts w:ascii="Times New Roman" w:hAnsi="Times New Roman"/>
          <w:color w:val="000000"/>
          <w:sz w:val="24"/>
          <w:szCs w:val="24"/>
          <w:lang w:eastAsia="en-ZA"/>
        </w:rPr>
        <w:t>/18 to 2020/21</w:t>
      </w:r>
      <w:r w:rsidR="00AC035C" w:rsidRPr="00263016">
        <w:rPr>
          <w:rFonts w:ascii="Times New Roman" w:hAnsi="Times New Roman"/>
          <w:color w:val="000000"/>
          <w:sz w:val="24"/>
          <w:szCs w:val="24"/>
          <w:lang w:eastAsia="en-ZA"/>
        </w:rPr>
        <w:t xml:space="preserve"> </w:t>
      </w:r>
    </w:p>
    <w:p w14:paraId="0BA60AB7" w14:textId="77777777" w:rsidR="00AC035C" w:rsidRPr="00263016" w:rsidRDefault="00476083"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object w:dxaOrig="8535" w:dyaOrig="7448" w14:anchorId="0B4E89D3">
          <v:shape id="_x0000_i1027" type="#_x0000_t75" style="width:426pt;height:372pt" o:ole="">
            <v:imagedata r:id="rId13" o:title=""/>
          </v:shape>
          <o:OLEObject Type="Embed" ProgID="Excel.Sheet.12" ShapeID="_x0000_i1027" DrawAspect="Content" ObjectID="_1582706224" r:id="rId14"/>
        </w:object>
      </w:r>
    </w:p>
    <w:p w14:paraId="7BF5C566" w14:textId="77777777" w:rsidR="00D10758" w:rsidRPr="00263016" w:rsidRDefault="00D10758" w:rsidP="00263016">
      <w:pPr>
        <w:spacing w:before="120" w:after="120" w:line="240" w:lineRule="auto"/>
        <w:jc w:val="both"/>
        <w:rPr>
          <w:rFonts w:ascii="Times New Roman" w:hAnsi="Times New Roman"/>
          <w:i/>
          <w:color w:val="000000"/>
          <w:sz w:val="24"/>
          <w:szCs w:val="24"/>
          <w:lang w:eastAsia="en-ZA"/>
        </w:rPr>
      </w:pPr>
      <w:r w:rsidRPr="00263016">
        <w:rPr>
          <w:rFonts w:ascii="Times New Roman" w:hAnsi="Times New Roman"/>
          <w:i/>
          <w:color w:val="000000"/>
          <w:sz w:val="24"/>
          <w:szCs w:val="24"/>
          <w:vertAlign w:val="superscript"/>
          <w:lang w:eastAsia="en-ZA"/>
        </w:rPr>
        <w:t>1</w:t>
      </w:r>
      <w:r w:rsidRPr="00263016">
        <w:rPr>
          <w:rFonts w:ascii="Times New Roman" w:hAnsi="Times New Roman"/>
          <w:i/>
          <w:color w:val="000000"/>
          <w:sz w:val="24"/>
          <w:szCs w:val="24"/>
          <w:lang w:eastAsia="en-ZA"/>
        </w:rPr>
        <w:t>Excludes provisional allocations</w:t>
      </w:r>
    </w:p>
    <w:p w14:paraId="1EA2DFBB" w14:textId="77777777" w:rsidR="00AC035C" w:rsidRPr="00263016" w:rsidRDefault="00AC035C" w:rsidP="00263016">
      <w:pPr>
        <w:spacing w:before="120" w:after="120" w:line="240" w:lineRule="auto"/>
        <w:jc w:val="both"/>
        <w:rPr>
          <w:rFonts w:ascii="Times New Roman" w:hAnsi="Times New Roman"/>
          <w:i/>
          <w:color w:val="000000"/>
          <w:sz w:val="24"/>
          <w:szCs w:val="24"/>
          <w:lang w:eastAsia="en-ZA"/>
        </w:rPr>
      </w:pPr>
      <w:r w:rsidRPr="00263016">
        <w:rPr>
          <w:rFonts w:ascii="Times New Roman" w:hAnsi="Times New Roman"/>
          <w:i/>
          <w:sz w:val="24"/>
          <w:szCs w:val="24"/>
        </w:rPr>
        <w:t xml:space="preserve">Source: National </w:t>
      </w:r>
      <w:r w:rsidR="00476083" w:rsidRPr="00263016">
        <w:rPr>
          <w:rFonts w:ascii="Times New Roman" w:hAnsi="Times New Roman"/>
          <w:i/>
          <w:sz w:val="24"/>
          <w:szCs w:val="24"/>
        </w:rPr>
        <w:t>Treasury 2018</w:t>
      </w:r>
    </w:p>
    <w:p w14:paraId="696DBE35"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p>
    <w:p w14:paraId="3226D6B7"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lastRenderedPageBreak/>
        <w:t>With regards to municipal grants, several conditional grants have been merged in previous years and the consolidation trend is expected to continue. Proposed changes to municipal allocations for the 2017 MTEF include the following:</w:t>
      </w:r>
    </w:p>
    <w:p w14:paraId="1707EDB2" w14:textId="77777777" w:rsidR="007D3B6E" w:rsidRPr="00263016" w:rsidRDefault="007D3B6E"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 xml:space="preserve">A new revised formula for the </w:t>
      </w:r>
      <w:r w:rsidRPr="00263016">
        <w:rPr>
          <w:rFonts w:ascii="Times New Roman" w:hAnsi="Times New Roman"/>
          <w:i/>
          <w:color w:val="000000"/>
          <w:sz w:val="24"/>
          <w:szCs w:val="24"/>
          <w:lang w:eastAsia="en-ZA"/>
        </w:rPr>
        <w:t>Public Transport Network Grant</w:t>
      </w:r>
      <w:r w:rsidRPr="00263016">
        <w:rPr>
          <w:rFonts w:ascii="Times New Roman" w:hAnsi="Times New Roman"/>
          <w:color w:val="000000"/>
          <w:sz w:val="24"/>
          <w:szCs w:val="24"/>
          <w:lang w:eastAsia="en-ZA"/>
        </w:rPr>
        <w:t xml:space="preserve"> which includes more stable and predictable allocations for smaller cities. A new base component will account for 20 per cent of total allocations, divided equally among all participating cities, to ensure that smaller cities in particular have a significant base allocation to run their transport system regardless of their size.</w:t>
      </w:r>
    </w:p>
    <w:p w14:paraId="26367685" w14:textId="77777777" w:rsidR="003C6B64" w:rsidRPr="00263016" w:rsidRDefault="003C6B64"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 xml:space="preserve">The programme to eradicate bucket systems in formal areas will be completed in 2018/19. The budget framework provides for just over R1 billion to be ring-fenced for the eradication of bucket systems within the indirect Water Services Infrastructure Grant and the Regional Bulk Infrastructure Grant. </w:t>
      </w:r>
    </w:p>
    <w:p w14:paraId="126D9048" w14:textId="77777777" w:rsidR="003C6B64" w:rsidRPr="00263016" w:rsidRDefault="003C6B64"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This municipal demarcation transition grant ends in 2017/18 and some funds for the completion of transition work have been made available in the Municipal Systems Improvement Grant.</w:t>
      </w:r>
    </w:p>
    <w:p w14:paraId="1044C3F8" w14:textId="77777777" w:rsidR="003C6B64" w:rsidRPr="00263016" w:rsidRDefault="003C6B64" w:rsidP="00263016">
      <w:pPr>
        <w:spacing w:before="120" w:after="120" w:line="240" w:lineRule="auto"/>
        <w:jc w:val="both"/>
        <w:rPr>
          <w:rFonts w:ascii="Times New Roman" w:hAnsi="Times New Roman"/>
          <w:color w:val="000000"/>
          <w:sz w:val="24"/>
          <w:szCs w:val="24"/>
          <w:lang w:eastAsia="en-ZA"/>
        </w:rPr>
      </w:pPr>
    </w:p>
    <w:p w14:paraId="391EC235" w14:textId="77777777" w:rsidR="00AC035C" w:rsidRPr="00263016" w:rsidRDefault="003C6B64" w:rsidP="00263016">
      <w:pPr>
        <w:spacing w:before="120" w:after="120" w:line="240" w:lineRule="auto"/>
        <w:contextualSpacing/>
        <w:jc w:val="both"/>
        <w:rPr>
          <w:rFonts w:ascii="Times New Roman" w:hAnsi="Times New Roman"/>
          <w:color w:val="000000"/>
          <w:sz w:val="24"/>
          <w:szCs w:val="24"/>
          <w:lang w:eastAsia="en-ZA"/>
        </w:rPr>
      </w:pPr>
      <w:r w:rsidRPr="00263016">
        <w:rPr>
          <w:rFonts w:ascii="Times New Roman" w:hAnsi="Times New Roman"/>
          <w:b/>
          <w:sz w:val="24"/>
          <w:szCs w:val="24"/>
        </w:rPr>
        <w:t>2.3</w:t>
      </w:r>
      <w:r w:rsidRPr="00263016">
        <w:rPr>
          <w:rFonts w:ascii="Times New Roman" w:hAnsi="Times New Roman"/>
          <w:b/>
          <w:sz w:val="24"/>
          <w:szCs w:val="24"/>
        </w:rPr>
        <w:tab/>
      </w:r>
      <w:r w:rsidR="00384C63" w:rsidRPr="00263016">
        <w:rPr>
          <w:rFonts w:ascii="Times New Roman" w:hAnsi="Times New Roman"/>
          <w:b/>
          <w:sz w:val="24"/>
          <w:szCs w:val="24"/>
        </w:rPr>
        <w:t>Key</w:t>
      </w:r>
      <w:r w:rsidRPr="00263016">
        <w:rPr>
          <w:rFonts w:ascii="Times New Roman" w:hAnsi="Times New Roman"/>
          <w:b/>
          <w:sz w:val="24"/>
          <w:szCs w:val="24"/>
        </w:rPr>
        <w:t xml:space="preserve"> Policy Changes to </w:t>
      </w:r>
      <w:r w:rsidR="00384C63" w:rsidRPr="00263016">
        <w:rPr>
          <w:rFonts w:ascii="Times New Roman" w:hAnsi="Times New Roman"/>
          <w:b/>
          <w:sz w:val="24"/>
          <w:szCs w:val="24"/>
        </w:rPr>
        <w:t xml:space="preserve">the </w:t>
      </w:r>
      <w:r w:rsidRPr="00263016">
        <w:rPr>
          <w:rFonts w:ascii="Times New Roman" w:hAnsi="Times New Roman"/>
          <w:b/>
          <w:sz w:val="24"/>
          <w:szCs w:val="24"/>
        </w:rPr>
        <w:t>2018</w:t>
      </w:r>
      <w:r w:rsidR="00AC035C" w:rsidRPr="00263016">
        <w:rPr>
          <w:rFonts w:ascii="Times New Roman" w:hAnsi="Times New Roman"/>
          <w:b/>
          <w:sz w:val="24"/>
          <w:szCs w:val="24"/>
        </w:rPr>
        <w:t xml:space="preserve"> Division of Revenue Bill </w:t>
      </w:r>
      <w:r w:rsidR="00194CD8" w:rsidRPr="00263016">
        <w:rPr>
          <w:rFonts w:ascii="Times New Roman" w:hAnsi="Times New Roman"/>
          <w:b/>
          <w:sz w:val="24"/>
          <w:szCs w:val="24"/>
        </w:rPr>
        <w:t>Clauses</w:t>
      </w:r>
    </w:p>
    <w:p w14:paraId="6C0D3F2C" w14:textId="77777777" w:rsidR="00AC035C" w:rsidRPr="00263016" w:rsidRDefault="00AC035C" w:rsidP="00263016">
      <w:pPr>
        <w:spacing w:before="120" w:after="120" w:line="240" w:lineRule="auto"/>
        <w:jc w:val="both"/>
        <w:rPr>
          <w:rFonts w:ascii="Times New Roman" w:hAnsi="Times New Roman"/>
          <w:color w:val="000000"/>
          <w:sz w:val="24"/>
          <w:szCs w:val="24"/>
          <w:lang w:eastAsia="en-ZA"/>
        </w:rPr>
      </w:pPr>
    </w:p>
    <w:p w14:paraId="533D659B" w14:textId="77777777" w:rsidR="00384C63" w:rsidRPr="00263016" w:rsidRDefault="00384C63" w:rsidP="00263016">
      <w:p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The key</w:t>
      </w:r>
      <w:r w:rsidR="00AC035C" w:rsidRPr="00263016">
        <w:rPr>
          <w:rFonts w:ascii="Times New Roman" w:hAnsi="Times New Roman"/>
          <w:color w:val="000000"/>
          <w:sz w:val="24"/>
          <w:szCs w:val="24"/>
          <w:lang w:eastAsia="en-ZA"/>
        </w:rPr>
        <w:t xml:space="preserve"> policy issues considered and adjust</w:t>
      </w:r>
      <w:r w:rsidR="003C6B64" w:rsidRPr="00263016">
        <w:rPr>
          <w:rFonts w:ascii="Times New Roman" w:hAnsi="Times New Roman"/>
          <w:color w:val="000000"/>
          <w:sz w:val="24"/>
          <w:szCs w:val="24"/>
          <w:lang w:eastAsia="en-ZA"/>
        </w:rPr>
        <w:t>ed into the 2018</w:t>
      </w:r>
      <w:r w:rsidR="00AC035C" w:rsidRPr="00263016">
        <w:rPr>
          <w:rFonts w:ascii="Times New Roman" w:hAnsi="Times New Roman"/>
          <w:color w:val="000000"/>
          <w:sz w:val="24"/>
          <w:szCs w:val="24"/>
          <w:lang w:eastAsia="en-ZA"/>
        </w:rPr>
        <w:t xml:space="preserve"> Division of Revenue Bill clauses include: </w:t>
      </w:r>
    </w:p>
    <w:p w14:paraId="756FD76D" w14:textId="77777777" w:rsidR="00AC035C" w:rsidRPr="00263016" w:rsidRDefault="00384C63"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Clause 8(4) is changed to remove the approval of “pledges” against conditional grants. As an alternative, municipalities must borrow in terms of the processes, criteria and safeguards set out in the MFMA, including requiring Council approval for loans. The change aims at improving access to credit for large cities by allowing them to use their infrastructure grant funding allocations to leverage private capital.</w:t>
      </w:r>
    </w:p>
    <w:p w14:paraId="5EA874EB" w14:textId="77777777" w:rsidR="00384C63" w:rsidRPr="00263016" w:rsidRDefault="00384C63"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A new clause 30(2</w:t>
      </w:r>
      <w:proofErr w:type="gramStart"/>
      <w:r w:rsidRPr="00263016">
        <w:rPr>
          <w:rFonts w:ascii="Times New Roman" w:hAnsi="Times New Roman"/>
          <w:color w:val="000000"/>
          <w:sz w:val="24"/>
          <w:szCs w:val="24"/>
          <w:lang w:eastAsia="en-ZA"/>
        </w:rPr>
        <w:t>)(</w:t>
      </w:r>
      <w:proofErr w:type="gramEnd"/>
      <w:r w:rsidRPr="00263016">
        <w:rPr>
          <w:rFonts w:ascii="Times New Roman" w:hAnsi="Times New Roman"/>
          <w:color w:val="000000"/>
          <w:sz w:val="24"/>
          <w:szCs w:val="24"/>
          <w:lang w:eastAsia="en-ZA"/>
        </w:rPr>
        <w:t xml:space="preserve">d) requires that provincial treasuries must ensure that transfers to municipalities listed in the provincial budget must be aligned with the terms of any agreements between the province and municipality. This </w:t>
      </w:r>
      <w:r w:rsidR="00B161CB" w:rsidRPr="00263016">
        <w:rPr>
          <w:rFonts w:ascii="Times New Roman" w:hAnsi="Times New Roman"/>
          <w:color w:val="000000"/>
          <w:sz w:val="24"/>
          <w:szCs w:val="24"/>
          <w:lang w:eastAsia="en-ZA"/>
        </w:rPr>
        <w:t xml:space="preserve">is to address the challenge of </w:t>
      </w:r>
      <w:r w:rsidRPr="00263016">
        <w:rPr>
          <w:rFonts w:ascii="Times New Roman" w:hAnsi="Times New Roman"/>
          <w:color w:val="000000"/>
          <w:sz w:val="24"/>
          <w:szCs w:val="24"/>
          <w:lang w:eastAsia="en-ZA"/>
        </w:rPr>
        <w:t>underfunded mandates</w:t>
      </w:r>
      <w:r w:rsidR="00B161CB" w:rsidRPr="00263016">
        <w:rPr>
          <w:rFonts w:ascii="Times New Roman" w:hAnsi="Times New Roman"/>
          <w:color w:val="000000"/>
          <w:sz w:val="24"/>
          <w:szCs w:val="24"/>
          <w:lang w:eastAsia="en-ZA"/>
        </w:rPr>
        <w:t>,</w:t>
      </w:r>
      <w:r w:rsidRPr="00263016">
        <w:rPr>
          <w:rFonts w:ascii="Times New Roman" w:hAnsi="Times New Roman"/>
          <w:color w:val="000000"/>
          <w:sz w:val="24"/>
          <w:szCs w:val="24"/>
          <w:lang w:eastAsia="en-ZA"/>
        </w:rPr>
        <w:t xml:space="preserve"> which occur when a responsibility for performing a function is </w:t>
      </w:r>
      <w:proofErr w:type="gramStart"/>
      <w:r w:rsidRPr="00263016">
        <w:rPr>
          <w:rFonts w:ascii="Times New Roman" w:hAnsi="Times New Roman"/>
          <w:color w:val="000000"/>
          <w:sz w:val="24"/>
          <w:szCs w:val="24"/>
          <w:lang w:eastAsia="en-ZA"/>
        </w:rPr>
        <w:t>assigned/transferred</w:t>
      </w:r>
      <w:proofErr w:type="gramEnd"/>
      <w:r w:rsidRPr="00263016">
        <w:rPr>
          <w:rFonts w:ascii="Times New Roman" w:hAnsi="Times New Roman"/>
          <w:color w:val="000000"/>
          <w:sz w:val="24"/>
          <w:szCs w:val="24"/>
          <w:lang w:eastAsia="en-ZA"/>
        </w:rPr>
        <w:t xml:space="preserve"> to a municipality, without sufficient sources of funding.</w:t>
      </w:r>
    </w:p>
    <w:p w14:paraId="7F9A532E" w14:textId="77777777" w:rsidR="00384C63" w:rsidRPr="00263016" w:rsidRDefault="00384C63" w:rsidP="00263016">
      <w:pPr>
        <w:numPr>
          <w:ilvl w:val="0"/>
          <w:numId w:val="5"/>
        </w:numPr>
        <w:spacing w:before="120" w:after="120" w:line="240" w:lineRule="auto"/>
        <w:jc w:val="both"/>
        <w:rPr>
          <w:rFonts w:ascii="Times New Roman" w:hAnsi="Times New Roman"/>
          <w:color w:val="000000"/>
          <w:sz w:val="24"/>
          <w:szCs w:val="24"/>
          <w:lang w:eastAsia="en-ZA"/>
        </w:rPr>
      </w:pPr>
      <w:r w:rsidRPr="00263016">
        <w:rPr>
          <w:rFonts w:ascii="Times New Roman" w:hAnsi="Times New Roman"/>
          <w:color w:val="000000"/>
          <w:sz w:val="24"/>
          <w:szCs w:val="24"/>
          <w:lang w:eastAsia="en-ZA"/>
        </w:rPr>
        <w:t>Correspondingly, Clause 30(2</w:t>
      </w:r>
      <w:proofErr w:type="gramStart"/>
      <w:r w:rsidRPr="00263016">
        <w:rPr>
          <w:rFonts w:ascii="Times New Roman" w:hAnsi="Times New Roman"/>
          <w:color w:val="000000"/>
          <w:sz w:val="24"/>
          <w:szCs w:val="24"/>
          <w:lang w:eastAsia="en-ZA"/>
        </w:rPr>
        <w:t>)(</w:t>
      </w:r>
      <w:proofErr w:type="gramEnd"/>
      <w:r w:rsidRPr="00263016">
        <w:rPr>
          <w:rFonts w:ascii="Times New Roman" w:hAnsi="Times New Roman"/>
          <w:color w:val="000000"/>
          <w:sz w:val="24"/>
          <w:szCs w:val="24"/>
          <w:lang w:eastAsia="en-ZA"/>
        </w:rPr>
        <w:t>a)(</w:t>
      </w:r>
      <w:proofErr w:type="spellStart"/>
      <w:r w:rsidRPr="00263016">
        <w:rPr>
          <w:rFonts w:ascii="Times New Roman" w:hAnsi="Times New Roman"/>
          <w:color w:val="000000"/>
          <w:sz w:val="24"/>
          <w:szCs w:val="24"/>
          <w:lang w:eastAsia="en-ZA"/>
        </w:rPr>
        <w:t>i</w:t>
      </w:r>
      <w:proofErr w:type="spellEnd"/>
      <w:r w:rsidRPr="00263016">
        <w:rPr>
          <w:rFonts w:ascii="Times New Roman" w:hAnsi="Times New Roman"/>
          <w:color w:val="000000"/>
          <w:sz w:val="24"/>
          <w:szCs w:val="24"/>
          <w:lang w:eastAsia="en-ZA"/>
        </w:rPr>
        <w:t xml:space="preserve">) is also amended to </w:t>
      </w:r>
      <w:r w:rsidR="001C0A1F" w:rsidRPr="00263016">
        <w:rPr>
          <w:rFonts w:ascii="Times New Roman" w:hAnsi="Times New Roman"/>
          <w:color w:val="000000"/>
          <w:sz w:val="24"/>
          <w:szCs w:val="24"/>
          <w:lang w:eastAsia="en-ZA"/>
        </w:rPr>
        <w:t>note that</w:t>
      </w:r>
      <w:r w:rsidRPr="00263016">
        <w:rPr>
          <w:rFonts w:ascii="Times New Roman" w:hAnsi="Times New Roman"/>
          <w:color w:val="000000"/>
          <w:sz w:val="24"/>
          <w:szCs w:val="24"/>
          <w:lang w:eastAsia="en-ZA"/>
        </w:rPr>
        <w:t xml:space="preserve"> the provisions in this section apply to functions funded through provincial own funds and conditional grants.</w:t>
      </w:r>
    </w:p>
    <w:p w14:paraId="5E75F68F" w14:textId="77777777" w:rsidR="00AC035C" w:rsidRPr="00263016" w:rsidRDefault="00AC035C" w:rsidP="00263016">
      <w:pPr>
        <w:spacing w:before="120" w:after="120" w:line="240" w:lineRule="auto"/>
        <w:jc w:val="both"/>
        <w:rPr>
          <w:rFonts w:ascii="Times New Roman" w:hAnsi="Times New Roman"/>
          <w:color w:val="000000"/>
          <w:sz w:val="24"/>
          <w:szCs w:val="24"/>
          <w:highlight w:val="yellow"/>
          <w:lang w:eastAsia="en-ZA"/>
        </w:rPr>
      </w:pPr>
    </w:p>
    <w:p w14:paraId="6E80A6AF" w14:textId="77777777" w:rsidR="00AC035C" w:rsidRPr="00263016" w:rsidRDefault="00AC035C" w:rsidP="00263016">
      <w:pPr>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National Treasury in its briefing to the Committee on the Bill indicated that </w:t>
      </w:r>
      <w:r w:rsidR="005D0A0E" w:rsidRPr="00263016">
        <w:rPr>
          <w:rFonts w:ascii="Times New Roman" w:hAnsi="Times New Roman"/>
          <w:sz w:val="24"/>
          <w:szCs w:val="24"/>
          <w:lang w:val="en-US"/>
        </w:rPr>
        <w:t xml:space="preserve">there is an error in the Early Childhood Development grant framework. The reason is that the amendment of the Child Support Grant was only </w:t>
      </w:r>
      <w:r w:rsidR="00194CD8" w:rsidRPr="00263016">
        <w:rPr>
          <w:rFonts w:ascii="Times New Roman" w:hAnsi="Times New Roman"/>
          <w:sz w:val="24"/>
          <w:szCs w:val="24"/>
          <w:lang w:val="en-US"/>
        </w:rPr>
        <w:t>decided</w:t>
      </w:r>
      <w:r w:rsidR="005D0A0E" w:rsidRPr="00263016">
        <w:rPr>
          <w:rFonts w:ascii="Times New Roman" w:hAnsi="Times New Roman"/>
          <w:sz w:val="24"/>
          <w:szCs w:val="24"/>
          <w:lang w:val="en-US"/>
        </w:rPr>
        <w:t xml:space="preserve"> in mid-February after the conditional grant framework process ha</w:t>
      </w:r>
      <w:r w:rsidR="00194CD8" w:rsidRPr="00263016">
        <w:rPr>
          <w:rFonts w:ascii="Times New Roman" w:hAnsi="Times New Roman"/>
          <w:sz w:val="24"/>
          <w:szCs w:val="24"/>
          <w:lang w:val="en-US"/>
        </w:rPr>
        <w:t>d</w:t>
      </w:r>
      <w:r w:rsidR="005D0A0E" w:rsidRPr="00263016">
        <w:rPr>
          <w:rFonts w:ascii="Times New Roman" w:hAnsi="Times New Roman"/>
          <w:sz w:val="24"/>
          <w:szCs w:val="24"/>
          <w:lang w:val="en-US"/>
        </w:rPr>
        <w:t xml:space="preserve"> been concluded. The threshold for the income-based means test needs to be updated to reflect the increase in the Child Support Grant from R380 to R405. </w:t>
      </w:r>
    </w:p>
    <w:p w14:paraId="58878680" w14:textId="77777777" w:rsidR="001C0A1F" w:rsidRPr="00263016" w:rsidRDefault="001C0A1F" w:rsidP="00263016">
      <w:pPr>
        <w:spacing w:before="120" w:after="120" w:line="240" w:lineRule="auto"/>
        <w:jc w:val="both"/>
        <w:rPr>
          <w:rFonts w:ascii="Times New Roman" w:hAnsi="Times New Roman"/>
          <w:sz w:val="24"/>
          <w:szCs w:val="24"/>
          <w:lang w:val="en-US"/>
        </w:rPr>
      </w:pPr>
    </w:p>
    <w:p w14:paraId="623FD150" w14:textId="77777777" w:rsidR="005D5677" w:rsidRPr="00263016" w:rsidRDefault="005D5677" w:rsidP="00263016">
      <w:pPr>
        <w:pStyle w:val="ListParagraph"/>
        <w:spacing w:before="120" w:after="120" w:line="240" w:lineRule="auto"/>
        <w:ind w:left="284" w:hanging="284"/>
        <w:rPr>
          <w:rFonts w:ascii="Times New Roman" w:hAnsi="Times New Roman"/>
          <w:b/>
          <w:sz w:val="24"/>
          <w:szCs w:val="24"/>
        </w:rPr>
      </w:pPr>
      <w:r w:rsidRPr="00263016">
        <w:rPr>
          <w:rFonts w:ascii="Times New Roman" w:hAnsi="Times New Roman"/>
          <w:b/>
          <w:sz w:val="24"/>
          <w:szCs w:val="24"/>
        </w:rPr>
        <w:t>3.</w:t>
      </w:r>
      <w:r w:rsidRPr="00263016">
        <w:rPr>
          <w:rFonts w:ascii="Times New Roman" w:hAnsi="Times New Roman"/>
          <w:b/>
          <w:sz w:val="24"/>
          <w:szCs w:val="24"/>
        </w:rPr>
        <w:tab/>
        <w:t>Stakeholder and Public Inputs on the 2018 Division of Revenue Bill</w:t>
      </w:r>
    </w:p>
    <w:p w14:paraId="454DCAB8" w14:textId="77777777" w:rsidR="005D5677" w:rsidRPr="00263016" w:rsidRDefault="005D5677" w:rsidP="00263016">
      <w:pPr>
        <w:spacing w:before="120" w:after="120" w:line="240" w:lineRule="auto"/>
        <w:jc w:val="both"/>
        <w:rPr>
          <w:rFonts w:ascii="Times New Roman" w:hAnsi="Times New Roman"/>
          <w:sz w:val="24"/>
          <w:szCs w:val="24"/>
          <w:lang w:val="en-US"/>
        </w:rPr>
      </w:pPr>
    </w:p>
    <w:p w14:paraId="5466DAD2"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r w:rsidRPr="00263016">
        <w:rPr>
          <w:rFonts w:ascii="Times New Roman" w:hAnsi="Times New Roman"/>
          <w:b/>
          <w:sz w:val="24"/>
          <w:szCs w:val="24"/>
          <w:lang w:val="en-US"/>
        </w:rPr>
        <w:t>3.1</w:t>
      </w:r>
      <w:r w:rsidRPr="00263016">
        <w:rPr>
          <w:rFonts w:ascii="Times New Roman" w:hAnsi="Times New Roman"/>
          <w:b/>
          <w:sz w:val="24"/>
          <w:szCs w:val="24"/>
          <w:lang w:val="en-US"/>
        </w:rPr>
        <w:tab/>
        <w:t>Financial and Fiscal Commission</w:t>
      </w:r>
    </w:p>
    <w:p w14:paraId="08E58C4D"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p>
    <w:p w14:paraId="69440990"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The Financial and Fiscal Commission (FFC) submitted that it was in agreement with the general thrust of the Bill as the tight macroeconomic and fiscal environment required bold decisions to bring the trajectory of public spending trends in line with available revenue. It further commended efforts by government to protect social spending especially the Local Government Equitable Share where real, </w:t>
      </w:r>
      <w:r w:rsidR="00496B65" w:rsidRPr="00263016">
        <w:rPr>
          <w:rFonts w:ascii="Times New Roman" w:hAnsi="Times New Roman"/>
          <w:sz w:val="24"/>
          <w:szCs w:val="24"/>
          <w:lang w:val="en-US"/>
        </w:rPr>
        <w:t>albeit marginal</w:t>
      </w:r>
      <w:r w:rsidRPr="00263016">
        <w:rPr>
          <w:rFonts w:ascii="Times New Roman" w:hAnsi="Times New Roman"/>
          <w:sz w:val="24"/>
          <w:szCs w:val="24"/>
          <w:lang w:val="en-US"/>
        </w:rPr>
        <w:t xml:space="preserve"> growth was realized. It reiterated the need for national and provincial government to play a supportive role to municipalities in order to ensure capacity to effectively spend allocated resources.</w:t>
      </w:r>
      <w:r w:rsidR="00194CD8" w:rsidRPr="00263016">
        <w:rPr>
          <w:rFonts w:ascii="Times New Roman" w:hAnsi="Times New Roman"/>
          <w:sz w:val="24"/>
          <w:szCs w:val="24"/>
          <w:lang w:val="en-US"/>
        </w:rPr>
        <w:t xml:space="preserve"> </w:t>
      </w:r>
      <w:r w:rsidRPr="00263016">
        <w:rPr>
          <w:rFonts w:ascii="Times New Roman" w:hAnsi="Times New Roman"/>
          <w:sz w:val="24"/>
          <w:szCs w:val="24"/>
          <w:lang w:val="en-US"/>
        </w:rPr>
        <w:t xml:space="preserve">The FFC further reiterated the need for provinces and municipalities to continuously evaluate each aspect of their spending plans to ensure that any </w:t>
      </w:r>
      <w:proofErr w:type="gramStart"/>
      <w:r w:rsidRPr="00263016">
        <w:rPr>
          <w:rFonts w:ascii="Times New Roman" w:hAnsi="Times New Roman"/>
          <w:sz w:val="24"/>
          <w:szCs w:val="24"/>
          <w:lang w:val="en-US"/>
        </w:rPr>
        <w:t>inefficiencies</w:t>
      </w:r>
      <w:proofErr w:type="gramEnd"/>
      <w:r w:rsidRPr="00263016">
        <w:rPr>
          <w:rFonts w:ascii="Times New Roman" w:hAnsi="Times New Roman"/>
          <w:sz w:val="24"/>
          <w:szCs w:val="24"/>
          <w:lang w:val="en-US"/>
        </w:rPr>
        <w:t xml:space="preserve"> in service delivery are eliminated, especially in big spending areas like health, education, electricity, water and sanitation. </w:t>
      </w:r>
    </w:p>
    <w:p w14:paraId="722FBDDD"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2C93BE59"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The FFC cautioned that the proposed reductions on key infrastructure grants would be self-defeating if infrastructure deteriorates and becomes inadequate for </w:t>
      </w:r>
      <w:r w:rsidR="00840999" w:rsidRPr="00263016">
        <w:rPr>
          <w:rFonts w:ascii="Times New Roman" w:hAnsi="Times New Roman"/>
          <w:sz w:val="24"/>
          <w:szCs w:val="24"/>
          <w:lang w:val="en-US"/>
        </w:rPr>
        <w:t xml:space="preserve">the </w:t>
      </w:r>
      <w:r w:rsidRPr="00263016">
        <w:rPr>
          <w:rFonts w:ascii="Times New Roman" w:hAnsi="Times New Roman"/>
          <w:sz w:val="24"/>
          <w:szCs w:val="24"/>
          <w:lang w:val="en-US"/>
        </w:rPr>
        <w:t>continue</w:t>
      </w:r>
      <w:r w:rsidR="00840999" w:rsidRPr="00263016">
        <w:rPr>
          <w:rFonts w:ascii="Times New Roman" w:hAnsi="Times New Roman"/>
          <w:sz w:val="24"/>
          <w:szCs w:val="24"/>
          <w:lang w:val="en-US"/>
        </w:rPr>
        <w:t>d</w:t>
      </w:r>
      <w:r w:rsidRPr="00263016">
        <w:rPr>
          <w:rFonts w:ascii="Times New Roman" w:hAnsi="Times New Roman"/>
          <w:sz w:val="24"/>
          <w:szCs w:val="24"/>
          <w:lang w:val="en-US"/>
        </w:rPr>
        <w:t xml:space="preserve"> </w:t>
      </w:r>
      <w:r w:rsidR="00840999" w:rsidRPr="00263016">
        <w:rPr>
          <w:rFonts w:ascii="Times New Roman" w:hAnsi="Times New Roman"/>
          <w:sz w:val="24"/>
          <w:szCs w:val="24"/>
          <w:lang w:val="en-US"/>
        </w:rPr>
        <w:t xml:space="preserve">provision of </w:t>
      </w:r>
      <w:r w:rsidRPr="00263016">
        <w:rPr>
          <w:rFonts w:ascii="Times New Roman" w:hAnsi="Times New Roman"/>
          <w:sz w:val="24"/>
          <w:szCs w:val="24"/>
          <w:lang w:val="en-US"/>
        </w:rPr>
        <w:t>basic service</w:t>
      </w:r>
      <w:r w:rsidR="00840999" w:rsidRPr="00263016">
        <w:rPr>
          <w:rFonts w:ascii="Times New Roman" w:hAnsi="Times New Roman"/>
          <w:sz w:val="24"/>
          <w:szCs w:val="24"/>
          <w:lang w:val="en-US"/>
        </w:rPr>
        <w:t>s.</w:t>
      </w:r>
      <w:r w:rsidRPr="00263016">
        <w:rPr>
          <w:rFonts w:ascii="Times New Roman" w:hAnsi="Times New Roman"/>
          <w:sz w:val="24"/>
          <w:szCs w:val="24"/>
          <w:lang w:val="en-US"/>
        </w:rPr>
        <w:t xml:space="preserve"> The FFC proposed that government design a plan to reprioritize infrastructure funding in the coming years as a matter of urgency. With regard to Indirect Grants, the FFC reiterated its caution around this type of funding as it diluted accountability and upkeep of infrastructure. It submitted that Indirect Grants should be a measure of last resort whilst continuing to build capacity in provinces and municipalities to undertake their functions. </w:t>
      </w:r>
    </w:p>
    <w:p w14:paraId="3AFA27EF"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29DAE03B"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The FFC welcomed the decline in personnel headcounts at provincial level from 923 646 in 2013 to 888 204 in 2017 due to cost containment measures. It was however of the view that government needed to ensure that these cuts were limited to non-core areas of provincial services and that core staff in education and health be protected. To FFC reiterated its recommendation made in the 2016-17 division of revenue that a framework for measuring public sector productivity be finalized expeditiously. </w:t>
      </w:r>
    </w:p>
    <w:p w14:paraId="4CD8FA32"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3B0323EF"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The FFC supported the proposed Conditional Grant changes on the condition that government does the following:</w:t>
      </w:r>
    </w:p>
    <w:p w14:paraId="02866484"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78CAC383" w14:textId="77777777" w:rsidR="005D5677" w:rsidRPr="00263016" w:rsidRDefault="005D5677" w:rsidP="00263016">
      <w:pPr>
        <w:pStyle w:val="ListParagraph"/>
        <w:numPr>
          <w:ilvl w:val="0"/>
          <w:numId w:val="20"/>
        </w:numPr>
        <w:tabs>
          <w:tab w:val="left" w:pos="284"/>
          <w:tab w:val="left" w:pos="567"/>
        </w:tabs>
        <w:spacing w:before="120" w:after="120" w:line="240" w:lineRule="auto"/>
        <w:ind w:left="540" w:hanging="180"/>
        <w:jc w:val="both"/>
        <w:rPr>
          <w:rFonts w:ascii="Times New Roman" w:hAnsi="Times New Roman"/>
          <w:sz w:val="24"/>
          <w:szCs w:val="24"/>
          <w:lang w:val="en-US"/>
        </w:rPr>
      </w:pPr>
      <w:r w:rsidRPr="00263016">
        <w:rPr>
          <w:rFonts w:ascii="Times New Roman" w:hAnsi="Times New Roman"/>
          <w:sz w:val="24"/>
          <w:szCs w:val="24"/>
          <w:lang w:val="en-US"/>
        </w:rPr>
        <w:t>Address identified weaknesses in the criteria used to cut the grants going forward; and</w:t>
      </w:r>
    </w:p>
    <w:p w14:paraId="15BB7533" w14:textId="77777777" w:rsidR="005D5677" w:rsidRPr="00263016" w:rsidRDefault="005D5677" w:rsidP="00263016">
      <w:pPr>
        <w:pStyle w:val="ListParagraph"/>
        <w:numPr>
          <w:ilvl w:val="0"/>
          <w:numId w:val="20"/>
        </w:numPr>
        <w:tabs>
          <w:tab w:val="left" w:pos="284"/>
          <w:tab w:val="left" w:pos="567"/>
        </w:tabs>
        <w:spacing w:before="120" w:after="120" w:line="240" w:lineRule="auto"/>
        <w:ind w:left="540" w:hanging="180"/>
        <w:jc w:val="both"/>
        <w:rPr>
          <w:rFonts w:ascii="Times New Roman" w:hAnsi="Times New Roman"/>
          <w:sz w:val="24"/>
          <w:szCs w:val="24"/>
          <w:lang w:val="en-US"/>
        </w:rPr>
      </w:pPr>
      <w:r w:rsidRPr="00263016">
        <w:rPr>
          <w:rFonts w:ascii="Times New Roman" w:hAnsi="Times New Roman"/>
          <w:sz w:val="24"/>
          <w:szCs w:val="24"/>
          <w:lang w:val="en-US"/>
        </w:rPr>
        <w:t xml:space="preserve">Introduce monitoring and evaluation plans of the reductions after a certain period to assess and evaluate how these are impacting </w:t>
      </w:r>
      <w:r w:rsidR="008B51DF" w:rsidRPr="00263016">
        <w:rPr>
          <w:rFonts w:ascii="Times New Roman" w:hAnsi="Times New Roman"/>
          <w:sz w:val="24"/>
          <w:szCs w:val="24"/>
          <w:lang w:val="en-US"/>
        </w:rPr>
        <w:t xml:space="preserve">on </w:t>
      </w:r>
      <w:r w:rsidRPr="00263016">
        <w:rPr>
          <w:rFonts w:ascii="Times New Roman" w:hAnsi="Times New Roman"/>
          <w:sz w:val="24"/>
          <w:szCs w:val="24"/>
          <w:lang w:val="en-US"/>
        </w:rPr>
        <w:t xml:space="preserve">current and future service delivery. </w:t>
      </w:r>
    </w:p>
    <w:p w14:paraId="538BF2A1"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3AE7E0CE"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r w:rsidRPr="00263016">
        <w:rPr>
          <w:rFonts w:ascii="Times New Roman" w:hAnsi="Times New Roman"/>
          <w:b/>
          <w:sz w:val="24"/>
          <w:szCs w:val="24"/>
          <w:lang w:val="en-US"/>
        </w:rPr>
        <w:t>3.2</w:t>
      </w:r>
      <w:r w:rsidRPr="00263016">
        <w:rPr>
          <w:rFonts w:ascii="Times New Roman" w:hAnsi="Times New Roman"/>
          <w:b/>
          <w:sz w:val="24"/>
          <w:szCs w:val="24"/>
          <w:lang w:val="en-US"/>
        </w:rPr>
        <w:tab/>
        <w:t>South African Local Government Association</w:t>
      </w:r>
    </w:p>
    <w:p w14:paraId="6CA82243"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p>
    <w:p w14:paraId="093765F8"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The South African Local Government Association (SALGA) aligned with its mandate of lobbying and advocating for local government, in its submission indicated participation in the Budget Forum that contributed in the drafting of the MTBPS, as well as the DORB, through technical canvassing of the issues between NT, DCOG, FFC and SALGA. Hence, </w:t>
      </w:r>
      <w:r w:rsidR="00840999" w:rsidRPr="00263016">
        <w:rPr>
          <w:rFonts w:ascii="Times New Roman" w:hAnsi="Times New Roman"/>
          <w:sz w:val="24"/>
          <w:szCs w:val="24"/>
          <w:lang w:val="en-US"/>
        </w:rPr>
        <w:t xml:space="preserve">SALGA </w:t>
      </w:r>
      <w:r w:rsidRPr="00263016">
        <w:rPr>
          <w:rFonts w:ascii="Times New Roman" w:hAnsi="Times New Roman"/>
          <w:sz w:val="24"/>
          <w:szCs w:val="24"/>
          <w:lang w:val="en-US"/>
        </w:rPr>
        <w:t>welcome</w:t>
      </w:r>
      <w:r w:rsidR="00840999" w:rsidRPr="00263016">
        <w:rPr>
          <w:rFonts w:ascii="Times New Roman" w:hAnsi="Times New Roman"/>
          <w:sz w:val="24"/>
          <w:szCs w:val="24"/>
          <w:lang w:val="en-US"/>
        </w:rPr>
        <w:t>s</w:t>
      </w:r>
      <w:r w:rsidRPr="00263016">
        <w:rPr>
          <w:rFonts w:ascii="Times New Roman" w:hAnsi="Times New Roman"/>
          <w:sz w:val="24"/>
          <w:szCs w:val="24"/>
          <w:lang w:val="en-US"/>
        </w:rPr>
        <w:t xml:space="preserve"> the endorsement by the Budget Forum of the establishment of a “Technical Budget Forum” (TBF) to act as a technical platform to support the Budget Forum. SALGA supports NT interest to assist local government with improving revenue collection strategies and </w:t>
      </w:r>
      <w:r w:rsidRPr="00263016">
        <w:rPr>
          <w:rFonts w:ascii="Times New Roman" w:hAnsi="Times New Roman"/>
          <w:sz w:val="24"/>
          <w:szCs w:val="24"/>
          <w:lang w:val="en-US"/>
        </w:rPr>
        <w:lastRenderedPageBreak/>
        <w:t xml:space="preserve">methods towards more reliance on own revenue and improved creditworthiness of municipalities. The smallest budget allocation being 9.2% allocated to local government calls for  a review of </w:t>
      </w:r>
      <w:r w:rsidR="00840999" w:rsidRPr="00263016">
        <w:rPr>
          <w:rFonts w:ascii="Times New Roman" w:hAnsi="Times New Roman"/>
          <w:sz w:val="24"/>
          <w:szCs w:val="24"/>
          <w:lang w:val="en-US"/>
        </w:rPr>
        <w:t xml:space="preserve">the </w:t>
      </w:r>
      <w:r w:rsidRPr="00263016">
        <w:rPr>
          <w:rFonts w:ascii="Times New Roman" w:hAnsi="Times New Roman"/>
          <w:sz w:val="24"/>
          <w:szCs w:val="24"/>
          <w:lang w:val="en-US"/>
        </w:rPr>
        <w:t xml:space="preserve">vertical division of resources in the equitable share formula, as well as for municipalities to be given more revenue generating instruments towards </w:t>
      </w:r>
      <w:r w:rsidR="00840999" w:rsidRPr="00263016">
        <w:rPr>
          <w:rFonts w:ascii="Times New Roman" w:hAnsi="Times New Roman"/>
          <w:sz w:val="24"/>
          <w:szCs w:val="24"/>
          <w:lang w:val="en-US"/>
        </w:rPr>
        <w:t xml:space="preserve">improving </w:t>
      </w:r>
      <w:r w:rsidRPr="00263016">
        <w:rPr>
          <w:rFonts w:ascii="Times New Roman" w:hAnsi="Times New Roman"/>
          <w:sz w:val="24"/>
          <w:szCs w:val="24"/>
          <w:lang w:val="en-US"/>
        </w:rPr>
        <w:t xml:space="preserve">service delivery. </w:t>
      </w:r>
    </w:p>
    <w:p w14:paraId="2D4F97DD"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SALGA supports technical amendments to </w:t>
      </w:r>
      <w:r w:rsidR="00D50E1F" w:rsidRPr="00263016">
        <w:rPr>
          <w:rFonts w:ascii="Times New Roman" w:hAnsi="Times New Roman"/>
          <w:sz w:val="24"/>
          <w:szCs w:val="24"/>
          <w:lang w:val="en-US"/>
        </w:rPr>
        <w:t xml:space="preserve">relevant </w:t>
      </w:r>
      <w:r w:rsidRPr="00263016">
        <w:rPr>
          <w:rFonts w:ascii="Times New Roman" w:hAnsi="Times New Roman"/>
          <w:sz w:val="24"/>
          <w:szCs w:val="24"/>
          <w:lang w:val="en-US"/>
        </w:rPr>
        <w:t>clauses in the Bill</w:t>
      </w:r>
      <w:r w:rsidR="008B51DF" w:rsidRPr="00263016">
        <w:rPr>
          <w:rFonts w:ascii="Times New Roman" w:hAnsi="Times New Roman"/>
          <w:sz w:val="24"/>
          <w:szCs w:val="24"/>
          <w:lang w:val="en-US"/>
        </w:rPr>
        <w:t>,</w:t>
      </w:r>
      <w:r w:rsidRPr="00263016">
        <w:rPr>
          <w:rFonts w:ascii="Times New Roman" w:hAnsi="Times New Roman"/>
          <w:sz w:val="24"/>
          <w:szCs w:val="24"/>
          <w:lang w:val="en-US"/>
        </w:rPr>
        <w:t xml:space="preserve"> which </w:t>
      </w:r>
      <w:r w:rsidR="00D50E1F" w:rsidRPr="00263016">
        <w:rPr>
          <w:rFonts w:ascii="Times New Roman" w:hAnsi="Times New Roman"/>
          <w:sz w:val="24"/>
          <w:szCs w:val="24"/>
          <w:lang w:val="en-US"/>
        </w:rPr>
        <w:t>relate to:</w:t>
      </w:r>
      <w:r w:rsidRPr="00263016">
        <w:rPr>
          <w:rFonts w:ascii="Times New Roman" w:hAnsi="Times New Roman"/>
          <w:sz w:val="24"/>
          <w:szCs w:val="24"/>
          <w:lang w:val="en-US"/>
        </w:rPr>
        <w:t xml:space="preserve"> (</w:t>
      </w:r>
      <w:proofErr w:type="spellStart"/>
      <w:r w:rsidRPr="00263016">
        <w:rPr>
          <w:rFonts w:ascii="Times New Roman" w:hAnsi="Times New Roman"/>
          <w:sz w:val="24"/>
          <w:szCs w:val="24"/>
          <w:lang w:val="en-US"/>
        </w:rPr>
        <w:t>i</w:t>
      </w:r>
      <w:proofErr w:type="spellEnd"/>
      <w:r w:rsidRPr="00263016">
        <w:rPr>
          <w:rFonts w:ascii="Times New Roman" w:hAnsi="Times New Roman"/>
          <w:sz w:val="24"/>
          <w:szCs w:val="24"/>
          <w:lang w:val="en-US"/>
        </w:rPr>
        <w:t>) municipal borrowing against conditional grants</w:t>
      </w:r>
      <w:r w:rsidR="008B51DF" w:rsidRPr="00263016">
        <w:rPr>
          <w:rFonts w:ascii="Times New Roman" w:hAnsi="Times New Roman"/>
          <w:sz w:val="24"/>
          <w:szCs w:val="24"/>
          <w:lang w:val="en-US"/>
        </w:rPr>
        <w:t>,</w:t>
      </w:r>
      <w:r w:rsidRPr="00263016">
        <w:rPr>
          <w:rFonts w:ascii="Times New Roman" w:hAnsi="Times New Roman"/>
          <w:sz w:val="24"/>
          <w:szCs w:val="24"/>
          <w:lang w:val="en-US"/>
        </w:rPr>
        <w:t xml:space="preserve"> which must be done in terms of the process and criteria stipulated in the MFMA (grant pledging); (ii) giving NT the power to prescribe how pledged grant funds should be reported on (includes financial and non-financial reports); (iii)</w:t>
      </w:r>
      <w:r w:rsidR="00554BEA" w:rsidRPr="00263016">
        <w:rPr>
          <w:rFonts w:ascii="Times New Roman" w:hAnsi="Times New Roman"/>
          <w:sz w:val="24"/>
          <w:szCs w:val="24"/>
          <w:lang w:val="en-US"/>
        </w:rPr>
        <w:t xml:space="preserve"> ensuring that transfers, whereby it is funded  through provincial own funds and conditional funds, are aligned with existing service level agreements (SLAs).</w:t>
      </w:r>
      <w:r w:rsidRPr="00263016">
        <w:rPr>
          <w:rFonts w:ascii="Times New Roman" w:hAnsi="Times New Roman"/>
          <w:sz w:val="24"/>
          <w:szCs w:val="24"/>
          <w:lang w:val="en-US"/>
        </w:rPr>
        <w:t xml:space="preserve"> In addition, SALGA supports the recommendations of FFC, made in line with its Constitutional mandate. It also supports the new emergency housing grant, the informal settlement upgrades, the urban settlements development grant (with strict adherence to section 18 requirements), by NT and National Departments, as well as </w:t>
      </w:r>
      <w:proofErr w:type="spellStart"/>
      <w:r w:rsidRPr="00263016">
        <w:rPr>
          <w:rFonts w:ascii="Times New Roman" w:hAnsi="Times New Roman"/>
          <w:sz w:val="24"/>
          <w:szCs w:val="24"/>
          <w:lang w:val="en-US"/>
        </w:rPr>
        <w:t>gazetting</w:t>
      </w:r>
      <w:proofErr w:type="spellEnd"/>
      <w:r w:rsidRPr="00263016">
        <w:rPr>
          <w:rFonts w:ascii="Times New Roman" w:hAnsi="Times New Roman"/>
          <w:sz w:val="24"/>
          <w:szCs w:val="24"/>
          <w:lang w:val="en-US"/>
        </w:rPr>
        <w:t xml:space="preserve"> Human Settlements Development Grant (HSDG) funds to accredited municipalities.  </w:t>
      </w:r>
    </w:p>
    <w:p w14:paraId="6181B8AC"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489691F3"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In order to address funding gaps for waste management, implementation of environmental protection and fees, SALGA undertook the following research work:</w:t>
      </w:r>
    </w:p>
    <w:p w14:paraId="5369ED98" w14:textId="77777777" w:rsidR="005D5677" w:rsidRPr="00263016" w:rsidRDefault="005D5677" w:rsidP="00263016">
      <w:pPr>
        <w:pStyle w:val="ListParagraph"/>
        <w:numPr>
          <w:ilvl w:val="0"/>
          <w:numId w:val="22"/>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The Financial and Fiscal Repercussions of Eskom’s Role in the Electricity Distribution Industry on Local Government;</w:t>
      </w:r>
    </w:p>
    <w:p w14:paraId="21CCC3A7" w14:textId="77777777" w:rsidR="00C41C43" w:rsidRPr="00263016" w:rsidRDefault="005D5677" w:rsidP="00263016">
      <w:pPr>
        <w:pStyle w:val="ListParagraph"/>
        <w:numPr>
          <w:ilvl w:val="0"/>
          <w:numId w:val="22"/>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Cost of Free Basic Services Study – Impact on the Local Government Equitable Share; and </w:t>
      </w:r>
      <w:r w:rsidR="005F50FF" w:rsidRPr="00263016">
        <w:rPr>
          <w:rFonts w:ascii="Times New Roman" w:hAnsi="Times New Roman"/>
          <w:sz w:val="24"/>
          <w:szCs w:val="24"/>
        </w:rPr>
        <w:t>SALGA</w:t>
      </w:r>
      <w:r w:rsidR="00C41C43" w:rsidRPr="00263016">
        <w:rPr>
          <w:rFonts w:ascii="Times New Roman" w:hAnsi="Times New Roman"/>
          <w:sz w:val="24"/>
          <w:szCs w:val="24"/>
        </w:rPr>
        <w:t xml:space="preserve"> will promote the processing through this legislature</w:t>
      </w:r>
      <w:r w:rsidR="005F50FF" w:rsidRPr="00263016">
        <w:rPr>
          <w:rFonts w:ascii="Times New Roman" w:hAnsi="Times New Roman"/>
          <w:sz w:val="24"/>
          <w:szCs w:val="24"/>
        </w:rPr>
        <w:t xml:space="preserve"> for following:</w:t>
      </w:r>
      <w:r w:rsidR="00C41C43" w:rsidRPr="00263016">
        <w:rPr>
          <w:rFonts w:ascii="Times New Roman" w:hAnsi="Times New Roman"/>
          <w:sz w:val="24"/>
          <w:szCs w:val="24"/>
        </w:rPr>
        <w:t xml:space="preserve"> </w:t>
      </w:r>
    </w:p>
    <w:p w14:paraId="477A9291" w14:textId="77777777" w:rsidR="001C0A1F" w:rsidRPr="00263016" w:rsidRDefault="001C0A1F" w:rsidP="00263016">
      <w:pPr>
        <w:pStyle w:val="ListParagraph"/>
        <w:numPr>
          <w:ilvl w:val="0"/>
          <w:numId w:val="37"/>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A</w:t>
      </w:r>
      <w:r w:rsidR="00C41C43" w:rsidRPr="00263016">
        <w:rPr>
          <w:rFonts w:ascii="Times New Roman" w:hAnsi="Times New Roman"/>
          <w:sz w:val="24"/>
          <w:szCs w:val="24"/>
          <w:lang w:val="en-US"/>
        </w:rPr>
        <w:t xml:space="preserve"> bill on the writing off of house hold debts to municipalities</w:t>
      </w:r>
      <w:r w:rsidR="005F50FF" w:rsidRPr="00263016">
        <w:rPr>
          <w:rFonts w:ascii="Times New Roman" w:hAnsi="Times New Roman"/>
          <w:sz w:val="24"/>
          <w:szCs w:val="24"/>
          <w:lang w:val="en-US"/>
        </w:rPr>
        <w:t>;</w:t>
      </w:r>
    </w:p>
    <w:p w14:paraId="4455A7A8" w14:textId="77777777" w:rsidR="001C0A1F" w:rsidRPr="00263016" w:rsidRDefault="00C41C43" w:rsidP="00263016">
      <w:pPr>
        <w:pStyle w:val="ListParagraph"/>
        <w:numPr>
          <w:ilvl w:val="0"/>
          <w:numId w:val="37"/>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Amendments of the Tax Administration Act to allow the payment of municipal debts before tax refunds are made</w:t>
      </w:r>
      <w:r w:rsidR="005F50FF" w:rsidRPr="00263016">
        <w:rPr>
          <w:rFonts w:ascii="Times New Roman" w:hAnsi="Times New Roman"/>
          <w:sz w:val="24"/>
          <w:szCs w:val="24"/>
          <w:lang w:val="en-US"/>
        </w:rPr>
        <w:t>; and</w:t>
      </w:r>
      <w:r w:rsidRPr="00263016">
        <w:rPr>
          <w:rFonts w:ascii="Times New Roman" w:hAnsi="Times New Roman"/>
          <w:sz w:val="24"/>
          <w:szCs w:val="24"/>
          <w:lang w:val="en-US"/>
        </w:rPr>
        <w:t xml:space="preserve"> </w:t>
      </w:r>
    </w:p>
    <w:p w14:paraId="250DAFD9" w14:textId="77777777" w:rsidR="00C41C43" w:rsidRPr="00263016" w:rsidRDefault="00C41C43" w:rsidP="00263016">
      <w:pPr>
        <w:pStyle w:val="ListParagraph"/>
        <w:numPr>
          <w:ilvl w:val="0"/>
          <w:numId w:val="37"/>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The amendments in the Municipal Systems Act schedule 10 to extend its provisions to all employees benefiting from the </w:t>
      </w:r>
      <w:proofErr w:type="spellStart"/>
      <w:r w:rsidRPr="00263016">
        <w:rPr>
          <w:rFonts w:ascii="Times New Roman" w:hAnsi="Times New Roman"/>
          <w:sz w:val="24"/>
          <w:szCs w:val="24"/>
          <w:lang w:val="en-US"/>
        </w:rPr>
        <w:t>fiscus</w:t>
      </w:r>
      <w:proofErr w:type="spellEnd"/>
      <w:r w:rsidR="005F50FF" w:rsidRPr="00263016">
        <w:rPr>
          <w:rFonts w:ascii="Times New Roman" w:hAnsi="Times New Roman"/>
          <w:sz w:val="24"/>
          <w:szCs w:val="24"/>
          <w:lang w:val="en-US"/>
        </w:rPr>
        <w:t>.</w:t>
      </w:r>
    </w:p>
    <w:p w14:paraId="191FED2E"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p>
    <w:p w14:paraId="78DAACEA" w14:textId="77777777" w:rsidR="005D5677" w:rsidRPr="00263016" w:rsidRDefault="005D5677" w:rsidP="00263016">
      <w:pPr>
        <w:tabs>
          <w:tab w:val="left" w:pos="284"/>
          <w:tab w:val="left" w:pos="567"/>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Hence, SALGA recommends</w:t>
      </w:r>
      <w:r w:rsidR="00953446" w:rsidRPr="00263016">
        <w:rPr>
          <w:rFonts w:ascii="Times New Roman" w:hAnsi="Times New Roman"/>
          <w:sz w:val="24"/>
          <w:szCs w:val="24"/>
          <w:lang w:val="en-US"/>
        </w:rPr>
        <w:t xml:space="preserve"> as follows</w:t>
      </w:r>
      <w:r w:rsidRPr="00263016">
        <w:rPr>
          <w:rFonts w:ascii="Times New Roman" w:hAnsi="Times New Roman"/>
          <w:sz w:val="24"/>
          <w:szCs w:val="24"/>
          <w:lang w:val="en-US"/>
        </w:rPr>
        <w:t xml:space="preserve">: </w:t>
      </w:r>
    </w:p>
    <w:p w14:paraId="7828777A" w14:textId="77777777" w:rsidR="005D5677" w:rsidRPr="00263016" w:rsidRDefault="005D5677" w:rsidP="00263016">
      <w:pPr>
        <w:pStyle w:val="ListParagraph"/>
        <w:numPr>
          <w:ilvl w:val="0"/>
          <w:numId w:val="23"/>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The review of powers and functions across all three spheres of government (vertical review), should be undertaken at the Budget Forum Technical Committee; and</w:t>
      </w:r>
    </w:p>
    <w:p w14:paraId="437C87DE" w14:textId="77777777" w:rsidR="005D5677" w:rsidRPr="00263016" w:rsidRDefault="005D5677" w:rsidP="00263016">
      <w:pPr>
        <w:pStyle w:val="ListParagraph"/>
        <w:numPr>
          <w:ilvl w:val="0"/>
          <w:numId w:val="23"/>
        </w:numPr>
        <w:tabs>
          <w:tab w:val="left" w:pos="284"/>
          <w:tab w:val="left" w:pos="720"/>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Business and Government should be encouraged to pay debts owed to municipalities within the provided legislative </w:t>
      </w:r>
      <w:r w:rsidR="00840999" w:rsidRPr="00263016">
        <w:rPr>
          <w:rFonts w:ascii="Times New Roman" w:hAnsi="Times New Roman"/>
          <w:sz w:val="24"/>
          <w:szCs w:val="24"/>
          <w:lang w:val="en-US"/>
        </w:rPr>
        <w:t>framework.</w:t>
      </w:r>
    </w:p>
    <w:p w14:paraId="1B7535EE" w14:textId="77777777" w:rsidR="005D5677" w:rsidRPr="00263016" w:rsidRDefault="005D5677" w:rsidP="00263016">
      <w:pPr>
        <w:pStyle w:val="ListParagraph"/>
        <w:tabs>
          <w:tab w:val="left" w:pos="284"/>
          <w:tab w:val="left" w:pos="567"/>
        </w:tabs>
        <w:spacing w:before="120" w:after="120" w:line="240" w:lineRule="auto"/>
        <w:jc w:val="both"/>
        <w:rPr>
          <w:rFonts w:ascii="Times New Roman" w:hAnsi="Times New Roman"/>
          <w:b/>
          <w:sz w:val="24"/>
          <w:szCs w:val="24"/>
          <w:lang w:val="en-US"/>
        </w:rPr>
      </w:pPr>
      <w:r w:rsidRPr="00263016">
        <w:rPr>
          <w:rFonts w:ascii="Times New Roman" w:hAnsi="Times New Roman"/>
          <w:sz w:val="24"/>
          <w:szCs w:val="24"/>
          <w:lang w:val="en-US"/>
        </w:rPr>
        <w:t xml:space="preserve">   </w:t>
      </w:r>
    </w:p>
    <w:p w14:paraId="7AA29C9C" w14:textId="77777777" w:rsidR="005D5677" w:rsidRPr="00263016" w:rsidRDefault="005D5677" w:rsidP="00263016">
      <w:pPr>
        <w:spacing w:before="120" w:after="120" w:line="240" w:lineRule="auto"/>
        <w:jc w:val="both"/>
        <w:rPr>
          <w:rFonts w:ascii="Times New Roman" w:hAnsi="Times New Roman"/>
          <w:sz w:val="24"/>
          <w:szCs w:val="24"/>
        </w:rPr>
      </w:pPr>
      <w:r w:rsidRPr="00263016">
        <w:rPr>
          <w:rFonts w:ascii="Times New Roman" w:hAnsi="Times New Roman"/>
          <w:b/>
          <w:sz w:val="24"/>
          <w:szCs w:val="24"/>
          <w:lang w:val="en-US"/>
        </w:rPr>
        <w:t>3.3</w:t>
      </w:r>
      <w:r w:rsidRPr="00263016">
        <w:rPr>
          <w:rFonts w:ascii="Times New Roman" w:hAnsi="Times New Roman"/>
          <w:b/>
          <w:sz w:val="24"/>
          <w:szCs w:val="24"/>
          <w:lang w:val="en-US"/>
        </w:rPr>
        <w:tab/>
        <w:t xml:space="preserve">South African Institute </w:t>
      </w:r>
      <w:r w:rsidR="00D50E1F" w:rsidRPr="00263016">
        <w:rPr>
          <w:rFonts w:ascii="Times New Roman" w:hAnsi="Times New Roman"/>
          <w:b/>
          <w:sz w:val="24"/>
          <w:szCs w:val="24"/>
          <w:lang w:val="en-US"/>
        </w:rPr>
        <w:t>of</w:t>
      </w:r>
      <w:r w:rsidRPr="00263016">
        <w:rPr>
          <w:rFonts w:ascii="Times New Roman" w:hAnsi="Times New Roman"/>
          <w:b/>
          <w:sz w:val="24"/>
          <w:szCs w:val="24"/>
          <w:lang w:val="en-US"/>
        </w:rPr>
        <w:t xml:space="preserve"> Professional Accountants</w:t>
      </w:r>
      <w:r w:rsidRPr="00263016">
        <w:rPr>
          <w:rFonts w:ascii="Times New Roman" w:hAnsi="Times New Roman"/>
          <w:sz w:val="24"/>
          <w:szCs w:val="24"/>
        </w:rPr>
        <w:t xml:space="preserve"> </w:t>
      </w:r>
    </w:p>
    <w:p w14:paraId="4B5F12DE" w14:textId="77777777" w:rsidR="005D5677" w:rsidRPr="00263016" w:rsidRDefault="005D5677"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The South African Institute of Professional Accountants (SAIPA</w:t>
      </w:r>
      <w:r w:rsidR="00840999" w:rsidRPr="00263016">
        <w:rPr>
          <w:rFonts w:ascii="Times New Roman" w:hAnsi="Times New Roman"/>
          <w:sz w:val="24"/>
          <w:szCs w:val="24"/>
        </w:rPr>
        <w:t>)</w:t>
      </w:r>
      <w:r w:rsidRPr="00263016">
        <w:rPr>
          <w:rFonts w:ascii="Times New Roman" w:hAnsi="Times New Roman"/>
          <w:sz w:val="24"/>
          <w:szCs w:val="24"/>
        </w:rPr>
        <w:t xml:space="preserve"> is a leading accountancy institute representing qualified </w:t>
      </w:r>
      <w:r w:rsidR="00E96D82" w:rsidRPr="00263016">
        <w:rPr>
          <w:rFonts w:ascii="Times New Roman" w:hAnsi="Times New Roman"/>
          <w:sz w:val="24"/>
          <w:szCs w:val="24"/>
        </w:rPr>
        <w:t>p</w:t>
      </w:r>
      <w:r w:rsidRPr="00263016">
        <w:rPr>
          <w:rFonts w:ascii="Times New Roman" w:hAnsi="Times New Roman"/>
          <w:sz w:val="24"/>
          <w:szCs w:val="24"/>
        </w:rPr>
        <w:t xml:space="preserve">rofessional </w:t>
      </w:r>
      <w:r w:rsidR="00E96D82" w:rsidRPr="00263016">
        <w:rPr>
          <w:rFonts w:ascii="Times New Roman" w:hAnsi="Times New Roman"/>
          <w:sz w:val="24"/>
          <w:szCs w:val="24"/>
        </w:rPr>
        <w:t>a</w:t>
      </w:r>
      <w:r w:rsidRPr="00263016">
        <w:rPr>
          <w:rFonts w:ascii="Times New Roman" w:hAnsi="Times New Roman"/>
          <w:sz w:val="24"/>
          <w:szCs w:val="24"/>
        </w:rPr>
        <w:t>ccountants</w:t>
      </w:r>
      <w:r w:rsidR="00E96D82" w:rsidRPr="00263016">
        <w:rPr>
          <w:rFonts w:ascii="Times New Roman" w:hAnsi="Times New Roman"/>
          <w:sz w:val="24"/>
          <w:szCs w:val="24"/>
        </w:rPr>
        <w:t xml:space="preserve"> in South Africa </w:t>
      </w:r>
      <w:r w:rsidRPr="00263016">
        <w:rPr>
          <w:rFonts w:ascii="Times New Roman" w:hAnsi="Times New Roman"/>
          <w:sz w:val="24"/>
          <w:szCs w:val="24"/>
        </w:rPr>
        <w:t>that practice in commerce and industry, academia and the public sector.</w:t>
      </w:r>
    </w:p>
    <w:p w14:paraId="1963B4C7" w14:textId="77777777" w:rsidR="005D5677" w:rsidRPr="00263016" w:rsidRDefault="005D5677" w:rsidP="00263016">
      <w:pPr>
        <w:spacing w:before="120" w:after="120" w:line="240" w:lineRule="auto"/>
        <w:jc w:val="both"/>
        <w:rPr>
          <w:rFonts w:ascii="Times New Roman" w:eastAsia="MS Mincho" w:hAnsi="Times New Roman"/>
          <w:sz w:val="24"/>
          <w:szCs w:val="24"/>
          <w:lang w:val="en-US"/>
        </w:rPr>
      </w:pPr>
      <w:r w:rsidRPr="00263016">
        <w:rPr>
          <w:rFonts w:ascii="Times New Roman" w:hAnsi="Times New Roman"/>
          <w:sz w:val="24"/>
          <w:szCs w:val="24"/>
        </w:rPr>
        <w:t>SAIPA recommended that the Bill should specifically stipulate that section 84 of the PFMA is applicable to t</w:t>
      </w:r>
      <w:proofErr w:type="spellStart"/>
      <w:r w:rsidRPr="00263016">
        <w:rPr>
          <w:rFonts w:ascii="Times New Roman" w:eastAsia="MS Mincho" w:hAnsi="Times New Roman"/>
          <w:sz w:val="24"/>
          <w:szCs w:val="24"/>
          <w:lang w:val="en-US"/>
        </w:rPr>
        <w:t>ransferring</w:t>
      </w:r>
      <w:proofErr w:type="spellEnd"/>
      <w:r w:rsidRPr="00263016">
        <w:rPr>
          <w:rFonts w:ascii="Times New Roman" w:eastAsia="MS Mincho" w:hAnsi="Times New Roman"/>
          <w:sz w:val="24"/>
          <w:szCs w:val="24"/>
          <w:lang w:val="en-US"/>
        </w:rPr>
        <w:t xml:space="preserve"> and receiving officers in instances of breach of the Bill.  With regard to the responsibilities of transferring officers and receiving officers, SAIPA is of the view that it will be prudent and necessary to have prior consultation between national and provincial </w:t>
      </w:r>
      <w:r w:rsidRPr="00263016">
        <w:rPr>
          <w:rFonts w:ascii="Times New Roman" w:eastAsia="MS Mincho" w:hAnsi="Times New Roman"/>
          <w:sz w:val="24"/>
          <w:szCs w:val="24"/>
          <w:lang w:val="en-US"/>
        </w:rPr>
        <w:lastRenderedPageBreak/>
        <w:t>departments</w:t>
      </w:r>
      <w:r w:rsidR="00E96D82" w:rsidRPr="00263016">
        <w:rPr>
          <w:rFonts w:ascii="Times New Roman" w:eastAsia="MS Mincho" w:hAnsi="Times New Roman"/>
          <w:sz w:val="24"/>
          <w:szCs w:val="24"/>
          <w:lang w:val="en-US"/>
        </w:rPr>
        <w:t xml:space="preserve">. </w:t>
      </w:r>
      <w:proofErr w:type="gramStart"/>
      <w:r w:rsidR="00E96D82" w:rsidRPr="00263016">
        <w:rPr>
          <w:rFonts w:ascii="Times New Roman" w:eastAsia="MS Mincho" w:hAnsi="Times New Roman"/>
          <w:sz w:val="24"/>
          <w:szCs w:val="24"/>
          <w:lang w:val="en-US"/>
        </w:rPr>
        <w:t>More specifically,</w:t>
      </w:r>
      <w:r w:rsidRPr="00263016">
        <w:rPr>
          <w:rFonts w:ascii="Times New Roman" w:eastAsia="MS Mincho" w:hAnsi="Times New Roman"/>
          <w:sz w:val="24"/>
          <w:szCs w:val="24"/>
          <w:lang w:val="en-US"/>
        </w:rPr>
        <w:t xml:space="preserve"> national department</w:t>
      </w:r>
      <w:r w:rsidR="00CC7E30" w:rsidRPr="00263016">
        <w:rPr>
          <w:rFonts w:ascii="Times New Roman" w:eastAsia="MS Mincho" w:hAnsi="Times New Roman"/>
          <w:sz w:val="24"/>
          <w:szCs w:val="24"/>
          <w:lang w:val="en-US"/>
        </w:rPr>
        <w:t>s</w:t>
      </w:r>
      <w:r w:rsidR="00E96D82" w:rsidRPr="00263016">
        <w:rPr>
          <w:rFonts w:ascii="Times New Roman" w:eastAsia="MS Mincho" w:hAnsi="Times New Roman"/>
          <w:sz w:val="24"/>
          <w:szCs w:val="24"/>
          <w:lang w:val="en-US"/>
        </w:rPr>
        <w:t xml:space="preserve"> to</w:t>
      </w:r>
      <w:r w:rsidRPr="00263016">
        <w:rPr>
          <w:rFonts w:ascii="Times New Roman" w:eastAsia="MS Mincho" w:hAnsi="Times New Roman"/>
          <w:sz w:val="24"/>
          <w:szCs w:val="24"/>
          <w:lang w:val="en-US"/>
        </w:rPr>
        <w:t xml:space="preserve"> provid</w:t>
      </w:r>
      <w:r w:rsidR="00E96D82" w:rsidRPr="00263016">
        <w:rPr>
          <w:rFonts w:ascii="Times New Roman" w:eastAsia="MS Mincho" w:hAnsi="Times New Roman"/>
          <w:sz w:val="24"/>
          <w:szCs w:val="24"/>
          <w:lang w:val="en-US"/>
        </w:rPr>
        <w:t>e</w:t>
      </w:r>
      <w:r w:rsidRPr="00263016">
        <w:rPr>
          <w:rFonts w:ascii="Times New Roman" w:eastAsia="MS Mincho" w:hAnsi="Times New Roman"/>
          <w:sz w:val="24"/>
          <w:szCs w:val="24"/>
          <w:lang w:val="en-US"/>
        </w:rPr>
        <w:t xml:space="preserve"> guidelines and criteria for the development and approval of business plans to the provincial departments.</w:t>
      </w:r>
      <w:proofErr w:type="gramEnd"/>
    </w:p>
    <w:p w14:paraId="211AFFE0" w14:textId="77777777" w:rsidR="005D5677" w:rsidRPr="00263016" w:rsidRDefault="005D5677" w:rsidP="00263016">
      <w:pPr>
        <w:spacing w:before="120" w:after="120" w:line="240" w:lineRule="auto"/>
        <w:jc w:val="both"/>
        <w:rPr>
          <w:rFonts w:ascii="Times New Roman" w:eastAsia="MS Mincho" w:hAnsi="Times New Roman"/>
          <w:sz w:val="24"/>
          <w:szCs w:val="24"/>
          <w:lang w:val="en-US"/>
        </w:rPr>
      </w:pPr>
      <w:r w:rsidRPr="00263016">
        <w:rPr>
          <w:rFonts w:ascii="Times New Roman" w:eastAsia="MS Mincho" w:hAnsi="Times New Roman"/>
          <w:sz w:val="24"/>
          <w:szCs w:val="24"/>
          <w:lang w:val="en-US"/>
        </w:rPr>
        <w:t>Section 6(3), provides that excess or shortfall of revenue by the National Government be allocated to national departments, provinces and municipalities, which should include reasons, as well as that the said excess should be utilized to reduce debt. Its view is that the quarterly review meetings of responsibilities of the transferring and receiving officer</w:t>
      </w:r>
      <w:r w:rsidR="00753EC3" w:rsidRPr="00263016">
        <w:rPr>
          <w:rFonts w:ascii="Times New Roman" w:eastAsia="MS Mincho" w:hAnsi="Times New Roman"/>
          <w:sz w:val="24"/>
          <w:szCs w:val="24"/>
          <w:lang w:val="en-US"/>
        </w:rPr>
        <w:t xml:space="preserve"> s</w:t>
      </w:r>
      <w:r w:rsidRPr="00263016">
        <w:rPr>
          <w:rFonts w:ascii="Times New Roman" w:eastAsia="MS Mincho" w:hAnsi="Times New Roman"/>
          <w:sz w:val="24"/>
          <w:szCs w:val="24"/>
          <w:lang w:val="en-US"/>
        </w:rPr>
        <w:t>hould be specifically prescribed to achieve the maximum positive outcome on the allocated budget and expenditure, which will create strict accountability to provinces, municipalities and SOEs</w:t>
      </w:r>
      <w:r w:rsidR="00753EC3" w:rsidRPr="00263016">
        <w:rPr>
          <w:rFonts w:ascii="Times New Roman" w:eastAsia="MS Mincho" w:hAnsi="Times New Roman"/>
          <w:sz w:val="24"/>
          <w:szCs w:val="24"/>
          <w:lang w:val="en-US"/>
        </w:rPr>
        <w:t>,</w:t>
      </w:r>
      <w:r w:rsidRPr="00263016">
        <w:rPr>
          <w:rFonts w:ascii="Times New Roman" w:eastAsia="MS Mincho" w:hAnsi="Times New Roman"/>
          <w:sz w:val="24"/>
          <w:szCs w:val="24"/>
          <w:lang w:val="en-US"/>
        </w:rPr>
        <w:t xml:space="preserve"> in respect of its allocated budget and expenditure. In addition, it also strongly suggested that zero-rating should be extended to essential non-basic food items such as schoolbooks and school uniforms. This extension should be applicable to child headed households, orphanages and households headed by pensioners where such children are legally declared as orphans. Its suggestion included that the 1% VAT increase should not apply to businesses, which generate an income of a certain amount.</w:t>
      </w:r>
    </w:p>
    <w:p w14:paraId="23D6F617" w14:textId="77777777" w:rsidR="005D5677" w:rsidRPr="00263016" w:rsidRDefault="005D5677" w:rsidP="00263016">
      <w:pPr>
        <w:spacing w:before="120" w:after="120" w:line="240" w:lineRule="auto"/>
        <w:jc w:val="both"/>
        <w:rPr>
          <w:rFonts w:ascii="Times New Roman" w:eastAsia="MS Mincho" w:hAnsi="Times New Roman"/>
          <w:sz w:val="24"/>
          <w:szCs w:val="24"/>
          <w:lang w:val="en-US"/>
        </w:rPr>
      </w:pPr>
    </w:p>
    <w:p w14:paraId="08AB8F4D" w14:textId="77777777" w:rsidR="005D5677" w:rsidRPr="00263016" w:rsidRDefault="005D5677" w:rsidP="00263016">
      <w:pPr>
        <w:spacing w:before="120" w:after="120" w:line="240" w:lineRule="auto"/>
        <w:jc w:val="both"/>
        <w:rPr>
          <w:rFonts w:ascii="Times New Roman" w:eastAsia="MS Mincho" w:hAnsi="Times New Roman"/>
          <w:sz w:val="24"/>
          <w:szCs w:val="24"/>
          <w:lang w:val="en-US"/>
        </w:rPr>
      </w:pPr>
      <w:r w:rsidRPr="00263016">
        <w:rPr>
          <w:rFonts w:ascii="Times New Roman" w:eastAsia="MS Mincho" w:hAnsi="Times New Roman"/>
          <w:sz w:val="24"/>
          <w:szCs w:val="24"/>
          <w:lang w:val="en-US"/>
        </w:rPr>
        <w:t xml:space="preserve">Section 21 (conversion of allocations) and section 22 (unspent conditional allocations) was welcomed, adding that reasons should be provided for unspent conditional allocations and used as part of the requirements for a roll-over.  Finally, SAIPA welcomes section 32 (3), pertaining to liability for costs incurred in violation of principles of cooperative governance and inter-governmental relations, which will prevent intergovernmental disputes and potential frivolous legal action between organ of state.  </w:t>
      </w:r>
    </w:p>
    <w:p w14:paraId="38A52044"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p>
    <w:p w14:paraId="31D39962"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r w:rsidRPr="00263016">
        <w:rPr>
          <w:rFonts w:ascii="Times New Roman" w:hAnsi="Times New Roman"/>
          <w:b/>
          <w:sz w:val="24"/>
          <w:szCs w:val="24"/>
          <w:lang w:val="en-US"/>
        </w:rPr>
        <w:t>3.4</w:t>
      </w:r>
      <w:r w:rsidRPr="00263016">
        <w:rPr>
          <w:rFonts w:ascii="Times New Roman" w:hAnsi="Times New Roman"/>
          <w:b/>
          <w:sz w:val="24"/>
          <w:szCs w:val="24"/>
          <w:lang w:val="en-US"/>
        </w:rPr>
        <w:tab/>
        <w:t xml:space="preserve">Equal Education </w:t>
      </w:r>
    </w:p>
    <w:p w14:paraId="1DB025C9" w14:textId="77777777" w:rsidR="005D5677" w:rsidRPr="00263016" w:rsidRDefault="005D5677" w:rsidP="00263016">
      <w:pPr>
        <w:tabs>
          <w:tab w:val="left" w:pos="284"/>
          <w:tab w:val="left" w:pos="567"/>
        </w:tabs>
        <w:spacing w:before="120" w:after="120" w:line="240" w:lineRule="auto"/>
        <w:jc w:val="both"/>
        <w:rPr>
          <w:rFonts w:ascii="Times New Roman" w:hAnsi="Times New Roman"/>
          <w:b/>
          <w:sz w:val="24"/>
          <w:szCs w:val="24"/>
          <w:lang w:val="en-US"/>
        </w:rPr>
      </w:pPr>
    </w:p>
    <w:p w14:paraId="09A65A0D"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Equal Education (EE) in its submission expressed concerns about the baseline reductions to basic education and the Provincial Equitable Share. It was of the view that basic education </w:t>
      </w:r>
      <w:r w:rsidR="0093797D" w:rsidRPr="00263016">
        <w:rPr>
          <w:rFonts w:ascii="Times New Roman" w:hAnsi="Times New Roman"/>
          <w:sz w:val="24"/>
          <w:szCs w:val="24"/>
          <w:lang w:val="en-US"/>
        </w:rPr>
        <w:t>is in a state of crisis and made</w:t>
      </w:r>
      <w:r w:rsidR="002E67CF" w:rsidRPr="00263016">
        <w:rPr>
          <w:rFonts w:ascii="Times New Roman" w:hAnsi="Times New Roman"/>
          <w:sz w:val="24"/>
          <w:szCs w:val="24"/>
          <w:lang w:val="en-US"/>
        </w:rPr>
        <w:t xml:space="preserve"> reference to the following issues, namely; </w:t>
      </w:r>
      <w:r w:rsidRPr="00263016">
        <w:rPr>
          <w:rFonts w:ascii="Times New Roman" w:hAnsi="Times New Roman"/>
          <w:sz w:val="24"/>
          <w:szCs w:val="24"/>
          <w:lang w:val="en-US"/>
        </w:rPr>
        <w:t xml:space="preserve">early grade reading deficiencies, infrastructure backlogs, school safety, and scholar transport.  </w:t>
      </w:r>
    </w:p>
    <w:p w14:paraId="4DD969E2"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p>
    <w:p w14:paraId="28BFCFAE"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In terms of school infrastructure, EE proposed that the reductions be reversed and that National Treasury should rather support provinces by incentivizing transparent and effective infrastructure planning and creation of stronger monitor and sanction implementing agents. EE was of the view that the 1 per cent increase in VAT will further exacerbate the situation as it will impact on the price of raw materials and service costs. </w:t>
      </w:r>
    </w:p>
    <w:p w14:paraId="618F121D"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p>
    <w:p w14:paraId="48B6BC73"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EE further reiterated its call for a Conditional Grant to be established to regulate the implementation of learner transport in South Africa. With regard to the Equitable Share Formula, EE welcomed the commitment from National Treasury to review the formula however; timeframes are yet to be made public in that regard and encouraged the latter to communicate the timelines and mechanisms for public participation. </w:t>
      </w:r>
      <w:r w:rsidRPr="00263016">
        <w:rPr>
          <w:rFonts w:ascii="Times New Roman" w:hAnsi="Times New Roman"/>
          <w:sz w:val="24"/>
          <w:szCs w:val="24"/>
          <w:lang w:val="en-US"/>
        </w:rPr>
        <w:tab/>
      </w:r>
      <w:r w:rsidRPr="00263016">
        <w:rPr>
          <w:rFonts w:ascii="Times New Roman" w:hAnsi="Times New Roman"/>
          <w:sz w:val="24"/>
          <w:szCs w:val="24"/>
          <w:lang w:val="en-US"/>
        </w:rPr>
        <w:tab/>
      </w:r>
    </w:p>
    <w:p w14:paraId="2568606B" w14:textId="77777777" w:rsidR="005D5677" w:rsidRPr="00263016" w:rsidRDefault="005D5677" w:rsidP="00263016">
      <w:p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It noted the change from the Schools Reality Survey to the Learner Unit Record Information Tracking System (LURITS), which formed part of reviewing process, and proposed that further phases of the formula reviews should consider the following factors:</w:t>
      </w:r>
    </w:p>
    <w:p w14:paraId="3047BE24" w14:textId="77777777" w:rsidR="00953446" w:rsidRPr="00263016" w:rsidRDefault="005D5677" w:rsidP="00263016">
      <w:pPr>
        <w:pStyle w:val="ListParagraph"/>
        <w:numPr>
          <w:ilvl w:val="0"/>
          <w:numId w:val="21"/>
        </w:num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lastRenderedPageBreak/>
        <w:t xml:space="preserve">Historic underfunding </w:t>
      </w:r>
      <w:r w:rsidR="00953446" w:rsidRPr="00263016">
        <w:rPr>
          <w:rFonts w:ascii="Times New Roman" w:hAnsi="Times New Roman"/>
          <w:sz w:val="24"/>
          <w:szCs w:val="24"/>
          <w:lang w:val="en-US"/>
        </w:rPr>
        <w:t xml:space="preserve">due in part to the fact that </w:t>
      </w:r>
      <w:r w:rsidR="001C0A1F" w:rsidRPr="00263016">
        <w:rPr>
          <w:rFonts w:ascii="Times New Roman" w:hAnsi="Times New Roman"/>
          <w:sz w:val="24"/>
          <w:szCs w:val="24"/>
          <w:lang w:val="en-US"/>
        </w:rPr>
        <w:t>the former</w:t>
      </w:r>
      <w:r w:rsidRPr="00263016">
        <w:rPr>
          <w:rFonts w:ascii="Times New Roman" w:hAnsi="Times New Roman"/>
          <w:sz w:val="24"/>
          <w:szCs w:val="24"/>
          <w:lang w:val="en-US"/>
        </w:rPr>
        <w:t xml:space="preserve"> homelands</w:t>
      </w:r>
      <w:r w:rsidR="00953446" w:rsidRPr="00263016">
        <w:rPr>
          <w:rFonts w:ascii="Times New Roman" w:hAnsi="Times New Roman"/>
          <w:sz w:val="24"/>
          <w:szCs w:val="24"/>
          <w:lang w:val="en-US"/>
        </w:rPr>
        <w:t xml:space="preserve"> areas account for a large part of the country’s rural regions, and the outright and systematic discrimination against these areas in terms of access to resources under apartheid. </w:t>
      </w:r>
    </w:p>
    <w:p w14:paraId="4B5639AD" w14:textId="77777777" w:rsidR="005D5677" w:rsidRPr="00263016" w:rsidRDefault="00953446" w:rsidP="00263016">
      <w:pPr>
        <w:pStyle w:val="ListParagraph"/>
        <w:numPr>
          <w:ilvl w:val="0"/>
          <w:numId w:val="21"/>
        </w:num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Geographical disadvantages include the cost involved when learners and staff live greater d</w:t>
      </w:r>
      <w:r w:rsidR="007E51A7" w:rsidRPr="00263016">
        <w:rPr>
          <w:rFonts w:ascii="Times New Roman" w:hAnsi="Times New Roman"/>
          <w:sz w:val="24"/>
          <w:szCs w:val="24"/>
          <w:lang w:val="en-US"/>
        </w:rPr>
        <w:t>i</w:t>
      </w:r>
      <w:r w:rsidRPr="00263016">
        <w:rPr>
          <w:rFonts w:ascii="Times New Roman" w:hAnsi="Times New Roman"/>
          <w:sz w:val="24"/>
          <w:szCs w:val="24"/>
          <w:lang w:val="en-US"/>
        </w:rPr>
        <w:t xml:space="preserve">stance from schools, as well as the reduced potential for economies of scales when schools have relatively small learner numbers. </w:t>
      </w:r>
    </w:p>
    <w:p w14:paraId="45EF9071" w14:textId="77777777" w:rsidR="005D5677" w:rsidRPr="00263016" w:rsidRDefault="005D5677" w:rsidP="00263016">
      <w:pPr>
        <w:pStyle w:val="ListParagraph"/>
        <w:numPr>
          <w:ilvl w:val="0"/>
          <w:numId w:val="21"/>
        </w:num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Infrastructure disadvantages</w:t>
      </w:r>
      <w:r w:rsidR="00953446" w:rsidRPr="00263016">
        <w:rPr>
          <w:rFonts w:ascii="Times New Roman" w:hAnsi="Times New Roman"/>
          <w:sz w:val="24"/>
          <w:szCs w:val="24"/>
          <w:lang w:val="en-US"/>
        </w:rPr>
        <w:t xml:space="preserve"> also exist with disparities in access to basic services when comparing rural and urban areas, and thus there is greater cost attached to ensuring basic service delivery to all schools. </w:t>
      </w:r>
    </w:p>
    <w:p w14:paraId="12851CCA" w14:textId="77777777" w:rsidR="007E51A7" w:rsidRPr="00263016" w:rsidRDefault="00953446" w:rsidP="00263016">
      <w:pPr>
        <w:pStyle w:val="ListParagraph"/>
        <w:numPr>
          <w:ilvl w:val="0"/>
          <w:numId w:val="21"/>
        </w:num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Demographically, in rural areas the population has a high proportion of children of older people, while the working-age population is more dominant in urban areas.</w:t>
      </w:r>
    </w:p>
    <w:p w14:paraId="17AE2DC7" w14:textId="77777777" w:rsidR="005D5677" w:rsidRPr="00263016" w:rsidRDefault="00953446" w:rsidP="00263016">
      <w:pPr>
        <w:pStyle w:val="ListParagraph"/>
        <w:numPr>
          <w:ilvl w:val="0"/>
          <w:numId w:val="21"/>
        </w:numPr>
        <w:tabs>
          <w:tab w:val="left" w:pos="1302"/>
        </w:tabs>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 xml:space="preserve">In terms of poverty, Statistics South Africa </w:t>
      </w:r>
      <w:r w:rsidR="007E51A7" w:rsidRPr="00263016">
        <w:rPr>
          <w:rFonts w:ascii="Times New Roman" w:hAnsi="Times New Roman"/>
          <w:sz w:val="24"/>
          <w:szCs w:val="24"/>
          <w:lang w:val="en-US"/>
        </w:rPr>
        <w:t xml:space="preserve">has noted that the poverty rate stood at 68.8 per cent in rural areas, as compared to 30.9 per cent in urban areas. </w:t>
      </w:r>
    </w:p>
    <w:p w14:paraId="101EEE35" w14:textId="77777777" w:rsidR="007E51A7" w:rsidRPr="00263016" w:rsidRDefault="007E51A7" w:rsidP="00263016">
      <w:pPr>
        <w:spacing w:before="120" w:after="120" w:line="240" w:lineRule="auto"/>
        <w:jc w:val="both"/>
        <w:rPr>
          <w:rFonts w:ascii="Times New Roman" w:hAnsi="Times New Roman"/>
          <w:sz w:val="24"/>
          <w:szCs w:val="24"/>
          <w:lang w:val="en-US"/>
        </w:rPr>
      </w:pPr>
    </w:p>
    <w:p w14:paraId="0DA5229A" w14:textId="77777777" w:rsidR="00AC035C" w:rsidRPr="00263016" w:rsidRDefault="00AC035C" w:rsidP="00263016">
      <w:pPr>
        <w:pStyle w:val="ListParagraph"/>
        <w:spacing w:before="120" w:after="120" w:line="240" w:lineRule="auto"/>
        <w:ind w:left="0"/>
        <w:jc w:val="both"/>
        <w:rPr>
          <w:rFonts w:ascii="Times New Roman" w:hAnsi="Times New Roman"/>
          <w:b/>
          <w:sz w:val="24"/>
          <w:szCs w:val="24"/>
        </w:rPr>
      </w:pPr>
      <w:r w:rsidRPr="00263016">
        <w:rPr>
          <w:rFonts w:ascii="Times New Roman" w:hAnsi="Times New Roman"/>
          <w:b/>
          <w:sz w:val="24"/>
          <w:szCs w:val="24"/>
        </w:rPr>
        <w:t>4.</w:t>
      </w:r>
      <w:r w:rsidRPr="00263016">
        <w:rPr>
          <w:rFonts w:ascii="Times New Roman" w:hAnsi="Times New Roman"/>
          <w:b/>
          <w:sz w:val="24"/>
          <w:szCs w:val="24"/>
        </w:rPr>
        <w:tab/>
        <w:t>Findings and Observations</w:t>
      </w:r>
    </w:p>
    <w:p w14:paraId="132D1C07" w14:textId="77777777" w:rsidR="006D464E" w:rsidRPr="00263016" w:rsidRDefault="006D464E" w:rsidP="00263016">
      <w:pPr>
        <w:pStyle w:val="ListParagraph"/>
        <w:spacing w:before="120" w:after="120" w:line="240" w:lineRule="auto"/>
        <w:ind w:left="360"/>
        <w:jc w:val="both"/>
        <w:rPr>
          <w:rFonts w:ascii="Times New Roman" w:hAnsi="Times New Roman"/>
          <w:b/>
          <w:sz w:val="24"/>
          <w:szCs w:val="24"/>
        </w:rPr>
      </w:pPr>
    </w:p>
    <w:p w14:paraId="44990738" w14:textId="77777777" w:rsidR="00AC035C" w:rsidRPr="00263016" w:rsidRDefault="00AC035C" w:rsidP="00263016">
      <w:pPr>
        <w:spacing w:before="120" w:after="120" w:line="240" w:lineRule="auto"/>
        <w:jc w:val="both"/>
        <w:rPr>
          <w:rFonts w:ascii="Times New Roman" w:hAnsi="Times New Roman"/>
          <w:sz w:val="24"/>
          <w:szCs w:val="24"/>
          <w:lang w:val="en-US"/>
        </w:rPr>
      </w:pPr>
      <w:r w:rsidRPr="00263016">
        <w:rPr>
          <w:rFonts w:ascii="Times New Roman" w:hAnsi="Times New Roman"/>
          <w:sz w:val="24"/>
          <w:szCs w:val="24"/>
          <w:lang w:val="en-US"/>
        </w:rPr>
        <w:t>The Standing Committee on Appropria</w:t>
      </w:r>
      <w:r w:rsidR="00CC3213" w:rsidRPr="00263016">
        <w:rPr>
          <w:rFonts w:ascii="Times New Roman" w:hAnsi="Times New Roman"/>
          <w:sz w:val="24"/>
          <w:szCs w:val="24"/>
          <w:lang w:val="en-US"/>
        </w:rPr>
        <w:t>tions having considered the 2018</w:t>
      </w:r>
      <w:r w:rsidRPr="00263016">
        <w:rPr>
          <w:rFonts w:ascii="Times New Roman" w:hAnsi="Times New Roman"/>
          <w:sz w:val="24"/>
          <w:szCs w:val="24"/>
          <w:lang w:val="en-US"/>
        </w:rPr>
        <w:t xml:space="preserve"> Division of Revenue Bill and received inputs thereon found the following:</w:t>
      </w:r>
    </w:p>
    <w:p w14:paraId="3DB6BE8B" w14:textId="77777777" w:rsidR="006D464E" w:rsidRPr="00263016" w:rsidRDefault="006D464E" w:rsidP="00263016">
      <w:pPr>
        <w:spacing w:before="120" w:after="120" w:line="240" w:lineRule="auto"/>
        <w:jc w:val="both"/>
        <w:rPr>
          <w:rFonts w:ascii="Times New Roman" w:hAnsi="Times New Roman"/>
          <w:sz w:val="24"/>
          <w:szCs w:val="24"/>
          <w:lang w:val="en-US"/>
        </w:rPr>
      </w:pPr>
    </w:p>
    <w:p w14:paraId="26B8B41D" w14:textId="77777777" w:rsidR="006D464E" w:rsidRPr="00263016" w:rsidRDefault="006D464E"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lang w:val="en-US"/>
        </w:rPr>
        <w:t>4.1.</w:t>
      </w:r>
      <w:r w:rsidRPr="00263016">
        <w:rPr>
          <w:rFonts w:ascii="Times New Roman" w:hAnsi="Times New Roman"/>
          <w:sz w:val="24"/>
          <w:szCs w:val="24"/>
          <w:lang w:val="en-US"/>
        </w:rPr>
        <w:tab/>
      </w:r>
      <w:r w:rsidRPr="00263016">
        <w:rPr>
          <w:rFonts w:ascii="Times New Roman" w:hAnsi="Times New Roman"/>
          <w:sz w:val="24"/>
          <w:szCs w:val="24"/>
        </w:rPr>
        <w:t xml:space="preserve">The Committee notes that </w:t>
      </w:r>
      <w:r w:rsidR="005F50FF" w:rsidRPr="00263016">
        <w:rPr>
          <w:rFonts w:ascii="Times New Roman" w:hAnsi="Times New Roman"/>
          <w:sz w:val="24"/>
          <w:szCs w:val="24"/>
        </w:rPr>
        <w:t xml:space="preserve">the </w:t>
      </w:r>
      <w:r w:rsidRPr="00263016">
        <w:rPr>
          <w:rFonts w:ascii="Times New Roman" w:hAnsi="Times New Roman"/>
          <w:sz w:val="24"/>
          <w:szCs w:val="24"/>
        </w:rPr>
        <w:t>econom</w:t>
      </w:r>
      <w:r w:rsidR="005F50FF" w:rsidRPr="00263016">
        <w:rPr>
          <w:rFonts w:ascii="Times New Roman" w:hAnsi="Times New Roman"/>
          <w:sz w:val="24"/>
          <w:szCs w:val="24"/>
        </w:rPr>
        <w:t xml:space="preserve">y </w:t>
      </w:r>
      <w:r w:rsidRPr="00263016">
        <w:rPr>
          <w:rFonts w:ascii="Times New Roman" w:hAnsi="Times New Roman"/>
          <w:sz w:val="24"/>
          <w:szCs w:val="24"/>
        </w:rPr>
        <w:t>is forecast to grow by 1.5 per cent in 2018, 1.8 per cent in 2019 and 2.1 percent in 2020. The main risks to the fiscal outlook are uncertainty in the growth forecast, contingent liabilities of state-owned companies and the public-service compensation budget. In addition, drought in several provinces poses significant risks to agriculture and tourism that could result in job losses.</w:t>
      </w:r>
    </w:p>
    <w:p w14:paraId="16E2794E" w14:textId="77777777" w:rsidR="006D464E" w:rsidRPr="00263016" w:rsidRDefault="006D464E" w:rsidP="00263016">
      <w:pPr>
        <w:spacing w:before="120" w:after="120" w:line="240" w:lineRule="auto"/>
        <w:ind w:left="720" w:hanging="720"/>
        <w:jc w:val="both"/>
        <w:rPr>
          <w:rFonts w:ascii="Times New Roman" w:hAnsi="Times New Roman"/>
          <w:color w:val="FF0000"/>
          <w:sz w:val="24"/>
          <w:szCs w:val="24"/>
        </w:rPr>
      </w:pPr>
      <w:r w:rsidRPr="00263016">
        <w:rPr>
          <w:rFonts w:ascii="Times New Roman" w:hAnsi="Times New Roman"/>
          <w:b/>
          <w:sz w:val="24"/>
          <w:szCs w:val="24"/>
        </w:rPr>
        <w:t>4.2.</w:t>
      </w:r>
      <w:r w:rsidRPr="00263016">
        <w:rPr>
          <w:rFonts w:ascii="Times New Roman" w:hAnsi="Times New Roman"/>
          <w:sz w:val="24"/>
          <w:szCs w:val="24"/>
        </w:rPr>
        <w:tab/>
        <w:t>The Committee notes that 2018 budget proposals include medium-term spending cuts amounting to R85 billion</w:t>
      </w:r>
      <w:r w:rsidR="004458A5" w:rsidRPr="00263016">
        <w:rPr>
          <w:rFonts w:ascii="Times New Roman" w:hAnsi="Times New Roman"/>
          <w:sz w:val="24"/>
          <w:szCs w:val="24"/>
        </w:rPr>
        <w:t xml:space="preserve"> due to underspending and fiscal consolidation</w:t>
      </w:r>
      <w:r w:rsidRPr="00263016">
        <w:rPr>
          <w:rFonts w:ascii="Times New Roman" w:hAnsi="Times New Roman"/>
          <w:sz w:val="24"/>
          <w:szCs w:val="24"/>
        </w:rPr>
        <w:t xml:space="preserve">.  Of this amount, R53 billion has been cut at national government level while </w:t>
      </w:r>
      <w:r w:rsidR="005F50FF" w:rsidRPr="00263016">
        <w:rPr>
          <w:rFonts w:ascii="Times New Roman" w:hAnsi="Times New Roman"/>
          <w:sz w:val="24"/>
          <w:szCs w:val="24"/>
        </w:rPr>
        <w:t>transfers to</w:t>
      </w:r>
      <w:r w:rsidRPr="00263016">
        <w:rPr>
          <w:rFonts w:ascii="Times New Roman" w:hAnsi="Times New Roman"/>
          <w:sz w:val="24"/>
          <w:szCs w:val="24"/>
        </w:rPr>
        <w:t xml:space="preserve"> provincial and local government have been reduced by R28 billion. In addition, all national and provincial departments </w:t>
      </w:r>
      <w:r w:rsidR="004458A5" w:rsidRPr="00263016">
        <w:rPr>
          <w:rFonts w:ascii="Times New Roman" w:hAnsi="Times New Roman"/>
          <w:sz w:val="24"/>
          <w:szCs w:val="24"/>
        </w:rPr>
        <w:t xml:space="preserve">and public entities </w:t>
      </w:r>
      <w:r w:rsidRPr="00263016">
        <w:rPr>
          <w:rFonts w:ascii="Times New Roman" w:hAnsi="Times New Roman"/>
          <w:sz w:val="24"/>
          <w:szCs w:val="24"/>
        </w:rPr>
        <w:t xml:space="preserve">are required to reduce their spending on administration and adhere to </w:t>
      </w:r>
      <w:r w:rsidR="004458A5" w:rsidRPr="00263016">
        <w:rPr>
          <w:rFonts w:ascii="Times New Roman" w:hAnsi="Times New Roman"/>
          <w:sz w:val="24"/>
          <w:szCs w:val="24"/>
        </w:rPr>
        <w:t xml:space="preserve">budget ceilings for </w:t>
      </w:r>
      <w:r w:rsidRPr="00263016">
        <w:rPr>
          <w:rFonts w:ascii="Times New Roman" w:hAnsi="Times New Roman"/>
          <w:sz w:val="24"/>
          <w:szCs w:val="24"/>
        </w:rPr>
        <w:t>compensation of employees</w:t>
      </w:r>
      <w:r w:rsidR="00D15E70" w:rsidRPr="00263016">
        <w:rPr>
          <w:rFonts w:ascii="Times New Roman" w:hAnsi="Times New Roman"/>
          <w:sz w:val="24"/>
          <w:szCs w:val="24"/>
        </w:rPr>
        <w:t>.</w:t>
      </w:r>
    </w:p>
    <w:p w14:paraId="095464BB" w14:textId="77777777" w:rsidR="006802A9" w:rsidRPr="00263016" w:rsidRDefault="006D464E"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4.3.</w:t>
      </w:r>
      <w:r w:rsidRPr="00263016">
        <w:rPr>
          <w:rFonts w:ascii="Times New Roman" w:hAnsi="Times New Roman"/>
          <w:b/>
          <w:sz w:val="24"/>
          <w:szCs w:val="24"/>
        </w:rPr>
        <w:tab/>
      </w:r>
      <w:r w:rsidRPr="00263016">
        <w:rPr>
          <w:rFonts w:ascii="Times New Roman" w:hAnsi="Times New Roman"/>
          <w:sz w:val="24"/>
          <w:szCs w:val="24"/>
        </w:rPr>
        <w:t>The Committee remains concerned about the capacity of provincial and local government to spend infrastructure allocations</w:t>
      </w:r>
      <w:r w:rsidR="00050D3B" w:rsidRPr="00263016">
        <w:rPr>
          <w:rFonts w:ascii="Times New Roman" w:hAnsi="Times New Roman"/>
          <w:sz w:val="24"/>
          <w:szCs w:val="24"/>
        </w:rPr>
        <w:t xml:space="preserve"> which has led to reduced budget allocations</w:t>
      </w:r>
      <w:r w:rsidR="004458A5" w:rsidRPr="00263016">
        <w:rPr>
          <w:rFonts w:ascii="Times New Roman" w:hAnsi="Times New Roman"/>
          <w:sz w:val="24"/>
          <w:szCs w:val="24"/>
        </w:rPr>
        <w:t>.</w:t>
      </w:r>
      <w:r w:rsidRPr="00263016">
        <w:rPr>
          <w:rFonts w:ascii="Times New Roman" w:hAnsi="Times New Roman"/>
          <w:sz w:val="24"/>
          <w:szCs w:val="24"/>
        </w:rPr>
        <w:t xml:space="preserve"> The Committee maintains that under expenditure on infrastructure allocations hampers economic growth and undermines </w:t>
      </w:r>
      <w:r w:rsidR="00D15E70" w:rsidRPr="00263016">
        <w:rPr>
          <w:rFonts w:ascii="Times New Roman" w:hAnsi="Times New Roman"/>
          <w:sz w:val="24"/>
          <w:szCs w:val="24"/>
        </w:rPr>
        <w:t xml:space="preserve">progress towards reducing inequality, reducing poverty and job creation. </w:t>
      </w:r>
      <w:r w:rsidRPr="00263016">
        <w:rPr>
          <w:rFonts w:ascii="Times New Roman" w:hAnsi="Times New Roman"/>
          <w:sz w:val="24"/>
          <w:szCs w:val="24"/>
        </w:rPr>
        <w:t>The Committee is concerned that baseline reductions result in a shift in the composition of spending away from capital and towards consumption expenditure.</w:t>
      </w:r>
      <w:r w:rsidR="00050D3B" w:rsidRPr="00263016">
        <w:rPr>
          <w:rFonts w:ascii="Times New Roman" w:hAnsi="Times New Roman"/>
          <w:sz w:val="24"/>
          <w:szCs w:val="24"/>
        </w:rPr>
        <w:t xml:space="preserve"> </w:t>
      </w:r>
      <w:r w:rsidR="00D15E70" w:rsidRPr="00263016">
        <w:rPr>
          <w:rFonts w:ascii="Times New Roman" w:hAnsi="Times New Roman"/>
          <w:sz w:val="24"/>
          <w:szCs w:val="24"/>
        </w:rPr>
        <w:t xml:space="preserve">However, the Committee is of the view that resources allocated towards higher education are an important social investment for the future of country. </w:t>
      </w:r>
    </w:p>
    <w:p w14:paraId="05A900AD" w14:textId="77777777" w:rsidR="002324BC"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4.4</w:t>
      </w:r>
      <w:r w:rsidRPr="00263016">
        <w:rPr>
          <w:rFonts w:ascii="Times New Roman" w:hAnsi="Times New Roman"/>
          <w:sz w:val="24"/>
          <w:szCs w:val="24"/>
        </w:rPr>
        <w:tab/>
      </w:r>
      <w:r w:rsidR="002B7217" w:rsidRPr="00263016">
        <w:rPr>
          <w:rFonts w:ascii="Times New Roman" w:hAnsi="Times New Roman"/>
          <w:sz w:val="24"/>
          <w:szCs w:val="24"/>
        </w:rPr>
        <w:t>While</w:t>
      </w:r>
      <w:r w:rsidR="002324BC" w:rsidRPr="00263016">
        <w:rPr>
          <w:rFonts w:ascii="Times New Roman" w:hAnsi="Times New Roman"/>
          <w:sz w:val="24"/>
          <w:szCs w:val="24"/>
        </w:rPr>
        <w:t xml:space="preserve"> the Committee notes that baseline reductions were shared across the three spheres</w:t>
      </w:r>
      <w:r w:rsidR="009251C2" w:rsidRPr="00263016">
        <w:rPr>
          <w:rFonts w:ascii="Times New Roman" w:hAnsi="Times New Roman"/>
          <w:sz w:val="24"/>
          <w:szCs w:val="24"/>
        </w:rPr>
        <w:t xml:space="preserve"> of government</w:t>
      </w:r>
      <w:r w:rsidR="002B7217" w:rsidRPr="00263016">
        <w:rPr>
          <w:rFonts w:ascii="Times New Roman" w:hAnsi="Times New Roman"/>
          <w:sz w:val="24"/>
          <w:szCs w:val="24"/>
        </w:rPr>
        <w:t xml:space="preserve">, </w:t>
      </w:r>
      <w:r w:rsidR="009251C2" w:rsidRPr="00263016">
        <w:rPr>
          <w:rFonts w:ascii="Times New Roman" w:hAnsi="Times New Roman"/>
          <w:sz w:val="24"/>
          <w:szCs w:val="24"/>
        </w:rPr>
        <w:t xml:space="preserve">it </w:t>
      </w:r>
      <w:r w:rsidR="002B7217" w:rsidRPr="00263016">
        <w:rPr>
          <w:rFonts w:ascii="Times New Roman" w:hAnsi="Times New Roman"/>
          <w:sz w:val="24"/>
          <w:szCs w:val="24"/>
        </w:rPr>
        <w:t xml:space="preserve">is of the view that </w:t>
      </w:r>
      <w:r w:rsidR="00E1100A" w:rsidRPr="00263016">
        <w:rPr>
          <w:rFonts w:ascii="Times New Roman" w:hAnsi="Times New Roman"/>
          <w:sz w:val="24"/>
          <w:szCs w:val="24"/>
        </w:rPr>
        <w:t>departments must guard against under expenditure</w:t>
      </w:r>
      <w:r w:rsidR="006802A9" w:rsidRPr="00263016">
        <w:rPr>
          <w:rFonts w:ascii="Times New Roman" w:hAnsi="Times New Roman"/>
          <w:sz w:val="24"/>
          <w:szCs w:val="24"/>
        </w:rPr>
        <w:t xml:space="preserve"> and promote</w:t>
      </w:r>
      <w:r w:rsidR="00E1100A" w:rsidRPr="00263016">
        <w:rPr>
          <w:rFonts w:ascii="Times New Roman" w:hAnsi="Times New Roman"/>
          <w:sz w:val="24"/>
          <w:szCs w:val="24"/>
        </w:rPr>
        <w:t xml:space="preserve"> efficient and effective use of budget allocations</w:t>
      </w:r>
      <w:r w:rsidR="006802A9" w:rsidRPr="00263016">
        <w:rPr>
          <w:rFonts w:ascii="Times New Roman" w:hAnsi="Times New Roman"/>
          <w:sz w:val="24"/>
          <w:szCs w:val="24"/>
        </w:rPr>
        <w:t xml:space="preserve">. </w:t>
      </w:r>
      <w:r w:rsidR="002B7217" w:rsidRPr="00263016">
        <w:rPr>
          <w:rFonts w:ascii="Times New Roman" w:hAnsi="Times New Roman"/>
          <w:sz w:val="24"/>
          <w:szCs w:val="24"/>
        </w:rPr>
        <w:t xml:space="preserve">The Committee notes FFC’s submission that </w:t>
      </w:r>
      <w:r w:rsidR="00617862" w:rsidRPr="00263016">
        <w:rPr>
          <w:rFonts w:ascii="Times New Roman" w:hAnsi="Times New Roman"/>
          <w:sz w:val="24"/>
          <w:szCs w:val="24"/>
        </w:rPr>
        <w:t xml:space="preserve">before budget cuts are done, </w:t>
      </w:r>
      <w:r w:rsidR="002324BC" w:rsidRPr="00263016">
        <w:rPr>
          <w:rFonts w:ascii="Times New Roman" w:hAnsi="Times New Roman"/>
          <w:sz w:val="24"/>
          <w:szCs w:val="24"/>
        </w:rPr>
        <w:t xml:space="preserve">a more rigorous analysis of the performance of each grant </w:t>
      </w:r>
      <w:r w:rsidR="002B7217" w:rsidRPr="00263016">
        <w:rPr>
          <w:rFonts w:ascii="Times New Roman" w:hAnsi="Times New Roman"/>
          <w:sz w:val="24"/>
          <w:szCs w:val="24"/>
        </w:rPr>
        <w:t xml:space="preserve">should be </w:t>
      </w:r>
      <w:r w:rsidR="00617862" w:rsidRPr="00263016">
        <w:rPr>
          <w:rFonts w:ascii="Times New Roman" w:hAnsi="Times New Roman"/>
          <w:sz w:val="24"/>
          <w:szCs w:val="24"/>
        </w:rPr>
        <w:t>undertaken.</w:t>
      </w:r>
      <w:r w:rsidR="002324BC" w:rsidRPr="00263016">
        <w:rPr>
          <w:rFonts w:ascii="Times New Roman" w:hAnsi="Times New Roman"/>
          <w:sz w:val="24"/>
          <w:szCs w:val="24"/>
        </w:rPr>
        <w:t xml:space="preserve"> </w:t>
      </w:r>
      <w:r w:rsidR="00617862" w:rsidRPr="00263016">
        <w:rPr>
          <w:rFonts w:ascii="Times New Roman" w:hAnsi="Times New Roman"/>
          <w:sz w:val="24"/>
          <w:szCs w:val="24"/>
        </w:rPr>
        <w:t>T</w:t>
      </w:r>
      <w:r w:rsidR="002B7217" w:rsidRPr="00263016">
        <w:rPr>
          <w:rFonts w:ascii="Times New Roman" w:hAnsi="Times New Roman"/>
          <w:sz w:val="24"/>
          <w:szCs w:val="24"/>
        </w:rPr>
        <w:t xml:space="preserve">his analysis should </w:t>
      </w:r>
      <w:r w:rsidR="002324BC" w:rsidRPr="00263016">
        <w:rPr>
          <w:rFonts w:ascii="Times New Roman" w:hAnsi="Times New Roman"/>
          <w:sz w:val="24"/>
          <w:szCs w:val="24"/>
        </w:rPr>
        <w:lastRenderedPageBreak/>
        <w:t>ascertain the impact of such reduction on households, business and economy at large - and to draw lessons for future</w:t>
      </w:r>
      <w:r w:rsidR="002B7217" w:rsidRPr="00263016">
        <w:rPr>
          <w:rFonts w:ascii="Times New Roman" w:hAnsi="Times New Roman"/>
          <w:sz w:val="24"/>
          <w:szCs w:val="24"/>
        </w:rPr>
        <w:t xml:space="preserve">. </w:t>
      </w:r>
    </w:p>
    <w:p w14:paraId="3F8B9CCD" w14:textId="77777777" w:rsidR="00FA7FFD"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4.5.</w:t>
      </w:r>
      <w:r w:rsidR="00FA7FFD" w:rsidRPr="00263016">
        <w:rPr>
          <w:rFonts w:ascii="Times New Roman" w:hAnsi="Times New Roman"/>
          <w:sz w:val="24"/>
          <w:szCs w:val="24"/>
        </w:rPr>
        <w:tab/>
        <w:t xml:space="preserve">The Committee is seriously concerned that in 2018/19 government will spend more on </w:t>
      </w:r>
      <w:r w:rsidR="00617862" w:rsidRPr="00263016">
        <w:rPr>
          <w:rFonts w:ascii="Times New Roman" w:hAnsi="Times New Roman"/>
          <w:sz w:val="24"/>
          <w:szCs w:val="24"/>
        </w:rPr>
        <w:t xml:space="preserve">debt service costs </w:t>
      </w:r>
      <w:r w:rsidR="00FA7FFD" w:rsidRPr="00263016">
        <w:rPr>
          <w:rFonts w:ascii="Times New Roman" w:hAnsi="Times New Roman"/>
          <w:sz w:val="24"/>
          <w:szCs w:val="24"/>
        </w:rPr>
        <w:t>than on transfers to local government. The Committee notes that since 2011/12, interest payments have grown faster than allocations to national, provincial or local government, crowding out space for increasing productive expenditure. On current trends, by 2020/21, government is expected to spend 12.2 per cent of available revenue on servicing debt.</w:t>
      </w:r>
    </w:p>
    <w:p w14:paraId="6A0B47E6" w14:textId="77777777" w:rsidR="001C0A1F"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4.6</w:t>
      </w:r>
      <w:r w:rsidRPr="00263016">
        <w:rPr>
          <w:rFonts w:ascii="Times New Roman" w:hAnsi="Times New Roman"/>
          <w:sz w:val="24"/>
          <w:szCs w:val="24"/>
        </w:rPr>
        <w:tab/>
        <w:t xml:space="preserve">The </w:t>
      </w:r>
      <w:r w:rsidR="002E67CF" w:rsidRPr="00263016">
        <w:rPr>
          <w:rFonts w:ascii="Times New Roman" w:hAnsi="Times New Roman"/>
          <w:sz w:val="24"/>
          <w:szCs w:val="24"/>
        </w:rPr>
        <w:t>C</w:t>
      </w:r>
      <w:r w:rsidR="00A212FB" w:rsidRPr="00263016">
        <w:rPr>
          <w:rFonts w:ascii="Times New Roman" w:hAnsi="Times New Roman"/>
          <w:sz w:val="24"/>
          <w:szCs w:val="24"/>
        </w:rPr>
        <w:t xml:space="preserve">ommittee in engagements with the National Treasury raised concerns on the performance of the School Infrastructure Backlogs Grant. </w:t>
      </w:r>
      <w:r w:rsidR="00953E5A" w:rsidRPr="00263016">
        <w:rPr>
          <w:rFonts w:ascii="Times New Roman" w:hAnsi="Times New Roman"/>
          <w:sz w:val="24"/>
          <w:szCs w:val="24"/>
        </w:rPr>
        <w:t>The Committee welcomes initiatives to manage and control costs of building schools in order to achieve value for money. Moreover, National Treasury indicated that it can support the Department of Basic Education with the implementation of th</w:t>
      </w:r>
      <w:r w:rsidR="002E67CF" w:rsidRPr="00263016">
        <w:rPr>
          <w:rFonts w:ascii="Times New Roman" w:hAnsi="Times New Roman"/>
          <w:sz w:val="24"/>
          <w:szCs w:val="24"/>
        </w:rPr>
        <w:t>e</w:t>
      </w:r>
      <w:r w:rsidR="00953E5A" w:rsidRPr="00263016">
        <w:rPr>
          <w:rFonts w:ascii="Times New Roman" w:hAnsi="Times New Roman"/>
          <w:sz w:val="24"/>
          <w:szCs w:val="24"/>
        </w:rPr>
        <w:t xml:space="preserve"> cost control instruction note and can explore ways to assist Department of Basic Education (DBE) on contract management issues. </w:t>
      </w:r>
    </w:p>
    <w:p w14:paraId="4DD2442E" w14:textId="77777777" w:rsidR="006D464E"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4.7</w:t>
      </w:r>
      <w:r w:rsidRPr="00263016">
        <w:rPr>
          <w:rFonts w:ascii="Times New Roman" w:hAnsi="Times New Roman"/>
          <w:sz w:val="24"/>
          <w:szCs w:val="24"/>
        </w:rPr>
        <w:tab/>
      </w:r>
      <w:r w:rsidR="00A212FB" w:rsidRPr="00263016">
        <w:rPr>
          <w:rFonts w:ascii="Times New Roman" w:hAnsi="Times New Roman"/>
          <w:sz w:val="24"/>
          <w:szCs w:val="24"/>
        </w:rPr>
        <w:t xml:space="preserve">The Committee notes the concerns raised by the Financial and Fiscal Commission on the impact of the downward revision of allocations for the Human Settlements Development Grant (HSDG) though it welcomes National Treasury’s submission that work is underway in resolving the policy framework for the provision of human settlements. The Committee is of the view that this work should be finalized speedily as </w:t>
      </w:r>
      <w:r w:rsidR="002E67CF" w:rsidRPr="00263016">
        <w:rPr>
          <w:rFonts w:ascii="Times New Roman" w:hAnsi="Times New Roman"/>
          <w:sz w:val="24"/>
          <w:szCs w:val="24"/>
        </w:rPr>
        <w:t xml:space="preserve">the provision of quality and sustainable </w:t>
      </w:r>
      <w:r w:rsidR="00A212FB" w:rsidRPr="00263016">
        <w:rPr>
          <w:rFonts w:ascii="Times New Roman" w:hAnsi="Times New Roman"/>
          <w:sz w:val="24"/>
          <w:szCs w:val="24"/>
        </w:rPr>
        <w:t xml:space="preserve">human settlements </w:t>
      </w:r>
      <w:r w:rsidR="0093797D" w:rsidRPr="00263016">
        <w:rPr>
          <w:rFonts w:ascii="Times New Roman" w:hAnsi="Times New Roman"/>
          <w:sz w:val="24"/>
          <w:szCs w:val="24"/>
        </w:rPr>
        <w:t>is</w:t>
      </w:r>
      <w:r w:rsidR="00A212FB" w:rsidRPr="00263016">
        <w:rPr>
          <w:rFonts w:ascii="Times New Roman" w:hAnsi="Times New Roman"/>
          <w:sz w:val="24"/>
          <w:szCs w:val="24"/>
        </w:rPr>
        <w:t xml:space="preserve"> central to </w:t>
      </w:r>
      <w:r w:rsidR="00BF766F" w:rsidRPr="00263016">
        <w:rPr>
          <w:rFonts w:ascii="Times New Roman" w:hAnsi="Times New Roman"/>
          <w:sz w:val="24"/>
          <w:szCs w:val="24"/>
        </w:rPr>
        <w:t>giving</w:t>
      </w:r>
      <w:r w:rsidR="00A212FB" w:rsidRPr="00263016">
        <w:rPr>
          <w:rFonts w:ascii="Times New Roman" w:hAnsi="Times New Roman"/>
          <w:sz w:val="24"/>
          <w:szCs w:val="24"/>
        </w:rPr>
        <w:t xml:space="preserve"> effect to </w:t>
      </w:r>
      <w:proofErr w:type="gramStart"/>
      <w:r w:rsidR="00A212FB" w:rsidRPr="00263016">
        <w:rPr>
          <w:rFonts w:ascii="Times New Roman" w:hAnsi="Times New Roman"/>
          <w:sz w:val="24"/>
          <w:szCs w:val="24"/>
        </w:rPr>
        <w:t>governments</w:t>
      </w:r>
      <w:proofErr w:type="gramEnd"/>
      <w:r w:rsidR="00A212FB" w:rsidRPr="00263016">
        <w:rPr>
          <w:rFonts w:ascii="Times New Roman" w:hAnsi="Times New Roman"/>
          <w:sz w:val="24"/>
          <w:szCs w:val="24"/>
        </w:rPr>
        <w:t xml:space="preserve"> </w:t>
      </w:r>
      <w:r w:rsidR="00BF766F" w:rsidRPr="00263016">
        <w:rPr>
          <w:rFonts w:ascii="Times New Roman" w:hAnsi="Times New Roman"/>
          <w:sz w:val="24"/>
          <w:szCs w:val="24"/>
        </w:rPr>
        <w:t xml:space="preserve">spatial </w:t>
      </w:r>
      <w:r w:rsidR="00A212FB" w:rsidRPr="00263016">
        <w:rPr>
          <w:rFonts w:ascii="Times New Roman" w:hAnsi="Times New Roman"/>
          <w:sz w:val="24"/>
          <w:szCs w:val="24"/>
        </w:rPr>
        <w:t xml:space="preserve">transformation agenda. </w:t>
      </w:r>
    </w:p>
    <w:p w14:paraId="168E7BB2" w14:textId="77777777" w:rsidR="002B7217"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4.8</w:t>
      </w:r>
      <w:r w:rsidRPr="00263016">
        <w:rPr>
          <w:rFonts w:ascii="Times New Roman" w:hAnsi="Times New Roman"/>
          <w:sz w:val="24"/>
          <w:szCs w:val="24"/>
        </w:rPr>
        <w:tab/>
      </w:r>
      <w:r w:rsidR="00953E5A" w:rsidRPr="00263016">
        <w:rPr>
          <w:rFonts w:ascii="Times New Roman" w:hAnsi="Times New Roman"/>
          <w:sz w:val="24"/>
          <w:szCs w:val="24"/>
        </w:rPr>
        <w:t xml:space="preserve">The Committee is seriously concerned with the lack of timeous responses to FFC recommendations from sector departments. The Committee </w:t>
      </w:r>
      <w:r w:rsidR="002324BC" w:rsidRPr="00263016">
        <w:rPr>
          <w:rFonts w:ascii="Times New Roman" w:hAnsi="Times New Roman"/>
          <w:sz w:val="24"/>
          <w:szCs w:val="24"/>
        </w:rPr>
        <w:t xml:space="preserve">reaffirms that the FFC is an independent and impartial advisory institution, which the government has to consult with regard to the division of revenue among the three spheres of government. The Committee is </w:t>
      </w:r>
      <w:r w:rsidR="005C6200" w:rsidRPr="00263016">
        <w:rPr>
          <w:rFonts w:ascii="Times New Roman" w:hAnsi="Times New Roman"/>
          <w:sz w:val="24"/>
          <w:szCs w:val="24"/>
        </w:rPr>
        <w:t xml:space="preserve">of </w:t>
      </w:r>
      <w:r w:rsidR="002324BC" w:rsidRPr="00263016">
        <w:rPr>
          <w:rFonts w:ascii="Times New Roman" w:hAnsi="Times New Roman"/>
          <w:sz w:val="24"/>
          <w:szCs w:val="24"/>
        </w:rPr>
        <w:t xml:space="preserve">the view that Departments will benefit from evidence based policy analysis to ensure the realization of our Constitutional values and development objectives. </w:t>
      </w:r>
    </w:p>
    <w:p w14:paraId="732C0D1D" w14:textId="77777777" w:rsidR="002B7217"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4.9</w:t>
      </w:r>
      <w:r w:rsidRPr="00263016">
        <w:rPr>
          <w:rFonts w:ascii="Times New Roman" w:hAnsi="Times New Roman"/>
          <w:sz w:val="24"/>
          <w:szCs w:val="24"/>
        </w:rPr>
        <w:tab/>
      </w:r>
      <w:r w:rsidR="002B7217" w:rsidRPr="00263016">
        <w:rPr>
          <w:rFonts w:ascii="Times New Roman" w:hAnsi="Times New Roman"/>
          <w:sz w:val="24"/>
          <w:szCs w:val="24"/>
        </w:rPr>
        <w:t xml:space="preserve">The Committee </w:t>
      </w:r>
      <w:r w:rsidR="00A934C1" w:rsidRPr="00263016">
        <w:rPr>
          <w:rFonts w:ascii="Times New Roman" w:hAnsi="Times New Roman"/>
          <w:sz w:val="24"/>
          <w:szCs w:val="24"/>
        </w:rPr>
        <w:t>remains</w:t>
      </w:r>
      <w:r w:rsidR="002B7217" w:rsidRPr="00263016">
        <w:rPr>
          <w:rFonts w:ascii="Times New Roman" w:hAnsi="Times New Roman"/>
          <w:sz w:val="24"/>
          <w:szCs w:val="24"/>
        </w:rPr>
        <w:t xml:space="preserve"> concerned </w:t>
      </w:r>
      <w:r w:rsidR="00496B65" w:rsidRPr="00263016">
        <w:rPr>
          <w:rFonts w:ascii="Times New Roman" w:hAnsi="Times New Roman"/>
          <w:sz w:val="24"/>
          <w:szCs w:val="24"/>
        </w:rPr>
        <w:t>about intergovernmental</w:t>
      </w:r>
      <w:r w:rsidR="002B7217" w:rsidRPr="00263016">
        <w:rPr>
          <w:rFonts w:ascii="Times New Roman" w:hAnsi="Times New Roman"/>
          <w:sz w:val="24"/>
          <w:szCs w:val="24"/>
        </w:rPr>
        <w:t xml:space="preserve"> debt. The Committee notes the steps taken by the government including the establishment of an Inter-Ministerial Committee (IMC) and Inter Ministerial Task Team (IMTT) that will look into systemic and structural challenges pertaining to the settlement of debt by state institutions</w:t>
      </w:r>
      <w:r w:rsidR="00A934C1" w:rsidRPr="00263016">
        <w:rPr>
          <w:rFonts w:ascii="Times New Roman" w:hAnsi="Times New Roman"/>
          <w:sz w:val="24"/>
          <w:szCs w:val="24"/>
        </w:rPr>
        <w:t xml:space="preserve"> and private institutions</w:t>
      </w:r>
      <w:r w:rsidR="002B7217" w:rsidRPr="00263016">
        <w:rPr>
          <w:rFonts w:ascii="Times New Roman" w:hAnsi="Times New Roman"/>
          <w:sz w:val="24"/>
          <w:szCs w:val="24"/>
        </w:rPr>
        <w:t xml:space="preserve">. The Committee notes that the ‘’culture of non-payment’’ threatens municipal financial sustainability. However, </w:t>
      </w:r>
      <w:r w:rsidR="00A934C1" w:rsidRPr="00263016">
        <w:rPr>
          <w:rFonts w:ascii="Times New Roman" w:hAnsi="Times New Roman"/>
          <w:sz w:val="24"/>
          <w:szCs w:val="24"/>
        </w:rPr>
        <w:t xml:space="preserve">steps taken in addressing the ‘’culture of non-payment’’ should be sensitive to the plight of the poor and vulnerable who are unable to pay. </w:t>
      </w:r>
    </w:p>
    <w:p w14:paraId="7C000D3D" w14:textId="77777777" w:rsidR="001C0A1F" w:rsidRPr="00263016" w:rsidRDefault="00C55FB6" w:rsidP="00263016">
      <w:pPr>
        <w:spacing w:before="120" w:after="120" w:line="240" w:lineRule="auto"/>
        <w:ind w:left="720" w:hanging="720"/>
        <w:jc w:val="both"/>
        <w:rPr>
          <w:rFonts w:ascii="Times New Roman" w:hAnsi="Times New Roman"/>
          <w:sz w:val="24"/>
          <w:szCs w:val="24"/>
          <w:lang w:val="en-US"/>
        </w:rPr>
      </w:pPr>
      <w:r w:rsidRPr="00263016">
        <w:rPr>
          <w:rFonts w:ascii="Times New Roman" w:hAnsi="Times New Roman"/>
          <w:b/>
          <w:sz w:val="24"/>
          <w:szCs w:val="24"/>
        </w:rPr>
        <w:t>4.10</w:t>
      </w:r>
      <w:r w:rsidRPr="00263016">
        <w:rPr>
          <w:rFonts w:ascii="Times New Roman" w:hAnsi="Times New Roman"/>
          <w:sz w:val="24"/>
          <w:szCs w:val="24"/>
        </w:rPr>
        <w:tab/>
      </w:r>
      <w:r w:rsidR="00A934C1" w:rsidRPr="00263016">
        <w:rPr>
          <w:rFonts w:ascii="Times New Roman" w:hAnsi="Times New Roman"/>
          <w:sz w:val="24"/>
          <w:szCs w:val="24"/>
        </w:rPr>
        <w:t xml:space="preserve">The Committee </w:t>
      </w:r>
      <w:r w:rsidR="002B7217" w:rsidRPr="00263016">
        <w:rPr>
          <w:rFonts w:ascii="Times New Roman" w:hAnsi="Times New Roman"/>
          <w:sz w:val="24"/>
          <w:szCs w:val="24"/>
        </w:rPr>
        <w:t>welcome</w:t>
      </w:r>
      <w:r w:rsidR="005C6200" w:rsidRPr="00263016">
        <w:rPr>
          <w:rFonts w:ascii="Times New Roman" w:hAnsi="Times New Roman"/>
          <w:sz w:val="24"/>
          <w:szCs w:val="24"/>
        </w:rPr>
        <w:t>s</w:t>
      </w:r>
      <w:r w:rsidR="002B7217" w:rsidRPr="00263016">
        <w:rPr>
          <w:rFonts w:ascii="Times New Roman" w:hAnsi="Times New Roman"/>
          <w:sz w:val="24"/>
          <w:szCs w:val="24"/>
        </w:rPr>
        <w:t xml:space="preserve"> measures to support the borrowing abilities of municipalities coupled with strict monitoring and oversight. </w:t>
      </w:r>
      <w:r w:rsidR="003D7069" w:rsidRPr="00263016">
        <w:rPr>
          <w:rFonts w:ascii="Times New Roman" w:hAnsi="Times New Roman"/>
          <w:sz w:val="24"/>
          <w:szCs w:val="24"/>
        </w:rPr>
        <w:t xml:space="preserve">The Committee advised SALGA that the financing of long term borrowing from the credit market by municipalities should not impact negatively on rate payers. </w:t>
      </w:r>
      <w:r w:rsidR="005C6200" w:rsidRPr="00263016">
        <w:rPr>
          <w:rFonts w:ascii="Times New Roman" w:hAnsi="Times New Roman"/>
          <w:sz w:val="24"/>
          <w:szCs w:val="24"/>
          <w:lang w:val="en-US"/>
        </w:rPr>
        <w:t xml:space="preserve">Whilst the Committee notes the increased support from National Treasury to allow municipalities to improve access to the credit markets, it emphasizes that these loans need to be </w:t>
      </w:r>
      <w:r w:rsidR="00E1100A" w:rsidRPr="00263016">
        <w:rPr>
          <w:rFonts w:ascii="Times New Roman" w:hAnsi="Times New Roman"/>
          <w:sz w:val="24"/>
          <w:szCs w:val="24"/>
          <w:lang w:val="en-US"/>
        </w:rPr>
        <w:t xml:space="preserve">for </w:t>
      </w:r>
      <w:r w:rsidR="005C6200" w:rsidRPr="00263016">
        <w:rPr>
          <w:rFonts w:ascii="Times New Roman" w:hAnsi="Times New Roman"/>
          <w:sz w:val="24"/>
          <w:szCs w:val="24"/>
          <w:lang w:val="en-US"/>
        </w:rPr>
        <w:t>long</w:t>
      </w:r>
      <w:r w:rsidR="00E1100A" w:rsidRPr="00263016">
        <w:rPr>
          <w:rFonts w:ascii="Times New Roman" w:hAnsi="Times New Roman"/>
          <w:sz w:val="24"/>
          <w:szCs w:val="24"/>
          <w:lang w:val="en-US"/>
        </w:rPr>
        <w:t>-</w:t>
      </w:r>
      <w:r w:rsidR="005C6200" w:rsidRPr="00263016">
        <w:rPr>
          <w:rFonts w:ascii="Times New Roman" w:hAnsi="Times New Roman"/>
          <w:sz w:val="24"/>
          <w:szCs w:val="24"/>
          <w:lang w:val="en-US"/>
        </w:rPr>
        <w:t>term infrastructure investments and not for operational expenditure.</w:t>
      </w:r>
    </w:p>
    <w:p w14:paraId="2908D92B" w14:textId="77777777" w:rsidR="002B7217" w:rsidRPr="00263016" w:rsidRDefault="005C6200"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4.11</w:t>
      </w:r>
      <w:r w:rsidRPr="00263016">
        <w:rPr>
          <w:rFonts w:ascii="Times New Roman" w:hAnsi="Times New Roman"/>
          <w:b/>
          <w:sz w:val="24"/>
          <w:szCs w:val="24"/>
        </w:rPr>
        <w:tab/>
      </w:r>
      <w:r w:rsidR="00A934C1" w:rsidRPr="00263016">
        <w:rPr>
          <w:rFonts w:ascii="Times New Roman" w:hAnsi="Times New Roman"/>
          <w:sz w:val="24"/>
          <w:szCs w:val="24"/>
        </w:rPr>
        <w:t xml:space="preserve">In its past reports, the Committee has repeatedly emphasised that municipalities should review internal management structures so that resources transferred to them are used </w:t>
      </w:r>
      <w:r w:rsidR="00A934C1" w:rsidRPr="00263016">
        <w:rPr>
          <w:rFonts w:ascii="Times New Roman" w:hAnsi="Times New Roman"/>
          <w:sz w:val="24"/>
          <w:szCs w:val="24"/>
        </w:rPr>
        <w:lastRenderedPageBreak/>
        <w:t>efficiently and effectively. Specifically, Municipalities need to improve their revenue management, billing and debt management systems, impose cost reflective tariffs, avoid incidences of underspending, and inefficient procurement processes</w:t>
      </w:r>
      <w:r w:rsidR="002E67CF" w:rsidRPr="00263016">
        <w:rPr>
          <w:rFonts w:ascii="Times New Roman" w:hAnsi="Times New Roman"/>
          <w:sz w:val="24"/>
          <w:szCs w:val="24"/>
        </w:rPr>
        <w:t>.</w:t>
      </w:r>
    </w:p>
    <w:p w14:paraId="538011C6" w14:textId="77777777" w:rsidR="00A934C1" w:rsidRPr="00263016" w:rsidRDefault="00C55FB6" w:rsidP="00263016">
      <w:pPr>
        <w:spacing w:before="120" w:after="120" w:line="240" w:lineRule="auto"/>
        <w:ind w:left="720" w:hanging="720"/>
        <w:jc w:val="both"/>
        <w:rPr>
          <w:rFonts w:ascii="Times New Roman" w:hAnsi="Times New Roman"/>
          <w:sz w:val="24"/>
          <w:szCs w:val="24"/>
          <w:lang w:val="en-US"/>
        </w:rPr>
      </w:pPr>
      <w:r w:rsidRPr="00263016">
        <w:rPr>
          <w:rFonts w:ascii="Times New Roman" w:hAnsi="Times New Roman"/>
          <w:b/>
          <w:sz w:val="24"/>
          <w:szCs w:val="24"/>
          <w:lang w:val="en-US"/>
        </w:rPr>
        <w:t>4.1</w:t>
      </w:r>
      <w:r w:rsidR="005C6200" w:rsidRPr="00263016">
        <w:rPr>
          <w:rFonts w:ascii="Times New Roman" w:hAnsi="Times New Roman"/>
          <w:b/>
          <w:sz w:val="24"/>
          <w:szCs w:val="24"/>
          <w:lang w:val="en-US"/>
        </w:rPr>
        <w:t>2</w:t>
      </w:r>
      <w:r w:rsidRPr="00263016">
        <w:rPr>
          <w:rFonts w:ascii="Times New Roman" w:hAnsi="Times New Roman"/>
          <w:sz w:val="24"/>
          <w:szCs w:val="24"/>
          <w:lang w:val="en-US"/>
        </w:rPr>
        <w:tab/>
      </w:r>
      <w:r w:rsidR="003D7069" w:rsidRPr="00263016">
        <w:rPr>
          <w:rFonts w:ascii="Times New Roman" w:hAnsi="Times New Roman"/>
          <w:sz w:val="24"/>
          <w:szCs w:val="24"/>
          <w:lang w:val="en-US"/>
        </w:rPr>
        <w:t xml:space="preserve">The Committee notes the submission by South African Institute of Professional Accountants (“SAIPA”) that the framework and scope of quarterly review meetings between the transferring officer and receiving officer should be specifically prescribed to achieve the maximum positive outcome on the allocated budget and expenditure. </w:t>
      </w:r>
    </w:p>
    <w:p w14:paraId="7336B9E2" w14:textId="77777777" w:rsidR="003D7069" w:rsidRPr="00263016" w:rsidRDefault="003D7069" w:rsidP="00263016">
      <w:pPr>
        <w:spacing w:before="120" w:after="120" w:line="240" w:lineRule="auto"/>
        <w:jc w:val="both"/>
        <w:rPr>
          <w:rFonts w:ascii="Times New Roman" w:hAnsi="Times New Roman"/>
          <w:sz w:val="24"/>
          <w:szCs w:val="24"/>
          <w:lang w:val="en-US"/>
        </w:rPr>
      </w:pPr>
    </w:p>
    <w:p w14:paraId="158614F5" w14:textId="77777777" w:rsidR="003D7069"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4.1</w:t>
      </w:r>
      <w:r w:rsidR="005C6200" w:rsidRPr="00263016">
        <w:rPr>
          <w:rFonts w:ascii="Times New Roman" w:hAnsi="Times New Roman"/>
          <w:b/>
          <w:sz w:val="24"/>
          <w:szCs w:val="24"/>
        </w:rPr>
        <w:t>3</w:t>
      </w:r>
      <w:r w:rsidRPr="00263016">
        <w:rPr>
          <w:rFonts w:ascii="Times New Roman" w:hAnsi="Times New Roman"/>
          <w:sz w:val="24"/>
          <w:szCs w:val="24"/>
        </w:rPr>
        <w:tab/>
      </w:r>
      <w:r w:rsidR="003D7069" w:rsidRPr="00263016">
        <w:rPr>
          <w:rFonts w:ascii="Times New Roman" w:hAnsi="Times New Roman"/>
          <w:sz w:val="24"/>
          <w:szCs w:val="24"/>
        </w:rPr>
        <w:t>The Committee notes SALGA’s submission that there is a need to apply a differentiated approach towards funding of waste equipment and infrastructure for the identified 27 priority municipalities</w:t>
      </w:r>
      <w:r w:rsidR="005C6200" w:rsidRPr="00263016">
        <w:rPr>
          <w:rFonts w:ascii="Times New Roman" w:hAnsi="Times New Roman"/>
          <w:sz w:val="24"/>
          <w:szCs w:val="24"/>
        </w:rPr>
        <w:t>.</w:t>
      </w:r>
      <w:r w:rsidR="003D7069" w:rsidRPr="00263016">
        <w:rPr>
          <w:rFonts w:ascii="Times New Roman" w:hAnsi="Times New Roman"/>
          <w:sz w:val="24"/>
          <w:szCs w:val="24"/>
        </w:rPr>
        <w:t xml:space="preserve"> SALGA indicated that t</w:t>
      </w:r>
      <w:r w:rsidR="003D7069" w:rsidRPr="00263016">
        <w:rPr>
          <w:rFonts w:ascii="Times New Roman" w:eastAsiaTheme="minorEastAsia" w:hAnsi="Times New Roman"/>
          <w:sz w:val="24"/>
          <w:szCs w:val="24"/>
        </w:rPr>
        <w:t>he Waste Sector currently has a backlog of approximately 30% in terms of provision of services. Throughout the whole value chain process of waste management (collection, transportation, storage and disposal) specialist infrastructure and equipment is required.</w:t>
      </w:r>
    </w:p>
    <w:p w14:paraId="53DEA63D" w14:textId="77777777" w:rsidR="007F5C63" w:rsidRPr="00263016" w:rsidRDefault="00C55FB6" w:rsidP="00263016">
      <w:pPr>
        <w:spacing w:before="120" w:after="120" w:line="240" w:lineRule="auto"/>
        <w:ind w:left="720" w:hanging="720"/>
        <w:jc w:val="both"/>
        <w:rPr>
          <w:rFonts w:ascii="Times New Roman" w:hAnsi="Times New Roman"/>
          <w:sz w:val="24"/>
          <w:szCs w:val="24"/>
        </w:rPr>
      </w:pPr>
      <w:r w:rsidRPr="00263016">
        <w:rPr>
          <w:rFonts w:ascii="Times New Roman" w:hAnsi="Times New Roman"/>
          <w:b/>
          <w:sz w:val="24"/>
          <w:szCs w:val="24"/>
        </w:rPr>
        <w:t>4.1</w:t>
      </w:r>
      <w:r w:rsidR="005C6200" w:rsidRPr="00263016">
        <w:rPr>
          <w:rFonts w:ascii="Times New Roman" w:hAnsi="Times New Roman"/>
          <w:b/>
          <w:sz w:val="24"/>
          <w:szCs w:val="24"/>
        </w:rPr>
        <w:t>4</w:t>
      </w:r>
      <w:r w:rsidRPr="00263016">
        <w:rPr>
          <w:rFonts w:ascii="Times New Roman" w:hAnsi="Times New Roman"/>
          <w:b/>
          <w:sz w:val="24"/>
          <w:szCs w:val="24"/>
        </w:rPr>
        <w:tab/>
      </w:r>
      <w:r w:rsidR="003D7069" w:rsidRPr="00263016">
        <w:rPr>
          <w:rFonts w:ascii="Times New Roman" w:hAnsi="Times New Roman"/>
          <w:sz w:val="24"/>
          <w:szCs w:val="24"/>
        </w:rPr>
        <w:t xml:space="preserve">The Committee welcomes SALGAs submission that there are municipalities that </w:t>
      </w:r>
      <w:r w:rsidR="003D7069" w:rsidRPr="00263016">
        <w:rPr>
          <w:rFonts w:ascii="Times New Roman" w:eastAsiaTheme="minorEastAsia" w:hAnsi="Times New Roman"/>
          <w:sz w:val="24"/>
          <w:szCs w:val="24"/>
          <w:lang w:val="en-US"/>
        </w:rPr>
        <w:t>could internally reallocate funds within their existing municipal budgets with very small improvements in efficiency in the Governance and Administration</w:t>
      </w:r>
      <w:r w:rsidR="003D7069" w:rsidRPr="00263016">
        <w:rPr>
          <w:rFonts w:ascii="Times New Roman" w:hAnsi="Times New Roman"/>
          <w:sz w:val="24"/>
          <w:szCs w:val="24"/>
        </w:rPr>
        <w:t xml:space="preserve"> towards funding environmental protection programmes. The Committee views such innovative approaches that adhere to the principles of doing more with less as important in the local government sphere.</w:t>
      </w:r>
    </w:p>
    <w:p w14:paraId="1F9C4495" w14:textId="77777777" w:rsidR="007F5C63" w:rsidRPr="00263016" w:rsidRDefault="005C6200" w:rsidP="00263016">
      <w:pPr>
        <w:spacing w:before="120" w:after="120" w:line="240" w:lineRule="auto"/>
        <w:ind w:left="720" w:hanging="720"/>
        <w:jc w:val="both"/>
        <w:rPr>
          <w:rFonts w:ascii="Times New Roman" w:hAnsi="Times New Roman"/>
          <w:sz w:val="24"/>
          <w:szCs w:val="24"/>
          <w:lang w:val="en-US"/>
        </w:rPr>
      </w:pPr>
      <w:r w:rsidRPr="00263016">
        <w:rPr>
          <w:rFonts w:ascii="Times New Roman" w:hAnsi="Times New Roman"/>
          <w:b/>
          <w:sz w:val="24"/>
          <w:szCs w:val="24"/>
        </w:rPr>
        <w:t>4.15</w:t>
      </w:r>
      <w:r w:rsidRPr="00263016">
        <w:rPr>
          <w:rFonts w:ascii="Times New Roman" w:hAnsi="Times New Roman"/>
          <w:sz w:val="24"/>
          <w:szCs w:val="24"/>
        </w:rPr>
        <w:tab/>
      </w:r>
      <w:r w:rsidR="00E33AFA" w:rsidRPr="00263016">
        <w:rPr>
          <w:rFonts w:ascii="Times New Roman" w:hAnsi="Times New Roman"/>
          <w:sz w:val="24"/>
          <w:szCs w:val="24"/>
          <w:lang w:val="en-US"/>
        </w:rPr>
        <w:t>The Committee notes Equal Education’s submission that the country has a growing school-aged population and that it was not in support of budget cuts in school infrastructure. The Committee further notes Equal Education submissions on the need incentivize transparent and effective infrastructure planning; and for stronger financial mechanisms to monitor and sanction implementing agents.</w:t>
      </w:r>
    </w:p>
    <w:p w14:paraId="48FFDA7A" w14:textId="77777777" w:rsidR="00F17775" w:rsidRPr="00263016" w:rsidRDefault="00F17775" w:rsidP="00263016">
      <w:pPr>
        <w:spacing w:before="120" w:after="120" w:line="240" w:lineRule="auto"/>
        <w:ind w:left="720" w:hanging="720"/>
        <w:jc w:val="both"/>
        <w:rPr>
          <w:rFonts w:ascii="Times New Roman" w:hAnsi="Times New Roman"/>
          <w:sz w:val="24"/>
          <w:szCs w:val="24"/>
          <w:lang w:val="en-US"/>
        </w:rPr>
      </w:pPr>
    </w:p>
    <w:p w14:paraId="1A6D45B3" w14:textId="77777777" w:rsidR="0043405D" w:rsidRPr="00263016" w:rsidRDefault="0043405D" w:rsidP="00263016">
      <w:pPr>
        <w:pStyle w:val="ListParagraph"/>
        <w:numPr>
          <w:ilvl w:val="1"/>
          <w:numId w:val="33"/>
        </w:numPr>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The Committee remains concerned with the allocation of resources to schools, which do</w:t>
      </w:r>
      <w:r w:rsidR="00E1100A" w:rsidRPr="00263016">
        <w:rPr>
          <w:rFonts w:ascii="Times New Roman" w:hAnsi="Times New Roman"/>
          <w:sz w:val="24"/>
          <w:szCs w:val="24"/>
        </w:rPr>
        <w:t>es</w:t>
      </w:r>
      <w:r w:rsidRPr="00263016">
        <w:rPr>
          <w:rFonts w:ascii="Times New Roman" w:hAnsi="Times New Roman"/>
          <w:sz w:val="24"/>
          <w:szCs w:val="24"/>
        </w:rPr>
        <w:t xml:space="preserve"> not effectively respond to the economic condition of each individual learner. The Committee re-iterates the importance of reviewing the allocation of resources through the quintile system.</w:t>
      </w:r>
    </w:p>
    <w:p w14:paraId="6D17B386" w14:textId="77777777" w:rsidR="0043405D" w:rsidRPr="00263016" w:rsidRDefault="0043405D" w:rsidP="00263016">
      <w:pPr>
        <w:pStyle w:val="ListParagraph"/>
        <w:spacing w:before="120" w:after="120" w:line="240" w:lineRule="auto"/>
        <w:jc w:val="both"/>
        <w:rPr>
          <w:rFonts w:ascii="Times New Roman" w:hAnsi="Times New Roman"/>
          <w:sz w:val="24"/>
          <w:szCs w:val="24"/>
        </w:rPr>
      </w:pPr>
    </w:p>
    <w:p w14:paraId="414F112B" w14:textId="77777777" w:rsidR="0043405D" w:rsidRPr="00263016" w:rsidRDefault="0043405D" w:rsidP="00263016">
      <w:pPr>
        <w:pStyle w:val="ListParagraph"/>
        <w:numPr>
          <w:ilvl w:val="1"/>
          <w:numId w:val="33"/>
        </w:numPr>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 xml:space="preserve">The Committee is of the view that all spheres of government should eliminate all instances of irregular, fruitless and wasteful expenditure. This should include reinforcing compliance management and oversight of accounting officers, as set out in the Public Finance Management Act. The Committee views this as critical in ensuring </w:t>
      </w:r>
      <w:r w:rsidR="00E1100A" w:rsidRPr="00263016">
        <w:rPr>
          <w:rFonts w:ascii="Times New Roman" w:hAnsi="Times New Roman"/>
          <w:sz w:val="24"/>
          <w:szCs w:val="24"/>
        </w:rPr>
        <w:t xml:space="preserve">that </w:t>
      </w:r>
      <w:r w:rsidRPr="00263016">
        <w:rPr>
          <w:rFonts w:ascii="Times New Roman" w:hAnsi="Times New Roman"/>
          <w:sz w:val="24"/>
          <w:szCs w:val="24"/>
        </w:rPr>
        <w:t>fiscal consolidation does not hamper growth and the rollout of services.</w:t>
      </w:r>
    </w:p>
    <w:p w14:paraId="11527145" w14:textId="77777777" w:rsidR="0043405D" w:rsidRPr="00263016" w:rsidRDefault="0043405D" w:rsidP="00263016">
      <w:pPr>
        <w:pStyle w:val="ListParagraph"/>
        <w:spacing w:before="120" w:after="120" w:line="240" w:lineRule="auto"/>
        <w:jc w:val="both"/>
        <w:rPr>
          <w:rFonts w:ascii="Times New Roman" w:hAnsi="Times New Roman"/>
          <w:sz w:val="24"/>
          <w:szCs w:val="24"/>
        </w:rPr>
      </w:pPr>
    </w:p>
    <w:p w14:paraId="22D024F5" w14:textId="77777777" w:rsidR="00353123" w:rsidRPr="00263016" w:rsidRDefault="00353123" w:rsidP="00263016">
      <w:pPr>
        <w:spacing w:before="120" w:after="120" w:line="240" w:lineRule="auto"/>
        <w:ind w:left="720" w:hanging="720"/>
        <w:rPr>
          <w:rFonts w:ascii="Times New Roman" w:hAnsi="Times New Roman"/>
          <w:sz w:val="24"/>
          <w:szCs w:val="24"/>
        </w:rPr>
      </w:pPr>
      <w:r w:rsidRPr="00263016">
        <w:rPr>
          <w:rFonts w:ascii="Times New Roman" w:hAnsi="Times New Roman"/>
          <w:b/>
          <w:sz w:val="24"/>
          <w:szCs w:val="24"/>
        </w:rPr>
        <w:t>Findings from Committee hearings on Learner Transport in South Africa</w:t>
      </w:r>
    </w:p>
    <w:p w14:paraId="26268A05" w14:textId="77777777" w:rsidR="00353123" w:rsidRPr="00263016" w:rsidRDefault="00353123"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4.1</w:t>
      </w:r>
      <w:r w:rsidR="001C0A1F" w:rsidRPr="00263016">
        <w:rPr>
          <w:rFonts w:ascii="Times New Roman" w:eastAsiaTheme="minorEastAsia" w:hAnsi="Times New Roman"/>
          <w:b/>
          <w:sz w:val="24"/>
          <w:szCs w:val="24"/>
          <w:lang w:val="en-US"/>
        </w:rPr>
        <w:t>8</w:t>
      </w:r>
      <w:r w:rsidRPr="00263016">
        <w:rPr>
          <w:rFonts w:ascii="Times New Roman" w:eastAsiaTheme="minorEastAsia" w:hAnsi="Times New Roman"/>
          <w:sz w:val="24"/>
          <w:szCs w:val="24"/>
          <w:lang w:val="en-US"/>
        </w:rPr>
        <w:tab/>
        <w:t xml:space="preserve">The Committee engaged with the Department of Basic Education, Human Sciences Research Council and Equal Education and received submissions from a number of stakeholders in response to the Committee’s proactive follow-up briefings to concerns and recommendations made in in its past reports on the provision and funding of scholar transport. The Committee views scholar transport as a necessary and integral part of the right to basic education. </w:t>
      </w:r>
      <w:proofErr w:type="gramStart"/>
      <w:r w:rsidRPr="00263016">
        <w:rPr>
          <w:rFonts w:ascii="Times New Roman" w:eastAsiaTheme="minorEastAsia" w:hAnsi="Times New Roman"/>
          <w:sz w:val="24"/>
          <w:szCs w:val="24"/>
          <w:lang w:val="en-US"/>
        </w:rPr>
        <w:t xml:space="preserve">The Committee views access to quality education </w:t>
      </w:r>
      <w:r w:rsidRPr="00263016">
        <w:rPr>
          <w:rFonts w:ascii="Times New Roman" w:eastAsiaTheme="minorEastAsia" w:hAnsi="Times New Roman"/>
          <w:sz w:val="24"/>
          <w:szCs w:val="24"/>
          <w:lang w:val="en-US"/>
        </w:rPr>
        <w:lastRenderedPageBreak/>
        <w:t>through the provision of safe, decent, effective, and integrated sustainable learner transport as paramount.</w:t>
      </w:r>
      <w:proofErr w:type="gramEnd"/>
    </w:p>
    <w:p w14:paraId="2F89B271" w14:textId="77777777" w:rsidR="00353123" w:rsidRPr="00263016" w:rsidRDefault="00353123"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4.1</w:t>
      </w:r>
      <w:r w:rsidR="001C0A1F" w:rsidRPr="00263016">
        <w:rPr>
          <w:rFonts w:ascii="Times New Roman" w:eastAsiaTheme="minorEastAsia" w:hAnsi="Times New Roman"/>
          <w:b/>
          <w:sz w:val="24"/>
          <w:szCs w:val="24"/>
          <w:lang w:val="en-US"/>
        </w:rPr>
        <w:t>9</w:t>
      </w:r>
      <w:r w:rsidRPr="00263016">
        <w:rPr>
          <w:rFonts w:ascii="Times New Roman" w:eastAsiaTheme="minorEastAsia" w:hAnsi="Times New Roman"/>
          <w:sz w:val="24"/>
          <w:szCs w:val="24"/>
          <w:lang w:val="en-US"/>
        </w:rPr>
        <w:tab/>
        <w:t xml:space="preserve">In its engagements with the HSRC, the Committee raised its serious concerns with the level of intergovernmental cooperation, the lack of availability of quality and reliable data, budgeting and effective use of these budgets on the learner transport </w:t>
      </w:r>
      <w:proofErr w:type="spellStart"/>
      <w:r w:rsidRPr="00263016">
        <w:rPr>
          <w:rFonts w:ascii="Times New Roman" w:eastAsiaTheme="minorEastAsia" w:hAnsi="Times New Roman"/>
          <w:sz w:val="24"/>
          <w:szCs w:val="24"/>
          <w:lang w:val="en-US"/>
        </w:rPr>
        <w:t>programme</w:t>
      </w:r>
      <w:proofErr w:type="spellEnd"/>
      <w:r w:rsidRPr="00263016">
        <w:rPr>
          <w:rFonts w:ascii="Times New Roman" w:eastAsiaTheme="minorEastAsia" w:hAnsi="Times New Roman"/>
          <w:sz w:val="24"/>
          <w:szCs w:val="24"/>
          <w:lang w:val="en-US"/>
        </w:rPr>
        <w:t xml:space="preserve">, policy implementation, the lack of use of M&amp;E instruments in the </w:t>
      </w:r>
      <w:proofErr w:type="spellStart"/>
      <w:r w:rsidRPr="00263016">
        <w:rPr>
          <w:rFonts w:ascii="Times New Roman" w:eastAsiaTheme="minorEastAsia" w:hAnsi="Times New Roman"/>
          <w:sz w:val="24"/>
          <w:szCs w:val="24"/>
          <w:lang w:val="en-US"/>
        </w:rPr>
        <w:t>programme</w:t>
      </w:r>
      <w:proofErr w:type="spellEnd"/>
      <w:r w:rsidRPr="00263016">
        <w:rPr>
          <w:rFonts w:ascii="Times New Roman" w:eastAsiaTheme="minorEastAsia" w:hAnsi="Times New Roman"/>
          <w:sz w:val="24"/>
          <w:szCs w:val="24"/>
          <w:lang w:val="en-US"/>
        </w:rPr>
        <w:t>. The Committee was especially concerned with the daily experiences of learners on the ground with safety and security a major concern.</w:t>
      </w:r>
    </w:p>
    <w:p w14:paraId="508F5D9C" w14:textId="77777777" w:rsidR="00353123" w:rsidRPr="00263016" w:rsidRDefault="00353123"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w:t>
      </w:r>
      <w:r w:rsidR="001C0A1F" w:rsidRPr="00263016">
        <w:rPr>
          <w:rFonts w:ascii="Times New Roman" w:eastAsiaTheme="minorEastAsia" w:hAnsi="Times New Roman"/>
          <w:b/>
          <w:sz w:val="24"/>
          <w:szCs w:val="24"/>
          <w:lang w:val="en-US"/>
        </w:rPr>
        <w:t>20</w:t>
      </w:r>
      <w:r w:rsidRPr="00263016">
        <w:rPr>
          <w:rFonts w:ascii="Times New Roman" w:eastAsiaTheme="minorEastAsia" w:hAnsi="Times New Roman"/>
          <w:sz w:val="24"/>
          <w:szCs w:val="24"/>
          <w:lang w:val="en-US"/>
        </w:rPr>
        <w:tab/>
        <w:t xml:space="preserve">The Committee notes HSRC’s submission that according to </w:t>
      </w:r>
      <w:proofErr w:type="spellStart"/>
      <w:r w:rsidRPr="00263016">
        <w:rPr>
          <w:rFonts w:ascii="Times New Roman" w:eastAsiaTheme="minorEastAsia" w:hAnsi="Times New Roman"/>
          <w:sz w:val="24"/>
          <w:szCs w:val="24"/>
          <w:lang w:val="en-US"/>
        </w:rPr>
        <w:t>StatsSA</w:t>
      </w:r>
      <w:proofErr w:type="spellEnd"/>
      <w:r w:rsidRPr="00263016">
        <w:rPr>
          <w:rFonts w:ascii="Times New Roman" w:eastAsiaTheme="minorEastAsia" w:hAnsi="Times New Roman"/>
          <w:sz w:val="24"/>
          <w:szCs w:val="24"/>
          <w:lang w:val="en-US"/>
        </w:rPr>
        <w:t xml:space="preserve">, approximately 100,000 children of school going age did not attend public schools due to remoteness from public schools or lack of transportation. The Department of Basic Education submitted that no more than 3000 children are not attending school due to lack of transport or remoteness. The Committee views the lack </w:t>
      </w:r>
      <w:r w:rsidR="005C6200" w:rsidRPr="00263016">
        <w:rPr>
          <w:rFonts w:ascii="Times New Roman" w:eastAsiaTheme="minorEastAsia" w:hAnsi="Times New Roman"/>
          <w:sz w:val="24"/>
          <w:szCs w:val="24"/>
          <w:lang w:val="en-US"/>
        </w:rPr>
        <w:t xml:space="preserve">of </w:t>
      </w:r>
      <w:r w:rsidRPr="00263016">
        <w:rPr>
          <w:rFonts w:ascii="Times New Roman" w:eastAsiaTheme="minorEastAsia" w:hAnsi="Times New Roman"/>
          <w:sz w:val="24"/>
          <w:szCs w:val="24"/>
          <w:lang w:val="en-US"/>
        </w:rPr>
        <w:t xml:space="preserve">consistency in learner transport data as a serious concern though welcomes the Departments assurance that this will be </w:t>
      </w:r>
      <w:proofErr w:type="spellStart"/>
      <w:r w:rsidRPr="00263016">
        <w:rPr>
          <w:rFonts w:ascii="Times New Roman" w:eastAsiaTheme="minorEastAsia" w:hAnsi="Times New Roman"/>
          <w:sz w:val="24"/>
          <w:szCs w:val="24"/>
          <w:lang w:val="en-US"/>
        </w:rPr>
        <w:t>prioritised</w:t>
      </w:r>
      <w:proofErr w:type="spellEnd"/>
      <w:r w:rsidRPr="00263016">
        <w:rPr>
          <w:rFonts w:ascii="Times New Roman" w:eastAsiaTheme="minorEastAsia" w:hAnsi="Times New Roman"/>
          <w:sz w:val="24"/>
          <w:szCs w:val="24"/>
          <w:lang w:val="en-US"/>
        </w:rPr>
        <w:t xml:space="preserve"> and speedily addressed. </w:t>
      </w:r>
    </w:p>
    <w:p w14:paraId="27070B3B" w14:textId="77777777" w:rsidR="003920E7" w:rsidRPr="00263016" w:rsidRDefault="003920E7"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w:t>
      </w:r>
      <w:r w:rsidR="001C0A1F" w:rsidRPr="00263016">
        <w:rPr>
          <w:rFonts w:ascii="Times New Roman" w:eastAsiaTheme="minorEastAsia" w:hAnsi="Times New Roman"/>
          <w:b/>
          <w:sz w:val="24"/>
          <w:szCs w:val="24"/>
          <w:lang w:val="en-US"/>
        </w:rPr>
        <w:t>21</w:t>
      </w:r>
      <w:r w:rsidRPr="00263016">
        <w:rPr>
          <w:rFonts w:ascii="Times New Roman" w:eastAsiaTheme="minorEastAsia" w:hAnsi="Times New Roman"/>
          <w:sz w:val="24"/>
          <w:szCs w:val="24"/>
          <w:lang w:val="en-US"/>
        </w:rPr>
        <w:tab/>
        <w:t xml:space="preserve">The Committee is seriously concerned about the availability and reliability of data from provinces, more especially relating to implementation of learner transport in South Africa. The Committee however, notes the report from the Department of Basic Education (DBE) that the introduction of the Learner Unit Record Information and Tracking System (LURITS) would assist in this regard. </w:t>
      </w:r>
    </w:p>
    <w:p w14:paraId="54469CF1" w14:textId="77777777" w:rsidR="003920E7" w:rsidRPr="00263016" w:rsidRDefault="003920E7"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w:t>
      </w:r>
      <w:r w:rsidR="001C0A1F" w:rsidRPr="00263016">
        <w:rPr>
          <w:rFonts w:ascii="Times New Roman" w:eastAsiaTheme="minorEastAsia" w:hAnsi="Times New Roman"/>
          <w:b/>
          <w:sz w:val="24"/>
          <w:szCs w:val="24"/>
          <w:lang w:val="en-US"/>
        </w:rPr>
        <w:t>22</w:t>
      </w:r>
      <w:r w:rsidRPr="00263016">
        <w:rPr>
          <w:rFonts w:ascii="Times New Roman" w:eastAsiaTheme="minorEastAsia" w:hAnsi="Times New Roman"/>
          <w:sz w:val="24"/>
          <w:szCs w:val="24"/>
          <w:lang w:val="en-US"/>
        </w:rPr>
        <w:tab/>
        <w:t xml:space="preserve">The issues around the </w:t>
      </w:r>
      <w:r w:rsidR="00454312" w:rsidRPr="00263016">
        <w:rPr>
          <w:rFonts w:ascii="Times New Roman" w:eastAsiaTheme="minorEastAsia" w:hAnsi="Times New Roman"/>
          <w:sz w:val="24"/>
          <w:szCs w:val="24"/>
          <w:lang w:val="en-US"/>
        </w:rPr>
        <w:t>location</w:t>
      </w:r>
      <w:r w:rsidRPr="00263016">
        <w:rPr>
          <w:rFonts w:ascii="Times New Roman" w:eastAsiaTheme="minorEastAsia" w:hAnsi="Times New Roman"/>
          <w:sz w:val="24"/>
          <w:szCs w:val="24"/>
          <w:lang w:val="en-US"/>
        </w:rPr>
        <w:t xml:space="preserve"> of the provision of learner transport function, as well as the lack of uniformity around its implementation, is cause for concern as it results in the lack of accountability. The Committee is of the view that uniformity around the implementation of learner transport needs to be addressed as matter of urgency. </w:t>
      </w:r>
    </w:p>
    <w:p w14:paraId="33FFA078" w14:textId="77777777" w:rsidR="00353123" w:rsidRPr="00263016" w:rsidRDefault="003920E7"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4.2</w:t>
      </w:r>
      <w:r w:rsidR="001C0A1F" w:rsidRPr="00263016">
        <w:rPr>
          <w:rFonts w:ascii="Times New Roman" w:eastAsiaTheme="minorEastAsia" w:hAnsi="Times New Roman"/>
          <w:b/>
          <w:sz w:val="24"/>
          <w:szCs w:val="24"/>
          <w:lang w:val="en-US"/>
        </w:rPr>
        <w:t>3</w:t>
      </w:r>
      <w:r w:rsidRPr="00263016">
        <w:rPr>
          <w:rFonts w:ascii="Times New Roman" w:eastAsiaTheme="minorEastAsia" w:hAnsi="Times New Roman"/>
          <w:sz w:val="24"/>
          <w:szCs w:val="24"/>
          <w:lang w:val="en-US"/>
        </w:rPr>
        <w:tab/>
        <w:t xml:space="preserve">The Committee notes that a comprehensive evaluation in respect of learner transport is currently underway and will be completed by June 2018. The results of the said evaluation will place government in a better position to take a decision on the locality of the function and would assist with the possible introduction of a Conditional Grant for learner transport. </w:t>
      </w:r>
    </w:p>
    <w:p w14:paraId="70BBEA0B" w14:textId="77777777" w:rsidR="00353123" w:rsidRPr="00263016" w:rsidRDefault="00353123"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4.2</w:t>
      </w:r>
      <w:r w:rsidR="001C0A1F" w:rsidRPr="00263016">
        <w:rPr>
          <w:rFonts w:ascii="Times New Roman" w:eastAsiaTheme="minorEastAsia" w:hAnsi="Times New Roman"/>
          <w:b/>
          <w:sz w:val="24"/>
          <w:szCs w:val="24"/>
          <w:lang w:val="en-US"/>
        </w:rPr>
        <w:t>4</w:t>
      </w:r>
      <w:r w:rsidRPr="00263016">
        <w:rPr>
          <w:rFonts w:ascii="Times New Roman" w:eastAsiaTheme="minorEastAsia" w:hAnsi="Times New Roman"/>
          <w:sz w:val="24"/>
          <w:szCs w:val="24"/>
          <w:lang w:val="en-US"/>
        </w:rPr>
        <w:tab/>
        <w:t xml:space="preserve">The Committee welcomes submissions from various stakeholders on the learner transport </w:t>
      </w:r>
      <w:proofErr w:type="spellStart"/>
      <w:r w:rsidRPr="00263016">
        <w:rPr>
          <w:rFonts w:ascii="Times New Roman" w:eastAsiaTheme="minorEastAsia" w:hAnsi="Times New Roman"/>
          <w:sz w:val="24"/>
          <w:szCs w:val="24"/>
          <w:lang w:val="en-US"/>
        </w:rPr>
        <w:t>programme</w:t>
      </w:r>
      <w:proofErr w:type="spellEnd"/>
      <w:r w:rsidRPr="00263016">
        <w:rPr>
          <w:rFonts w:ascii="Times New Roman" w:eastAsiaTheme="minorEastAsia" w:hAnsi="Times New Roman"/>
          <w:sz w:val="24"/>
          <w:szCs w:val="24"/>
          <w:lang w:val="en-US"/>
        </w:rPr>
        <w:t xml:space="preserve">. The Committee notes the submission by </w:t>
      </w:r>
      <w:proofErr w:type="spellStart"/>
      <w:r w:rsidRPr="00263016">
        <w:rPr>
          <w:rFonts w:ascii="Times New Roman" w:eastAsiaTheme="minorEastAsia" w:hAnsi="Times New Roman"/>
          <w:sz w:val="24"/>
          <w:szCs w:val="24"/>
          <w:lang w:val="en-US"/>
        </w:rPr>
        <w:t>Zodwa</w:t>
      </w:r>
      <w:proofErr w:type="spellEnd"/>
      <w:r w:rsidRPr="00263016">
        <w:rPr>
          <w:rFonts w:ascii="Times New Roman" w:eastAsiaTheme="minorEastAsia" w:hAnsi="Times New Roman"/>
          <w:sz w:val="24"/>
          <w:szCs w:val="24"/>
          <w:lang w:val="en-US"/>
        </w:rPr>
        <w:t xml:space="preserve"> </w:t>
      </w:r>
      <w:proofErr w:type="spellStart"/>
      <w:r w:rsidRPr="00263016">
        <w:rPr>
          <w:rFonts w:ascii="Times New Roman" w:eastAsiaTheme="minorEastAsia" w:hAnsi="Times New Roman"/>
          <w:sz w:val="24"/>
          <w:szCs w:val="24"/>
          <w:lang w:val="en-US"/>
        </w:rPr>
        <w:t>Mthembu</w:t>
      </w:r>
      <w:proofErr w:type="spellEnd"/>
      <w:r w:rsidRPr="00263016">
        <w:rPr>
          <w:rFonts w:ascii="Times New Roman" w:eastAsiaTheme="minorEastAsia" w:hAnsi="Times New Roman"/>
          <w:sz w:val="24"/>
          <w:szCs w:val="24"/>
          <w:lang w:val="en-US"/>
        </w:rPr>
        <w:t xml:space="preserve"> that children with disabilities are faced with many social, education and health challenges. The Western Cape Forum for Intellectual Disability (WCFID) in its submission raised a number of concerns around the provision of transport for Learners with Severe and Profound Disability. The Committee further notes proposals by Equal Education that scholar transport funding be allocated as a conditional grant and that allocations be formulated based on clear criteria for defining ‘needy’ student, be proportional to learners transport needs and that the </w:t>
      </w:r>
      <w:proofErr w:type="spellStart"/>
      <w:r w:rsidRPr="00263016">
        <w:rPr>
          <w:rFonts w:ascii="Times New Roman" w:eastAsiaTheme="minorEastAsia" w:hAnsi="Times New Roman"/>
          <w:sz w:val="24"/>
          <w:szCs w:val="24"/>
          <w:lang w:val="en-US"/>
        </w:rPr>
        <w:t>programme’s</w:t>
      </w:r>
      <w:proofErr w:type="spellEnd"/>
      <w:r w:rsidRPr="00263016">
        <w:rPr>
          <w:rFonts w:ascii="Times New Roman" w:eastAsiaTheme="minorEastAsia" w:hAnsi="Times New Roman"/>
          <w:sz w:val="24"/>
          <w:szCs w:val="24"/>
          <w:lang w:val="en-US"/>
        </w:rPr>
        <w:t xml:space="preserve"> financial and non-financial performance be transparent. </w:t>
      </w:r>
    </w:p>
    <w:p w14:paraId="740E88A7" w14:textId="77777777" w:rsidR="00353123" w:rsidRPr="00263016" w:rsidRDefault="00353123" w:rsidP="00263016">
      <w:pPr>
        <w:spacing w:before="120" w:after="120" w:line="240" w:lineRule="auto"/>
        <w:ind w:left="720" w:hanging="720"/>
        <w:jc w:val="both"/>
        <w:rPr>
          <w:rFonts w:ascii="Times New Roman" w:eastAsiaTheme="minorEastAsia" w:hAnsi="Times New Roman"/>
          <w:sz w:val="24"/>
          <w:szCs w:val="24"/>
          <w:lang w:val="en-US"/>
        </w:rPr>
      </w:pPr>
      <w:r w:rsidRPr="00263016">
        <w:rPr>
          <w:rFonts w:ascii="Times New Roman" w:eastAsiaTheme="minorEastAsia" w:hAnsi="Times New Roman"/>
          <w:b/>
          <w:sz w:val="24"/>
          <w:szCs w:val="24"/>
          <w:lang w:val="en-US"/>
        </w:rPr>
        <w:t>4.2</w:t>
      </w:r>
      <w:r w:rsidR="001C0A1F" w:rsidRPr="00263016">
        <w:rPr>
          <w:rFonts w:ascii="Times New Roman" w:eastAsiaTheme="minorEastAsia" w:hAnsi="Times New Roman"/>
          <w:b/>
          <w:sz w:val="24"/>
          <w:szCs w:val="24"/>
          <w:lang w:val="en-US"/>
        </w:rPr>
        <w:t>5</w:t>
      </w:r>
      <w:r w:rsidRPr="00263016">
        <w:rPr>
          <w:rFonts w:ascii="Times New Roman" w:eastAsiaTheme="minorEastAsia" w:hAnsi="Times New Roman"/>
          <w:sz w:val="24"/>
          <w:szCs w:val="24"/>
          <w:lang w:val="en-US"/>
        </w:rPr>
        <w:tab/>
        <w:t xml:space="preserve">The Committee raised a number of concerns in its engagements with various stakeholders on learner transport including the need for shelter for learners, the need to reconsider at 5 kilometer metric used in assessing transport needs, the need for reliable district level data, the need to ensure safe transportation for learners,  the need to provide for Learners with Severe and Profound Disability and the need to urgently resolve challenges in the location of the function of providing learner transport.  </w:t>
      </w:r>
    </w:p>
    <w:p w14:paraId="6C9D54CB" w14:textId="77777777" w:rsidR="00353123" w:rsidRPr="00263016" w:rsidRDefault="00353123" w:rsidP="00263016">
      <w:pPr>
        <w:spacing w:before="120" w:after="120" w:line="240" w:lineRule="auto"/>
        <w:ind w:left="720" w:hanging="720"/>
        <w:jc w:val="both"/>
        <w:rPr>
          <w:rFonts w:ascii="Times New Roman" w:hAnsi="Times New Roman"/>
          <w:sz w:val="24"/>
          <w:szCs w:val="24"/>
        </w:rPr>
      </w:pPr>
    </w:p>
    <w:p w14:paraId="6ACADFC3" w14:textId="77777777" w:rsidR="00AC035C" w:rsidRPr="00263016" w:rsidRDefault="00AC035C" w:rsidP="00263016">
      <w:pPr>
        <w:spacing w:before="120" w:after="120" w:line="240" w:lineRule="auto"/>
        <w:ind w:left="720" w:hanging="720"/>
        <w:contextualSpacing/>
        <w:jc w:val="both"/>
        <w:rPr>
          <w:rFonts w:ascii="Times New Roman" w:hAnsi="Times New Roman"/>
          <w:b/>
          <w:sz w:val="24"/>
          <w:szCs w:val="24"/>
        </w:rPr>
      </w:pPr>
      <w:r w:rsidRPr="00263016">
        <w:rPr>
          <w:rFonts w:ascii="Times New Roman" w:hAnsi="Times New Roman"/>
          <w:b/>
          <w:sz w:val="24"/>
          <w:szCs w:val="24"/>
        </w:rPr>
        <w:lastRenderedPageBreak/>
        <w:t>5.</w:t>
      </w:r>
      <w:r w:rsidRPr="00263016">
        <w:rPr>
          <w:rFonts w:ascii="Times New Roman" w:hAnsi="Times New Roman"/>
          <w:b/>
          <w:sz w:val="24"/>
          <w:szCs w:val="24"/>
        </w:rPr>
        <w:tab/>
        <w:t xml:space="preserve">Recommendations </w:t>
      </w:r>
    </w:p>
    <w:p w14:paraId="03F72AF6" w14:textId="77777777" w:rsidR="00AC035C" w:rsidRPr="00263016" w:rsidRDefault="00AC035C" w:rsidP="00263016">
      <w:pPr>
        <w:spacing w:before="120" w:after="120" w:line="240" w:lineRule="auto"/>
        <w:ind w:left="360"/>
        <w:rPr>
          <w:rFonts w:ascii="Times New Roman" w:hAnsi="Times New Roman"/>
          <w:sz w:val="24"/>
          <w:szCs w:val="24"/>
        </w:rPr>
      </w:pPr>
    </w:p>
    <w:p w14:paraId="3C37E13B" w14:textId="77777777" w:rsidR="00AC035C" w:rsidRPr="00263016" w:rsidRDefault="00AC035C" w:rsidP="00263016">
      <w:pPr>
        <w:spacing w:before="120" w:after="120" w:line="240" w:lineRule="auto"/>
        <w:rPr>
          <w:rFonts w:ascii="Times New Roman" w:hAnsi="Times New Roman"/>
          <w:sz w:val="24"/>
          <w:szCs w:val="24"/>
        </w:rPr>
      </w:pPr>
      <w:r w:rsidRPr="00263016">
        <w:rPr>
          <w:rFonts w:ascii="Times New Roman" w:hAnsi="Times New Roman"/>
          <w:sz w:val="24"/>
          <w:szCs w:val="24"/>
        </w:rPr>
        <w:t>The Standing Committee on Appropriations having considered the 201</w:t>
      </w:r>
      <w:r w:rsidR="00CC3213" w:rsidRPr="00263016">
        <w:rPr>
          <w:rFonts w:ascii="Times New Roman" w:hAnsi="Times New Roman"/>
          <w:sz w:val="24"/>
          <w:szCs w:val="24"/>
        </w:rPr>
        <w:t>8</w:t>
      </w:r>
      <w:r w:rsidRPr="00263016">
        <w:rPr>
          <w:rFonts w:ascii="Times New Roman" w:hAnsi="Times New Roman"/>
          <w:sz w:val="24"/>
          <w:szCs w:val="24"/>
        </w:rPr>
        <w:t xml:space="preserve"> Division of Revenue Bill recommends as follows:</w:t>
      </w:r>
    </w:p>
    <w:p w14:paraId="46C8614F" w14:textId="77777777" w:rsidR="005D2932" w:rsidRPr="00263016" w:rsidRDefault="005D2932" w:rsidP="00263016">
      <w:pPr>
        <w:spacing w:before="120" w:after="120" w:line="240" w:lineRule="auto"/>
        <w:rPr>
          <w:rFonts w:ascii="Times New Roman" w:hAnsi="Times New Roman"/>
          <w:sz w:val="24"/>
          <w:szCs w:val="24"/>
        </w:rPr>
      </w:pPr>
    </w:p>
    <w:p w14:paraId="1049FB7A" w14:textId="77777777" w:rsidR="007F5C63" w:rsidRPr="00263016" w:rsidRDefault="005D2932" w:rsidP="00263016">
      <w:pPr>
        <w:pStyle w:val="ListParagraph"/>
        <w:numPr>
          <w:ilvl w:val="1"/>
          <w:numId w:val="24"/>
        </w:numPr>
        <w:tabs>
          <w:tab w:val="left" w:pos="709"/>
        </w:tabs>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The Minister of Finance should ensure that:</w:t>
      </w:r>
    </w:p>
    <w:p w14:paraId="014140C1" w14:textId="77777777" w:rsidR="00C41C43" w:rsidRPr="00263016" w:rsidRDefault="005D2932" w:rsidP="00263016">
      <w:pPr>
        <w:pStyle w:val="ListParagraph"/>
        <w:numPr>
          <w:ilvl w:val="2"/>
          <w:numId w:val="24"/>
        </w:numPr>
        <w:tabs>
          <w:tab w:val="left" w:pos="709"/>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w:t>
      </w:r>
      <w:r w:rsidR="00C41C43" w:rsidRPr="00263016">
        <w:rPr>
          <w:rFonts w:ascii="Times New Roman" w:hAnsi="Times New Roman"/>
          <w:sz w:val="24"/>
          <w:szCs w:val="24"/>
        </w:rPr>
        <w:t>in collaboration with</w:t>
      </w:r>
      <w:r w:rsidRPr="00263016">
        <w:rPr>
          <w:rFonts w:ascii="Times New Roman" w:hAnsi="Times New Roman"/>
          <w:sz w:val="24"/>
          <w:szCs w:val="24"/>
        </w:rPr>
        <w:t xml:space="preserve"> the Department of Planning, Monitoring and Evaluation strengthen and implement Medium Term Expenditure Framework planning principles</w:t>
      </w:r>
      <w:r w:rsidR="00C41C43" w:rsidRPr="00263016">
        <w:rPr>
          <w:rFonts w:ascii="Times New Roman" w:hAnsi="Times New Roman"/>
          <w:sz w:val="24"/>
          <w:szCs w:val="24"/>
        </w:rPr>
        <w:t xml:space="preserve">, implementation and measurement </w:t>
      </w:r>
      <w:r w:rsidRPr="00263016">
        <w:rPr>
          <w:rFonts w:ascii="Times New Roman" w:hAnsi="Times New Roman"/>
          <w:sz w:val="24"/>
          <w:szCs w:val="24"/>
        </w:rPr>
        <w:t>tools in conditional grant frameworks and infrastructure allocations and ensure that these are embedded in budgeting, planning and the execution of programmes across departments.</w:t>
      </w:r>
    </w:p>
    <w:p w14:paraId="3F5DDFE4" w14:textId="77777777" w:rsidR="005D2932" w:rsidRPr="00263016" w:rsidRDefault="005D2932"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w:t>
      </w:r>
      <w:r w:rsidR="00C94B46" w:rsidRPr="00263016">
        <w:rPr>
          <w:rFonts w:ascii="Times New Roman" w:hAnsi="Times New Roman"/>
          <w:sz w:val="24"/>
          <w:szCs w:val="24"/>
        </w:rPr>
        <w:t>in collaboration with</w:t>
      </w:r>
      <w:r w:rsidRPr="00263016">
        <w:rPr>
          <w:rFonts w:ascii="Times New Roman" w:hAnsi="Times New Roman"/>
          <w:sz w:val="24"/>
          <w:szCs w:val="24"/>
        </w:rPr>
        <w:t xml:space="preserve"> Department of Planning, Monitoring and Evaluation</w:t>
      </w:r>
      <w:r w:rsidR="00E1100A" w:rsidRPr="00263016">
        <w:rPr>
          <w:rFonts w:ascii="Times New Roman" w:hAnsi="Times New Roman"/>
          <w:sz w:val="24"/>
          <w:szCs w:val="24"/>
        </w:rPr>
        <w:t xml:space="preserve"> to develop and implement a capacity-building programme targeted at all conditional grants and programmes</w:t>
      </w:r>
      <w:r w:rsidR="00F17775" w:rsidRPr="00263016">
        <w:rPr>
          <w:rFonts w:ascii="Times New Roman" w:hAnsi="Times New Roman"/>
          <w:sz w:val="24"/>
          <w:szCs w:val="24"/>
        </w:rPr>
        <w:t xml:space="preserve">. </w:t>
      </w:r>
    </w:p>
    <w:p w14:paraId="0F62F504" w14:textId="77777777" w:rsidR="005D2932" w:rsidRPr="00263016" w:rsidRDefault="005D2932"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w:t>
      </w:r>
      <w:r w:rsidR="00C94B46" w:rsidRPr="00263016">
        <w:rPr>
          <w:rFonts w:ascii="Times New Roman" w:hAnsi="Times New Roman"/>
          <w:sz w:val="24"/>
          <w:szCs w:val="24"/>
        </w:rPr>
        <w:t>in collaboration with</w:t>
      </w:r>
      <w:r w:rsidRPr="00263016">
        <w:rPr>
          <w:rFonts w:ascii="Times New Roman" w:hAnsi="Times New Roman"/>
          <w:sz w:val="24"/>
          <w:szCs w:val="24"/>
        </w:rPr>
        <w:t xml:space="preserve"> the Department of Planning, Monitoring and Evaluation and Financial and Fiscal Commission immediately address any identified weaknesses in the criteria used to cut the grants going forward and put in place monitoring and evaluation plans following the budget cuts and evaluate how it's impacting current and future service delivery.  </w:t>
      </w:r>
    </w:p>
    <w:p w14:paraId="625E4875" w14:textId="77777777" w:rsidR="007F5C63" w:rsidRPr="00263016" w:rsidRDefault="005B6993"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w:t>
      </w:r>
      <w:r w:rsidR="00C94B46" w:rsidRPr="00263016">
        <w:rPr>
          <w:rFonts w:ascii="Times New Roman" w:hAnsi="Times New Roman"/>
          <w:sz w:val="24"/>
          <w:szCs w:val="24"/>
        </w:rPr>
        <w:t>in collaboration</w:t>
      </w:r>
      <w:r w:rsidRPr="00263016">
        <w:rPr>
          <w:rFonts w:ascii="Times New Roman" w:hAnsi="Times New Roman"/>
          <w:sz w:val="24"/>
          <w:szCs w:val="24"/>
        </w:rPr>
        <w:t xml:space="preserve"> with </w:t>
      </w:r>
      <w:r w:rsidR="000E581F" w:rsidRPr="00263016">
        <w:rPr>
          <w:rFonts w:ascii="Times New Roman" w:hAnsi="Times New Roman"/>
          <w:sz w:val="24"/>
          <w:szCs w:val="24"/>
        </w:rPr>
        <w:t>the Department of Planning, Monitoring and Evaluation</w:t>
      </w:r>
      <w:r w:rsidR="000E581F" w:rsidRPr="00263016" w:rsidDel="000E581F">
        <w:rPr>
          <w:rFonts w:ascii="Times New Roman" w:hAnsi="Times New Roman"/>
          <w:sz w:val="24"/>
          <w:szCs w:val="24"/>
        </w:rPr>
        <w:t xml:space="preserve"> </w:t>
      </w:r>
      <w:r w:rsidR="003D7069" w:rsidRPr="00263016">
        <w:rPr>
          <w:rFonts w:ascii="Times New Roman" w:hAnsi="Times New Roman"/>
          <w:sz w:val="24"/>
          <w:szCs w:val="24"/>
        </w:rPr>
        <w:t xml:space="preserve">should develop and implement a framework that will guide the scope of quarterly review meetings between the transferring officer and receiving officer so as to achieve the maximum positive outcome on the allocated budget and expenditure.  This framework should </w:t>
      </w:r>
      <w:r w:rsidR="000E581F" w:rsidRPr="00263016">
        <w:rPr>
          <w:rFonts w:ascii="Times New Roman" w:hAnsi="Times New Roman"/>
          <w:sz w:val="24"/>
          <w:szCs w:val="24"/>
        </w:rPr>
        <w:t>entrench</w:t>
      </w:r>
      <w:r w:rsidR="003D7069" w:rsidRPr="00263016">
        <w:rPr>
          <w:rFonts w:ascii="Times New Roman" w:hAnsi="Times New Roman"/>
          <w:sz w:val="24"/>
          <w:szCs w:val="24"/>
        </w:rPr>
        <w:t xml:space="preserve"> principles of programme effectiveness, efficiencies, value for money and must show alignment between programme targets and targets contained in the MTSF and ND</w:t>
      </w:r>
      <w:r w:rsidR="003920E7" w:rsidRPr="00263016">
        <w:rPr>
          <w:rFonts w:ascii="Times New Roman" w:hAnsi="Times New Roman"/>
          <w:sz w:val="24"/>
          <w:szCs w:val="24"/>
        </w:rPr>
        <w:t>P.</w:t>
      </w:r>
    </w:p>
    <w:p w14:paraId="560E9E93" w14:textId="77777777" w:rsidR="002E67CF" w:rsidRPr="00263016" w:rsidRDefault="00B04043"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to correct the error in the Early Childhood Development Grant framework. The threshold for the </w:t>
      </w:r>
      <w:r w:rsidR="0043405D" w:rsidRPr="00263016">
        <w:rPr>
          <w:rFonts w:ascii="Times New Roman" w:hAnsi="Times New Roman"/>
          <w:sz w:val="24"/>
          <w:szCs w:val="24"/>
        </w:rPr>
        <w:t>income</w:t>
      </w:r>
      <w:r w:rsidRPr="00263016">
        <w:rPr>
          <w:rFonts w:ascii="Times New Roman" w:hAnsi="Times New Roman"/>
          <w:sz w:val="24"/>
          <w:szCs w:val="24"/>
        </w:rPr>
        <w:t>-based means test must be updated to reflect the increase in the Child Support Grant from R380 to R405. Therefore, the income threshold in the grant framework must to be changed from R45</w:t>
      </w:r>
      <w:proofErr w:type="gramStart"/>
      <w:r w:rsidRPr="00263016">
        <w:rPr>
          <w:rFonts w:ascii="Times New Roman" w:hAnsi="Times New Roman"/>
          <w:sz w:val="24"/>
          <w:szCs w:val="24"/>
        </w:rPr>
        <w:t>,600</w:t>
      </w:r>
      <w:proofErr w:type="gramEnd"/>
      <w:r w:rsidRPr="00263016">
        <w:rPr>
          <w:rFonts w:ascii="Times New Roman" w:hAnsi="Times New Roman"/>
          <w:sz w:val="24"/>
          <w:szCs w:val="24"/>
        </w:rPr>
        <w:t xml:space="preserve"> for single parents and R91,200 for two parents to R48,700</w:t>
      </w:r>
      <w:r w:rsidR="00C94B46" w:rsidRPr="00263016">
        <w:rPr>
          <w:rFonts w:ascii="Times New Roman" w:hAnsi="Times New Roman"/>
          <w:sz w:val="24"/>
          <w:szCs w:val="24"/>
        </w:rPr>
        <w:t xml:space="preserve"> </w:t>
      </w:r>
      <w:r w:rsidRPr="00263016">
        <w:rPr>
          <w:rFonts w:ascii="Times New Roman" w:hAnsi="Times New Roman"/>
          <w:sz w:val="24"/>
          <w:szCs w:val="24"/>
        </w:rPr>
        <w:t>for single parents and R97,200</w:t>
      </w:r>
      <w:r w:rsidR="00C94B46" w:rsidRPr="00263016">
        <w:rPr>
          <w:rFonts w:ascii="Times New Roman" w:hAnsi="Times New Roman"/>
          <w:sz w:val="24"/>
          <w:szCs w:val="24"/>
        </w:rPr>
        <w:t xml:space="preserve"> </w:t>
      </w:r>
      <w:r w:rsidRPr="00263016">
        <w:rPr>
          <w:rFonts w:ascii="Times New Roman" w:hAnsi="Times New Roman"/>
          <w:sz w:val="24"/>
          <w:szCs w:val="24"/>
        </w:rPr>
        <w:t>for two parents.</w:t>
      </w:r>
    </w:p>
    <w:p w14:paraId="09E640BA" w14:textId="77777777" w:rsidR="00E33AFA" w:rsidRPr="00263016" w:rsidRDefault="002E67CF"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in </w:t>
      </w:r>
      <w:r w:rsidR="000E581F" w:rsidRPr="00263016">
        <w:rPr>
          <w:rFonts w:ascii="Times New Roman" w:hAnsi="Times New Roman"/>
          <w:sz w:val="24"/>
          <w:szCs w:val="24"/>
        </w:rPr>
        <w:t>collaboration</w:t>
      </w:r>
      <w:r w:rsidRPr="00263016">
        <w:rPr>
          <w:rFonts w:ascii="Times New Roman" w:hAnsi="Times New Roman"/>
          <w:sz w:val="24"/>
          <w:szCs w:val="24"/>
        </w:rPr>
        <w:t xml:space="preserve"> with the Financial and Fiscal Com</w:t>
      </w:r>
      <w:r w:rsidR="00496B65" w:rsidRPr="00263016">
        <w:rPr>
          <w:rFonts w:ascii="Times New Roman" w:hAnsi="Times New Roman"/>
          <w:sz w:val="24"/>
          <w:szCs w:val="24"/>
        </w:rPr>
        <w:t>mission</w:t>
      </w:r>
      <w:r w:rsidRPr="00263016">
        <w:rPr>
          <w:rFonts w:ascii="Times New Roman" w:hAnsi="Times New Roman"/>
          <w:sz w:val="24"/>
          <w:szCs w:val="24"/>
        </w:rPr>
        <w:t xml:space="preserve"> develop and implement a government wide programme aimed at shifting the composition of spending away from consumption expenditure towards capital expenditure. </w:t>
      </w:r>
    </w:p>
    <w:p w14:paraId="614DD272" w14:textId="77777777" w:rsidR="00E33AFA" w:rsidRPr="00263016" w:rsidRDefault="00E33AFA" w:rsidP="00263016">
      <w:pPr>
        <w:pStyle w:val="ListParagraph"/>
        <w:numPr>
          <w:ilvl w:val="2"/>
          <w:numId w:val="24"/>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National Treasury should develop and implement measures aimed at dealing expeditiously with non-performing contractors and applying appropriate sanctions to discourage poor performance for the effective provision and maintenance of schools’ infrastructure. </w:t>
      </w:r>
    </w:p>
    <w:p w14:paraId="018F4612" w14:textId="77777777" w:rsidR="00B04043" w:rsidRPr="00263016" w:rsidRDefault="00B04043" w:rsidP="00263016">
      <w:pPr>
        <w:pStyle w:val="ListParagraph"/>
        <w:tabs>
          <w:tab w:val="left" w:pos="1560"/>
        </w:tabs>
        <w:spacing w:before="120" w:after="120" w:line="240" w:lineRule="auto"/>
        <w:ind w:left="1560"/>
        <w:jc w:val="both"/>
        <w:rPr>
          <w:rFonts w:ascii="Times New Roman" w:hAnsi="Times New Roman"/>
          <w:sz w:val="24"/>
          <w:szCs w:val="24"/>
        </w:rPr>
      </w:pPr>
    </w:p>
    <w:p w14:paraId="707FCE2B" w14:textId="77777777" w:rsidR="007F5C63" w:rsidRPr="00263016" w:rsidRDefault="00A26700" w:rsidP="00263016">
      <w:pPr>
        <w:numPr>
          <w:ilvl w:val="1"/>
          <w:numId w:val="24"/>
        </w:numPr>
        <w:tabs>
          <w:tab w:val="left" w:pos="709"/>
        </w:tabs>
        <w:spacing w:before="120" w:after="120" w:line="240" w:lineRule="auto"/>
        <w:ind w:left="720" w:hanging="720"/>
        <w:contextualSpacing/>
        <w:jc w:val="both"/>
        <w:rPr>
          <w:rFonts w:ascii="Times New Roman" w:hAnsi="Times New Roman"/>
          <w:sz w:val="24"/>
          <w:szCs w:val="24"/>
        </w:rPr>
      </w:pPr>
      <w:r w:rsidRPr="00263016">
        <w:rPr>
          <w:rFonts w:ascii="Times New Roman" w:hAnsi="Times New Roman"/>
          <w:sz w:val="24"/>
          <w:szCs w:val="24"/>
        </w:rPr>
        <w:t xml:space="preserve">The Minister of Cooperative Governance </w:t>
      </w:r>
      <w:r w:rsidR="008B0944" w:rsidRPr="00263016">
        <w:rPr>
          <w:rFonts w:ascii="Times New Roman" w:hAnsi="Times New Roman"/>
          <w:sz w:val="24"/>
          <w:szCs w:val="24"/>
        </w:rPr>
        <w:t xml:space="preserve">and Traditional Affairs </w:t>
      </w:r>
      <w:r w:rsidRPr="00263016">
        <w:rPr>
          <w:rFonts w:ascii="Times New Roman" w:hAnsi="Times New Roman"/>
          <w:sz w:val="24"/>
          <w:szCs w:val="24"/>
        </w:rPr>
        <w:t>should ensure that:</w:t>
      </w:r>
    </w:p>
    <w:p w14:paraId="72153936" w14:textId="77777777" w:rsidR="007F5C63" w:rsidRPr="00263016" w:rsidRDefault="00A26700" w:rsidP="00263016">
      <w:pPr>
        <w:pStyle w:val="ListParagraph"/>
        <w:numPr>
          <w:ilvl w:val="2"/>
          <w:numId w:val="24"/>
        </w:numPr>
        <w:tabs>
          <w:tab w:val="left" w:pos="72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The Department of Cooperative Governance </w:t>
      </w:r>
      <w:r w:rsidR="00C94B46" w:rsidRPr="00263016">
        <w:rPr>
          <w:rFonts w:ascii="Times New Roman" w:hAnsi="Times New Roman"/>
          <w:sz w:val="24"/>
          <w:szCs w:val="24"/>
        </w:rPr>
        <w:t>in collaboration</w:t>
      </w:r>
      <w:r w:rsidRPr="00263016">
        <w:rPr>
          <w:rFonts w:ascii="Times New Roman" w:hAnsi="Times New Roman"/>
          <w:sz w:val="24"/>
          <w:szCs w:val="24"/>
        </w:rPr>
        <w:t xml:space="preserve"> with the relevant partners speedily finalise the process of reviewing the powers and functions of local government. This should include a complete review of the functional arrangements of District Municipalities</w:t>
      </w:r>
      <w:r w:rsidR="00D2395E" w:rsidRPr="00263016">
        <w:rPr>
          <w:rFonts w:ascii="Times New Roman" w:hAnsi="Times New Roman"/>
          <w:sz w:val="24"/>
          <w:szCs w:val="24"/>
        </w:rPr>
        <w:t xml:space="preserve">. </w:t>
      </w:r>
    </w:p>
    <w:p w14:paraId="3340C015" w14:textId="77777777" w:rsidR="00A26700" w:rsidRPr="00263016" w:rsidRDefault="00A26700" w:rsidP="00263016">
      <w:pPr>
        <w:pStyle w:val="ListParagraph"/>
        <w:numPr>
          <w:ilvl w:val="2"/>
          <w:numId w:val="24"/>
        </w:numPr>
        <w:tabs>
          <w:tab w:val="left" w:pos="720"/>
        </w:tabs>
        <w:spacing w:before="120" w:after="120" w:line="240" w:lineRule="auto"/>
        <w:jc w:val="both"/>
        <w:rPr>
          <w:rFonts w:ascii="Times New Roman" w:hAnsi="Times New Roman"/>
          <w:sz w:val="24"/>
          <w:szCs w:val="24"/>
        </w:rPr>
      </w:pPr>
      <w:r w:rsidRPr="00263016">
        <w:rPr>
          <w:rFonts w:ascii="Times New Roman" w:hAnsi="Times New Roman"/>
          <w:sz w:val="24"/>
          <w:szCs w:val="24"/>
        </w:rPr>
        <w:t>The Department of Cooperative Governance</w:t>
      </w:r>
      <w:r w:rsidR="000E581F" w:rsidRPr="00263016">
        <w:rPr>
          <w:rFonts w:ascii="Times New Roman" w:hAnsi="Times New Roman"/>
          <w:sz w:val="24"/>
          <w:szCs w:val="24"/>
        </w:rPr>
        <w:t xml:space="preserve"> </w:t>
      </w:r>
      <w:r w:rsidRPr="00263016">
        <w:rPr>
          <w:rFonts w:ascii="Times New Roman" w:hAnsi="Times New Roman"/>
          <w:sz w:val="24"/>
          <w:szCs w:val="24"/>
        </w:rPr>
        <w:t xml:space="preserve">to report quarterly to the Committee on work underway in addressing the systemic and structural challenges in intergovernmental debt. </w:t>
      </w:r>
    </w:p>
    <w:p w14:paraId="5615BC05" w14:textId="77777777" w:rsidR="00496B65" w:rsidRPr="00263016" w:rsidRDefault="00496B65" w:rsidP="00263016">
      <w:pPr>
        <w:spacing w:before="120" w:after="120" w:line="240" w:lineRule="auto"/>
        <w:rPr>
          <w:rFonts w:ascii="Times New Roman" w:hAnsi="Times New Roman"/>
          <w:sz w:val="24"/>
          <w:szCs w:val="24"/>
        </w:rPr>
      </w:pPr>
    </w:p>
    <w:p w14:paraId="1ADAF638" w14:textId="77777777" w:rsidR="005D2932" w:rsidRPr="00263016" w:rsidRDefault="00A26700" w:rsidP="00263016">
      <w:pPr>
        <w:pStyle w:val="ListParagraph"/>
        <w:numPr>
          <w:ilvl w:val="1"/>
          <w:numId w:val="24"/>
        </w:numPr>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The Minister of Human Settlements should ensure that</w:t>
      </w:r>
      <w:r w:rsidR="007E51A7" w:rsidRPr="00263016">
        <w:rPr>
          <w:rFonts w:ascii="Times New Roman" w:hAnsi="Times New Roman"/>
          <w:sz w:val="24"/>
          <w:szCs w:val="24"/>
        </w:rPr>
        <w:t xml:space="preserve"> t</w:t>
      </w:r>
      <w:r w:rsidRPr="00263016">
        <w:rPr>
          <w:rFonts w:ascii="Times New Roman" w:hAnsi="Times New Roman"/>
          <w:sz w:val="24"/>
          <w:szCs w:val="24"/>
        </w:rPr>
        <w:t xml:space="preserve">he </w:t>
      </w:r>
      <w:r w:rsidR="00D2395E" w:rsidRPr="00263016">
        <w:rPr>
          <w:rFonts w:ascii="Times New Roman" w:hAnsi="Times New Roman"/>
          <w:sz w:val="24"/>
          <w:szCs w:val="24"/>
        </w:rPr>
        <w:t>d</w:t>
      </w:r>
      <w:r w:rsidRPr="00263016">
        <w:rPr>
          <w:rFonts w:ascii="Times New Roman" w:hAnsi="Times New Roman"/>
          <w:sz w:val="24"/>
          <w:szCs w:val="24"/>
        </w:rPr>
        <w:t>epartment speedily fina</w:t>
      </w:r>
      <w:r w:rsidR="00D2395E" w:rsidRPr="00263016">
        <w:rPr>
          <w:rFonts w:ascii="Times New Roman" w:hAnsi="Times New Roman"/>
          <w:sz w:val="24"/>
          <w:szCs w:val="24"/>
        </w:rPr>
        <w:t>lises</w:t>
      </w:r>
      <w:r w:rsidRPr="00263016">
        <w:rPr>
          <w:rFonts w:ascii="Times New Roman" w:hAnsi="Times New Roman"/>
          <w:sz w:val="24"/>
          <w:szCs w:val="24"/>
        </w:rPr>
        <w:t xml:space="preserve"> the policy framework that guides the provision of quality and sustainable human settlements. This is to ensure that government</w:t>
      </w:r>
      <w:r w:rsidR="003920E7" w:rsidRPr="00263016">
        <w:rPr>
          <w:rFonts w:ascii="Times New Roman" w:hAnsi="Times New Roman"/>
          <w:sz w:val="24"/>
          <w:szCs w:val="24"/>
        </w:rPr>
        <w:t>’</w:t>
      </w:r>
      <w:r w:rsidRPr="00263016">
        <w:rPr>
          <w:rFonts w:ascii="Times New Roman" w:hAnsi="Times New Roman"/>
          <w:sz w:val="24"/>
          <w:szCs w:val="24"/>
        </w:rPr>
        <w:t xml:space="preserve">s limited fiscal resources address spatial inequalities urgently and in a cost effective manner and that funds are allocated in programmes underpinned by rigorous evidence and analysis. </w:t>
      </w:r>
    </w:p>
    <w:p w14:paraId="5D24731F" w14:textId="77777777" w:rsidR="00454312" w:rsidRPr="00263016" w:rsidRDefault="00454312" w:rsidP="00263016">
      <w:pPr>
        <w:pStyle w:val="ListParagraph"/>
        <w:spacing w:before="120" w:after="120" w:line="240" w:lineRule="auto"/>
        <w:ind w:left="360"/>
        <w:jc w:val="both"/>
        <w:rPr>
          <w:rFonts w:ascii="Times New Roman" w:hAnsi="Times New Roman"/>
          <w:sz w:val="24"/>
          <w:szCs w:val="24"/>
        </w:rPr>
      </w:pPr>
    </w:p>
    <w:p w14:paraId="5A614F9E" w14:textId="77777777" w:rsidR="00F17775" w:rsidRPr="00263016" w:rsidRDefault="00C55FB6" w:rsidP="00263016">
      <w:pPr>
        <w:pStyle w:val="ListParagraph"/>
        <w:numPr>
          <w:ilvl w:val="1"/>
          <w:numId w:val="24"/>
        </w:numPr>
        <w:spacing w:before="120" w:after="120" w:line="240" w:lineRule="auto"/>
        <w:ind w:left="630" w:hanging="630"/>
        <w:jc w:val="both"/>
        <w:rPr>
          <w:rFonts w:ascii="Times New Roman" w:hAnsi="Times New Roman"/>
          <w:sz w:val="24"/>
          <w:szCs w:val="24"/>
        </w:rPr>
      </w:pPr>
      <w:r w:rsidRPr="00263016">
        <w:rPr>
          <w:rFonts w:ascii="Times New Roman" w:hAnsi="Times New Roman"/>
          <w:sz w:val="24"/>
          <w:szCs w:val="24"/>
        </w:rPr>
        <w:t xml:space="preserve">The Minister in the Presidency for Planning, Monitoring and Evaluation should ensure that the Department of Planning, Monitoring and Evaluation coordinate the responses of line Departments to recommendations </w:t>
      </w:r>
      <w:r w:rsidR="003920E7" w:rsidRPr="00263016">
        <w:rPr>
          <w:rFonts w:ascii="Times New Roman" w:hAnsi="Times New Roman"/>
          <w:sz w:val="24"/>
          <w:szCs w:val="24"/>
        </w:rPr>
        <w:t xml:space="preserve">made </w:t>
      </w:r>
      <w:r w:rsidRPr="00263016">
        <w:rPr>
          <w:rFonts w:ascii="Times New Roman" w:hAnsi="Times New Roman"/>
          <w:sz w:val="24"/>
          <w:szCs w:val="24"/>
        </w:rPr>
        <w:t>by the Financial and Fiscal Commission</w:t>
      </w:r>
      <w:r w:rsidR="007F5C63" w:rsidRPr="00263016">
        <w:rPr>
          <w:rFonts w:ascii="Times New Roman" w:hAnsi="Times New Roman"/>
          <w:sz w:val="24"/>
          <w:szCs w:val="24"/>
        </w:rPr>
        <w:t xml:space="preserve"> (FFC)</w:t>
      </w:r>
      <w:r w:rsidRPr="00263016">
        <w:rPr>
          <w:rFonts w:ascii="Times New Roman" w:hAnsi="Times New Roman"/>
          <w:sz w:val="24"/>
          <w:szCs w:val="24"/>
        </w:rPr>
        <w:t xml:space="preserve"> </w:t>
      </w:r>
      <w:r w:rsidR="00D2395E" w:rsidRPr="00263016">
        <w:rPr>
          <w:rFonts w:ascii="Times New Roman" w:hAnsi="Times New Roman"/>
          <w:sz w:val="24"/>
          <w:szCs w:val="24"/>
        </w:rPr>
        <w:t xml:space="preserve">that are not related to the division of revenue </w:t>
      </w:r>
      <w:r w:rsidRPr="00263016">
        <w:rPr>
          <w:rFonts w:ascii="Times New Roman" w:hAnsi="Times New Roman"/>
          <w:sz w:val="24"/>
          <w:szCs w:val="24"/>
        </w:rPr>
        <w:t xml:space="preserve">and ensure that these are included in government’s planning cycle. </w:t>
      </w:r>
    </w:p>
    <w:p w14:paraId="623834B1" w14:textId="77777777" w:rsidR="00496B65" w:rsidRPr="00263016" w:rsidRDefault="00496B65" w:rsidP="00263016">
      <w:pPr>
        <w:pStyle w:val="ListParagraph"/>
        <w:spacing w:before="120" w:after="120" w:line="240" w:lineRule="auto"/>
        <w:ind w:left="360"/>
        <w:jc w:val="both"/>
        <w:rPr>
          <w:rFonts w:ascii="Times New Roman" w:hAnsi="Times New Roman"/>
          <w:sz w:val="24"/>
          <w:szCs w:val="24"/>
        </w:rPr>
      </w:pPr>
    </w:p>
    <w:p w14:paraId="214A5168" w14:textId="77777777" w:rsidR="00C55FB6" w:rsidRPr="00263016" w:rsidRDefault="008B0944" w:rsidP="00263016">
      <w:pPr>
        <w:tabs>
          <w:tab w:val="left" w:pos="709"/>
        </w:tabs>
        <w:spacing w:before="120" w:after="120" w:line="240" w:lineRule="auto"/>
        <w:contextualSpacing/>
        <w:jc w:val="both"/>
        <w:rPr>
          <w:rFonts w:ascii="Times New Roman" w:hAnsi="Times New Roman"/>
          <w:sz w:val="24"/>
          <w:szCs w:val="24"/>
        </w:rPr>
      </w:pPr>
      <w:r w:rsidRPr="00263016">
        <w:rPr>
          <w:rFonts w:ascii="Times New Roman" w:hAnsi="Times New Roman"/>
          <w:b/>
          <w:sz w:val="24"/>
          <w:szCs w:val="24"/>
        </w:rPr>
        <w:t>5.5</w:t>
      </w:r>
      <w:r w:rsidRPr="00263016">
        <w:rPr>
          <w:rFonts w:ascii="Times New Roman" w:hAnsi="Times New Roman"/>
          <w:sz w:val="24"/>
          <w:szCs w:val="24"/>
        </w:rPr>
        <w:tab/>
      </w:r>
      <w:r w:rsidR="00C55FB6" w:rsidRPr="00263016">
        <w:rPr>
          <w:rFonts w:ascii="Times New Roman" w:hAnsi="Times New Roman"/>
          <w:sz w:val="24"/>
          <w:szCs w:val="24"/>
        </w:rPr>
        <w:t>The Minister</w:t>
      </w:r>
      <w:r w:rsidR="005C2843" w:rsidRPr="00263016">
        <w:rPr>
          <w:rFonts w:ascii="Times New Roman" w:hAnsi="Times New Roman"/>
          <w:sz w:val="24"/>
          <w:szCs w:val="24"/>
        </w:rPr>
        <w:t>s</w:t>
      </w:r>
      <w:r w:rsidR="00C55FB6" w:rsidRPr="00263016">
        <w:rPr>
          <w:rFonts w:ascii="Times New Roman" w:hAnsi="Times New Roman"/>
          <w:sz w:val="24"/>
          <w:szCs w:val="24"/>
        </w:rPr>
        <w:t xml:space="preserve"> of Basic Education</w:t>
      </w:r>
      <w:r w:rsidR="005C2843" w:rsidRPr="00263016">
        <w:rPr>
          <w:rFonts w:ascii="Times New Roman" w:hAnsi="Times New Roman"/>
          <w:sz w:val="24"/>
          <w:szCs w:val="24"/>
        </w:rPr>
        <w:t xml:space="preserve"> and Transport</w:t>
      </w:r>
      <w:r w:rsidR="00C55FB6" w:rsidRPr="00263016">
        <w:rPr>
          <w:rFonts w:ascii="Times New Roman" w:hAnsi="Times New Roman"/>
          <w:sz w:val="24"/>
          <w:szCs w:val="24"/>
        </w:rPr>
        <w:t xml:space="preserve"> should ensure that:</w:t>
      </w:r>
    </w:p>
    <w:p w14:paraId="3B21B3DC" w14:textId="77777777" w:rsidR="00353123" w:rsidRPr="00263016" w:rsidRDefault="008B0944"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5.5.1</w:t>
      </w:r>
      <w:r w:rsidRPr="00263016">
        <w:rPr>
          <w:rFonts w:ascii="Times New Roman" w:hAnsi="Times New Roman"/>
          <w:sz w:val="24"/>
          <w:szCs w:val="24"/>
        </w:rPr>
        <w:tab/>
      </w:r>
      <w:r w:rsidR="00353123" w:rsidRPr="00263016">
        <w:rPr>
          <w:rFonts w:ascii="Times New Roman" w:hAnsi="Times New Roman"/>
          <w:sz w:val="24"/>
          <w:szCs w:val="24"/>
        </w:rPr>
        <w:t>The Department of Basic Education</w:t>
      </w:r>
      <w:r w:rsidR="00E1100A" w:rsidRPr="00263016">
        <w:rPr>
          <w:rFonts w:ascii="Times New Roman" w:hAnsi="Times New Roman"/>
          <w:sz w:val="24"/>
          <w:szCs w:val="24"/>
        </w:rPr>
        <w:t xml:space="preserve"> and Department of Transport</w:t>
      </w:r>
      <w:r w:rsidR="00353123" w:rsidRPr="00263016">
        <w:rPr>
          <w:rFonts w:ascii="Times New Roman" w:hAnsi="Times New Roman"/>
          <w:sz w:val="24"/>
          <w:szCs w:val="24"/>
        </w:rPr>
        <w:t xml:space="preserve"> </w:t>
      </w:r>
      <w:r w:rsidR="005C2843" w:rsidRPr="00263016">
        <w:rPr>
          <w:rFonts w:ascii="Times New Roman" w:hAnsi="Times New Roman"/>
          <w:sz w:val="24"/>
          <w:szCs w:val="24"/>
        </w:rPr>
        <w:t>in collaboration</w:t>
      </w:r>
      <w:r w:rsidR="00353123" w:rsidRPr="00263016">
        <w:rPr>
          <w:rFonts w:ascii="Times New Roman" w:hAnsi="Times New Roman"/>
          <w:sz w:val="24"/>
          <w:szCs w:val="24"/>
        </w:rPr>
        <w:t xml:space="preserve"> </w:t>
      </w:r>
      <w:r w:rsidR="005C2843" w:rsidRPr="00263016">
        <w:rPr>
          <w:rFonts w:ascii="Times New Roman" w:hAnsi="Times New Roman"/>
          <w:sz w:val="24"/>
          <w:szCs w:val="24"/>
        </w:rPr>
        <w:t>with</w:t>
      </w:r>
      <w:r w:rsidR="00353123" w:rsidRPr="00263016">
        <w:rPr>
          <w:rFonts w:ascii="Times New Roman" w:hAnsi="Times New Roman"/>
          <w:sz w:val="24"/>
          <w:szCs w:val="24"/>
        </w:rPr>
        <w:t xml:space="preserve"> relevant stakeholders immediately develop and implement a programme aimed at addressing all challenges related to the learner transport programme focussed on, though not limited to, the following areas:</w:t>
      </w:r>
    </w:p>
    <w:p w14:paraId="16FDD7CA"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To immediately resolve any data challenges pertaining to the learner transport programme; </w:t>
      </w:r>
    </w:p>
    <w:p w14:paraId="234C2432"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To ensure that the learner transport programme caters for and explicitly includes learners with disabilities, </w:t>
      </w:r>
    </w:p>
    <w:p w14:paraId="3B155467"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Immediately develop </w:t>
      </w:r>
      <w:r w:rsidR="003920E7" w:rsidRPr="00263016">
        <w:rPr>
          <w:rFonts w:ascii="Times New Roman" w:hAnsi="Times New Roman"/>
          <w:sz w:val="24"/>
          <w:szCs w:val="24"/>
        </w:rPr>
        <w:t xml:space="preserve">and implement </w:t>
      </w:r>
      <w:r w:rsidRPr="00263016">
        <w:rPr>
          <w:rFonts w:ascii="Times New Roman" w:hAnsi="Times New Roman"/>
          <w:sz w:val="24"/>
          <w:szCs w:val="24"/>
        </w:rPr>
        <w:t xml:space="preserve">a funding framework that ensures that funds for learner transport are protected including formulating a conditional grant for the programme, </w:t>
      </w:r>
    </w:p>
    <w:p w14:paraId="3C53BCC6"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To resolve speedily on the location of the function of </w:t>
      </w:r>
      <w:r w:rsidR="003920E7" w:rsidRPr="00263016">
        <w:rPr>
          <w:rFonts w:ascii="Times New Roman" w:hAnsi="Times New Roman"/>
          <w:sz w:val="24"/>
          <w:szCs w:val="24"/>
        </w:rPr>
        <w:t xml:space="preserve">the </w:t>
      </w:r>
      <w:r w:rsidRPr="00263016">
        <w:rPr>
          <w:rFonts w:ascii="Times New Roman" w:hAnsi="Times New Roman"/>
          <w:sz w:val="24"/>
          <w:szCs w:val="24"/>
        </w:rPr>
        <w:t xml:space="preserve">learner transport programme; </w:t>
      </w:r>
    </w:p>
    <w:p w14:paraId="737DCB19"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Standardise and strengthen contract management within the programme with the assistance of the Office of the Chief Procurement Officer</w:t>
      </w:r>
      <w:r w:rsidR="003920E7" w:rsidRPr="00263016">
        <w:rPr>
          <w:rFonts w:ascii="Times New Roman" w:hAnsi="Times New Roman"/>
          <w:sz w:val="24"/>
          <w:szCs w:val="24"/>
        </w:rPr>
        <w:t>;</w:t>
      </w:r>
    </w:p>
    <w:p w14:paraId="3BE56FC0" w14:textId="77777777" w:rsidR="00353123"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Strengthen road safety programmes within the broad</w:t>
      </w:r>
      <w:r w:rsidR="003920E7" w:rsidRPr="00263016">
        <w:rPr>
          <w:rFonts w:ascii="Times New Roman" w:hAnsi="Times New Roman"/>
          <w:sz w:val="24"/>
          <w:szCs w:val="24"/>
        </w:rPr>
        <w:t>er</w:t>
      </w:r>
      <w:r w:rsidRPr="00263016">
        <w:rPr>
          <w:rFonts w:ascii="Times New Roman" w:hAnsi="Times New Roman"/>
          <w:sz w:val="24"/>
          <w:szCs w:val="24"/>
        </w:rPr>
        <w:t xml:space="preserve"> learner transport programme and enforce measures for appropriate learner and driver code of conduct;</w:t>
      </w:r>
    </w:p>
    <w:p w14:paraId="6BFCE15A" w14:textId="77777777" w:rsidR="003920E7" w:rsidRPr="00263016" w:rsidRDefault="00E33AFA"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In the process of evaluating the learner transport programme to also include </w:t>
      </w:r>
      <w:r w:rsidR="003920E7" w:rsidRPr="00263016">
        <w:rPr>
          <w:rFonts w:ascii="Times New Roman" w:hAnsi="Times New Roman"/>
          <w:sz w:val="24"/>
          <w:szCs w:val="24"/>
        </w:rPr>
        <w:t>the provision of shelter</w:t>
      </w:r>
      <w:r w:rsidRPr="00263016">
        <w:rPr>
          <w:rFonts w:ascii="Times New Roman" w:hAnsi="Times New Roman"/>
          <w:sz w:val="24"/>
          <w:szCs w:val="24"/>
        </w:rPr>
        <w:t xml:space="preserve"> to learners</w:t>
      </w:r>
      <w:r w:rsidR="003920E7" w:rsidRPr="00263016">
        <w:rPr>
          <w:rFonts w:ascii="Times New Roman" w:hAnsi="Times New Roman"/>
          <w:sz w:val="24"/>
          <w:szCs w:val="24"/>
        </w:rPr>
        <w:t>, reconsider the 5 kilometre metric used</w:t>
      </w:r>
      <w:r w:rsidRPr="00263016">
        <w:rPr>
          <w:rFonts w:ascii="Times New Roman" w:hAnsi="Times New Roman"/>
          <w:sz w:val="24"/>
          <w:szCs w:val="24"/>
        </w:rPr>
        <w:t xml:space="preserve"> in needs assessment and</w:t>
      </w:r>
      <w:r w:rsidR="003920E7" w:rsidRPr="00263016">
        <w:rPr>
          <w:rFonts w:ascii="Times New Roman" w:hAnsi="Times New Roman"/>
          <w:sz w:val="24"/>
          <w:szCs w:val="24"/>
        </w:rPr>
        <w:t xml:space="preserve"> strengthen </w:t>
      </w:r>
      <w:r w:rsidRPr="00263016">
        <w:rPr>
          <w:rFonts w:ascii="Times New Roman" w:hAnsi="Times New Roman"/>
          <w:sz w:val="24"/>
          <w:szCs w:val="24"/>
        </w:rPr>
        <w:t xml:space="preserve">or clarify </w:t>
      </w:r>
      <w:r w:rsidR="003920E7" w:rsidRPr="00263016">
        <w:rPr>
          <w:rFonts w:ascii="Times New Roman" w:hAnsi="Times New Roman"/>
          <w:sz w:val="24"/>
          <w:szCs w:val="24"/>
        </w:rPr>
        <w:t xml:space="preserve">the definition of  </w:t>
      </w:r>
      <w:r w:rsidRPr="00263016">
        <w:rPr>
          <w:rFonts w:ascii="Times New Roman" w:hAnsi="Times New Roman"/>
          <w:sz w:val="24"/>
          <w:szCs w:val="24"/>
        </w:rPr>
        <w:t xml:space="preserve">key terms such as “needy learner’. </w:t>
      </w:r>
    </w:p>
    <w:p w14:paraId="5F5E3A45" w14:textId="77777777" w:rsidR="008B0944" w:rsidRPr="00263016" w:rsidRDefault="00353123"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Develop and implement a social accord with all relevant partners aimed at addressing all challenges pertaining to the provision of safe, decent, effective, and integrated sustainable learner transport</w:t>
      </w:r>
      <w:r w:rsidR="00B713A3" w:rsidRPr="00263016">
        <w:rPr>
          <w:rFonts w:ascii="Times New Roman" w:hAnsi="Times New Roman"/>
          <w:sz w:val="24"/>
          <w:szCs w:val="24"/>
        </w:rPr>
        <w:t>.</w:t>
      </w:r>
    </w:p>
    <w:p w14:paraId="3CEE5D95" w14:textId="77777777" w:rsidR="00E1100A" w:rsidRPr="00263016" w:rsidRDefault="00E1100A" w:rsidP="00263016">
      <w:pPr>
        <w:pStyle w:val="ListParagraph"/>
        <w:numPr>
          <w:ilvl w:val="0"/>
          <w:numId w:val="29"/>
        </w:numPr>
        <w:tabs>
          <w:tab w:val="left" w:pos="1560"/>
        </w:tabs>
        <w:spacing w:before="120" w:after="120" w:line="240" w:lineRule="auto"/>
        <w:jc w:val="both"/>
        <w:rPr>
          <w:rFonts w:ascii="Times New Roman" w:hAnsi="Times New Roman"/>
          <w:sz w:val="24"/>
          <w:szCs w:val="24"/>
        </w:rPr>
      </w:pPr>
      <w:r w:rsidRPr="00263016">
        <w:rPr>
          <w:rFonts w:ascii="Times New Roman" w:hAnsi="Times New Roman"/>
          <w:sz w:val="24"/>
          <w:szCs w:val="24"/>
        </w:rPr>
        <w:t>To develop practice notes that guide the implementation of the learner transport programme for maximum efficiencies and effectiveness</w:t>
      </w:r>
      <w:r w:rsidR="00F17775" w:rsidRPr="00263016">
        <w:rPr>
          <w:rFonts w:ascii="Times New Roman" w:hAnsi="Times New Roman"/>
          <w:sz w:val="24"/>
          <w:szCs w:val="24"/>
        </w:rPr>
        <w:t>.</w:t>
      </w:r>
    </w:p>
    <w:p w14:paraId="1F88E1EA" w14:textId="77777777" w:rsidR="00F17775" w:rsidRPr="00263016" w:rsidRDefault="00F17775" w:rsidP="00263016">
      <w:pPr>
        <w:pStyle w:val="ListParagraph"/>
        <w:tabs>
          <w:tab w:val="left" w:pos="1560"/>
        </w:tabs>
        <w:spacing w:before="120" w:after="120" w:line="240" w:lineRule="auto"/>
        <w:ind w:left="1440"/>
        <w:jc w:val="both"/>
        <w:rPr>
          <w:rFonts w:ascii="Times New Roman" w:hAnsi="Times New Roman"/>
          <w:sz w:val="24"/>
          <w:szCs w:val="24"/>
          <w:highlight w:val="yellow"/>
        </w:rPr>
      </w:pPr>
    </w:p>
    <w:p w14:paraId="614F9E1B" w14:textId="77777777" w:rsidR="00F17775" w:rsidRPr="00263016" w:rsidRDefault="00F17775" w:rsidP="00263016">
      <w:pPr>
        <w:pStyle w:val="ListParagraph"/>
        <w:tabs>
          <w:tab w:val="left" w:pos="156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w:t>
      </w:r>
      <w:r w:rsidRPr="00263016">
        <w:rPr>
          <w:rFonts w:ascii="Times New Roman" w:hAnsi="Times New Roman"/>
          <w:sz w:val="24"/>
          <w:szCs w:val="24"/>
        </w:rPr>
        <w:tab/>
        <w:t xml:space="preserve">That the Minister of Basic Education should ensure that: </w:t>
      </w:r>
    </w:p>
    <w:p w14:paraId="46715251" w14:textId="77777777" w:rsidR="00F17775" w:rsidRPr="00263016" w:rsidRDefault="008B0944"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w:t>
      </w:r>
      <w:r w:rsidR="00F17775" w:rsidRPr="00263016">
        <w:rPr>
          <w:rFonts w:ascii="Times New Roman" w:hAnsi="Times New Roman"/>
          <w:b/>
          <w:sz w:val="24"/>
          <w:szCs w:val="24"/>
        </w:rPr>
        <w:t>6</w:t>
      </w:r>
      <w:r w:rsidRPr="00263016">
        <w:rPr>
          <w:rFonts w:ascii="Times New Roman" w:hAnsi="Times New Roman"/>
          <w:b/>
          <w:sz w:val="24"/>
          <w:szCs w:val="24"/>
        </w:rPr>
        <w:t>.</w:t>
      </w:r>
      <w:r w:rsidR="00F17775" w:rsidRPr="00263016">
        <w:rPr>
          <w:rFonts w:ascii="Times New Roman" w:hAnsi="Times New Roman"/>
          <w:b/>
          <w:sz w:val="24"/>
          <w:szCs w:val="24"/>
        </w:rPr>
        <w:t>1</w:t>
      </w:r>
      <w:r w:rsidRPr="00263016">
        <w:rPr>
          <w:rFonts w:ascii="Times New Roman" w:hAnsi="Times New Roman"/>
          <w:sz w:val="24"/>
          <w:szCs w:val="24"/>
        </w:rPr>
        <w:tab/>
        <w:t>The Department of Basic Education to engage all relevant stakeholders within the sector and develop a common understanding of minimum</w:t>
      </w:r>
      <w:r w:rsidR="00496B65" w:rsidRPr="00263016">
        <w:rPr>
          <w:rFonts w:ascii="Times New Roman" w:hAnsi="Times New Roman"/>
          <w:sz w:val="24"/>
          <w:szCs w:val="24"/>
        </w:rPr>
        <w:t xml:space="preserve"> norms and standards for school</w:t>
      </w:r>
      <w:r w:rsidRPr="00263016">
        <w:rPr>
          <w:rFonts w:ascii="Times New Roman" w:hAnsi="Times New Roman"/>
          <w:sz w:val="24"/>
          <w:szCs w:val="24"/>
        </w:rPr>
        <w:t xml:space="preserve"> infrastructure. The Department should ensure that it communicates and embarks </w:t>
      </w:r>
      <w:r w:rsidRPr="00263016">
        <w:rPr>
          <w:rFonts w:ascii="Times New Roman" w:hAnsi="Times New Roman"/>
          <w:sz w:val="24"/>
          <w:szCs w:val="24"/>
        </w:rPr>
        <w:lastRenderedPageBreak/>
        <w:t>on community outreach programmes in ensuring government’s vision in the rollout school infrastructure development is well understood by the public</w:t>
      </w:r>
      <w:r w:rsidR="00496B65" w:rsidRPr="00263016">
        <w:rPr>
          <w:rFonts w:ascii="Times New Roman" w:hAnsi="Times New Roman"/>
          <w:sz w:val="24"/>
          <w:szCs w:val="24"/>
        </w:rPr>
        <w:t>.</w:t>
      </w:r>
      <w:r w:rsidR="008800CC" w:rsidRPr="00263016">
        <w:rPr>
          <w:rFonts w:ascii="Times New Roman" w:hAnsi="Times New Roman"/>
          <w:sz w:val="24"/>
          <w:szCs w:val="24"/>
        </w:rPr>
        <w:t xml:space="preserve"> </w:t>
      </w:r>
    </w:p>
    <w:p w14:paraId="046FC578" w14:textId="77777777" w:rsidR="00E1100A" w:rsidRPr="00263016" w:rsidRDefault="00F17775"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5.6.2</w:t>
      </w:r>
      <w:r w:rsidRPr="00263016">
        <w:rPr>
          <w:rFonts w:ascii="Times New Roman" w:hAnsi="Times New Roman"/>
          <w:sz w:val="24"/>
          <w:szCs w:val="24"/>
        </w:rPr>
        <w:tab/>
      </w:r>
      <w:r w:rsidR="00E1100A" w:rsidRPr="00263016">
        <w:rPr>
          <w:rFonts w:ascii="Times New Roman" w:hAnsi="Times New Roman"/>
          <w:sz w:val="24"/>
          <w:szCs w:val="24"/>
        </w:rPr>
        <w:t>The Department of Basic Education ensures that minimum</w:t>
      </w:r>
      <w:r w:rsidR="001C0A1F" w:rsidRPr="00263016">
        <w:rPr>
          <w:rFonts w:ascii="Times New Roman" w:hAnsi="Times New Roman"/>
          <w:sz w:val="24"/>
          <w:szCs w:val="24"/>
        </w:rPr>
        <w:t xml:space="preserve"> norms and standards for school</w:t>
      </w:r>
      <w:r w:rsidR="00E1100A" w:rsidRPr="00263016">
        <w:rPr>
          <w:rFonts w:ascii="Times New Roman" w:hAnsi="Times New Roman"/>
          <w:sz w:val="24"/>
          <w:szCs w:val="24"/>
        </w:rPr>
        <w:t xml:space="preserve"> infrastructure are strictly adhered to all in schools. This should include the provision of extracurricular facilities, sports facilities and quality provision of water and sanitation. </w:t>
      </w:r>
    </w:p>
    <w:p w14:paraId="4EF7507A" w14:textId="77777777" w:rsidR="008B0944" w:rsidRPr="00263016" w:rsidRDefault="00F17775"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5.6.3</w:t>
      </w:r>
      <w:r w:rsidRPr="00263016">
        <w:rPr>
          <w:rFonts w:ascii="Times New Roman" w:hAnsi="Times New Roman"/>
          <w:sz w:val="24"/>
          <w:szCs w:val="24"/>
        </w:rPr>
        <w:tab/>
      </w:r>
      <w:r w:rsidR="00E1100A" w:rsidRPr="00263016">
        <w:rPr>
          <w:rFonts w:ascii="Times New Roman" w:hAnsi="Times New Roman"/>
          <w:sz w:val="24"/>
          <w:szCs w:val="24"/>
        </w:rPr>
        <w:t xml:space="preserve">The Department of Basic Education to consider delinking school allocations from the quintile ranking system so as to ensure the allocations to school respond to the economic condition of each individual learner. </w:t>
      </w:r>
    </w:p>
    <w:p w14:paraId="00D747E5" w14:textId="77777777" w:rsidR="008B0944" w:rsidRPr="00263016" w:rsidRDefault="008B0944"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w:t>
      </w:r>
      <w:r w:rsidR="001C0A1F" w:rsidRPr="00263016">
        <w:rPr>
          <w:rFonts w:ascii="Times New Roman" w:hAnsi="Times New Roman"/>
          <w:b/>
          <w:sz w:val="24"/>
          <w:szCs w:val="24"/>
        </w:rPr>
        <w:t>.6.4</w:t>
      </w:r>
      <w:r w:rsidRPr="00263016">
        <w:rPr>
          <w:rFonts w:ascii="Times New Roman" w:hAnsi="Times New Roman"/>
          <w:sz w:val="24"/>
          <w:szCs w:val="24"/>
        </w:rPr>
        <w:tab/>
        <w:t xml:space="preserve">The Department of Basic Education consider rolling out an outreach campaign partnering with all stakeholders in the rollout of education infrastructure programmes so as to begin building the confidence of learners, teachers, service providers and relevant stakeholders in the programme. This should entail </w:t>
      </w:r>
      <w:proofErr w:type="spellStart"/>
      <w:r w:rsidRPr="00263016">
        <w:rPr>
          <w:rFonts w:ascii="Times New Roman" w:hAnsi="Times New Roman"/>
          <w:sz w:val="24"/>
          <w:szCs w:val="24"/>
        </w:rPr>
        <w:t>Batho</w:t>
      </w:r>
      <w:proofErr w:type="spellEnd"/>
      <w:r w:rsidRPr="00263016">
        <w:rPr>
          <w:rFonts w:ascii="Times New Roman" w:hAnsi="Times New Roman"/>
          <w:sz w:val="24"/>
          <w:szCs w:val="24"/>
        </w:rPr>
        <w:t xml:space="preserve"> Pele principles and assuring that norms and standards are adhered to. </w:t>
      </w:r>
    </w:p>
    <w:p w14:paraId="5DEDBB0F" w14:textId="77777777" w:rsidR="008B0944" w:rsidRPr="00263016" w:rsidRDefault="001C0A1F"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5.6.5</w:t>
      </w:r>
      <w:r w:rsidR="008B0944" w:rsidRPr="00263016">
        <w:rPr>
          <w:rFonts w:ascii="Times New Roman" w:hAnsi="Times New Roman"/>
          <w:sz w:val="24"/>
          <w:szCs w:val="24"/>
        </w:rPr>
        <w:tab/>
        <w:t xml:space="preserve">The Department of Basic Education together with the Department of Water and Sanitation accelerate the provision of water and sanitation in all schools. No school should be without basic access to water and sanitation.   </w:t>
      </w:r>
    </w:p>
    <w:p w14:paraId="042E285D" w14:textId="77777777" w:rsidR="008B0944" w:rsidRPr="00263016" w:rsidRDefault="001C0A1F"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5.6.6</w:t>
      </w:r>
      <w:r w:rsidR="008B0944" w:rsidRPr="00263016">
        <w:rPr>
          <w:rFonts w:ascii="Times New Roman" w:hAnsi="Times New Roman"/>
          <w:sz w:val="24"/>
          <w:szCs w:val="24"/>
        </w:rPr>
        <w:tab/>
        <w:t>The Department of Basic Education ensures that lines of accountability are clear and transparent in the implementation of key programmes wit</w:t>
      </w:r>
      <w:r w:rsidR="00496B65" w:rsidRPr="00263016">
        <w:rPr>
          <w:rFonts w:ascii="Times New Roman" w:hAnsi="Times New Roman"/>
          <w:sz w:val="24"/>
          <w:szCs w:val="24"/>
        </w:rPr>
        <w:t>hin the sector including school</w:t>
      </w:r>
      <w:r w:rsidR="008B0944" w:rsidRPr="00263016">
        <w:rPr>
          <w:rFonts w:ascii="Times New Roman" w:hAnsi="Times New Roman"/>
          <w:sz w:val="24"/>
          <w:szCs w:val="24"/>
        </w:rPr>
        <w:t xml:space="preserve"> infrastructure programmes</w:t>
      </w:r>
      <w:r w:rsidR="009476FB" w:rsidRPr="00263016">
        <w:rPr>
          <w:rFonts w:ascii="Times New Roman" w:hAnsi="Times New Roman"/>
          <w:sz w:val="24"/>
          <w:szCs w:val="24"/>
        </w:rPr>
        <w:t xml:space="preserve"> and </w:t>
      </w:r>
      <w:r w:rsidR="008B0944" w:rsidRPr="00263016">
        <w:rPr>
          <w:rFonts w:ascii="Times New Roman" w:hAnsi="Times New Roman"/>
          <w:sz w:val="24"/>
          <w:szCs w:val="24"/>
        </w:rPr>
        <w:t>learner transport</w:t>
      </w:r>
      <w:r w:rsidR="009476FB" w:rsidRPr="00263016">
        <w:rPr>
          <w:rFonts w:ascii="Times New Roman" w:hAnsi="Times New Roman"/>
          <w:sz w:val="24"/>
          <w:szCs w:val="24"/>
        </w:rPr>
        <w:t>.</w:t>
      </w:r>
    </w:p>
    <w:p w14:paraId="79CF24AA" w14:textId="77777777" w:rsidR="00C94B46" w:rsidRPr="00263016" w:rsidRDefault="001C0A1F" w:rsidP="00263016">
      <w:pPr>
        <w:pStyle w:val="ListParagraph"/>
        <w:tabs>
          <w:tab w:val="left" w:pos="720"/>
        </w:tabs>
        <w:spacing w:before="120" w:after="120" w:line="240" w:lineRule="auto"/>
        <w:ind w:hanging="720"/>
        <w:jc w:val="both"/>
        <w:rPr>
          <w:rFonts w:ascii="Times New Roman" w:hAnsi="Times New Roman"/>
          <w:sz w:val="24"/>
          <w:szCs w:val="24"/>
        </w:rPr>
      </w:pPr>
      <w:r w:rsidRPr="00263016">
        <w:rPr>
          <w:rFonts w:ascii="Times New Roman" w:hAnsi="Times New Roman"/>
          <w:b/>
          <w:sz w:val="24"/>
          <w:szCs w:val="24"/>
        </w:rPr>
        <w:t>5.6.7</w:t>
      </w:r>
      <w:r w:rsidR="00C94B46" w:rsidRPr="00263016">
        <w:rPr>
          <w:rFonts w:ascii="Times New Roman" w:hAnsi="Times New Roman"/>
          <w:sz w:val="24"/>
          <w:szCs w:val="24"/>
        </w:rPr>
        <w:tab/>
        <w:t>Department of Basic Education in collaboration with National Treasury and Provincial Departments of Education to strengthen the cost control measures in the building of schools in order to achieve value for money. National Treasury and Department of Basic Education to implement dedicated support for the implementation of cost control frameworks and strengthen contract management in the rollout of the School Infrastructure Backlogs Grant (ASIDI) programme.</w:t>
      </w:r>
    </w:p>
    <w:p w14:paraId="1ABE8665" w14:textId="77777777" w:rsidR="00496B65" w:rsidRPr="00263016" w:rsidRDefault="00496B65" w:rsidP="00263016">
      <w:pPr>
        <w:tabs>
          <w:tab w:val="left" w:pos="1560"/>
        </w:tabs>
        <w:spacing w:before="120" w:after="120" w:line="240" w:lineRule="auto"/>
        <w:jc w:val="both"/>
        <w:rPr>
          <w:rFonts w:ascii="Times New Roman" w:hAnsi="Times New Roman"/>
          <w:sz w:val="24"/>
          <w:szCs w:val="24"/>
          <w:lang w:val="en-GB"/>
        </w:rPr>
      </w:pPr>
    </w:p>
    <w:p w14:paraId="1A369541" w14:textId="77777777" w:rsidR="001C0A1F" w:rsidRDefault="00353123" w:rsidP="00263016">
      <w:pPr>
        <w:pStyle w:val="ListParagraph"/>
        <w:numPr>
          <w:ilvl w:val="1"/>
          <w:numId w:val="36"/>
        </w:numPr>
        <w:tabs>
          <w:tab w:val="left" w:pos="709"/>
        </w:tabs>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That Minister in the Presidency for Planning, Monitoring and Evaluation</w:t>
      </w:r>
      <w:r w:rsidR="009476FB" w:rsidRPr="00263016">
        <w:rPr>
          <w:rFonts w:ascii="Times New Roman" w:hAnsi="Times New Roman"/>
          <w:sz w:val="24"/>
          <w:szCs w:val="24"/>
        </w:rPr>
        <w:t xml:space="preserve"> and</w:t>
      </w:r>
      <w:r w:rsidRPr="00263016">
        <w:rPr>
          <w:rFonts w:ascii="Times New Roman" w:hAnsi="Times New Roman"/>
          <w:sz w:val="24"/>
          <w:szCs w:val="24"/>
        </w:rPr>
        <w:t xml:space="preserve"> Statistics South Africa </w:t>
      </w:r>
      <w:r w:rsidR="008B0944" w:rsidRPr="00263016">
        <w:rPr>
          <w:rFonts w:ascii="Times New Roman" w:hAnsi="Times New Roman"/>
          <w:sz w:val="24"/>
          <w:szCs w:val="24"/>
        </w:rPr>
        <w:t>formulate</w:t>
      </w:r>
      <w:r w:rsidRPr="00263016">
        <w:rPr>
          <w:rFonts w:ascii="Times New Roman" w:hAnsi="Times New Roman"/>
          <w:sz w:val="24"/>
          <w:szCs w:val="24"/>
        </w:rPr>
        <w:t xml:space="preserve"> and implement a programme at enhancing the quality and consistency of information and data utilized by provinces and municipalities in areas such as learner transport and government wide infrastructure programmes and other important policy areas. </w:t>
      </w:r>
    </w:p>
    <w:p w14:paraId="3B0899CF" w14:textId="77777777" w:rsidR="00263016" w:rsidRPr="00263016" w:rsidRDefault="00263016" w:rsidP="00263016">
      <w:pPr>
        <w:tabs>
          <w:tab w:val="left" w:pos="709"/>
        </w:tabs>
        <w:spacing w:before="120" w:after="120" w:line="240" w:lineRule="auto"/>
        <w:jc w:val="both"/>
        <w:rPr>
          <w:rFonts w:ascii="Times New Roman" w:hAnsi="Times New Roman"/>
          <w:sz w:val="24"/>
          <w:szCs w:val="24"/>
        </w:rPr>
      </w:pPr>
    </w:p>
    <w:p w14:paraId="540160B5" w14:textId="77777777" w:rsidR="001C0A1F" w:rsidRPr="00263016" w:rsidRDefault="00074B9B" w:rsidP="00263016">
      <w:pPr>
        <w:pStyle w:val="ListParagraph"/>
        <w:numPr>
          <w:ilvl w:val="1"/>
          <w:numId w:val="36"/>
        </w:numPr>
        <w:tabs>
          <w:tab w:val="left" w:pos="709"/>
        </w:tabs>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The Min</w:t>
      </w:r>
      <w:r w:rsidR="00F17775" w:rsidRPr="00263016">
        <w:rPr>
          <w:rFonts w:ascii="Times New Roman" w:hAnsi="Times New Roman"/>
          <w:sz w:val="24"/>
          <w:szCs w:val="24"/>
        </w:rPr>
        <w:t>ister of Transport</w:t>
      </w:r>
      <w:r w:rsidRPr="00263016">
        <w:rPr>
          <w:rFonts w:ascii="Times New Roman" w:hAnsi="Times New Roman"/>
          <w:sz w:val="24"/>
          <w:szCs w:val="24"/>
        </w:rPr>
        <w:t xml:space="preserve"> ensures that the Department of Transport consider assigning the function of the learner transport programme to the Department of Basic Education. This is to streamline accountability and ensure that the leading Department in the provision of quality basic education (Outcome 1) leads this programme. The Minister of Transport is to incorporate the findings of the evaluation of the learner transport programme in assigning the function of the learner transport programme.</w:t>
      </w:r>
    </w:p>
    <w:p w14:paraId="53E7D6AB" w14:textId="77777777" w:rsidR="001C0A1F" w:rsidRPr="00263016" w:rsidRDefault="00074B9B" w:rsidP="00263016">
      <w:pPr>
        <w:pStyle w:val="ListParagraph"/>
        <w:tabs>
          <w:tab w:val="left" w:pos="709"/>
        </w:tabs>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  </w:t>
      </w:r>
    </w:p>
    <w:p w14:paraId="002352F0" w14:textId="77777777" w:rsidR="001C0A1F" w:rsidRPr="00263016" w:rsidRDefault="00074B9B" w:rsidP="00263016">
      <w:pPr>
        <w:pStyle w:val="ListParagraph"/>
        <w:numPr>
          <w:ilvl w:val="1"/>
          <w:numId w:val="36"/>
        </w:numPr>
        <w:tabs>
          <w:tab w:val="left" w:pos="709"/>
        </w:tabs>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 xml:space="preserve">The Minister of Basic Education ensures that the Department of Basic Education immediately formulate a conditional grant for the learner transport programme following the full assignment of the function of the learner transport programme. </w:t>
      </w:r>
    </w:p>
    <w:p w14:paraId="66317B7B" w14:textId="77777777" w:rsidR="001C0A1F" w:rsidRPr="00263016" w:rsidRDefault="001C0A1F" w:rsidP="00263016">
      <w:pPr>
        <w:pStyle w:val="ListParagraph"/>
        <w:spacing w:before="120" w:after="120" w:line="240" w:lineRule="auto"/>
        <w:rPr>
          <w:rFonts w:ascii="Times New Roman" w:hAnsi="Times New Roman"/>
          <w:sz w:val="24"/>
          <w:szCs w:val="24"/>
        </w:rPr>
      </w:pPr>
    </w:p>
    <w:p w14:paraId="135B03AA" w14:textId="77777777" w:rsidR="00496B65" w:rsidRPr="00263016" w:rsidRDefault="00496B65" w:rsidP="00263016">
      <w:pPr>
        <w:pStyle w:val="ListParagraph"/>
        <w:numPr>
          <w:ilvl w:val="1"/>
          <w:numId w:val="36"/>
        </w:numPr>
        <w:tabs>
          <w:tab w:val="left" w:pos="709"/>
        </w:tabs>
        <w:spacing w:before="120" w:after="120" w:line="240" w:lineRule="auto"/>
        <w:ind w:left="720" w:hanging="720"/>
        <w:jc w:val="both"/>
        <w:rPr>
          <w:rFonts w:ascii="Times New Roman" w:hAnsi="Times New Roman"/>
          <w:sz w:val="24"/>
          <w:szCs w:val="24"/>
        </w:rPr>
      </w:pPr>
      <w:r w:rsidRPr="00263016">
        <w:rPr>
          <w:rFonts w:ascii="Times New Roman" w:hAnsi="Times New Roman"/>
          <w:sz w:val="24"/>
          <w:szCs w:val="24"/>
        </w:rPr>
        <w:t xml:space="preserve">That Minister in the Presidency for Planning, Monitoring and Evaluation and the Minister of Cooperative Governance strengthen intergovernmental relations (IGR) in which all spheres of government plan together to provide a coherent approach to </w:t>
      </w:r>
      <w:r w:rsidRPr="00263016">
        <w:rPr>
          <w:rFonts w:ascii="Times New Roman" w:hAnsi="Times New Roman"/>
          <w:sz w:val="24"/>
          <w:szCs w:val="24"/>
        </w:rPr>
        <w:lastRenderedPageBreak/>
        <w:t xml:space="preserve">service delivery and development. The DPME and DCOG should strengthen IGR mechanisms in sector Departments with a focus on the rollout of social infrastructure including education infrastructure programmes, health infrastructure programmes and water and sanitation infrastructure programmes.  Emphasis is to be placed in integrated strategic planning and integrated service delivery which should lead to a seamless web of services that cuts across sector mandates and sector boundaries. </w:t>
      </w:r>
    </w:p>
    <w:p w14:paraId="25A85ACA" w14:textId="77777777" w:rsidR="00AC035C" w:rsidRPr="00263016" w:rsidRDefault="00AC035C" w:rsidP="00263016">
      <w:pPr>
        <w:spacing w:before="120" w:after="120" w:line="240" w:lineRule="auto"/>
        <w:jc w:val="both"/>
        <w:rPr>
          <w:rFonts w:ascii="Times New Roman" w:hAnsi="Times New Roman"/>
          <w:sz w:val="24"/>
          <w:szCs w:val="24"/>
        </w:rPr>
      </w:pPr>
    </w:p>
    <w:p w14:paraId="46AFBC8B" w14:textId="77777777" w:rsidR="00263016" w:rsidRDefault="00263016">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14:paraId="5EE0ED12" w14:textId="77777777" w:rsidR="00AC035C" w:rsidRPr="00263016" w:rsidRDefault="00AC035C" w:rsidP="00263016">
      <w:pPr>
        <w:spacing w:before="120" w:after="120" w:line="240" w:lineRule="auto"/>
        <w:jc w:val="both"/>
        <w:rPr>
          <w:rFonts w:ascii="Times New Roman" w:hAnsi="Times New Roman"/>
          <w:b/>
          <w:color w:val="000000"/>
          <w:spacing w:val="6"/>
          <w:sz w:val="24"/>
          <w:szCs w:val="24"/>
          <w:lang w:eastAsia="en-GB"/>
        </w:rPr>
      </w:pPr>
      <w:r w:rsidRPr="00263016">
        <w:rPr>
          <w:rFonts w:ascii="Times New Roman" w:hAnsi="Times New Roman"/>
          <w:b/>
          <w:sz w:val="24"/>
          <w:szCs w:val="24"/>
          <w:lang w:val="en-US"/>
        </w:rPr>
        <w:lastRenderedPageBreak/>
        <w:t>6</w:t>
      </w:r>
      <w:r w:rsidRPr="00263016">
        <w:rPr>
          <w:rFonts w:ascii="Times New Roman" w:hAnsi="Times New Roman"/>
          <w:sz w:val="24"/>
          <w:szCs w:val="24"/>
          <w:lang w:val="en-US"/>
        </w:rPr>
        <w:tab/>
      </w:r>
      <w:r w:rsidRPr="00263016">
        <w:rPr>
          <w:rFonts w:ascii="Times New Roman" w:hAnsi="Times New Roman"/>
          <w:b/>
          <w:color w:val="000000"/>
          <w:spacing w:val="6"/>
          <w:sz w:val="24"/>
          <w:szCs w:val="24"/>
          <w:lang w:eastAsia="en-GB"/>
        </w:rPr>
        <w:t>Committee’s Recommendation on the Bill</w:t>
      </w:r>
    </w:p>
    <w:p w14:paraId="75F3BDCD" w14:textId="77777777" w:rsidR="00AC035C" w:rsidRPr="00263016" w:rsidRDefault="00AC035C" w:rsidP="00263016">
      <w:pPr>
        <w:spacing w:before="120" w:after="120" w:line="240" w:lineRule="auto"/>
        <w:jc w:val="both"/>
        <w:rPr>
          <w:rFonts w:ascii="Times New Roman" w:hAnsi="Times New Roman"/>
          <w:sz w:val="24"/>
          <w:szCs w:val="24"/>
          <w:lang w:val="en-US"/>
        </w:rPr>
      </w:pPr>
    </w:p>
    <w:p w14:paraId="22C561C1" w14:textId="77777777" w:rsidR="00AC035C" w:rsidRPr="00263016" w:rsidRDefault="00AC035C" w:rsidP="00263016">
      <w:pPr>
        <w:autoSpaceDE w:val="0"/>
        <w:autoSpaceDN w:val="0"/>
        <w:adjustRightInd w:val="0"/>
        <w:spacing w:before="120" w:after="120" w:line="240" w:lineRule="auto"/>
        <w:jc w:val="both"/>
        <w:rPr>
          <w:rFonts w:ascii="Times New Roman" w:hAnsi="Times New Roman"/>
          <w:sz w:val="24"/>
          <w:szCs w:val="24"/>
        </w:rPr>
      </w:pPr>
      <w:r w:rsidRPr="00263016">
        <w:rPr>
          <w:rFonts w:ascii="Times New Roman" w:hAnsi="Times New Roman"/>
          <w:sz w:val="24"/>
          <w:szCs w:val="24"/>
        </w:rPr>
        <w:t xml:space="preserve">The Standing Committee on Appropriations having considered the </w:t>
      </w:r>
      <w:r w:rsidRPr="00263016">
        <w:rPr>
          <w:rFonts w:ascii="Times New Roman" w:hAnsi="Times New Roman"/>
          <w:b/>
          <w:bCs/>
          <w:i/>
          <w:iCs/>
          <w:sz w:val="24"/>
          <w:szCs w:val="24"/>
        </w:rPr>
        <w:t xml:space="preserve">Division of Revenue Bill </w:t>
      </w:r>
      <w:r w:rsidRPr="00263016">
        <w:rPr>
          <w:rFonts w:ascii="Times New Roman" w:hAnsi="Times New Roman"/>
          <w:bCs/>
          <w:iCs/>
          <w:sz w:val="24"/>
          <w:szCs w:val="24"/>
        </w:rPr>
        <w:t>[</w:t>
      </w:r>
      <w:r w:rsidR="00CC3213" w:rsidRPr="00263016">
        <w:rPr>
          <w:rFonts w:ascii="Times New Roman" w:hAnsi="Times New Roman"/>
          <w:sz w:val="24"/>
          <w:szCs w:val="24"/>
        </w:rPr>
        <w:t>B2</w:t>
      </w:r>
      <w:r w:rsidRPr="00263016">
        <w:rPr>
          <w:rFonts w:ascii="Times New Roman" w:hAnsi="Times New Roman"/>
          <w:sz w:val="24"/>
          <w:szCs w:val="24"/>
        </w:rPr>
        <w:t>—201</w:t>
      </w:r>
      <w:r w:rsidR="00CC3213" w:rsidRPr="00263016">
        <w:rPr>
          <w:rFonts w:ascii="Times New Roman" w:hAnsi="Times New Roman"/>
          <w:sz w:val="24"/>
          <w:szCs w:val="24"/>
        </w:rPr>
        <w:t>8</w:t>
      </w:r>
      <w:r w:rsidRPr="00263016">
        <w:rPr>
          <w:rFonts w:ascii="Times New Roman" w:hAnsi="Times New Roman"/>
          <w:sz w:val="24"/>
          <w:szCs w:val="24"/>
        </w:rPr>
        <w:t>] (National Assembly) referred to it and classified by the Joint Tagging Mechanism as a section 76 Bill, reports that it has agreed to the Bill without amendments.</w:t>
      </w:r>
    </w:p>
    <w:p w14:paraId="0943DB65" w14:textId="77777777" w:rsidR="00496B65" w:rsidRPr="00263016" w:rsidRDefault="00496B65" w:rsidP="00263016">
      <w:pPr>
        <w:spacing w:before="120" w:after="120" w:line="240" w:lineRule="auto"/>
        <w:jc w:val="both"/>
        <w:rPr>
          <w:rFonts w:ascii="Times New Roman" w:hAnsi="Times New Roman"/>
          <w:b/>
          <w:sz w:val="24"/>
          <w:szCs w:val="24"/>
          <w:lang w:val="en-US"/>
        </w:rPr>
      </w:pPr>
    </w:p>
    <w:p w14:paraId="0B44609A" w14:textId="77777777" w:rsidR="00AC035C" w:rsidRPr="00263016" w:rsidRDefault="00AC035C" w:rsidP="00263016">
      <w:pPr>
        <w:spacing w:before="120" w:after="120" w:line="240" w:lineRule="auto"/>
        <w:jc w:val="both"/>
        <w:rPr>
          <w:rFonts w:ascii="Times New Roman" w:hAnsi="Times New Roman"/>
          <w:b/>
          <w:sz w:val="24"/>
          <w:szCs w:val="24"/>
          <w:lang w:val="en-US"/>
        </w:rPr>
      </w:pPr>
      <w:r w:rsidRPr="00263016">
        <w:rPr>
          <w:rFonts w:ascii="Times New Roman" w:hAnsi="Times New Roman"/>
          <w:b/>
          <w:sz w:val="24"/>
          <w:szCs w:val="24"/>
          <w:lang w:val="en-US"/>
        </w:rPr>
        <w:t>7</w:t>
      </w:r>
      <w:r w:rsidRPr="00263016">
        <w:rPr>
          <w:rFonts w:ascii="Times New Roman" w:hAnsi="Times New Roman"/>
          <w:b/>
          <w:sz w:val="24"/>
          <w:szCs w:val="24"/>
          <w:lang w:val="en-US"/>
        </w:rPr>
        <w:tab/>
        <w:t>Conclusion</w:t>
      </w:r>
    </w:p>
    <w:p w14:paraId="593A9C2E" w14:textId="77777777" w:rsidR="00AC035C" w:rsidRPr="00263016" w:rsidRDefault="00AC035C" w:rsidP="00263016">
      <w:pPr>
        <w:spacing w:before="120" w:after="120" w:line="240" w:lineRule="auto"/>
        <w:jc w:val="both"/>
        <w:rPr>
          <w:rFonts w:ascii="Times New Roman" w:hAnsi="Times New Roman"/>
          <w:b/>
          <w:sz w:val="24"/>
          <w:szCs w:val="24"/>
          <w:lang w:val="en-US"/>
        </w:rPr>
      </w:pPr>
      <w:r w:rsidRPr="00263016">
        <w:rPr>
          <w:rFonts w:ascii="Times New Roman" w:hAnsi="Times New Roman"/>
          <w:b/>
          <w:sz w:val="24"/>
          <w:szCs w:val="24"/>
          <w:lang w:val="en-US"/>
        </w:rPr>
        <w:br/>
      </w:r>
      <w:r w:rsidRPr="00263016">
        <w:rPr>
          <w:rFonts w:ascii="Times New Roman" w:hAnsi="Times New Roman"/>
          <w:color w:val="000000"/>
          <w:spacing w:val="6"/>
          <w:sz w:val="24"/>
          <w:szCs w:val="24"/>
          <w:lang w:val="en-GB" w:eastAsia="en-GB"/>
        </w:rPr>
        <w:t>The responses, by the relevant Executive Authorities, to the recommendations as set out in section 5 above must be sent to Parliament within 60 days of the adoption of this report by the National Assembly.</w:t>
      </w:r>
    </w:p>
    <w:p w14:paraId="38867F4E" w14:textId="77777777" w:rsidR="00496B65" w:rsidRPr="00263016" w:rsidRDefault="00496B65" w:rsidP="00263016">
      <w:pPr>
        <w:spacing w:before="120" w:after="120" w:line="240" w:lineRule="auto"/>
        <w:jc w:val="both"/>
        <w:rPr>
          <w:rFonts w:ascii="Times New Roman" w:hAnsi="Times New Roman"/>
          <w:b/>
          <w:sz w:val="24"/>
          <w:szCs w:val="24"/>
        </w:rPr>
      </w:pPr>
    </w:p>
    <w:p w14:paraId="1ACEB113" w14:textId="77777777" w:rsidR="00AC035C" w:rsidRPr="00263016" w:rsidRDefault="00AC035C" w:rsidP="00263016">
      <w:pPr>
        <w:spacing w:before="120" w:after="120" w:line="240" w:lineRule="auto"/>
        <w:jc w:val="both"/>
        <w:rPr>
          <w:rFonts w:ascii="Times New Roman" w:hAnsi="Times New Roman"/>
          <w:sz w:val="24"/>
          <w:szCs w:val="24"/>
        </w:rPr>
      </w:pPr>
      <w:r w:rsidRPr="00263016">
        <w:rPr>
          <w:rFonts w:ascii="Times New Roman" w:hAnsi="Times New Roman"/>
          <w:sz w:val="24"/>
          <w:szCs w:val="24"/>
        </w:rPr>
        <w:t>Report to be considered.</w:t>
      </w:r>
    </w:p>
    <w:p w14:paraId="066BE24C" w14:textId="77777777" w:rsidR="00C41C43" w:rsidRPr="00263016" w:rsidRDefault="00C41C43" w:rsidP="00263016">
      <w:pPr>
        <w:spacing w:before="120" w:after="120" w:line="240" w:lineRule="auto"/>
        <w:rPr>
          <w:rFonts w:ascii="Times New Roman" w:hAnsi="Times New Roman"/>
          <w:sz w:val="24"/>
          <w:szCs w:val="24"/>
        </w:rPr>
      </w:pPr>
    </w:p>
    <w:p w14:paraId="73D54084" w14:textId="77777777" w:rsidR="00D27DD6" w:rsidRPr="00263016" w:rsidRDefault="00D27DD6" w:rsidP="00263016">
      <w:pPr>
        <w:spacing w:before="120" w:after="120" w:line="240" w:lineRule="auto"/>
        <w:rPr>
          <w:rFonts w:ascii="Times New Roman" w:hAnsi="Times New Roman"/>
          <w:sz w:val="24"/>
          <w:szCs w:val="24"/>
        </w:rPr>
      </w:pPr>
    </w:p>
    <w:p w14:paraId="57191006" w14:textId="77777777" w:rsidR="002C41EB" w:rsidRPr="00263016" w:rsidRDefault="002C41EB" w:rsidP="00263016">
      <w:pPr>
        <w:spacing w:before="120" w:after="120" w:line="240" w:lineRule="auto"/>
        <w:rPr>
          <w:rFonts w:ascii="Times New Roman" w:hAnsi="Times New Roman"/>
          <w:sz w:val="24"/>
          <w:szCs w:val="24"/>
        </w:rPr>
      </w:pPr>
    </w:p>
    <w:sectPr w:rsidR="002C41EB" w:rsidRPr="00263016" w:rsidSect="00263016">
      <w:footerReference w:type="even" r:id="rId15"/>
      <w:footerReference w:type="default" r:id="rId16"/>
      <w:pgSz w:w="11906" w:h="16838"/>
      <w:pgMar w:top="1440" w:right="1376"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F37B" w14:textId="77777777" w:rsidR="00412CE9" w:rsidRDefault="00412CE9">
      <w:pPr>
        <w:spacing w:after="0" w:line="240" w:lineRule="auto"/>
      </w:pPr>
      <w:r>
        <w:separator/>
      </w:r>
    </w:p>
  </w:endnote>
  <w:endnote w:type="continuationSeparator" w:id="0">
    <w:p w14:paraId="11219A13" w14:textId="77777777" w:rsidR="00412CE9" w:rsidRDefault="0041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75EA" w14:textId="77777777" w:rsidR="00C41C43" w:rsidRDefault="00C41C43" w:rsidP="00C41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58CBD" w14:textId="77777777" w:rsidR="00C41C43" w:rsidRDefault="00C41C43" w:rsidP="00C41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0541" w14:textId="77777777" w:rsidR="00C41C43" w:rsidRDefault="00C41C43">
    <w:pPr>
      <w:pStyle w:val="Footer"/>
      <w:jc w:val="right"/>
    </w:pPr>
    <w:r>
      <w:fldChar w:fldCharType="begin"/>
    </w:r>
    <w:r>
      <w:instrText xml:space="preserve"> PAGE   \* MERGEFORMAT </w:instrText>
    </w:r>
    <w:r>
      <w:fldChar w:fldCharType="separate"/>
    </w:r>
    <w:r w:rsidR="00D06422">
      <w:rPr>
        <w:noProof/>
      </w:rPr>
      <w:t>1</w:t>
    </w:r>
    <w:r>
      <w:fldChar w:fldCharType="end"/>
    </w:r>
  </w:p>
  <w:p w14:paraId="662267DA" w14:textId="77777777" w:rsidR="00C41C43" w:rsidRDefault="00C41C43" w:rsidP="00C41C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1FBA" w14:textId="77777777" w:rsidR="00412CE9" w:rsidRDefault="00412CE9">
      <w:pPr>
        <w:spacing w:after="0" w:line="240" w:lineRule="auto"/>
      </w:pPr>
      <w:r>
        <w:separator/>
      </w:r>
    </w:p>
  </w:footnote>
  <w:footnote w:type="continuationSeparator" w:id="0">
    <w:p w14:paraId="76765A21" w14:textId="77777777" w:rsidR="00412CE9" w:rsidRDefault="00412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B52"/>
    <w:multiLevelType w:val="hybridMultilevel"/>
    <w:tmpl w:val="916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7B9D"/>
    <w:multiLevelType w:val="hybridMultilevel"/>
    <w:tmpl w:val="03C87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3D368A"/>
    <w:multiLevelType w:val="hybridMultilevel"/>
    <w:tmpl w:val="F502F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6C68BF"/>
    <w:multiLevelType w:val="hybridMultilevel"/>
    <w:tmpl w:val="5AE44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F00082"/>
    <w:multiLevelType w:val="hybridMultilevel"/>
    <w:tmpl w:val="3094ECE0"/>
    <w:lvl w:ilvl="0" w:tplc="A1D8464C">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40B2DFB"/>
    <w:multiLevelType w:val="multilevel"/>
    <w:tmpl w:val="66B840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CB3432A"/>
    <w:multiLevelType w:val="hybridMultilevel"/>
    <w:tmpl w:val="C3DE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A5EC9"/>
    <w:multiLevelType w:val="hybridMultilevel"/>
    <w:tmpl w:val="3152A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3024B5"/>
    <w:multiLevelType w:val="hybridMultilevel"/>
    <w:tmpl w:val="BA20056E"/>
    <w:lvl w:ilvl="0" w:tplc="B69E7024">
      <w:start w:val="1"/>
      <w:numFmt w:val="bullet"/>
      <w:lvlText w:val="o"/>
      <w:lvlJc w:val="left"/>
      <w:pPr>
        <w:tabs>
          <w:tab w:val="num" w:pos="720"/>
        </w:tabs>
        <w:ind w:left="720" w:hanging="360"/>
      </w:pPr>
      <w:rPr>
        <w:rFonts w:ascii="Courier New" w:hAnsi="Courier New" w:hint="default"/>
      </w:rPr>
    </w:lvl>
    <w:lvl w:ilvl="1" w:tplc="73E6CA44">
      <w:start w:val="1"/>
      <w:numFmt w:val="bullet"/>
      <w:lvlText w:val="o"/>
      <w:lvlJc w:val="left"/>
      <w:pPr>
        <w:tabs>
          <w:tab w:val="num" w:pos="1440"/>
        </w:tabs>
        <w:ind w:left="1440" w:hanging="360"/>
      </w:pPr>
      <w:rPr>
        <w:rFonts w:ascii="Courier New" w:hAnsi="Courier New" w:hint="default"/>
      </w:rPr>
    </w:lvl>
    <w:lvl w:ilvl="2" w:tplc="3614F5BA" w:tentative="1">
      <w:start w:val="1"/>
      <w:numFmt w:val="bullet"/>
      <w:lvlText w:val="o"/>
      <w:lvlJc w:val="left"/>
      <w:pPr>
        <w:tabs>
          <w:tab w:val="num" w:pos="2160"/>
        </w:tabs>
        <w:ind w:left="2160" w:hanging="360"/>
      </w:pPr>
      <w:rPr>
        <w:rFonts w:ascii="Courier New" w:hAnsi="Courier New" w:hint="default"/>
      </w:rPr>
    </w:lvl>
    <w:lvl w:ilvl="3" w:tplc="9A7E6778" w:tentative="1">
      <w:start w:val="1"/>
      <w:numFmt w:val="bullet"/>
      <w:lvlText w:val="o"/>
      <w:lvlJc w:val="left"/>
      <w:pPr>
        <w:tabs>
          <w:tab w:val="num" w:pos="2880"/>
        </w:tabs>
        <w:ind w:left="2880" w:hanging="360"/>
      </w:pPr>
      <w:rPr>
        <w:rFonts w:ascii="Courier New" w:hAnsi="Courier New" w:hint="default"/>
      </w:rPr>
    </w:lvl>
    <w:lvl w:ilvl="4" w:tplc="E2CEAA94" w:tentative="1">
      <w:start w:val="1"/>
      <w:numFmt w:val="bullet"/>
      <w:lvlText w:val="o"/>
      <w:lvlJc w:val="left"/>
      <w:pPr>
        <w:tabs>
          <w:tab w:val="num" w:pos="3600"/>
        </w:tabs>
        <w:ind w:left="3600" w:hanging="360"/>
      </w:pPr>
      <w:rPr>
        <w:rFonts w:ascii="Courier New" w:hAnsi="Courier New" w:hint="default"/>
      </w:rPr>
    </w:lvl>
    <w:lvl w:ilvl="5" w:tplc="8F4E4406" w:tentative="1">
      <w:start w:val="1"/>
      <w:numFmt w:val="bullet"/>
      <w:lvlText w:val="o"/>
      <w:lvlJc w:val="left"/>
      <w:pPr>
        <w:tabs>
          <w:tab w:val="num" w:pos="4320"/>
        </w:tabs>
        <w:ind w:left="4320" w:hanging="360"/>
      </w:pPr>
      <w:rPr>
        <w:rFonts w:ascii="Courier New" w:hAnsi="Courier New" w:hint="default"/>
      </w:rPr>
    </w:lvl>
    <w:lvl w:ilvl="6" w:tplc="F1722448" w:tentative="1">
      <w:start w:val="1"/>
      <w:numFmt w:val="bullet"/>
      <w:lvlText w:val="o"/>
      <w:lvlJc w:val="left"/>
      <w:pPr>
        <w:tabs>
          <w:tab w:val="num" w:pos="5040"/>
        </w:tabs>
        <w:ind w:left="5040" w:hanging="360"/>
      </w:pPr>
      <w:rPr>
        <w:rFonts w:ascii="Courier New" w:hAnsi="Courier New" w:hint="default"/>
      </w:rPr>
    </w:lvl>
    <w:lvl w:ilvl="7" w:tplc="657232F2" w:tentative="1">
      <w:start w:val="1"/>
      <w:numFmt w:val="bullet"/>
      <w:lvlText w:val="o"/>
      <w:lvlJc w:val="left"/>
      <w:pPr>
        <w:tabs>
          <w:tab w:val="num" w:pos="5760"/>
        </w:tabs>
        <w:ind w:left="5760" w:hanging="360"/>
      </w:pPr>
      <w:rPr>
        <w:rFonts w:ascii="Courier New" w:hAnsi="Courier New" w:hint="default"/>
      </w:rPr>
    </w:lvl>
    <w:lvl w:ilvl="8" w:tplc="BE7C2812" w:tentative="1">
      <w:start w:val="1"/>
      <w:numFmt w:val="bullet"/>
      <w:lvlText w:val="o"/>
      <w:lvlJc w:val="left"/>
      <w:pPr>
        <w:tabs>
          <w:tab w:val="num" w:pos="6480"/>
        </w:tabs>
        <w:ind w:left="6480" w:hanging="360"/>
      </w:pPr>
      <w:rPr>
        <w:rFonts w:ascii="Courier New" w:hAnsi="Courier New" w:hint="default"/>
      </w:rPr>
    </w:lvl>
  </w:abstractNum>
  <w:abstractNum w:abstractNumId="9">
    <w:nsid w:val="2C55052F"/>
    <w:multiLevelType w:val="hybridMultilevel"/>
    <w:tmpl w:val="7186A336"/>
    <w:lvl w:ilvl="0" w:tplc="092AEC8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762738"/>
    <w:multiLevelType w:val="hybridMultilevel"/>
    <w:tmpl w:val="8020DC02"/>
    <w:lvl w:ilvl="0" w:tplc="BA74984E">
      <w:start w:val="1"/>
      <w:numFmt w:val="bullet"/>
      <w:lvlText w:val="•"/>
      <w:lvlJc w:val="left"/>
      <w:pPr>
        <w:tabs>
          <w:tab w:val="num" w:pos="1080"/>
        </w:tabs>
        <w:ind w:left="1080" w:hanging="360"/>
      </w:pPr>
      <w:rPr>
        <w:rFonts w:ascii="Arial" w:hAnsi="Arial" w:hint="default"/>
      </w:rPr>
    </w:lvl>
    <w:lvl w:ilvl="1" w:tplc="582AD8A6">
      <w:numFmt w:val="bullet"/>
      <w:lvlText w:val="•"/>
      <w:lvlJc w:val="left"/>
      <w:pPr>
        <w:tabs>
          <w:tab w:val="num" w:pos="1800"/>
        </w:tabs>
        <w:ind w:left="1800" w:hanging="360"/>
      </w:pPr>
      <w:rPr>
        <w:rFonts w:ascii="Arial" w:hAnsi="Arial" w:hint="default"/>
      </w:rPr>
    </w:lvl>
    <w:lvl w:ilvl="2" w:tplc="FEC6A452" w:tentative="1">
      <w:start w:val="1"/>
      <w:numFmt w:val="bullet"/>
      <w:lvlText w:val="•"/>
      <w:lvlJc w:val="left"/>
      <w:pPr>
        <w:tabs>
          <w:tab w:val="num" w:pos="2520"/>
        </w:tabs>
        <w:ind w:left="2520" w:hanging="360"/>
      </w:pPr>
      <w:rPr>
        <w:rFonts w:ascii="Arial" w:hAnsi="Arial" w:hint="default"/>
      </w:rPr>
    </w:lvl>
    <w:lvl w:ilvl="3" w:tplc="5CE8BB9E" w:tentative="1">
      <w:start w:val="1"/>
      <w:numFmt w:val="bullet"/>
      <w:lvlText w:val="•"/>
      <w:lvlJc w:val="left"/>
      <w:pPr>
        <w:tabs>
          <w:tab w:val="num" w:pos="3240"/>
        </w:tabs>
        <w:ind w:left="3240" w:hanging="360"/>
      </w:pPr>
      <w:rPr>
        <w:rFonts w:ascii="Arial" w:hAnsi="Arial" w:hint="default"/>
      </w:rPr>
    </w:lvl>
    <w:lvl w:ilvl="4" w:tplc="22880AB8" w:tentative="1">
      <w:start w:val="1"/>
      <w:numFmt w:val="bullet"/>
      <w:lvlText w:val="•"/>
      <w:lvlJc w:val="left"/>
      <w:pPr>
        <w:tabs>
          <w:tab w:val="num" w:pos="3960"/>
        </w:tabs>
        <w:ind w:left="3960" w:hanging="360"/>
      </w:pPr>
      <w:rPr>
        <w:rFonts w:ascii="Arial" w:hAnsi="Arial" w:hint="default"/>
      </w:rPr>
    </w:lvl>
    <w:lvl w:ilvl="5" w:tplc="7A42D422" w:tentative="1">
      <w:start w:val="1"/>
      <w:numFmt w:val="bullet"/>
      <w:lvlText w:val="•"/>
      <w:lvlJc w:val="left"/>
      <w:pPr>
        <w:tabs>
          <w:tab w:val="num" w:pos="4680"/>
        </w:tabs>
        <w:ind w:left="4680" w:hanging="360"/>
      </w:pPr>
      <w:rPr>
        <w:rFonts w:ascii="Arial" w:hAnsi="Arial" w:hint="default"/>
      </w:rPr>
    </w:lvl>
    <w:lvl w:ilvl="6" w:tplc="B7CEFD58" w:tentative="1">
      <w:start w:val="1"/>
      <w:numFmt w:val="bullet"/>
      <w:lvlText w:val="•"/>
      <w:lvlJc w:val="left"/>
      <w:pPr>
        <w:tabs>
          <w:tab w:val="num" w:pos="5400"/>
        </w:tabs>
        <w:ind w:left="5400" w:hanging="360"/>
      </w:pPr>
      <w:rPr>
        <w:rFonts w:ascii="Arial" w:hAnsi="Arial" w:hint="default"/>
      </w:rPr>
    </w:lvl>
    <w:lvl w:ilvl="7" w:tplc="C714EF94" w:tentative="1">
      <w:start w:val="1"/>
      <w:numFmt w:val="bullet"/>
      <w:lvlText w:val="•"/>
      <w:lvlJc w:val="left"/>
      <w:pPr>
        <w:tabs>
          <w:tab w:val="num" w:pos="6120"/>
        </w:tabs>
        <w:ind w:left="6120" w:hanging="360"/>
      </w:pPr>
      <w:rPr>
        <w:rFonts w:ascii="Arial" w:hAnsi="Arial" w:hint="default"/>
      </w:rPr>
    </w:lvl>
    <w:lvl w:ilvl="8" w:tplc="B16630E4" w:tentative="1">
      <w:start w:val="1"/>
      <w:numFmt w:val="bullet"/>
      <w:lvlText w:val="•"/>
      <w:lvlJc w:val="left"/>
      <w:pPr>
        <w:tabs>
          <w:tab w:val="num" w:pos="6840"/>
        </w:tabs>
        <w:ind w:left="6840" w:hanging="360"/>
      </w:pPr>
      <w:rPr>
        <w:rFonts w:ascii="Arial" w:hAnsi="Arial" w:hint="default"/>
      </w:rPr>
    </w:lvl>
  </w:abstractNum>
  <w:abstractNum w:abstractNumId="11">
    <w:nsid w:val="363D7AD2"/>
    <w:multiLevelType w:val="hybridMultilevel"/>
    <w:tmpl w:val="373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D1A7C"/>
    <w:multiLevelType w:val="multilevel"/>
    <w:tmpl w:val="6F3810F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7645E1"/>
    <w:multiLevelType w:val="hybridMultilevel"/>
    <w:tmpl w:val="0908B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793EEC"/>
    <w:multiLevelType w:val="multilevel"/>
    <w:tmpl w:val="D97C0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FD0788"/>
    <w:multiLevelType w:val="hybridMultilevel"/>
    <w:tmpl w:val="2A988C50"/>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16">
    <w:nsid w:val="3D6A53B0"/>
    <w:multiLevelType w:val="multilevel"/>
    <w:tmpl w:val="BA607A08"/>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B271C0"/>
    <w:multiLevelType w:val="hybridMultilevel"/>
    <w:tmpl w:val="38F45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A36C8B"/>
    <w:multiLevelType w:val="hybridMultilevel"/>
    <w:tmpl w:val="B5783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133550"/>
    <w:multiLevelType w:val="hybridMultilevel"/>
    <w:tmpl w:val="D67284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4B357D99"/>
    <w:multiLevelType w:val="hybridMultilevel"/>
    <w:tmpl w:val="2514BC0A"/>
    <w:lvl w:ilvl="0" w:tplc="3490FFA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116621"/>
    <w:multiLevelType w:val="hybridMultilevel"/>
    <w:tmpl w:val="CC8CA0F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509F2E89"/>
    <w:multiLevelType w:val="hybridMultilevel"/>
    <w:tmpl w:val="8DDC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227A1"/>
    <w:multiLevelType w:val="hybridMultilevel"/>
    <w:tmpl w:val="ECFA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664B3"/>
    <w:multiLevelType w:val="hybridMultilevel"/>
    <w:tmpl w:val="F2B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46A04"/>
    <w:multiLevelType w:val="multilevel"/>
    <w:tmpl w:val="F53233A6"/>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3A1071"/>
    <w:multiLevelType w:val="hybridMultilevel"/>
    <w:tmpl w:val="91CE1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43C13B0"/>
    <w:multiLevelType w:val="hybridMultilevel"/>
    <w:tmpl w:val="F8CC2B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4EB4CDE"/>
    <w:multiLevelType w:val="multilevel"/>
    <w:tmpl w:val="477A74CE"/>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8C75E87"/>
    <w:multiLevelType w:val="multilevel"/>
    <w:tmpl w:val="3598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6A32A07"/>
    <w:multiLevelType w:val="multilevel"/>
    <w:tmpl w:val="02B63E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D073A7"/>
    <w:multiLevelType w:val="hybridMultilevel"/>
    <w:tmpl w:val="28300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ABC505F"/>
    <w:multiLevelType w:val="multilevel"/>
    <w:tmpl w:val="044E7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A77F02"/>
    <w:multiLevelType w:val="hybridMultilevel"/>
    <w:tmpl w:val="AC722B36"/>
    <w:lvl w:ilvl="0" w:tplc="12D61174">
      <w:start w:val="1"/>
      <w:numFmt w:val="bullet"/>
      <w:lvlText w:val="–"/>
      <w:lvlJc w:val="left"/>
      <w:pPr>
        <w:tabs>
          <w:tab w:val="num" w:pos="720"/>
        </w:tabs>
        <w:ind w:left="720" w:hanging="360"/>
      </w:pPr>
      <w:rPr>
        <w:rFonts w:ascii="Arial" w:hAnsi="Arial" w:hint="default"/>
      </w:rPr>
    </w:lvl>
    <w:lvl w:ilvl="1" w:tplc="D2B88676">
      <w:start w:val="1"/>
      <w:numFmt w:val="bullet"/>
      <w:lvlText w:val="–"/>
      <w:lvlJc w:val="left"/>
      <w:pPr>
        <w:tabs>
          <w:tab w:val="num" w:pos="1440"/>
        </w:tabs>
        <w:ind w:left="1440" w:hanging="360"/>
      </w:pPr>
      <w:rPr>
        <w:rFonts w:ascii="Arial" w:hAnsi="Arial" w:hint="default"/>
      </w:rPr>
    </w:lvl>
    <w:lvl w:ilvl="2" w:tplc="BCF46740" w:tentative="1">
      <w:start w:val="1"/>
      <w:numFmt w:val="bullet"/>
      <w:lvlText w:val="–"/>
      <w:lvlJc w:val="left"/>
      <w:pPr>
        <w:tabs>
          <w:tab w:val="num" w:pos="2160"/>
        </w:tabs>
        <w:ind w:left="2160" w:hanging="360"/>
      </w:pPr>
      <w:rPr>
        <w:rFonts w:ascii="Arial" w:hAnsi="Arial" w:hint="default"/>
      </w:rPr>
    </w:lvl>
    <w:lvl w:ilvl="3" w:tplc="78A25446" w:tentative="1">
      <w:start w:val="1"/>
      <w:numFmt w:val="bullet"/>
      <w:lvlText w:val="–"/>
      <w:lvlJc w:val="left"/>
      <w:pPr>
        <w:tabs>
          <w:tab w:val="num" w:pos="2880"/>
        </w:tabs>
        <w:ind w:left="2880" w:hanging="360"/>
      </w:pPr>
      <w:rPr>
        <w:rFonts w:ascii="Arial" w:hAnsi="Arial" w:hint="default"/>
      </w:rPr>
    </w:lvl>
    <w:lvl w:ilvl="4" w:tplc="89EA5E00" w:tentative="1">
      <w:start w:val="1"/>
      <w:numFmt w:val="bullet"/>
      <w:lvlText w:val="–"/>
      <w:lvlJc w:val="left"/>
      <w:pPr>
        <w:tabs>
          <w:tab w:val="num" w:pos="3600"/>
        </w:tabs>
        <w:ind w:left="3600" w:hanging="360"/>
      </w:pPr>
      <w:rPr>
        <w:rFonts w:ascii="Arial" w:hAnsi="Arial" w:hint="default"/>
      </w:rPr>
    </w:lvl>
    <w:lvl w:ilvl="5" w:tplc="BDEA2BEA" w:tentative="1">
      <w:start w:val="1"/>
      <w:numFmt w:val="bullet"/>
      <w:lvlText w:val="–"/>
      <w:lvlJc w:val="left"/>
      <w:pPr>
        <w:tabs>
          <w:tab w:val="num" w:pos="4320"/>
        </w:tabs>
        <w:ind w:left="4320" w:hanging="360"/>
      </w:pPr>
      <w:rPr>
        <w:rFonts w:ascii="Arial" w:hAnsi="Arial" w:hint="default"/>
      </w:rPr>
    </w:lvl>
    <w:lvl w:ilvl="6" w:tplc="1A5CB9E2" w:tentative="1">
      <w:start w:val="1"/>
      <w:numFmt w:val="bullet"/>
      <w:lvlText w:val="–"/>
      <w:lvlJc w:val="left"/>
      <w:pPr>
        <w:tabs>
          <w:tab w:val="num" w:pos="5040"/>
        </w:tabs>
        <w:ind w:left="5040" w:hanging="360"/>
      </w:pPr>
      <w:rPr>
        <w:rFonts w:ascii="Arial" w:hAnsi="Arial" w:hint="default"/>
      </w:rPr>
    </w:lvl>
    <w:lvl w:ilvl="7" w:tplc="A1AE22AA" w:tentative="1">
      <w:start w:val="1"/>
      <w:numFmt w:val="bullet"/>
      <w:lvlText w:val="–"/>
      <w:lvlJc w:val="left"/>
      <w:pPr>
        <w:tabs>
          <w:tab w:val="num" w:pos="5760"/>
        </w:tabs>
        <w:ind w:left="5760" w:hanging="360"/>
      </w:pPr>
      <w:rPr>
        <w:rFonts w:ascii="Arial" w:hAnsi="Arial" w:hint="default"/>
      </w:rPr>
    </w:lvl>
    <w:lvl w:ilvl="8" w:tplc="579A01B0" w:tentative="1">
      <w:start w:val="1"/>
      <w:numFmt w:val="bullet"/>
      <w:lvlText w:val="–"/>
      <w:lvlJc w:val="left"/>
      <w:pPr>
        <w:tabs>
          <w:tab w:val="num" w:pos="6480"/>
        </w:tabs>
        <w:ind w:left="6480" w:hanging="360"/>
      </w:pPr>
      <w:rPr>
        <w:rFonts w:ascii="Arial" w:hAnsi="Arial" w:hint="default"/>
      </w:rPr>
    </w:lvl>
  </w:abstractNum>
  <w:abstractNum w:abstractNumId="34">
    <w:nsid w:val="7BE256AD"/>
    <w:multiLevelType w:val="hybridMultilevel"/>
    <w:tmpl w:val="C17E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DA10A5"/>
    <w:multiLevelType w:val="multilevel"/>
    <w:tmpl w:val="F08018E0"/>
    <w:lvl w:ilvl="0">
      <w:start w:val="5"/>
      <w:numFmt w:val="decimal"/>
      <w:lvlText w:val="%1"/>
      <w:lvlJc w:val="left"/>
      <w:pPr>
        <w:ind w:left="360" w:hanging="360"/>
      </w:pPr>
      <w:rPr>
        <w:rFonts w:hint="default"/>
      </w:rPr>
    </w:lvl>
    <w:lvl w:ilvl="1">
      <w:start w:val="7"/>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7"/>
  </w:num>
  <w:num w:numId="5">
    <w:abstractNumId w:val="26"/>
  </w:num>
  <w:num w:numId="6">
    <w:abstractNumId w:val="2"/>
  </w:num>
  <w:num w:numId="7">
    <w:abstractNumId w:val="23"/>
  </w:num>
  <w:num w:numId="8">
    <w:abstractNumId w:val="1"/>
  </w:num>
  <w:num w:numId="9">
    <w:abstractNumId w:val="4"/>
  </w:num>
  <w:num w:numId="10">
    <w:abstractNumId w:val="15"/>
  </w:num>
  <w:num w:numId="11">
    <w:abstractNumId w:val="25"/>
  </w:num>
  <w:num w:numId="12">
    <w:abstractNumId w:val="6"/>
  </w:num>
  <w:num w:numId="13">
    <w:abstractNumId w:val="5"/>
  </w:num>
  <w:num w:numId="14">
    <w:abstractNumId w:val="30"/>
  </w:num>
  <w:num w:numId="15">
    <w:abstractNumId w:val="17"/>
  </w:num>
  <w:num w:numId="16">
    <w:abstractNumId w:val="8"/>
  </w:num>
  <w:num w:numId="17">
    <w:abstractNumId w:val="33"/>
  </w:num>
  <w:num w:numId="18">
    <w:abstractNumId w:val="31"/>
  </w:num>
  <w:num w:numId="19">
    <w:abstractNumId w:val="29"/>
  </w:num>
  <w:num w:numId="20">
    <w:abstractNumId w:val="24"/>
  </w:num>
  <w:num w:numId="21">
    <w:abstractNumId w:val="0"/>
  </w:num>
  <w:num w:numId="22">
    <w:abstractNumId w:val="27"/>
  </w:num>
  <w:num w:numId="23">
    <w:abstractNumId w:val="3"/>
  </w:num>
  <w:num w:numId="24">
    <w:abstractNumId w:val="14"/>
  </w:num>
  <w:num w:numId="25">
    <w:abstractNumId w:val="32"/>
  </w:num>
  <w:num w:numId="2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34"/>
  </w:num>
  <w:num w:numId="30">
    <w:abstractNumId w:val="10"/>
  </w:num>
  <w:num w:numId="31">
    <w:abstractNumId w:val="9"/>
  </w:num>
  <w:num w:numId="3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34"/>
  </w:num>
  <w:num w:numId="36">
    <w:abstractNumId w:val="35"/>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5C"/>
    <w:rsid w:val="0004290C"/>
    <w:rsid w:val="00050D3B"/>
    <w:rsid w:val="00050E4D"/>
    <w:rsid w:val="000523E7"/>
    <w:rsid w:val="00073DC0"/>
    <w:rsid w:val="00074B9B"/>
    <w:rsid w:val="000A365D"/>
    <w:rsid w:val="000A74D7"/>
    <w:rsid w:val="000B3356"/>
    <w:rsid w:val="000D40FD"/>
    <w:rsid w:val="000E581F"/>
    <w:rsid w:val="00126BBB"/>
    <w:rsid w:val="00151BBB"/>
    <w:rsid w:val="00194CD8"/>
    <w:rsid w:val="001C0A1F"/>
    <w:rsid w:val="001E7C95"/>
    <w:rsid w:val="00206FEF"/>
    <w:rsid w:val="00215396"/>
    <w:rsid w:val="002324BC"/>
    <w:rsid w:val="00263016"/>
    <w:rsid w:val="002B7217"/>
    <w:rsid w:val="002C1BE5"/>
    <w:rsid w:val="002C41EB"/>
    <w:rsid w:val="002E67CF"/>
    <w:rsid w:val="00302146"/>
    <w:rsid w:val="0030590C"/>
    <w:rsid w:val="00313A5D"/>
    <w:rsid w:val="00321CDE"/>
    <w:rsid w:val="0033253D"/>
    <w:rsid w:val="003360B4"/>
    <w:rsid w:val="00353123"/>
    <w:rsid w:val="00374D3B"/>
    <w:rsid w:val="00384C63"/>
    <w:rsid w:val="003920E7"/>
    <w:rsid w:val="003C6B64"/>
    <w:rsid w:val="003D7069"/>
    <w:rsid w:val="003F349C"/>
    <w:rsid w:val="00412CE9"/>
    <w:rsid w:val="00433358"/>
    <w:rsid w:val="0043405D"/>
    <w:rsid w:val="004458A5"/>
    <w:rsid w:val="00454312"/>
    <w:rsid w:val="00476083"/>
    <w:rsid w:val="00496B65"/>
    <w:rsid w:val="00511BD7"/>
    <w:rsid w:val="00524EBC"/>
    <w:rsid w:val="00525028"/>
    <w:rsid w:val="00536776"/>
    <w:rsid w:val="00554BEA"/>
    <w:rsid w:val="00590A33"/>
    <w:rsid w:val="00596F3F"/>
    <w:rsid w:val="005B6993"/>
    <w:rsid w:val="005C2843"/>
    <w:rsid w:val="005C6200"/>
    <w:rsid w:val="005D0A0E"/>
    <w:rsid w:val="005D2932"/>
    <w:rsid w:val="005D5677"/>
    <w:rsid w:val="005D5B6E"/>
    <w:rsid w:val="005F50FF"/>
    <w:rsid w:val="00612A3E"/>
    <w:rsid w:val="006156FC"/>
    <w:rsid w:val="00617862"/>
    <w:rsid w:val="006802A9"/>
    <w:rsid w:val="006A63DB"/>
    <w:rsid w:val="006D464E"/>
    <w:rsid w:val="006F351D"/>
    <w:rsid w:val="00753EC3"/>
    <w:rsid w:val="0079078C"/>
    <w:rsid w:val="0079219B"/>
    <w:rsid w:val="007A3F47"/>
    <w:rsid w:val="007C186C"/>
    <w:rsid w:val="007C4D3F"/>
    <w:rsid w:val="007D3B6E"/>
    <w:rsid w:val="007E51A7"/>
    <w:rsid w:val="007F5C63"/>
    <w:rsid w:val="00805D7F"/>
    <w:rsid w:val="00840999"/>
    <w:rsid w:val="008800CC"/>
    <w:rsid w:val="008B0944"/>
    <w:rsid w:val="008B51DF"/>
    <w:rsid w:val="009251C2"/>
    <w:rsid w:val="0093797D"/>
    <w:rsid w:val="009476FB"/>
    <w:rsid w:val="00953446"/>
    <w:rsid w:val="00953E5A"/>
    <w:rsid w:val="009C2F85"/>
    <w:rsid w:val="00A212FB"/>
    <w:rsid w:val="00A26700"/>
    <w:rsid w:val="00A434EC"/>
    <w:rsid w:val="00A934C1"/>
    <w:rsid w:val="00AB255D"/>
    <w:rsid w:val="00AC035C"/>
    <w:rsid w:val="00AD1000"/>
    <w:rsid w:val="00B04043"/>
    <w:rsid w:val="00B161CB"/>
    <w:rsid w:val="00B21659"/>
    <w:rsid w:val="00B261C3"/>
    <w:rsid w:val="00B30205"/>
    <w:rsid w:val="00B713A3"/>
    <w:rsid w:val="00B745FE"/>
    <w:rsid w:val="00B94936"/>
    <w:rsid w:val="00BF766F"/>
    <w:rsid w:val="00C34006"/>
    <w:rsid w:val="00C41C43"/>
    <w:rsid w:val="00C55FB6"/>
    <w:rsid w:val="00C8227A"/>
    <w:rsid w:val="00C94B46"/>
    <w:rsid w:val="00CA51B4"/>
    <w:rsid w:val="00CC3213"/>
    <w:rsid w:val="00CC45F4"/>
    <w:rsid w:val="00CC7E30"/>
    <w:rsid w:val="00CF25CD"/>
    <w:rsid w:val="00D06422"/>
    <w:rsid w:val="00D10758"/>
    <w:rsid w:val="00D15E70"/>
    <w:rsid w:val="00D2395E"/>
    <w:rsid w:val="00D27DD6"/>
    <w:rsid w:val="00D50E1F"/>
    <w:rsid w:val="00D51FF8"/>
    <w:rsid w:val="00D53D2A"/>
    <w:rsid w:val="00D64B3F"/>
    <w:rsid w:val="00D90C07"/>
    <w:rsid w:val="00E1100A"/>
    <w:rsid w:val="00E30266"/>
    <w:rsid w:val="00E33AFA"/>
    <w:rsid w:val="00E46B77"/>
    <w:rsid w:val="00E96D82"/>
    <w:rsid w:val="00EA2998"/>
    <w:rsid w:val="00EE4D87"/>
    <w:rsid w:val="00F17775"/>
    <w:rsid w:val="00F41F08"/>
    <w:rsid w:val="00FA7FFD"/>
    <w:rsid w:val="00FF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5C"/>
    <w:pPr>
      <w:spacing w:after="200" w:line="276" w:lineRule="auto"/>
    </w:pPr>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Bullets,footer text,List Paragraph1,Recommendation,Bullet List"/>
    <w:basedOn w:val="Normal"/>
    <w:link w:val="ListParagraphChar"/>
    <w:uiPriority w:val="34"/>
    <w:qFormat/>
    <w:rsid w:val="00AC035C"/>
    <w:pPr>
      <w:ind w:left="720"/>
      <w:contextualSpacing/>
    </w:pPr>
  </w:style>
  <w:style w:type="paragraph" w:styleId="Header">
    <w:name w:val="header"/>
    <w:basedOn w:val="Normal"/>
    <w:link w:val="HeaderChar"/>
    <w:uiPriority w:val="99"/>
    <w:rsid w:val="00AC035C"/>
    <w:pPr>
      <w:tabs>
        <w:tab w:val="center" w:pos="4153"/>
        <w:tab w:val="right" w:pos="8306"/>
      </w:tabs>
    </w:pPr>
    <w:rPr>
      <w:sz w:val="20"/>
      <w:szCs w:val="20"/>
      <w:lang w:eastAsia="x-none"/>
    </w:rPr>
  </w:style>
  <w:style w:type="character" w:customStyle="1" w:styleId="HeaderChar">
    <w:name w:val="Header Char"/>
    <w:basedOn w:val="DefaultParagraphFont"/>
    <w:link w:val="Header"/>
    <w:uiPriority w:val="99"/>
    <w:rsid w:val="00AC035C"/>
    <w:rPr>
      <w:rFonts w:ascii="Calibri" w:eastAsia="Times New Roman" w:hAnsi="Calibri" w:cs="Times New Roman"/>
      <w:sz w:val="20"/>
      <w:szCs w:val="20"/>
      <w:lang w:val="en-ZA" w:eastAsia="x-none"/>
    </w:rPr>
  </w:style>
  <w:style w:type="paragraph" w:styleId="Footer">
    <w:name w:val="footer"/>
    <w:basedOn w:val="Normal"/>
    <w:link w:val="FooterChar"/>
    <w:uiPriority w:val="99"/>
    <w:rsid w:val="00AC035C"/>
    <w:pPr>
      <w:tabs>
        <w:tab w:val="center" w:pos="4153"/>
        <w:tab w:val="right" w:pos="8306"/>
      </w:tabs>
    </w:pPr>
    <w:rPr>
      <w:lang w:val="x-none"/>
    </w:rPr>
  </w:style>
  <w:style w:type="character" w:customStyle="1" w:styleId="FooterChar">
    <w:name w:val="Footer Char"/>
    <w:basedOn w:val="DefaultParagraphFont"/>
    <w:link w:val="Footer"/>
    <w:uiPriority w:val="99"/>
    <w:rsid w:val="00AC035C"/>
    <w:rPr>
      <w:rFonts w:ascii="Calibri" w:eastAsia="Times New Roman" w:hAnsi="Calibri" w:cs="Times New Roman"/>
      <w:lang w:val="x-none"/>
    </w:rPr>
  </w:style>
  <w:style w:type="character" w:styleId="PageNumber">
    <w:name w:val="page number"/>
    <w:uiPriority w:val="99"/>
    <w:rsid w:val="00AC035C"/>
    <w:rPr>
      <w:rFonts w:cs="Times New Roman"/>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5D2932"/>
    <w:rPr>
      <w:rFonts w:ascii="Calibri" w:eastAsia="Times New Roman" w:hAnsi="Calibri" w:cs="Times New Roman"/>
      <w:lang w:val="en-ZA"/>
    </w:rPr>
  </w:style>
  <w:style w:type="paragraph" w:styleId="BalloonText">
    <w:name w:val="Balloon Text"/>
    <w:basedOn w:val="Normal"/>
    <w:link w:val="BalloonTextChar"/>
    <w:uiPriority w:val="99"/>
    <w:semiHidden/>
    <w:unhideWhenUsed/>
    <w:rsid w:val="0095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46"/>
    <w:rPr>
      <w:rFonts w:ascii="Segoe UI" w:eastAsia="Times New Roman" w:hAnsi="Segoe UI" w:cs="Segoe UI"/>
      <w:sz w:val="18"/>
      <w:szCs w:val="18"/>
      <w:lang w:val="en-ZA"/>
    </w:rPr>
  </w:style>
  <w:style w:type="character" w:styleId="CommentReference">
    <w:name w:val="annotation reference"/>
    <w:basedOn w:val="DefaultParagraphFont"/>
    <w:uiPriority w:val="99"/>
    <w:semiHidden/>
    <w:unhideWhenUsed/>
    <w:rsid w:val="00953446"/>
    <w:rPr>
      <w:sz w:val="16"/>
      <w:szCs w:val="16"/>
    </w:rPr>
  </w:style>
  <w:style w:type="paragraph" w:styleId="CommentText">
    <w:name w:val="annotation text"/>
    <w:basedOn w:val="Normal"/>
    <w:link w:val="CommentTextChar"/>
    <w:uiPriority w:val="99"/>
    <w:semiHidden/>
    <w:unhideWhenUsed/>
    <w:rsid w:val="00953446"/>
    <w:pPr>
      <w:spacing w:line="240" w:lineRule="auto"/>
    </w:pPr>
    <w:rPr>
      <w:sz w:val="20"/>
      <w:szCs w:val="20"/>
    </w:rPr>
  </w:style>
  <w:style w:type="character" w:customStyle="1" w:styleId="CommentTextChar">
    <w:name w:val="Comment Text Char"/>
    <w:basedOn w:val="DefaultParagraphFont"/>
    <w:link w:val="CommentText"/>
    <w:uiPriority w:val="99"/>
    <w:semiHidden/>
    <w:rsid w:val="00953446"/>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953446"/>
    <w:rPr>
      <w:b/>
      <w:bCs/>
    </w:rPr>
  </w:style>
  <w:style w:type="character" w:customStyle="1" w:styleId="CommentSubjectChar">
    <w:name w:val="Comment Subject Char"/>
    <w:basedOn w:val="CommentTextChar"/>
    <w:link w:val="CommentSubject"/>
    <w:uiPriority w:val="99"/>
    <w:semiHidden/>
    <w:rsid w:val="00953446"/>
    <w:rPr>
      <w:rFonts w:ascii="Calibri" w:eastAsia="Times New Roman" w:hAnsi="Calibri" w:cs="Times New Roman"/>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5C"/>
    <w:pPr>
      <w:spacing w:after="200" w:line="276" w:lineRule="auto"/>
    </w:pPr>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Table of contents numbered,Bullets,footer text,List Paragraph1,Recommendation,Bullet List"/>
    <w:basedOn w:val="Normal"/>
    <w:link w:val="ListParagraphChar"/>
    <w:uiPriority w:val="34"/>
    <w:qFormat/>
    <w:rsid w:val="00AC035C"/>
    <w:pPr>
      <w:ind w:left="720"/>
      <w:contextualSpacing/>
    </w:pPr>
  </w:style>
  <w:style w:type="paragraph" w:styleId="Header">
    <w:name w:val="header"/>
    <w:basedOn w:val="Normal"/>
    <w:link w:val="HeaderChar"/>
    <w:uiPriority w:val="99"/>
    <w:rsid w:val="00AC035C"/>
    <w:pPr>
      <w:tabs>
        <w:tab w:val="center" w:pos="4153"/>
        <w:tab w:val="right" w:pos="8306"/>
      </w:tabs>
    </w:pPr>
    <w:rPr>
      <w:sz w:val="20"/>
      <w:szCs w:val="20"/>
      <w:lang w:eastAsia="x-none"/>
    </w:rPr>
  </w:style>
  <w:style w:type="character" w:customStyle="1" w:styleId="HeaderChar">
    <w:name w:val="Header Char"/>
    <w:basedOn w:val="DefaultParagraphFont"/>
    <w:link w:val="Header"/>
    <w:uiPriority w:val="99"/>
    <w:rsid w:val="00AC035C"/>
    <w:rPr>
      <w:rFonts w:ascii="Calibri" w:eastAsia="Times New Roman" w:hAnsi="Calibri" w:cs="Times New Roman"/>
      <w:sz w:val="20"/>
      <w:szCs w:val="20"/>
      <w:lang w:val="en-ZA" w:eastAsia="x-none"/>
    </w:rPr>
  </w:style>
  <w:style w:type="paragraph" w:styleId="Footer">
    <w:name w:val="footer"/>
    <w:basedOn w:val="Normal"/>
    <w:link w:val="FooterChar"/>
    <w:uiPriority w:val="99"/>
    <w:rsid w:val="00AC035C"/>
    <w:pPr>
      <w:tabs>
        <w:tab w:val="center" w:pos="4153"/>
        <w:tab w:val="right" w:pos="8306"/>
      </w:tabs>
    </w:pPr>
    <w:rPr>
      <w:lang w:val="x-none"/>
    </w:rPr>
  </w:style>
  <w:style w:type="character" w:customStyle="1" w:styleId="FooterChar">
    <w:name w:val="Footer Char"/>
    <w:basedOn w:val="DefaultParagraphFont"/>
    <w:link w:val="Footer"/>
    <w:uiPriority w:val="99"/>
    <w:rsid w:val="00AC035C"/>
    <w:rPr>
      <w:rFonts w:ascii="Calibri" w:eastAsia="Times New Roman" w:hAnsi="Calibri" w:cs="Times New Roman"/>
      <w:lang w:val="x-none"/>
    </w:rPr>
  </w:style>
  <w:style w:type="character" w:styleId="PageNumber">
    <w:name w:val="page number"/>
    <w:uiPriority w:val="99"/>
    <w:rsid w:val="00AC035C"/>
    <w:rPr>
      <w:rFonts w:cs="Times New Roman"/>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5D2932"/>
    <w:rPr>
      <w:rFonts w:ascii="Calibri" w:eastAsia="Times New Roman" w:hAnsi="Calibri" w:cs="Times New Roman"/>
      <w:lang w:val="en-ZA"/>
    </w:rPr>
  </w:style>
  <w:style w:type="paragraph" w:styleId="BalloonText">
    <w:name w:val="Balloon Text"/>
    <w:basedOn w:val="Normal"/>
    <w:link w:val="BalloonTextChar"/>
    <w:uiPriority w:val="99"/>
    <w:semiHidden/>
    <w:unhideWhenUsed/>
    <w:rsid w:val="0095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46"/>
    <w:rPr>
      <w:rFonts w:ascii="Segoe UI" w:eastAsia="Times New Roman" w:hAnsi="Segoe UI" w:cs="Segoe UI"/>
      <w:sz w:val="18"/>
      <w:szCs w:val="18"/>
      <w:lang w:val="en-ZA"/>
    </w:rPr>
  </w:style>
  <w:style w:type="character" w:styleId="CommentReference">
    <w:name w:val="annotation reference"/>
    <w:basedOn w:val="DefaultParagraphFont"/>
    <w:uiPriority w:val="99"/>
    <w:semiHidden/>
    <w:unhideWhenUsed/>
    <w:rsid w:val="00953446"/>
    <w:rPr>
      <w:sz w:val="16"/>
      <w:szCs w:val="16"/>
    </w:rPr>
  </w:style>
  <w:style w:type="paragraph" w:styleId="CommentText">
    <w:name w:val="annotation text"/>
    <w:basedOn w:val="Normal"/>
    <w:link w:val="CommentTextChar"/>
    <w:uiPriority w:val="99"/>
    <w:semiHidden/>
    <w:unhideWhenUsed/>
    <w:rsid w:val="00953446"/>
    <w:pPr>
      <w:spacing w:line="240" w:lineRule="auto"/>
    </w:pPr>
    <w:rPr>
      <w:sz w:val="20"/>
      <w:szCs w:val="20"/>
    </w:rPr>
  </w:style>
  <w:style w:type="character" w:customStyle="1" w:styleId="CommentTextChar">
    <w:name w:val="Comment Text Char"/>
    <w:basedOn w:val="DefaultParagraphFont"/>
    <w:link w:val="CommentText"/>
    <w:uiPriority w:val="99"/>
    <w:semiHidden/>
    <w:rsid w:val="00953446"/>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953446"/>
    <w:rPr>
      <w:b/>
      <w:bCs/>
    </w:rPr>
  </w:style>
  <w:style w:type="character" w:customStyle="1" w:styleId="CommentSubjectChar">
    <w:name w:val="Comment Subject Char"/>
    <w:basedOn w:val="CommentTextChar"/>
    <w:link w:val="CommentSubject"/>
    <w:uiPriority w:val="99"/>
    <w:semiHidden/>
    <w:rsid w:val="00953446"/>
    <w:rPr>
      <w:rFonts w:ascii="Calibri" w:eastAsia="Times New Roman" w:hAnsi="Calibri"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5116">
      <w:bodyDiv w:val="1"/>
      <w:marLeft w:val="0"/>
      <w:marRight w:val="0"/>
      <w:marTop w:val="0"/>
      <w:marBottom w:val="0"/>
      <w:divBdr>
        <w:top w:val="none" w:sz="0" w:space="0" w:color="auto"/>
        <w:left w:val="none" w:sz="0" w:space="0" w:color="auto"/>
        <w:bottom w:val="none" w:sz="0" w:space="0" w:color="auto"/>
        <w:right w:val="none" w:sz="0" w:space="0" w:color="auto"/>
      </w:divBdr>
    </w:div>
    <w:div w:id="492643281">
      <w:bodyDiv w:val="1"/>
      <w:marLeft w:val="0"/>
      <w:marRight w:val="0"/>
      <w:marTop w:val="0"/>
      <w:marBottom w:val="0"/>
      <w:divBdr>
        <w:top w:val="none" w:sz="0" w:space="0" w:color="auto"/>
        <w:left w:val="none" w:sz="0" w:space="0" w:color="auto"/>
        <w:bottom w:val="none" w:sz="0" w:space="0" w:color="auto"/>
        <w:right w:val="none" w:sz="0" w:space="0" w:color="auto"/>
      </w:divBdr>
    </w:div>
    <w:div w:id="521478462">
      <w:bodyDiv w:val="1"/>
      <w:marLeft w:val="0"/>
      <w:marRight w:val="0"/>
      <w:marTop w:val="0"/>
      <w:marBottom w:val="0"/>
      <w:divBdr>
        <w:top w:val="none" w:sz="0" w:space="0" w:color="auto"/>
        <w:left w:val="none" w:sz="0" w:space="0" w:color="auto"/>
        <w:bottom w:val="none" w:sz="0" w:space="0" w:color="auto"/>
        <w:right w:val="none" w:sz="0" w:space="0" w:color="auto"/>
      </w:divBdr>
    </w:div>
    <w:div w:id="608272291">
      <w:bodyDiv w:val="1"/>
      <w:marLeft w:val="0"/>
      <w:marRight w:val="0"/>
      <w:marTop w:val="0"/>
      <w:marBottom w:val="0"/>
      <w:divBdr>
        <w:top w:val="none" w:sz="0" w:space="0" w:color="auto"/>
        <w:left w:val="none" w:sz="0" w:space="0" w:color="auto"/>
        <w:bottom w:val="none" w:sz="0" w:space="0" w:color="auto"/>
        <w:right w:val="none" w:sz="0" w:space="0" w:color="auto"/>
      </w:divBdr>
    </w:div>
    <w:div w:id="768279051">
      <w:bodyDiv w:val="1"/>
      <w:marLeft w:val="0"/>
      <w:marRight w:val="0"/>
      <w:marTop w:val="0"/>
      <w:marBottom w:val="0"/>
      <w:divBdr>
        <w:top w:val="none" w:sz="0" w:space="0" w:color="auto"/>
        <w:left w:val="none" w:sz="0" w:space="0" w:color="auto"/>
        <w:bottom w:val="none" w:sz="0" w:space="0" w:color="auto"/>
        <w:right w:val="none" w:sz="0" w:space="0" w:color="auto"/>
      </w:divBdr>
      <w:divsChild>
        <w:div w:id="1964574678">
          <w:marLeft w:val="446"/>
          <w:marRight w:val="0"/>
          <w:marTop w:val="0"/>
          <w:marBottom w:val="0"/>
          <w:divBdr>
            <w:top w:val="none" w:sz="0" w:space="0" w:color="auto"/>
            <w:left w:val="none" w:sz="0" w:space="0" w:color="auto"/>
            <w:bottom w:val="none" w:sz="0" w:space="0" w:color="auto"/>
            <w:right w:val="none" w:sz="0" w:space="0" w:color="auto"/>
          </w:divBdr>
        </w:div>
        <w:div w:id="1677076991">
          <w:marLeft w:val="1166"/>
          <w:marRight w:val="0"/>
          <w:marTop w:val="0"/>
          <w:marBottom w:val="0"/>
          <w:divBdr>
            <w:top w:val="none" w:sz="0" w:space="0" w:color="auto"/>
            <w:left w:val="none" w:sz="0" w:space="0" w:color="auto"/>
            <w:bottom w:val="none" w:sz="0" w:space="0" w:color="auto"/>
            <w:right w:val="none" w:sz="0" w:space="0" w:color="auto"/>
          </w:divBdr>
        </w:div>
        <w:div w:id="1948536752">
          <w:marLeft w:val="1166"/>
          <w:marRight w:val="0"/>
          <w:marTop w:val="0"/>
          <w:marBottom w:val="0"/>
          <w:divBdr>
            <w:top w:val="none" w:sz="0" w:space="0" w:color="auto"/>
            <w:left w:val="none" w:sz="0" w:space="0" w:color="auto"/>
            <w:bottom w:val="none" w:sz="0" w:space="0" w:color="auto"/>
            <w:right w:val="none" w:sz="0" w:space="0" w:color="auto"/>
          </w:divBdr>
        </w:div>
        <w:div w:id="103547698">
          <w:marLeft w:val="1166"/>
          <w:marRight w:val="0"/>
          <w:marTop w:val="0"/>
          <w:marBottom w:val="0"/>
          <w:divBdr>
            <w:top w:val="none" w:sz="0" w:space="0" w:color="auto"/>
            <w:left w:val="none" w:sz="0" w:space="0" w:color="auto"/>
            <w:bottom w:val="none" w:sz="0" w:space="0" w:color="auto"/>
            <w:right w:val="none" w:sz="0" w:space="0" w:color="auto"/>
          </w:divBdr>
        </w:div>
      </w:divsChild>
    </w:div>
    <w:div w:id="1048452147">
      <w:bodyDiv w:val="1"/>
      <w:marLeft w:val="0"/>
      <w:marRight w:val="0"/>
      <w:marTop w:val="0"/>
      <w:marBottom w:val="0"/>
      <w:divBdr>
        <w:top w:val="none" w:sz="0" w:space="0" w:color="auto"/>
        <w:left w:val="none" w:sz="0" w:space="0" w:color="auto"/>
        <w:bottom w:val="none" w:sz="0" w:space="0" w:color="auto"/>
        <w:right w:val="none" w:sz="0" w:space="0" w:color="auto"/>
      </w:divBdr>
      <w:divsChild>
        <w:div w:id="897207256">
          <w:marLeft w:val="1166"/>
          <w:marRight w:val="0"/>
          <w:marTop w:val="96"/>
          <w:marBottom w:val="0"/>
          <w:divBdr>
            <w:top w:val="none" w:sz="0" w:space="0" w:color="auto"/>
            <w:left w:val="none" w:sz="0" w:space="0" w:color="auto"/>
            <w:bottom w:val="none" w:sz="0" w:space="0" w:color="auto"/>
            <w:right w:val="none" w:sz="0" w:space="0" w:color="auto"/>
          </w:divBdr>
        </w:div>
      </w:divsChild>
    </w:div>
    <w:div w:id="1049302281">
      <w:bodyDiv w:val="1"/>
      <w:marLeft w:val="0"/>
      <w:marRight w:val="0"/>
      <w:marTop w:val="0"/>
      <w:marBottom w:val="0"/>
      <w:divBdr>
        <w:top w:val="none" w:sz="0" w:space="0" w:color="auto"/>
        <w:left w:val="none" w:sz="0" w:space="0" w:color="auto"/>
        <w:bottom w:val="none" w:sz="0" w:space="0" w:color="auto"/>
        <w:right w:val="none" w:sz="0" w:space="0" w:color="auto"/>
      </w:divBdr>
    </w:div>
    <w:div w:id="1247960755">
      <w:bodyDiv w:val="1"/>
      <w:marLeft w:val="0"/>
      <w:marRight w:val="0"/>
      <w:marTop w:val="0"/>
      <w:marBottom w:val="0"/>
      <w:divBdr>
        <w:top w:val="none" w:sz="0" w:space="0" w:color="auto"/>
        <w:left w:val="none" w:sz="0" w:space="0" w:color="auto"/>
        <w:bottom w:val="none" w:sz="0" w:space="0" w:color="auto"/>
        <w:right w:val="none" w:sz="0" w:space="0" w:color="auto"/>
      </w:divBdr>
    </w:div>
    <w:div w:id="1398085682">
      <w:bodyDiv w:val="1"/>
      <w:marLeft w:val="0"/>
      <w:marRight w:val="0"/>
      <w:marTop w:val="0"/>
      <w:marBottom w:val="0"/>
      <w:divBdr>
        <w:top w:val="none" w:sz="0" w:space="0" w:color="auto"/>
        <w:left w:val="none" w:sz="0" w:space="0" w:color="auto"/>
        <w:bottom w:val="none" w:sz="0" w:space="0" w:color="auto"/>
        <w:right w:val="none" w:sz="0" w:space="0" w:color="auto"/>
      </w:divBdr>
      <w:divsChild>
        <w:div w:id="1646933728">
          <w:marLeft w:val="1166"/>
          <w:marRight w:val="0"/>
          <w:marTop w:val="96"/>
          <w:marBottom w:val="0"/>
          <w:divBdr>
            <w:top w:val="none" w:sz="0" w:space="0" w:color="auto"/>
            <w:left w:val="none" w:sz="0" w:space="0" w:color="auto"/>
            <w:bottom w:val="none" w:sz="0" w:space="0" w:color="auto"/>
            <w:right w:val="none" w:sz="0" w:space="0" w:color="auto"/>
          </w:divBdr>
        </w:div>
      </w:divsChild>
    </w:div>
    <w:div w:id="1645085094">
      <w:bodyDiv w:val="1"/>
      <w:marLeft w:val="0"/>
      <w:marRight w:val="0"/>
      <w:marTop w:val="0"/>
      <w:marBottom w:val="0"/>
      <w:divBdr>
        <w:top w:val="none" w:sz="0" w:space="0" w:color="auto"/>
        <w:left w:val="none" w:sz="0" w:space="0" w:color="auto"/>
        <w:bottom w:val="none" w:sz="0" w:space="0" w:color="auto"/>
        <w:right w:val="none" w:sz="0" w:space="0" w:color="auto"/>
      </w:divBdr>
    </w:div>
    <w:div w:id="17471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D3C6-4B4E-4082-B9A7-665C9852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7599</Words>
  <Characters>43319</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2018-03-14T13:14:00Z</cp:lastPrinted>
  <dcterms:created xsi:type="dcterms:W3CDTF">2018-03-16T09:51:00Z</dcterms:created>
  <dcterms:modified xsi:type="dcterms:W3CDTF">2018-03-16T09:51:00Z</dcterms:modified>
</cp:coreProperties>
</file>