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8A" w:rsidRDefault="003C7E8A" w:rsidP="00D75786">
      <w:pPr>
        <w:jc w:val="center"/>
        <w:rPr>
          <w:rFonts w:ascii="Arial" w:hAnsi="Arial" w:cs="Arial"/>
          <w:b/>
          <w:color w:val="000000" w:themeColor="text1"/>
        </w:rPr>
      </w:pPr>
      <w:r w:rsidRPr="00417254">
        <w:rPr>
          <w:rFonts w:ascii="Arial" w:hAnsi="Arial" w:cs="Arial"/>
          <w:b/>
          <w:color w:val="000000" w:themeColor="text1"/>
        </w:rPr>
        <w:t xml:space="preserve">FIC AMENDMENT BILL [B 33B—2015]: </w:t>
      </w:r>
      <w:r w:rsidR="00FD632F">
        <w:rPr>
          <w:rFonts w:ascii="Arial" w:hAnsi="Arial" w:cs="Arial"/>
          <w:b/>
          <w:color w:val="000000" w:themeColor="text1"/>
        </w:rPr>
        <w:t>RESPONSE OF NATIONAL TREASURY AND FINANCIAL INTELLIGENCE CENTRE TO</w:t>
      </w:r>
      <w:r w:rsidRPr="00417254">
        <w:rPr>
          <w:rFonts w:ascii="Arial" w:hAnsi="Arial" w:cs="Arial"/>
          <w:b/>
          <w:color w:val="000000" w:themeColor="text1"/>
        </w:rPr>
        <w:t xml:space="preserve"> PROPOSALS</w:t>
      </w:r>
      <w:r w:rsidR="00FD632F">
        <w:rPr>
          <w:rFonts w:ascii="Arial" w:hAnsi="Arial" w:cs="Arial"/>
          <w:b/>
          <w:color w:val="000000" w:themeColor="text1"/>
        </w:rPr>
        <w:t xml:space="preserve"> OF DEMOCRATIC ALLIANCE</w:t>
      </w:r>
    </w:p>
    <w:p w:rsidR="00D75786" w:rsidRPr="00D75786" w:rsidRDefault="00D75786" w:rsidP="00417254">
      <w:pPr>
        <w:jc w:val="both"/>
        <w:rPr>
          <w:rFonts w:ascii="Arial" w:hAnsi="Arial" w:cs="Arial"/>
          <w:i/>
          <w:color w:val="000000" w:themeColor="text1"/>
        </w:rPr>
      </w:pPr>
      <w:r w:rsidRPr="00D75786">
        <w:rPr>
          <w:rFonts w:ascii="Arial" w:hAnsi="Arial" w:cs="Arial"/>
          <w:i/>
          <w:color w:val="000000" w:themeColor="text1"/>
        </w:rPr>
        <w:t xml:space="preserve">Note: </w:t>
      </w:r>
      <w:r>
        <w:rPr>
          <w:rFonts w:ascii="Arial" w:hAnsi="Arial" w:cs="Arial"/>
          <w:i/>
          <w:color w:val="000000" w:themeColor="text1"/>
        </w:rPr>
        <w:t>Reference</w:t>
      </w:r>
      <w:r w:rsidR="00FD632F">
        <w:rPr>
          <w:rFonts w:ascii="Arial" w:hAnsi="Arial" w:cs="Arial"/>
          <w:i/>
          <w:color w:val="000000" w:themeColor="text1"/>
        </w:rPr>
        <w:t>s</w:t>
      </w:r>
      <w:r>
        <w:rPr>
          <w:rFonts w:ascii="Arial" w:hAnsi="Arial" w:cs="Arial"/>
          <w:i/>
          <w:color w:val="000000" w:themeColor="text1"/>
        </w:rPr>
        <w:t xml:space="preserve"> to provision</w:t>
      </w:r>
      <w:r w:rsidR="00FD632F">
        <w:rPr>
          <w:rFonts w:ascii="Arial" w:hAnsi="Arial" w:cs="Arial"/>
          <w:i/>
          <w:color w:val="000000" w:themeColor="text1"/>
        </w:rPr>
        <w:t>s</w:t>
      </w:r>
      <w:r>
        <w:rPr>
          <w:rFonts w:ascii="Arial" w:hAnsi="Arial" w:cs="Arial"/>
          <w:i/>
          <w:color w:val="000000" w:themeColor="text1"/>
        </w:rPr>
        <w:t xml:space="preserve"> </w:t>
      </w:r>
      <w:r w:rsidR="00FD632F">
        <w:rPr>
          <w:rFonts w:ascii="Arial" w:hAnsi="Arial" w:cs="Arial"/>
          <w:i/>
          <w:color w:val="000000" w:themeColor="text1"/>
        </w:rPr>
        <w:t>in</w:t>
      </w:r>
      <w:r w:rsidRPr="00D75786">
        <w:rPr>
          <w:rFonts w:ascii="Arial" w:hAnsi="Arial" w:cs="Arial"/>
          <w:i/>
          <w:color w:val="000000" w:themeColor="text1"/>
        </w:rPr>
        <w:t xml:space="preserve"> NT’s proposal dated 3/2/2017</w:t>
      </w:r>
      <w:r>
        <w:rPr>
          <w:rFonts w:ascii="Arial" w:hAnsi="Arial" w:cs="Arial"/>
          <w:i/>
          <w:color w:val="000000" w:themeColor="text1"/>
        </w:rPr>
        <w:t xml:space="preserve"> unless otherwise indicated</w:t>
      </w:r>
    </w:p>
    <w:p w:rsidR="00220CC9" w:rsidRDefault="00417254" w:rsidP="00220CC9">
      <w:pPr>
        <w:pStyle w:val="NoSpacing"/>
        <w:jc w:val="both"/>
        <w:rPr>
          <w:rFonts w:ascii="Arial" w:hAnsi="Arial" w:cs="Arial"/>
        </w:rPr>
      </w:pPr>
      <w:r w:rsidRPr="00417254">
        <w:rPr>
          <w:rFonts w:ascii="Arial" w:hAnsi="Arial" w:cs="Arial"/>
        </w:rPr>
        <w:t>1.</w:t>
      </w:r>
      <w:r w:rsidRPr="00417254">
        <w:rPr>
          <w:rFonts w:ascii="Arial" w:hAnsi="Arial" w:cs="Arial"/>
        </w:rPr>
        <w:tab/>
      </w:r>
      <w:r w:rsidR="00493D27">
        <w:rPr>
          <w:rFonts w:ascii="Arial" w:hAnsi="Arial" w:cs="Arial"/>
        </w:rPr>
        <w:t>The DA</w:t>
      </w:r>
      <w:r w:rsidR="005C6599">
        <w:rPr>
          <w:rFonts w:ascii="Arial" w:hAnsi="Arial" w:cs="Arial"/>
        </w:rPr>
        <w:t xml:space="preserve"> proposes the</w:t>
      </w:r>
      <w:r w:rsidR="003C7E8A" w:rsidRPr="00417254">
        <w:rPr>
          <w:rFonts w:ascii="Arial" w:hAnsi="Arial" w:cs="Arial"/>
        </w:rPr>
        <w:t xml:space="preserve"> intro</w:t>
      </w:r>
      <w:r w:rsidRPr="00417254">
        <w:rPr>
          <w:rFonts w:ascii="Arial" w:hAnsi="Arial" w:cs="Arial"/>
        </w:rPr>
        <w:t>duction of a distinction between routine and non-routine inspectio</w:t>
      </w:r>
      <w:r>
        <w:rPr>
          <w:rFonts w:ascii="Arial" w:hAnsi="Arial" w:cs="Arial"/>
        </w:rPr>
        <w:t>ns</w:t>
      </w:r>
      <w:r w:rsidR="005C6599">
        <w:rPr>
          <w:rFonts w:ascii="Arial" w:hAnsi="Arial" w:cs="Arial"/>
        </w:rPr>
        <w:t xml:space="preserve"> which will entail the following:</w:t>
      </w:r>
    </w:p>
    <w:p w:rsidR="00220CC9" w:rsidRDefault="0069631A" w:rsidP="00220CC9">
      <w:pPr>
        <w:pStyle w:val="NoSpacing"/>
        <w:numPr>
          <w:ilvl w:val="0"/>
          <w:numId w:val="7"/>
        </w:numPr>
        <w:jc w:val="both"/>
        <w:rPr>
          <w:rFonts w:ascii="Arial" w:hAnsi="Arial" w:cs="Arial"/>
        </w:rPr>
      </w:pPr>
      <w:r>
        <w:rPr>
          <w:rFonts w:ascii="Arial" w:hAnsi="Arial" w:cs="Arial"/>
        </w:rPr>
        <w:t>Warrantless r</w:t>
      </w:r>
      <w:r w:rsidR="00417254" w:rsidRPr="00417254">
        <w:rPr>
          <w:rFonts w:ascii="Arial" w:hAnsi="Arial" w:cs="Arial"/>
        </w:rPr>
        <w:t xml:space="preserve">outine inspections of premises of </w:t>
      </w:r>
      <w:r w:rsidR="00334BD6">
        <w:rPr>
          <w:rFonts w:ascii="Arial" w:hAnsi="Arial" w:cs="Arial"/>
        </w:rPr>
        <w:t>licensed</w:t>
      </w:r>
      <w:r w:rsidR="00FD632F">
        <w:rPr>
          <w:rStyle w:val="FootnoteReference"/>
          <w:rFonts w:ascii="Arial" w:hAnsi="Arial" w:cs="Arial"/>
        </w:rPr>
        <w:footnoteReference w:id="1"/>
      </w:r>
      <w:r w:rsidR="00FD632F">
        <w:rPr>
          <w:rFonts w:ascii="Arial" w:hAnsi="Arial" w:cs="Arial"/>
        </w:rPr>
        <w:t xml:space="preserve"> </w:t>
      </w:r>
      <w:r w:rsidR="00195532">
        <w:rPr>
          <w:rFonts w:ascii="Arial" w:hAnsi="Arial" w:cs="Arial"/>
        </w:rPr>
        <w:t>accountable</w:t>
      </w:r>
      <w:r w:rsidR="00195532">
        <w:rPr>
          <w:rStyle w:val="FootnoteReference"/>
          <w:rFonts w:ascii="Arial" w:hAnsi="Arial" w:cs="Arial"/>
        </w:rPr>
        <w:footnoteReference w:id="2"/>
      </w:r>
      <w:r w:rsidR="00195532">
        <w:rPr>
          <w:rFonts w:ascii="Arial" w:hAnsi="Arial" w:cs="Arial"/>
        </w:rPr>
        <w:t xml:space="preserve"> </w:t>
      </w:r>
      <w:r w:rsidR="00417254" w:rsidRPr="00417254">
        <w:rPr>
          <w:rFonts w:ascii="Arial" w:hAnsi="Arial" w:cs="Arial"/>
        </w:rPr>
        <w:t>institutions</w:t>
      </w:r>
      <w:r w:rsidR="00334BD6">
        <w:rPr>
          <w:rFonts w:ascii="Arial" w:hAnsi="Arial" w:cs="Arial"/>
        </w:rPr>
        <w:t xml:space="preserve"> (</w:t>
      </w:r>
      <w:r w:rsidR="00417254" w:rsidRPr="00417254">
        <w:rPr>
          <w:rFonts w:ascii="Arial" w:hAnsi="Arial" w:cs="Arial"/>
        </w:rPr>
        <w:t>except private residences</w:t>
      </w:r>
      <w:r w:rsidR="00334BD6">
        <w:rPr>
          <w:rFonts w:ascii="Arial" w:hAnsi="Arial" w:cs="Arial"/>
        </w:rPr>
        <w:t>)</w:t>
      </w:r>
      <w:r w:rsidR="00417254" w:rsidRPr="00417254">
        <w:rPr>
          <w:rFonts w:ascii="Arial" w:hAnsi="Arial" w:cs="Arial"/>
        </w:rPr>
        <w:t xml:space="preserve"> to determine compliance </w:t>
      </w:r>
      <w:r w:rsidR="00417254">
        <w:rPr>
          <w:rFonts w:ascii="Arial" w:hAnsi="Arial" w:cs="Arial"/>
        </w:rPr>
        <w:t>(45B)(1)</w:t>
      </w:r>
      <w:r w:rsidR="00D75786">
        <w:rPr>
          <w:rFonts w:ascii="Arial" w:hAnsi="Arial" w:cs="Arial"/>
        </w:rPr>
        <w:t>(b</w:t>
      </w:r>
      <w:r w:rsidR="00417254">
        <w:rPr>
          <w:rFonts w:ascii="Arial" w:hAnsi="Arial" w:cs="Arial"/>
        </w:rPr>
        <w:t>))</w:t>
      </w:r>
    </w:p>
    <w:p w:rsidR="00220CC9" w:rsidRPr="00220CC9" w:rsidRDefault="00A1432B" w:rsidP="00220CC9">
      <w:pPr>
        <w:pStyle w:val="NoSpacing"/>
        <w:numPr>
          <w:ilvl w:val="0"/>
          <w:numId w:val="7"/>
        </w:numPr>
        <w:jc w:val="both"/>
        <w:rPr>
          <w:rFonts w:ascii="Arial" w:hAnsi="Arial" w:cs="Arial"/>
        </w:rPr>
      </w:pPr>
      <w:r>
        <w:rPr>
          <w:rFonts w:ascii="Arial" w:hAnsi="Arial" w:cs="Arial"/>
        </w:rPr>
        <w:t>N</w:t>
      </w:r>
      <w:r w:rsidR="00417254" w:rsidRPr="00220CC9">
        <w:rPr>
          <w:rFonts w:ascii="Arial" w:hAnsi="Arial" w:cs="Arial"/>
        </w:rPr>
        <w:t>on-routine inspecti</w:t>
      </w:r>
      <w:r w:rsidR="00220CC9" w:rsidRPr="00220CC9">
        <w:rPr>
          <w:rFonts w:ascii="Arial" w:hAnsi="Arial" w:cs="Arial"/>
        </w:rPr>
        <w:t>ons</w:t>
      </w:r>
      <w:r w:rsidR="00220CC9">
        <w:rPr>
          <w:rFonts w:ascii="Arial" w:hAnsi="Arial" w:cs="Arial"/>
        </w:rPr>
        <w:t xml:space="preserve"> </w:t>
      </w:r>
      <w:r>
        <w:rPr>
          <w:rFonts w:ascii="Arial" w:hAnsi="Arial" w:cs="Arial"/>
        </w:rPr>
        <w:t xml:space="preserve">with a warrant </w:t>
      </w:r>
      <w:r w:rsidR="00220CC9">
        <w:rPr>
          <w:rFonts w:ascii="Arial" w:hAnsi="Arial" w:cs="Arial"/>
        </w:rPr>
        <w:t>of-</w:t>
      </w:r>
    </w:p>
    <w:p w:rsidR="00740A9D" w:rsidRDefault="00740A9D" w:rsidP="00220CC9">
      <w:pPr>
        <w:pStyle w:val="NoSpacing"/>
        <w:numPr>
          <w:ilvl w:val="0"/>
          <w:numId w:val="8"/>
        </w:numPr>
        <w:jc w:val="both"/>
        <w:rPr>
          <w:rFonts w:ascii="Arial" w:hAnsi="Arial" w:cs="Arial"/>
        </w:rPr>
      </w:pPr>
      <w:r>
        <w:rPr>
          <w:rFonts w:ascii="Arial" w:hAnsi="Arial" w:cs="Arial"/>
        </w:rPr>
        <w:t xml:space="preserve">a </w:t>
      </w:r>
      <w:r w:rsidR="00334BD6" w:rsidRPr="00220CC9">
        <w:rPr>
          <w:rFonts w:ascii="Arial" w:hAnsi="Arial" w:cs="Arial"/>
        </w:rPr>
        <w:t xml:space="preserve">private residence </w:t>
      </w:r>
      <w:r>
        <w:rPr>
          <w:rFonts w:ascii="Arial" w:hAnsi="Arial" w:cs="Arial"/>
        </w:rPr>
        <w:t>which is licensed; (45B(1A)(a))</w:t>
      </w:r>
    </w:p>
    <w:p w:rsidR="00220CC9" w:rsidRDefault="00740A9D" w:rsidP="00220CC9">
      <w:pPr>
        <w:pStyle w:val="NoSpacing"/>
        <w:numPr>
          <w:ilvl w:val="0"/>
          <w:numId w:val="8"/>
        </w:numPr>
        <w:jc w:val="both"/>
        <w:rPr>
          <w:rFonts w:ascii="Arial" w:hAnsi="Arial" w:cs="Arial"/>
        </w:rPr>
      </w:pPr>
      <w:r>
        <w:rPr>
          <w:rFonts w:ascii="Arial" w:hAnsi="Arial" w:cs="Arial"/>
        </w:rPr>
        <w:t xml:space="preserve">a private residence which is </w:t>
      </w:r>
      <w:r w:rsidR="00334BD6" w:rsidRPr="00195532">
        <w:rPr>
          <w:rFonts w:ascii="Arial" w:hAnsi="Arial" w:cs="Arial"/>
        </w:rPr>
        <w:t>not</w:t>
      </w:r>
      <w:r>
        <w:rPr>
          <w:rFonts w:ascii="Arial" w:hAnsi="Arial" w:cs="Arial"/>
        </w:rPr>
        <w:t xml:space="preserve"> </w:t>
      </w:r>
      <w:r w:rsidR="00195532">
        <w:rPr>
          <w:rFonts w:ascii="Arial" w:hAnsi="Arial" w:cs="Arial"/>
        </w:rPr>
        <w:t>licensed</w:t>
      </w:r>
      <w:r w:rsidR="00A1432B">
        <w:rPr>
          <w:rFonts w:ascii="Arial" w:hAnsi="Arial" w:cs="Arial"/>
        </w:rPr>
        <w:t>,</w:t>
      </w:r>
      <w:r w:rsidR="0069631A" w:rsidRPr="00220CC9">
        <w:rPr>
          <w:rFonts w:ascii="Arial" w:hAnsi="Arial" w:cs="Arial"/>
        </w:rPr>
        <w:t xml:space="preserve"> </w:t>
      </w:r>
      <w:r w:rsidR="00220CC9" w:rsidRPr="00220CC9">
        <w:rPr>
          <w:rFonts w:ascii="Arial" w:hAnsi="Arial" w:cs="Arial"/>
        </w:rPr>
        <w:t>where it is reasonably believed that the residence is us</w:t>
      </w:r>
      <w:bookmarkStart w:id="0" w:name="_GoBack"/>
      <w:bookmarkEnd w:id="0"/>
      <w:r w:rsidR="00220CC9" w:rsidRPr="00220CC9">
        <w:rPr>
          <w:rFonts w:ascii="Arial" w:hAnsi="Arial" w:cs="Arial"/>
        </w:rPr>
        <w:t>ed for a business to which this Act applies;</w:t>
      </w:r>
      <w:r>
        <w:rPr>
          <w:rFonts w:ascii="Arial" w:hAnsi="Arial" w:cs="Arial"/>
        </w:rPr>
        <w:t xml:space="preserve"> </w:t>
      </w:r>
      <w:r w:rsidR="00D75786">
        <w:rPr>
          <w:rFonts w:ascii="Arial" w:hAnsi="Arial" w:cs="Arial"/>
        </w:rPr>
        <w:t>(45B(1A)(a))</w:t>
      </w:r>
    </w:p>
    <w:p w:rsidR="00D75786" w:rsidRDefault="00334BD6" w:rsidP="00D75786">
      <w:pPr>
        <w:pStyle w:val="NoSpacing"/>
        <w:numPr>
          <w:ilvl w:val="0"/>
          <w:numId w:val="8"/>
        </w:numPr>
        <w:jc w:val="both"/>
        <w:rPr>
          <w:rFonts w:ascii="Arial" w:hAnsi="Arial" w:cs="Arial"/>
        </w:rPr>
      </w:pPr>
      <w:r w:rsidRPr="00220CC9">
        <w:rPr>
          <w:rFonts w:ascii="Arial" w:hAnsi="Arial" w:cs="Arial"/>
        </w:rPr>
        <w:t xml:space="preserve">premises </w:t>
      </w:r>
      <w:r w:rsidR="00740A9D">
        <w:rPr>
          <w:rFonts w:ascii="Arial" w:hAnsi="Arial" w:cs="Arial"/>
        </w:rPr>
        <w:t xml:space="preserve">which are </w:t>
      </w:r>
      <w:r w:rsidRPr="00740A9D">
        <w:rPr>
          <w:rFonts w:ascii="Arial" w:hAnsi="Arial" w:cs="Arial"/>
        </w:rPr>
        <w:t>not</w:t>
      </w:r>
      <w:r w:rsidRPr="00220CC9">
        <w:rPr>
          <w:rFonts w:ascii="Arial" w:hAnsi="Arial" w:cs="Arial"/>
          <w:i/>
        </w:rPr>
        <w:t xml:space="preserve"> </w:t>
      </w:r>
      <w:r w:rsidR="00FD4F51">
        <w:rPr>
          <w:rFonts w:ascii="Arial" w:hAnsi="Arial" w:cs="Arial"/>
        </w:rPr>
        <w:t>licensed</w:t>
      </w:r>
      <w:r w:rsidR="00220CC9" w:rsidRPr="00220CC9">
        <w:rPr>
          <w:rFonts w:ascii="Arial" w:hAnsi="Arial" w:cs="Arial"/>
        </w:rPr>
        <w:t xml:space="preserve"> </w:t>
      </w:r>
      <w:r w:rsidR="00FD4F51">
        <w:rPr>
          <w:rFonts w:ascii="Arial" w:hAnsi="Arial" w:cs="Arial"/>
        </w:rPr>
        <w:t>and</w:t>
      </w:r>
      <w:r w:rsidR="0069631A" w:rsidRPr="00220CC9">
        <w:rPr>
          <w:rFonts w:ascii="Arial" w:hAnsi="Arial" w:cs="Arial"/>
        </w:rPr>
        <w:t xml:space="preserve"> </w:t>
      </w:r>
      <w:r w:rsidR="00D75786">
        <w:rPr>
          <w:rFonts w:ascii="Arial" w:hAnsi="Arial" w:cs="Arial"/>
        </w:rPr>
        <w:t>the FIC or supervisory body</w:t>
      </w:r>
      <w:r w:rsidR="0069631A" w:rsidRPr="00220CC9">
        <w:rPr>
          <w:rFonts w:ascii="Arial" w:hAnsi="Arial" w:cs="Arial"/>
        </w:rPr>
        <w:t xml:space="preserve"> reasonably </w:t>
      </w:r>
      <w:r w:rsidR="00D75786">
        <w:rPr>
          <w:rFonts w:ascii="Arial" w:hAnsi="Arial" w:cs="Arial"/>
        </w:rPr>
        <w:t>believes</w:t>
      </w:r>
      <w:r w:rsidR="0069631A" w:rsidRPr="00220CC9">
        <w:rPr>
          <w:rFonts w:ascii="Arial" w:hAnsi="Arial" w:cs="Arial"/>
        </w:rPr>
        <w:t xml:space="preserve"> that the premises are used for </w:t>
      </w:r>
      <w:r w:rsidR="00FD4F51">
        <w:rPr>
          <w:rFonts w:ascii="Arial" w:hAnsi="Arial" w:cs="Arial"/>
        </w:rPr>
        <w:t>a business to which the</w:t>
      </w:r>
      <w:r w:rsidR="0069631A" w:rsidRPr="00220CC9">
        <w:rPr>
          <w:rFonts w:ascii="Arial" w:hAnsi="Arial" w:cs="Arial"/>
        </w:rPr>
        <w:t xml:space="preserve"> Act applies</w:t>
      </w:r>
      <w:r w:rsidRPr="00220CC9">
        <w:rPr>
          <w:rFonts w:ascii="Arial" w:hAnsi="Arial" w:cs="Arial"/>
        </w:rPr>
        <w:t>;</w:t>
      </w:r>
      <w:r w:rsidR="00D75786">
        <w:rPr>
          <w:rFonts w:ascii="Arial" w:hAnsi="Arial" w:cs="Arial"/>
        </w:rPr>
        <w:t xml:space="preserve"> (45B(1A)(b))</w:t>
      </w:r>
    </w:p>
    <w:p w:rsidR="00334BD6" w:rsidRDefault="00334BD6" w:rsidP="00D75786">
      <w:pPr>
        <w:pStyle w:val="NoSpacing"/>
        <w:numPr>
          <w:ilvl w:val="0"/>
          <w:numId w:val="8"/>
        </w:numPr>
        <w:jc w:val="both"/>
        <w:rPr>
          <w:rFonts w:ascii="Arial" w:hAnsi="Arial" w:cs="Arial"/>
        </w:rPr>
      </w:pPr>
      <w:proofErr w:type="gramStart"/>
      <w:r w:rsidRPr="00D75786">
        <w:rPr>
          <w:rFonts w:ascii="Arial" w:hAnsi="Arial" w:cs="Arial"/>
        </w:rPr>
        <w:t>premises</w:t>
      </w:r>
      <w:proofErr w:type="gramEnd"/>
      <w:r w:rsidRPr="00D75786">
        <w:rPr>
          <w:rFonts w:ascii="Arial" w:hAnsi="Arial" w:cs="Arial"/>
        </w:rPr>
        <w:t xml:space="preserve"> </w:t>
      </w:r>
      <w:r w:rsidR="00740A9D">
        <w:rPr>
          <w:rFonts w:ascii="Arial" w:hAnsi="Arial" w:cs="Arial"/>
        </w:rPr>
        <w:t>which are licensed</w:t>
      </w:r>
      <w:r w:rsidR="0069631A" w:rsidRPr="00D75786">
        <w:rPr>
          <w:rFonts w:ascii="Arial" w:hAnsi="Arial" w:cs="Arial"/>
        </w:rPr>
        <w:t xml:space="preserve"> where there are reasonable grounds for suspecting that an act of non-compliance occurred</w:t>
      </w:r>
      <w:r w:rsidR="005C6599" w:rsidRPr="00D75786">
        <w:rPr>
          <w:rFonts w:ascii="Arial" w:hAnsi="Arial" w:cs="Arial"/>
        </w:rPr>
        <w:t xml:space="preserve"> </w:t>
      </w:r>
      <w:r w:rsidRPr="00D75786">
        <w:rPr>
          <w:rFonts w:ascii="Arial" w:hAnsi="Arial" w:cs="Arial"/>
        </w:rPr>
        <w:t>(</w:t>
      </w:r>
      <w:r w:rsidR="00D75786" w:rsidRPr="00D75786">
        <w:rPr>
          <w:rFonts w:ascii="Arial" w:hAnsi="Arial" w:cs="Arial"/>
        </w:rPr>
        <w:t xml:space="preserve">new </w:t>
      </w:r>
      <w:r w:rsidRPr="00D75786">
        <w:rPr>
          <w:rFonts w:ascii="Arial" w:hAnsi="Arial" w:cs="Arial"/>
        </w:rPr>
        <w:t>45)(1A)</w:t>
      </w:r>
      <w:r w:rsidR="00D75786" w:rsidRPr="00D75786">
        <w:rPr>
          <w:rFonts w:ascii="Arial" w:hAnsi="Arial" w:cs="Arial"/>
        </w:rPr>
        <w:t>(c) in DA’s proposal</w:t>
      </w:r>
      <w:r w:rsidR="0069631A" w:rsidRPr="00D75786">
        <w:rPr>
          <w:rFonts w:ascii="Arial" w:hAnsi="Arial" w:cs="Arial"/>
        </w:rPr>
        <w:t>)</w:t>
      </w:r>
      <w:r w:rsidR="00D75786" w:rsidRPr="00D75786">
        <w:rPr>
          <w:rFonts w:ascii="Arial" w:hAnsi="Arial" w:cs="Arial"/>
        </w:rPr>
        <w:t>.</w:t>
      </w:r>
    </w:p>
    <w:p w:rsidR="00D75786" w:rsidRPr="00D75786" w:rsidRDefault="00D75786" w:rsidP="00D75786">
      <w:pPr>
        <w:pStyle w:val="NoSpacing"/>
        <w:ind w:left="1069"/>
        <w:jc w:val="both"/>
        <w:rPr>
          <w:rFonts w:ascii="Arial" w:hAnsi="Arial" w:cs="Arial"/>
        </w:rPr>
      </w:pPr>
    </w:p>
    <w:p w:rsidR="005C6599" w:rsidRPr="005C6599" w:rsidRDefault="0069631A" w:rsidP="00417254">
      <w:pPr>
        <w:pStyle w:val="NoSpacing"/>
        <w:jc w:val="both"/>
        <w:rPr>
          <w:rFonts w:ascii="Arial" w:hAnsi="Arial" w:cs="Arial"/>
        </w:rPr>
      </w:pPr>
      <w:r w:rsidRPr="00D75786">
        <w:rPr>
          <w:rFonts w:ascii="Arial" w:hAnsi="Arial" w:cs="Arial"/>
          <w:u w:val="single"/>
        </w:rPr>
        <w:t>Respons</w:t>
      </w:r>
      <w:r w:rsidR="005C6599" w:rsidRPr="00D75786">
        <w:rPr>
          <w:rFonts w:ascii="Arial" w:hAnsi="Arial" w:cs="Arial"/>
          <w:u w:val="single"/>
        </w:rPr>
        <w:t>e</w:t>
      </w:r>
      <w:r w:rsidR="005C6599" w:rsidRPr="005C6599">
        <w:rPr>
          <w:rFonts w:ascii="Arial" w:hAnsi="Arial" w:cs="Arial"/>
        </w:rPr>
        <w:t>:</w:t>
      </w:r>
    </w:p>
    <w:p w:rsidR="0069631A" w:rsidRPr="005C6599" w:rsidRDefault="0069631A" w:rsidP="005C6599">
      <w:pPr>
        <w:pStyle w:val="NoSpacing"/>
        <w:numPr>
          <w:ilvl w:val="0"/>
          <w:numId w:val="6"/>
        </w:numPr>
        <w:jc w:val="both"/>
        <w:rPr>
          <w:rFonts w:ascii="Arial" w:hAnsi="Arial" w:cs="Arial"/>
        </w:rPr>
      </w:pPr>
      <w:r w:rsidRPr="005C6599">
        <w:rPr>
          <w:rFonts w:ascii="Arial" w:hAnsi="Arial" w:cs="Arial"/>
        </w:rPr>
        <w:t>The Bill proposed</w:t>
      </w:r>
      <w:r w:rsidR="003C7E8A" w:rsidRPr="005C6599">
        <w:rPr>
          <w:rFonts w:ascii="Arial" w:hAnsi="Arial" w:cs="Arial"/>
        </w:rPr>
        <w:t xml:space="preserve"> to steer clear of </w:t>
      </w:r>
      <w:r w:rsidR="005C6599" w:rsidRPr="005C6599">
        <w:rPr>
          <w:rFonts w:ascii="Arial" w:hAnsi="Arial" w:cs="Arial"/>
        </w:rPr>
        <w:t>distinguishing</w:t>
      </w:r>
      <w:r w:rsidR="003C7E8A" w:rsidRPr="005C6599">
        <w:rPr>
          <w:rFonts w:ascii="Arial" w:hAnsi="Arial" w:cs="Arial"/>
        </w:rPr>
        <w:t xml:space="preserve"> </w:t>
      </w:r>
      <w:r w:rsidRPr="005C6599">
        <w:rPr>
          <w:rFonts w:ascii="Arial" w:hAnsi="Arial" w:cs="Arial"/>
        </w:rPr>
        <w:t>between routine and non-routine inspections</w:t>
      </w:r>
      <w:r w:rsidR="003C3304" w:rsidRPr="005C6599">
        <w:rPr>
          <w:rFonts w:ascii="Arial" w:hAnsi="Arial" w:cs="Arial"/>
        </w:rPr>
        <w:t>.</w:t>
      </w:r>
    </w:p>
    <w:p w:rsidR="0069631A" w:rsidRPr="005C6599" w:rsidRDefault="003C3304" w:rsidP="0069631A">
      <w:pPr>
        <w:pStyle w:val="NoSpacing"/>
        <w:numPr>
          <w:ilvl w:val="0"/>
          <w:numId w:val="5"/>
        </w:numPr>
        <w:jc w:val="both"/>
        <w:rPr>
          <w:rFonts w:ascii="Arial" w:hAnsi="Arial" w:cs="Arial"/>
        </w:rPr>
      </w:pPr>
      <w:r w:rsidRPr="005C6599">
        <w:rPr>
          <w:rFonts w:ascii="Arial" w:hAnsi="Arial" w:cs="Arial"/>
        </w:rPr>
        <w:t>T</w:t>
      </w:r>
      <w:r w:rsidR="005C6599" w:rsidRPr="005C6599">
        <w:rPr>
          <w:rFonts w:ascii="Arial" w:hAnsi="Arial" w:cs="Arial"/>
        </w:rPr>
        <w:t>he</w:t>
      </w:r>
      <w:r w:rsidR="003C7E8A" w:rsidRPr="005C6599">
        <w:rPr>
          <w:rFonts w:ascii="Arial" w:hAnsi="Arial" w:cs="Arial"/>
        </w:rPr>
        <w:t xml:space="preserve"> </w:t>
      </w:r>
      <w:r w:rsidRPr="005C6599">
        <w:rPr>
          <w:rFonts w:ascii="Arial" w:hAnsi="Arial" w:cs="Arial"/>
        </w:rPr>
        <w:t xml:space="preserve">proposed </w:t>
      </w:r>
      <w:r w:rsidR="003C7E8A" w:rsidRPr="005C6599">
        <w:rPr>
          <w:rFonts w:ascii="Arial" w:hAnsi="Arial" w:cs="Arial"/>
        </w:rPr>
        <w:t xml:space="preserve">distinction will lead to a situation where a supervisor </w:t>
      </w:r>
      <w:r w:rsidR="0069631A" w:rsidRPr="005C6599">
        <w:rPr>
          <w:rFonts w:ascii="Arial" w:hAnsi="Arial" w:cs="Arial"/>
        </w:rPr>
        <w:t xml:space="preserve">body </w:t>
      </w:r>
      <w:r w:rsidR="00D75786">
        <w:rPr>
          <w:rFonts w:ascii="Arial" w:hAnsi="Arial" w:cs="Arial"/>
        </w:rPr>
        <w:t xml:space="preserve">or the FIC </w:t>
      </w:r>
      <w:r w:rsidR="003C7E8A" w:rsidRPr="005C6599">
        <w:rPr>
          <w:rFonts w:ascii="Arial" w:hAnsi="Arial" w:cs="Arial"/>
        </w:rPr>
        <w:t xml:space="preserve">will have to obtain a warrant to do follow-up inspections where non-compliance was found in previous inspections, or where a supervisor </w:t>
      </w:r>
      <w:r w:rsidRPr="005C6599">
        <w:rPr>
          <w:rFonts w:ascii="Arial" w:hAnsi="Arial" w:cs="Arial"/>
        </w:rPr>
        <w:t xml:space="preserve">body </w:t>
      </w:r>
      <w:r w:rsidR="00D75786">
        <w:rPr>
          <w:rFonts w:ascii="Arial" w:hAnsi="Arial" w:cs="Arial"/>
        </w:rPr>
        <w:t xml:space="preserve">or the FIC </w:t>
      </w:r>
      <w:r w:rsidR="003C7E8A" w:rsidRPr="005C6599">
        <w:rPr>
          <w:rFonts w:ascii="Arial" w:hAnsi="Arial" w:cs="Arial"/>
        </w:rPr>
        <w:t>raises the risk profile of an accountable institution based on external information and therefore wants to</w:t>
      </w:r>
      <w:r w:rsidR="0069631A" w:rsidRPr="005C6599">
        <w:rPr>
          <w:rFonts w:ascii="Arial" w:hAnsi="Arial" w:cs="Arial"/>
        </w:rPr>
        <w:t xml:space="preserve"> do more frequent inspections</w:t>
      </w:r>
    </w:p>
    <w:p w:rsidR="0069631A" w:rsidRPr="005C6599" w:rsidRDefault="003C3304" w:rsidP="0069631A">
      <w:pPr>
        <w:pStyle w:val="NoSpacing"/>
        <w:numPr>
          <w:ilvl w:val="0"/>
          <w:numId w:val="5"/>
        </w:numPr>
        <w:jc w:val="both"/>
        <w:rPr>
          <w:rFonts w:ascii="Arial" w:hAnsi="Arial" w:cs="Arial"/>
        </w:rPr>
      </w:pPr>
      <w:r w:rsidRPr="005C6599">
        <w:rPr>
          <w:rFonts w:ascii="Arial" w:hAnsi="Arial" w:cs="Arial"/>
        </w:rPr>
        <w:t>I</w:t>
      </w:r>
      <w:r w:rsidR="003C7E8A" w:rsidRPr="005C6599">
        <w:rPr>
          <w:rFonts w:ascii="Arial" w:hAnsi="Arial" w:cs="Arial"/>
        </w:rPr>
        <w:t xml:space="preserve">t will place the supervisor </w:t>
      </w:r>
      <w:r w:rsidR="0069631A" w:rsidRPr="005C6599">
        <w:rPr>
          <w:rFonts w:ascii="Arial" w:hAnsi="Arial" w:cs="Arial"/>
        </w:rPr>
        <w:t xml:space="preserve">body </w:t>
      </w:r>
      <w:r w:rsidR="003C7E8A" w:rsidRPr="005C6599">
        <w:rPr>
          <w:rFonts w:ascii="Arial" w:hAnsi="Arial" w:cs="Arial"/>
        </w:rPr>
        <w:t>in a position where it has to demonstrate that a routine inspection is not a non-routine inspection if its decision to do a routine inspection without a warrant is challenged on t</w:t>
      </w:r>
      <w:r w:rsidR="0069631A" w:rsidRPr="005C6599">
        <w:rPr>
          <w:rFonts w:ascii="Arial" w:hAnsi="Arial" w:cs="Arial"/>
        </w:rPr>
        <w:t>he basis of this distinction</w:t>
      </w:r>
    </w:p>
    <w:p w:rsidR="005C6599" w:rsidRPr="005C6599" w:rsidRDefault="0069631A" w:rsidP="005C6599">
      <w:pPr>
        <w:pStyle w:val="NoSpacing"/>
        <w:numPr>
          <w:ilvl w:val="0"/>
          <w:numId w:val="5"/>
        </w:numPr>
        <w:jc w:val="both"/>
        <w:rPr>
          <w:rFonts w:ascii="Arial" w:hAnsi="Arial" w:cs="Arial"/>
        </w:rPr>
      </w:pPr>
      <w:r w:rsidRPr="005C6599">
        <w:rPr>
          <w:rFonts w:ascii="Arial" w:hAnsi="Arial" w:cs="Arial"/>
        </w:rPr>
        <w:t>T</w:t>
      </w:r>
      <w:r w:rsidR="003C7E8A" w:rsidRPr="005C6599">
        <w:rPr>
          <w:rFonts w:ascii="Arial" w:hAnsi="Arial" w:cs="Arial"/>
        </w:rPr>
        <w:t xml:space="preserve">he </w:t>
      </w:r>
      <w:r w:rsidR="00A139E4">
        <w:rPr>
          <w:rFonts w:ascii="Arial" w:hAnsi="Arial" w:cs="Arial"/>
        </w:rPr>
        <w:t xml:space="preserve">proposed </w:t>
      </w:r>
      <w:r w:rsidR="003C7E8A" w:rsidRPr="005C6599">
        <w:rPr>
          <w:rFonts w:ascii="Arial" w:hAnsi="Arial" w:cs="Arial"/>
        </w:rPr>
        <w:t>distinction offers more protection for institutions where there is more reason to inspect them and no protection for institutions where ther</w:t>
      </w:r>
      <w:r w:rsidR="003C3304" w:rsidRPr="005C6599">
        <w:rPr>
          <w:rFonts w:ascii="Arial" w:hAnsi="Arial" w:cs="Arial"/>
        </w:rPr>
        <w:t>e is no reason to inspect them</w:t>
      </w:r>
    </w:p>
    <w:p w:rsidR="005C6599" w:rsidRPr="005C6599" w:rsidRDefault="00A139E4" w:rsidP="005C6599">
      <w:pPr>
        <w:pStyle w:val="NoSpacing"/>
        <w:numPr>
          <w:ilvl w:val="0"/>
          <w:numId w:val="5"/>
        </w:numPr>
        <w:jc w:val="both"/>
        <w:rPr>
          <w:rFonts w:ascii="Arial" w:hAnsi="Arial" w:cs="Arial"/>
        </w:rPr>
      </w:pPr>
      <w:r>
        <w:rPr>
          <w:rFonts w:ascii="Arial" w:hAnsi="Arial" w:cs="Arial"/>
        </w:rPr>
        <w:t>The</w:t>
      </w:r>
      <w:r w:rsidR="003C3304" w:rsidRPr="005C6599">
        <w:rPr>
          <w:rFonts w:ascii="Arial" w:hAnsi="Arial" w:cs="Arial"/>
        </w:rPr>
        <w:t xml:space="preserve"> Constitutional Court</w:t>
      </w:r>
      <w:r w:rsidR="003C7E8A" w:rsidRPr="005C6599">
        <w:rPr>
          <w:rFonts w:ascii="Arial" w:hAnsi="Arial" w:cs="Arial"/>
        </w:rPr>
        <w:t xml:space="preserve"> </w:t>
      </w:r>
      <w:r w:rsidRPr="005C6599">
        <w:rPr>
          <w:rFonts w:ascii="Arial" w:hAnsi="Arial" w:cs="Arial"/>
        </w:rPr>
        <w:t xml:space="preserve">in the </w:t>
      </w:r>
      <w:r w:rsidRPr="005C6599">
        <w:rPr>
          <w:rFonts w:ascii="Arial" w:hAnsi="Arial" w:cs="Arial"/>
          <w:i/>
        </w:rPr>
        <w:t>Auction Alliance</w:t>
      </w:r>
      <w:r>
        <w:rPr>
          <w:rFonts w:ascii="Arial" w:hAnsi="Arial" w:cs="Arial"/>
        </w:rPr>
        <w:t xml:space="preserve"> case </w:t>
      </w:r>
      <w:r w:rsidR="003C7E8A" w:rsidRPr="005C6599">
        <w:rPr>
          <w:rFonts w:ascii="Arial" w:hAnsi="Arial" w:cs="Arial"/>
        </w:rPr>
        <w:t>also did not endorse this distinction</w:t>
      </w:r>
      <w:r w:rsidR="005C6599">
        <w:rPr>
          <w:rStyle w:val="FootnoteReference"/>
          <w:rFonts w:ascii="Arial" w:eastAsia="Times New Roman" w:hAnsi="Arial" w:cs="Arial"/>
          <w:bCs/>
          <w:color w:val="000000"/>
          <w:lang w:eastAsia="en-ZA"/>
        </w:rPr>
        <w:footnoteReference w:id="3"/>
      </w:r>
    </w:p>
    <w:p w:rsidR="003C7E8A" w:rsidRPr="005C6599" w:rsidRDefault="003C3304" w:rsidP="005C6599">
      <w:pPr>
        <w:pStyle w:val="NoSpacing"/>
        <w:numPr>
          <w:ilvl w:val="0"/>
          <w:numId w:val="5"/>
        </w:numPr>
        <w:jc w:val="both"/>
        <w:rPr>
          <w:rFonts w:ascii="Arial" w:hAnsi="Arial" w:cs="Arial"/>
        </w:rPr>
      </w:pPr>
      <w:r w:rsidRPr="005C6599">
        <w:rPr>
          <w:rFonts w:ascii="Arial" w:hAnsi="Arial" w:cs="Arial"/>
        </w:rPr>
        <w:t xml:space="preserve">The </w:t>
      </w:r>
      <w:r w:rsidR="003C7E8A" w:rsidRPr="005C6599">
        <w:rPr>
          <w:rFonts w:ascii="Arial" w:hAnsi="Arial" w:cs="Arial"/>
        </w:rPr>
        <w:t xml:space="preserve">introduction </w:t>
      </w:r>
      <w:r w:rsidRPr="005C6599">
        <w:rPr>
          <w:rFonts w:ascii="Arial" w:hAnsi="Arial" w:cs="Arial"/>
        </w:rPr>
        <w:t xml:space="preserve">of this distinction in section </w:t>
      </w:r>
      <w:r w:rsidR="003C7E8A" w:rsidRPr="005C6599">
        <w:rPr>
          <w:rFonts w:ascii="Arial" w:hAnsi="Arial" w:cs="Arial"/>
        </w:rPr>
        <w:t xml:space="preserve">45B goes beyond addressing the President’s concerns </w:t>
      </w:r>
      <w:r w:rsidRPr="005C6599">
        <w:rPr>
          <w:rFonts w:ascii="Arial" w:hAnsi="Arial" w:cs="Arial"/>
        </w:rPr>
        <w:t>in his referral</w:t>
      </w:r>
      <w:r w:rsidR="003C7E8A" w:rsidRPr="005C6599">
        <w:rPr>
          <w:rFonts w:ascii="Arial" w:hAnsi="Arial" w:cs="Arial"/>
        </w:rPr>
        <w:t>.</w:t>
      </w:r>
    </w:p>
    <w:p w:rsidR="005C6599" w:rsidRDefault="005C6599" w:rsidP="00417254">
      <w:pPr>
        <w:pStyle w:val="NoSpacing"/>
        <w:jc w:val="both"/>
        <w:rPr>
          <w:rFonts w:ascii="Arial" w:hAnsi="Arial" w:cs="Arial"/>
        </w:rPr>
      </w:pPr>
    </w:p>
    <w:p w:rsidR="005418FC" w:rsidRDefault="00A139E4" w:rsidP="00417254">
      <w:pPr>
        <w:pStyle w:val="NoSpacing"/>
        <w:jc w:val="both"/>
        <w:rPr>
          <w:rFonts w:ascii="Arial" w:hAnsi="Arial" w:cs="Arial"/>
        </w:rPr>
      </w:pPr>
      <w:r>
        <w:rPr>
          <w:rFonts w:ascii="Arial" w:hAnsi="Arial" w:cs="Arial"/>
        </w:rPr>
        <w:t>2.</w:t>
      </w:r>
      <w:r>
        <w:rPr>
          <w:rFonts w:ascii="Arial" w:hAnsi="Arial" w:cs="Arial"/>
        </w:rPr>
        <w:tab/>
      </w:r>
      <w:r w:rsidR="00DC2AA8">
        <w:rPr>
          <w:rFonts w:ascii="Arial" w:hAnsi="Arial" w:cs="Arial"/>
        </w:rPr>
        <w:t>The DA proposes</w:t>
      </w:r>
      <w:r>
        <w:rPr>
          <w:rFonts w:ascii="Arial" w:hAnsi="Arial" w:cs="Arial"/>
        </w:rPr>
        <w:t xml:space="preserve"> </w:t>
      </w:r>
      <w:r w:rsidR="005A5FA2">
        <w:rPr>
          <w:rFonts w:ascii="Arial" w:hAnsi="Arial" w:cs="Arial"/>
        </w:rPr>
        <w:t>that</w:t>
      </w:r>
      <w:r w:rsidR="00A1432B">
        <w:rPr>
          <w:rFonts w:ascii="Arial" w:hAnsi="Arial" w:cs="Arial"/>
        </w:rPr>
        <w:t>,</w:t>
      </w:r>
      <w:r w:rsidR="005A5FA2">
        <w:rPr>
          <w:rFonts w:ascii="Arial" w:hAnsi="Arial" w:cs="Arial"/>
        </w:rPr>
        <w:t xml:space="preserve"> before </w:t>
      </w:r>
      <w:r w:rsidR="00651EE0">
        <w:rPr>
          <w:rFonts w:ascii="Arial" w:hAnsi="Arial" w:cs="Arial"/>
        </w:rPr>
        <w:t>a warrantless</w:t>
      </w:r>
      <w:r w:rsidR="005A5FA2">
        <w:rPr>
          <w:rFonts w:ascii="Arial" w:hAnsi="Arial" w:cs="Arial"/>
        </w:rPr>
        <w:t xml:space="preserve"> inspection of </w:t>
      </w:r>
      <w:r w:rsidR="00FD4F51">
        <w:rPr>
          <w:rFonts w:ascii="Arial" w:hAnsi="Arial" w:cs="Arial"/>
        </w:rPr>
        <w:t xml:space="preserve">a </w:t>
      </w:r>
      <w:r w:rsidR="005A5FA2">
        <w:rPr>
          <w:rFonts w:ascii="Arial" w:hAnsi="Arial" w:cs="Arial"/>
        </w:rPr>
        <w:t xml:space="preserve">private </w:t>
      </w:r>
      <w:r w:rsidR="00651EE0">
        <w:rPr>
          <w:rFonts w:ascii="Arial" w:hAnsi="Arial" w:cs="Arial"/>
        </w:rPr>
        <w:t>residence</w:t>
      </w:r>
      <w:r w:rsidR="005A5FA2">
        <w:rPr>
          <w:rFonts w:ascii="Arial" w:hAnsi="Arial" w:cs="Arial"/>
        </w:rPr>
        <w:t xml:space="preserve"> </w:t>
      </w:r>
      <w:r>
        <w:rPr>
          <w:rFonts w:ascii="Arial" w:hAnsi="Arial" w:cs="Arial"/>
        </w:rPr>
        <w:t>(45(1C</w:t>
      </w:r>
      <w:proofErr w:type="gramStart"/>
      <w:r>
        <w:rPr>
          <w:rFonts w:ascii="Arial" w:hAnsi="Arial" w:cs="Arial"/>
        </w:rPr>
        <w:t>)</w:t>
      </w:r>
      <w:r w:rsidR="005418FC">
        <w:rPr>
          <w:rFonts w:ascii="Arial" w:hAnsi="Arial" w:cs="Arial"/>
        </w:rPr>
        <w:t>(</w:t>
      </w:r>
      <w:proofErr w:type="gramEnd"/>
      <w:r w:rsidR="005418FC">
        <w:rPr>
          <w:rFonts w:ascii="Arial" w:hAnsi="Arial" w:cs="Arial"/>
        </w:rPr>
        <w:t>b))</w:t>
      </w:r>
      <w:r w:rsidR="00A1432B">
        <w:rPr>
          <w:rFonts w:ascii="Arial" w:hAnsi="Arial" w:cs="Arial"/>
        </w:rPr>
        <w:t xml:space="preserve">, </w:t>
      </w:r>
      <w:r w:rsidR="005418FC">
        <w:rPr>
          <w:rFonts w:ascii="Arial" w:hAnsi="Arial" w:cs="Arial"/>
        </w:rPr>
        <w:t xml:space="preserve">not only </w:t>
      </w:r>
      <w:r w:rsidR="00C3213F">
        <w:rPr>
          <w:rFonts w:ascii="Arial" w:hAnsi="Arial" w:cs="Arial"/>
        </w:rPr>
        <w:t>the FIC Director/</w:t>
      </w:r>
      <w:r>
        <w:rPr>
          <w:rFonts w:ascii="Arial" w:hAnsi="Arial" w:cs="Arial"/>
        </w:rPr>
        <w:t>the head of a supervisor</w:t>
      </w:r>
      <w:r w:rsidR="00C3213F">
        <w:rPr>
          <w:rFonts w:ascii="Arial" w:hAnsi="Arial" w:cs="Arial"/>
        </w:rPr>
        <w:t>y body/</w:t>
      </w:r>
      <w:r w:rsidR="005418FC">
        <w:rPr>
          <w:rFonts w:ascii="Arial" w:hAnsi="Arial" w:cs="Arial"/>
        </w:rPr>
        <w:t xml:space="preserve">delegated senior </w:t>
      </w:r>
      <w:r>
        <w:rPr>
          <w:rFonts w:ascii="Arial" w:hAnsi="Arial" w:cs="Arial"/>
        </w:rPr>
        <w:t>official</w:t>
      </w:r>
      <w:r w:rsidR="005418FC">
        <w:rPr>
          <w:rFonts w:ascii="Arial" w:hAnsi="Arial" w:cs="Arial"/>
        </w:rPr>
        <w:t xml:space="preserve"> </w:t>
      </w:r>
      <w:r w:rsidR="00B93483">
        <w:rPr>
          <w:rFonts w:ascii="Arial" w:hAnsi="Arial" w:cs="Arial"/>
        </w:rPr>
        <w:t>(i.e. prior internal authorisation)</w:t>
      </w:r>
      <w:r w:rsidR="00A1432B">
        <w:rPr>
          <w:rFonts w:ascii="Arial" w:hAnsi="Arial" w:cs="Arial"/>
        </w:rPr>
        <w:t>,</w:t>
      </w:r>
      <w:r w:rsidR="00B93483">
        <w:rPr>
          <w:rFonts w:ascii="Arial" w:hAnsi="Arial" w:cs="Arial"/>
        </w:rPr>
        <w:t xml:space="preserve"> </w:t>
      </w:r>
      <w:r w:rsidR="005418FC">
        <w:rPr>
          <w:rFonts w:ascii="Arial" w:hAnsi="Arial" w:cs="Arial"/>
        </w:rPr>
        <w:t>but also the inspector</w:t>
      </w:r>
      <w:r w:rsidR="00A1432B">
        <w:rPr>
          <w:rFonts w:ascii="Arial" w:hAnsi="Arial" w:cs="Arial"/>
        </w:rPr>
        <w:t>,</w:t>
      </w:r>
      <w:r w:rsidR="005418FC">
        <w:rPr>
          <w:rFonts w:ascii="Arial" w:hAnsi="Arial" w:cs="Arial"/>
        </w:rPr>
        <w:t xml:space="preserve"> must on reasonable grounds believe that </w:t>
      </w:r>
      <w:r w:rsidR="00A1432B">
        <w:rPr>
          <w:rFonts w:ascii="Arial" w:hAnsi="Arial" w:cs="Arial"/>
        </w:rPr>
        <w:t xml:space="preserve">the </w:t>
      </w:r>
      <w:r w:rsidR="005418FC">
        <w:rPr>
          <w:rFonts w:ascii="Arial" w:hAnsi="Arial" w:cs="Arial"/>
        </w:rPr>
        <w:t>specified criteria</w:t>
      </w:r>
      <w:r w:rsidR="00B93483">
        <w:rPr>
          <w:rFonts w:ascii="Arial" w:hAnsi="Arial" w:cs="Arial"/>
        </w:rPr>
        <w:t xml:space="preserve"> are present</w:t>
      </w:r>
      <w:r w:rsidR="00C3213F">
        <w:rPr>
          <w:rFonts w:ascii="Arial" w:hAnsi="Arial" w:cs="Arial"/>
        </w:rPr>
        <w:t xml:space="preserve"> for </w:t>
      </w:r>
      <w:r w:rsidR="00651EE0">
        <w:rPr>
          <w:rFonts w:ascii="Arial" w:hAnsi="Arial" w:cs="Arial"/>
        </w:rPr>
        <w:t xml:space="preserve">a </w:t>
      </w:r>
      <w:r w:rsidR="00C3213F">
        <w:rPr>
          <w:rFonts w:ascii="Arial" w:hAnsi="Arial" w:cs="Arial"/>
        </w:rPr>
        <w:t>warrantless</w:t>
      </w:r>
      <w:r w:rsidR="00B93483">
        <w:rPr>
          <w:rFonts w:ascii="Arial" w:hAnsi="Arial" w:cs="Arial"/>
        </w:rPr>
        <w:t xml:space="preserve"> </w:t>
      </w:r>
      <w:r w:rsidR="005418FC">
        <w:rPr>
          <w:rFonts w:ascii="Arial" w:hAnsi="Arial" w:cs="Arial"/>
        </w:rPr>
        <w:t>inspection.</w:t>
      </w:r>
    </w:p>
    <w:p w:rsidR="005418FC" w:rsidRDefault="005418FC" w:rsidP="00417254">
      <w:pPr>
        <w:pStyle w:val="NoSpacing"/>
        <w:jc w:val="both"/>
        <w:rPr>
          <w:rFonts w:ascii="Arial" w:hAnsi="Arial" w:cs="Arial"/>
        </w:rPr>
      </w:pPr>
    </w:p>
    <w:p w:rsidR="00B93483" w:rsidRDefault="005418FC" w:rsidP="00417254">
      <w:pPr>
        <w:pStyle w:val="NoSpacing"/>
        <w:jc w:val="both"/>
        <w:rPr>
          <w:rFonts w:ascii="Arial" w:hAnsi="Arial" w:cs="Arial"/>
        </w:rPr>
      </w:pPr>
      <w:r w:rsidRPr="00FD4F51">
        <w:rPr>
          <w:rFonts w:ascii="Arial" w:hAnsi="Arial" w:cs="Arial"/>
          <w:u w:val="single"/>
        </w:rPr>
        <w:t>Response</w:t>
      </w:r>
      <w:r>
        <w:rPr>
          <w:rFonts w:ascii="Arial" w:hAnsi="Arial" w:cs="Arial"/>
        </w:rPr>
        <w:t xml:space="preserve">: The inspector is the functionary </w:t>
      </w:r>
      <w:r w:rsidR="00B93483">
        <w:rPr>
          <w:rFonts w:ascii="Arial" w:hAnsi="Arial" w:cs="Arial"/>
        </w:rPr>
        <w:t xml:space="preserve">who must </w:t>
      </w:r>
      <w:r>
        <w:rPr>
          <w:rFonts w:ascii="Arial" w:hAnsi="Arial" w:cs="Arial"/>
        </w:rPr>
        <w:t>trigger this provision, i.e. requesting</w:t>
      </w:r>
      <w:r w:rsidR="00B93483">
        <w:rPr>
          <w:rFonts w:ascii="Arial" w:hAnsi="Arial" w:cs="Arial"/>
        </w:rPr>
        <w:t xml:space="preserve"> prior internal authorisation. Therefore </w:t>
      </w:r>
      <w:r w:rsidR="00493D27">
        <w:rPr>
          <w:rFonts w:ascii="Arial" w:hAnsi="Arial" w:cs="Arial"/>
        </w:rPr>
        <w:t xml:space="preserve">it is </w:t>
      </w:r>
      <w:r w:rsidR="00B93483">
        <w:rPr>
          <w:rFonts w:ascii="Arial" w:hAnsi="Arial" w:cs="Arial"/>
        </w:rPr>
        <w:t xml:space="preserve">unnecessary to </w:t>
      </w:r>
      <w:r w:rsidR="00C3213F">
        <w:rPr>
          <w:rFonts w:ascii="Arial" w:hAnsi="Arial" w:cs="Arial"/>
        </w:rPr>
        <w:t xml:space="preserve">include a prerequisite that </w:t>
      </w:r>
      <w:r w:rsidR="00B93483">
        <w:rPr>
          <w:rFonts w:ascii="Arial" w:hAnsi="Arial" w:cs="Arial"/>
        </w:rPr>
        <w:t xml:space="preserve">the inspector </w:t>
      </w:r>
      <w:r w:rsidR="00C3213F">
        <w:rPr>
          <w:rFonts w:ascii="Arial" w:hAnsi="Arial" w:cs="Arial"/>
        </w:rPr>
        <w:t>must also have</w:t>
      </w:r>
      <w:r w:rsidR="00B93483">
        <w:rPr>
          <w:rFonts w:ascii="Arial" w:hAnsi="Arial" w:cs="Arial"/>
        </w:rPr>
        <w:t xml:space="preserve"> the </w:t>
      </w:r>
      <w:r w:rsidR="00493D27">
        <w:rPr>
          <w:rFonts w:ascii="Arial" w:hAnsi="Arial" w:cs="Arial"/>
        </w:rPr>
        <w:t>belief</w:t>
      </w:r>
      <w:r w:rsidR="00C3213F" w:rsidRPr="00C3213F">
        <w:rPr>
          <w:rFonts w:ascii="Arial" w:hAnsi="Arial" w:cs="Arial"/>
        </w:rPr>
        <w:t xml:space="preserve"> </w:t>
      </w:r>
      <w:r w:rsidR="00C3213F">
        <w:rPr>
          <w:rFonts w:ascii="Arial" w:hAnsi="Arial" w:cs="Arial"/>
        </w:rPr>
        <w:t>that the specified criteria are present</w:t>
      </w:r>
      <w:r w:rsidR="00B93483">
        <w:rPr>
          <w:rFonts w:ascii="Arial" w:hAnsi="Arial" w:cs="Arial"/>
        </w:rPr>
        <w:t xml:space="preserve">. The inspector is the one that will have to satisfy the </w:t>
      </w:r>
      <w:r w:rsidR="00740A9D">
        <w:rPr>
          <w:rFonts w:ascii="Arial" w:hAnsi="Arial" w:cs="Arial"/>
        </w:rPr>
        <w:t>relevant</w:t>
      </w:r>
      <w:r w:rsidR="00B93483">
        <w:rPr>
          <w:rFonts w:ascii="Arial" w:hAnsi="Arial" w:cs="Arial"/>
        </w:rPr>
        <w:t xml:space="preserve"> internal authority that the criteria in </w:t>
      </w:r>
      <w:proofErr w:type="gramStart"/>
      <w:r w:rsidR="00B93483">
        <w:rPr>
          <w:rFonts w:ascii="Arial" w:hAnsi="Arial" w:cs="Arial"/>
        </w:rPr>
        <w:t>45B(</w:t>
      </w:r>
      <w:proofErr w:type="gramEnd"/>
      <w:r w:rsidR="00B93483">
        <w:rPr>
          <w:rFonts w:ascii="Arial" w:hAnsi="Arial" w:cs="Arial"/>
        </w:rPr>
        <w:t>1C)(b) are present.</w:t>
      </w:r>
    </w:p>
    <w:p w:rsidR="00740A9D" w:rsidRDefault="00740A9D" w:rsidP="00417254">
      <w:pPr>
        <w:pStyle w:val="NoSpacing"/>
        <w:jc w:val="both"/>
        <w:rPr>
          <w:rFonts w:ascii="Arial" w:hAnsi="Arial" w:cs="Arial"/>
        </w:rPr>
      </w:pPr>
    </w:p>
    <w:p w:rsidR="009864EA" w:rsidRDefault="00B93483" w:rsidP="00417254">
      <w:pPr>
        <w:pStyle w:val="NoSpacing"/>
        <w:jc w:val="both"/>
        <w:rPr>
          <w:rFonts w:ascii="Arial" w:hAnsi="Arial" w:cs="Arial"/>
        </w:rPr>
      </w:pPr>
      <w:r>
        <w:rPr>
          <w:rFonts w:ascii="Arial" w:hAnsi="Arial" w:cs="Arial"/>
        </w:rPr>
        <w:lastRenderedPageBreak/>
        <w:t>3.</w:t>
      </w:r>
      <w:r>
        <w:rPr>
          <w:rFonts w:ascii="Arial" w:hAnsi="Arial" w:cs="Arial"/>
        </w:rPr>
        <w:tab/>
      </w:r>
      <w:r w:rsidR="00DC2AA8">
        <w:rPr>
          <w:rFonts w:ascii="Arial" w:hAnsi="Arial" w:cs="Arial"/>
        </w:rPr>
        <w:t>The DA proposes</w:t>
      </w:r>
      <w:r w:rsidR="005A5FA2">
        <w:rPr>
          <w:rFonts w:ascii="Arial" w:hAnsi="Arial" w:cs="Arial"/>
        </w:rPr>
        <w:t xml:space="preserve"> </w:t>
      </w:r>
      <w:r w:rsidR="00C3213F">
        <w:rPr>
          <w:rFonts w:ascii="Arial" w:hAnsi="Arial" w:cs="Arial"/>
        </w:rPr>
        <w:t xml:space="preserve">that </w:t>
      </w:r>
      <w:r w:rsidR="00651EE0">
        <w:rPr>
          <w:rFonts w:ascii="Arial" w:hAnsi="Arial" w:cs="Arial"/>
        </w:rPr>
        <w:t xml:space="preserve">a warrantless </w:t>
      </w:r>
      <w:r w:rsidR="005A5FA2">
        <w:rPr>
          <w:rFonts w:ascii="Arial" w:hAnsi="Arial" w:cs="Arial"/>
        </w:rPr>
        <w:t xml:space="preserve">inspection of a private residence </w:t>
      </w:r>
      <w:r w:rsidR="00C3213F">
        <w:rPr>
          <w:rFonts w:ascii="Arial" w:hAnsi="Arial" w:cs="Arial"/>
        </w:rPr>
        <w:t xml:space="preserve">be limited to </w:t>
      </w:r>
      <w:r w:rsidR="00220CC9">
        <w:rPr>
          <w:rFonts w:ascii="Arial" w:hAnsi="Arial" w:cs="Arial"/>
        </w:rPr>
        <w:t xml:space="preserve">a residence </w:t>
      </w:r>
      <w:r w:rsidR="009864EA">
        <w:rPr>
          <w:rFonts w:ascii="Arial" w:hAnsi="Arial" w:cs="Arial"/>
        </w:rPr>
        <w:t xml:space="preserve">suspected to be </w:t>
      </w:r>
      <w:r w:rsidR="00C3213F">
        <w:rPr>
          <w:rFonts w:ascii="Arial" w:hAnsi="Arial" w:cs="Arial"/>
        </w:rPr>
        <w:t>used fo</w:t>
      </w:r>
      <w:r w:rsidR="009864EA">
        <w:rPr>
          <w:rFonts w:ascii="Arial" w:hAnsi="Arial" w:cs="Arial"/>
        </w:rPr>
        <w:t xml:space="preserve">r </w:t>
      </w:r>
      <w:r w:rsidR="00C3213F">
        <w:rPr>
          <w:rFonts w:ascii="Arial" w:hAnsi="Arial" w:cs="Arial"/>
        </w:rPr>
        <w:t>business</w:t>
      </w:r>
      <w:r w:rsidR="00651EE0">
        <w:rPr>
          <w:rFonts w:ascii="Arial" w:hAnsi="Arial" w:cs="Arial"/>
        </w:rPr>
        <w:t xml:space="preserve"> </w:t>
      </w:r>
      <w:r w:rsidR="00A1432B">
        <w:rPr>
          <w:rFonts w:ascii="Arial" w:hAnsi="Arial" w:cs="Arial"/>
        </w:rPr>
        <w:t xml:space="preserve">purpose </w:t>
      </w:r>
      <w:r w:rsidR="00651EE0">
        <w:rPr>
          <w:rFonts w:ascii="Arial" w:hAnsi="Arial" w:cs="Arial"/>
        </w:rPr>
        <w:t xml:space="preserve">by </w:t>
      </w:r>
      <w:r w:rsidR="00FD4F51">
        <w:rPr>
          <w:rFonts w:ascii="Arial" w:hAnsi="Arial" w:cs="Arial"/>
        </w:rPr>
        <w:t xml:space="preserve">a licensed </w:t>
      </w:r>
      <w:r w:rsidR="00740A9D">
        <w:rPr>
          <w:rFonts w:ascii="Arial" w:hAnsi="Arial" w:cs="Arial"/>
        </w:rPr>
        <w:t>accountable</w:t>
      </w:r>
      <w:r w:rsidR="00651EE0">
        <w:rPr>
          <w:rFonts w:ascii="Arial" w:hAnsi="Arial" w:cs="Arial"/>
        </w:rPr>
        <w:t xml:space="preserve"> institution </w:t>
      </w:r>
      <w:r w:rsidR="009864EA">
        <w:rPr>
          <w:rFonts w:ascii="Arial" w:hAnsi="Arial" w:cs="Arial"/>
        </w:rPr>
        <w:t xml:space="preserve">under the Act </w:t>
      </w:r>
      <w:r>
        <w:rPr>
          <w:rFonts w:ascii="Arial" w:hAnsi="Arial" w:cs="Arial"/>
        </w:rPr>
        <w:t>(</w:t>
      </w:r>
      <w:r w:rsidR="00FD4F51">
        <w:rPr>
          <w:rFonts w:ascii="Arial" w:hAnsi="Arial" w:cs="Arial"/>
        </w:rPr>
        <w:t xml:space="preserve">new </w:t>
      </w:r>
      <w:r>
        <w:rPr>
          <w:rFonts w:ascii="Arial" w:hAnsi="Arial" w:cs="Arial"/>
        </w:rPr>
        <w:t>45(1C</w:t>
      </w:r>
      <w:proofErr w:type="gramStart"/>
      <w:r>
        <w:rPr>
          <w:rFonts w:ascii="Arial" w:hAnsi="Arial" w:cs="Arial"/>
        </w:rPr>
        <w:t>)(</w:t>
      </w:r>
      <w:proofErr w:type="gramEnd"/>
      <w:r w:rsidR="00651EE0">
        <w:rPr>
          <w:rFonts w:ascii="Arial" w:hAnsi="Arial" w:cs="Arial"/>
        </w:rPr>
        <w:t>b)(iii)</w:t>
      </w:r>
      <w:r w:rsidR="00FD4F51">
        <w:rPr>
          <w:rFonts w:ascii="Arial" w:hAnsi="Arial" w:cs="Arial"/>
        </w:rPr>
        <w:t xml:space="preserve"> in DA’s proposal</w:t>
      </w:r>
      <w:r w:rsidR="00651EE0">
        <w:rPr>
          <w:rFonts w:ascii="Arial" w:hAnsi="Arial" w:cs="Arial"/>
        </w:rPr>
        <w:t xml:space="preserve">). This will mean that a warrantless inspection of a private residence suspected to be used </w:t>
      </w:r>
      <w:r w:rsidR="009864EA">
        <w:rPr>
          <w:rFonts w:ascii="Arial" w:hAnsi="Arial" w:cs="Arial"/>
        </w:rPr>
        <w:t>for a business to which the Act applies, but not license</w:t>
      </w:r>
      <w:r w:rsidR="00FD4F51">
        <w:rPr>
          <w:rFonts w:ascii="Arial" w:hAnsi="Arial" w:cs="Arial"/>
        </w:rPr>
        <w:t>d</w:t>
      </w:r>
      <w:r w:rsidR="009864EA">
        <w:rPr>
          <w:rFonts w:ascii="Arial" w:hAnsi="Arial" w:cs="Arial"/>
        </w:rPr>
        <w:t xml:space="preserve"> for this purpose</w:t>
      </w:r>
      <w:r w:rsidR="00FD4F51">
        <w:rPr>
          <w:rFonts w:ascii="Arial" w:hAnsi="Arial" w:cs="Arial"/>
        </w:rPr>
        <w:t xml:space="preserve">, </w:t>
      </w:r>
      <w:r w:rsidR="009864EA">
        <w:rPr>
          <w:rFonts w:ascii="Arial" w:hAnsi="Arial" w:cs="Arial"/>
        </w:rPr>
        <w:t xml:space="preserve">will </w:t>
      </w:r>
      <w:r w:rsidR="00FD4F51">
        <w:rPr>
          <w:rFonts w:ascii="Arial" w:hAnsi="Arial" w:cs="Arial"/>
        </w:rPr>
        <w:t xml:space="preserve">always </w:t>
      </w:r>
      <w:r w:rsidR="009864EA">
        <w:rPr>
          <w:rFonts w:ascii="Arial" w:hAnsi="Arial" w:cs="Arial"/>
        </w:rPr>
        <w:t xml:space="preserve">require </w:t>
      </w:r>
      <w:r w:rsidR="00FD4F51">
        <w:rPr>
          <w:rFonts w:ascii="Arial" w:hAnsi="Arial" w:cs="Arial"/>
        </w:rPr>
        <w:t xml:space="preserve">either </w:t>
      </w:r>
      <w:r w:rsidR="009864EA">
        <w:rPr>
          <w:rFonts w:ascii="Arial" w:hAnsi="Arial" w:cs="Arial"/>
        </w:rPr>
        <w:t>a warrant (45B(1A) or consent (45B(1C)(a)).</w:t>
      </w:r>
    </w:p>
    <w:p w:rsidR="009864EA" w:rsidRDefault="009864EA" w:rsidP="00417254">
      <w:pPr>
        <w:pStyle w:val="NoSpacing"/>
        <w:jc w:val="both"/>
        <w:rPr>
          <w:rFonts w:ascii="Arial" w:hAnsi="Arial" w:cs="Arial"/>
        </w:rPr>
      </w:pPr>
    </w:p>
    <w:p w:rsidR="00A1432B" w:rsidRDefault="009864EA" w:rsidP="00417254">
      <w:pPr>
        <w:pStyle w:val="NoSpacing"/>
        <w:jc w:val="both"/>
        <w:rPr>
          <w:rFonts w:ascii="Arial" w:hAnsi="Arial" w:cs="Arial"/>
        </w:rPr>
      </w:pPr>
      <w:r>
        <w:rPr>
          <w:rFonts w:ascii="Arial" w:hAnsi="Arial" w:cs="Arial"/>
        </w:rPr>
        <w:t xml:space="preserve">Response: The need for </w:t>
      </w:r>
      <w:r w:rsidR="00220CC9">
        <w:rPr>
          <w:rFonts w:ascii="Arial" w:hAnsi="Arial" w:cs="Arial"/>
        </w:rPr>
        <w:t xml:space="preserve">warrantless inspections is more prevalent </w:t>
      </w:r>
      <w:r w:rsidR="00FD4F51">
        <w:rPr>
          <w:rFonts w:ascii="Arial" w:hAnsi="Arial" w:cs="Arial"/>
        </w:rPr>
        <w:t>where</w:t>
      </w:r>
      <w:r w:rsidR="00220CC9">
        <w:rPr>
          <w:rFonts w:ascii="Arial" w:hAnsi="Arial" w:cs="Arial"/>
        </w:rPr>
        <w:t xml:space="preserve"> </w:t>
      </w:r>
      <w:r w:rsidR="00A1432B">
        <w:rPr>
          <w:rFonts w:ascii="Arial" w:hAnsi="Arial" w:cs="Arial"/>
        </w:rPr>
        <w:t xml:space="preserve">business </w:t>
      </w:r>
      <w:r w:rsidR="00220CC9">
        <w:rPr>
          <w:rFonts w:ascii="Arial" w:hAnsi="Arial" w:cs="Arial"/>
        </w:rPr>
        <w:t xml:space="preserve">premises </w:t>
      </w:r>
      <w:r w:rsidR="00DC2AA8">
        <w:rPr>
          <w:rFonts w:ascii="Arial" w:hAnsi="Arial" w:cs="Arial"/>
        </w:rPr>
        <w:t>or</w:t>
      </w:r>
      <w:r>
        <w:rPr>
          <w:rFonts w:ascii="Arial" w:hAnsi="Arial" w:cs="Arial"/>
        </w:rPr>
        <w:t xml:space="preserve"> private residence</w:t>
      </w:r>
      <w:r w:rsidR="00DC2AA8">
        <w:rPr>
          <w:rFonts w:ascii="Arial" w:hAnsi="Arial" w:cs="Arial"/>
        </w:rPr>
        <w:t xml:space="preserve">s are </w:t>
      </w:r>
      <w:r>
        <w:rPr>
          <w:rFonts w:ascii="Arial" w:hAnsi="Arial" w:cs="Arial"/>
        </w:rPr>
        <w:t>suspected to be used for a business to which the Act applies</w:t>
      </w:r>
      <w:r w:rsidR="00FD4F51">
        <w:rPr>
          <w:rFonts w:ascii="Arial" w:hAnsi="Arial" w:cs="Arial"/>
        </w:rPr>
        <w:t>,</w:t>
      </w:r>
      <w:r>
        <w:rPr>
          <w:rFonts w:ascii="Arial" w:hAnsi="Arial" w:cs="Arial"/>
        </w:rPr>
        <w:t xml:space="preserve"> but </w:t>
      </w:r>
      <w:r w:rsidR="00FD4F51">
        <w:rPr>
          <w:rFonts w:ascii="Arial" w:hAnsi="Arial" w:cs="Arial"/>
        </w:rPr>
        <w:t xml:space="preserve">is not licensed </w:t>
      </w:r>
      <w:r w:rsidR="00220CC9">
        <w:rPr>
          <w:rFonts w:ascii="Arial" w:hAnsi="Arial" w:cs="Arial"/>
        </w:rPr>
        <w:t xml:space="preserve">under </w:t>
      </w:r>
      <w:r w:rsidR="00A1432B">
        <w:rPr>
          <w:rFonts w:ascii="Arial" w:hAnsi="Arial" w:cs="Arial"/>
        </w:rPr>
        <w:t>the Act.</w:t>
      </w:r>
      <w:r w:rsidR="00FD4F51">
        <w:rPr>
          <w:rFonts w:ascii="Arial" w:hAnsi="Arial" w:cs="Arial"/>
        </w:rPr>
        <w:t xml:space="preserve"> Therefore, excluding such private residence</w:t>
      </w:r>
      <w:r w:rsidR="00740A9D">
        <w:rPr>
          <w:rFonts w:ascii="Arial" w:hAnsi="Arial" w:cs="Arial"/>
        </w:rPr>
        <w:t>s</w:t>
      </w:r>
      <w:r w:rsidR="00FD4F51">
        <w:rPr>
          <w:rFonts w:ascii="Arial" w:hAnsi="Arial" w:cs="Arial"/>
        </w:rPr>
        <w:t xml:space="preserve"> from the possibility of a warrantless search not supported.</w:t>
      </w:r>
    </w:p>
    <w:p w:rsidR="00A1432B" w:rsidRDefault="00A1432B" w:rsidP="00417254">
      <w:pPr>
        <w:pStyle w:val="NoSpacing"/>
        <w:jc w:val="both"/>
        <w:rPr>
          <w:rFonts w:ascii="Arial" w:hAnsi="Arial" w:cs="Arial"/>
        </w:rPr>
      </w:pPr>
    </w:p>
    <w:p w:rsidR="005418FC" w:rsidRDefault="00A1432B" w:rsidP="00417254">
      <w:pPr>
        <w:pStyle w:val="NoSpacing"/>
        <w:jc w:val="both"/>
        <w:rPr>
          <w:rFonts w:ascii="Arial" w:hAnsi="Arial" w:cs="Arial"/>
        </w:rPr>
      </w:pPr>
      <w:r>
        <w:rPr>
          <w:rFonts w:ascii="Arial" w:hAnsi="Arial" w:cs="Arial"/>
        </w:rPr>
        <w:t>4.</w:t>
      </w:r>
      <w:r>
        <w:rPr>
          <w:rFonts w:ascii="Arial" w:hAnsi="Arial" w:cs="Arial"/>
        </w:rPr>
        <w:tab/>
      </w:r>
      <w:r w:rsidR="00DC2AA8">
        <w:rPr>
          <w:rFonts w:ascii="Arial" w:hAnsi="Arial" w:cs="Arial"/>
        </w:rPr>
        <w:t>The DA proposes</w:t>
      </w:r>
      <w:r>
        <w:rPr>
          <w:rFonts w:ascii="Arial" w:hAnsi="Arial" w:cs="Arial"/>
        </w:rPr>
        <w:t xml:space="preserve"> that the provisions in </w:t>
      </w:r>
      <w:proofErr w:type="gramStart"/>
      <w:r>
        <w:rPr>
          <w:rFonts w:ascii="Arial" w:hAnsi="Arial" w:cs="Arial"/>
        </w:rPr>
        <w:t>45B(</w:t>
      </w:r>
      <w:proofErr w:type="gramEnd"/>
      <w:r>
        <w:rPr>
          <w:rFonts w:ascii="Arial" w:hAnsi="Arial" w:cs="Arial"/>
        </w:rPr>
        <w:t xml:space="preserve">1D) on the conduct of an inspection </w:t>
      </w:r>
      <w:r w:rsidR="00764417">
        <w:rPr>
          <w:rFonts w:ascii="Arial" w:hAnsi="Arial" w:cs="Arial"/>
        </w:rPr>
        <w:t xml:space="preserve">without a warrant </w:t>
      </w:r>
      <w:r>
        <w:rPr>
          <w:rFonts w:ascii="Arial" w:hAnsi="Arial" w:cs="Arial"/>
        </w:rPr>
        <w:t xml:space="preserve">also apply to inspections with </w:t>
      </w:r>
      <w:r w:rsidR="00764417">
        <w:rPr>
          <w:rFonts w:ascii="Arial" w:hAnsi="Arial" w:cs="Arial"/>
        </w:rPr>
        <w:t xml:space="preserve">a warrant </w:t>
      </w:r>
      <w:r>
        <w:rPr>
          <w:rFonts w:ascii="Arial" w:hAnsi="Arial" w:cs="Arial"/>
        </w:rPr>
        <w:t>(see</w:t>
      </w:r>
      <w:r w:rsidR="00764417">
        <w:rPr>
          <w:rFonts w:ascii="Arial" w:hAnsi="Arial" w:cs="Arial"/>
        </w:rPr>
        <w:t xml:space="preserve"> also proposed deletion of 45B(1E)</w:t>
      </w:r>
      <w:r w:rsidR="00FD4F51">
        <w:rPr>
          <w:rFonts w:ascii="Arial" w:hAnsi="Arial" w:cs="Arial"/>
        </w:rPr>
        <w:t xml:space="preserve"> in the DA’s proposal</w:t>
      </w:r>
      <w:r w:rsidR="00764417">
        <w:rPr>
          <w:rFonts w:ascii="Arial" w:hAnsi="Arial" w:cs="Arial"/>
        </w:rPr>
        <w:t>)</w:t>
      </w:r>
    </w:p>
    <w:p w:rsidR="00A1432B" w:rsidRDefault="00A1432B" w:rsidP="00417254">
      <w:pPr>
        <w:pStyle w:val="NoSpacing"/>
        <w:jc w:val="both"/>
        <w:rPr>
          <w:rFonts w:ascii="Arial" w:hAnsi="Arial" w:cs="Arial"/>
        </w:rPr>
      </w:pPr>
    </w:p>
    <w:p w:rsidR="00A1432B" w:rsidRDefault="00A1432B" w:rsidP="00417254">
      <w:pPr>
        <w:pStyle w:val="NoSpacing"/>
        <w:jc w:val="both"/>
        <w:rPr>
          <w:rFonts w:ascii="Arial" w:hAnsi="Arial" w:cs="Arial"/>
        </w:rPr>
      </w:pPr>
      <w:r>
        <w:rPr>
          <w:rFonts w:ascii="Arial" w:hAnsi="Arial" w:cs="Arial"/>
        </w:rPr>
        <w:t>Response</w:t>
      </w:r>
      <w:r w:rsidR="00764417">
        <w:rPr>
          <w:rFonts w:ascii="Arial" w:hAnsi="Arial" w:cs="Arial"/>
        </w:rPr>
        <w:t xml:space="preserve">: </w:t>
      </w:r>
      <w:r w:rsidR="00DC2AA8">
        <w:rPr>
          <w:rFonts w:ascii="Arial" w:hAnsi="Arial" w:cs="Arial"/>
        </w:rPr>
        <w:t xml:space="preserve">Propose that </w:t>
      </w:r>
      <w:proofErr w:type="gramStart"/>
      <w:r w:rsidR="00243DA2">
        <w:rPr>
          <w:rFonts w:ascii="Arial" w:hAnsi="Arial" w:cs="Arial"/>
        </w:rPr>
        <w:t>45B(</w:t>
      </w:r>
      <w:proofErr w:type="gramEnd"/>
      <w:r w:rsidR="00243DA2">
        <w:rPr>
          <w:rFonts w:ascii="Arial" w:hAnsi="Arial" w:cs="Arial"/>
        </w:rPr>
        <w:t xml:space="preserve">1E) </w:t>
      </w:r>
      <w:r w:rsidR="00DC2AA8">
        <w:rPr>
          <w:rFonts w:ascii="Arial" w:hAnsi="Arial" w:cs="Arial"/>
        </w:rPr>
        <w:t xml:space="preserve">be retained since it </w:t>
      </w:r>
      <w:r w:rsidR="00243DA2">
        <w:rPr>
          <w:rFonts w:ascii="Arial" w:hAnsi="Arial" w:cs="Arial"/>
        </w:rPr>
        <w:t xml:space="preserve">applies </w:t>
      </w:r>
      <w:r w:rsidR="00764417">
        <w:rPr>
          <w:rFonts w:ascii="Arial" w:hAnsi="Arial" w:cs="Arial"/>
        </w:rPr>
        <w:t>relevant provisions of 45B</w:t>
      </w:r>
      <w:r w:rsidR="00243DA2">
        <w:rPr>
          <w:rFonts w:ascii="Arial" w:hAnsi="Arial" w:cs="Arial"/>
        </w:rPr>
        <w:t xml:space="preserve">(1D), namely 45B(1D)(c) and (d) </w:t>
      </w:r>
      <w:r w:rsidR="00764417">
        <w:rPr>
          <w:rFonts w:ascii="Arial" w:hAnsi="Arial" w:cs="Arial"/>
        </w:rPr>
        <w:t>to inspections with a warrant. The reasonable time and notice requirements</w:t>
      </w:r>
      <w:r w:rsidR="00243DA2">
        <w:rPr>
          <w:rFonts w:ascii="Arial" w:hAnsi="Arial" w:cs="Arial"/>
        </w:rPr>
        <w:t xml:space="preserve"> in </w:t>
      </w:r>
      <w:proofErr w:type="gramStart"/>
      <w:r w:rsidR="00243DA2">
        <w:rPr>
          <w:rFonts w:ascii="Arial" w:hAnsi="Arial" w:cs="Arial"/>
        </w:rPr>
        <w:t>45B(</w:t>
      </w:r>
      <w:proofErr w:type="gramEnd"/>
      <w:r w:rsidR="00243DA2">
        <w:rPr>
          <w:rFonts w:ascii="Arial" w:hAnsi="Arial" w:cs="Arial"/>
        </w:rPr>
        <w:t xml:space="preserve">1D)(a) and (b) do not apply to </w:t>
      </w:r>
      <w:r w:rsidR="00764417">
        <w:rPr>
          <w:rFonts w:ascii="Arial" w:hAnsi="Arial" w:cs="Arial"/>
        </w:rPr>
        <w:t xml:space="preserve">inspections with a warrant because the warrant </w:t>
      </w:r>
      <w:r w:rsidR="00243DA2">
        <w:rPr>
          <w:rFonts w:ascii="Arial" w:hAnsi="Arial" w:cs="Arial"/>
        </w:rPr>
        <w:t>itself will determine</w:t>
      </w:r>
      <w:r w:rsidR="00764417">
        <w:rPr>
          <w:rFonts w:ascii="Arial" w:hAnsi="Arial" w:cs="Arial"/>
        </w:rPr>
        <w:t xml:space="preserve"> these requirements.</w:t>
      </w:r>
    </w:p>
    <w:p w:rsidR="00243DA2" w:rsidRDefault="00243DA2" w:rsidP="00417254">
      <w:pPr>
        <w:pStyle w:val="NoSpacing"/>
        <w:jc w:val="both"/>
        <w:rPr>
          <w:rFonts w:ascii="Arial" w:hAnsi="Arial" w:cs="Arial"/>
        </w:rPr>
      </w:pPr>
    </w:p>
    <w:p w:rsidR="00AA4A50" w:rsidRDefault="00DC2AA8" w:rsidP="00417254">
      <w:pPr>
        <w:pStyle w:val="NoSpacing"/>
        <w:jc w:val="both"/>
        <w:rPr>
          <w:rFonts w:ascii="Arial" w:hAnsi="Arial" w:cs="Arial"/>
        </w:rPr>
      </w:pPr>
      <w:r>
        <w:rPr>
          <w:rFonts w:ascii="Arial" w:hAnsi="Arial" w:cs="Arial"/>
        </w:rPr>
        <w:t>5.</w:t>
      </w:r>
      <w:r>
        <w:rPr>
          <w:rFonts w:ascii="Arial" w:hAnsi="Arial" w:cs="Arial"/>
        </w:rPr>
        <w:tab/>
        <w:t>The DA proposes</w:t>
      </w:r>
      <w:r w:rsidR="00243DA2">
        <w:rPr>
          <w:rFonts w:ascii="Arial" w:hAnsi="Arial" w:cs="Arial"/>
        </w:rPr>
        <w:t xml:space="preserve"> that an inspection with or without a warrant be </w:t>
      </w:r>
      <w:r w:rsidR="005E252F">
        <w:rPr>
          <w:rFonts w:ascii="Arial" w:hAnsi="Arial" w:cs="Arial"/>
        </w:rPr>
        <w:t xml:space="preserve">at </w:t>
      </w:r>
      <w:r w:rsidR="00243DA2">
        <w:rPr>
          <w:rFonts w:ascii="Arial" w:hAnsi="Arial" w:cs="Arial"/>
        </w:rPr>
        <w:t xml:space="preserve">a reasonable time within ordinary business hours except if the inspection </w:t>
      </w:r>
      <w:r w:rsidR="005E252F">
        <w:rPr>
          <w:rFonts w:ascii="Arial" w:hAnsi="Arial" w:cs="Arial"/>
        </w:rPr>
        <w:t xml:space="preserve">is </w:t>
      </w:r>
      <w:r w:rsidR="00243DA2">
        <w:rPr>
          <w:rFonts w:ascii="Arial" w:hAnsi="Arial" w:cs="Arial"/>
        </w:rPr>
        <w:t xml:space="preserve">without a warrant with internal prior authority, then it must be done as close to the ordinary business hours as the circumstances </w:t>
      </w:r>
      <w:r w:rsidR="00AA4A50">
        <w:rPr>
          <w:rFonts w:ascii="Arial" w:hAnsi="Arial" w:cs="Arial"/>
        </w:rPr>
        <w:t>reasonably</w:t>
      </w:r>
      <w:r w:rsidR="00243DA2">
        <w:rPr>
          <w:rFonts w:ascii="Arial" w:hAnsi="Arial" w:cs="Arial"/>
        </w:rPr>
        <w:t xml:space="preserve"> permit (45B(1D)(a)). </w:t>
      </w:r>
    </w:p>
    <w:p w:rsidR="00AA4A50" w:rsidRDefault="00AA4A50" w:rsidP="00417254">
      <w:pPr>
        <w:pStyle w:val="NoSpacing"/>
        <w:jc w:val="both"/>
        <w:rPr>
          <w:rFonts w:ascii="Arial" w:hAnsi="Arial" w:cs="Arial"/>
        </w:rPr>
      </w:pPr>
    </w:p>
    <w:p w:rsidR="00AA4A50" w:rsidRDefault="00AA4A50" w:rsidP="00417254">
      <w:pPr>
        <w:pStyle w:val="NoSpacing"/>
        <w:jc w:val="both"/>
        <w:rPr>
          <w:rFonts w:ascii="Arial" w:hAnsi="Arial" w:cs="Arial"/>
        </w:rPr>
      </w:pPr>
      <w:r>
        <w:rPr>
          <w:rFonts w:ascii="Arial" w:hAnsi="Arial" w:cs="Arial"/>
        </w:rPr>
        <w:t xml:space="preserve">Response: </w:t>
      </w:r>
      <w:r w:rsidR="00243DA2">
        <w:rPr>
          <w:rFonts w:ascii="Arial" w:hAnsi="Arial" w:cs="Arial"/>
        </w:rPr>
        <w:t>In NT’</w:t>
      </w:r>
      <w:r>
        <w:rPr>
          <w:rFonts w:ascii="Arial" w:hAnsi="Arial" w:cs="Arial"/>
        </w:rPr>
        <w:t xml:space="preserve">s proposed </w:t>
      </w:r>
      <w:proofErr w:type="gramStart"/>
      <w:r>
        <w:rPr>
          <w:rFonts w:ascii="Arial" w:hAnsi="Arial" w:cs="Arial"/>
        </w:rPr>
        <w:t>45B(</w:t>
      </w:r>
      <w:proofErr w:type="gramEnd"/>
      <w:r>
        <w:rPr>
          <w:rFonts w:ascii="Arial" w:hAnsi="Arial" w:cs="Arial"/>
        </w:rPr>
        <w:t xml:space="preserve">1D) </w:t>
      </w:r>
      <w:r w:rsidR="00243DA2">
        <w:rPr>
          <w:rFonts w:ascii="Arial" w:hAnsi="Arial" w:cs="Arial"/>
        </w:rPr>
        <w:t xml:space="preserve">inspections </w:t>
      </w:r>
      <w:r>
        <w:rPr>
          <w:rFonts w:ascii="Arial" w:hAnsi="Arial" w:cs="Arial"/>
        </w:rPr>
        <w:t>without a warrant requirement in terms of 45B(1)(b) or inspections without a warrant in terms of 45(1C) (with consent of relevant persons or prior internal authority), the inspection must be-</w:t>
      </w:r>
    </w:p>
    <w:p w:rsidR="00243DA2" w:rsidRDefault="00AA4A50" w:rsidP="00AA4A50">
      <w:pPr>
        <w:pStyle w:val="NoSpacing"/>
        <w:ind w:left="720"/>
        <w:jc w:val="both"/>
        <w:rPr>
          <w:rFonts w:ascii="Arial" w:hAnsi="Arial" w:cs="Arial"/>
        </w:rPr>
      </w:pPr>
      <w:r>
        <w:rPr>
          <w:rFonts w:ascii="Arial" w:hAnsi="Arial" w:cs="Arial"/>
        </w:rPr>
        <w:t>“at a reasonable time within ordinary business hours or, if the inspector on reasonable grounds believes that the purposes for which the entry and inspection is sought, is likely to be defeated by a delay, as closely as possible to ordinary business hours as the circumstances reasonably permit”.</w:t>
      </w:r>
    </w:p>
    <w:p w:rsidR="00DC2AA8" w:rsidRDefault="00DC2AA8" w:rsidP="00AA4A50">
      <w:pPr>
        <w:pStyle w:val="NoSpacing"/>
        <w:jc w:val="both"/>
        <w:rPr>
          <w:rFonts w:ascii="Arial" w:hAnsi="Arial" w:cs="Arial"/>
        </w:rPr>
      </w:pPr>
    </w:p>
    <w:p w:rsidR="00AA4A50" w:rsidRDefault="00FD632F" w:rsidP="00AA4A50">
      <w:pPr>
        <w:pStyle w:val="NoSpacing"/>
        <w:jc w:val="both"/>
        <w:rPr>
          <w:rFonts w:ascii="Arial" w:hAnsi="Arial" w:cs="Arial"/>
        </w:rPr>
      </w:pPr>
      <w:r>
        <w:rPr>
          <w:rFonts w:ascii="Arial" w:hAnsi="Arial" w:cs="Arial"/>
        </w:rPr>
        <w:t>It is proposed that th</w:t>
      </w:r>
      <w:r w:rsidR="00AA4A50">
        <w:rPr>
          <w:rFonts w:ascii="Arial" w:hAnsi="Arial" w:cs="Arial"/>
        </w:rPr>
        <w:t xml:space="preserve">e </w:t>
      </w:r>
      <w:r>
        <w:rPr>
          <w:rFonts w:ascii="Arial" w:hAnsi="Arial" w:cs="Arial"/>
        </w:rPr>
        <w:t xml:space="preserve">above </w:t>
      </w:r>
      <w:r w:rsidR="00AA4A50">
        <w:rPr>
          <w:rFonts w:ascii="Arial" w:hAnsi="Arial" w:cs="Arial"/>
        </w:rPr>
        <w:t>wording be retained</w:t>
      </w:r>
      <w:r w:rsidR="00682D1D">
        <w:rPr>
          <w:rFonts w:ascii="Arial" w:hAnsi="Arial" w:cs="Arial"/>
        </w:rPr>
        <w:t>. However, since inspections outside ordinary business hours is not necessary for inspections not requiring a warrant (</w:t>
      </w:r>
      <w:proofErr w:type="gramStart"/>
      <w:r w:rsidR="00682D1D">
        <w:rPr>
          <w:rFonts w:ascii="Arial" w:hAnsi="Arial" w:cs="Arial"/>
        </w:rPr>
        <w:t>45B(</w:t>
      </w:r>
      <w:proofErr w:type="gramEnd"/>
      <w:r w:rsidR="00682D1D">
        <w:rPr>
          <w:rFonts w:ascii="Arial" w:hAnsi="Arial" w:cs="Arial"/>
        </w:rPr>
        <w:t>1)(b)</w:t>
      </w:r>
      <w:r>
        <w:rPr>
          <w:rFonts w:ascii="Arial" w:hAnsi="Arial" w:cs="Arial"/>
        </w:rPr>
        <w:t>)</w:t>
      </w:r>
      <w:r w:rsidR="00682D1D">
        <w:rPr>
          <w:rFonts w:ascii="Arial" w:hAnsi="Arial" w:cs="Arial"/>
        </w:rPr>
        <w:t xml:space="preserve"> or inspections</w:t>
      </w:r>
      <w:r w:rsidR="00DC2AA8">
        <w:rPr>
          <w:rFonts w:ascii="Arial" w:hAnsi="Arial" w:cs="Arial"/>
        </w:rPr>
        <w:t xml:space="preserve"> with consent (45B(1C)(a), </w:t>
      </w:r>
      <w:r w:rsidR="00682D1D">
        <w:rPr>
          <w:rFonts w:ascii="Arial" w:hAnsi="Arial" w:cs="Arial"/>
        </w:rPr>
        <w:t xml:space="preserve">inspections </w:t>
      </w:r>
      <w:r w:rsidR="00DC2AA8">
        <w:rPr>
          <w:rFonts w:ascii="Arial" w:hAnsi="Arial" w:cs="Arial"/>
        </w:rPr>
        <w:t xml:space="preserve">outside business hours </w:t>
      </w:r>
      <w:r w:rsidR="00682D1D">
        <w:rPr>
          <w:rFonts w:ascii="Arial" w:hAnsi="Arial" w:cs="Arial"/>
        </w:rPr>
        <w:t>should be limited to inspections witho</w:t>
      </w:r>
      <w:r>
        <w:rPr>
          <w:rFonts w:ascii="Arial" w:hAnsi="Arial" w:cs="Arial"/>
        </w:rPr>
        <w:t xml:space="preserve">ut a warrant conducted with </w:t>
      </w:r>
      <w:r w:rsidR="00682D1D">
        <w:rPr>
          <w:rFonts w:ascii="Arial" w:hAnsi="Arial" w:cs="Arial"/>
        </w:rPr>
        <w:t>prior internal authority (45B(1C)(b)</w:t>
      </w:r>
      <w:r>
        <w:rPr>
          <w:rFonts w:ascii="Arial" w:hAnsi="Arial" w:cs="Arial"/>
        </w:rPr>
        <w:t>)</w:t>
      </w:r>
      <w:r w:rsidR="00682D1D">
        <w:rPr>
          <w:rFonts w:ascii="Arial" w:hAnsi="Arial" w:cs="Arial"/>
        </w:rPr>
        <w:t>. See the proposed insertion below.</w:t>
      </w:r>
    </w:p>
    <w:p w:rsidR="00682D1D" w:rsidRDefault="00682D1D" w:rsidP="00682D1D">
      <w:pPr>
        <w:pStyle w:val="NoSpacing"/>
        <w:ind w:left="720"/>
        <w:jc w:val="both"/>
        <w:rPr>
          <w:rFonts w:ascii="Arial" w:hAnsi="Arial" w:cs="Arial"/>
        </w:rPr>
      </w:pPr>
      <w:r>
        <w:rPr>
          <w:rFonts w:ascii="Arial" w:hAnsi="Arial" w:cs="Arial"/>
        </w:rPr>
        <w:t>“at a reasonable time within ordinary business hours or</w:t>
      </w:r>
      <w:r w:rsidRPr="00682D1D">
        <w:rPr>
          <w:rFonts w:ascii="Arial" w:hAnsi="Arial" w:cs="Arial"/>
          <w:u w:val="single"/>
        </w:rPr>
        <w:t>, in the case of the entry and inspection in terms of subsection (1C</w:t>
      </w:r>
      <w:proofErr w:type="gramStart"/>
      <w:r w:rsidRPr="00682D1D">
        <w:rPr>
          <w:rFonts w:ascii="Arial" w:hAnsi="Arial" w:cs="Arial"/>
          <w:u w:val="single"/>
        </w:rPr>
        <w:t>)(</w:t>
      </w:r>
      <w:proofErr w:type="gramEnd"/>
      <w:r w:rsidRPr="00682D1D">
        <w:rPr>
          <w:rFonts w:ascii="Arial" w:hAnsi="Arial" w:cs="Arial"/>
          <w:u w:val="single"/>
        </w:rPr>
        <w:t>b)</w:t>
      </w:r>
      <w:r>
        <w:rPr>
          <w:rFonts w:ascii="Arial" w:hAnsi="Arial" w:cs="Arial"/>
        </w:rPr>
        <w:t>, if the inspector on reasonable grounds believes that the purposes for which the entry and inspection is sought, is likely to be defeated by a delay, as closely as possible to ordinary business hours as the circumstances reasonably permit”.</w:t>
      </w:r>
    </w:p>
    <w:p w:rsidR="00682D1D" w:rsidRDefault="00682D1D" w:rsidP="00AA4A50">
      <w:pPr>
        <w:pStyle w:val="NoSpacing"/>
        <w:jc w:val="both"/>
        <w:rPr>
          <w:rFonts w:ascii="Arial" w:hAnsi="Arial" w:cs="Arial"/>
        </w:rPr>
      </w:pPr>
    </w:p>
    <w:p w:rsidR="0015452A" w:rsidRDefault="0015452A" w:rsidP="00AA4A50">
      <w:pPr>
        <w:pStyle w:val="NoSpacing"/>
        <w:jc w:val="both"/>
        <w:rPr>
          <w:rFonts w:ascii="Arial" w:hAnsi="Arial" w:cs="Arial"/>
        </w:rPr>
      </w:pPr>
      <w:r>
        <w:rPr>
          <w:rFonts w:ascii="Arial" w:hAnsi="Arial" w:cs="Arial"/>
        </w:rPr>
        <w:t>6.</w:t>
      </w:r>
      <w:r>
        <w:rPr>
          <w:rFonts w:ascii="Arial" w:hAnsi="Arial" w:cs="Arial"/>
        </w:rPr>
        <w:tab/>
      </w:r>
      <w:r w:rsidR="00DC2AA8">
        <w:rPr>
          <w:rFonts w:ascii="Arial" w:hAnsi="Arial" w:cs="Arial"/>
        </w:rPr>
        <w:t>The DA’s p</w:t>
      </w:r>
      <w:r>
        <w:rPr>
          <w:rFonts w:ascii="Arial" w:hAnsi="Arial" w:cs="Arial"/>
        </w:rPr>
        <w:t>ropose</w:t>
      </w:r>
      <w:r w:rsidR="00DC2AA8">
        <w:rPr>
          <w:rFonts w:ascii="Arial" w:hAnsi="Arial" w:cs="Arial"/>
        </w:rPr>
        <w:t>s</w:t>
      </w:r>
      <w:r>
        <w:rPr>
          <w:rFonts w:ascii="Arial" w:hAnsi="Arial" w:cs="Arial"/>
        </w:rPr>
        <w:t xml:space="preserve"> to add provision in 45B(1D)(d) to limit the scope of an inspection to only such documents and items as are reasonably relevant to the purpose of the inspection.</w:t>
      </w:r>
    </w:p>
    <w:p w:rsidR="0015452A" w:rsidRDefault="0015452A" w:rsidP="00AA4A50">
      <w:pPr>
        <w:pStyle w:val="NoSpacing"/>
        <w:jc w:val="both"/>
        <w:rPr>
          <w:rFonts w:ascii="Arial" w:hAnsi="Arial" w:cs="Arial"/>
        </w:rPr>
      </w:pPr>
    </w:p>
    <w:p w:rsidR="0015452A" w:rsidRDefault="0015452A" w:rsidP="00AA4A50">
      <w:pPr>
        <w:pStyle w:val="NoSpacing"/>
        <w:jc w:val="both"/>
        <w:rPr>
          <w:rFonts w:ascii="Arial" w:hAnsi="Arial" w:cs="Arial"/>
        </w:rPr>
      </w:pPr>
      <w:r>
        <w:rPr>
          <w:rFonts w:ascii="Arial" w:hAnsi="Arial" w:cs="Arial"/>
        </w:rPr>
        <w:t xml:space="preserve">Response: </w:t>
      </w:r>
      <w:r w:rsidR="008D05B9">
        <w:rPr>
          <w:rFonts w:ascii="Arial" w:hAnsi="Arial" w:cs="Arial"/>
        </w:rPr>
        <w:t xml:space="preserve">Unnecessary. Provision is made in NT’s proposed </w:t>
      </w:r>
      <w:proofErr w:type="gramStart"/>
      <w:r w:rsidR="008D05B9">
        <w:rPr>
          <w:rFonts w:ascii="Arial" w:hAnsi="Arial" w:cs="Arial"/>
        </w:rPr>
        <w:t>45B(</w:t>
      </w:r>
      <w:proofErr w:type="gramEnd"/>
      <w:r w:rsidR="008D05B9">
        <w:rPr>
          <w:rFonts w:ascii="Arial" w:hAnsi="Arial" w:cs="Arial"/>
        </w:rPr>
        <w:t>1D)(d)(</w:t>
      </w:r>
      <w:proofErr w:type="spellStart"/>
      <w:r w:rsidR="008D05B9">
        <w:rPr>
          <w:rFonts w:ascii="Arial" w:hAnsi="Arial" w:cs="Arial"/>
        </w:rPr>
        <w:t>i</w:t>
      </w:r>
      <w:proofErr w:type="spellEnd"/>
      <w:r w:rsidR="008D05B9">
        <w:rPr>
          <w:rFonts w:ascii="Arial" w:hAnsi="Arial" w:cs="Arial"/>
        </w:rPr>
        <w:t xml:space="preserve">) that entering and inspecting is limited to “areas or objects reasonably required for purposes of 45B(2). </w:t>
      </w:r>
      <w:proofErr w:type="gramStart"/>
      <w:r w:rsidR="008D05B9">
        <w:rPr>
          <w:rFonts w:ascii="Arial" w:hAnsi="Arial" w:cs="Arial"/>
        </w:rPr>
        <w:t>45B(</w:t>
      </w:r>
      <w:proofErr w:type="gramEnd"/>
      <w:r w:rsidR="008D05B9">
        <w:rPr>
          <w:rFonts w:ascii="Arial" w:hAnsi="Arial" w:cs="Arial"/>
        </w:rPr>
        <w:t>2) list</w:t>
      </w:r>
      <w:r w:rsidR="00DC2AA8">
        <w:rPr>
          <w:rFonts w:ascii="Arial" w:hAnsi="Arial" w:cs="Arial"/>
        </w:rPr>
        <w:t>s</w:t>
      </w:r>
      <w:r w:rsidR="008D05B9">
        <w:rPr>
          <w:rFonts w:ascii="Arial" w:hAnsi="Arial" w:cs="Arial"/>
        </w:rPr>
        <w:t xml:space="preserve"> the acts an inspector may perform in a conducting an inspection. The purpose of an inspection is that of compliance and is explicitly stated in </w:t>
      </w:r>
      <w:proofErr w:type="gramStart"/>
      <w:r w:rsidR="008D05B9">
        <w:rPr>
          <w:rFonts w:ascii="Arial" w:hAnsi="Arial" w:cs="Arial"/>
        </w:rPr>
        <w:t>45B(</w:t>
      </w:r>
      <w:proofErr w:type="gramEnd"/>
      <w:r w:rsidR="008D05B9">
        <w:rPr>
          <w:rFonts w:ascii="Arial" w:hAnsi="Arial" w:cs="Arial"/>
        </w:rPr>
        <w:t>1), (1A) and (1C) (referring to (1A)</w:t>
      </w:r>
      <w:r w:rsidR="00DC2AA8">
        <w:rPr>
          <w:rFonts w:ascii="Arial" w:hAnsi="Arial" w:cs="Arial"/>
        </w:rPr>
        <w:t>)</w:t>
      </w:r>
      <w:r w:rsidR="008D05B9">
        <w:rPr>
          <w:rFonts w:ascii="Arial" w:hAnsi="Arial" w:cs="Arial"/>
        </w:rPr>
        <w:t>.</w:t>
      </w:r>
    </w:p>
    <w:p w:rsidR="0015452A" w:rsidRDefault="0015452A" w:rsidP="00AA4A50">
      <w:pPr>
        <w:pStyle w:val="NoSpacing"/>
        <w:jc w:val="both"/>
        <w:rPr>
          <w:rFonts w:ascii="Arial" w:hAnsi="Arial" w:cs="Arial"/>
        </w:rPr>
      </w:pPr>
    </w:p>
    <w:p w:rsidR="0015452A" w:rsidRDefault="00947474" w:rsidP="00AA4A50">
      <w:pPr>
        <w:pStyle w:val="NoSpacing"/>
        <w:jc w:val="both"/>
        <w:rPr>
          <w:rFonts w:ascii="Arial" w:hAnsi="Arial" w:cs="Arial"/>
        </w:rPr>
      </w:pPr>
      <w:r>
        <w:rPr>
          <w:rFonts w:ascii="Arial" w:hAnsi="Arial" w:cs="Arial"/>
        </w:rPr>
        <w:t>7.</w:t>
      </w:r>
      <w:r>
        <w:rPr>
          <w:rFonts w:ascii="Arial" w:hAnsi="Arial" w:cs="Arial"/>
        </w:rPr>
        <w:tab/>
      </w:r>
      <w:r w:rsidR="00DC2AA8">
        <w:rPr>
          <w:rFonts w:ascii="Arial" w:hAnsi="Arial" w:cs="Arial"/>
        </w:rPr>
        <w:t>The DA p</w:t>
      </w:r>
      <w:r>
        <w:rPr>
          <w:rFonts w:ascii="Arial" w:hAnsi="Arial" w:cs="Arial"/>
        </w:rPr>
        <w:t>ropose</w:t>
      </w:r>
      <w:r w:rsidR="00DC2AA8">
        <w:rPr>
          <w:rFonts w:ascii="Arial" w:hAnsi="Arial" w:cs="Arial"/>
        </w:rPr>
        <w:t>s</w:t>
      </w:r>
      <w:r>
        <w:rPr>
          <w:rFonts w:ascii="Arial" w:hAnsi="Arial" w:cs="Arial"/>
        </w:rPr>
        <w:t xml:space="preserve"> to add </w:t>
      </w:r>
      <w:r w:rsidR="0026195C">
        <w:rPr>
          <w:rFonts w:ascii="Arial" w:hAnsi="Arial" w:cs="Arial"/>
        </w:rPr>
        <w:t xml:space="preserve">paragraph (e) in </w:t>
      </w:r>
      <w:proofErr w:type="gramStart"/>
      <w:r w:rsidR="0015452A">
        <w:rPr>
          <w:rFonts w:ascii="Arial" w:hAnsi="Arial" w:cs="Arial"/>
        </w:rPr>
        <w:t>45B(</w:t>
      </w:r>
      <w:proofErr w:type="gramEnd"/>
      <w:r w:rsidR="0015452A">
        <w:rPr>
          <w:rFonts w:ascii="Arial" w:hAnsi="Arial" w:cs="Arial"/>
        </w:rPr>
        <w:t xml:space="preserve">1D) that the inspection must only be for the purpose of determining compliance and </w:t>
      </w:r>
      <w:r w:rsidR="00F10EBE">
        <w:rPr>
          <w:rFonts w:ascii="Arial" w:hAnsi="Arial" w:cs="Arial"/>
        </w:rPr>
        <w:t xml:space="preserve">that </w:t>
      </w:r>
      <w:r w:rsidR="00DC2AA8">
        <w:rPr>
          <w:rFonts w:ascii="Arial" w:hAnsi="Arial" w:cs="Arial"/>
        </w:rPr>
        <w:t>the specific</w:t>
      </w:r>
      <w:r w:rsidR="0015452A">
        <w:rPr>
          <w:rFonts w:ascii="Arial" w:hAnsi="Arial" w:cs="Arial"/>
        </w:rPr>
        <w:t xml:space="preserve"> provisions</w:t>
      </w:r>
      <w:r w:rsidR="00DC2AA8">
        <w:rPr>
          <w:rFonts w:ascii="Arial" w:hAnsi="Arial" w:cs="Arial"/>
        </w:rPr>
        <w:t xml:space="preserve"> be mentioned</w:t>
      </w:r>
      <w:r w:rsidR="0015452A">
        <w:rPr>
          <w:rFonts w:ascii="Arial" w:hAnsi="Arial" w:cs="Arial"/>
        </w:rPr>
        <w:t>.</w:t>
      </w:r>
    </w:p>
    <w:p w:rsidR="0015452A" w:rsidRDefault="0015452A" w:rsidP="00AA4A50">
      <w:pPr>
        <w:pStyle w:val="NoSpacing"/>
        <w:jc w:val="both"/>
        <w:rPr>
          <w:rFonts w:ascii="Arial" w:hAnsi="Arial" w:cs="Arial"/>
        </w:rPr>
      </w:pPr>
    </w:p>
    <w:p w:rsidR="0015452A" w:rsidRPr="00417254" w:rsidRDefault="0015452A" w:rsidP="00AA4A50">
      <w:pPr>
        <w:pStyle w:val="NoSpacing"/>
        <w:jc w:val="both"/>
        <w:rPr>
          <w:rFonts w:ascii="Arial" w:hAnsi="Arial" w:cs="Arial"/>
        </w:rPr>
      </w:pPr>
      <w:r>
        <w:rPr>
          <w:rFonts w:ascii="Arial" w:hAnsi="Arial" w:cs="Arial"/>
        </w:rPr>
        <w:t>Response:</w:t>
      </w:r>
      <w:r w:rsidR="0026195C">
        <w:rPr>
          <w:rFonts w:ascii="Arial" w:hAnsi="Arial" w:cs="Arial"/>
        </w:rPr>
        <w:t xml:space="preserve"> </w:t>
      </w:r>
      <w:r w:rsidR="00947474">
        <w:rPr>
          <w:rFonts w:ascii="Arial" w:hAnsi="Arial" w:cs="Arial"/>
        </w:rPr>
        <w:t xml:space="preserve">Unnecessary in view of NT’s proposal to define “compliance” in </w:t>
      </w:r>
      <w:proofErr w:type="gramStart"/>
      <w:r w:rsidR="00947474">
        <w:rPr>
          <w:rFonts w:ascii="Arial" w:hAnsi="Arial" w:cs="Arial"/>
        </w:rPr>
        <w:t>45B(</w:t>
      </w:r>
      <w:proofErr w:type="gramEnd"/>
      <w:r w:rsidR="00947474">
        <w:rPr>
          <w:rFonts w:ascii="Arial" w:hAnsi="Arial" w:cs="Arial"/>
        </w:rPr>
        <w:t xml:space="preserve">1)(a) and provisions in 45B(1)(b), 45B(1A) and (1C) (referring to (1A)) clearly </w:t>
      </w:r>
      <w:r w:rsidR="00FD632F">
        <w:rPr>
          <w:rFonts w:ascii="Arial" w:hAnsi="Arial" w:cs="Arial"/>
        </w:rPr>
        <w:t>stipulating</w:t>
      </w:r>
      <w:r w:rsidR="008D05B9">
        <w:rPr>
          <w:rFonts w:ascii="Arial" w:hAnsi="Arial" w:cs="Arial"/>
        </w:rPr>
        <w:t xml:space="preserve"> that</w:t>
      </w:r>
      <w:r w:rsidR="00947474">
        <w:rPr>
          <w:rFonts w:ascii="Arial" w:hAnsi="Arial" w:cs="Arial"/>
        </w:rPr>
        <w:t xml:space="preserve"> inspections must be done for purposes of compliance. </w:t>
      </w:r>
    </w:p>
    <w:sectPr w:rsidR="0015452A" w:rsidRPr="00417254" w:rsidSect="00A1432B">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DE" w:rsidRDefault="003B04DE" w:rsidP="005C6599">
      <w:pPr>
        <w:spacing w:after="0" w:line="240" w:lineRule="auto"/>
      </w:pPr>
      <w:r>
        <w:separator/>
      </w:r>
    </w:p>
  </w:endnote>
  <w:endnote w:type="continuationSeparator" w:id="0">
    <w:p w:rsidR="003B04DE" w:rsidRDefault="003B04DE" w:rsidP="005C6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DE" w:rsidRDefault="003B04DE" w:rsidP="005C6599">
      <w:pPr>
        <w:spacing w:after="0" w:line="240" w:lineRule="auto"/>
      </w:pPr>
      <w:r>
        <w:separator/>
      </w:r>
    </w:p>
  </w:footnote>
  <w:footnote w:type="continuationSeparator" w:id="0">
    <w:p w:rsidR="003B04DE" w:rsidRDefault="003B04DE" w:rsidP="005C6599">
      <w:pPr>
        <w:spacing w:after="0" w:line="240" w:lineRule="auto"/>
      </w:pPr>
      <w:r>
        <w:continuationSeparator/>
      </w:r>
    </w:p>
  </w:footnote>
  <w:footnote w:id="1">
    <w:p w:rsidR="00FD632F" w:rsidRDefault="00FD632F" w:rsidP="00FD632F">
      <w:pPr>
        <w:pStyle w:val="FootnoteText"/>
      </w:pPr>
      <w:r>
        <w:rPr>
          <w:rStyle w:val="FootnoteReference"/>
        </w:rPr>
        <w:footnoteRef/>
      </w:r>
      <w:r>
        <w:t xml:space="preserve"> Also means registered or authorised as applicable.</w:t>
      </w:r>
    </w:p>
  </w:footnote>
  <w:footnote w:id="2">
    <w:p w:rsidR="00195532" w:rsidRDefault="00195532">
      <w:pPr>
        <w:pStyle w:val="FootnoteText"/>
      </w:pPr>
      <w:r>
        <w:rPr>
          <w:rStyle w:val="FootnoteReference"/>
        </w:rPr>
        <w:footnoteRef/>
      </w:r>
      <w:r>
        <w:rPr>
          <w:rStyle w:val="FootnoteReference"/>
        </w:rPr>
        <w:footnoteRef/>
      </w:r>
      <w:r>
        <w:t xml:space="preserve"> Also means a reporting institution.</w:t>
      </w:r>
    </w:p>
  </w:footnote>
  <w:footnote w:id="3">
    <w:p w:rsidR="005C6599" w:rsidRPr="00A139E4" w:rsidRDefault="005C6599" w:rsidP="00A139E4">
      <w:pPr>
        <w:pStyle w:val="NoSpacing"/>
        <w:jc w:val="both"/>
        <w:rPr>
          <w:sz w:val="20"/>
          <w:szCs w:val="20"/>
        </w:rPr>
      </w:pPr>
      <w:r w:rsidRPr="00A139E4">
        <w:rPr>
          <w:rStyle w:val="FootnoteReference"/>
          <w:sz w:val="20"/>
          <w:szCs w:val="20"/>
        </w:rPr>
        <w:footnoteRef/>
      </w:r>
      <w:r w:rsidRPr="00A139E4">
        <w:rPr>
          <w:sz w:val="20"/>
          <w:szCs w:val="20"/>
        </w:rPr>
        <w:t xml:space="preserve"> Par’s 62-64 of </w:t>
      </w:r>
      <w:r w:rsidRPr="00A139E4">
        <w:rPr>
          <w:i/>
          <w:sz w:val="20"/>
          <w:szCs w:val="20"/>
        </w:rPr>
        <w:t>Estate Agency Affairs Board v Auction Alliance (Pty) Ltd and others</w:t>
      </w:r>
      <w:r w:rsidRPr="00A139E4">
        <w:rPr>
          <w:sz w:val="20"/>
          <w:szCs w:val="20"/>
        </w:rPr>
        <w:t xml:space="preserve"> 2014 (4) BCLR 373 (CC))</w:t>
      </w:r>
      <w:r w:rsidR="00A139E4">
        <w:rPr>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3087"/>
      <w:docPartObj>
        <w:docPartGallery w:val="Page Numbers (Top of Page)"/>
        <w:docPartUnique/>
      </w:docPartObj>
    </w:sdtPr>
    <w:sdtEndPr>
      <w:rPr>
        <w:noProof/>
      </w:rPr>
    </w:sdtEndPr>
    <w:sdtContent>
      <w:p w:rsidR="00A1432B" w:rsidRDefault="00DE2FD5">
        <w:pPr>
          <w:pStyle w:val="Header"/>
          <w:jc w:val="right"/>
        </w:pPr>
        <w:r>
          <w:fldChar w:fldCharType="begin"/>
        </w:r>
        <w:r w:rsidR="00A1432B">
          <w:instrText xml:space="preserve"> PAGE   \* MERGEFORMAT </w:instrText>
        </w:r>
        <w:r>
          <w:fldChar w:fldCharType="separate"/>
        </w:r>
        <w:r w:rsidR="00FD7F38">
          <w:rPr>
            <w:noProof/>
          </w:rPr>
          <w:t>2</w:t>
        </w:r>
        <w:r>
          <w:rPr>
            <w:noProof/>
          </w:rPr>
          <w:fldChar w:fldCharType="end"/>
        </w:r>
      </w:p>
    </w:sdtContent>
  </w:sdt>
  <w:p w:rsidR="00A1432B" w:rsidRDefault="00A143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4169"/>
    <w:multiLevelType w:val="hybridMultilevel"/>
    <w:tmpl w:val="23BAED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04507B"/>
    <w:multiLevelType w:val="hybridMultilevel"/>
    <w:tmpl w:val="192880B0"/>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38A1B95"/>
    <w:multiLevelType w:val="hybridMultilevel"/>
    <w:tmpl w:val="9BEC3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52252BB"/>
    <w:multiLevelType w:val="hybridMultilevel"/>
    <w:tmpl w:val="3344FD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5821C2B"/>
    <w:multiLevelType w:val="hybridMultilevel"/>
    <w:tmpl w:val="C1022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5BB2229"/>
    <w:multiLevelType w:val="hybridMultilevel"/>
    <w:tmpl w:val="D1F422F2"/>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27EE2027"/>
    <w:multiLevelType w:val="hybridMultilevel"/>
    <w:tmpl w:val="155A963A"/>
    <w:lvl w:ilvl="0" w:tplc="0CD6DA0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4001A7"/>
    <w:multiLevelType w:val="hybridMultilevel"/>
    <w:tmpl w:val="407AF0E0"/>
    <w:lvl w:ilvl="0" w:tplc="1C09000D">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06C1016"/>
    <w:multiLevelType w:val="hybridMultilevel"/>
    <w:tmpl w:val="9B548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EAF5B6A"/>
    <w:multiLevelType w:val="hybridMultilevel"/>
    <w:tmpl w:val="64A45B8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8"/>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3C7E8A"/>
    <w:rsid w:val="0015452A"/>
    <w:rsid w:val="00190EB2"/>
    <w:rsid w:val="00195532"/>
    <w:rsid w:val="00220CC9"/>
    <w:rsid w:val="00243DA2"/>
    <w:rsid w:val="0026195C"/>
    <w:rsid w:val="00314DAE"/>
    <w:rsid w:val="00334BD6"/>
    <w:rsid w:val="003B04DE"/>
    <w:rsid w:val="003C3304"/>
    <w:rsid w:val="003C7E8A"/>
    <w:rsid w:val="00417254"/>
    <w:rsid w:val="00493D27"/>
    <w:rsid w:val="004E5D5E"/>
    <w:rsid w:val="005418FC"/>
    <w:rsid w:val="00560360"/>
    <w:rsid w:val="005A5FA2"/>
    <w:rsid w:val="005C6599"/>
    <w:rsid w:val="005E252F"/>
    <w:rsid w:val="00651EE0"/>
    <w:rsid w:val="00682D1D"/>
    <w:rsid w:val="0069631A"/>
    <w:rsid w:val="00740A9D"/>
    <w:rsid w:val="00764417"/>
    <w:rsid w:val="008D05B9"/>
    <w:rsid w:val="00947474"/>
    <w:rsid w:val="009864EA"/>
    <w:rsid w:val="00A139E4"/>
    <w:rsid w:val="00A1432B"/>
    <w:rsid w:val="00AA4A50"/>
    <w:rsid w:val="00B93483"/>
    <w:rsid w:val="00C3213F"/>
    <w:rsid w:val="00D01EB0"/>
    <w:rsid w:val="00D75786"/>
    <w:rsid w:val="00DC2AA8"/>
    <w:rsid w:val="00DE2FD5"/>
    <w:rsid w:val="00E9041A"/>
    <w:rsid w:val="00F10EBE"/>
    <w:rsid w:val="00FD4F51"/>
    <w:rsid w:val="00FD632F"/>
    <w:rsid w:val="00FD7F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254"/>
    <w:pPr>
      <w:ind w:left="720"/>
      <w:contextualSpacing/>
    </w:pPr>
  </w:style>
  <w:style w:type="paragraph" w:styleId="NoSpacing">
    <w:name w:val="No Spacing"/>
    <w:uiPriority w:val="1"/>
    <w:qFormat/>
    <w:rsid w:val="00417254"/>
    <w:pPr>
      <w:spacing w:after="0" w:line="240" w:lineRule="auto"/>
    </w:pPr>
  </w:style>
  <w:style w:type="paragraph" w:styleId="FootnoteText">
    <w:name w:val="footnote text"/>
    <w:basedOn w:val="Normal"/>
    <w:link w:val="FootnoteTextChar"/>
    <w:uiPriority w:val="99"/>
    <w:semiHidden/>
    <w:unhideWhenUsed/>
    <w:rsid w:val="005C6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599"/>
    <w:rPr>
      <w:sz w:val="20"/>
      <w:szCs w:val="20"/>
    </w:rPr>
  </w:style>
  <w:style w:type="character" w:styleId="FootnoteReference">
    <w:name w:val="footnote reference"/>
    <w:basedOn w:val="DefaultParagraphFont"/>
    <w:uiPriority w:val="99"/>
    <w:semiHidden/>
    <w:unhideWhenUsed/>
    <w:rsid w:val="005C6599"/>
    <w:rPr>
      <w:vertAlign w:val="superscript"/>
    </w:rPr>
  </w:style>
  <w:style w:type="paragraph" w:styleId="Header">
    <w:name w:val="header"/>
    <w:basedOn w:val="Normal"/>
    <w:link w:val="HeaderChar"/>
    <w:uiPriority w:val="99"/>
    <w:unhideWhenUsed/>
    <w:rsid w:val="00A14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32B"/>
  </w:style>
  <w:style w:type="paragraph" w:styleId="Footer">
    <w:name w:val="footer"/>
    <w:basedOn w:val="Normal"/>
    <w:link w:val="FooterChar"/>
    <w:uiPriority w:val="99"/>
    <w:unhideWhenUsed/>
    <w:rsid w:val="00A14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254"/>
    <w:pPr>
      <w:ind w:left="720"/>
      <w:contextualSpacing/>
    </w:pPr>
  </w:style>
  <w:style w:type="paragraph" w:styleId="NoSpacing">
    <w:name w:val="No Spacing"/>
    <w:uiPriority w:val="1"/>
    <w:qFormat/>
    <w:rsid w:val="00417254"/>
    <w:pPr>
      <w:spacing w:after="0" w:line="240" w:lineRule="auto"/>
    </w:pPr>
  </w:style>
  <w:style w:type="paragraph" w:styleId="FootnoteText">
    <w:name w:val="footnote text"/>
    <w:basedOn w:val="Normal"/>
    <w:link w:val="FootnoteTextChar"/>
    <w:uiPriority w:val="99"/>
    <w:semiHidden/>
    <w:unhideWhenUsed/>
    <w:rsid w:val="005C6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599"/>
    <w:rPr>
      <w:sz w:val="20"/>
      <w:szCs w:val="20"/>
    </w:rPr>
  </w:style>
  <w:style w:type="character" w:styleId="FootnoteReference">
    <w:name w:val="footnote reference"/>
    <w:basedOn w:val="DefaultParagraphFont"/>
    <w:uiPriority w:val="99"/>
    <w:semiHidden/>
    <w:unhideWhenUsed/>
    <w:rsid w:val="005C6599"/>
    <w:rPr>
      <w:vertAlign w:val="superscript"/>
    </w:rPr>
  </w:style>
  <w:style w:type="paragraph" w:styleId="Header">
    <w:name w:val="header"/>
    <w:basedOn w:val="Normal"/>
    <w:link w:val="HeaderChar"/>
    <w:uiPriority w:val="99"/>
    <w:unhideWhenUsed/>
    <w:rsid w:val="00A14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32B"/>
  </w:style>
  <w:style w:type="paragraph" w:styleId="Footer">
    <w:name w:val="footer"/>
    <w:basedOn w:val="Normal"/>
    <w:link w:val="FooterChar"/>
    <w:uiPriority w:val="99"/>
    <w:unhideWhenUsed/>
    <w:rsid w:val="00A14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32B"/>
  </w:style>
</w:styles>
</file>

<file path=word/webSettings.xml><?xml version="1.0" encoding="utf-8"?>
<w:webSettings xmlns:r="http://schemas.openxmlformats.org/officeDocument/2006/relationships" xmlns:w="http://schemas.openxmlformats.org/wordprocessingml/2006/main">
  <w:divs>
    <w:div w:id="1075317568">
      <w:bodyDiv w:val="1"/>
      <w:marLeft w:val="0"/>
      <w:marRight w:val="0"/>
      <w:marTop w:val="0"/>
      <w:marBottom w:val="0"/>
      <w:divBdr>
        <w:top w:val="none" w:sz="0" w:space="0" w:color="auto"/>
        <w:left w:val="none" w:sz="0" w:space="0" w:color="auto"/>
        <w:bottom w:val="none" w:sz="0" w:space="0" w:color="auto"/>
        <w:right w:val="none" w:sz="0" w:space="0" w:color="auto"/>
      </w:divBdr>
    </w:div>
    <w:div w:id="15424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D02F-8A8D-49AB-8A38-125E68CF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Empie Van Schoor</dc:creator>
  <cp:lastModifiedBy>PUMZA</cp:lastModifiedBy>
  <cp:revision>2</cp:revision>
  <cp:lastPrinted>2017-02-10T12:02:00Z</cp:lastPrinted>
  <dcterms:created xsi:type="dcterms:W3CDTF">2017-02-27T13:02:00Z</dcterms:created>
  <dcterms:modified xsi:type="dcterms:W3CDTF">2017-02-27T13:02:00Z</dcterms:modified>
</cp:coreProperties>
</file>