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3AAC" w14:textId="77777777" w:rsidR="003B26DA" w:rsidRPr="002E7650" w:rsidRDefault="003B26DA" w:rsidP="002E7650">
      <w:pPr>
        <w:pStyle w:val="ListParagraph"/>
        <w:numPr>
          <w:ilvl w:val="0"/>
          <w:numId w:val="16"/>
        </w:numPr>
        <w:spacing w:after="0" w:line="360" w:lineRule="auto"/>
        <w:ind w:left="450" w:hanging="450"/>
        <w:jc w:val="both"/>
        <w:rPr>
          <w:rFonts w:ascii="Times New Roman" w:eastAsia="Times New Roman" w:hAnsi="Times New Roman" w:cs="Times New Roman"/>
          <w:color w:val="000000"/>
          <w:spacing w:val="6"/>
          <w:sz w:val="24"/>
          <w:szCs w:val="24"/>
          <w:lang w:val="en-ZA" w:eastAsia="en-GB"/>
        </w:rPr>
      </w:pPr>
      <w:bookmarkStart w:id="0" w:name="_GoBack"/>
      <w:bookmarkEnd w:id="0"/>
      <w:r w:rsidRPr="002E7650">
        <w:rPr>
          <w:rFonts w:ascii="Times New Roman" w:eastAsia="Times New Roman" w:hAnsi="Times New Roman" w:cs="Times New Roman"/>
          <w:b/>
          <w:color w:val="000000"/>
          <w:spacing w:val="6"/>
          <w:sz w:val="24"/>
          <w:szCs w:val="24"/>
          <w:lang w:val="en-ZA" w:eastAsia="en-GB"/>
        </w:rPr>
        <w:t>REPORT OF THE STANDING COMMITTEE ON APPROPRIATIONS ON THE 2017 DIVISION OF REVENUE AMENDMENT BILL [B24 – 2017], DATED 13 NOVEMBER 2017</w:t>
      </w:r>
    </w:p>
    <w:p w14:paraId="07C2D6D1"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8B7CCFE"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Standing Committee on Appropriations having considered the 2017 Division of Revenue Amendment Bill [B24 - 2017] (National Assembly – section 76 (the Bill), reports as follows:</w:t>
      </w:r>
    </w:p>
    <w:p w14:paraId="1E40078A"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196DF5C1" w14:textId="77777777" w:rsidR="003B26DA" w:rsidRPr="007A4338" w:rsidRDefault="003B26DA"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Introduction</w:t>
      </w:r>
    </w:p>
    <w:p w14:paraId="2A799E91"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16C4F606" w14:textId="77777777" w:rsidR="00B40F36"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Division of Revenue Amendment Bill (henceforth referred to as the Bill) was tabled in Parliament on 25 October 2017 by the Minister of Finance during the presentation of the 2017 Medium Term Budget Policy Statement (MTBPS). The Bill was referred to the Committee on 8 November 2017 </w:t>
      </w:r>
      <w:r w:rsidRPr="007A4338">
        <w:rPr>
          <w:rFonts w:ascii="Times New Roman" w:eastAsia="Times New Roman" w:hAnsi="Times New Roman" w:cs="Times New Roman"/>
          <w:spacing w:val="6"/>
          <w:sz w:val="24"/>
          <w:szCs w:val="24"/>
          <w:lang w:val="en-ZA" w:eastAsia="en-GB"/>
        </w:rPr>
        <w:t xml:space="preserve">and the Committee </w:t>
      </w:r>
      <w:r w:rsidRPr="007A4338">
        <w:rPr>
          <w:rFonts w:ascii="Times New Roman" w:eastAsia="Times New Roman" w:hAnsi="Times New Roman" w:cs="Times New Roman"/>
          <w:color w:val="000000"/>
          <w:spacing w:val="6"/>
          <w:sz w:val="24"/>
          <w:szCs w:val="24"/>
          <w:lang w:val="en-ZA" w:eastAsia="en-GB"/>
        </w:rPr>
        <w:t xml:space="preserve">received a briefing thereon from the National Treasury. To facilitate public participation, the Committee published adverts in print media in all 11 official languages from 27 October 2017 to 3 November 2017 and one submission was </w:t>
      </w:r>
      <w:proofErr w:type="gramStart"/>
      <w:r w:rsidRPr="007A4338">
        <w:rPr>
          <w:rFonts w:ascii="Times New Roman" w:eastAsia="Times New Roman" w:hAnsi="Times New Roman" w:cs="Times New Roman"/>
          <w:color w:val="000000"/>
          <w:spacing w:val="6"/>
          <w:sz w:val="24"/>
          <w:szCs w:val="24"/>
          <w:lang w:val="en-ZA" w:eastAsia="en-GB"/>
        </w:rPr>
        <w:t>received</w:t>
      </w:r>
      <w:proofErr w:type="gramEnd"/>
      <w:r w:rsidRPr="007A4338">
        <w:rPr>
          <w:rFonts w:ascii="Times New Roman" w:eastAsia="Times New Roman" w:hAnsi="Times New Roman" w:cs="Times New Roman"/>
          <w:color w:val="000000"/>
          <w:spacing w:val="6"/>
          <w:sz w:val="24"/>
          <w:szCs w:val="24"/>
          <w:lang w:val="en-ZA" w:eastAsia="en-GB"/>
        </w:rPr>
        <w:t xml:space="preserve"> from the Rural Health Advocacy Project (RHAP). Subsequent to an oral presentation by RHAP, the Committee was of the view that the input submitted concerns the Division of Revenue in the 2018 Medium Term Expenditure Framework</w:t>
      </w:r>
      <w:r w:rsidR="0062577D" w:rsidRPr="007A4338">
        <w:rPr>
          <w:rFonts w:ascii="Times New Roman" w:eastAsia="Times New Roman" w:hAnsi="Times New Roman" w:cs="Times New Roman"/>
          <w:color w:val="000000"/>
          <w:spacing w:val="6"/>
          <w:sz w:val="24"/>
          <w:szCs w:val="24"/>
          <w:lang w:val="en-ZA" w:eastAsia="en-GB"/>
        </w:rPr>
        <w:t xml:space="preserve"> (MTEF)</w:t>
      </w:r>
      <w:r w:rsidRPr="007A4338">
        <w:rPr>
          <w:rFonts w:ascii="Times New Roman" w:eastAsia="Times New Roman" w:hAnsi="Times New Roman" w:cs="Times New Roman"/>
          <w:color w:val="000000"/>
          <w:spacing w:val="6"/>
          <w:sz w:val="24"/>
          <w:szCs w:val="24"/>
          <w:lang w:val="en-ZA" w:eastAsia="en-GB"/>
        </w:rPr>
        <w:t xml:space="preserve"> and not specifically the 2017 Division of Revenue Amendment Bill. To this end, the RHAP input will be incorporated in the Committee’s Report on the 2017 Medium Term Budget Policy Statement</w:t>
      </w:r>
      <w:r w:rsidR="0062577D" w:rsidRPr="007A4338">
        <w:rPr>
          <w:rFonts w:ascii="Times New Roman" w:eastAsia="Times New Roman" w:hAnsi="Times New Roman" w:cs="Times New Roman"/>
          <w:color w:val="000000"/>
          <w:spacing w:val="6"/>
          <w:sz w:val="24"/>
          <w:szCs w:val="24"/>
          <w:lang w:val="en-ZA" w:eastAsia="en-GB"/>
        </w:rPr>
        <w:t xml:space="preserve"> (MTBPS). </w:t>
      </w:r>
      <w:r w:rsidRPr="007A4338">
        <w:rPr>
          <w:rFonts w:ascii="Times New Roman" w:eastAsia="Times New Roman" w:hAnsi="Times New Roman" w:cs="Times New Roman"/>
          <w:color w:val="000000"/>
          <w:spacing w:val="6"/>
          <w:sz w:val="24"/>
          <w:szCs w:val="24"/>
          <w:lang w:val="en-ZA" w:eastAsia="en-GB"/>
        </w:rPr>
        <w:t xml:space="preserve"> </w:t>
      </w:r>
    </w:p>
    <w:p w14:paraId="1D1EF363" w14:textId="77777777" w:rsidR="00B40F36" w:rsidRPr="007A4338" w:rsidRDefault="00B40F36"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476BE113" w14:textId="77777777" w:rsidR="003B26DA" w:rsidRPr="007A4338" w:rsidRDefault="000B4CEC"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South African Local Government Association</w:t>
      </w:r>
      <w:r w:rsidR="00B40F36" w:rsidRPr="007A4338">
        <w:rPr>
          <w:rFonts w:ascii="Times New Roman" w:eastAsia="Times New Roman" w:hAnsi="Times New Roman" w:cs="Times New Roman"/>
          <w:color w:val="000000"/>
          <w:spacing w:val="6"/>
          <w:sz w:val="24"/>
          <w:szCs w:val="24"/>
          <w:lang w:val="en-ZA" w:eastAsia="en-GB"/>
        </w:rPr>
        <w:t xml:space="preserve"> (SALGA)</w:t>
      </w:r>
      <w:r w:rsidRPr="007A4338">
        <w:rPr>
          <w:rFonts w:ascii="Times New Roman" w:eastAsia="Times New Roman" w:hAnsi="Times New Roman" w:cs="Times New Roman"/>
          <w:color w:val="000000"/>
          <w:spacing w:val="6"/>
          <w:sz w:val="24"/>
          <w:szCs w:val="24"/>
          <w:lang w:val="en-ZA" w:eastAsia="en-GB"/>
        </w:rPr>
        <w:t xml:space="preserve"> </w:t>
      </w:r>
      <w:r w:rsidR="0062577D" w:rsidRPr="007A4338">
        <w:rPr>
          <w:rFonts w:ascii="Times New Roman" w:eastAsia="Times New Roman" w:hAnsi="Times New Roman" w:cs="Times New Roman"/>
          <w:color w:val="000000"/>
          <w:spacing w:val="6"/>
          <w:sz w:val="24"/>
          <w:szCs w:val="24"/>
          <w:lang w:val="en-ZA" w:eastAsia="en-GB"/>
        </w:rPr>
        <w:t xml:space="preserve">and </w:t>
      </w:r>
      <w:r w:rsidR="00B40F36" w:rsidRPr="007A4338">
        <w:rPr>
          <w:rFonts w:ascii="Times New Roman" w:eastAsia="Times New Roman" w:hAnsi="Times New Roman" w:cs="Times New Roman"/>
          <w:color w:val="000000"/>
          <w:spacing w:val="6"/>
          <w:sz w:val="24"/>
          <w:szCs w:val="24"/>
          <w:lang w:val="en-ZA" w:eastAsia="en-GB"/>
        </w:rPr>
        <w:t>t</w:t>
      </w:r>
      <w:r w:rsidR="0062577D" w:rsidRPr="007A4338">
        <w:rPr>
          <w:rFonts w:ascii="Times New Roman" w:eastAsia="Times New Roman" w:hAnsi="Times New Roman" w:cs="Times New Roman"/>
          <w:color w:val="000000"/>
          <w:spacing w:val="6"/>
          <w:sz w:val="24"/>
          <w:szCs w:val="24"/>
          <w:lang w:val="en-ZA" w:eastAsia="en-GB"/>
        </w:rPr>
        <w:t xml:space="preserve">he Department of Cooperative Governance </w:t>
      </w:r>
      <w:r w:rsidR="00013D97" w:rsidRPr="007A4338">
        <w:rPr>
          <w:rFonts w:ascii="Times New Roman" w:eastAsia="Times New Roman" w:hAnsi="Times New Roman" w:cs="Times New Roman"/>
          <w:color w:val="000000"/>
          <w:spacing w:val="6"/>
          <w:sz w:val="24"/>
          <w:szCs w:val="24"/>
          <w:lang w:val="en-ZA" w:eastAsia="en-GB"/>
        </w:rPr>
        <w:t xml:space="preserve">(DCOG) </w:t>
      </w:r>
      <w:r w:rsidR="0062577D" w:rsidRPr="007A4338">
        <w:rPr>
          <w:rFonts w:ascii="Times New Roman" w:eastAsia="Times New Roman" w:hAnsi="Times New Roman" w:cs="Times New Roman"/>
          <w:color w:val="000000"/>
          <w:spacing w:val="6"/>
          <w:sz w:val="24"/>
          <w:szCs w:val="24"/>
          <w:lang w:val="en-ZA" w:eastAsia="en-GB"/>
        </w:rPr>
        <w:t>were</w:t>
      </w:r>
      <w:r w:rsidRPr="007A4338">
        <w:rPr>
          <w:rFonts w:ascii="Times New Roman" w:eastAsia="Times New Roman" w:hAnsi="Times New Roman" w:cs="Times New Roman"/>
          <w:color w:val="000000"/>
          <w:spacing w:val="6"/>
          <w:sz w:val="24"/>
          <w:szCs w:val="24"/>
          <w:lang w:val="en-ZA" w:eastAsia="en-GB"/>
        </w:rPr>
        <w:t xml:space="preserve"> invited to provide inputs on the Bill howeve</w:t>
      </w:r>
      <w:r w:rsidR="0062577D" w:rsidRPr="007A4338">
        <w:rPr>
          <w:rFonts w:ascii="Times New Roman" w:eastAsia="Times New Roman" w:hAnsi="Times New Roman" w:cs="Times New Roman"/>
          <w:color w:val="000000"/>
          <w:spacing w:val="6"/>
          <w:sz w:val="24"/>
          <w:szCs w:val="24"/>
          <w:lang w:val="en-ZA" w:eastAsia="en-GB"/>
        </w:rPr>
        <w:t xml:space="preserve">r SALGA’s input concerned the division of the revenue in the 2018 MTEF and will </w:t>
      </w:r>
      <w:r w:rsidR="007C3685" w:rsidRPr="007A4338">
        <w:rPr>
          <w:rFonts w:ascii="Times New Roman" w:eastAsia="Times New Roman" w:hAnsi="Times New Roman" w:cs="Times New Roman"/>
          <w:color w:val="000000"/>
          <w:spacing w:val="6"/>
          <w:sz w:val="24"/>
          <w:szCs w:val="24"/>
          <w:lang w:val="en-ZA" w:eastAsia="en-GB"/>
        </w:rPr>
        <w:t xml:space="preserve">also </w:t>
      </w:r>
      <w:r w:rsidR="0062577D" w:rsidRPr="007A4338">
        <w:rPr>
          <w:rFonts w:ascii="Times New Roman" w:eastAsia="Times New Roman" w:hAnsi="Times New Roman" w:cs="Times New Roman"/>
          <w:color w:val="000000"/>
          <w:spacing w:val="6"/>
          <w:sz w:val="24"/>
          <w:szCs w:val="24"/>
          <w:lang w:val="en-ZA" w:eastAsia="en-GB"/>
        </w:rPr>
        <w:t xml:space="preserve">be included in the Committee’s Report on the 2017 MTBPS. </w:t>
      </w:r>
      <w:r w:rsidR="00B40F36" w:rsidRPr="007A4338">
        <w:rPr>
          <w:rFonts w:ascii="Times New Roman" w:eastAsia="Times New Roman" w:hAnsi="Times New Roman" w:cs="Times New Roman"/>
          <w:color w:val="000000"/>
          <w:spacing w:val="6"/>
          <w:sz w:val="24"/>
          <w:szCs w:val="24"/>
          <w:lang w:val="en-ZA" w:eastAsia="en-GB"/>
        </w:rPr>
        <w:t>DCOG provided</w:t>
      </w:r>
      <w:r w:rsidRPr="007A4338">
        <w:rPr>
          <w:rFonts w:ascii="Times New Roman" w:eastAsia="Times New Roman" w:hAnsi="Times New Roman" w:cs="Times New Roman"/>
          <w:color w:val="000000"/>
          <w:spacing w:val="6"/>
          <w:sz w:val="24"/>
          <w:szCs w:val="24"/>
          <w:lang w:val="en-ZA" w:eastAsia="en-GB"/>
        </w:rPr>
        <w:t xml:space="preserve"> inputs with specific reference to the overall performance of municipalities and intergovernmental and coordination strategies between the three spheres of government. </w:t>
      </w:r>
      <w:r w:rsidR="003B26DA" w:rsidRPr="007A4338">
        <w:rPr>
          <w:rFonts w:ascii="Times New Roman" w:eastAsia="Times New Roman" w:hAnsi="Times New Roman" w:cs="Times New Roman"/>
          <w:color w:val="000000"/>
          <w:spacing w:val="6"/>
          <w:sz w:val="24"/>
          <w:szCs w:val="24"/>
          <w:lang w:val="en-ZA" w:eastAsia="en-GB"/>
        </w:rPr>
        <w:t xml:space="preserve">The Committee also received comments from the Financial and Fiscal Commission (FFC). </w:t>
      </w:r>
    </w:p>
    <w:p w14:paraId="10A67404" w14:textId="77777777" w:rsidR="003B26DA" w:rsidRPr="007A4338" w:rsidRDefault="003B26DA" w:rsidP="007A4338">
      <w:pPr>
        <w:spacing w:after="0" w:line="360" w:lineRule="auto"/>
        <w:ind w:left="709"/>
        <w:jc w:val="both"/>
        <w:rPr>
          <w:rFonts w:ascii="Times New Roman" w:eastAsia="Times New Roman" w:hAnsi="Times New Roman" w:cs="Times New Roman"/>
          <w:color w:val="000000"/>
          <w:spacing w:val="6"/>
          <w:sz w:val="24"/>
          <w:szCs w:val="24"/>
          <w:lang w:val="en-ZA" w:eastAsia="en-GB"/>
        </w:rPr>
      </w:pPr>
    </w:p>
    <w:p w14:paraId="5CBD7653"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Bill and its annexures address the following matters:</w:t>
      </w:r>
    </w:p>
    <w:p w14:paraId="6B7122D2"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6E51B5DE"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Changes in the equitable division of nationally raised revenue among the spheres of government;</w:t>
      </w:r>
    </w:p>
    <w:p w14:paraId="4FBAEEEC"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 xml:space="preserve">Adjustments to Provincial Allocations; </w:t>
      </w:r>
    </w:p>
    <w:p w14:paraId="516CB584"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lastRenderedPageBreak/>
        <w:t>Adjustments to Local Government Allocations; and</w:t>
      </w:r>
    </w:p>
    <w:p w14:paraId="527C645D"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 xml:space="preserve">Changes to Conditional Grant frameworks. </w:t>
      </w:r>
    </w:p>
    <w:p w14:paraId="092334B5" w14:textId="77777777" w:rsidR="003B26DA" w:rsidRPr="007A4338" w:rsidRDefault="003B26DA" w:rsidP="007A4338">
      <w:pPr>
        <w:spacing w:after="0" w:line="360" w:lineRule="auto"/>
        <w:ind w:left="709"/>
        <w:jc w:val="both"/>
        <w:rPr>
          <w:rFonts w:ascii="Times New Roman" w:eastAsia="Times New Roman" w:hAnsi="Times New Roman" w:cs="Times New Roman"/>
          <w:spacing w:val="6"/>
          <w:sz w:val="24"/>
          <w:szCs w:val="24"/>
          <w:lang w:val="en-ZA" w:eastAsia="en-GB"/>
        </w:rPr>
      </w:pPr>
    </w:p>
    <w:p w14:paraId="26A9ACF7"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This report focuses on amendments proposed in the Bill tabled by the Minister, matters raised during the briefing by National Treasury </w:t>
      </w:r>
      <w:r w:rsidR="008F7C4A" w:rsidRPr="007A4338">
        <w:rPr>
          <w:rFonts w:ascii="Times New Roman" w:eastAsia="Times New Roman" w:hAnsi="Times New Roman" w:cs="Times New Roman"/>
          <w:color w:val="000000"/>
          <w:spacing w:val="6"/>
          <w:sz w:val="24"/>
          <w:szCs w:val="24"/>
          <w:lang w:val="en-ZA" w:eastAsia="en-GB"/>
        </w:rPr>
        <w:t xml:space="preserve">as well as the Department of Cooperative Governance </w:t>
      </w:r>
      <w:r w:rsidRPr="007A4338">
        <w:rPr>
          <w:rFonts w:ascii="Times New Roman" w:eastAsia="Times New Roman" w:hAnsi="Times New Roman" w:cs="Times New Roman"/>
          <w:color w:val="000000"/>
          <w:spacing w:val="6"/>
          <w:sz w:val="24"/>
          <w:szCs w:val="24"/>
          <w:lang w:val="en-ZA" w:eastAsia="en-GB"/>
        </w:rPr>
        <w:t xml:space="preserve">and the input given by the Financial and Fiscal Commission (FFC). </w:t>
      </w:r>
    </w:p>
    <w:p w14:paraId="565D55D2"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5B24E2D"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346DFBF9"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Equitable division of revenue raised nationally among the spheres of government</w:t>
      </w:r>
    </w:p>
    <w:p w14:paraId="7A68614F"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116A1C72"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Table 1 hereunder outlines the equitable division of revenue raised nationally among the three spheres of government. </w:t>
      </w:r>
    </w:p>
    <w:p w14:paraId="2ED207EC"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4A86BFA7"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Table 1: </w:t>
      </w:r>
      <w:r w:rsidRPr="007A4338">
        <w:rPr>
          <w:rFonts w:ascii="Times New Roman" w:eastAsia="Times New Roman" w:hAnsi="Times New Roman" w:cs="Times New Roman"/>
          <w:color w:val="000000"/>
          <w:spacing w:val="6"/>
          <w:sz w:val="24"/>
          <w:szCs w:val="24"/>
          <w:lang w:val="en-ZA" w:eastAsia="en-GB"/>
        </w:rPr>
        <w:t>Schedule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719"/>
        <w:gridCol w:w="2192"/>
        <w:gridCol w:w="2534"/>
      </w:tblGrid>
      <w:tr w:rsidR="00302087" w:rsidRPr="007A4338" w14:paraId="555AA890" w14:textId="77777777" w:rsidTr="00BE6CA7">
        <w:trPr>
          <w:trHeight w:val="300"/>
        </w:trPr>
        <w:tc>
          <w:tcPr>
            <w:tcW w:w="1219" w:type="pct"/>
            <w:shd w:val="clear" w:color="auto" w:fill="auto"/>
            <w:noWrap/>
          </w:tcPr>
          <w:p w14:paraId="2E73381F"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 </w:t>
            </w:r>
          </w:p>
        </w:tc>
        <w:tc>
          <w:tcPr>
            <w:tcW w:w="3781" w:type="pct"/>
            <w:gridSpan w:val="3"/>
            <w:shd w:val="clear" w:color="auto" w:fill="auto"/>
            <w:noWrap/>
          </w:tcPr>
          <w:p w14:paraId="153CB78F"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Column A</w:t>
            </w:r>
          </w:p>
        </w:tc>
      </w:tr>
      <w:tr w:rsidR="00302087" w:rsidRPr="007A4338" w14:paraId="3CEB28D5" w14:textId="77777777" w:rsidTr="00BE6CA7">
        <w:trPr>
          <w:trHeight w:val="576"/>
        </w:trPr>
        <w:tc>
          <w:tcPr>
            <w:tcW w:w="1219" w:type="pct"/>
            <w:shd w:val="clear" w:color="auto" w:fill="auto"/>
          </w:tcPr>
          <w:p w14:paraId="12017E52"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xml:space="preserve">Sphere of government </w:t>
            </w:r>
          </w:p>
        </w:tc>
        <w:tc>
          <w:tcPr>
            <w:tcW w:w="1381" w:type="pct"/>
            <w:shd w:val="clear" w:color="auto" w:fill="auto"/>
          </w:tcPr>
          <w:p w14:paraId="5E57D9BE"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2017/18  Main Budget</w:t>
            </w:r>
          </w:p>
        </w:tc>
        <w:tc>
          <w:tcPr>
            <w:tcW w:w="1113" w:type="pct"/>
            <w:shd w:val="clear" w:color="auto" w:fill="auto"/>
          </w:tcPr>
          <w:p w14:paraId="6B493293"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xml:space="preserve">Adjustment </w:t>
            </w:r>
          </w:p>
        </w:tc>
        <w:tc>
          <w:tcPr>
            <w:tcW w:w="1287" w:type="pct"/>
            <w:shd w:val="clear" w:color="auto" w:fill="auto"/>
          </w:tcPr>
          <w:p w14:paraId="72262876"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2017/18 Adjusted Budget</w:t>
            </w:r>
          </w:p>
        </w:tc>
      </w:tr>
      <w:tr w:rsidR="00302087" w:rsidRPr="007A4338" w14:paraId="4A8657D1" w14:textId="77777777" w:rsidTr="00BE6CA7">
        <w:trPr>
          <w:trHeight w:val="288"/>
        </w:trPr>
        <w:tc>
          <w:tcPr>
            <w:tcW w:w="1219" w:type="pct"/>
            <w:shd w:val="clear" w:color="auto" w:fill="auto"/>
            <w:noWrap/>
          </w:tcPr>
          <w:p w14:paraId="248A57DC" w14:textId="77777777" w:rsidR="00302087" w:rsidRPr="007A4338" w:rsidRDefault="00302087" w:rsidP="007A4338">
            <w:pPr>
              <w:spacing w:after="0" w:line="360" w:lineRule="auto"/>
              <w:jc w:val="both"/>
              <w:rPr>
                <w:rFonts w:ascii="Times New Roman" w:eastAsia="Calibri" w:hAnsi="Times New Roman" w:cs="Times New Roman"/>
                <w:b/>
                <w:color w:val="000000"/>
                <w:spacing w:val="6"/>
                <w:sz w:val="24"/>
                <w:szCs w:val="24"/>
                <w:lang w:val="en-ZA" w:eastAsia="en-GB"/>
              </w:rPr>
            </w:pPr>
            <w:r w:rsidRPr="007A4338">
              <w:rPr>
                <w:rFonts w:ascii="Times New Roman" w:eastAsia="Calibri" w:hAnsi="Times New Roman" w:cs="Times New Roman"/>
                <w:b/>
                <w:color w:val="000000"/>
                <w:spacing w:val="6"/>
                <w:sz w:val="24"/>
                <w:szCs w:val="24"/>
                <w:lang w:val="en-ZA" w:eastAsia="en-GB"/>
              </w:rPr>
              <w:t xml:space="preserve">National </w:t>
            </w:r>
          </w:p>
        </w:tc>
        <w:tc>
          <w:tcPr>
            <w:tcW w:w="1381" w:type="pct"/>
            <w:shd w:val="clear" w:color="auto" w:fill="auto"/>
            <w:noWrap/>
          </w:tcPr>
          <w:p w14:paraId="6A595CA6"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R910 872 117</w:t>
            </w:r>
          </w:p>
        </w:tc>
        <w:tc>
          <w:tcPr>
            <w:tcW w:w="1113" w:type="pct"/>
            <w:shd w:val="clear" w:color="auto" w:fill="auto"/>
            <w:noWrap/>
          </w:tcPr>
          <w:p w14:paraId="01444252"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R8 385 066</w:t>
            </w:r>
          </w:p>
        </w:tc>
        <w:tc>
          <w:tcPr>
            <w:tcW w:w="1287" w:type="pct"/>
            <w:shd w:val="clear" w:color="auto" w:fill="auto"/>
            <w:noWrap/>
          </w:tcPr>
          <w:p w14:paraId="32B0FA7D"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R919 257 183</w:t>
            </w:r>
          </w:p>
        </w:tc>
      </w:tr>
      <w:tr w:rsidR="00302087" w:rsidRPr="007A4338" w14:paraId="729DAF91" w14:textId="77777777" w:rsidTr="00BE6CA7">
        <w:trPr>
          <w:trHeight w:val="288"/>
        </w:trPr>
        <w:tc>
          <w:tcPr>
            <w:tcW w:w="1219" w:type="pct"/>
            <w:shd w:val="clear" w:color="auto" w:fill="auto"/>
            <w:noWrap/>
          </w:tcPr>
          <w:p w14:paraId="1EE3BA11" w14:textId="77777777" w:rsidR="00302087" w:rsidRPr="007A4338" w:rsidRDefault="00302087" w:rsidP="007A4338">
            <w:pPr>
              <w:spacing w:after="0" w:line="360" w:lineRule="auto"/>
              <w:jc w:val="both"/>
              <w:rPr>
                <w:rFonts w:ascii="Times New Roman" w:eastAsia="Calibri" w:hAnsi="Times New Roman" w:cs="Times New Roman"/>
                <w:b/>
                <w:color w:val="000000"/>
                <w:spacing w:val="6"/>
                <w:sz w:val="24"/>
                <w:szCs w:val="24"/>
                <w:lang w:val="en-ZA" w:eastAsia="en-GB"/>
              </w:rPr>
            </w:pPr>
            <w:r w:rsidRPr="007A4338">
              <w:rPr>
                <w:rFonts w:ascii="Times New Roman" w:eastAsia="Calibri" w:hAnsi="Times New Roman" w:cs="Times New Roman"/>
                <w:b/>
                <w:color w:val="000000"/>
                <w:spacing w:val="6"/>
                <w:sz w:val="24"/>
                <w:szCs w:val="24"/>
                <w:lang w:val="en-ZA" w:eastAsia="en-GB"/>
              </w:rPr>
              <w:t xml:space="preserve">Provincial </w:t>
            </w:r>
          </w:p>
        </w:tc>
        <w:tc>
          <w:tcPr>
            <w:tcW w:w="1381" w:type="pct"/>
            <w:shd w:val="clear" w:color="auto" w:fill="auto"/>
            <w:noWrap/>
          </w:tcPr>
          <w:p w14:paraId="2165E4C3"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R441 331 122</w:t>
            </w:r>
          </w:p>
        </w:tc>
        <w:tc>
          <w:tcPr>
            <w:tcW w:w="1113" w:type="pct"/>
            <w:shd w:val="clear" w:color="auto" w:fill="auto"/>
            <w:noWrap/>
          </w:tcPr>
          <w:p w14:paraId="5D05C45C"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 </w:t>
            </w:r>
          </w:p>
        </w:tc>
        <w:tc>
          <w:tcPr>
            <w:tcW w:w="1287" w:type="pct"/>
            <w:shd w:val="clear" w:color="auto" w:fill="auto"/>
            <w:noWrap/>
          </w:tcPr>
          <w:p w14:paraId="414AEE1D"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R441 331 122</w:t>
            </w:r>
          </w:p>
        </w:tc>
      </w:tr>
      <w:tr w:rsidR="00302087" w:rsidRPr="007A4338" w14:paraId="3F290D4E" w14:textId="77777777" w:rsidTr="00BE6CA7">
        <w:trPr>
          <w:trHeight w:val="300"/>
        </w:trPr>
        <w:tc>
          <w:tcPr>
            <w:tcW w:w="1219" w:type="pct"/>
            <w:shd w:val="clear" w:color="auto" w:fill="auto"/>
            <w:noWrap/>
          </w:tcPr>
          <w:p w14:paraId="26653022" w14:textId="77777777" w:rsidR="00302087" w:rsidRPr="007A4338" w:rsidRDefault="00302087" w:rsidP="007A4338">
            <w:pPr>
              <w:spacing w:after="0" w:line="360" w:lineRule="auto"/>
              <w:jc w:val="both"/>
              <w:rPr>
                <w:rFonts w:ascii="Times New Roman" w:eastAsia="Calibri" w:hAnsi="Times New Roman" w:cs="Times New Roman"/>
                <w:b/>
                <w:color w:val="000000"/>
                <w:spacing w:val="6"/>
                <w:sz w:val="24"/>
                <w:szCs w:val="24"/>
                <w:lang w:val="en-ZA" w:eastAsia="en-GB"/>
              </w:rPr>
            </w:pPr>
            <w:r w:rsidRPr="007A4338">
              <w:rPr>
                <w:rFonts w:ascii="Times New Roman" w:eastAsia="Calibri" w:hAnsi="Times New Roman" w:cs="Times New Roman"/>
                <w:b/>
                <w:color w:val="000000"/>
                <w:spacing w:val="6"/>
                <w:sz w:val="24"/>
                <w:szCs w:val="24"/>
                <w:lang w:val="en-ZA" w:eastAsia="en-GB"/>
              </w:rPr>
              <w:t xml:space="preserve">Local  </w:t>
            </w:r>
          </w:p>
        </w:tc>
        <w:tc>
          <w:tcPr>
            <w:tcW w:w="1381" w:type="pct"/>
            <w:shd w:val="clear" w:color="auto" w:fill="auto"/>
            <w:noWrap/>
          </w:tcPr>
          <w:p w14:paraId="12F455E8"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R57 012 141</w:t>
            </w:r>
          </w:p>
        </w:tc>
        <w:tc>
          <w:tcPr>
            <w:tcW w:w="1113" w:type="pct"/>
            <w:shd w:val="clear" w:color="auto" w:fill="auto"/>
            <w:noWrap/>
          </w:tcPr>
          <w:p w14:paraId="429058AF"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 </w:t>
            </w:r>
          </w:p>
        </w:tc>
        <w:tc>
          <w:tcPr>
            <w:tcW w:w="1287" w:type="pct"/>
            <w:shd w:val="clear" w:color="auto" w:fill="auto"/>
            <w:noWrap/>
          </w:tcPr>
          <w:p w14:paraId="36A6FC47"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R57 012 141</w:t>
            </w:r>
          </w:p>
        </w:tc>
      </w:tr>
      <w:tr w:rsidR="00302087" w:rsidRPr="007A4338" w14:paraId="031BA667" w14:textId="77777777" w:rsidTr="00BE6CA7">
        <w:trPr>
          <w:trHeight w:val="300"/>
        </w:trPr>
        <w:tc>
          <w:tcPr>
            <w:tcW w:w="1219" w:type="pct"/>
            <w:shd w:val="clear" w:color="auto" w:fill="auto"/>
            <w:noWrap/>
          </w:tcPr>
          <w:p w14:paraId="24F03730"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xml:space="preserve">Total </w:t>
            </w:r>
          </w:p>
        </w:tc>
        <w:tc>
          <w:tcPr>
            <w:tcW w:w="1381" w:type="pct"/>
            <w:shd w:val="clear" w:color="auto" w:fill="auto"/>
            <w:noWrap/>
          </w:tcPr>
          <w:p w14:paraId="2E81FBB7"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R1 409 215 380</w:t>
            </w:r>
          </w:p>
        </w:tc>
        <w:tc>
          <w:tcPr>
            <w:tcW w:w="1113" w:type="pct"/>
            <w:shd w:val="clear" w:color="auto" w:fill="auto"/>
            <w:noWrap/>
          </w:tcPr>
          <w:p w14:paraId="4BA255B3"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R8 385 066</w:t>
            </w:r>
          </w:p>
        </w:tc>
        <w:tc>
          <w:tcPr>
            <w:tcW w:w="1287" w:type="pct"/>
            <w:shd w:val="clear" w:color="auto" w:fill="auto"/>
            <w:noWrap/>
          </w:tcPr>
          <w:p w14:paraId="2DBE930A"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R1 417 600 446</w:t>
            </w:r>
          </w:p>
        </w:tc>
      </w:tr>
    </w:tbl>
    <w:p w14:paraId="56CB60A2" w14:textId="77777777" w:rsidR="00302087" w:rsidRPr="007A4338" w:rsidRDefault="00302087" w:rsidP="007A4338">
      <w:pPr>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i/>
          <w:color w:val="000000"/>
          <w:spacing w:val="6"/>
          <w:sz w:val="24"/>
          <w:szCs w:val="24"/>
          <w:lang w:val="en-ZA" w:eastAsia="en-GB"/>
        </w:rPr>
        <w:t>Source: National Treasury (2017)</w:t>
      </w:r>
    </w:p>
    <w:p w14:paraId="53470EEE"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68149667"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net effect of the 2017 adjustments is a budget adjustment on the 2017/18 main allocation from R 1.409 trillion to R1.41</w:t>
      </w:r>
      <w:r w:rsidR="00984468" w:rsidRPr="007A4338">
        <w:rPr>
          <w:rFonts w:ascii="Times New Roman" w:eastAsia="Times New Roman" w:hAnsi="Times New Roman" w:cs="Times New Roman"/>
          <w:color w:val="000000"/>
          <w:spacing w:val="6"/>
          <w:sz w:val="24"/>
          <w:szCs w:val="24"/>
          <w:lang w:val="en-ZA" w:eastAsia="en-GB"/>
        </w:rPr>
        <w:t>8</w:t>
      </w:r>
      <w:r w:rsidRPr="007A4338">
        <w:rPr>
          <w:rFonts w:ascii="Times New Roman" w:eastAsia="Times New Roman" w:hAnsi="Times New Roman" w:cs="Times New Roman"/>
          <w:color w:val="000000"/>
          <w:spacing w:val="6"/>
          <w:sz w:val="24"/>
          <w:szCs w:val="24"/>
          <w:lang w:val="en-ZA" w:eastAsia="en-GB"/>
        </w:rPr>
        <w:t xml:space="preserve"> trillion. The national allocation has been adjusted upwards by R8.385 billion from R910.872 billion to R919.257 billion. </w:t>
      </w:r>
    </w:p>
    <w:p w14:paraId="78DAD45E"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E120A03"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Adjustments to provincial allocations </w:t>
      </w:r>
    </w:p>
    <w:p w14:paraId="15171CA3"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32B26352"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following lists adjustments with regards to provincial conditional grants:  </w:t>
      </w:r>
    </w:p>
    <w:p w14:paraId="00990CEC"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0A915BD5"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sidRPr="007A4338">
        <w:rPr>
          <w:rFonts w:ascii="Times New Roman" w:eastAsia="Times New Roman" w:hAnsi="Times New Roman" w:cs="Times New Roman"/>
          <w:color w:val="000000"/>
          <w:spacing w:val="6"/>
          <w:sz w:val="24"/>
          <w:szCs w:val="24"/>
          <w:lang w:val="en-ZA" w:eastAsia="en-GB"/>
        </w:rPr>
        <w:t xml:space="preserve">An amount of R19.8 million will be added to </w:t>
      </w:r>
      <w:r w:rsidR="00060CA7" w:rsidRPr="007A4338">
        <w:rPr>
          <w:rFonts w:ascii="Times New Roman" w:eastAsia="Times New Roman" w:hAnsi="Times New Roman" w:cs="Times New Roman"/>
          <w:i/>
          <w:color w:val="000000"/>
          <w:spacing w:val="6"/>
          <w:sz w:val="24"/>
          <w:szCs w:val="24"/>
          <w:lang w:val="en-ZA" w:eastAsia="en-GB"/>
        </w:rPr>
        <w:t>C</w:t>
      </w:r>
      <w:r w:rsidRPr="007A4338">
        <w:rPr>
          <w:rFonts w:ascii="Times New Roman" w:eastAsia="Times New Roman" w:hAnsi="Times New Roman" w:cs="Times New Roman"/>
          <w:i/>
          <w:color w:val="000000"/>
          <w:spacing w:val="6"/>
          <w:sz w:val="24"/>
          <w:szCs w:val="24"/>
          <w:lang w:val="en-ZA" w:eastAsia="en-GB"/>
        </w:rPr>
        <w:t>omprehensive HIV, AIDS and TB grant</w:t>
      </w:r>
      <w:r w:rsidRPr="007A4338">
        <w:rPr>
          <w:rFonts w:ascii="Times New Roman" w:eastAsia="Times New Roman" w:hAnsi="Times New Roman" w:cs="Times New Roman"/>
          <w:color w:val="000000"/>
          <w:spacing w:val="6"/>
          <w:sz w:val="24"/>
          <w:szCs w:val="24"/>
          <w:lang w:val="en-ZA" w:eastAsia="en-GB"/>
        </w:rPr>
        <w:t xml:space="preserve"> for Limpopo and Mpumalanga in order to support the national response programme and arrest the recent malaria outbreak. Monthly malaria cases have substantially </w:t>
      </w:r>
      <w:r w:rsidRPr="007A4338">
        <w:rPr>
          <w:rFonts w:ascii="Times New Roman" w:eastAsia="Times New Roman" w:hAnsi="Times New Roman" w:cs="Times New Roman"/>
          <w:color w:val="000000"/>
          <w:spacing w:val="6"/>
          <w:sz w:val="24"/>
          <w:szCs w:val="24"/>
          <w:lang w:val="en-ZA" w:eastAsia="en-GB"/>
        </w:rPr>
        <w:lastRenderedPageBreak/>
        <w:t>increased and the intervention will see an intensification of support for provincial prevention efforts</w:t>
      </w:r>
    </w:p>
    <w:p w14:paraId="057CA04C" w14:textId="77777777" w:rsidR="00302087" w:rsidRPr="007A4338" w:rsidRDefault="00302087" w:rsidP="007A4338">
      <w:pPr>
        <w:autoSpaceDE w:val="0"/>
        <w:autoSpaceDN w:val="0"/>
        <w:adjustRightInd w:val="0"/>
        <w:spacing w:after="0" w:line="360" w:lineRule="auto"/>
        <w:ind w:left="720"/>
        <w:jc w:val="both"/>
        <w:rPr>
          <w:rFonts w:ascii="Times New Roman" w:eastAsia="Times New Roman" w:hAnsi="Times New Roman" w:cs="Times New Roman"/>
          <w:sz w:val="24"/>
          <w:szCs w:val="24"/>
          <w:lang w:val="en-ZA" w:eastAsia="en-ZA"/>
        </w:rPr>
      </w:pPr>
    </w:p>
    <w:p w14:paraId="191E3F25" w14:textId="77777777" w:rsidR="00302087" w:rsidRPr="007A4338" w:rsidRDefault="00F60D7C" w:rsidP="007A4338">
      <w:pPr>
        <w:numPr>
          <w:ilvl w:val="0"/>
          <w:numId w:val="4"/>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302087" w:rsidRPr="007A4338">
        <w:rPr>
          <w:rFonts w:ascii="Times New Roman" w:eastAsia="Times New Roman" w:hAnsi="Times New Roman" w:cs="Times New Roman"/>
          <w:color w:val="000000"/>
          <w:spacing w:val="6"/>
          <w:sz w:val="24"/>
          <w:szCs w:val="24"/>
          <w:lang w:val="en-ZA" w:eastAsia="en-GB"/>
        </w:rPr>
        <w:t xml:space="preserve">R30 million of the </w:t>
      </w:r>
      <w:r w:rsidR="00060CA7" w:rsidRPr="007A4338">
        <w:rPr>
          <w:rFonts w:ascii="Times New Roman" w:eastAsia="Times New Roman" w:hAnsi="Times New Roman" w:cs="Times New Roman"/>
          <w:i/>
          <w:color w:val="000000"/>
          <w:spacing w:val="6"/>
          <w:sz w:val="24"/>
          <w:szCs w:val="24"/>
          <w:lang w:val="en-ZA" w:eastAsia="en-GB"/>
        </w:rPr>
        <w:t>H</w:t>
      </w:r>
      <w:r w:rsidR="00302087" w:rsidRPr="007A4338">
        <w:rPr>
          <w:rFonts w:ascii="Times New Roman" w:eastAsia="Times New Roman" w:hAnsi="Times New Roman" w:cs="Times New Roman"/>
          <w:i/>
          <w:color w:val="000000"/>
          <w:spacing w:val="6"/>
          <w:sz w:val="24"/>
          <w:szCs w:val="24"/>
          <w:lang w:val="en-ZA" w:eastAsia="en-GB"/>
        </w:rPr>
        <w:t xml:space="preserve">ealth </w:t>
      </w:r>
      <w:r w:rsidR="00060CA7" w:rsidRPr="007A4338">
        <w:rPr>
          <w:rFonts w:ascii="Times New Roman" w:eastAsia="Times New Roman" w:hAnsi="Times New Roman" w:cs="Times New Roman"/>
          <w:i/>
          <w:color w:val="000000"/>
          <w:spacing w:val="6"/>
          <w:sz w:val="24"/>
          <w:szCs w:val="24"/>
          <w:lang w:val="en-ZA" w:eastAsia="en-GB"/>
        </w:rPr>
        <w:t>F</w:t>
      </w:r>
      <w:r w:rsidR="00302087" w:rsidRPr="007A4338">
        <w:rPr>
          <w:rFonts w:ascii="Times New Roman" w:eastAsia="Times New Roman" w:hAnsi="Times New Roman" w:cs="Times New Roman"/>
          <w:i/>
          <w:color w:val="000000"/>
          <w:spacing w:val="6"/>
          <w:sz w:val="24"/>
          <w:szCs w:val="24"/>
          <w:lang w:val="en-ZA" w:eastAsia="en-GB"/>
        </w:rPr>
        <w:t xml:space="preserve">acility </w:t>
      </w:r>
      <w:r w:rsidR="00060CA7" w:rsidRPr="007A4338">
        <w:rPr>
          <w:rFonts w:ascii="Times New Roman" w:eastAsia="Times New Roman" w:hAnsi="Times New Roman" w:cs="Times New Roman"/>
          <w:i/>
          <w:color w:val="000000"/>
          <w:spacing w:val="6"/>
          <w:sz w:val="24"/>
          <w:szCs w:val="24"/>
          <w:lang w:val="en-ZA" w:eastAsia="en-GB"/>
        </w:rPr>
        <w:t>R</w:t>
      </w:r>
      <w:r w:rsidR="00302087" w:rsidRPr="007A4338">
        <w:rPr>
          <w:rFonts w:ascii="Times New Roman" w:eastAsia="Times New Roman" w:hAnsi="Times New Roman" w:cs="Times New Roman"/>
          <w:i/>
          <w:color w:val="000000"/>
          <w:spacing w:val="6"/>
          <w:sz w:val="24"/>
          <w:szCs w:val="24"/>
          <w:lang w:val="en-ZA" w:eastAsia="en-GB"/>
        </w:rPr>
        <w:t xml:space="preserve">evitalisation </w:t>
      </w:r>
      <w:r w:rsidR="00060CA7" w:rsidRPr="007A4338">
        <w:rPr>
          <w:rFonts w:ascii="Times New Roman" w:eastAsia="Times New Roman" w:hAnsi="Times New Roman" w:cs="Times New Roman"/>
          <w:i/>
          <w:color w:val="000000"/>
          <w:spacing w:val="6"/>
          <w:sz w:val="24"/>
          <w:szCs w:val="24"/>
          <w:lang w:val="en-ZA" w:eastAsia="en-GB"/>
        </w:rPr>
        <w:t>G</w:t>
      </w:r>
      <w:r w:rsidR="00302087" w:rsidRPr="007A4338">
        <w:rPr>
          <w:rFonts w:ascii="Times New Roman" w:eastAsia="Times New Roman" w:hAnsi="Times New Roman" w:cs="Times New Roman"/>
          <w:i/>
          <w:color w:val="000000"/>
          <w:spacing w:val="6"/>
          <w:sz w:val="24"/>
          <w:szCs w:val="24"/>
          <w:lang w:val="en-ZA" w:eastAsia="en-GB"/>
        </w:rPr>
        <w:t>rant</w:t>
      </w:r>
      <w:r w:rsidR="00302087" w:rsidRPr="007A4338">
        <w:rPr>
          <w:rFonts w:ascii="Times New Roman" w:eastAsia="Times New Roman" w:hAnsi="Times New Roman" w:cs="Times New Roman"/>
          <w:color w:val="000000"/>
          <w:spacing w:val="6"/>
          <w:sz w:val="24"/>
          <w:szCs w:val="24"/>
          <w:lang w:val="en-ZA" w:eastAsia="en-GB"/>
        </w:rPr>
        <w:t xml:space="preserve"> will be converted from Schedule 6, Part A (indirect) to Schedule 5, Part A (direct) for North West. This is meant to relieve pressure on health infrastructure projects that, though previously funded through the indirect grant, are now being implemented by the North West provincial Department of Health. </w:t>
      </w:r>
    </w:p>
    <w:p w14:paraId="38691AC3" w14:textId="77777777" w:rsidR="00060CA7" w:rsidRPr="007A4338" w:rsidRDefault="00060CA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33348265" w14:textId="77777777" w:rsidR="00302087" w:rsidRPr="007A4338" w:rsidRDefault="00F60D7C" w:rsidP="007A4338">
      <w:pPr>
        <w:numPr>
          <w:ilvl w:val="0"/>
          <w:numId w:val="4"/>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302087" w:rsidRPr="007A4338">
        <w:rPr>
          <w:rFonts w:ascii="Times New Roman" w:eastAsia="Times New Roman" w:hAnsi="Times New Roman" w:cs="Times New Roman"/>
          <w:color w:val="000000"/>
          <w:spacing w:val="6"/>
          <w:sz w:val="24"/>
          <w:szCs w:val="24"/>
          <w:lang w:val="en-ZA" w:eastAsia="en-GB"/>
        </w:rPr>
        <w:t xml:space="preserve">R415 million in unspent funds has been declared as savings on the (indirect) </w:t>
      </w:r>
      <w:r w:rsidR="00060CA7" w:rsidRPr="007A4338">
        <w:rPr>
          <w:rFonts w:ascii="Times New Roman" w:eastAsia="Times New Roman" w:hAnsi="Times New Roman" w:cs="Times New Roman"/>
          <w:i/>
          <w:color w:val="000000"/>
          <w:spacing w:val="6"/>
          <w:sz w:val="24"/>
          <w:szCs w:val="24"/>
          <w:lang w:val="en-ZA" w:eastAsia="en-GB"/>
        </w:rPr>
        <w:t>S</w:t>
      </w:r>
      <w:r w:rsidR="00302087" w:rsidRPr="007A4338">
        <w:rPr>
          <w:rFonts w:ascii="Times New Roman" w:eastAsia="Times New Roman" w:hAnsi="Times New Roman" w:cs="Times New Roman"/>
          <w:i/>
          <w:color w:val="000000"/>
          <w:spacing w:val="6"/>
          <w:sz w:val="24"/>
          <w:szCs w:val="24"/>
          <w:lang w:val="en-ZA" w:eastAsia="en-GB"/>
        </w:rPr>
        <w:t xml:space="preserve">chool </w:t>
      </w:r>
      <w:r w:rsidR="00060CA7" w:rsidRPr="007A4338">
        <w:rPr>
          <w:rFonts w:ascii="Times New Roman" w:eastAsia="Times New Roman" w:hAnsi="Times New Roman" w:cs="Times New Roman"/>
          <w:i/>
          <w:color w:val="000000"/>
          <w:spacing w:val="6"/>
          <w:sz w:val="24"/>
          <w:szCs w:val="24"/>
          <w:lang w:val="en-ZA" w:eastAsia="en-GB"/>
        </w:rPr>
        <w:t>I</w:t>
      </w:r>
      <w:r w:rsidR="00302087" w:rsidRPr="007A4338">
        <w:rPr>
          <w:rFonts w:ascii="Times New Roman" w:eastAsia="Times New Roman" w:hAnsi="Times New Roman" w:cs="Times New Roman"/>
          <w:i/>
          <w:color w:val="000000"/>
          <w:spacing w:val="6"/>
          <w:sz w:val="24"/>
          <w:szCs w:val="24"/>
          <w:lang w:val="en-ZA" w:eastAsia="en-GB"/>
        </w:rPr>
        <w:t xml:space="preserve">nfrastructure </w:t>
      </w:r>
      <w:r w:rsidR="00060CA7" w:rsidRPr="007A4338">
        <w:rPr>
          <w:rFonts w:ascii="Times New Roman" w:eastAsia="Times New Roman" w:hAnsi="Times New Roman" w:cs="Times New Roman"/>
          <w:i/>
          <w:color w:val="000000"/>
          <w:spacing w:val="6"/>
          <w:sz w:val="24"/>
          <w:szCs w:val="24"/>
          <w:lang w:val="en-ZA" w:eastAsia="en-GB"/>
        </w:rPr>
        <w:t>B</w:t>
      </w:r>
      <w:r w:rsidR="00302087" w:rsidRPr="007A4338">
        <w:rPr>
          <w:rFonts w:ascii="Times New Roman" w:eastAsia="Times New Roman" w:hAnsi="Times New Roman" w:cs="Times New Roman"/>
          <w:i/>
          <w:color w:val="000000"/>
          <w:spacing w:val="6"/>
          <w:sz w:val="24"/>
          <w:szCs w:val="24"/>
          <w:lang w:val="en-ZA" w:eastAsia="en-GB"/>
        </w:rPr>
        <w:t xml:space="preserve">acklogs </w:t>
      </w:r>
      <w:r w:rsidR="00060CA7" w:rsidRPr="007A4338">
        <w:rPr>
          <w:rFonts w:ascii="Times New Roman" w:eastAsia="Times New Roman" w:hAnsi="Times New Roman" w:cs="Times New Roman"/>
          <w:i/>
          <w:color w:val="000000"/>
          <w:spacing w:val="6"/>
          <w:sz w:val="24"/>
          <w:szCs w:val="24"/>
          <w:lang w:val="en-ZA" w:eastAsia="en-GB"/>
        </w:rPr>
        <w:t>G</w:t>
      </w:r>
      <w:r w:rsidR="00302087" w:rsidRPr="007A4338">
        <w:rPr>
          <w:rFonts w:ascii="Times New Roman" w:eastAsia="Times New Roman" w:hAnsi="Times New Roman" w:cs="Times New Roman"/>
          <w:i/>
          <w:color w:val="000000"/>
          <w:spacing w:val="6"/>
          <w:sz w:val="24"/>
          <w:szCs w:val="24"/>
          <w:lang w:val="en-ZA" w:eastAsia="en-GB"/>
        </w:rPr>
        <w:t>rant</w:t>
      </w:r>
      <w:r w:rsidR="00302087" w:rsidRPr="007A4338">
        <w:rPr>
          <w:rFonts w:ascii="Times New Roman" w:eastAsia="Times New Roman" w:hAnsi="Times New Roman" w:cs="Times New Roman"/>
          <w:color w:val="000000"/>
          <w:spacing w:val="6"/>
          <w:sz w:val="24"/>
          <w:szCs w:val="24"/>
          <w:lang w:val="en-ZA" w:eastAsia="en-GB"/>
        </w:rPr>
        <w:t xml:space="preserve"> due to the poor spending performance as a result of delays in appointing contractors, finalising the merger and rationalisation of schools in the Eastern Cape and in reappointing contractors where the services of nonperforming contractors were terminated.</w:t>
      </w:r>
    </w:p>
    <w:p w14:paraId="007B2CDE" w14:textId="77777777" w:rsidR="00302087" w:rsidRPr="007A4338" w:rsidRDefault="00302087" w:rsidP="007A4338">
      <w:pPr>
        <w:autoSpaceDE w:val="0"/>
        <w:autoSpaceDN w:val="0"/>
        <w:adjustRightInd w:val="0"/>
        <w:spacing w:after="0" w:line="360" w:lineRule="auto"/>
        <w:ind w:left="720"/>
        <w:jc w:val="both"/>
        <w:rPr>
          <w:rFonts w:ascii="Times New Roman" w:eastAsia="Times New Roman" w:hAnsi="Times New Roman" w:cs="Times New Roman"/>
          <w:b/>
          <w:color w:val="000000"/>
          <w:spacing w:val="6"/>
          <w:sz w:val="24"/>
          <w:szCs w:val="24"/>
          <w:lang w:val="en-ZA" w:eastAsia="en-GB"/>
        </w:rPr>
      </w:pPr>
    </w:p>
    <w:p w14:paraId="107501C4"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Adjustments to the local government equitable share and conditional grants </w:t>
      </w:r>
    </w:p>
    <w:p w14:paraId="73D169C2"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43D32D9A"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following </w:t>
      </w:r>
      <w:r w:rsidR="00060CA7" w:rsidRPr="007A4338">
        <w:rPr>
          <w:rFonts w:ascii="Times New Roman" w:eastAsia="Times New Roman" w:hAnsi="Times New Roman" w:cs="Times New Roman"/>
          <w:color w:val="000000"/>
          <w:spacing w:val="6"/>
          <w:sz w:val="24"/>
          <w:szCs w:val="24"/>
          <w:lang w:val="en-ZA" w:eastAsia="en-GB"/>
        </w:rPr>
        <w:t xml:space="preserve">section </w:t>
      </w:r>
      <w:r w:rsidRPr="007A4338">
        <w:rPr>
          <w:rFonts w:ascii="Times New Roman" w:eastAsia="Times New Roman" w:hAnsi="Times New Roman" w:cs="Times New Roman"/>
          <w:color w:val="000000"/>
          <w:spacing w:val="6"/>
          <w:sz w:val="24"/>
          <w:szCs w:val="24"/>
          <w:lang w:val="en-ZA" w:eastAsia="en-GB"/>
        </w:rPr>
        <w:t>lists adjustments with regards to provincial conditional grants</w:t>
      </w:r>
      <w:r w:rsidR="00060CA7" w:rsidRPr="007A4338">
        <w:rPr>
          <w:rFonts w:ascii="Times New Roman" w:eastAsia="Times New Roman" w:hAnsi="Times New Roman" w:cs="Times New Roman"/>
          <w:color w:val="000000"/>
          <w:spacing w:val="6"/>
          <w:sz w:val="24"/>
          <w:szCs w:val="24"/>
          <w:lang w:val="en-ZA" w:eastAsia="en-GB"/>
        </w:rPr>
        <w:t>:</w:t>
      </w:r>
    </w:p>
    <w:p w14:paraId="17894164"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079E6802"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R27.9 million will be rolled-over for the </w:t>
      </w:r>
      <w:r w:rsidR="00060CA7" w:rsidRPr="007A4338">
        <w:rPr>
          <w:rFonts w:ascii="Times New Roman" w:eastAsia="Times New Roman" w:hAnsi="Times New Roman" w:cs="Times New Roman"/>
          <w:i/>
          <w:color w:val="000000"/>
          <w:spacing w:val="6"/>
          <w:sz w:val="24"/>
          <w:szCs w:val="24"/>
          <w:lang w:val="en-ZA" w:eastAsia="en-GB"/>
        </w:rPr>
        <w:t>M</w:t>
      </w:r>
      <w:r w:rsidRPr="007A4338">
        <w:rPr>
          <w:rFonts w:ascii="Times New Roman" w:eastAsia="Times New Roman" w:hAnsi="Times New Roman" w:cs="Times New Roman"/>
          <w:i/>
          <w:color w:val="000000"/>
          <w:spacing w:val="6"/>
          <w:sz w:val="24"/>
          <w:szCs w:val="24"/>
          <w:lang w:val="en-ZA" w:eastAsia="en-GB"/>
        </w:rPr>
        <w:t xml:space="preserve">unicipal </w:t>
      </w:r>
      <w:r w:rsidR="00060CA7" w:rsidRPr="007A4338">
        <w:rPr>
          <w:rFonts w:ascii="Times New Roman" w:eastAsia="Times New Roman" w:hAnsi="Times New Roman" w:cs="Times New Roman"/>
          <w:i/>
          <w:color w:val="000000"/>
          <w:spacing w:val="6"/>
          <w:sz w:val="24"/>
          <w:szCs w:val="24"/>
          <w:lang w:val="en-ZA" w:eastAsia="en-GB"/>
        </w:rPr>
        <w:t>D</w:t>
      </w:r>
      <w:r w:rsidRPr="007A4338">
        <w:rPr>
          <w:rFonts w:ascii="Times New Roman" w:eastAsia="Times New Roman" w:hAnsi="Times New Roman" w:cs="Times New Roman"/>
          <w:i/>
          <w:color w:val="000000"/>
          <w:spacing w:val="6"/>
          <w:sz w:val="24"/>
          <w:szCs w:val="24"/>
          <w:lang w:val="en-ZA" w:eastAsia="en-GB"/>
        </w:rPr>
        <w:t xml:space="preserve">emarcation </w:t>
      </w:r>
      <w:r w:rsidR="00060CA7" w:rsidRPr="007A4338">
        <w:rPr>
          <w:rFonts w:ascii="Times New Roman" w:eastAsia="Times New Roman" w:hAnsi="Times New Roman" w:cs="Times New Roman"/>
          <w:i/>
          <w:color w:val="000000"/>
          <w:spacing w:val="6"/>
          <w:sz w:val="24"/>
          <w:szCs w:val="24"/>
          <w:lang w:val="en-ZA" w:eastAsia="en-GB"/>
        </w:rPr>
        <w:t>T</w:t>
      </w:r>
      <w:r w:rsidRPr="007A4338">
        <w:rPr>
          <w:rFonts w:ascii="Times New Roman" w:eastAsia="Times New Roman" w:hAnsi="Times New Roman" w:cs="Times New Roman"/>
          <w:i/>
          <w:color w:val="000000"/>
          <w:spacing w:val="6"/>
          <w:sz w:val="24"/>
          <w:szCs w:val="24"/>
          <w:lang w:val="en-ZA" w:eastAsia="en-GB"/>
        </w:rPr>
        <w:t xml:space="preserve">ransition </w:t>
      </w:r>
      <w:r w:rsidR="00060CA7" w:rsidRPr="007A4338">
        <w:rPr>
          <w:rFonts w:ascii="Times New Roman" w:eastAsia="Times New Roman" w:hAnsi="Times New Roman" w:cs="Times New Roman"/>
          <w:i/>
          <w:color w:val="000000"/>
          <w:spacing w:val="6"/>
          <w:sz w:val="24"/>
          <w:szCs w:val="24"/>
          <w:lang w:val="en-ZA" w:eastAsia="en-GB"/>
        </w:rPr>
        <w:t>G</w:t>
      </w:r>
      <w:r w:rsidRPr="007A4338">
        <w:rPr>
          <w:rFonts w:ascii="Times New Roman" w:eastAsia="Times New Roman" w:hAnsi="Times New Roman" w:cs="Times New Roman"/>
          <w:i/>
          <w:color w:val="000000"/>
          <w:spacing w:val="6"/>
          <w:sz w:val="24"/>
          <w:szCs w:val="24"/>
          <w:lang w:val="en-ZA" w:eastAsia="en-GB"/>
        </w:rPr>
        <w:t xml:space="preserve">rant </w:t>
      </w:r>
      <w:r w:rsidRPr="007A4338">
        <w:rPr>
          <w:rFonts w:ascii="Times New Roman" w:eastAsia="Times New Roman" w:hAnsi="Times New Roman" w:cs="Times New Roman"/>
          <w:color w:val="000000"/>
          <w:spacing w:val="6"/>
          <w:sz w:val="24"/>
          <w:szCs w:val="24"/>
          <w:lang w:val="en-ZA" w:eastAsia="en-GB"/>
        </w:rPr>
        <w:t>for funds originally allocated to municipalities in KwaZulu-Natal in 2015/16. The funds were rolled-over in 2016/17 as an indirect grant but went unspent and in 2017/18 they will now be rolled-over as a direct grant</w:t>
      </w:r>
      <w:r w:rsidR="00060CA7" w:rsidRPr="007A4338">
        <w:rPr>
          <w:rFonts w:ascii="Times New Roman" w:eastAsia="Times New Roman" w:hAnsi="Times New Roman" w:cs="Times New Roman"/>
          <w:color w:val="000000"/>
          <w:spacing w:val="6"/>
          <w:sz w:val="24"/>
          <w:szCs w:val="24"/>
          <w:lang w:val="en-ZA" w:eastAsia="en-GB"/>
        </w:rPr>
        <w:t>.</w:t>
      </w:r>
    </w:p>
    <w:p w14:paraId="6308BD90" w14:textId="77777777" w:rsidR="00302087" w:rsidRPr="007A4338" w:rsidRDefault="00302087" w:rsidP="007A4338">
      <w:pPr>
        <w:autoSpaceDE w:val="0"/>
        <w:autoSpaceDN w:val="0"/>
        <w:adjustRightInd w:val="0"/>
        <w:spacing w:after="0" w:line="360" w:lineRule="auto"/>
        <w:ind w:left="720"/>
        <w:jc w:val="both"/>
        <w:rPr>
          <w:rFonts w:ascii="Times New Roman" w:eastAsia="Times New Roman" w:hAnsi="Times New Roman" w:cs="Times New Roman"/>
          <w:color w:val="000000"/>
          <w:spacing w:val="6"/>
          <w:sz w:val="24"/>
          <w:szCs w:val="24"/>
          <w:lang w:val="en-ZA" w:eastAsia="en-GB"/>
        </w:rPr>
      </w:pPr>
    </w:p>
    <w:p w14:paraId="615D16ED" w14:textId="77777777" w:rsidR="00302087" w:rsidRPr="007A4338" w:rsidRDefault="0086154F"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302087" w:rsidRPr="007A4338">
        <w:rPr>
          <w:rFonts w:ascii="Times New Roman" w:eastAsia="Times New Roman" w:hAnsi="Times New Roman" w:cs="Times New Roman"/>
          <w:color w:val="000000"/>
          <w:spacing w:val="6"/>
          <w:sz w:val="24"/>
          <w:szCs w:val="24"/>
          <w:lang w:val="en-ZA" w:eastAsia="en-GB"/>
        </w:rPr>
        <w:t xml:space="preserve">R26.1 million has been allocated through the </w:t>
      </w:r>
      <w:r w:rsidR="00060CA7" w:rsidRPr="007A4338">
        <w:rPr>
          <w:rFonts w:ascii="Times New Roman" w:eastAsia="Times New Roman" w:hAnsi="Times New Roman" w:cs="Times New Roman"/>
          <w:i/>
          <w:color w:val="000000"/>
          <w:spacing w:val="6"/>
          <w:sz w:val="24"/>
          <w:szCs w:val="24"/>
          <w:lang w:val="en-ZA" w:eastAsia="en-GB"/>
        </w:rPr>
        <w:t>M</w:t>
      </w:r>
      <w:r w:rsidR="00302087" w:rsidRPr="007A4338">
        <w:rPr>
          <w:rFonts w:ascii="Times New Roman" w:eastAsia="Times New Roman" w:hAnsi="Times New Roman" w:cs="Times New Roman"/>
          <w:i/>
          <w:color w:val="000000"/>
          <w:spacing w:val="6"/>
          <w:sz w:val="24"/>
          <w:szCs w:val="24"/>
          <w:lang w:val="en-ZA" w:eastAsia="en-GB"/>
        </w:rPr>
        <w:t xml:space="preserve">unicipal </w:t>
      </w:r>
      <w:r w:rsidR="00060CA7" w:rsidRPr="007A4338">
        <w:rPr>
          <w:rFonts w:ascii="Times New Roman" w:eastAsia="Times New Roman" w:hAnsi="Times New Roman" w:cs="Times New Roman"/>
          <w:i/>
          <w:color w:val="000000"/>
          <w:spacing w:val="6"/>
          <w:sz w:val="24"/>
          <w:szCs w:val="24"/>
          <w:lang w:val="en-ZA" w:eastAsia="en-GB"/>
        </w:rPr>
        <w:t>D</w:t>
      </w:r>
      <w:r w:rsidR="00302087" w:rsidRPr="007A4338">
        <w:rPr>
          <w:rFonts w:ascii="Times New Roman" w:eastAsia="Times New Roman" w:hAnsi="Times New Roman" w:cs="Times New Roman"/>
          <w:i/>
          <w:color w:val="000000"/>
          <w:spacing w:val="6"/>
          <w:sz w:val="24"/>
          <w:szCs w:val="24"/>
          <w:lang w:val="en-ZA" w:eastAsia="en-GB"/>
        </w:rPr>
        <w:t xml:space="preserve">isaster </w:t>
      </w:r>
      <w:r w:rsidR="00060CA7" w:rsidRPr="007A4338">
        <w:rPr>
          <w:rFonts w:ascii="Times New Roman" w:eastAsia="Times New Roman" w:hAnsi="Times New Roman" w:cs="Times New Roman"/>
          <w:i/>
          <w:color w:val="000000"/>
          <w:spacing w:val="6"/>
          <w:sz w:val="24"/>
          <w:szCs w:val="24"/>
          <w:lang w:val="en-ZA" w:eastAsia="en-GB"/>
        </w:rPr>
        <w:t>R</w:t>
      </w:r>
      <w:r w:rsidR="00302087" w:rsidRPr="007A4338">
        <w:rPr>
          <w:rFonts w:ascii="Times New Roman" w:eastAsia="Times New Roman" w:hAnsi="Times New Roman" w:cs="Times New Roman"/>
          <w:i/>
          <w:color w:val="000000"/>
          <w:spacing w:val="6"/>
          <w:sz w:val="24"/>
          <w:szCs w:val="24"/>
          <w:lang w:val="en-ZA" w:eastAsia="en-GB"/>
        </w:rPr>
        <w:t xml:space="preserve">ecovery </w:t>
      </w:r>
      <w:r w:rsidR="00060CA7" w:rsidRPr="007A4338">
        <w:rPr>
          <w:rFonts w:ascii="Times New Roman" w:eastAsia="Times New Roman" w:hAnsi="Times New Roman" w:cs="Times New Roman"/>
          <w:i/>
          <w:color w:val="000000"/>
          <w:spacing w:val="6"/>
          <w:sz w:val="24"/>
          <w:szCs w:val="24"/>
          <w:lang w:val="en-ZA" w:eastAsia="en-GB"/>
        </w:rPr>
        <w:t>G</w:t>
      </w:r>
      <w:r w:rsidR="00302087" w:rsidRPr="007A4338">
        <w:rPr>
          <w:rFonts w:ascii="Times New Roman" w:eastAsia="Times New Roman" w:hAnsi="Times New Roman" w:cs="Times New Roman"/>
          <w:i/>
          <w:color w:val="000000"/>
          <w:spacing w:val="6"/>
          <w:sz w:val="24"/>
          <w:szCs w:val="24"/>
          <w:lang w:val="en-ZA" w:eastAsia="en-GB"/>
        </w:rPr>
        <w:t>rant</w:t>
      </w:r>
      <w:r w:rsidR="00302087" w:rsidRPr="007A4338">
        <w:rPr>
          <w:rFonts w:ascii="Times New Roman" w:eastAsia="Times New Roman" w:hAnsi="Times New Roman" w:cs="Times New Roman"/>
          <w:color w:val="000000"/>
          <w:spacing w:val="6"/>
          <w:sz w:val="24"/>
          <w:szCs w:val="24"/>
          <w:lang w:val="en-ZA" w:eastAsia="en-GB"/>
        </w:rPr>
        <w:t xml:space="preserve"> for the repair of sinkholes and the damage to infrastructure resulting from sinkholes in </w:t>
      </w:r>
      <w:r w:rsidR="003631C0" w:rsidRPr="007A4338">
        <w:rPr>
          <w:rFonts w:ascii="Times New Roman" w:eastAsia="Times New Roman" w:hAnsi="Times New Roman" w:cs="Times New Roman"/>
          <w:color w:val="000000"/>
          <w:spacing w:val="6"/>
          <w:sz w:val="24"/>
          <w:szCs w:val="24"/>
          <w:lang w:val="en-ZA" w:eastAsia="en-GB"/>
        </w:rPr>
        <w:t xml:space="preserve">the </w:t>
      </w:r>
      <w:proofErr w:type="spellStart"/>
      <w:r w:rsidR="003631C0" w:rsidRPr="007A4338">
        <w:rPr>
          <w:rFonts w:ascii="Times New Roman" w:eastAsia="Times New Roman" w:hAnsi="Times New Roman" w:cs="Times New Roman"/>
          <w:color w:val="000000"/>
          <w:spacing w:val="6"/>
          <w:sz w:val="24"/>
          <w:szCs w:val="24"/>
          <w:lang w:val="en-ZA" w:eastAsia="en-GB"/>
        </w:rPr>
        <w:t>Merafong</w:t>
      </w:r>
      <w:proofErr w:type="spellEnd"/>
      <w:r w:rsidR="00302087" w:rsidRPr="007A4338">
        <w:rPr>
          <w:rFonts w:ascii="Times New Roman" w:eastAsia="Times New Roman" w:hAnsi="Times New Roman" w:cs="Times New Roman"/>
          <w:color w:val="000000"/>
          <w:spacing w:val="6"/>
          <w:sz w:val="24"/>
          <w:szCs w:val="24"/>
          <w:lang w:val="en-ZA" w:eastAsia="en-GB"/>
        </w:rPr>
        <w:t xml:space="preserve"> City Local Municipality. </w:t>
      </w:r>
    </w:p>
    <w:p w14:paraId="4B45653A" w14:textId="77777777" w:rsidR="00302087" w:rsidRPr="007A4338" w:rsidRDefault="00302087" w:rsidP="007A4338">
      <w:pPr>
        <w:spacing w:after="0" w:line="360" w:lineRule="auto"/>
        <w:ind w:left="720"/>
        <w:rPr>
          <w:rFonts w:ascii="Times New Roman" w:eastAsia="Times New Roman" w:hAnsi="Times New Roman" w:cs="Times New Roman"/>
          <w:color w:val="000000"/>
          <w:spacing w:val="6"/>
          <w:sz w:val="24"/>
          <w:szCs w:val="24"/>
          <w:lang w:val="en-ZA" w:eastAsia="en-GB"/>
        </w:rPr>
      </w:pPr>
    </w:p>
    <w:p w14:paraId="404947D3" w14:textId="77777777" w:rsidR="00302087" w:rsidRPr="007A4338" w:rsidRDefault="0086154F"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302087" w:rsidRPr="007A4338">
        <w:rPr>
          <w:rFonts w:ascii="Times New Roman" w:eastAsia="Times New Roman" w:hAnsi="Times New Roman" w:cs="Times New Roman"/>
          <w:color w:val="000000"/>
          <w:spacing w:val="6"/>
          <w:sz w:val="24"/>
          <w:szCs w:val="24"/>
          <w:lang w:val="en-ZA" w:eastAsia="en-GB"/>
        </w:rPr>
        <w:t xml:space="preserve">R200 million has been added to the indirect </w:t>
      </w:r>
      <w:r w:rsidR="00060CA7" w:rsidRPr="007A4338">
        <w:rPr>
          <w:rFonts w:ascii="Times New Roman" w:eastAsia="Times New Roman" w:hAnsi="Times New Roman" w:cs="Times New Roman"/>
          <w:i/>
          <w:color w:val="000000"/>
          <w:spacing w:val="6"/>
          <w:sz w:val="24"/>
          <w:szCs w:val="24"/>
          <w:lang w:val="en-ZA" w:eastAsia="en-GB"/>
        </w:rPr>
        <w:t>R</w:t>
      </w:r>
      <w:r w:rsidR="00302087" w:rsidRPr="007A4338">
        <w:rPr>
          <w:rFonts w:ascii="Times New Roman" w:eastAsia="Times New Roman" w:hAnsi="Times New Roman" w:cs="Times New Roman"/>
          <w:i/>
          <w:color w:val="000000"/>
          <w:spacing w:val="6"/>
          <w:sz w:val="24"/>
          <w:szCs w:val="24"/>
          <w:lang w:val="en-ZA" w:eastAsia="en-GB"/>
        </w:rPr>
        <w:t xml:space="preserve">egional </w:t>
      </w:r>
      <w:r w:rsidR="00060CA7" w:rsidRPr="007A4338">
        <w:rPr>
          <w:rFonts w:ascii="Times New Roman" w:eastAsia="Times New Roman" w:hAnsi="Times New Roman" w:cs="Times New Roman"/>
          <w:i/>
          <w:color w:val="000000"/>
          <w:spacing w:val="6"/>
          <w:sz w:val="24"/>
          <w:szCs w:val="24"/>
          <w:lang w:val="en-ZA" w:eastAsia="en-GB"/>
        </w:rPr>
        <w:t>B</w:t>
      </w:r>
      <w:r w:rsidR="00302087" w:rsidRPr="007A4338">
        <w:rPr>
          <w:rFonts w:ascii="Times New Roman" w:eastAsia="Times New Roman" w:hAnsi="Times New Roman" w:cs="Times New Roman"/>
          <w:i/>
          <w:color w:val="000000"/>
          <w:spacing w:val="6"/>
          <w:sz w:val="24"/>
          <w:szCs w:val="24"/>
          <w:lang w:val="en-ZA" w:eastAsia="en-GB"/>
        </w:rPr>
        <w:t xml:space="preserve">ulk </w:t>
      </w:r>
      <w:r w:rsidR="00060CA7" w:rsidRPr="007A4338">
        <w:rPr>
          <w:rFonts w:ascii="Times New Roman" w:eastAsia="Times New Roman" w:hAnsi="Times New Roman" w:cs="Times New Roman"/>
          <w:i/>
          <w:color w:val="000000"/>
          <w:spacing w:val="6"/>
          <w:sz w:val="24"/>
          <w:szCs w:val="24"/>
          <w:lang w:val="en-ZA" w:eastAsia="en-GB"/>
        </w:rPr>
        <w:t>I</w:t>
      </w:r>
      <w:r w:rsidR="00302087" w:rsidRPr="007A4338">
        <w:rPr>
          <w:rFonts w:ascii="Times New Roman" w:eastAsia="Times New Roman" w:hAnsi="Times New Roman" w:cs="Times New Roman"/>
          <w:i/>
          <w:color w:val="000000"/>
          <w:spacing w:val="6"/>
          <w:sz w:val="24"/>
          <w:szCs w:val="24"/>
          <w:lang w:val="en-ZA" w:eastAsia="en-GB"/>
        </w:rPr>
        <w:t xml:space="preserve">nfrastructure </w:t>
      </w:r>
      <w:r w:rsidR="00060CA7" w:rsidRPr="007A4338">
        <w:rPr>
          <w:rFonts w:ascii="Times New Roman" w:eastAsia="Times New Roman" w:hAnsi="Times New Roman" w:cs="Times New Roman"/>
          <w:i/>
          <w:color w:val="000000"/>
          <w:spacing w:val="6"/>
          <w:sz w:val="24"/>
          <w:szCs w:val="24"/>
          <w:lang w:val="en-ZA" w:eastAsia="en-GB"/>
        </w:rPr>
        <w:t>G</w:t>
      </w:r>
      <w:r w:rsidR="00302087" w:rsidRPr="007A4338">
        <w:rPr>
          <w:rFonts w:ascii="Times New Roman" w:eastAsia="Times New Roman" w:hAnsi="Times New Roman" w:cs="Times New Roman"/>
          <w:i/>
          <w:color w:val="000000"/>
          <w:spacing w:val="6"/>
          <w:sz w:val="24"/>
          <w:szCs w:val="24"/>
          <w:lang w:val="en-ZA" w:eastAsia="en-GB"/>
        </w:rPr>
        <w:t>rant</w:t>
      </w:r>
      <w:r w:rsidR="00302087" w:rsidRPr="007A4338">
        <w:rPr>
          <w:rFonts w:ascii="Times New Roman" w:eastAsia="Times New Roman" w:hAnsi="Times New Roman" w:cs="Times New Roman"/>
          <w:color w:val="000000"/>
          <w:spacing w:val="6"/>
          <w:sz w:val="24"/>
          <w:szCs w:val="24"/>
          <w:lang w:val="en-ZA" w:eastAsia="en-GB"/>
        </w:rPr>
        <w:t xml:space="preserve"> for Butterworth’s emergency water supply scheme to respond to drought pressures.</w:t>
      </w:r>
    </w:p>
    <w:p w14:paraId="565536C1" w14:textId="77777777" w:rsidR="00302087" w:rsidRPr="007A4338" w:rsidRDefault="00302087" w:rsidP="007A4338">
      <w:pPr>
        <w:spacing w:after="0" w:line="360" w:lineRule="auto"/>
        <w:ind w:left="720"/>
        <w:rPr>
          <w:rFonts w:ascii="Times New Roman" w:eastAsia="Times New Roman" w:hAnsi="Times New Roman" w:cs="Times New Roman"/>
          <w:color w:val="000000"/>
          <w:spacing w:val="6"/>
          <w:sz w:val="24"/>
          <w:szCs w:val="24"/>
          <w:lang w:val="en-ZA" w:eastAsia="en-GB"/>
        </w:rPr>
      </w:pPr>
    </w:p>
    <w:p w14:paraId="1E22606F" w14:textId="77777777" w:rsidR="00302087" w:rsidRPr="007A4338" w:rsidRDefault="0086154F"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302087" w:rsidRPr="007A4338">
        <w:rPr>
          <w:rFonts w:ascii="Times New Roman" w:eastAsia="Times New Roman" w:hAnsi="Times New Roman" w:cs="Times New Roman"/>
          <w:color w:val="000000"/>
          <w:spacing w:val="6"/>
          <w:sz w:val="24"/>
          <w:szCs w:val="24"/>
          <w:lang w:val="en-ZA" w:eastAsia="en-GB"/>
        </w:rPr>
        <w:t xml:space="preserve">R265 million will be added to the bucket eradication programme to allow the Department of Water and Sanitation to continue bucket eradication projects </w:t>
      </w:r>
      <w:r w:rsidR="00302087" w:rsidRPr="007A4338">
        <w:rPr>
          <w:rFonts w:ascii="Times New Roman" w:eastAsia="Times New Roman" w:hAnsi="Times New Roman" w:cs="Times New Roman"/>
          <w:color w:val="000000"/>
          <w:spacing w:val="6"/>
          <w:sz w:val="24"/>
          <w:szCs w:val="24"/>
          <w:lang w:val="en-ZA" w:eastAsia="en-GB"/>
        </w:rPr>
        <w:lastRenderedPageBreak/>
        <w:t xml:space="preserve">that the department had already identified and committed to implementing. This increase is funded through the reprioritisation of funds within the department from compensation of employees (R45.1 million), payments of capital assets (R214.5 million) and goods and services </w:t>
      </w:r>
      <w:r w:rsidR="00274F6D" w:rsidRPr="007A4338">
        <w:rPr>
          <w:rFonts w:ascii="Times New Roman" w:eastAsia="Times New Roman" w:hAnsi="Times New Roman" w:cs="Times New Roman"/>
          <w:color w:val="000000"/>
          <w:spacing w:val="6"/>
          <w:sz w:val="24"/>
          <w:szCs w:val="24"/>
          <w:lang w:val="en-ZA" w:eastAsia="en-GB"/>
        </w:rPr>
        <w:t xml:space="preserve">meant </w:t>
      </w:r>
      <w:r w:rsidR="00302087" w:rsidRPr="007A4338">
        <w:rPr>
          <w:rFonts w:ascii="Times New Roman" w:eastAsia="Times New Roman" w:hAnsi="Times New Roman" w:cs="Times New Roman"/>
          <w:color w:val="000000"/>
          <w:spacing w:val="6"/>
          <w:sz w:val="24"/>
          <w:szCs w:val="24"/>
          <w:lang w:val="en-ZA" w:eastAsia="en-GB"/>
        </w:rPr>
        <w:t xml:space="preserve">to support </w:t>
      </w:r>
      <w:r w:rsidR="00274F6D" w:rsidRPr="007A4338">
        <w:rPr>
          <w:rFonts w:ascii="Times New Roman" w:eastAsia="Times New Roman" w:hAnsi="Times New Roman" w:cs="Times New Roman"/>
          <w:i/>
          <w:color w:val="000000"/>
          <w:spacing w:val="6"/>
          <w:sz w:val="24"/>
          <w:szCs w:val="24"/>
          <w:lang w:val="en-ZA" w:eastAsia="en-GB"/>
        </w:rPr>
        <w:t>I</w:t>
      </w:r>
      <w:r w:rsidR="00302087" w:rsidRPr="007A4338">
        <w:rPr>
          <w:rFonts w:ascii="Times New Roman" w:eastAsia="Times New Roman" w:hAnsi="Times New Roman" w:cs="Times New Roman"/>
          <w:i/>
          <w:color w:val="000000"/>
          <w:spacing w:val="6"/>
          <w:sz w:val="24"/>
          <w:szCs w:val="24"/>
          <w:lang w:val="en-ZA" w:eastAsia="en-GB"/>
        </w:rPr>
        <w:t xml:space="preserve">ndirect </w:t>
      </w:r>
      <w:r w:rsidR="00274F6D" w:rsidRPr="007A4338">
        <w:rPr>
          <w:rFonts w:ascii="Times New Roman" w:eastAsia="Times New Roman" w:hAnsi="Times New Roman" w:cs="Times New Roman"/>
          <w:i/>
          <w:color w:val="000000"/>
          <w:spacing w:val="6"/>
          <w:sz w:val="24"/>
          <w:szCs w:val="24"/>
          <w:lang w:val="en-ZA" w:eastAsia="en-GB"/>
        </w:rPr>
        <w:t>W</w:t>
      </w:r>
      <w:r w:rsidR="00302087" w:rsidRPr="007A4338">
        <w:rPr>
          <w:rFonts w:ascii="Times New Roman" w:eastAsia="Times New Roman" w:hAnsi="Times New Roman" w:cs="Times New Roman"/>
          <w:i/>
          <w:color w:val="000000"/>
          <w:spacing w:val="6"/>
          <w:sz w:val="24"/>
          <w:szCs w:val="24"/>
          <w:lang w:val="en-ZA" w:eastAsia="en-GB"/>
        </w:rPr>
        <w:t xml:space="preserve">ater </w:t>
      </w:r>
      <w:r w:rsidR="00274F6D" w:rsidRPr="007A4338">
        <w:rPr>
          <w:rFonts w:ascii="Times New Roman" w:eastAsia="Times New Roman" w:hAnsi="Times New Roman" w:cs="Times New Roman"/>
          <w:i/>
          <w:color w:val="000000"/>
          <w:spacing w:val="6"/>
          <w:sz w:val="24"/>
          <w:szCs w:val="24"/>
          <w:lang w:val="en-ZA" w:eastAsia="en-GB"/>
        </w:rPr>
        <w:t>S</w:t>
      </w:r>
      <w:r w:rsidR="00302087" w:rsidRPr="007A4338">
        <w:rPr>
          <w:rFonts w:ascii="Times New Roman" w:eastAsia="Times New Roman" w:hAnsi="Times New Roman" w:cs="Times New Roman"/>
          <w:i/>
          <w:color w:val="000000"/>
          <w:spacing w:val="6"/>
          <w:sz w:val="24"/>
          <w:szCs w:val="24"/>
          <w:lang w:val="en-ZA" w:eastAsia="en-GB"/>
        </w:rPr>
        <w:t xml:space="preserve">ervices </w:t>
      </w:r>
      <w:r w:rsidR="00274F6D" w:rsidRPr="007A4338">
        <w:rPr>
          <w:rFonts w:ascii="Times New Roman" w:eastAsia="Times New Roman" w:hAnsi="Times New Roman" w:cs="Times New Roman"/>
          <w:i/>
          <w:color w:val="000000"/>
          <w:spacing w:val="6"/>
          <w:sz w:val="24"/>
          <w:szCs w:val="24"/>
          <w:lang w:val="en-ZA" w:eastAsia="en-GB"/>
        </w:rPr>
        <w:t>I</w:t>
      </w:r>
      <w:r w:rsidR="00302087" w:rsidRPr="007A4338">
        <w:rPr>
          <w:rFonts w:ascii="Times New Roman" w:eastAsia="Times New Roman" w:hAnsi="Times New Roman" w:cs="Times New Roman"/>
          <w:i/>
          <w:color w:val="000000"/>
          <w:spacing w:val="6"/>
          <w:sz w:val="24"/>
          <w:szCs w:val="24"/>
          <w:lang w:val="en-ZA" w:eastAsia="en-GB"/>
        </w:rPr>
        <w:t xml:space="preserve">nfrastructure </w:t>
      </w:r>
      <w:r w:rsidR="00274F6D" w:rsidRPr="007A4338">
        <w:rPr>
          <w:rFonts w:ascii="Times New Roman" w:eastAsia="Times New Roman" w:hAnsi="Times New Roman" w:cs="Times New Roman"/>
          <w:i/>
          <w:color w:val="000000"/>
          <w:spacing w:val="6"/>
          <w:sz w:val="24"/>
          <w:szCs w:val="24"/>
          <w:lang w:val="en-ZA" w:eastAsia="en-GB"/>
        </w:rPr>
        <w:t>G</w:t>
      </w:r>
      <w:r w:rsidR="00302087" w:rsidRPr="007A4338">
        <w:rPr>
          <w:rFonts w:ascii="Times New Roman" w:eastAsia="Times New Roman" w:hAnsi="Times New Roman" w:cs="Times New Roman"/>
          <w:i/>
          <w:color w:val="000000"/>
          <w:spacing w:val="6"/>
          <w:sz w:val="24"/>
          <w:szCs w:val="24"/>
          <w:lang w:val="en-ZA" w:eastAsia="en-GB"/>
        </w:rPr>
        <w:t>rant</w:t>
      </w:r>
      <w:r w:rsidR="00302087" w:rsidRPr="007A4338">
        <w:rPr>
          <w:rFonts w:ascii="Times New Roman" w:eastAsia="Times New Roman" w:hAnsi="Times New Roman" w:cs="Times New Roman"/>
          <w:color w:val="000000"/>
          <w:spacing w:val="6"/>
          <w:sz w:val="24"/>
          <w:szCs w:val="24"/>
          <w:lang w:val="en-ZA" w:eastAsia="en-GB"/>
        </w:rPr>
        <w:t xml:space="preserve"> (R5.4 million).</w:t>
      </w:r>
      <w:r w:rsidR="00060CA7" w:rsidRPr="007A4338">
        <w:rPr>
          <w:rFonts w:ascii="Times New Roman" w:eastAsia="Times New Roman" w:hAnsi="Times New Roman" w:cs="Times New Roman"/>
          <w:color w:val="000000"/>
          <w:spacing w:val="6"/>
          <w:sz w:val="24"/>
          <w:szCs w:val="24"/>
          <w:lang w:val="en-ZA" w:eastAsia="en-GB"/>
        </w:rPr>
        <w:t xml:space="preserve"> </w:t>
      </w:r>
    </w:p>
    <w:p w14:paraId="27DA3F65" w14:textId="77777777" w:rsidR="00302087" w:rsidRPr="007A4338" w:rsidRDefault="00302087" w:rsidP="007A4338">
      <w:pPr>
        <w:spacing w:after="0" w:line="360" w:lineRule="auto"/>
        <w:ind w:left="720"/>
        <w:rPr>
          <w:rFonts w:ascii="Times New Roman" w:eastAsia="Times New Roman" w:hAnsi="Times New Roman" w:cs="Times New Roman"/>
          <w:color w:val="000000"/>
          <w:spacing w:val="6"/>
          <w:sz w:val="24"/>
          <w:szCs w:val="24"/>
          <w:lang w:val="en-ZA" w:eastAsia="en-GB"/>
        </w:rPr>
      </w:pPr>
    </w:p>
    <w:p w14:paraId="7ABEBA96"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020915D7"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Changes to conditional grant frameworks</w:t>
      </w:r>
    </w:p>
    <w:p w14:paraId="31978AA2"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1DAE452B" w14:textId="77777777" w:rsidR="00302087" w:rsidRPr="007A4338" w:rsidRDefault="00302087" w:rsidP="007A4338">
      <w:pPr>
        <w:spacing w:after="0" w:line="360" w:lineRule="auto"/>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Together with the tabling of the Bill, National Treasury also submitted to Parliament proposed changes to gazetted conditional grant frameworks and allocations. Section 16(4) of the Division of Revenue Act, 201</w:t>
      </w:r>
      <w:r w:rsidR="00C904C9" w:rsidRPr="007A4338">
        <w:rPr>
          <w:rFonts w:ascii="Times New Roman" w:eastAsia="Times New Roman" w:hAnsi="Times New Roman" w:cs="Times New Roman"/>
          <w:spacing w:val="6"/>
          <w:sz w:val="24"/>
          <w:szCs w:val="24"/>
          <w:lang w:val="en-ZA" w:eastAsia="en-GB"/>
        </w:rPr>
        <w:t>7</w:t>
      </w:r>
      <w:r w:rsidRPr="007A4338">
        <w:rPr>
          <w:rFonts w:ascii="Times New Roman" w:eastAsia="Times New Roman" w:hAnsi="Times New Roman" w:cs="Times New Roman"/>
          <w:spacing w:val="6"/>
          <w:sz w:val="24"/>
          <w:szCs w:val="24"/>
          <w:lang w:val="en-ZA" w:eastAsia="en-GB"/>
        </w:rPr>
        <w:t>, requires National Treasury to consult Parliament on any proposed changes to conditional grant framework for the purpose of correcting an error or omission, as envisaged in Section 16(2) of the Division of Revenue Act, 201</w:t>
      </w:r>
      <w:r w:rsidR="00C904C9" w:rsidRPr="007A4338">
        <w:rPr>
          <w:rFonts w:ascii="Times New Roman" w:eastAsia="Times New Roman" w:hAnsi="Times New Roman" w:cs="Times New Roman"/>
          <w:spacing w:val="6"/>
          <w:sz w:val="24"/>
          <w:szCs w:val="24"/>
          <w:lang w:val="en-ZA" w:eastAsia="en-GB"/>
        </w:rPr>
        <w:t>7</w:t>
      </w:r>
      <w:r w:rsidRPr="007A4338">
        <w:rPr>
          <w:rFonts w:ascii="Times New Roman" w:eastAsia="Times New Roman" w:hAnsi="Times New Roman" w:cs="Times New Roman"/>
          <w:spacing w:val="6"/>
          <w:sz w:val="24"/>
          <w:szCs w:val="24"/>
          <w:lang w:val="en-ZA" w:eastAsia="en-GB"/>
        </w:rPr>
        <w:t>. The following corrections to conditional grant frameworks were submitted by the Minister of Finance together with the Bill:</w:t>
      </w:r>
    </w:p>
    <w:p w14:paraId="41A044B5" w14:textId="77777777" w:rsidR="00302087" w:rsidRPr="007A4338" w:rsidRDefault="00302087" w:rsidP="007A4338">
      <w:pPr>
        <w:spacing w:after="0" w:line="360" w:lineRule="auto"/>
        <w:jc w:val="both"/>
        <w:rPr>
          <w:rFonts w:ascii="Times New Roman" w:eastAsia="Times New Roman" w:hAnsi="Times New Roman" w:cs="Times New Roman"/>
          <w:spacing w:val="6"/>
          <w:sz w:val="24"/>
          <w:szCs w:val="24"/>
          <w:lang w:val="en-ZA" w:eastAsia="en-GB"/>
        </w:rPr>
      </w:pPr>
    </w:p>
    <w:p w14:paraId="3C78B589"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b/>
          <w:i/>
          <w:color w:val="000000"/>
          <w:spacing w:val="6"/>
          <w:sz w:val="24"/>
          <w:szCs w:val="24"/>
          <w:lang w:val="en-ZA" w:eastAsia="en-GB"/>
        </w:rPr>
        <w:t>Comprehensive HIV, AIDS and TB Grant: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Amended to include a window for the funding of the malaria outbreak relief interventions.</w:t>
      </w:r>
    </w:p>
    <w:p w14:paraId="7DD9242E"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b/>
          <w:i/>
          <w:color w:val="000000"/>
          <w:spacing w:val="6"/>
          <w:sz w:val="24"/>
          <w:szCs w:val="24"/>
          <w:lang w:val="en-ZA" w:eastAsia="en-GB"/>
        </w:rPr>
        <w:t>Health Professions Training and Development Grant &amp; National Tertiary Services Grant: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Due date for submission of the list of specialists paid from the provincial equitable share and these grants</w:t>
      </w:r>
      <w:r w:rsidR="0086154F" w:rsidRPr="007A4338">
        <w:rPr>
          <w:rFonts w:ascii="Times New Roman" w:eastAsia="Times New Roman" w:hAnsi="Times New Roman" w:cs="Times New Roman"/>
          <w:color w:val="000000"/>
          <w:spacing w:val="6"/>
          <w:sz w:val="24"/>
          <w:szCs w:val="24"/>
          <w:lang w:val="en-ZA" w:eastAsia="en-GB"/>
        </w:rPr>
        <w:t>,</w:t>
      </w:r>
      <w:r w:rsidRPr="007A4338">
        <w:rPr>
          <w:rFonts w:ascii="Times New Roman" w:eastAsia="Times New Roman" w:hAnsi="Times New Roman" w:cs="Times New Roman"/>
          <w:color w:val="000000"/>
          <w:spacing w:val="6"/>
          <w:sz w:val="24"/>
          <w:szCs w:val="24"/>
          <w:lang w:val="en-ZA" w:eastAsia="en-GB"/>
        </w:rPr>
        <w:t xml:space="preserve"> is corrected to 30 November 2017. </w:t>
      </w:r>
    </w:p>
    <w:p w14:paraId="0E4DE9A2"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b/>
          <w:i/>
          <w:color w:val="000000"/>
          <w:spacing w:val="6"/>
          <w:sz w:val="24"/>
          <w:szCs w:val="24"/>
          <w:lang w:val="en-ZA" w:eastAsia="en-GB"/>
        </w:rPr>
        <w:t>National Health Insurance Indirect Grant: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b/>
          <w:i/>
          <w:color w:val="000000"/>
          <w:spacing w:val="6"/>
          <w:sz w:val="24"/>
          <w:szCs w:val="24"/>
          <w:lang w:val="en-ZA" w:eastAsia="en-GB"/>
        </w:rPr>
        <w:t>Health Professionals Contracting Component: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Duplication of a requirement for the national Department of Health and National Treasury to discuss funding for a review is removed.</w:t>
      </w:r>
    </w:p>
    <w:p w14:paraId="5E089523"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b/>
          <w:i/>
          <w:color w:val="000000"/>
          <w:spacing w:val="6"/>
          <w:sz w:val="24"/>
          <w:szCs w:val="24"/>
          <w:lang w:val="en-ZA" w:eastAsia="en-GB"/>
        </w:rPr>
        <w:t>National Health Insurance Indirect Grant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b/>
          <w:i/>
          <w:color w:val="000000"/>
          <w:spacing w:val="6"/>
          <w:sz w:val="24"/>
          <w:szCs w:val="24"/>
          <w:lang w:val="en-ZA" w:eastAsia="en-GB"/>
        </w:rPr>
        <w:t>Ideal Clinics Component: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Output for the number of facilities to be peer</w:t>
      </w:r>
      <w:r w:rsidRPr="007A4338">
        <w:rPr>
          <w:rFonts w:ascii="Times New Roman" w:eastAsia="Times New Roman" w:hAnsi="Times New Roman" w:cs="Times New Roman"/>
          <w:color w:val="000000"/>
          <w:spacing w:val="6"/>
          <w:sz w:val="24"/>
          <w:szCs w:val="24"/>
          <w:lang w:val="en-ZA" w:eastAsia="en-GB"/>
        </w:rPr>
        <w:noBreakHyphen/>
        <w:t>reviewed is amended from 1 700 to 500 clinics</w:t>
      </w:r>
      <w:r w:rsidR="0086154F" w:rsidRPr="007A4338">
        <w:rPr>
          <w:rFonts w:ascii="Times New Roman" w:eastAsia="Times New Roman" w:hAnsi="Times New Roman" w:cs="Times New Roman"/>
          <w:color w:val="000000"/>
          <w:spacing w:val="6"/>
          <w:sz w:val="24"/>
          <w:szCs w:val="24"/>
          <w:lang w:val="en-ZA" w:eastAsia="en-GB"/>
        </w:rPr>
        <w:t>.</w:t>
      </w:r>
      <w:r w:rsidRPr="007A4338">
        <w:rPr>
          <w:rFonts w:ascii="Times New Roman" w:eastAsia="Times New Roman" w:hAnsi="Times New Roman" w:cs="Times New Roman"/>
          <w:color w:val="000000"/>
          <w:spacing w:val="6"/>
          <w:sz w:val="24"/>
          <w:szCs w:val="24"/>
          <w:lang w:val="en-ZA" w:eastAsia="en-GB"/>
        </w:rPr>
        <w:t xml:space="preserve"> This was the cumulative target for the 2017 M</w:t>
      </w:r>
      <w:r w:rsidR="00D933A5" w:rsidRPr="007A4338">
        <w:rPr>
          <w:rFonts w:ascii="Times New Roman" w:eastAsia="Times New Roman" w:hAnsi="Times New Roman" w:cs="Times New Roman"/>
          <w:color w:val="000000"/>
          <w:spacing w:val="6"/>
          <w:sz w:val="24"/>
          <w:szCs w:val="24"/>
          <w:lang w:val="en-ZA" w:eastAsia="en-GB"/>
        </w:rPr>
        <w:t>edium Term Expenditure Framework</w:t>
      </w:r>
      <w:r w:rsidRPr="007A4338">
        <w:rPr>
          <w:rFonts w:ascii="Times New Roman" w:eastAsia="Times New Roman" w:hAnsi="Times New Roman" w:cs="Times New Roman"/>
          <w:color w:val="000000"/>
          <w:spacing w:val="6"/>
          <w:sz w:val="24"/>
          <w:szCs w:val="24"/>
          <w:lang w:val="en-ZA" w:eastAsia="en-GB"/>
        </w:rPr>
        <w:t>, not the single year target for 2017/18</w:t>
      </w:r>
      <w:r w:rsidR="00591737" w:rsidRPr="007A4338">
        <w:rPr>
          <w:rFonts w:ascii="Times New Roman" w:eastAsia="Times New Roman" w:hAnsi="Times New Roman" w:cs="Times New Roman"/>
          <w:color w:val="000000"/>
          <w:spacing w:val="6"/>
          <w:sz w:val="24"/>
          <w:szCs w:val="24"/>
          <w:lang w:val="en-ZA" w:eastAsia="en-GB"/>
        </w:rPr>
        <w:t>.</w:t>
      </w:r>
    </w:p>
    <w:p w14:paraId="0A4E3CC8"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b/>
          <w:i/>
          <w:color w:val="000000"/>
          <w:spacing w:val="6"/>
          <w:sz w:val="24"/>
          <w:szCs w:val="24"/>
          <w:lang w:val="en-ZA" w:eastAsia="en-GB"/>
        </w:rPr>
        <w:t>National Health Insurance Grant: Health Professionals Contracting Component: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Remove an infrastructure reporting responsibility that had erroneously been included in this component. Allocations must also be aligned to the revised allocations per component.</w:t>
      </w:r>
    </w:p>
    <w:p w14:paraId="767E68B2" w14:textId="77777777" w:rsidR="00302087" w:rsidRPr="007A4338" w:rsidRDefault="00302087"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b/>
          <w:i/>
          <w:color w:val="000000"/>
          <w:spacing w:val="6"/>
          <w:sz w:val="24"/>
          <w:szCs w:val="24"/>
          <w:lang w:val="en-ZA" w:eastAsia="en-GB"/>
        </w:rPr>
        <w:lastRenderedPageBreak/>
        <w:t>Substance Abuse Treatment Grant:</w:t>
      </w:r>
      <w:r w:rsidRPr="007A4338">
        <w:rPr>
          <w:rFonts w:ascii="Times New Roman" w:eastAsia="Times New Roman" w:hAnsi="Times New Roman" w:cs="Times New Roman"/>
          <w:i/>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 xml:space="preserve">Due date for the submission of business plans </w:t>
      </w:r>
      <w:r w:rsidR="0086154F" w:rsidRPr="007A4338">
        <w:rPr>
          <w:rFonts w:ascii="Times New Roman" w:eastAsia="Times New Roman" w:hAnsi="Times New Roman" w:cs="Times New Roman"/>
          <w:color w:val="000000"/>
          <w:spacing w:val="6"/>
          <w:sz w:val="24"/>
          <w:szCs w:val="24"/>
          <w:lang w:val="en-ZA" w:eastAsia="en-GB"/>
        </w:rPr>
        <w:t xml:space="preserve">is </w:t>
      </w:r>
      <w:r w:rsidRPr="007A4338">
        <w:rPr>
          <w:rFonts w:ascii="Times New Roman" w:eastAsia="Times New Roman" w:hAnsi="Times New Roman" w:cs="Times New Roman"/>
          <w:color w:val="000000"/>
          <w:spacing w:val="6"/>
          <w:sz w:val="24"/>
          <w:szCs w:val="24"/>
          <w:lang w:val="en-ZA" w:eastAsia="en-GB"/>
        </w:rPr>
        <w:t>corrected to 1 March 2017</w:t>
      </w:r>
      <w:r w:rsidR="00591737" w:rsidRPr="007A4338">
        <w:rPr>
          <w:rFonts w:ascii="Times New Roman" w:eastAsia="Times New Roman" w:hAnsi="Times New Roman" w:cs="Times New Roman"/>
          <w:color w:val="000000"/>
          <w:spacing w:val="6"/>
          <w:sz w:val="24"/>
          <w:szCs w:val="24"/>
          <w:lang w:val="en-ZA" w:eastAsia="en-GB"/>
        </w:rPr>
        <w:t>.</w:t>
      </w:r>
    </w:p>
    <w:p w14:paraId="6A835CAA" w14:textId="77777777" w:rsidR="00302087" w:rsidRPr="007A4338" w:rsidRDefault="00302087" w:rsidP="007A4338">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p>
    <w:p w14:paraId="4C86C418"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Submission by National Treasury</w:t>
      </w:r>
    </w:p>
    <w:p w14:paraId="691D9A7E" w14:textId="77777777" w:rsidR="00302087" w:rsidRPr="007A4338" w:rsidRDefault="00302087" w:rsidP="007A4338">
      <w:pPr>
        <w:spacing w:after="0" w:line="360" w:lineRule="auto"/>
        <w:ind w:left="360"/>
        <w:jc w:val="both"/>
        <w:rPr>
          <w:rFonts w:ascii="Times New Roman" w:eastAsia="Times New Roman" w:hAnsi="Times New Roman" w:cs="Times New Roman"/>
          <w:b/>
          <w:color w:val="000000"/>
          <w:spacing w:val="6"/>
          <w:sz w:val="24"/>
          <w:szCs w:val="24"/>
          <w:lang w:val="en-ZA" w:eastAsia="en-GB"/>
        </w:rPr>
      </w:pPr>
    </w:p>
    <w:p w14:paraId="2FBCC272"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val="en-ZA" w:eastAsia="en-GB"/>
        </w:rPr>
        <w:t xml:space="preserve">National Treasury in its submission highlighted </w:t>
      </w:r>
      <w:r w:rsidR="00B40F36" w:rsidRPr="007A4338">
        <w:rPr>
          <w:rFonts w:ascii="Times New Roman" w:eastAsia="Times New Roman" w:hAnsi="Times New Roman" w:cs="Times New Roman"/>
          <w:color w:val="000000"/>
          <w:spacing w:val="6"/>
          <w:sz w:val="24"/>
          <w:szCs w:val="24"/>
          <w:lang w:eastAsia="en-GB"/>
        </w:rPr>
        <w:t xml:space="preserve">challenges </w:t>
      </w:r>
      <w:r w:rsidRPr="007A4338">
        <w:rPr>
          <w:rFonts w:ascii="Times New Roman" w:eastAsia="Times New Roman" w:hAnsi="Times New Roman" w:cs="Times New Roman"/>
          <w:color w:val="000000"/>
          <w:spacing w:val="6"/>
          <w:sz w:val="24"/>
          <w:szCs w:val="24"/>
          <w:lang w:eastAsia="en-GB"/>
        </w:rPr>
        <w:t>pertaining to the current financial performance of municipalities and interventions in place which include</w:t>
      </w:r>
      <w:r w:rsidR="00B40F36" w:rsidRPr="007A4338">
        <w:rPr>
          <w:rFonts w:ascii="Times New Roman" w:eastAsia="Times New Roman" w:hAnsi="Times New Roman" w:cs="Times New Roman"/>
          <w:color w:val="000000"/>
          <w:spacing w:val="6"/>
          <w:sz w:val="24"/>
          <w:szCs w:val="24"/>
          <w:lang w:eastAsia="en-GB"/>
        </w:rPr>
        <w:t>:</w:t>
      </w:r>
      <w:r w:rsidRPr="007A4338">
        <w:rPr>
          <w:rFonts w:ascii="Times New Roman" w:eastAsia="Times New Roman" w:hAnsi="Times New Roman" w:cs="Times New Roman"/>
          <w:color w:val="000000"/>
          <w:spacing w:val="6"/>
          <w:sz w:val="24"/>
          <w:szCs w:val="24"/>
          <w:lang w:eastAsia="en-GB"/>
        </w:rPr>
        <w:t xml:space="preserve"> enhancing municipal revenue, reducing debts and ensuring transfers to local government are effective.</w:t>
      </w:r>
    </w:p>
    <w:p w14:paraId="777C4DC0"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eastAsia="en-GB"/>
        </w:rPr>
      </w:pPr>
    </w:p>
    <w:p w14:paraId="76BFC3BF"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National Treasury indicated that municipal debt is increasing and aggravated by the culture of non-payment</w:t>
      </w:r>
      <w:r w:rsidR="00F13884" w:rsidRPr="007A4338">
        <w:rPr>
          <w:rFonts w:ascii="Times New Roman" w:eastAsia="Times New Roman" w:hAnsi="Times New Roman" w:cs="Times New Roman"/>
          <w:color w:val="000000"/>
          <w:spacing w:val="6"/>
          <w:sz w:val="24"/>
          <w:szCs w:val="24"/>
          <w:lang w:eastAsia="en-GB"/>
        </w:rPr>
        <w:t xml:space="preserve"> </w:t>
      </w:r>
      <w:r w:rsidR="00B61570" w:rsidRPr="007A4338">
        <w:rPr>
          <w:rFonts w:ascii="Times New Roman" w:eastAsia="Times New Roman" w:hAnsi="Times New Roman" w:cs="Times New Roman"/>
          <w:color w:val="000000"/>
          <w:spacing w:val="6"/>
          <w:sz w:val="24"/>
          <w:szCs w:val="24"/>
          <w:lang w:eastAsia="en-GB"/>
        </w:rPr>
        <w:t xml:space="preserve">for </w:t>
      </w:r>
      <w:r w:rsidR="00F13884" w:rsidRPr="007A4338">
        <w:rPr>
          <w:rFonts w:ascii="Times New Roman" w:eastAsia="Times New Roman" w:hAnsi="Times New Roman" w:cs="Times New Roman"/>
          <w:color w:val="000000"/>
          <w:spacing w:val="6"/>
          <w:sz w:val="24"/>
          <w:szCs w:val="24"/>
          <w:lang w:eastAsia="en-GB"/>
        </w:rPr>
        <w:t>municipal services</w:t>
      </w:r>
      <w:r w:rsidRPr="007A4338">
        <w:rPr>
          <w:rFonts w:ascii="Times New Roman" w:eastAsia="Times New Roman" w:hAnsi="Times New Roman" w:cs="Times New Roman"/>
          <w:color w:val="000000"/>
          <w:spacing w:val="6"/>
          <w:sz w:val="24"/>
          <w:szCs w:val="24"/>
          <w:lang w:eastAsia="en-GB"/>
        </w:rPr>
        <w:t xml:space="preserve">. Municipalities are owed around R128.4 billion which is greater than the total local government grant allocation of R111 billion. Moreover, municipalities owe creditors around R43 billion and this threatens the livelihood of these suppliers. Some of the key findings from the analysis by National Treasury include the following: </w:t>
      </w:r>
    </w:p>
    <w:p w14:paraId="35C5601D"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eastAsia="en-GB"/>
        </w:rPr>
      </w:pPr>
    </w:p>
    <w:p w14:paraId="7004F766"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 xml:space="preserve">Where municipal leadership is weak, ineffective councils and governance structures have negative consequences; </w:t>
      </w:r>
    </w:p>
    <w:p w14:paraId="0993ED1C"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Accountability is weaker at municipalities w</w:t>
      </w:r>
      <w:r w:rsidR="00F13884" w:rsidRPr="007A4338">
        <w:rPr>
          <w:rFonts w:ascii="Times New Roman" w:eastAsia="Times New Roman" w:hAnsi="Times New Roman" w:cs="Times New Roman"/>
          <w:color w:val="000000"/>
          <w:spacing w:val="6"/>
          <w:sz w:val="24"/>
          <w:szCs w:val="24"/>
          <w:lang w:eastAsia="en-GB"/>
        </w:rPr>
        <w:t>hich have acting</w:t>
      </w:r>
      <w:r w:rsidRPr="007A4338">
        <w:rPr>
          <w:rFonts w:ascii="Times New Roman" w:eastAsia="Times New Roman" w:hAnsi="Times New Roman" w:cs="Times New Roman"/>
          <w:color w:val="000000"/>
          <w:spacing w:val="6"/>
          <w:sz w:val="24"/>
          <w:szCs w:val="24"/>
          <w:lang w:eastAsia="en-GB"/>
        </w:rPr>
        <w:t xml:space="preserve"> municipal manager</w:t>
      </w:r>
      <w:r w:rsidR="00F13884" w:rsidRPr="007A4338">
        <w:rPr>
          <w:rFonts w:ascii="Times New Roman" w:eastAsia="Times New Roman" w:hAnsi="Times New Roman" w:cs="Times New Roman"/>
          <w:color w:val="000000"/>
          <w:spacing w:val="6"/>
          <w:sz w:val="24"/>
          <w:szCs w:val="24"/>
          <w:lang w:eastAsia="en-GB"/>
        </w:rPr>
        <w:t>s</w:t>
      </w:r>
      <w:r w:rsidRPr="007A4338">
        <w:rPr>
          <w:rFonts w:ascii="Times New Roman" w:eastAsia="Times New Roman" w:hAnsi="Times New Roman" w:cs="Times New Roman"/>
          <w:color w:val="000000"/>
          <w:spacing w:val="6"/>
          <w:sz w:val="24"/>
          <w:szCs w:val="24"/>
          <w:lang w:eastAsia="en-GB"/>
        </w:rPr>
        <w:t xml:space="preserve">; </w:t>
      </w:r>
    </w:p>
    <w:p w14:paraId="0AFBF1C3"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Absence of or weak service level agreements where municipalities perform functions on behalf of provinces;</w:t>
      </w:r>
    </w:p>
    <w:p w14:paraId="7E768E38"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Misalignment of funding and functions for district and local municipalities;</w:t>
      </w:r>
    </w:p>
    <w:p w14:paraId="253AE605"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Combining two dysfunctional / distressed municipalities does not yield a functional municipality;</w:t>
      </w:r>
    </w:p>
    <w:p w14:paraId="5F97020A"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The overlap between the M</w:t>
      </w:r>
      <w:r w:rsidR="00F13884" w:rsidRPr="007A4338">
        <w:rPr>
          <w:rFonts w:ascii="Times New Roman" w:eastAsia="Times New Roman" w:hAnsi="Times New Roman" w:cs="Times New Roman"/>
          <w:color w:val="000000"/>
          <w:spacing w:val="6"/>
          <w:sz w:val="24"/>
          <w:szCs w:val="24"/>
          <w:lang w:eastAsia="en-GB"/>
        </w:rPr>
        <w:t>unicipal Systems Act</w:t>
      </w:r>
      <w:r w:rsidR="004700EB" w:rsidRPr="007A4338">
        <w:rPr>
          <w:rFonts w:ascii="Times New Roman" w:eastAsia="Times New Roman" w:hAnsi="Times New Roman" w:cs="Times New Roman"/>
          <w:color w:val="000000"/>
          <w:spacing w:val="6"/>
          <w:sz w:val="24"/>
          <w:szCs w:val="24"/>
          <w:lang w:eastAsia="en-GB"/>
        </w:rPr>
        <w:t xml:space="preserve"> </w:t>
      </w:r>
      <w:r w:rsidR="00F13884" w:rsidRPr="007A4338">
        <w:rPr>
          <w:rFonts w:ascii="Times New Roman" w:eastAsia="Times New Roman" w:hAnsi="Times New Roman" w:cs="Times New Roman"/>
          <w:color w:val="000000"/>
          <w:spacing w:val="6"/>
          <w:sz w:val="24"/>
          <w:szCs w:val="24"/>
          <w:lang w:eastAsia="en-GB"/>
        </w:rPr>
        <w:t>(MSA)</w:t>
      </w:r>
      <w:r w:rsidRPr="007A4338">
        <w:rPr>
          <w:rFonts w:ascii="Times New Roman" w:eastAsia="Times New Roman" w:hAnsi="Times New Roman" w:cs="Times New Roman"/>
          <w:color w:val="000000"/>
          <w:spacing w:val="6"/>
          <w:sz w:val="24"/>
          <w:szCs w:val="24"/>
          <w:lang w:eastAsia="en-GB"/>
        </w:rPr>
        <w:t xml:space="preserve"> and </w:t>
      </w:r>
      <w:r w:rsidR="00F13884" w:rsidRPr="007A4338">
        <w:rPr>
          <w:rFonts w:ascii="Times New Roman" w:eastAsia="Times New Roman" w:hAnsi="Times New Roman" w:cs="Times New Roman"/>
          <w:color w:val="000000"/>
          <w:spacing w:val="6"/>
          <w:sz w:val="24"/>
          <w:szCs w:val="24"/>
          <w:lang w:eastAsia="en-GB"/>
        </w:rPr>
        <w:t>the Municipal Finance Management Act (MFMA)</w:t>
      </w:r>
      <w:r w:rsidRPr="007A4338">
        <w:rPr>
          <w:rFonts w:ascii="Times New Roman" w:eastAsia="Times New Roman" w:hAnsi="Times New Roman" w:cs="Times New Roman"/>
          <w:color w:val="000000"/>
          <w:spacing w:val="6"/>
          <w:sz w:val="24"/>
          <w:szCs w:val="24"/>
          <w:lang w:eastAsia="en-GB"/>
        </w:rPr>
        <w:t xml:space="preserve"> has blurred the functional responsibilities for </w:t>
      </w:r>
      <w:r w:rsidR="00F13884" w:rsidRPr="007A4338">
        <w:rPr>
          <w:rFonts w:ascii="Times New Roman" w:eastAsia="Times New Roman" w:hAnsi="Times New Roman" w:cs="Times New Roman"/>
          <w:color w:val="000000"/>
          <w:spacing w:val="6"/>
          <w:sz w:val="24"/>
          <w:szCs w:val="24"/>
          <w:lang w:eastAsia="en-GB"/>
        </w:rPr>
        <w:t>local government</w:t>
      </w:r>
      <w:r w:rsidRPr="007A4338">
        <w:rPr>
          <w:rFonts w:ascii="Times New Roman" w:eastAsia="Times New Roman" w:hAnsi="Times New Roman" w:cs="Times New Roman"/>
          <w:color w:val="000000"/>
          <w:spacing w:val="6"/>
          <w:sz w:val="24"/>
          <w:szCs w:val="24"/>
          <w:lang w:eastAsia="en-GB"/>
        </w:rPr>
        <w:t xml:space="preserve"> performance monitoring and oversight among national and provincial treasuries and </w:t>
      </w:r>
      <w:r w:rsidR="00F13884" w:rsidRPr="007A4338">
        <w:rPr>
          <w:rFonts w:ascii="Times New Roman" w:eastAsia="Times New Roman" w:hAnsi="Times New Roman" w:cs="Times New Roman"/>
          <w:color w:val="000000"/>
          <w:spacing w:val="6"/>
          <w:sz w:val="24"/>
          <w:szCs w:val="24"/>
          <w:lang w:eastAsia="en-GB"/>
        </w:rPr>
        <w:t>provincial departments of cooperative governance</w:t>
      </w:r>
      <w:r w:rsidRPr="007A4338">
        <w:rPr>
          <w:rFonts w:ascii="Times New Roman" w:eastAsia="Times New Roman" w:hAnsi="Times New Roman" w:cs="Times New Roman"/>
          <w:color w:val="000000"/>
          <w:spacing w:val="6"/>
          <w:sz w:val="24"/>
          <w:szCs w:val="24"/>
          <w:lang w:eastAsia="en-GB"/>
        </w:rPr>
        <w:t>;</w:t>
      </w:r>
    </w:p>
    <w:p w14:paraId="3F362AA0"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 xml:space="preserve">Non-compliance to the MFMA and </w:t>
      </w:r>
      <w:r w:rsidR="00F13884" w:rsidRPr="007A4338">
        <w:rPr>
          <w:rFonts w:ascii="Times New Roman" w:eastAsia="Times New Roman" w:hAnsi="Times New Roman" w:cs="Times New Roman"/>
          <w:color w:val="000000"/>
          <w:spacing w:val="6"/>
          <w:sz w:val="24"/>
          <w:szCs w:val="24"/>
          <w:lang w:eastAsia="en-GB"/>
        </w:rPr>
        <w:t>Public Finance Management Act</w:t>
      </w:r>
      <w:r w:rsidR="00B64B0D" w:rsidRPr="007A4338">
        <w:rPr>
          <w:rFonts w:ascii="Times New Roman" w:eastAsia="Times New Roman" w:hAnsi="Times New Roman" w:cs="Times New Roman"/>
          <w:color w:val="000000"/>
          <w:spacing w:val="6"/>
          <w:sz w:val="24"/>
          <w:szCs w:val="24"/>
          <w:lang w:eastAsia="en-GB"/>
        </w:rPr>
        <w:t xml:space="preserve"> </w:t>
      </w:r>
      <w:r w:rsidR="00F13884" w:rsidRPr="007A4338">
        <w:rPr>
          <w:rFonts w:ascii="Times New Roman" w:eastAsia="Times New Roman" w:hAnsi="Times New Roman" w:cs="Times New Roman"/>
          <w:color w:val="000000"/>
          <w:spacing w:val="6"/>
          <w:sz w:val="24"/>
          <w:szCs w:val="24"/>
          <w:lang w:eastAsia="en-GB"/>
        </w:rPr>
        <w:t>(</w:t>
      </w:r>
      <w:r w:rsidRPr="007A4338">
        <w:rPr>
          <w:rFonts w:ascii="Times New Roman" w:eastAsia="Times New Roman" w:hAnsi="Times New Roman" w:cs="Times New Roman"/>
          <w:color w:val="000000"/>
          <w:spacing w:val="6"/>
          <w:sz w:val="24"/>
          <w:szCs w:val="24"/>
          <w:lang w:eastAsia="en-GB"/>
        </w:rPr>
        <w:t>PFM</w:t>
      </w:r>
      <w:r w:rsidR="003631C0" w:rsidRPr="007A4338">
        <w:rPr>
          <w:rFonts w:ascii="Times New Roman" w:eastAsia="Times New Roman" w:hAnsi="Times New Roman" w:cs="Times New Roman"/>
          <w:color w:val="000000"/>
          <w:spacing w:val="6"/>
          <w:sz w:val="24"/>
          <w:szCs w:val="24"/>
          <w:lang w:eastAsia="en-GB"/>
        </w:rPr>
        <w:t>A</w:t>
      </w:r>
      <w:r w:rsidR="00F13884" w:rsidRPr="007A4338">
        <w:rPr>
          <w:rFonts w:ascii="Times New Roman" w:eastAsia="Times New Roman" w:hAnsi="Times New Roman" w:cs="Times New Roman"/>
          <w:color w:val="000000"/>
          <w:spacing w:val="6"/>
          <w:sz w:val="24"/>
          <w:szCs w:val="24"/>
          <w:lang w:eastAsia="en-GB"/>
        </w:rPr>
        <w:t>)</w:t>
      </w:r>
      <w:r w:rsidRPr="007A4338">
        <w:rPr>
          <w:rFonts w:ascii="Times New Roman" w:eastAsia="Times New Roman" w:hAnsi="Times New Roman" w:cs="Times New Roman"/>
          <w:color w:val="000000"/>
          <w:spacing w:val="6"/>
          <w:sz w:val="24"/>
          <w:szCs w:val="24"/>
          <w:lang w:eastAsia="en-GB"/>
        </w:rPr>
        <w:t xml:space="preserve"> is endemic across all spheres of government</w:t>
      </w:r>
      <w:r w:rsidR="00F13884" w:rsidRPr="007A4338">
        <w:rPr>
          <w:rFonts w:ascii="Times New Roman" w:eastAsia="Times New Roman" w:hAnsi="Times New Roman" w:cs="Times New Roman"/>
          <w:color w:val="000000"/>
          <w:spacing w:val="6"/>
          <w:sz w:val="24"/>
          <w:szCs w:val="24"/>
          <w:lang w:eastAsia="en-GB"/>
        </w:rPr>
        <w:t>, for instance the</w:t>
      </w:r>
      <w:r w:rsidRPr="007A4338">
        <w:rPr>
          <w:rFonts w:ascii="Times New Roman" w:eastAsia="Times New Roman" w:hAnsi="Times New Roman" w:cs="Times New Roman"/>
          <w:color w:val="000000"/>
          <w:spacing w:val="6"/>
          <w:sz w:val="24"/>
          <w:szCs w:val="24"/>
          <w:lang w:eastAsia="en-GB"/>
        </w:rPr>
        <w:t xml:space="preserve"> payment to suppliers within 30 days</w:t>
      </w:r>
      <w:r w:rsidR="00F13884" w:rsidRPr="007A4338">
        <w:rPr>
          <w:rFonts w:ascii="Times New Roman" w:eastAsia="Times New Roman" w:hAnsi="Times New Roman" w:cs="Times New Roman"/>
          <w:color w:val="000000"/>
          <w:spacing w:val="6"/>
          <w:sz w:val="24"/>
          <w:szCs w:val="24"/>
          <w:lang w:eastAsia="en-GB"/>
        </w:rPr>
        <w:t>,</w:t>
      </w:r>
      <w:r w:rsidRPr="007A4338">
        <w:rPr>
          <w:rFonts w:ascii="Times New Roman" w:eastAsia="Times New Roman" w:hAnsi="Times New Roman" w:cs="Times New Roman"/>
          <w:color w:val="000000"/>
          <w:spacing w:val="6"/>
          <w:sz w:val="24"/>
          <w:szCs w:val="24"/>
          <w:lang w:eastAsia="en-GB"/>
        </w:rPr>
        <w:t xml:space="preserve"> and </w:t>
      </w:r>
      <w:r w:rsidR="00F13884" w:rsidRPr="007A4338">
        <w:rPr>
          <w:rFonts w:ascii="Times New Roman" w:eastAsia="Times New Roman" w:hAnsi="Times New Roman" w:cs="Times New Roman"/>
          <w:color w:val="000000"/>
          <w:spacing w:val="6"/>
          <w:sz w:val="24"/>
          <w:szCs w:val="24"/>
          <w:lang w:eastAsia="en-GB"/>
        </w:rPr>
        <w:t xml:space="preserve">this </w:t>
      </w:r>
      <w:r w:rsidRPr="007A4338">
        <w:rPr>
          <w:rFonts w:ascii="Times New Roman" w:eastAsia="Times New Roman" w:hAnsi="Times New Roman" w:cs="Times New Roman"/>
          <w:color w:val="000000"/>
          <w:spacing w:val="6"/>
          <w:sz w:val="24"/>
          <w:szCs w:val="24"/>
          <w:lang w:eastAsia="en-GB"/>
        </w:rPr>
        <w:t>threatens the viability of businesses; and</w:t>
      </w:r>
    </w:p>
    <w:p w14:paraId="1C0E12AB" w14:textId="77777777" w:rsidR="00302087" w:rsidRPr="007A4338" w:rsidRDefault="00302087" w:rsidP="007A4338">
      <w:pPr>
        <w:numPr>
          <w:ilvl w:val="1"/>
          <w:numId w:val="5"/>
        </w:numPr>
        <w:tabs>
          <w:tab w:val="clear" w:pos="1440"/>
          <w:tab w:val="num" w:pos="630"/>
        </w:tabs>
        <w:spacing w:after="0" w:line="360" w:lineRule="auto"/>
        <w:ind w:left="630"/>
        <w:jc w:val="both"/>
        <w:rPr>
          <w:rFonts w:ascii="Times New Roman" w:eastAsia="Times New Roman" w:hAnsi="Times New Roman" w:cs="Times New Roman"/>
          <w:color w:val="000000"/>
          <w:spacing w:val="6"/>
          <w:sz w:val="24"/>
          <w:szCs w:val="24"/>
          <w:lang w:eastAsia="en-GB"/>
        </w:rPr>
      </w:pPr>
      <w:r w:rsidRPr="007A4338">
        <w:rPr>
          <w:rFonts w:ascii="Times New Roman" w:eastAsia="Times New Roman" w:hAnsi="Times New Roman" w:cs="Times New Roman"/>
          <w:color w:val="000000"/>
          <w:spacing w:val="6"/>
          <w:sz w:val="24"/>
          <w:szCs w:val="24"/>
          <w:lang w:eastAsia="en-GB"/>
        </w:rPr>
        <w:t>Past initiatives on reversing th</w:t>
      </w:r>
      <w:r w:rsidR="00F13884" w:rsidRPr="007A4338">
        <w:rPr>
          <w:rFonts w:ascii="Times New Roman" w:eastAsia="Times New Roman" w:hAnsi="Times New Roman" w:cs="Times New Roman"/>
          <w:color w:val="000000"/>
          <w:spacing w:val="6"/>
          <w:sz w:val="24"/>
          <w:szCs w:val="24"/>
          <w:lang w:eastAsia="en-GB"/>
        </w:rPr>
        <w:t>e</w:t>
      </w:r>
      <w:r w:rsidRPr="007A4338">
        <w:rPr>
          <w:rFonts w:ascii="Times New Roman" w:eastAsia="Times New Roman" w:hAnsi="Times New Roman" w:cs="Times New Roman"/>
          <w:color w:val="000000"/>
          <w:spacing w:val="6"/>
          <w:sz w:val="24"/>
          <w:szCs w:val="24"/>
          <w:lang w:eastAsia="en-GB"/>
        </w:rPr>
        <w:t xml:space="preserve"> culture of non-payment </w:t>
      </w:r>
      <w:r w:rsidR="00F13884" w:rsidRPr="007A4338">
        <w:rPr>
          <w:rFonts w:ascii="Times New Roman" w:eastAsia="Times New Roman" w:hAnsi="Times New Roman" w:cs="Times New Roman"/>
          <w:color w:val="000000"/>
          <w:spacing w:val="6"/>
          <w:sz w:val="24"/>
          <w:szCs w:val="24"/>
          <w:lang w:eastAsia="en-GB"/>
        </w:rPr>
        <w:t xml:space="preserve">of suppliers </w:t>
      </w:r>
      <w:r w:rsidRPr="007A4338">
        <w:rPr>
          <w:rFonts w:ascii="Times New Roman" w:eastAsia="Times New Roman" w:hAnsi="Times New Roman" w:cs="Times New Roman"/>
          <w:color w:val="000000"/>
          <w:spacing w:val="6"/>
          <w:sz w:val="24"/>
          <w:szCs w:val="24"/>
          <w:lang w:eastAsia="en-GB"/>
        </w:rPr>
        <w:t>have not achieved the desired results.</w:t>
      </w:r>
    </w:p>
    <w:p w14:paraId="62EEFC17" w14:textId="77777777" w:rsidR="00591737" w:rsidRPr="007A4338" w:rsidRDefault="00591737" w:rsidP="007A4338">
      <w:pPr>
        <w:spacing w:after="0" w:line="360" w:lineRule="auto"/>
        <w:jc w:val="both"/>
        <w:rPr>
          <w:rFonts w:ascii="Times New Roman" w:eastAsia="Times New Roman" w:hAnsi="Times New Roman" w:cs="Times New Roman"/>
          <w:b/>
          <w:color w:val="000000"/>
          <w:spacing w:val="6"/>
          <w:sz w:val="24"/>
          <w:szCs w:val="24"/>
          <w:highlight w:val="yellow"/>
          <w:lang w:val="en-ZA" w:eastAsia="en-GB"/>
        </w:rPr>
      </w:pPr>
    </w:p>
    <w:p w14:paraId="0549F39F" w14:textId="77777777" w:rsidR="003B26DA" w:rsidRPr="007A4338" w:rsidRDefault="0059173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lastRenderedPageBreak/>
        <w:t>Submission by the Department of Cooperative Governance</w:t>
      </w:r>
      <w:r w:rsidR="003B26DA" w:rsidRPr="007A4338">
        <w:rPr>
          <w:rFonts w:ascii="Times New Roman" w:eastAsia="Times New Roman" w:hAnsi="Times New Roman" w:cs="Times New Roman"/>
          <w:b/>
          <w:color w:val="000000"/>
          <w:spacing w:val="6"/>
          <w:sz w:val="24"/>
          <w:szCs w:val="24"/>
          <w:lang w:val="en-ZA" w:eastAsia="en-GB"/>
        </w:rPr>
        <w:t xml:space="preserve"> </w:t>
      </w:r>
    </w:p>
    <w:p w14:paraId="0113D882" w14:textId="77777777" w:rsidR="00EE0EFD" w:rsidRPr="007A4338" w:rsidRDefault="00EE0EFD" w:rsidP="007A4338">
      <w:pPr>
        <w:spacing w:after="0" w:line="360" w:lineRule="auto"/>
        <w:ind w:left="360"/>
        <w:jc w:val="both"/>
        <w:rPr>
          <w:rFonts w:ascii="Times New Roman" w:eastAsia="Times New Roman" w:hAnsi="Times New Roman" w:cs="Times New Roman"/>
          <w:b/>
          <w:color w:val="000000"/>
          <w:spacing w:val="6"/>
          <w:sz w:val="24"/>
          <w:szCs w:val="24"/>
          <w:lang w:val="en-ZA" w:eastAsia="en-GB"/>
        </w:rPr>
      </w:pPr>
    </w:p>
    <w:p w14:paraId="71659A1D" w14:textId="77777777" w:rsidR="00B61570" w:rsidRPr="007A4338" w:rsidRDefault="00730975"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w:t>
      </w:r>
      <w:r w:rsidR="00B61570" w:rsidRPr="007A4338">
        <w:rPr>
          <w:rFonts w:ascii="Times New Roman" w:eastAsia="Times New Roman" w:hAnsi="Times New Roman" w:cs="Times New Roman"/>
          <w:color w:val="000000"/>
          <w:spacing w:val="6"/>
          <w:sz w:val="24"/>
          <w:szCs w:val="24"/>
          <w:lang w:val="en-ZA" w:eastAsia="en-GB"/>
        </w:rPr>
        <w:t>D</w:t>
      </w:r>
      <w:r w:rsidRPr="007A4338">
        <w:rPr>
          <w:rFonts w:ascii="Times New Roman" w:eastAsia="Times New Roman" w:hAnsi="Times New Roman" w:cs="Times New Roman"/>
          <w:color w:val="000000"/>
          <w:spacing w:val="6"/>
          <w:sz w:val="24"/>
          <w:szCs w:val="24"/>
          <w:lang w:val="en-ZA" w:eastAsia="en-GB"/>
        </w:rPr>
        <w:t xml:space="preserve">epartment of </w:t>
      </w:r>
      <w:r w:rsidR="00B61570" w:rsidRPr="007A4338">
        <w:rPr>
          <w:rFonts w:ascii="Times New Roman" w:eastAsia="Times New Roman" w:hAnsi="Times New Roman" w:cs="Times New Roman"/>
          <w:color w:val="000000"/>
          <w:spacing w:val="6"/>
          <w:sz w:val="24"/>
          <w:szCs w:val="24"/>
          <w:lang w:val="en-ZA" w:eastAsia="en-GB"/>
        </w:rPr>
        <w:t>C</w:t>
      </w:r>
      <w:r w:rsidRPr="007A4338">
        <w:rPr>
          <w:rFonts w:ascii="Times New Roman" w:eastAsia="Times New Roman" w:hAnsi="Times New Roman" w:cs="Times New Roman"/>
          <w:color w:val="000000"/>
          <w:spacing w:val="6"/>
          <w:sz w:val="24"/>
          <w:szCs w:val="24"/>
          <w:lang w:val="en-ZA" w:eastAsia="en-GB"/>
        </w:rPr>
        <w:t xml:space="preserve">ooperative </w:t>
      </w:r>
      <w:r w:rsidR="00B61570" w:rsidRPr="007A4338">
        <w:rPr>
          <w:rFonts w:ascii="Times New Roman" w:eastAsia="Times New Roman" w:hAnsi="Times New Roman" w:cs="Times New Roman"/>
          <w:color w:val="000000"/>
          <w:spacing w:val="6"/>
          <w:sz w:val="24"/>
          <w:szCs w:val="24"/>
          <w:lang w:val="en-ZA" w:eastAsia="en-GB"/>
        </w:rPr>
        <w:t>G</w:t>
      </w:r>
      <w:r w:rsidRPr="007A4338">
        <w:rPr>
          <w:rFonts w:ascii="Times New Roman" w:eastAsia="Times New Roman" w:hAnsi="Times New Roman" w:cs="Times New Roman"/>
          <w:color w:val="000000"/>
          <w:spacing w:val="6"/>
          <w:sz w:val="24"/>
          <w:szCs w:val="24"/>
          <w:lang w:val="en-ZA" w:eastAsia="en-GB"/>
        </w:rPr>
        <w:t>overnance (DCOG)</w:t>
      </w:r>
      <w:r w:rsidR="00B61570" w:rsidRPr="007A4338">
        <w:rPr>
          <w:rFonts w:ascii="Times New Roman" w:eastAsia="Times New Roman" w:hAnsi="Times New Roman" w:cs="Times New Roman"/>
          <w:color w:val="000000"/>
          <w:spacing w:val="6"/>
          <w:sz w:val="24"/>
          <w:szCs w:val="24"/>
          <w:lang w:val="en-ZA" w:eastAsia="en-GB"/>
        </w:rPr>
        <w:t xml:space="preserve"> supported the rollover of funds for the </w:t>
      </w:r>
      <w:r w:rsidR="004B4749" w:rsidRPr="007A4338">
        <w:rPr>
          <w:rFonts w:ascii="Times New Roman" w:eastAsia="Times New Roman" w:hAnsi="Times New Roman" w:cs="Times New Roman"/>
          <w:i/>
          <w:color w:val="000000"/>
          <w:spacing w:val="6"/>
          <w:sz w:val="24"/>
          <w:szCs w:val="24"/>
          <w:lang w:val="en-ZA" w:eastAsia="en-GB"/>
        </w:rPr>
        <w:t>Municipal</w:t>
      </w:r>
      <w:r w:rsidR="004B4749" w:rsidRPr="007A4338">
        <w:rPr>
          <w:rFonts w:ascii="Times New Roman" w:eastAsia="Times New Roman" w:hAnsi="Times New Roman" w:cs="Times New Roman"/>
          <w:color w:val="000000"/>
          <w:spacing w:val="6"/>
          <w:sz w:val="24"/>
          <w:szCs w:val="24"/>
          <w:lang w:val="en-ZA" w:eastAsia="en-GB"/>
        </w:rPr>
        <w:t xml:space="preserve"> </w:t>
      </w:r>
      <w:r w:rsidR="00B40F36" w:rsidRPr="007A4338">
        <w:rPr>
          <w:rFonts w:ascii="Times New Roman" w:eastAsia="Times New Roman" w:hAnsi="Times New Roman" w:cs="Times New Roman"/>
          <w:i/>
          <w:color w:val="000000"/>
          <w:spacing w:val="6"/>
          <w:sz w:val="24"/>
          <w:szCs w:val="24"/>
          <w:lang w:val="en-ZA" w:eastAsia="en-GB"/>
        </w:rPr>
        <w:t>D</w:t>
      </w:r>
      <w:r w:rsidR="00B61570" w:rsidRPr="007A4338">
        <w:rPr>
          <w:rFonts w:ascii="Times New Roman" w:eastAsia="Times New Roman" w:hAnsi="Times New Roman" w:cs="Times New Roman"/>
          <w:i/>
          <w:color w:val="000000"/>
          <w:spacing w:val="6"/>
          <w:sz w:val="24"/>
          <w:szCs w:val="24"/>
          <w:lang w:val="en-ZA" w:eastAsia="en-GB"/>
        </w:rPr>
        <w:t xml:space="preserve">emarcation </w:t>
      </w:r>
      <w:r w:rsidR="00B40F36" w:rsidRPr="007A4338">
        <w:rPr>
          <w:rFonts w:ascii="Times New Roman" w:eastAsia="Times New Roman" w:hAnsi="Times New Roman" w:cs="Times New Roman"/>
          <w:i/>
          <w:color w:val="000000"/>
          <w:spacing w:val="6"/>
          <w:sz w:val="24"/>
          <w:szCs w:val="24"/>
          <w:lang w:val="en-ZA" w:eastAsia="en-GB"/>
        </w:rPr>
        <w:t>T</w:t>
      </w:r>
      <w:r w:rsidR="00B61570" w:rsidRPr="007A4338">
        <w:rPr>
          <w:rFonts w:ascii="Times New Roman" w:eastAsia="Times New Roman" w:hAnsi="Times New Roman" w:cs="Times New Roman"/>
          <w:i/>
          <w:color w:val="000000"/>
          <w:spacing w:val="6"/>
          <w:sz w:val="24"/>
          <w:szCs w:val="24"/>
          <w:lang w:val="en-ZA" w:eastAsia="en-GB"/>
        </w:rPr>
        <w:t xml:space="preserve">ransition </w:t>
      </w:r>
      <w:r w:rsidR="00B40F36" w:rsidRPr="007A4338">
        <w:rPr>
          <w:rFonts w:ascii="Times New Roman" w:eastAsia="Times New Roman" w:hAnsi="Times New Roman" w:cs="Times New Roman"/>
          <w:i/>
          <w:color w:val="000000"/>
          <w:spacing w:val="6"/>
          <w:sz w:val="24"/>
          <w:szCs w:val="24"/>
          <w:lang w:val="en-ZA" w:eastAsia="en-GB"/>
        </w:rPr>
        <w:t>G</w:t>
      </w:r>
      <w:r w:rsidR="00B61570" w:rsidRPr="007A4338">
        <w:rPr>
          <w:rFonts w:ascii="Times New Roman" w:eastAsia="Times New Roman" w:hAnsi="Times New Roman" w:cs="Times New Roman"/>
          <w:i/>
          <w:color w:val="000000"/>
          <w:spacing w:val="6"/>
          <w:sz w:val="24"/>
          <w:szCs w:val="24"/>
          <w:lang w:val="en-ZA" w:eastAsia="en-GB"/>
        </w:rPr>
        <w:t>rant</w:t>
      </w:r>
      <w:r w:rsidR="00B61570" w:rsidRPr="007A4338">
        <w:rPr>
          <w:rFonts w:ascii="Times New Roman" w:eastAsia="Times New Roman" w:hAnsi="Times New Roman" w:cs="Times New Roman"/>
          <w:color w:val="000000"/>
          <w:spacing w:val="6"/>
          <w:sz w:val="24"/>
          <w:szCs w:val="24"/>
          <w:lang w:val="en-ZA" w:eastAsia="en-GB"/>
        </w:rPr>
        <w:t xml:space="preserve"> and the additional allocations </w:t>
      </w:r>
      <w:r w:rsidR="008B7087" w:rsidRPr="007A4338">
        <w:rPr>
          <w:rFonts w:ascii="Times New Roman" w:eastAsia="Times New Roman" w:hAnsi="Times New Roman" w:cs="Times New Roman"/>
          <w:color w:val="000000"/>
          <w:spacing w:val="6"/>
          <w:sz w:val="24"/>
          <w:szCs w:val="24"/>
          <w:lang w:val="en-ZA" w:eastAsia="en-GB"/>
        </w:rPr>
        <w:t>for</w:t>
      </w:r>
      <w:r w:rsidR="00B61570" w:rsidRPr="007A4338">
        <w:rPr>
          <w:rFonts w:ascii="Times New Roman" w:eastAsia="Times New Roman" w:hAnsi="Times New Roman" w:cs="Times New Roman"/>
          <w:color w:val="000000"/>
          <w:spacing w:val="6"/>
          <w:sz w:val="24"/>
          <w:szCs w:val="24"/>
          <w:lang w:val="en-ZA" w:eastAsia="en-GB"/>
        </w:rPr>
        <w:t xml:space="preserve"> disaster relief and recovery </w:t>
      </w:r>
      <w:r w:rsidR="008B7087" w:rsidRPr="007A4338">
        <w:rPr>
          <w:rFonts w:ascii="Times New Roman" w:eastAsia="Times New Roman" w:hAnsi="Times New Roman" w:cs="Times New Roman"/>
          <w:color w:val="000000"/>
          <w:spacing w:val="6"/>
          <w:sz w:val="24"/>
          <w:szCs w:val="24"/>
          <w:lang w:val="en-ZA" w:eastAsia="en-GB"/>
        </w:rPr>
        <w:t xml:space="preserve">and for the bucket </w:t>
      </w:r>
      <w:r w:rsidR="00B61570" w:rsidRPr="007A4338">
        <w:rPr>
          <w:rFonts w:ascii="Times New Roman" w:eastAsia="Times New Roman" w:hAnsi="Times New Roman" w:cs="Times New Roman"/>
          <w:color w:val="000000"/>
          <w:spacing w:val="6"/>
          <w:sz w:val="24"/>
          <w:szCs w:val="24"/>
          <w:lang w:val="en-ZA" w:eastAsia="en-GB"/>
        </w:rPr>
        <w:t xml:space="preserve">eradication programme. </w:t>
      </w:r>
      <w:r w:rsidR="00492904" w:rsidRPr="007A4338">
        <w:rPr>
          <w:rFonts w:ascii="Times New Roman" w:eastAsia="Times New Roman" w:hAnsi="Times New Roman" w:cs="Times New Roman"/>
          <w:color w:val="000000"/>
          <w:spacing w:val="6"/>
          <w:sz w:val="24"/>
          <w:szCs w:val="24"/>
          <w:lang w:val="en-ZA" w:eastAsia="en-GB"/>
        </w:rPr>
        <w:t xml:space="preserve">DCOG highlighted that household growth is driving the demand for service delivery in municipalities with metropolitan municipalities experiencing the highest levels of growth. Municipalities were still experiencing challenges across the infrastructure </w:t>
      </w:r>
      <w:r w:rsidR="007C3685" w:rsidRPr="007A4338">
        <w:rPr>
          <w:rFonts w:ascii="Times New Roman" w:eastAsia="Times New Roman" w:hAnsi="Times New Roman" w:cs="Times New Roman"/>
          <w:color w:val="000000"/>
          <w:spacing w:val="6"/>
          <w:sz w:val="24"/>
          <w:szCs w:val="24"/>
          <w:lang w:val="en-ZA" w:eastAsia="en-GB"/>
        </w:rPr>
        <w:t xml:space="preserve">development life </w:t>
      </w:r>
      <w:r w:rsidRPr="007A4338">
        <w:rPr>
          <w:rFonts w:ascii="Times New Roman" w:eastAsia="Times New Roman" w:hAnsi="Times New Roman" w:cs="Times New Roman"/>
          <w:color w:val="000000"/>
          <w:spacing w:val="6"/>
          <w:sz w:val="24"/>
          <w:szCs w:val="24"/>
          <w:lang w:val="en-ZA" w:eastAsia="en-GB"/>
        </w:rPr>
        <w:t>cycle</w:t>
      </w:r>
      <w:r w:rsidR="008B7087" w:rsidRPr="007A4338">
        <w:rPr>
          <w:rFonts w:ascii="Times New Roman" w:eastAsia="Times New Roman" w:hAnsi="Times New Roman" w:cs="Times New Roman"/>
          <w:color w:val="000000"/>
          <w:spacing w:val="6"/>
          <w:sz w:val="24"/>
          <w:szCs w:val="24"/>
          <w:lang w:val="en-ZA" w:eastAsia="en-GB"/>
        </w:rPr>
        <w:t xml:space="preserve"> </w:t>
      </w:r>
      <w:r w:rsidR="00783A94" w:rsidRPr="007A4338">
        <w:rPr>
          <w:rFonts w:ascii="Times New Roman" w:eastAsia="Times New Roman" w:hAnsi="Times New Roman" w:cs="Times New Roman"/>
          <w:color w:val="000000"/>
          <w:spacing w:val="6"/>
          <w:sz w:val="24"/>
          <w:szCs w:val="24"/>
          <w:lang w:val="en-ZA" w:eastAsia="en-GB"/>
        </w:rPr>
        <w:t>which comprises</w:t>
      </w:r>
      <w:r w:rsidR="008B7087" w:rsidRPr="007A4338">
        <w:rPr>
          <w:rFonts w:ascii="Times New Roman" w:eastAsia="Times New Roman" w:hAnsi="Times New Roman" w:cs="Times New Roman"/>
          <w:color w:val="000000"/>
          <w:spacing w:val="6"/>
          <w:sz w:val="24"/>
          <w:szCs w:val="24"/>
          <w:lang w:val="en-ZA" w:eastAsia="en-GB"/>
        </w:rPr>
        <w:t xml:space="preserve"> of project identification, infrastructure planning, financing, construction to operations and maintenance. The root causes for these infrastructure challenges include</w:t>
      </w:r>
      <w:r w:rsidR="00783A94" w:rsidRPr="007A4338">
        <w:rPr>
          <w:rFonts w:ascii="Times New Roman" w:eastAsia="Times New Roman" w:hAnsi="Times New Roman" w:cs="Times New Roman"/>
          <w:color w:val="000000"/>
          <w:spacing w:val="6"/>
          <w:sz w:val="24"/>
          <w:szCs w:val="24"/>
          <w:lang w:val="en-ZA" w:eastAsia="en-GB"/>
        </w:rPr>
        <w:t xml:space="preserve"> weak institutional capacity and shortage of skills.</w:t>
      </w:r>
      <w:r w:rsidRPr="007A4338">
        <w:rPr>
          <w:rFonts w:ascii="Times New Roman" w:eastAsia="Times New Roman" w:hAnsi="Times New Roman" w:cs="Times New Roman"/>
          <w:color w:val="000000"/>
          <w:spacing w:val="6"/>
          <w:sz w:val="24"/>
          <w:szCs w:val="24"/>
          <w:lang w:val="en-ZA" w:eastAsia="en-GB"/>
        </w:rPr>
        <w:t xml:space="preserve"> These infrastructure challenge</w:t>
      </w:r>
      <w:r w:rsidR="004848C0" w:rsidRPr="007A4338">
        <w:rPr>
          <w:rFonts w:ascii="Times New Roman" w:eastAsia="Times New Roman" w:hAnsi="Times New Roman" w:cs="Times New Roman"/>
          <w:color w:val="000000"/>
          <w:spacing w:val="6"/>
          <w:sz w:val="24"/>
          <w:szCs w:val="24"/>
          <w:lang w:val="en-ZA" w:eastAsia="en-GB"/>
        </w:rPr>
        <w:t>s</w:t>
      </w:r>
      <w:r w:rsidR="00783A94" w:rsidRPr="007A4338">
        <w:rPr>
          <w:rFonts w:ascii="Times New Roman" w:eastAsia="Times New Roman" w:hAnsi="Times New Roman" w:cs="Times New Roman"/>
          <w:color w:val="000000"/>
          <w:spacing w:val="6"/>
          <w:sz w:val="24"/>
          <w:szCs w:val="24"/>
          <w:lang w:val="en-ZA" w:eastAsia="en-GB"/>
        </w:rPr>
        <w:t xml:space="preserve"> limit the municipalities’ ability for increased economic development </w:t>
      </w:r>
      <w:r w:rsidR="00965CE0" w:rsidRPr="007A4338">
        <w:rPr>
          <w:rFonts w:ascii="Times New Roman" w:eastAsia="Times New Roman" w:hAnsi="Times New Roman" w:cs="Times New Roman"/>
          <w:color w:val="000000"/>
          <w:spacing w:val="6"/>
          <w:sz w:val="24"/>
          <w:szCs w:val="24"/>
          <w:lang w:val="en-ZA" w:eastAsia="en-GB"/>
        </w:rPr>
        <w:t xml:space="preserve">which </w:t>
      </w:r>
      <w:r w:rsidR="004848C0" w:rsidRPr="007A4338">
        <w:rPr>
          <w:rFonts w:ascii="Times New Roman" w:eastAsia="Times New Roman" w:hAnsi="Times New Roman" w:cs="Times New Roman"/>
          <w:color w:val="000000"/>
          <w:spacing w:val="6"/>
          <w:sz w:val="24"/>
          <w:szCs w:val="24"/>
          <w:lang w:val="en-ZA" w:eastAsia="en-GB"/>
        </w:rPr>
        <w:t xml:space="preserve"> </w:t>
      </w:r>
      <w:r w:rsidR="00783A94" w:rsidRPr="007A4338">
        <w:rPr>
          <w:rFonts w:ascii="Times New Roman" w:eastAsia="Times New Roman" w:hAnsi="Times New Roman" w:cs="Times New Roman"/>
          <w:color w:val="000000"/>
          <w:spacing w:val="6"/>
          <w:sz w:val="24"/>
          <w:szCs w:val="24"/>
          <w:lang w:val="en-ZA" w:eastAsia="en-GB"/>
        </w:rPr>
        <w:t xml:space="preserve"> has spin-offs for job creation and a larger municipal tax base. </w:t>
      </w:r>
      <w:r w:rsidR="00BD33E4" w:rsidRPr="007A4338">
        <w:rPr>
          <w:rFonts w:ascii="Times New Roman" w:eastAsia="Times New Roman" w:hAnsi="Times New Roman" w:cs="Times New Roman"/>
          <w:color w:val="000000"/>
          <w:spacing w:val="6"/>
          <w:sz w:val="24"/>
          <w:szCs w:val="24"/>
          <w:lang w:val="en-ZA" w:eastAsia="en-GB"/>
        </w:rPr>
        <w:t xml:space="preserve">DCOG also pointed out that ongoing-instability in senior municipal management positions has a negative impact on service </w:t>
      </w:r>
      <w:r w:rsidR="001A6ECD" w:rsidRPr="007A4338">
        <w:rPr>
          <w:rFonts w:ascii="Times New Roman" w:eastAsia="Times New Roman" w:hAnsi="Times New Roman" w:cs="Times New Roman"/>
          <w:color w:val="000000"/>
          <w:spacing w:val="6"/>
          <w:sz w:val="24"/>
          <w:szCs w:val="24"/>
          <w:lang w:val="en-ZA" w:eastAsia="en-GB"/>
        </w:rPr>
        <w:t>delivery to communities</w:t>
      </w:r>
      <w:r w:rsidR="00BD33E4" w:rsidRPr="007A4338">
        <w:rPr>
          <w:rFonts w:ascii="Times New Roman" w:eastAsia="Times New Roman" w:hAnsi="Times New Roman" w:cs="Times New Roman"/>
          <w:color w:val="000000"/>
          <w:spacing w:val="6"/>
          <w:sz w:val="24"/>
          <w:szCs w:val="24"/>
          <w:lang w:val="en-ZA" w:eastAsia="en-GB"/>
        </w:rPr>
        <w:t>.</w:t>
      </w:r>
    </w:p>
    <w:p w14:paraId="61D62ECA" w14:textId="77777777" w:rsidR="00B61570" w:rsidRPr="007A4338" w:rsidRDefault="00B61570" w:rsidP="007A4338">
      <w:pPr>
        <w:spacing w:after="0" w:line="360" w:lineRule="auto"/>
        <w:ind w:left="360"/>
        <w:jc w:val="both"/>
        <w:rPr>
          <w:rFonts w:ascii="Times New Roman" w:eastAsia="Times New Roman" w:hAnsi="Times New Roman" w:cs="Times New Roman"/>
          <w:b/>
          <w:color w:val="000000"/>
          <w:spacing w:val="6"/>
          <w:sz w:val="24"/>
          <w:szCs w:val="24"/>
          <w:lang w:val="en-ZA" w:eastAsia="en-GB"/>
        </w:rPr>
      </w:pPr>
    </w:p>
    <w:p w14:paraId="70CDE21B" w14:textId="77777777" w:rsidR="009A1B19" w:rsidRPr="007A4338" w:rsidRDefault="009A1B19"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DCOG </w:t>
      </w:r>
      <w:r w:rsidR="00E33842" w:rsidRPr="007A4338">
        <w:rPr>
          <w:rFonts w:ascii="Times New Roman" w:eastAsia="Times New Roman" w:hAnsi="Times New Roman" w:cs="Times New Roman"/>
          <w:color w:val="000000"/>
          <w:spacing w:val="6"/>
          <w:sz w:val="24"/>
          <w:szCs w:val="24"/>
          <w:lang w:val="en-ZA" w:eastAsia="en-GB"/>
        </w:rPr>
        <w:t xml:space="preserve">reported on municipalities that were identified by National Treasury as being in financial distress in 2016/17. These are </w:t>
      </w:r>
      <w:proofErr w:type="spellStart"/>
      <w:r w:rsidR="00E33842" w:rsidRPr="007A4338">
        <w:rPr>
          <w:rFonts w:ascii="Times New Roman" w:eastAsia="Times New Roman" w:hAnsi="Times New Roman" w:cs="Times New Roman"/>
          <w:color w:val="000000"/>
          <w:spacing w:val="6"/>
          <w:sz w:val="24"/>
          <w:szCs w:val="24"/>
          <w:lang w:val="en-ZA" w:eastAsia="en-GB"/>
        </w:rPr>
        <w:t>Gariep</w:t>
      </w:r>
      <w:proofErr w:type="spellEnd"/>
      <w:r w:rsidR="00E33842" w:rsidRPr="007A4338">
        <w:rPr>
          <w:rFonts w:ascii="Times New Roman" w:eastAsia="Times New Roman" w:hAnsi="Times New Roman" w:cs="Times New Roman"/>
          <w:color w:val="000000"/>
          <w:spacing w:val="6"/>
          <w:sz w:val="24"/>
          <w:szCs w:val="24"/>
          <w:lang w:val="en-ZA" w:eastAsia="en-GB"/>
        </w:rPr>
        <w:t xml:space="preserve"> in the Eastern Cape; the City of </w:t>
      </w:r>
      <w:proofErr w:type="spellStart"/>
      <w:r w:rsidR="00E33842" w:rsidRPr="007A4338">
        <w:rPr>
          <w:rFonts w:ascii="Times New Roman" w:eastAsia="Times New Roman" w:hAnsi="Times New Roman" w:cs="Times New Roman"/>
          <w:color w:val="000000"/>
          <w:spacing w:val="6"/>
          <w:sz w:val="24"/>
          <w:szCs w:val="24"/>
          <w:lang w:val="en-ZA" w:eastAsia="en-GB"/>
        </w:rPr>
        <w:t>Matlosana</w:t>
      </w:r>
      <w:proofErr w:type="spellEnd"/>
      <w:r w:rsidR="00E33842" w:rsidRPr="007A4338">
        <w:rPr>
          <w:rFonts w:ascii="Times New Roman" w:eastAsia="Times New Roman" w:hAnsi="Times New Roman" w:cs="Times New Roman"/>
          <w:color w:val="000000"/>
          <w:spacing w:val="6"/>
          <w:sz w:val="24"/>
          <w:szCs w:val="24"/>
          <w:lang w:val="en-ZA" w:eastAsia="en-GB"/>
        </w:rPr>
        <w:t xml:space="preserve">, </w:t>
      </w:r>
      <w:proofErr w:type="spellStart"/>
      <w:r w:rsidR="00E33842" w:rsidRPr="007A4338">
        <w:rPr>
          <w:rFonts w:ascii="Times New Roman" w:eastAsia="Times New Roman" w:hAnsi="Times New Roman" w:cs="Times New Roman"/>
          <w:color w:val="000000"/>
          <w:spacing w:val="6"/>
          <w:sz w:val="24"/>
          <w:szCs w:val="24"/>
          <w:lang w:val="en-ZA" w:eastAsia="en-GB"/>
        </w:rPr>
        <w:t>Ditsobotla</w:t>
      </w:r>
      <w:proofErr w:type="spellEnd"/>
      <w:r w:rsidR="00E33842" w:rsidRPr="007A4338">
        <w:rPr>
          <w:rFonts w:ascii="Times New Roman" w:eastAsia="Times New Roman" w:hAnsi="Times New Roman" w:cs="Times New Roman"/>
          <w:color w:val="000000"/>
          <w:spacing w:val="6"/>
          <w:sz w:val="24"/>
          <w:szCs w:val="24"/>
          <w:lang w:val="en-ZA" w:eastAsia="en-GB"/>
        </w:rPr>
        <w:t xml:space="preserve">,   and </w:t>
      </w:r>
      <w:proofErr w:type="spellStart"/>
      <w:r w:rsidR="00E33842" w:rsidRPr="007A4338">
        <w:rPr>
          <w:rFonts w:ascii="Times New Roman" w:eastAsia="Times New Roman" w:hAnsi="Times New Roman" w:cs="Times New Roman"/>
          <w:color w:val="000000"/>
          <w:spacing w:val="6"/>
          <w:sz w:val="24"/>
          <w:szCs w:val="24"/>
          <w:lang w:val="en-ZA" w:eastAsia="en-GB"/>
        </w:rPr>
        <w:t>Naledi</w:t>
      </w:r>
      <w:proofErr w:type="spellEnd"/>
      <w:r w:rsidR="00E33842" w:rsidRPr="007A4338">
        <w:rPr>
          <w:rFonts w:ascii="Times New Roman" w:eastAsia="Times New Roman" w:hAnsi="Times New Roman" w:cs="Times New Roman"/>
          <w:color w:val="000000"/>
          <w:spacing w:val="6"/>
          <w:sz w:val="24"/>
          <w:szCs w:val="24"/>
          <w:lang w:val="en-ZA" w:eastAsia="en-GB"/>
        </w:rPr>
        <w:t xml:space="preserve"> in the North West;</w:t>
      </w:r>
      <w:r w:rsidR="00286D52" w:rsidRPr="007A4338">
        <w:rPr>
          <w:rFonts w:ascii="Times New Roman" w:eastAsia="Times New Roman" w:hAnsi="Times New Roman" w:cs="Times New Roman"/>
          <w:color w:val="000000"/>
          <w:spacing w:val="6"/>
          <w:sz w:val="24"/>
          <w:szCs w:val="24"/>
          <w:lang w:val="en-ZA" w:eastAsia="en-GB"/>
        </w:rPr>
        <w:t xml:space="preserve"> </w:t>
      </w:r>
      <w:r w:rsidR="00E33842" w:rsidRPr="007A4338">
        <w:rPr>
          <w:rFonts w:ascii="Times New Roman" w:eastAsia="Times New Roman" w:hAnsi="Times New Roman" w:cs="Times New Roman"/>
          <w:color w:val="000000"/>
          <w:spacing w:val="6"/>
          <w:sz w:val="24"/>
          <w:szCs w:val="24"/>
          <w:lang w:val="en-ZA" w:eastAsia="en-GB"/>
        </w:rPr>
        <w:t xml:space="preserve">Emfuleni, Randfontein and </w:t>
      </w:r>
      <w:proofErr w:type="spellStart"/>
      <w:r w:rsidR="00E33842" w:rsidRPr="007A4338">
        <w:rPr>
          <w:rFonts w:ascii="Times New Roman" w:eastAsia="Times New Roman" w:hAnsi="Times New Roman" w:cs="Times New Roman"/>
          <w:color w:val="000000"/>
          <w:spacing w:val="6"/>
          <w:sz w:val="24"/>
          <w:szCs w:val="24"/>
          <w:lang w:val="en-ZA" w:eastAsia="en-GB"/>
        </w:rPr>
        <w:t>Mogale</w:t>
      </w:r>
      <w:proofErr w:type="spellEnd"/>
      <w:r w:rsidR="00E33842" w:rsidRPr="007A4338">
        <w:rPr>
          <w:rFonts w:ascii="Times New Roman" w:eastAsia="Times New Roman" w:hAnsi="Times New Roman" w:cs="Times New Roman"/>
          <w:color w:val="000000"/>
          <w:spacing w:val="6"/>
          <w:sz w:val="24"/>
          <w:szCs w:val="24"/>
          <w:lang w:val="en-ZA" w:eastAsia="en-GB"/>
        </w:rPr>
        <w:t xml:space="preserve"> City in Gauteng;   </w:t>
      </w:r>
      <w:proofErr w:type="spellStart"/>
      <w:r w:rsidR="00E33842" w:rsidRPr="007A4338">
        <w:rPr>
          <w:rFonts w:ascii="Times New Roman" w:eastAsia="Times New Roman" w:hAnsi="Times New Roman" w:cs="Times New Roman"/>
          <w:color w:val="000000"/>
          <w:spacing w:val="6"/>
          <w:sz w:val="24"/>
          <w:szCs w:val="24"/>
          <w:lang w:val="en-ZA" w:eastAsia="en-GB"/>
        </w:rPr>
        <w:t>Matjhabeng</w:t>
      </w:r>
      <w:proofErr w:type="spellEnd"/>
      <w:r w:rsidR="00E33842" w:rsidRPr="007A4338">
        <w:rPr>
          <w:rFonts w:ascii="Times New Roman" w:eastAsia="Times New Roman" w:hAnsi="Times New Roman" w:cs="Times New Roman"/>
          <w:color w:val="000000"/>
          <w:spacing w:val="6"/>
          <w:sz w:val="24"/>
          <w:szCs w:val="24"/>
          <w:lang w:val="en-ZA" w:eastAsia="en-GB"/>
        </w:rPr>
        <w:t xml:space="preserve">, </w:t>
      </w:r>
      <w:proofErr w:type="spellStart"/>
      <w:r w:rsidR="00E33842" w:rsidRPr="007A4338">
        <w:rPr>
          <w:rFonts w:ascii="Times New Roman" w:eastAsia="Times New Roman" w:hAnsi="Times New Roman" w:cs="Times New Roman"/>
          <w:color w:val="000000"/>
          <w:spacing w:val="6"/>
          <w:sz w:val="24"/>
          <w:szCs w:val="24"/>
          <w:lang w:val="en-ZA" w:eastAsia="en-GB"/>
        </w:rPr>
        <w:t>Maluti</w:t>
      </w:r>
      <w:proofErr w:type="spellEnd"/>
      <w:r w:rsidR="00E33842" w:rsidRPr="007A4338">
        <w:rPr>
          <w:rFonts w:ascii="Times New Roman" w:eastAsia="Times New Roman" w:hAnsi="Times New Roman" w:cs="Times New Roman"/>
          <w:color w:val="000000"/>
          <w:spacing w:val="6"/>
          <w:sz w:val="24"/>
          <w:szCs w:val="24"/>
          <w:lang w:val="en-ZA" w:eastAsia="en-GB"/>
        </w:rPr>
        <w:t>-a-</w:t>
      </w:r>
      <w:proofErr w:type="spellStart"/>
      <w:r w:rsidR="00E33842" w:rsidRPr="007A4338">
        <w:rPr>
          <w:rFonts w:ascii="Times New Roman" w:eastAsia="Times New Roman" w:hAnsi="Times New Roman" w:cs="Times New Roman"/>
          <w:color w:val="000000"/>
          <w:spacing w:val="6"/>
          <w:sz w:val="24"/>
          <w:szCs w:val="24"/>
          <w:lang w:val="en-ZA" w:eastAsia="en-GB"/>
        </w:rPr>
        <w:t>Phofung</w:t>
      </w:r>
      <w:proofErr w:type="spellEnd"/>
      <w:r w:rsidR="00E33842" w:rsidRPr="007A4338">
        <w:rPr>
          <w:rFonts w:ascii="Times New Roman" w:eastAsia="Times New Roman" w:hAnsi="Times New Roman" w:cs="Times New Roman"/>
          <w:color w:val="000000"/>
          <w:spacing w:val="6"/>
          <w:sz w:val="24"/>
          <w:szCs w:val="24"/>
          <w:lang w:val="en-ZA" w:eastAsia="en-GB"/>
        </w:rPr>
        <w:t xml:space="preserve">, </w:t>
      </w:r>
      <w:proofErr w:type="spellStart"/>
      <w:r w:rsidR="007C3685" w:rsidRPr="007A4338">
        <w:rPr>
          <w:rFonts w:ascii="Times New Roman" w:eastAsia="Times New Roman" w:hAnsi="Times New Roman" w:cs="Times New Roman"/>
          <w:color w:val="000000"/>
          <w:spacing w:val="6"/>
          <w:sz w:val="24"/>
          <w:szCs w:val="24"/>
          <w:lang w:val="en-ZA" w:eastAsia="en-GB"/>
        </w:rPr>
        <w:t>Nketoana</w:t>
      </w:r>
      <w:proofErr w:type="spellEnd"/>
      <w:r w:rsidR="007C3685" w:rsidRPr="007A4338">
        <w:rPr>
          <w:rFonts w:ascii="Times New Roman" w:eastAsia="Times New Roman" w:hAnsi="Times New Roman" w:cs="Times New Roman"/>
          <w:color w:val="000000"/>
          <w:spacing w:val="6"/>
          <w:sz w:val="24"/>
          <w:szCs w:val="24"/>
          <w:lang w:val="en-ZA" w:eastAsia="en-GB"/>
        </w:rPr>
        <w:t>,</w:t>
      </w:r>
      <w:r w:rsidR="00E33842" w:rsidRPr="007A4338">
        <w:rPr>
          <w:rFonts w:ascii="Times New Roman" w:eastAsia="Times New Roman" w:hAnsi="Times New Roman" w:cs="Times New Roman"/>
          <w:color w:val="000000"/>
          <w:spacing w:val="6"/>
          <w:sz w:val="24"/>
          <w:szCs w:val="24"/>
          <w:lang w:val="en-ZA" w:eastAsia="en-GB"/>
        </w:rPr>
        <w:t xml:space="preserve"> </w:t>
      </w:r>
      <w:proofErr w:type="spellStart"/>
      <w:r w:rsidR="00E33842" w:rsidRPr="007A4338">
        <w:rPr>
          <w:rFonts w:ascii="Times New Roman" w:eastAsia="Times New Roman" w:hAnsi="Times New Roman" w:cs="Times New Roman"/>
          <w:color w:val="000000"/>
          <w:spacing w:val="6"/>
          <w:sz w:val="24"/>
          <w:szCs w:val="24"/>
          <w:lang w:val="en-ZA" w:eastAsia="en-GB"/>
        </w:rPr>
        <w:t>Ng</w:t>
      </w:r>
      <w:r w:rsidR="004848C0" w:rsidRPr="007A4338">
        <w:rPr>
          <w:rFonts w:ascii="Times New Roman" w:eastAsia="Times New Roman" w:hAnsi="Times New Roman" w:cs="Times New Roman"/>
          <w:color w:val="000000"/>
          <w:spacing w:val="6"/>
          <w:sz w:val="24"/>
          <w:szCs w:val="24"/>
          <w:lang w:val="en-ZA" w:eastAsia="en-GB"/>
        </w:rPr>
        <w:t>wathe</w:t>
      </w:r>
      <w:proofErr w:type="spellEnd"/>
      <w:r w:rsidR="004848C0" w:rsidRPr="007A4338">
        <w:rPr>
          <w:rFonts w:ascii="Times New Roman" w:eastAsia="Times New Roman" w:hAnsi="Times New Roman" w:cs="Times New Roman"/>
          <w:color w:val="000000"/>
          <w:spacing w:val="6"/>
          <w:sz w:val="24"/>
          <w:szCs w:val="24"/>
          <w:lang w:val="en-ZA" w:eastAsia="en-GB"/>
        </w:rPr>
        <w:t xml:space="preserve">, </w:t>
      </w:r>
      <w:proofErr w:type="spellStart"/>
      <w:r w:rsidR="004848C0" w:rsidRPr="007A4338">
        <w:rPr>
          <w:rFonts w:ascii="Times New Roman" w:eastAsia="Times New Roman" w:hAnsi="Times New Roman" w:cs="Times New Roman"/>
          <w:color w:val="000000"/>
          <w:spacing w:val="6"/>
          <w:sz w:val="24"/>
          <w:szCs w:val="24"/>
          <w:lang w:val="en-ZA" w:eastAsia="en-GB"/>
        </w:rPr>
        <w:t>Dihlabeng</w:t>
      </w:r>
      <w:proofErr w:type="spellEnd"/>
      <w:r w:rsidR="004848C0" w:rsidRPr="007A4338">
        <w:rPr>
          <w:rFonts w:ascii="Times New Roman" w:eastAsia="Times New Roman" w:hAnsi="Times New Roman" w:cs="Times New Roman"/>
          <w:color w:val="000000"/>
          <w:spacing w:val="6"/>
          <w:sz w:val="24"/>
          <w:szCs w:val="24"/>
          <w:lang w:val="en-ZA" w:eastAsia="en-GB"/>
        </w:rPr>
        <w:t>,</w:t>
      </w:r>
      <w:r w:rsidR="00E33842" w:rsidRPr="007A4338">
        <w:rPr>
          <w:rFonts w:ascii="Times New Roman" w:eastAsia="Times New Roman" w:hAnsi="Times New Roman" w:cs="Times New Roman"/>
          <w:color w:val="000000"/>
          <w:spacing w:val="6"/>
          <w:sz w:val="24"/>
          <w:szCs w:val="24"/>
          <w:lang w:val="en-ZA" w:eastAsia="en-GB"/>
        </w:rPr>
        <w:t xml:space="preserve"> </w:t>
      </w:r>
      <w:proofErr w:type="spellStart"/>
      <w:r w:rsidR="00E33842" w:rsidRPr="007A4338">
        <w:rPr>
          <w:rFonts w:ascii="Times New Roman" w:eastAsia="Times New Roman" w:hAnsi="Times New Roman" w:cs="Times New Roman"/>
          <w:color w:val="000000"/>
          <w:spacing w:val="6"/>
          <w:sz w:val="24"/>
          <w:szCs w:val="24"/>
          <w:lang w:val="en-ZA" w:eastAsia="en-GB"/>
        </w:rPr>
        <w:t>Moqhaka</w:t>
      </w:r>
      <w:proofErr w:type="spellEnd"/>
      <w:r w:rsidR="00E33842" w:rsidRPr="007A4338">
        <w:rPr>
          <w:rFonts w:ascii="Times New Roman" w:eastAsia="Times New Roman" w:hAnsi="Times New Roman" w:cs="Times New Roman"/>
          <w:color w:val="000000"/>
          <w:spacing w:val="6"/>
          <w:sz w:val="24"/>
          <w:szCs w:val="24"/>
          <w:lang w:val="en-ZA" w:eastAsia="en-GB"/>
        </w:rPr>
        <w:t xml:space="preserve"> and </w:t>
      </w:r>
      <w:proofErr w:type="spellStart"/>
      <w:r w:rsidR="00E33842" w:rsidRPr="007A4338">
        <w:rPr>
          <w:rFonts w:ascii="Times New Roman" w:eastAsia="Times New Roman" w:hAnsi="Times New Roman" w:cs="Times New Roman"/>
          <w:color w:val="000000"/>
          <w:spacing w:val="6"/>
          <w:sz w:val="24"/>
          <w:szCs w:val="24"/>
          <w:lang w:val="en-ZA" w:eastAsia="en-GB"/>
        </w:rPr>
        <w:t>Nala</w:t>
      </w:r>
      <w:proofErr w:type="spellEnd"/>
      <w:r w:rsidR="00E33842" w:rsidRPr="007A4338">
        <w:rPr>
          <w:rFonts w:ascii="Times New Roman" w:eastAsia="Times New Roman" w:hAnsi="Times New Roman" w:cs="Times New Roman"/>
          <w:color w:val="000000"/>
          <w:spacing w:val="6"/>
          <w:sz w:val="24"/>
          <w:szCs w:val="24"/>
          <w:lang w:val="en-ZA" w:eastAsia="en-GB"/>
        </w:rPr>
        <w:t xml:space="preserve"> in the Free State; and </w:t>
      </w:r>
      <w:proofErr w:type="spellStart"/>
      <w:r w:rsidR="004848C0" w:rsidRPr="007A4338">
        <w:rPr>
          <w:rFonts w:ascii="Times New Roman" w:eastAsia="Times New Roman" w:hAnsi="Times New Roman" w:cs="Times New Roman"/>
          <w:color w:val="000000"/>
          <w:spacing w:val="6"/>
          <w:sz w:val="24"/>
          <w:szCs w:val="24"/>
          <w:lang w:val="en-ZA" w:eastAsia="en-GB"/>
        </w:rPr>
        <w:t>Thabazimbi</w:t>
      </w:r>
      <w:proofErr w:type="spellEnd"/>
      <w:r w:rsidR="004848C0" w:rsidRPr="007A4338">
        <w:rPr>
          <w:rFonts w:ascii="Times New Roman" w:eastAsia="Times New Roman" w:hAnsi="Times New Roman" w:cs="Times New Roman"/>
          <w:color w:val="000000"/>
          <w:spacing w:val="6"/>
          <w:sz w:val="24"/>
          <w:szCs w:val="24"/>
          <w:lang w:val="en-ZA" w:eastAsia="en-GB"/>
        </w:rPr>
        <w:t xml:space="preserve">, </w:t>
      </w:r>
      <w:proofErr w:type="spellStart"/>
      <w:r w:rsidR="00E33842" w:rsidRPr="007A4338">
        <w:rPr>
          <w:rFonts w:ascii="Times New Roman" w:eastAsia="Times New Roman" w:hAnsi="Times New Roman" w:cs="Times New Roman"/>
          <w:color w:val="000000"/>
          <w:spacing w:val="6"/>
          <w:sz w:val="24"/>
          <w:szCs w:val="24"/>
          <w:lang w:val="en-ZA" w:eastAsia="en-GB"/>
        </w:rPr>
        <w:t>Musina</w:t>
      </w:r>
      <w:proofErr w:type="spellEnd"/>
      <w:r w:rsidR="00E33842" w:rsidRPr="007A4338">
        <w:rPr>
          <w:rFonts w:ascii="Times New Roman" w:eastAsia="Times New Roman" w:hAnsi="Times New Roman" w:cs="Times New Roman"/>
          <w:color w:val="000000"/>
          <w:spacing w:val="6"/>
          <w:sz w:val="24"/>
          <w:szCs w:val="24"/>
          <w:lang w:val="en-ZA" w:eastAsia="en-GB"/>
        </w:rPr>
        <w:t xml:space="preserve"> and Ba Phalaborwa in Limpopo. </w:t>
      </w:r>
      <w:r w:rsidR="00756058" w:rsidRPr="007A4338">
        <w:rPr>
          <w:rFonts w:ascii="Times New Roman" w:eastAsia="Times New Roman" w:hAnsi="Times New Roman" w:cs="Times New Roman"/>
          <w:color w:val="000000"/>
          <w:spacing w:val="6"/>
          <w:sz w:val="24"/>
          <w:szCs w:val="24"/>
          <w:lang w:val="en-ZA" w:eastAsia="en-GB"/>
        </w:rPr>
        <w:t xml:space="preserve">DCOG also reported on municipalities identified by the Auditor-General as having </w:t>
      </w:r>
      <w:r w:rsidR="004848C0" w:rsidRPr="007A4338">
        <w:rPr>
          <w:rFonts w:ascii="Times New Roman" w:eastAsia="Times New Roman" w:hAnsi="Times New Roman" w:cs="Times New Roman"/>
          <w:color w:val="000000"/>
          <w:spacing w:val="6"/>
          <w:sz w:val="24"/>
          <w:szCs w:val="24"/>
          <w:lang w:val="en-ZA" w:eastAsia="en-GB"/>
        </w:rPr>
        <w:t>seven or more</w:t>
      </w:r>
      <w:r w:rsidR="00756058" w:rsidRPr="007A4338">
        <w:rPr>
          <w:rFonts w:ascii="Times New Roman" w:eastAsia="Times New Roman" w:hAnsi="Times New Roman" w:cs="Times New Roman"/>
          <w:color w:val="000000"/>
          <w:spacing w:val="6"/>
          <w:sz w:val="24"/>
          <w:szCs w:val="24"/>
          <w:lang w:val="en-ZA" w:eastAsia="en-GB"/>
        </w:rPr>
        <w:t xml:space="preserve"> findings in financial health indicators and then highlighted those </w:t>
      </w:r>
      <w:r w:rsidR="00090F44" w:rsidRPr="007A4338">
        <w:rPr>
          <w:rFonts w:ascii="Times New Roman" w:eastAsia="Times New Roman" w:hAnsi="Times New Roman" w:cs="Times New Roman"/>
          <w:color w:val="000000"/>
          <w:spacing w:val="6"/>
          <w:sz w:val="24"/>
          <w:szCs w:val="24"/>
          <w:lang w:val="en-ZA" w:eastAsia="en-GB"/>
        </w:rPr>
        <w:t>municipalities on</w:t>
      </w:r>
      <w:r w:rsidR="004848C0" w:rsidRPr="007A4338">
        <w:rPr>
          <w:rFonts w:ascii="Times New Roman" w:eastAsia="Times New Roman" w:hAnsi="Times New Roman" w:cs="Times New Roman"/>
          <w:color w:val="000000"/>
          <w:spacing w:val="6"/>
          <w:sz w:val="24"/>
          <w:szCs w:val="24"/>
          <w:lang w:val="en-ZA" w:eastAsia="en-GB"/>
        </w:rPr>
        <w:t xml:space="preserve"> DCOG’s</w:t>
      </w:r>
      <w:r w:rsidR="00090F44" w:rsidRPr="007A4338">
        <w:rPr>
          <w:rFonts w:ascii="Times New Roman" w:eastAsia="Times New Roman" w:hAnsi="Times New Roman" w:cs="Times New Roman"/>
          <w:color w:val="000000"/>
          <w:spacing w:val="6"/>
          <w:sz w:val="24"/>
          <w:szCs w:val="24"/>
          <w:lang w:val="en-ZA" w:eastAsia="en-GB"/>
        </w:rPr>
        <w:t xml:space="preserve"> list of priority in terms of </w:t>
      </w:r>
      <w:r w:rsidR="00756058" w:rsidRPr="007A4338">
        <w:rPr>
          <w:rFonts w:ascii="Times New Roman" w:eastAsia="Times New Roman" w:hAnsi="Times New Roman" w:cs="Times New Roman"/>
          <w:color w:val="000000"/>
          <w:spacing w:val="6"/>
          <w:sz w:val="24"/>
          <w:szCs w:val="24"/>
          <w:lang w:val="en-ZA" w:eastAsia="en-GB"/>
        </w:rPr>
        <w:t xml:space="preserve">interventions. </w:t>
      </w:r>
    </w:p>
    <w:p w14:paraId="25682723" w14:textId="77777777" w:rsidR="00730975" w:rsidRPr="007A4338" w:rsidRDefault="00730975"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7B230F9" w14:textId="77777777" w:rsidR="000B4CEC" w:rsidRPr="007A4338" w:rsidRDefault="00973183"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In terms of </w:t>
      </w:r>
      <w:r w:rsidR="00D62BBD" w:rsidRPr="007A4338">
        <w:rPr>
          <w:rFonts w:ascii="Times New Roman" w:eastAsia="Times New Roman" w:hAnsi="Times New Roman" w:cs="Times New Roman"/>
          <w:color w:val="000000"/>
          <w:spacing w:val="6"/>
          <w:sz w:val="24"/>
          <w:szCs w:val="24"/>
          <w:lang w:val="en-ZA" w:eastAsia="en-GB"/>
        </w:rPr>
        <w:t xml:space="preserve">enhancing </w:t>
      </w:r>
      <w:r w:rsidRPr="007A4338">
        <w:rPr>
          <w:rFonts w:ascii="Times New Roman" w:eastAsia="Times New Roman" w:hAnsi="Times New Roman" w:cs="Times New Roman"/>
          <w:color w:val="000000"/>
          <w:spacing w:val="6"/>
          <w:sz w:val="24"/>
          <w:szCs w:val="24"/>
          <w:lang w:val="en-ZA" w:eastAsia="en-GB"/>
        </w:rPr>
        <w:t xml:space="preserve">revenue and debt collection </w:t>
      </w:r>
      <w:r w:rsidR="00D62BBD" w:rsidRPr="007A4338">
        <w:rPr>
          <w:rFonts w:ascii="Times New Roman" w:eastAsia="Times New Roman" w:hAnsi="Times New Roman" w:cs="Times New Roman"/>
          <w:color w:val="000000"/>
          <w:spacing w:val="6"/>
          <w:sz w:val="24"/>
          <w:szCs w:val="24"/>
          <w:lang w:val="en-ZA" w:eastAsia="en-GB"/>
        </w:rPr>
        <w:t xml:space="preserve">in municipalities, DCOG highlighted their </w:t>
      </w:r>
      <w:r w:rsidR="000B4CEC" w:rsidRPr="007A4338">
        <w:rPr>
          <w:rFonts w:ascii="Times New Roman" w:eastAsia="Times New Roman" w:hAnsi="Times New Roman" w:cs="Times New Roman"/>
          <w:color w:val="000000"/>
          <w:spacing w:val="6"/>
          <w:sz w:val="24"/>
          <w:szCs w:val="24"/>
          <w:lang w:val="en-ZA" w:eastAsia="en-GB"/>
        </w:rPr>
        <w:t>support and assistance to municipalities</w:t>
      </w:r>
      <w:r w:rsidR="00D62BBD" w:rsidRPr="007A4338">
        <w:rPr>
          <w:rFonts w:ascii="Times New Roman" w:eastAsia="Times New Roman" w:hAnsi="Times New Roman" w:cs="Times New Roman"/>
          <w:color w:val="000000"/>
          <w:spacing w:val="6"/>
          <w:sz w:val="24"/>
          <w:szCs w:val="24"/>
          <w:lang w:val="en-ZA" w:eastAsia="en-GB"/>
        </w:rPr>
        <w:t xml:space="preserve"> which include:  </w:t>
      </w:r>
    </w:p>
    <w:p w14:paraId="7A0D9054" w14:textId="77777777" w:rsidR="00973183"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w:t>
      </w:r>
      <w:r w:rsidR="00D62BBD" w:rsidRPr="007A4338">
        <w:rPr>
          <w:rFonts w:ascii="Times New Roman" w:eastAsia="Times New Roman" w:hAnsi="Times New Roman" w:cs="Times New Roman"/>
          <w:color w:val="000000"/>
          <w:spacing w:val="6"/>
          <w:sz w:val="24"/>
          <w:szCs w:val="24"/>
          <w:lang w:val="en-ZA" w:eastAsia="en-GB"/>
        </w:rPr>
        <w:t xml:space="preserve"> Simplified Revenue Plan Project (i.e. the development and implementation of municipal-specific revenue plans for 30 selected municipalities)</w:t>
      </w:r>
      <w:r w:rsidRPr="007A4338">
        <w:rPr>
          <w:rFonts w:ascii="Times New Roman" w:eastAsia="Times New Roman" w:hAnsi="Times New Roman" w:cs="Times New Roman"/>
          <w:color w:val="000000"/>
          <w:spacing w:val="6"/>
          <w:sz w:val="24"/>
          <w:szCs w:val="24"/>
          <w:lang w:val="en-ZA" w:eastAsia="en-GB"/>
        </w:rPr>
        <w:t>;</w:t>
      </w:r>
    </w:p>
    <w:p w14:paraId="7566D87B" w14:textId="77777777" w:rsidR="000B4CEC"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Review and update of revenue policies and by-laws; </w:t>
      </w:r>
    </w:p>
    <w:p w14:paraId="058BCB2B" w14:textId="77777777" w:rsidR="000B4CEC"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Billing; </w:t>
      </w:r>
    </w:p>
    <w:p w14:paraId="5EFDD410" w14:textId="77777777" w:rsidR="000B4CEC"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Data cleansing and analysis; </w:t>
      </w:r>
    </w:p>
    <w:p w14:paraId="4ABD406E" w14:textId="77777777" w:rsidR="000B4CEC"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Indigent register management; </w:t>
      </w:r>
    </w:p>
    <w:p w14:paraId="595D94E6" w14:textId="77777777" w:rsidR="000B4CEC"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Customer relations management; and</w:t>
      </w:r>
    </w:p>
    <w:p w14:paraId="76262CB2" w14:textId="77777777" w:rsidR="000B4CEC" w:rsidRPr="007A4338" w:rsidRDefault="000B4CEC" w:rsidP="007A4338">
      <w:pPr>
        <w:pStyle w:val="ListParagraph"/>
        <w:numPr>
          <w:ilvl w:val="0"/>
          <w:numId w:val="15"/>
        </w:num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Administration. </w:t>
      </w:r>
    </w:p>
    <w:p w14:paraId="318D8D25" w14:textId="77777777" w:rsidR="00973183" w:rsidRPr="007A4338" w:rsidRDefault="00973183"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1E6C8E40" w14:textId="77777777" w:rsidR="009A1B19" w:rsidRPr="007A4338" w:rsidRDefault="00730975"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Intergovernmental co-ordination and collaborations for responding to local government challenges relat</w:t>
      </w:r>
      <w:r w:rsidR="00A50905" w:rsidRPr="007A4338">
        <w:rPr>
          <w:rFonts w:ascii="Times New Roman" w:eastAsia="Times New Roman" w:hAnsi="Times New Roman" w:cs="Times New Roman"/>
          <w:color w:val="000000"/>
          <w:spacing w:val="6"/>
          <w:sz w:val="24"/>
          <w:szCs w:val="24"/>
          <w:lang w:val="en-ZA" w:eastAsia="en-GB"/>
        </w:rPr>
        <w:t xml:space="preserve">e to matters such as </w:t>
      </w:r>
      <w:r w:rsidRPr="007A4338">
        <w:rPr>
          <w:rFonts w:ascii="Times New Roman" w:eastAsia="Times New Roman" w:hAnsi="Times New Roman" w:cs="Times New Roman"/>
          <w:color w:val="000000"/>
          <w:spacing w:val="6"/>
          <w:sz w:val="24"/>
          <w:szCs w:val="24"/>
          <w:lang w:val="en-ZA" w:eastAsia="en-GB"/>
        </w:rPr>
        <w:t xml:space="preserve">Eskom debt by </w:t>
      </w:r>
      <w:r w:rsidR="003631C0" w:rsidRPr="007A4338">
        <w:rPr>
          <w:rFonts w:ascii="Times New Roman" w:eastAsia="Times New Roman" w:hAnsi="Times New Roman" w:cs="Times New Roman"/>
          <w:color w:val="000000"/>
          <w:spacing w:val="6"/>
          <w:sz w:val="24"/>
          <w:szCs w:val="24"/>
          <w:lang w:val="en-ZA" w:eastAsia="en-GB"/>
        </w:rPr>
        <w:t>municipalities; debt</w:t>
      </w:r>
      <w:r w:rsidRPr="007A4338">
        <w:rPr>
          <w:rFonts w:ascii="Times New Roman" w:eastAsia="Times New Roman" w:hAnsi="Times New Roman" w:cs="Times New Roman"/>
          <w:color w:val="000000"/>
          <w:spacing w:val="6"/>
          <w:sz w:val="24"/>
          <w:szCs w:val="24"/>
          <w:lang w:val="en-ZA" w:eastAsia="en-GB"/>
        </w:rPr>
        <w:t xml:space="preserve"> owed by government to municipalities; response </w:t>
      </w:r>
      <w:r w:rsidR="00C173B8" w:rsidRPr="007A4338">
        <w:rPr>
          <w:rFonts w:ascii="Times New Roman" w:eastAsia="Times New Roman" w:hAnsi="Times New Roman" w:cs="Times New Roman"/>
          <w:color w:val="000000"/>
          <w:spacing w:val="6"/>
          <w:sz w:val="24"/>
          <w:szCs w:val="24"/>
          <w:lang w:val="en-ZA" w:eastAsia="en-GB"/>
        </w:rPr>
        <w:t xml:space="preserve">and improvement </w:t>
      </w:r>
      <w:r w:rsidRPr="007A4338">
        <w:rPr>
          <w:rFonts w:ascii="Times New Roman" w:eastAsia="Times New Roman" w:hAnsi="Times New Roman" w:cs="Times New Roman"/>
          <w:color w:val="000000"/>
          <w:spacing w:val="6"/>
          <w:sz w:val="24"/>
          <w:szCs w:val="24"/>
          <w:lang w:val="en-ZA" w:eastAsia="en-GB"/>
        </w:rPr>
        <w:t xml:space="preserve">to municipal audit outcomes and other financial management and governance </w:t>
      </w:r>
      <w:r w:rsidR="003631C0" w:rsidRPr="007A4338">
        <w:rPr>
          <w:rFonts w:ascii="Times New Roman" w:eastAsia="Times New Roman" w:hAnsi="Times New Roman" w:cs="Times New Roman"/>
          <w:color w:val="000000"/>
          <w:spacing w:val="6"/>
          <w:sz w:val="24"/>
          <w:szCs w:val="24"/>
          <w:lang w:val="en-ZA" w:eastAsia="en-GB"/>
        </w:rPr>
        <w:t>matters; Spatial</w:t>
      </w:r>
      <w:r w:rsidRPr="007A4338">
        <w:rPr>
          <w:rFonts w:ascii="Times New Roman" w:eastAsia="Times New Roman" w:hAnsi="Times New Roman" w:cs="Times New Roman"/>
          <w:color w:val="000000"/>
          <w:spacing w:val="6"/>
          <w:sz w:val="24"/>
          <w:szCs w:val="24"/>
          <w:lang w:val="en-ZA" w:eastAsia="en-GB"/>
        </w:rPr>
        <w:t xml:space="preserve"> </w:t>
      </w:r>
      <w:r w:rsidR="00965CE0" w:rsidRPr="007A4338">
        <w:rPr>
          <w:rFonts w:ascii="Times New Roman" w:eastAsia="Times New Roman" w:hAnsi="Times New Roman" w:cs="Times New Roman"/>
          <w:color w:val="000000"/>
          <w:spacing w:val="6"/>
          <w:sz w:val="24"/>
          <w:szCs w:val="24"/>
          <w:lang w:val="en-ZA" w:eastAsia="en-GB"/>
        </w:rPr>
        <w:t>P</w:t>
      </w:r>
      <w:r w:rsidRPr="007A4338">
        <w:rPr>
          <w:rFonts w:ascii="Times New Roman" w:eastAsia="Times New Roman" w:hAnsi="Times New Roman" w:cs="Times New Roman"/>
          <w:color w:val="000000"/>
          <w:spacing w:val="6"/>
          <w:sz w:val="24"/>
          <w:szCs w:val="24"/>
          <w:lang w:val="en-ZA" w:eastAsia="en-GB"/>
        </w:rPr>
        <w:t>lanning and the Integrated Urban Developmen</w:t>
      </w:r>
      <w:r w:rsidR="000B4CEC" w:rsidRPr="007A4338">
        <w:rPr>
          <w:rFonts w:ascii="Times New Roman" w:eastAsia="Times New Roman" w:hAnsi="Times New Roman" w:cs="Times New Roman"/>
          <w:color w:val="000000"/>
          <w:spacing w:val="6"/>
          <w:sz w:val="24"/>
          <w:szCs w:val="24"/>
          <w:lang w:val="en-ZA" w:eastAsia="en-GB"/>
        </w:rPr>
        <w:t>t</w:t>
      </w:r>
      <w:r w:rsidRPr="007A4338">
        <w:rPr>
          <w:rFonts w:ascii="Times New Roman" w:eastAsia="Times New Roman" w:hAnsi="Times New Roman" w:cs="Times New Roman"/>
          <w:color w:val="000000"/>
          <w:spacing w:val="6"/>
          <w:sz w:val="24"/>
          <w:szCs w:val="24"/>
          <w:lang w:val="en-ZA" w:eastAsia="en-GB"/>
        </w:rPr>
        <w:t xml:space="preserve"> Framework; </w:t>
      </w:r>
      <w:r w:rsidR="00C173B8" w:rsidRPr="007A4338">
        <w:rPr>
          <w:rFonts w:ascii="Times New Roman" w:eastAsia="Times New Roman" w:hAnsi="Times New Roman" w:cs="Times New Roman"/>
          <w:color w:val="000000"/>
          <w:spacing w:val="6"/>
          <w:sz w:val="24"/>
          <w:szCs w:val="24"/>
          <w:lang w:val="en-ZA" w:eastAsia="en-GB"/>
        </w:rPr>
        <w:t xml:space="preserve">and </w:t>
      </w:r>
      <w:r w:rsidR="00965CE0" w:rsidRPr="007A4338">
        <w:rPr>
          <w:rFonts w:ascii="Times New Roman" w:eastAsia="Times New Roman" w:hAnsi="Times New Roman" w:cs="Times New Roman"/>
          <w:color w:val="000000"/>
          <w:spacing w:val="6"/>
          <w:sz w:val="24"/>
          <w:szCs w:val="24"/>
          <w:lang w:val="en-ZA" w:eastAsia="en-GB"/>
        </w:rPr>
        <w:t>s</w:t>
      </w:r>
      <w:r w:rsidRPr="007A4338">
        <w:rPr>
          <w:rFonts w:ascii="Times New Roman" w:eastAsia="Times New Roman" w:hAnsi="Times New Roman" w:cs="Times New Roman"/>
          <w:color w:val="000000"/>
          <w:spacing w:val="6"/>
          <w:sz w:val="24"/>
          <w:szCs w:val="24"/>
          <w:lang w:val="en-ZA" w:eastAsia="en-GB"/>
        </w:rPr>
        <w:t>ervice delivery and t</w:t>
      </w:r>
      <w:r w:rsidR="00C173B8" w:rsidRPr="007A4338">
        <w:rPr>
          <w:rFonts w:ascii="Times New Roman" w:eastAsia="Times New Roman" w:hAnsi="Times New Roman" w:cs="Times New Roman"/>
          <w:color w:val="000000"/>
          <w:spacing w:val="6"/>
          <w:sz w:val="24"/>
          <w:szCs w:val="24"/>
          <w:lang w:val="en-ZA" w:eastAsia="en-GB"/>
        </w:rPr>
        <w:t>he implementation of Outcome 9</w:t>
      </w:r>
      <w:r w:rsidR="004B4749" w:rsidRPr="007A4338">
        <w:rPr>
          <w:rFonts w:ascii="Times New Roman" w:eastAsia="Times New Roman" w:hAnsi="Times New Roman" w:cs="Times New Roman"/>
          <w:color w:val="000000"/>
          <w:spacing w:val="6"/>
          <w:sz w:val="24"/>
          <w:szCs w:val="24"/>
          <w:lang w:val="en-ZA" w:eastAsia="en-GB"/>
        </w:rPr>
        <w:t xml:space="preserve"> (A responsive, accountable, effective and efficient </w:t>
      </w:r>
      <w:r w:rsidR="00B64B0D" w:rsidRPr="007A4338">
        <w:rPr>
          <w:rFonts w:ascii="Times New Roman" w:eastAsia="Times New Roman" w:hAnsi="Times New Roman" w:cs="Times New Roman"/>
          <w:color w:val="000000"/>
          <w:spacing w:val="6"/>
          <w:sz w:val="24"/>
          <w:szCs w:val="24"/>
          <w:lang w:val="en-ZA" w:eastAsia="en-GB"/>
        </w:rPr>
        <w:t xml:space="preserve">local </w:t>
      </w:r>
      <w:r w:rsidR="004B4749" w:rsidRPr="007A4338">
        <w:rPr>
          <w:rFonts w:ascii="Times New Roman" w:eastAsia="Times New Roman" w:hAnsi="Times New Roman" w:cs="Times New Roman"/>
          <w:color w:val="000000"/>
          <w:spacing w:val="6"/>
          <w:sz w:val="24"/>
          <w:szCs w:val="24"/>
          <w:lang w:val="en-ZA" w:eastAsia="en-GB"/>
        </w:rPr>
        <w:t>government system)</w:t>
      </w:r>
      <w:r w:rsidR="00C173B8" w:rsidRPr="007A4338">
        <w:rPr>
          <w:rFonts w:ascii="Times New Roman" w:eastAsia="Times New Roman" w:hAnsi="Times New Roman" w:cs="Times New Roman"/>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 xml:space="preserve"> </w:t>
      </w:r>
      <w:r w:rsidR="00C173B8" w:rsidRPr="007A4338">
        <w:rPr>
          <w:rFonts w:ascii="Times New Roman" w:eastAsia="Times New Roman" w:hAnsi="Times New Roman" w:cs="Times New Roman"/>
          <w:color w:val="000000"/>
          <w:spacing w:val="6"/>
          <w:sz w:val="24"/>
          <w:szCs w:val="24"/>
          <w:lang w:val="en-ZA" w:eastAsia="en-GB"/>
        </w:rPr>
        <w:t xml:space="preserve">These collaborations </w:t>
      </w:r>
      <w:r w:rsidR="000B4CEC" w:rsidRPr="007A4338">
        <w:rPr>
          <w:rFonts w:ascii="Times New Roman" w:eastAsia="Times New Roman" w:hAnsi="Times New Roman" w:cs="Times New Roman"/>
          <w:color w:val="000000"/>
          <w:spacing w:val="6"/>
          <w:sz w:val="24"/>
          <w:szCs w:val="24"/>
          <w:lang w:val="en-ZA" w:eastAsia="en-GB"/>
        </w:rPr>
        <w:t>entail</w:t>
      </w:r>
      <w:r w:rsidR="00C173B8" w:rsidRPr="007A4338">
        <w:rPr>
          <w:rFonts w:ascii="Times New Roman" w:eastAsia="Times New Roman" w:hAnsi="Times New Roman" w:cs="Times New Roman"/>
          <w:color w:val="000000"/>
          <w:spacing w:val="6"/>
          <w:sz w:val="24"/>
          <w:szCs w:val="24"/>
          <w:lang w:val="en-ZA" w:eastAsia="en-GB"/>
        </w:rPr>
        <w:t xml:space="preserve"> relevant </w:t>
      </w:r>
      <w:r w:rsidR="00965CE0" w:rsidRPr="007A4338">
        <w:rPr>
          <w:rFonts w:ascii="Times New Roman" w:eastAsia="Times New Roman" w:hAnsi="Times New Roman" w:cs="Times New Roman"/>
          <w:color w:val="000000"/>
          <w:spacing w:val="6"/>
          <w:sz w:val="24"/>
          <w:szCs w:val="24"/>
          <w:lang w:val="en-ZA" w:eastAsia="en-GB"/>
        </w:rPr>
        <w:t>stakeholders</w:t>
      </w:r>
      <w:r w:rsidR="00C173B8" w:rsidRPr="007A4338">
        <w:rPr>
          <w:rFonts w:ascii="Times New Roman" w:eastAsia="Times New Roman" w:hAnsi="Times New Roman" w:cs="Times New Roman"/>
          <w:color w:val="000000"/>
          <w:spacing w:val="6"/>
          <w:sz w:val="24"/>
          <w:szCs w:val="24"/>
          <w:lang w:val="en-ZA" w:eastAsia="en-GB"/>
        </w:rPr>
        <w:t xml:space="preserve"> such as </w:t>
      </w:r>
      <w:r w:rsidR="00A50905" w:rsidRPr="007A4338">
        <w:rPr>
          <w:rFonts w:ascii="Times New Roman" w:eastAsia="Times New Roman" w:hAnsi="Times New Roman" w:cs="Times New Roman"/>
          <w:color w:val="000000"/>
          <w:spacing w:val="6"/>
          <w:sz w:val="24"/>
          <w:szCs w:val="24"/>
          <w:lang w:val="en-ZA" w:eastAsia="en-GB"/>
        </w:rPr>
        <w:t xml:space="preserve">national and provincial departments of </w:t>
      </w:r>
      <w:r w:rsidR="004B4749" w:rsidRPr="007A4338">
        <w:rPr>
          <w:rFonts w:ascii="Times New Roman" w:eastAsia="Times New Roman" w:hAnsi="Times New Roman" w:cs="Times New Roman"/>
          <w:color w:val="000000"/>
          <w:spacing w:val="6"/>
          <w:sz w:val="24"/>
          <w:szCs w:val="24"/>
          <w:lang w:val="en-ZA" w:eastAsia="en-GB"/>
        </w:rPr>
        <w:t>c</w:t>
      </w:r>
      <w:r w:rsidR="00A50905" w:rsidRPr="007A4338">
        <w:rPr>
          <w:rFonts w:ascii="Times New Roman" w:eastAsia="Times New Roman" w:hAnsi="Times New Roman" w:cs="Times New Roman"/>
          <w:color w:val="000000"/>
          <w:spacing w:val="6"/>
          <w:sz w:val="24"/>
          <w:szCs w:val="24"/>
          <w:lang w:val="en-ZA" w:eastAsia="en-GB"/>
        </w:rPr>
        <w:t xml:space="preserve">ooperative </w:t>
      </w:r>
      <w:r w:rsidR="004B4749" w:rsidRPr="007A4338">
        <w:rPr>
          <w:rFonts w:ascii="Times New Roman" w:eastAsia="Times New Roman" w:hAnsi="Times New Roman" w:cs="Times New Roman"/>
          <w:color w:val="000000"/>
          <w:spacing w:val="6"/>
          <w:sz w:val="24"/>
          <w:szCs w:val="24"/>
          <w:lang w:val="en-ZA" w:eastAsia="en-GB"/>
        </w:rPr>
        <w:t>g</w:t>
      </w:r>
      <w:r w:rsidR="00A50905" w:rsidRPr="007A4338">
        <w:rPr>
          <w:rFonts w:ascii="Times New Roman" w:eastAsia="Times New Roman" w:hAnsi="Times New Roman" w:cs="Times New Roman"/>
          <w:color w:val="000000"/>
          <w:spacing w:val="6"/>
          <w:sz w:val="24"/>
          <w:szCs w:val="24"/>
          <w:lang w:val="en-ZA" w:eastAsia="en-GB"/>
        </w:rPr>
        <w:t>overnance, n</w:t>
      </w:r>
      <w:r w:rsidR="00C173B8" w:rsidRPr="007A4338">
        <w:rPr>
          <w:rFonts w:ascii="Times New Roman" w:eastAsia="Times New Roman" w:hAnsi="Times New Roman" w:cs="Times New Roman"/>
          <w:color w:val="000000"/>
          <w:spacing w:val="6"/>
          <w:sz w:val="24"/>
          <w:szCs w:val="24"/>
          <w:lang w:val="en-ZA" w:eastAsia="en-GB"/>
        </w:rPr>
        <w:t xml:space="preserve">ational and </w:t>
      </w:r>
      <w:r w:rsidR="00A50905" w:rsidRPr="007A4338">
        <w:rPr>
          <w:rFonts w:ascii="Times New Roman" w:eastAsia="Times New Roman" w:hAnsi="Times New Roman" w:cs="Times New Roman"/>
          <w:color w:val="000000"/>
          <w:spacing w:val="6"/>
          <w:sz w:val="24"/>
          <w:szCs w:val="24"/>
          <w:lang w:val="en-ZA" w:eastAsia="en-GB"/>
        </w:rPr>
        <w:t>p</w:t>
      </w:r>
      <w:r w:rsidR="00C173B8" w:rsidRPr="007A4338">
        <w:rPr>
          <w:rFonts w:ascii="Times New Roman" w:eastAsia="Times New Roman" w:hAnsi="Times New Roman" w:cs="Times New Roman"/>
          <w:color w:val="000000"/>
          <w:spacing w:val="6"/>
          <w:sz w:val="24"/>
          <w:szCs w:val="24"/>
          <w:lang w:val="en-ZA" w:eastAsia="en-GB"/>
        </w:rPr>
        <w:t xml:space="preserve">rovincial </w:t>
      </w:r>
      <w:r w:rsidR="00A50905" w:rsidRPr="007A4338">
        <w:rPr>
          <w:rFonts w:ascii="Times New Roman" w:eastAsia="Times New Roman" w:hAnsi="Times New Roman" w:cs="Times New Roman"/>
          <w:color w:val="000000"/>
          <w:spacing w:val="6"/>
          <w:sz w:val="24"/>
          <w:szCs w:val="24"/>
          <w:lang w:val="en-ZA" w:eastAsia="en-GB"/>
        </w:rPr>
        <w:t>t</w:t>
      </w:r>
      <w:r w:rsidR="00C173B8" w:rsidRPr="007A4338">
        <w:rPr>
          <w:rFonts w:ascii="Times New Roman" w:eastAsia="Times New Roman" w:hAnsi="Times New Roman" w:cs="Times New Roman"/>
          <w:color w:val="000000"/>
          <w:spacing w:val="6"/>
          <w:sz w:val="24"/>
          <w:szCs w:val="24"/>
          <w:lang w:val="en-ZA" w:eastAsia="en-GB"/>
        </w:rPr>
        <w:t>reasuries, South African Local Government Association, the Department of Planning, Monitoring and Evaluation</w:t>
      </w:r>
      <w:r w:rsidR="004B4749" w:rsidRPr="007A4338">
        <w:rPr>
          <w:rFonts w:ascii="Times New Roman" w:eastAsia="Times New Roman" w:hAnsi="Times New Roman" w:cs="Times New Roman"/>
          <w:color w:val="000000"/>
          <w:spacing w:val="6"/>
          <w:sz w:val="24"/>
          <w:szCs w:val="24"/>
          <w:lang w:val="en-ZA" w:eastAsia="en-GB"/>
        </w:rPr>
        <w:t>,</w:t>
      </w:r>
      <w:r w:rsidR="00C173B8" w:rsidRPr="007A4338">
        <w:rPr>
          <w:rFonts w:ascii="Times New Roman" w:eastAsia="Times New Roman" w:hAnsi="Times New Roman" w:cs="Times New Roman"/>
          <w:color w:val="000000"/>
          <w:spacing w:val="6"/>
          <w:sz w:val="24"/>
          <w:szCs w:val="24"/>
          <w:lang w:val="en-ZA" w:eastAsia="en-GB"/>
        </w:rPr>
        <w:t xml:space="preserve"> the Auditor-General</w:t>
      </w:r>
      <w:r w:rsidR="004B4749" w:rsidRPr="007A4338">
        <w:rPr>
          <w:rFonts w:ascii="Times New Roman" w:eastAsia="Times New Roman" w:hAnsi="Times New Roman" w:cs="Times New Roman"/>
          <w:color w:val="000000"/>
          <w:spacing w:val="6"/>
          <w:sz w:val="24"/>
          <w:szCs w:val="24"/>
          <w:lang w:val="en-ZA" w:eastAsia="en-GB"/>
        </w:rPr>
        <w:t xml:space="preserve"> South Africa</w:t>
      </w:r>
      <w:r w:rsidR="00C173B8" w:rsidRPr="007A4338">
        <w:rPr>
          <w:rFonts w:ascii="Times New Roman" w:eastAsia="Times New Roman" w:hAnsi="Times New Roman" w:cs="Times New Roman"/>
          <w:color w:val="000000"/>
          <w:spacing w:val="6"/>
          <w:sz w:val="24"/>
          <w:szCs w:val="24"/>
          <w:lang w:val="en-ZA" w:eastAsia="en-GB"/>
        </w:rPr>
        <w:t xml:space="preserve">, and the </w:t>
      </w:r>
      <w:r w:rsidR="00973183" w:rsidRPr="007A4338">
        <w:rPr>
          <w:rFonts w:ascii="Times New Roman" w:eastAsia="Times New Roman" w:hAnsi="Times New Roman" w:cs="Times New Roman"/>
          <w:color w:val="000000"/>
          <w:spacing w:val="6"/>
          <w:sz w:val="24"/>
          <w:szCs w:val="24"/>
          <w:lang w:val="en-ZA" w:eastAsia="en-GB"/>
        </w:rPr>
        <w:t xml:space="preserve">Department of Public Works. DCOG reported that </w:t>
      </w:r>
      <w:r w:rsidR="00965CE0" w:rsidRPr="007A4338">
        <w:rPr>
          <w:rFonts w:ascii="Times New Roman" w:eastAsia="Times New Roman" w:hAnsi="Times New Roman" w:cs="Times New Roman"/>
          <w:color w:val="000000"/>
          <w:spacing w:val="6"/>
          <w:sz w:val="24"/>
          <w:szCs w:val="24"/>
          <w:lang w:val="en-ZA" w:eastAsia="en-GB"/>
        </w:rPr>
        <w:t xml:space="preserve">work is </w:t>
      </w:r>
      <w:r w:rsidR="004B4749" w:rsidRPr="007A4338">
        <w:rPr>
          <w:rFonts w:ascii="Times New Roman" w:eastAsia="Times New Roman" w:hAnsi="Times New Roman" w:cs="Times New Roman"/>
          <w:color w:val="000000"/>
          <w:spacing w:val="6"/>
          <w:sz w:val="24"/>
          <w:szCs w:val="24"/>
          <w:lang w:val="en-ZA" w:eastAsia="en-GB"/>
        </w:rPr>
        <w:t>underway by</w:t>
      </w:r>
      <w:r w:rsidR="00973183" w:rsidRPr="007A4338">
        <w:rPr>
          <w:rFonts w:ascii="Times New Roman" w:eastAsia="Times New Roman" w:hAnsi="Times New Roman" w:cs="Times New Roman"/>
          <w:color w:val="000000"/>
          <w:spacing w:val="6"/>
          <w:sz w:val="24"/>
          <w:szCs w:val="24"/>
          <w:lang w:val="en-ZA" w:eastAsia="en-GB"/>
        </w:rPr>
        <w:t xml:space="preserve"> the Min</w:t>
      </w:r>
      <w:r w:rsidR="000B4CEC" w:rsidRPr="007A4338">
        <w:rPr>
          <w:rFonts w:ascii="Times New Roman" w:eastAsia="Times New Roman" w:hAnsi="Times New Roman" w:cs="Times New Roman"/>
          <w:color w:val="000000"/>
          <w:spacing w:val="6"/>
          <w:sz w:val="24"/>
          <w:szCs w:val="24"/>
          <w:lang w:val="en-ZA" w:eastAsia="en-GB"/>
        </w:rPr>
        <w:t>is</w:t>
      </w:r>
      <w:r w:rsidR="00973183" w:rsidRPr="007A4338">
        <w:rPr>
          <w:rFonts w:ascii="Times New Roman" w:eastAsia="Times New Roman" w:hAnsi="Times New Roman" w:cs="Times New Roman"/>
          <w:color w:val="000000"/>
          <w:spacing w:val="6"/>
          <w:sz w:val="24"/>
          <w:szCs w:val="24"/>
          <w:lang w:val="en-ZA" w:eastAsia="en-GB"/>
        </w:rPr>
        <w:t xml:space="preserve">ters of COGTA and Finance </w:t>
      </w:r>
      <w:r w:rsidR="00965CE0" w:rsidRPr="007A4338">
        <w:rPr>
          <w:rFonts w:ascii="Times New Roman" w:eastAsia="Times New Roman" w:hAnsi="Times New Roman" w:cs="Times New Roman"/>
          <w:color w:val="000000"/>
          <w:spacing w:val="6"/>
          <w:sz w:val="24"/>
          <w:szCs w:val="24"/>
          <w:lang w:val="en-ZA" w:eastAsia="en-GB"/>
        </w:rPr>
        <w:t xml:space="preserve">in finding measures </w:t>
      </w:r>
      <w:r w:rsidR="00B64B0D" w:rsidRPr="007A4338">
        <w:rPr>
          <w:rFonts w:ascii="Times New Roman" w:eastAsia="Times New Roman" w:hAnsi="Times New Roman" w:cs="Times New Roman"/>
          <w:color w:val="000000"/>
          <w:spacing w:val="6"/>
          <w:sz w:val="24"/>
          <w:szCs w:val="24"/>
          <w:lang w:val="en-ZA" w:eastAsia="en-GB"/>
        </w:rPr>
        <w:t xml:space="preserve">to </w:t>
      </w:r>
      <w:r w:rsidR="00965CE0" w:rsidRPr="007A4338">
        <w:rPr>
          <w:rFonts w:ascii="Times New Roman" w:eastAsia="Times New Roman" w:hAnsi="Times New Roman" w:cs="Times New Roman"/>
          <w:color w:val="000000"/>
          <w:spacing w:val="6"/>
          <w:sz w:val="24"/>
          <w:szCs w:val="24"/>
          <w:lang w:val="en-ZA" w:eastAsia="en-GB"/>
        </w:rPr>
        <w:t xml:space="preserve">eliminate </w:t>
      </w:r>
      <w:r w:rsidR="00973183" w:rsidRPr="007A4338">
        <w:rPr>
          <w:rFonts w:ascii="Times New Roman" w:eastAsia="Times New Roman" w:hAnsi="Times New Roman" w:cs="Times New Roman"/>
          <w:color w:val="000000"/>
          <w:spacing w:val="6"/>
          <w:sz w:val="24"/>
          <w:szCs w:val="24"/>
          <w:lang w:val="en-ZA" w:eastAsia="en-GB"/>
        </w:rPr>
        <w:t>possible overlap</w:t>
      </w:r>
      <w:r w:rsidR="00965CE0" w:rsidRPr="007A4338">
        <w:rPr>
          <w:rFonts w:ascii="Times New Roman" w:eastAsia="Times New Roman" w:hAnsi="Times New Roman" w:cs="Times New Roman"/>
          <w:color w:val="000000"/>
          <w:spacing w:val="6"/>
          <w:sz w:val="24"/>
          <w:szCs w:val="24"/>
          <w:lang w:val="en-ZA" w:eastAsia="en-GB"/>
        </w:rPr>
        <w:t>s</w:t>
      </w:r>
      <w:r w:rsidR="00973183" w:rsidRPr="007A4338">
        <w:rPr>
          <w:rFonts w:ascii="Times New Roman" w:eastAsia="Times New Roman" w:hAnsi="Times New Roman" w:cs="Times New Roman"/>
          <w:color w:val="000000"/>
          <w:spacing w:val="6"/>
          <w:sz w:val="24"/>
          <w:szCs w:val="24"/>
          <w:lang w:val="en-ZA" w:eastAsia="en-GB"/>
        </w:rPr>
        <w:t xml:space="preserve"> in </w:t>
      </w:r>
      <w:r w:rsidR="00965CE0" w:rsidRPr="007A4338">
        <w:rPr>
          <w:rFonts w:ascii="Times New Roman" w:eastAsia="Times New Roman" w:hAnsi="Times New Roman" w:cs="Times New Roman"/>
          <w:color w:val="000000"/>
          <w:spacing w:val="6"/>
          <w:sz w:val="24"/>
          <w:szCs w:val="24"/>
          <w:lang w:val="en-ZA" w:eastAsia="en-GB"/>
        </w:rPr>
        <w:t xml:space="preserve">their respective </w:t>
      </w:r>
      <w:r w:rsidR="00973183" w:rsidRPr="007A4338">
        <w:rPr>
          <w:rFonts w:ascii="Times New Roman" w:eastAsia="Times New Roman" w:hAnsi="Times New Roman" w:cs="Times New Roman"/>
          <w:color w:val="000000"/>
          <w:spacing w:val="6"/>
          <w:sz w:val="24"/>
          <w:szCs w:val="24"/>
          <w:lang w:val="en-ZA" w:eastAsia="en-GB"/>
        </w:rPr>
        <w:t>functions as prescribed by the MFMA and the MSA.</w:t>
      </w:r>
    </w:p>
    <w:p w14:paraId="4599DD81" w14:textId="77777777" w:rsidR="00B61570" w:rsidRPr="007A4338" w:rsidRDefault="00B61570" w:rsidP="007A4338">
      <w:pPr>
        <w:spacing w:after="0" w:line="360" w:lineRule="auto"/>
        <w:ind w:left="360"/>
        <w:jc w:val="both"/>
        <w:rPr>
          <w:rFonts w:ascii="Times New Roman" w:eastAsia="Times New Roman" w:hAnsi="Times New Roman" w:cs="Times New Roman"/>
          <w:b/>
          <w:color w:val="000000"/>
          <w:spacing w:val="6"/>
          <w:sz w:val="24"/>
          <w:szCs w:val="24"/>
          <w:lang w:val="en-ZA" w:eastAsia="en-GB"/>
        </w:rPr>
      </w:pPr>
    </w:p>
    <w:p w14:paraId="3AD376CE" w14:textId="77777777" w:rsidR="003B26DA" w:rsidRPr="007A4338" w:rsidRDefault="003B26DA"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Comments by the </w:t>
      </w:r>
      <w:r w:rsidR="00302087" w:rsidRPr="007A4338">
        <w:rPr>
          <w:rFonts w:ascii="Times New Roman" w:eastAsia="Times New Roman" w:hAnsi="Times New Roman" w:cs="Times New Roman"/>
          <w:b/>
          <w:color w:val="000000"/>
          <w:spacing w:val="6"/>
          <w:sz w:val="24"/>
          <w:szCs w:val="24"/>
          <w:lang w:val="en-ZA" w:eastAsia="en-GB"/>
        </w:rPr>
        <w:t>Financial and Fiscal Commission</w:t>
      </w:r>
    </w:p>
    <w:p w14:paraId="5D81879D" w14:textId="77777777" w:rsidR="00302087" w:rsidRPr="007A4338" w:rsidRDefault="00302087" w:rsidP="007A4338">
      <w:pPr>
        <w:spacing w:after="0" w:line="360" w:lineRule="auto"/>
        <w:ind w:left="360"/>
        <w:jc w:val="both"/>
        <w:rPr>
          <w:rFonts w:ascii="Times New Roman" w:eastAsia="Times New Roman" w:hAnsi="Times New Roman" w:cs="Times New Roman"/>
          <w:b/>
          <w:color w:val="000000"/>
          <w:spacing w:val="6"/>
          <w:sz w:val="24"/>
          <w:szCs w:val="24"/>
          <w:lang w:val="en-ZA" w:eastAsia="en-GB"/>
        </w:rPr>
      </w:pPr>
    </w:p>
    <w:p w14:paraId="4D3C7683" w14:textId="77777777" w:rsidR="003B26DA" w:rsidRPr="007A4338" w:rsidRDefault="003B26DA" w:rsidP="007A4338">
      <w:pPr>
        <w:spacing w:line="360" w:lineRule="auto"/>
        <w:jc w:val="both"/>
        <w:rPr>
          <w:rFonts w:ascii="Times New Roman" w:hAnsi="Times New Roman" w:cs="Times New Roman"/>
          <w:sz w:val="24"/>
          <w:szCs w:val="24"/>
          <w:lang w:val="en-ZA"/>
        </w:rPr>
      </w:pPr>
      <w:r w:rsidRPr="007A4338">
        <w:rPr>
          <w:rFonts w:ascii="Times New Roman" w:hAnsi="Times New Roman" w:cs="Times New Roman"/>
          <w:sz w:val="24"/>
          <w:szCs w:val="24"/>
          <w:lang w:val="en-ZA"/>
        </w:rPr>
        <w:t xml:space="preserve">The FFC welcomed the confirmation of an additional R1.9 billion to the baseline of local government allocations announced in the 2017 MTBPS, as this would significantly cushion the poor from the risks associated with low economic growth. However, </w:t>
      </w:r>
      <w:r w:rsidR="00031499" w:rsidRPr="007A4338">
        <w:rPr>
          <w:rFonts w:ascii="Times New Roman" w:hAnsi="Times New Roman" w:cs="Times New Roman"/>
          <w:sz w:val="24"/>
          <w:szCs w:val="24"/>
          <w:lang w:val="en-ZA"/>
        </w:rPr>
        <w:t>it</w:t>
      </w:r>
      <w:r w:rsidRPr="007A4338">
        <w:rPr>
          <w:rFonts w:ascii="Times New Roman" w:hAnsi="Times New Roman" w:cs="Times New Roman"/>
          <w:sz w:val="24"/>
          <w:szCs w:val="24"/>
          <w:lang w:val="en-ZA"/>
        </w:rPr>
        <w:t xml:space="preserve"> remained concerned about the continued subdued growth rates of the local government equitable share (LGES). In order to ensure that this did not compromise the delivery of basic services, municipalities would need to use available resources more efficiently and also find alternative revenue sources. The FFC reported that municipalities needed to improve their revenue management, billing and debt management systems, impose cost-reflective tariffs and avoid under-spending and inefficient procurement processes.</w:t>
      </w:r>
    </w:p>
    <w:p w14:paraId="239B6FAF" w14:textId="77777777" w:rsidR="003B26DA" w:rsidRPr="007A4338" w:rsidRDefault="003B26DA" w:rsidP="007A4338">
      <w:pPr>
        <w:spacing w:line="360" w:lineRule="auto"/>
        <w:jc w:val="both"/>
        <w:rPr>
          <w:rFonts w:ascii="Times New Roman" w:hAnsi="Times New Roman" w:cs="Times New Roman"/>
          <w:sz w:val="24"/>
          <w:szCs w:val="24"/>
          <w:lang w:val="en-ZA"/>
        </w:rPr>
      </w:pPr>
      <w:r w:rsidRPr="007A4338">
        <w:rPr>
          <w:rFonts w:ascii="Times New Roman" w:hAnsi="Times New Roman" w:cs="Times New Roman"/>
          <w:sz w:val="24"/>
          <w:szCs w:val="24"/>
          <w:lang w:val="en-ZA"/>
        </w:rPr>
        <w:t xml:space="preserve">In terms of rollovers, the FFC reported that the decrease from R412 million in the 2016/17 financial to R217 million in 2017/18 suggested that government was exercising stricter controls with regard to monitoring expenditure and rollover requests. </w:t>
      </w:r>
    </w:p>
    <w:p w14:paraId="1D185C3A" w14:textId="77777777" w:rsidR="003B26DA" w:rsidRPr="007A4338" w:rsidRDefault="003B26DA" w:rsidP="007A4338">
      <w:pPr>
        <w:spacing w:line="360" w:lineRule="auto"/>
        <w:jc w:val="both"/>
        <w:rPr>
          <w:rFonts w:ascii="Times New Roman" w:hAnsi="Times New Roman" w:cs="Times New Roman"/>
          <w:sz w:val="24"/>
          <w:szCs w:val="24"/>
          <w:lang w:val="en-ZA"/>
        </w:rPr>
      </w:pPr>
      <w:r w:rsidRPr="007A4338">
        <w:rPr>
          <w:rFonts w:ascii="Times New Roman" w:hAnsi="Times New Roman" w:cs="Times New Roman"/>
          <w:sz w:val="24"/>
          <w:szCs w:val="24"/>
          <w:lang w:val="en-ZA"/>
        </w:rPr>
        <w:t xml:space="preserve">The Commission further </w:t>
      </w:r>
      <w:r w:rsidR="00031499" w:rsidRPr="007A4338">
        <w:rPr>
          <w:rFonts w:ascii="Times New Roman" w:hAnsi="Times New Roman" w:cs="Times New Roman"/>
          <w:sz w:val="24"/>
          <w:szCs w:val="24"/>
          <w:lang w:val="en-ZA"/>
        </w:rPr>
        <w:t xml:space="preserve">submitted </w:t>
      </w:r>
      <w:r w:rsidRPr="007A4338">
        <w:rPr>
          <w:rFonts w:ascii="Times New Roman" w:hAnsi="Times New Roman" w:cs="Times New Roman"/>
          <w:sz w:val="24"/>
          <w:szCs w:val="24"/>
          <w:lang w:val="en-ZA"/>
        </w:rPr>
        <w:t xml:space="preserve">that it supported the R500 million </w:t>
      </w:r>
      <w:r w:rsidR="005A2E24" w:rsidRPr="007A4338">
        <w:rPr>
          <w:rFonts w:ascii="Times New Roman" w:hAnsi="Times New Roman" w:cs="Times New Roman"/>
          <w:sz w:val="24"/>
          <w:szCs w:val="24"/>
          <w:lang w:val="en-ZA"/>
        </w:rPr>
        <w:t>for water and sanitation programmes so as to address issues of access and backlogs within the sector.</w:t>
      </w:r>
      <w:r w:rsidRPr="007A4338">
        <w:rPr>
          <w:rFonts w:ascii="Times New Roman" w:hAnsi="Times New Roman" w:cs="Times New Roman"/>
          <w:sz w:val="24"/>
          <w:szCs w:val="24"/>
          <w:lang w:val="en-ZA"/>
        </w:rPr>
        <w:t xml:space="preserve"> It however expressed concern about the indirect component of the grant being used to address water and sanitation programmes due to the fact that direct grants performed better. The FFC further noted the R19.8 million to be added to the Comprehensive HIV/AIDS and TB Grant to assist the funding gap that is </w:t>
      </w:r>
      <w:r w:rsidRPr="007A4338">
        <w:rPr>
          <w:rFonts w:ascii="Times New Roman" w:hAnsi="Times New Roman" w:cs="Times New Roman"/>
          <w:sz w:val="24"/>
          <w:szCs w:val="24"/>
          <w:lang w:val="en-ZA"/>
        </w:rPr>
        <w:lastRenderedPageBreak/>
        <w:t xml:space="preserve">weakening the effectiveness of the malaria programme. It submitted that government funding for malaria was critical to accelerate progress towards the elimination of malaria. </w:t>
      </w:r>
    </w:p>
    <w:p w14:paraId="4A96D3C5" w14:textId="77777777" w:rsidR="003B26DA" w:rsidRPr="007A4338" w:rsidRDefault="003B26DA" w:rsidP="007A4338">
      <w:pPr>
        <w:spacing w:line="360" w:lineRule="auto"/>
        <w:jc w:val="both"/>
        <w:rPr>
          <w:rFonts w:ascii="Times New Roman" w:hAnsi="Times New Roman" w:cs="Times New Roman"/>
          <w:sz w:val="24"/>
          <w:szCs w:val="24"/>
          <w:lang w:val="en-ZA"/>
        </w:rPr>
      </w:pPr>
      <w:r w:rsidRPr="007A4338">
        <w:rPr>
          <w:rFonts w:ascii="Times New Roman" w:hAnsi="Times New Roman" w:cs="Times New Roman"/>
          <w:sz w:val="24"/>
          <w:szCs w:val="24"/>
          <w:lang w:val="en-ZA"/>
        </w:rPr>
        <w:t xml:space="preserve">The FFC reported that conditional grants would continue to experience positive, but very low, real growth. </w:t>
      </w:r>
      <w:r w:rsidR="00031499" w:rsidRPr="007A4338">
        <w:rPr>
          <w:rFonts w:ascii="Times New Roman" w:hAnsi="Times New Roman" w:cs="Times New Roman"/>
          <w:sz w:val="24"/>
          <w:szCs w:val="24"/>
          <w:lang w:val="en-ZA"/>
        </w:rPr>
        <w:t>I</w:t>
      </w:r>
      <w:r w:rsidR="00031499" w:rsidRPr="007A4338">
        <w:rPr>
          <w:rFonts w:ascii="Times New Roman" w:hAnsi="Times New Roman" w:cs="Times New Roman"/>
          <w:sz w:val="24"/>
          <w:szCs w:val="24"/>
        </w:rPr>
        <w:t>t</w:t>
      </w:r>
      <w:r w:rsidRPr="007A4338">
        <w:rPr>
          <w:rFonts w:ascii="Times New Roman" w:hAnsi="Times New Roman" w:cs="Times New Roman"/>
          <w:sz w:val="24"/>
          <w:szCs w:val="24"/>
          <w:lang w:val="en-ZA"/>
        </w:rPr>
        <w:t xml:space="preserve"> further welcomed the intention to introduce performance incentives within the Municipal Infrastructure Grant (MIG) for intermediate cities and within the Public Transport Network Grant, as this was in line with its previous recommendations. The FFC emphasised that incentives should be based on clearly defined, but differentiated, performance indicators. It was of the view that municipalities needed to improve their revenue management, billing and debt management systems, impose cost reflective tariffs, and avoid incidences of underspending as well as inefficient procurement processes. </w:t>
      </w:r>
    </w:p>
    <w:p w14:paraId="1746F6F9" w14:textId="77777777" w:rsidR="00591737" w:rsidRPr="007A4338" w:rsidRDefault="00591737" w:rsidP="007A4338">
      <w:pPr>
        <w:spacing w:line="360" w:lineRule="auto"/>
        <w:jc w:val="both"/>
        <w:rPr>
          <w:rFonts w:ascii="Times New Roman" w:hAnsi="Times New Roman" w:cs="Times New Roman"/>
          <w:sz w:val="24"/>
          <w:szCs w:val="24"/>
          <w:lang w:val="en-ZA"/>
        </w:rPr>
      </w:pPr>
    </w:p>
    <w:p w14:paraId="187D7019"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Findings </w:t>
      </w:r>
    </w:p>
    <w:p w14:paraId="1F42270E"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47E111DD" w14:textId="77777777" w:rsidR="00591737" w:rsidRPr="007A4338" w:rsidRDefault="0059173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Committee made the following findings during its deliberations with stakeholders on the </w:t>
      </w:r>
      <w:r w:rsidR="008F7C4A" w:rsidRPr="007A4338">
        <w:rPr>
          <w:rFonts w:ascii="Times New Roman" w:eastAsia="Times New Roman" w:hAnsi="Times New Roman" w:cs="Times New Roman"/>
          <w:color w:val="000000"/>
          <w:spacing w:val="6"/>
          <w:sz w:val="24"/>
          <w:szCs w:val="24"/>
          <w:lang w:val="en-ZA" w:eastAsia="en-GB"/>
        </w:rPr>
        <w:t xml:space="preserve">2017 Division of Revenue Amendment </w:t>
      </w:r>
      <w:r w:rsidRPr="007A4338">
        <w:rPr>
          <w:rFonts w:ascii="Times New Roman" w:eastAsia="Times New Roman" w:hAnsi="Times New Roman" w:cs="Times New Roman"/>
          <w:color w:val="000000"/>
          <w:spacing w:val="6"/>
          <w:sz w:val="24"/>
          <w:szCs w:val="24"/>
          <w:lang w:val="en-ZA" w:eastAsia="en-GB"/>
        </w:rPr>
        <w:t xml:space="preserve">Bill: </w:t>
      </w:r>
    </w:p>
    <w:p w14:paraId="20771398" w14:textId="77777777" w:rsidR="00591737" w:rsidRPr="007A4338" w:rsidRDefault="0059173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13376C90" w14:textId="77777777" w:rsidR="00591737" w:rsidRPr="007A4338" w:rsidRDefault="00302087" w:rsidP="007A4338">
      <w:pPr>
        <w:pStyle w:val="ListParagraph"/>
        <w:numPr>
          <w:ilvl w:val="1"/>
          <w:numId w:val="13"/>
        </w:numPr>
        <w:spacing w:after="0" w:line="360" w:lineRule="auto"/>
        <w:ind w:left="630" w:hanging="63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Committee welcomes the </w:t>
      </w:r>
      <w:r w:rsidR="003631C0" w:rsidRPr="007A4338">
        <w:rPr>
          <w:rFonts w:ascii="Times New Roman" w:eastAsia="Times New Roman" w:hAnsi="Times New Roman" w:cs="Times New Roman"/>
          <w:color w:val="000000"/>
          <w:spacing w:val="6"/>
          <w:sz w:val="24"/>
          <w:szCs w:val="24"/>
          <w:lang w:val="en-ZA" w:eastAsia="en-GB"/>
        </w:rPr>
        <w:t xml:space="preserve">reprioritisation </w:t>
      </w:r>
      <w:r w:rsidRPr="007A4338">
        <w:rPr>
          <w:rFonts w:ascii="Times New Roman" w:eastAsia="Times New Roman" w:hAnsi="Times New Roman" w:cs="Times New Roman"/>
          <w:color w:val="000000"/>
          <w:spacing w:val="6"/>
          <w:sz w:val="24"/>
          <w:szCs w:val="24"/>
          <w:lang w:val="en-ZA" w:eastAsia="en-GB"/>
        </w:rPr>
        <w:t>of R265 million to</w:t>
      </w:r>
      <w:r w:rsidR="003631C0" w:rsidRPr="007A4338">
        <w:rPr>
          <w:rFonts w:ascii="Times New Roman" w:eastAsia="Times New Roman" w:hAnsi="Times New Roman" w:cs="Times New Roman"/>
          <w:color w:val="000000"/>
          <w:spacing w:val="6"/>
          <w:sz w:val="24"/>
          <w:szCs w:val="24"/>
          <w:lang w:val="en-ZA" w:eastAsia="en-GB"/>
        </w:rPr>
        <w:t>wards</w:t>
      </w:r>
      <w:r w:rsidRPr="007A4338">
        <w:rPr>
          <w:rFonts w:ascii="Times New Roman" w:eastAsia="Times New Roman" w:hAnsi="Times New Roman" w:cs="Times New Roman"/>
          <w:color w:val="000000"/>
          <w:spacing w:val="6"/>
          <w:sz w:val="24"/>
          <w:szCs w:val="24"/>
          <w:lang w:val="en-ZA" w:eastAsia="en-GB"/>
        </w:rPr>
        <w:t xml:space="preserve"> the bucket eradication programme to allow the Department of Water and Sanitation to continue </w:t>
      </w:r>
      <w:r w:rsidR="005A2E24" w:rsidRPr="007A4338">
        <w:rPr>
          <w:rFonts w:ascii="Times New Roman" w:eastAsia="Times New Roman" w:hAnsi="Times New Roman" w:cs="Times New Roman"/>
          <w:color w:val="000000"/>
          <w:spacing w:val="6"/>
          <w:sz w:val="24"/>
          <w:szCs w:val="24"/>
          <w:lang w:val="en-ZA" w:eastAsia="en-GB"/>
        </w:rPr>
        <w:t xml:space="preserve">with the </w:t>
      </w:r>
      <w:r w:rsidRPr="007A4338">
        <w:rPr>
          <w:rFonts w:ascii="Times New Roman" w:eastAsia="Times New Roman" w:hAnsi="Times New Roman" w:cs="Times New Roman"/>
          <w:color w:val="000000"/>
          <w:spacing w:val="6"/>
          <w:sz w:val="24"/>
          <w:szCs w:val="24"/>
          <w:lang w:val="en-ZA" w:eastAsia="en-GB"/>
        </w:rPr>
        <w:t xml:space="preserve">bucket eradication projects that the department had already identified and committed to implementing. The Committee views the bucket eradication programme as critical to improving the quality of life of South Africans. </w:t>
      </w:r>
    </w:p>
    <w:p w14:paraId="504C8895" w14:textId="77777777" w:rsidR="00591737" w:rsidRPr="007A4338" w:rsidRDefault="00591737" w:rsidP="007A4338">
      <w:pPr>
        <w:pStyle w:val="ListParagraph"/>
        <w:spacing w:line="360" w:lineRule="auto"/>
        <w:rPr>
          <w:rFonts w:ascii="Times New Roman" w:eastAsia="Times New Roman" w:hAnsi="Times New Roman" w:cs="Times New Roman"/>
          <w:color w:val="000000"/>
          <w:spacing w:val="6"/>
          <w:sz w:val="24"/>
          <w:szCs w:val="24"/>
          <w:lang w:val="en-ZA" w:eastAsia="en-GB"/>
        </w:rPr>
      </w:pPr>
    </w:p>
    <w:p w14:paraId="2320A5C8" w14:textId="77777777" w:rsidR="00591737" w:rsidRPr="007A4338" w:rsidRDefault="00302087" w:rsidP="007A4338">
      <w:pPr>
        <w:pStyle w:val="ListParagraph"/>
        <w:numPr>
          <w:ilvl w:val="1"/>
          <w:numId w:val="13"/>
        </w:numPr>
        <w:spacing w:after="0" w:line="360" w:lineRule="auto"/>
        <w:ind w:left="630" w:hanging="63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Committee remains concerned about the capacity of national, provincial and local spheres of government to spend infrastructure </w:t>
      </w:r>
      <w:r w:rsidR="008F7C4A" w:rsidRPr="007A4338">
        <w:rPr>
          <w:rFonts w:ascii="Times New Roman" w:eastAsia="Times New Roman" w:hAnsi="Times New Roman" w:cs="Times New Roman"/>
          <w:color w:val="000000"/>
          <w:spacing w:val="6"/>
          <w:sz w:val="24"/>
          <w:szCs w:val="24"/>
          <w:lang w:val="en-ZA" w:eastAsia="en-GB"/>
        </w:rPr>
        <w:t>funding</w:t>
      </w:r>
      <w:r w:rsidRPr="007A4338">
        <w:rPr>
          <w:rFonts w:ascii="Times New Roman" w:eastAsia="Times New Roman" w:hAnsi="Times New Roman" w:cs="Times New Roman"/>
          <w:color w:val="000000"/>
          <w:spacing w:val="6"/>
          <w:sz w:val="24"/>
          <w:szCs w:val="24"/>
          <w:lang w:val="en-ZA" w:eastAsia="en-GB"/>
        </w:rPr>
        <w:t xml:space="preserve"> that has led to reduced</w:t>
      </w:r>
      <w:r w:rsidR="008F7C4A" w:rsidRPr="007A4338">
        <w:rPr>
          <w:rFonts w:ascii="Times New Roman" w:eastAsia="Times New Roman" w:hAnsi="Times New Roman" w:cs="Times New Roman"/>
          <w:color w:val="000000"/>
          <w:spacing w:val="6"/>
          <w:sz w:val="24"/>
          <w:szCs w:val="24"/>
          <w:lang w:val="en-ZA" w:eastAsia="en-GB"/>
        </w:rPr>
        <w:t xml:space="preserve"> </w:t>
      </w:r>
      <w:r w:rsidRPr="007A4338">
        <w:rPr>
          <w:rFonts w:ascii="Times New Roman" w:eastAsia="Times New Roman" w:hAnsi="Times New Roman" w:cs="Times New Roman"/>
          <w:color w:val="000000"/>
          <w:spacing w:val="6"/>
          <w:sz w:val="24"/>
          <w:szCs w:val="24"/>
          <w:lang w:val="en-ZA" w:eastAsia="en-GB"/>
        </w:rPr>
        <w:t xml:space="preserve">or reprioritised allocations. </w:t>
      </w:r>
      <w:r w:rsidR="00712D14" w:rsidRPr="007A4338">
        <w:rPr>
          <w:rFonts w:ascii="Times New Roman" w:eastAsia="Times New Roman" w:hAnsi="Times New Roman" w:cs="Times New Roman"/>
          <w:color w:val="000000"/>
          <w:spacing w:val="6"/>
          <w:sz w:val="24"/>
          <w:szCs w:val="24"/>
          <w:lang w:val="en-ZA" w:eastAsia="en-GB"/>
        </w:rPr>
        <w:t xml:space="preserve">Of particular concern </w:t>
      </w:r>
      <w:r w:rsidR="000D5CF5" w:rsidRPr="007A4338">
        <w:rPr>
          <w:rFonts w:ascii="Times New Roman" w:eastAsia="Times New Roman" w:hAnsi="Times New Roman" w:cs="Times New Roman"/>
          <w:color w:val="000000"/>
          <w:spacing w:val="6"/>
          <w:sz w:val="24"/>
          <w:szCs w:val="24"/>
          <w:lang w:val="en-ZA" w:eastAsia="en-GB"/>
        </w:rPr>
        <w:t xml:space="preserve">is </w:t>
      </w:r>
      <w:r w:rsidR="00712D14" w:rsidRPr="007A4338">
        <w:rPr>
          <w:rFonts w:ascii="Times New Roman" w:eastAsia="Times New Roman" w:hAnsi="Times New Roman" w:cs="Times New Roman"/>
          <w:color w:val="000000"/>
          <w:spacing w:val="6"/>
          <w:sz w:val="24"/>
          <w:szCs w:val="24"/>
          <w:lang w:val="en-ZA" w:eastAsia="en-GB"/>
        </w:rPr>
        <w:t>that R415 million in unspent funds ha</w:t>
      </w:r>
      <w:r w:rsidR="005A2E24" w:rsidRPr="007A4338">
        <w:rPr>
          <w:rFonts w:ascii="Times New Roman" w:eastAsia="Times New Roman" w:hAnsi="Times New Roman" w:cs="Times New Roman"/>
          <w:color w:val="000000"/>
          <w:spacing w:val="6"/>
          <w:sz w:val="24"/>
          <w:szCs w:val="24"/>
          <w:lang w:val="en-ZA" w:eastAsia="en-GB"/>
        </w:rPr>
        <w:t>ve</w:t>
      </w:r>
      <w:r w:rsidR="00712D14" w:rsidRPr="007A4338">
        <w:rPr>
          <w:rFonts w:ascii="Times New Roman" w:eastAsia="Times New Roman" w:hAnsi="Times New Roman" w:cs="Times New Roman"/>
          <w:color w:val="000000"/>
          <w:spacing w:val="6"/>
          <w:sz w:val="24"/>
          <w:szCs w:val="24"/>
          <w:lang w:val="en-ZA" w:eastAsia="en-GB"/>
        </w:rPr>
        <w:t xml:space="preserve"> been declared as savings on the (indirect) school infrastructure backlogs grant due to the poor spending performance. </w:t>
      </w:r>
      <w:r w:rsidRPr="007A4338">
        <w:rPr>
          <w:rFonts w:ascii="Times New Roman" w:eastAsia="Times New Roman" w:hAnsi="Times New Roman" w:cs="Times New Roman"/>
          <w:color w:val="000000"/>
          <w:spacing w:val="6"/>
          <w:sz w:val="24"/>
          <w:szCs w:val="24"/>
          <w:lang w:val="en-ZA" w:eastAsia="en-GB"/>
        </w:rPr>
        <w:t>The Committee maintains that under expenditure on infrastructure allocations hampers economic growth and undermines the achievement of th</w:t>
      </w:r>
      <w:r w:rsidR="00591737" w:rsidRPr="007A4338">
        <w:rPr>
          <w:rFonts w:ascii="Times New Roman" w:eastAsia="Times New Roman" w:hAnsi="Times New Roman" w:cs="Times New Roman"/>
          <w:color w:val="000000"/>
          <w:spacing w:val="6"/>
          <w:sz w:val="24"/>
          <w:szCs w:val="24"/>
          <w:lang w:val="en-ZA" w:eastAsia="en-GB"/>
        </w:rPr>
        <w:t>e country’s developmental goals.</w:t>
      </w:r>
    </w:p>
    <w:p w14:paraId="3684A17B" w14:textId="77777777" w:rsidR="00591737" w:rsidRPr="007A4338" w:rsidRDefault="00591737" w:rsidP="007A4338">
      <w:pPr>
        <w:spacing w:line="360" w:lineRule="auto"/>
        <w:rPr>
          <w:rFonts w:ascii="Times New Roman" w:eastAsia="Times New Roman" w:hAnsi="Times New Roman" w:cs="Times New Roman"/>
          <w:color w:val="000000"/>
          <w:spacing w:val="6"/>
          <w:sz w:val="24"/>
          <w:szCs w:val="24"/>
          <w:lang w:val="en-ZA" w:eastAsia="en-GB"/>
        </w:rPr>
      </w:pPr>
    </w:p>
    <w:p w14:paraId="1933AB86" w14:textId="77777777" w:rsidR="000D5CF5" w:rsidRPr="007A4338" w:rsidRDefault="000D5CF5" w:rsidP="007A4338">
      <w:pPr>
        <w:pStyle w:val="ListParagraph"/>
        <w:numPr>
          <w:ilvl w:val="1"/>
          <w:numId w:val="13"/>
        </w:numPr>
        <w:spacing w:after="0" w:line="360" w:lineRule="auto"/>
        <w:ind w:left="630" w:hanging="63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Committee notes that non-compliance </w:t>
      </w:r>
      <w:r w:rsidR="005A2E24" w:rsidRPr="007A4338">
        <w:rPr>
          <w:rFonts w:ascii="Times New Roman" w:eastAsia="Times New Roman" w:hAnsi="Times New Roman" w:cs="Times New Roman"/>
          <w:color w:val="000000"/>
          <w:spacing w:val="6"/>
          <w:sz w:val="24"/>
          <w:szCs w:val="24"/>
          <w:lang w:val="en-ZA" w:eastAsia="en-GB"/>
        </w:rPr>
        <w:t>with</w:t>
      </w:r>
      <w:r w:rsidRPr="007A4338">
        <w:rPr>
          <w:rFonts w:ascii="Times New Roman" w:eastAsia="Times New Roman" w:hAnsi="Times New Roman" w:cs="Times New Roman"/>
          <w:color w:val="000000"/>
          <w:spacing w:val="6"/>
          <w:sz w:val="24"/>
          <w:szCs w:val="24"/>
          <w:lang w:val="en-ZA" w:eastAsia="en-GB"/>
        </w:rPr>
        <w:t xml:space="preserve"> the Municipal Finance Management Act (MFMA) and the Public Finance Management Act (PFMA) remains a challenge across all spheres of government (i.e. payment to suppliers within 30 days) and </w:t>
      </w:r>
      <w:r w:rsidRPr="007A4338">
        <w:rPr>
          <w:rFonts w:ascii="Times New Roman" w:eastAsia="Times New Roman" w:hAnsi="Times New Roman" w:cs="Times New Roman"/>
          <w:color w:val="000000"/>
          <w:spacing w:val="6"/>
          <w:sz w:val="24"/>
          <w:szCs w:val="24"/>
          <w:lang w:val="en-ZA" w:eastAsia="en-GB"/>
        </w:rPr>
        <w:lastRenderedPageBreak/>
        <w:t>threatens the viability of businesses</w:t>
      </w:r>
      <w:r w:rsidR="003038EF" w:rsidRPr="007A4338">
        <w:rPr>
          <w:rFonts w:ascii="Times New Roman" w:eastAsia="Times New Roman" w:hAnsi="Times New Roman" w:cs="Times New Roman"/>
          <w:color w:val="000000"/>
          <w:spacing w:val="6"/>
          <w:sz w:val="24"/>
          <w:szCs w:val="24"/>
          <w:lang w:val="en-ZA" w:eastAsia="en-GB"/>
        </w:rPr>
        <w:t>, especially small, medium and micro enterprises and co-operatives</w:t>
      </w:r>
      <w:r w:rsidRPr="007A4338">
        <w:rPr>
          <w:rFonts w:ascii="Times New Roman" w:eastAsia="Times New Roman" w:hAnsi="Times New Roman" w:cs="Times New Roman"/>
          <w:color w:val="000000"/>
          <w:spacing w:val="6"/>
          <w:sz w:val="24"/>
          <w:szCs w:val="24"/>
          <w:lang w:val="en-ZA" w:eastAsia="en-GB"/>
        </w:rPr>
        <w:t xml:space="preserve">. In addition, past initiatives on reversing the culture of non-payment have not achieved the desired results. The Committee views compliance with legislation as non-negotiable. </w:t>
      </w:r>
    </w:p>
    <w:p w14:paraId="6E48043A" w14:textId="77777777" w:rsidR="000D5CF5" w:rsidRPr="007A4338" w:rsidRDefault="000D5CF5" w:rsidP="007A4338">
      <w:pPr>
        <w:pStyle w:val="ListParagraph"/>
        <w:spacing w:line="360" w:lineRule="auto"/>
        <w:rPr>
          <w:rFonts w:ascii="Times New Roman" w:eastAsia="Times New Roman" w:hAnsi="Times New Roman" w:cs="Times New Roman"/>
          <w:color w:val="000000"/>
          <w:spacing w:val="6"/>
          <w:sz w:val="24"/>
          <w:szCs w:val="24"/>
          <w:lang w:val="en-ZA" w:eastAsia="en-GB"/>
        </w:rPr>
      </w:pPr>
    </w:p>
    <w:p w14:paraId="5BD70906" w14:textId="77777777" w:rsidR="00591737" w:rsidRPr="007A4338" w:rsidRDefault="00302087" w:rsidP="007A4338">
      <w:pPr>
        <w:pStyle w:val="ListParagraph"/>
        <w:numPr>
          <w:ilvl w:val="1"/>
          <w:numId w:val="13"/>
        </w:numPr>
        <w:spacing w:after="0" w:line="360" w:lineRule="auto"/>
        <w:ind w:left="630" w:hanging="63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Committee notes with serious concern National Treasury’s submission that some municipalities are failing at effectively delivering services, billing for services and collecting the revenue due. In addition, the governance at these municipalities have been weak with inadequate leadership and guidance.  The Committee welcomes proposals for a collective and coordinated approach that is consistently applied by all spheres of government aimed at addressing local government service delivery challenges and maladministration. The Committee emphasise</w:t>
      </w:r>
      <w:r w:rsidR="000B4CEC" w:rsidRPr="007A4338">
        <w:rPr>
          <w:rFonts w:ascii="Times New Roman" w:eastAsia="Times New Roman" w:hAnsi="Times New Roman" w:cs="Times New Roman"/>
          <w:color w:val="000000"/>
          <w:spacing w:val="6"/>
          <w:sz w:val="24"/>
          <w:szCs w:val="24"/>
          <w:lang w:val="en-ZA" w:eastAsia="en-GB"/>
        </w:rPr>
        <w:t>s</w:t>
      </w:r>
      <w:r w:rsidRPr="007A4338">
        <w:rPr>
          <w:rFonts w:ascii="Times New Roman" w:eastAsia="Times New Roman" w:hAnsi="Times New Roman" w:cs="Times New Roman"/>
          <w:color w:val="000000"/>
          <w:spacing w:val="6"/>
          <w:sz w:val="24"/>
          <w:szCs w:val="24"/>
          <w:lang w:val="en-ZA" w:eastAsia="en-GB"/>
        </w:rPr>
        <w:t xml:space="preserve"> that focus must be all-</w:t>
      </w:r>
      <w:r w:rsidR="005A2E24" w:rsidRPr="007A4338">
        <w:rPr>
          <w:rFonts w:ascii="Times New Roman" w:eastAsia="Times New Roman" w:hAnsi="Times New Roman" w:cs="Times New Roman"/>
          <w:color w:val="000000"/>
          <w:spacing w:val="6"/>
          <w:sz w:val="24"/>
          <w:szCs w:val="24"/>
          <w:lang w:val="en-ZA" w:eastAsia="en-GB"/>
        </w:rPr>
        <w:t>en</w:t>
      </w:r>
      <w:r w:rsidRPr="007A4338">
        <w:rPr>
          <w:rFonts w:ascii="Times New Roman" w:eastAsia="Times New Roman" w:hAnsi="Times New Roman" w:cs="Times New Roman"/>
          <w:color w:val="000000"/>
          <w:spacing w:val="6"/>
          <w:sz w:val="24"/>
          <w:szCs w:val="24"/>
          <w:lang w:val="en-ZA" w:eastAsia="en-GB"/>
        </w:rPr>
        <w:t xml:space="preserve">compassing and directed towards municipal financial sustainability. </w:t>
      </w:r>
    </w:p>
    <w:p w14:paraId="63821101" w14:textId="77777777" w:rsidR="00956298" w:rsidRPr="007A4338" w:rsidRDefault="00956298" w:rsidP="007A4338">
      <w:pPr>
        <w:pStyle w:val="ListParagraph"/>
        <w:spacing w:line="360" w:lineRule="auto"/>
        <w:rPr>
          <w:rFonts w:ascii="Times New Roman" w:eastAsia="Times New Roman" w:hAnsi="Times New Roman" w:cs="Times New Roman"/>
          <w:color w:val="000000"/>
          <w:spacing w:val="6"/>
          <w:sz w:val="24"/>
          <w:szCs w:val="24"/>
          <w:lang w:val="en-ZA" w:eastAsia="en-GB"/>
        </w:rPr>
      </w:pPr>
    </w:p>
    <w:p w14:paraId="0FD34DCD" w14:textId="77777777" w:rsidR="00956298" w:rsidRPr="007A4338" w:rsidRDefault="00956298" w:rsidP="007A4338">
      <w:pPr>
        <w:pStyle w:val="ListParagraph"/>
        <w:numPr>
          <w:ilvl w:val="1"/>
          <w:numId w:val="13"/>
        </w:numPr>
        <w:spacing w:after="0" w:line="360" w:lineRule="auto"/>
        <w:ind w:left="630" w:hanging="63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Committee welcomes and supports the Department of Cooperative Governance submission which indicates various collaboration and co-ordination efforts underway in supporting local government. However, the Committee is of the view that detailed timelines and performance targets should be embedded in all collaborative efforts.  </w:t>
      </w:r>
    </w:p>
    <w:p w14:paraId="385C5D4E" w14:textId="77777777" w:rsidR="00956298" w:rsidRPr="007A4338" w:rsidRDefault="00956298" w:rsidP="007A4338">
      <w:pPr>
        <w:pStyle w:val="ListParagraph"/>
        <w:spacing w:after="0" w:line="360" w:lineRule="auto"/>
        <w:ind w:left="630"/>
        <w:jc w:val="both"/>
        <w:rPr>
          <w:rFonts w:ascii="Times New Roman" w:eastAsia="Times New Roman" w:hAnsi="Times New Roman" w:cs="Times New Roman"/>
          <w:color w:val="000000"/>
          <w:spacing w:val="6"/>
          <w:sz w:val="24"/>
          <w:szCs w:val="24"/>
          <w:lang w:val="en-ZA" w:eastAsia="en-GB"/>
        </w:rPr>
      </w:pPr>
    </w:p>
    <w:p w14:paraId="4A745D24" w14:textId="77777777" w:rsidR="00956298" w:rsidRPr="007A4338" w:rsidRDefault="00956298" w:rsidP="007A4338">
      <w:pPr>
        <w:pStyle w:val="ListParagraph"/>
        <w:numPr>
          <w:ilvl w:val="1"/>
          <w:numId w:val="13"/>
        </w:numPr>
        <w:spacing w:after="0" w:line="360" w:lineRule="auto"/>
        <w:ind w:left="630" w:hanging="63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Committee notes that the Department of Cooperative Governance supports proposed amendments to the Division of Revenue Amendment Bill</w:t>
      </w:r>
      <w:r w:rsidR="008C4341" w:rsidRPr="007A4338">
        <w:rPr>
          <w:rFonts w:ascii="Times New Roman" w:eastAsia="Times New Roman" w:hAnsi="Times New Roman" w:cs="Times New Roman"/>
          <w:color w:val="000000"/>
          <w:spacing w:val="6"/>
          <w:sz w:val="24"/>
          <w:szCs w:val="24"/>
          <w:lang w:val="en-ZA" w:eastAsia="en-GB"/>
        </w:rPr>
        <w:t>,</w:t>
      </w:r>
      <w:r w:rsidRPr="007A4338">
        <w:rPr>
          <w:rFonts w:ascii="Times New Roman" w:eastAsia="Times New Roman" w:hAnsi="Times New Roman" w:cs="Times New Roman"/>
          <w:color w:val="000000"/>
          <w:spacing w:val="6"/>
          <w:sz w:val="24"/>
          <w:szCs w:val="24"/>
          <w:lang w:val="en-ZA" w:eastAsia="en-GB"/>
        </w:rPr>
        <w:t xml:space="preserve"> including adjustments to provincial and local government conditional grants. The Committee views the working together of state departments as critical in government’s outcomes approach.  </w:t>
      </w:r>
    </w:p>
    <w:p w14:paraId="6D2605D1"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66BA17A9" w14:textId="77777777" w:rsidR="00302087" w:rsidRPr="007A4338" w:rsidRDefault="00302087" w:rsidP="007A4338">
      <w:pPr>
        <w:spacing w:after="0" w:line="360" w:lineRule="auto"/>
        <w:ind w:left="360" w:hanging="360"/>
        <w:jc w:val="both"/>
        <w:rPr>
          <w:rFonts w:ascii="Times New Roman" w:eastAsia="Times New Roman" w:hAnsi="Times New Roman" w:cs="Times New Roman"/>
          <w:b/>
          <w:color w:val="000000"/>
          <w:spacing w:val="6"/>
          <w:sz w:val="24"/>
          <w:szCs w:val="24"/>
          <w:lang w:val="en-ZA" w:eastAsia="en-GB"/>
        </w:rPr>
      </w:pPr>
    </w:p>
    <w:p w14:paraId="0C2AAE9A" w14:textId="77777777" w:rsidR="00302087" w:rsidRPr="007A4338" w:rsidRDefault="00302087" w:rsidP="007A4338">
      <w:pPr>
        <w:numPr>
          <w:ilvl w:val="0"/>
          <w:numId w:val="1"/>
        </w:numPr>
        <w:spacing w:after="0" w:line="360" w:lineRule="auto"/>
        <w:ind w:left="567" w:hanging="567"/>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Recommendations</w:t>
      </w:r>
    </w:p>
    <w:p w14:paraId="5C78F541"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27659801" w14:textId="77777777" w:rsidR="00712D14" w:rsidRPr="007A4338" w:rsidRDefault="00712D14"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Standing Committee on Appropriations, having considered the submissions from stakeholders on the 2017 Division of Revenue Amendment Bill, recommends as follows:</w:t>
      </w:r>
    </w:p>
    <w:p w14:paraId="7F852C96" w14:textId="77777777" w:rsidR="00712D14" w:rsidRPr="007A4338" w:rsidRDefault="00712D14"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330C689C" w14:textId="77777777" w:rsidR="00302087" w:rsidRPr="007A4338" w:rsidRDefault="00591737" w:rsidP="007A4338">
      <w:pPr>
        <w:spacing w:after="0" w:line="360" w:lineRule="auto"/>
        <w:ind w:left="567" w:hanging="567"/>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10</w:t>
      </w:r>
      <w:r w:rsidR="00302087" w:rsidRPr="007A4338">
        <w:rPr>
          <w:rFonts w:ascii="Times New Roman" w:eastAsia="Times New Roman" w:hAnsi="Times New Roman" w:cs="Times New Roman"/>
          <w:b/>
          <w:color w:val="000000"/>
          <w:spacing w:val="6"/>
          <w:sz w:val="24"/>
          <w:szCs w:val="24"/>
          <w:lang w:val="en-ZA" w:eastAsia="en-GB"/>
        </w:rPr>
        <w:t>.1</w:t>
      </w:r>
      <w:r w:rsidR="00302087" w:rsidRPr="007A4338">
        <w:rPr>
          <w:rFonts w:ascii="Times New Roman" w:eastAsia="Times New Roman" w:hAnsi="Times New Roman" w:cs="Times New Roman"/>
          <w:color w:val="000000"/>
          <w:spacing w:val="6"/>
          <w:sz w:val="24"/>
          <w:szCs w:val="24"/>
          <w:lang w:val="en-ZA" w:eastAsia="en-GB"/>
        </w:rPr>
        <w:tab/>
        <w:t xml:space="preserve">That the Minister of Finance should ensure that National Treasury </w:t>
      </w:r>
      <w:r w:rsidR="00BA5440" w:rsidRPr="007A4338">
        <w:rPr>
          <w:rFonts w:ascii="Times New Roman" w:eastAsia="Times New Roman" w:hAnsi="Times New Roman" w:cs="Times New Roman"/>
          <w:color w:val="000000"/>
          <w:spacing w:val="6"/>
          <w:sz w:val="24"/>
          <w:szCs w:val="24"/>
          <w:lang w:val="en-ZA" w:eastAsia="en-GB"/>
        </w:rPr>
        <w:t>effect</w:t>
      </w:r>
      <w:r w:rsidR="00302087" w:rsidRPr="007A4338">
        <w:rPr>
          <w:rFonts w:ascii="Times New Roman" w:eastAsia="Times New Roman" w:hAnsi="Times New Roman" w:cs="Times New Roman"/>
          <w:color w:val="000000"/>
          <w:spacing w:val="6"/>
          <w:sz w:val="24"/>
          <w:szCs w:val="24"/>
          <w:lang w:val="en-ZA" w:eastAsia="en-GB"/>
        </w:rPr>
        <w:t xml:space="preserve"> the proposed corrections to the following conditional grant frameworks that were submitted together with the Bill, in accordance with section 16(4) of the Division of Revenue Act, 201</w:t>
      </w:r>
      <w:r w:rsidR="00BA5440" w:rsidRPr="007A4338">
        <w:rPr>
          <w:rFonts w:ascii="Times New Roman" w:eastAsia="Times New Roman" w:hAnsi="Times New Roman" w:cs="Times New Roman"/>
          <w:color w:val="000000"/>
          <w:spacing w:val="6"/>
          <w:sz w:val="24"/>
          <w:szCs w:val="24"/>
          <w:lang w:val="en-ZA" w:eastAsia="en-GB"/>
        </w:rPr>
        <w:t>7</w:t>
      </w:r>
      <w:r w:rsidR="00302087" w:rsidRPr="007A4338">
        <w:rPr>
          <w:rFonts w:ascii="Times New Roman" w:eastAsia="Times New Roman" w:hAnsi="Times New Roman" w:cs="Times New Roman"/>
          <w:color w:val="000000"/>
          <w:spacing w:val="6"/>
          <w:sz w:val="24"/>
          <w:szCs w:val="24"/>
          <w:lang w:val="en-ZA" w:eastAsia="en-GB"/>
        </w:rPr>
        <w:t xml:space="preserve">: </w:t>
      </w:r>
    </w:p>
    <w:p w14:paraId="7E15F4B8" w14:textId="77777777" w:rsidR="00302087" w:rsidRPr="007A4338" w:rsidRDefault="00302087" w:rsidP="007A4338">
      <w:pPr>
        <w:numPr>
          <w:ilvl w:val="0"/>
          <w:numId w:val="7"/>
        </w:numPr>
        <w:spacing w:after="0" w:line="360" w:lineRule="auto"/>
        <w:ind w:left="11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lastRenderedPageBreak/>
        <w:t>Comprehensive HIV, AIDS and TB grant</w:t>
      </w:r>
      <w:r w:rsidR="00591737" w:rsidRPr="007A4338">
        <w:rPr>
          <w:rFonts w:ascii="Times New Roman" w:eastAsia="Times New Roman" w:hAnsi="Times New Roman" w:cs="Times New Roman"/>
          <w:color w:val="000000"/>
          <w:spacing w:val="6"/>
          <w:sz w:val="24"/>
          <w:szCs w:val="24"/>
          <w:lang w:val="en-ZA" w:eastAsia="en-GB"/>
        </w:rPr>
        <w:t>;</w:t>
      </w:r>
    </w:p>
    <w:p w14:paraId="2B5A450F" w14:textId="77777777" w:rsidR="00302087" w:rsidRPr="007A4338" w:rsidRDefault="00302087" w:rsidP="007A4338">
      <w:pPr>
        <w:numPr>
          <w:ilvl w:val="0"/>
          <w:numId w:val="7"/>
        </w:numPr>
        <w:spacing w:after="0" w:line="360" w:lineRule="auto"/>
        <w:ind w:left="11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Health Professions Development and Training Grant</w:t>
      </w:r>
      <w:r w:rsidR="00591737" w:rsidRPr="007A4338">
        <w:rPr>
          <w:rFonts w:ascii="Times New Roman" w:eastAsia="Times New Roman" w:hAnsi="Times New Roman" w:cs="Times New Roman"/>
          <w:color w:val="000000"/>
          <w:spacing w:val="6"/>
          <w:sz w:val="24"/>
          <w:szCs w:val="24"/>
          <w:lang w:val="en-ZA" w:eastAsia="en-GB"/>
        </w:rPr>
        <w:t>;</w:t>
      </w:r>
    </w:p>
    <w:p w14:paraId="411820FF" w14:textId="77777777" w:rsidR="00302087" w:rsidRPr="007A4338" w:rsidRDefault="00591737" w:rsidP="007A4338">
      <w:pPr>
        <w:numPr>
          <w:ilvl w:val="0"/>
          <w:numId w:val="7"/>
        </w:numPr>
        <w:spacing w:after="0" w:line="360" w:lineRule="auto"/>
        <w:ind w:left="11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National </w:t>
      </w:r>
      <w:r w:rsidR="00302087" w:rsidRPr="007A4338">
        <w:rPr>
          <w:rFonts w:ascii="Times New Roman" w:eastAsia="Times New Roman" w:hAnsi="Times New Roman" w:cs="Times New Roman"/>
          <w:color w:val="000000"/>
          <w:spacing w:val="6"/>
          <w:sz w:val="24"/>
          <w:szCs w:val="24"/>
          <w:lang w:val="en-ZA" w:eastAsia="en-GB"/>
        </w:rPr>
        <w:t>Health Insurance Indirect Grant: Health Professionals Contracting Component</w:t>
      </w:r>
      <w:r w:rsidRPr="007A4338">
        <w:rPr>
          <w:rFonts w:ascii="Times New Roman" w:eastAsia="Times New Roman" w:hAnsi="Times New Roman" w:cs="Times New Roman"/>
          <w:color w:val="000000"/>
          <w:spacing w:val="6"/>
          <w:sz w:val="24"/>
          <w:szCs w:val="24"/>
          <w:lang w:val="en-ZA" w:eastAsia="en-GB"/>
        </w:rPr>
        <w:t>;</w:t>
      </w:r>
    </w:p>
    <w:p w14:paraId="55B6BA97" w14:textId="77777777" w:rsidR="00302087" w:rsidRPr="007A4338" w:rsidRDefault="00302087" w:rsidP="007A4338">
      <w:pPr>
        <w:numPr>
          <w:ilvl w:val="0"/>
          <w:numId w:val="7"/>
        </w:numPr>
        <w:spacing w:after="0" w:line="360" w:lineRule="auto"/>
        <w:ind w:left="11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National Health Insurance Indirect Grant: Ideal Clinics Component</w:t>
      </w:r>
      <w:r w:rsidR="00591737" w:rsidRPr="007A4338">
        <w:rPr>
          <w:rFonts w:ascii="Times New Roman" w:eastAsia="Times New Roman" w:hAnsi="Times New Roman" w:cs="Times New Roman"/>
          <w:color w:val="000000"/>
          <w:spacing w:val="6"/>
          <w:sz w:val="24"/>
          <w:szCs w:val="24"/>
          <w:lang w:val="en-ZA" w:eastAsia="en-GB"/>
        </w:rPr>
        <w:t>;</w:t>
      </w:r>
    </w:p>
    <w:p w14:paraId="5E211888" w14:textId="77777777" w:rsidR="00302087" w:rsidRPr="007A4338" w:rsidRDefault="00302087" w:rsidP="007A4338">
      <w:pPr>
        <w:numPr>
          <w:ilvl w:val="0"/>
          <w:numId w:val="7"/>
        </w:numPr>
        <w:spacing w:after="0" w:line="360" w:lineRule="auto"/>
        <w:ind w:left="11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N</w:t>
      </w:r>
      <w:r w:rsidR="00591737" w:rsidRPr="007A4338">
        <w:rPr>
          <w:rFonts w:ascii="Times New Roman" w:eastAsia="Times New Roman" w:hAnsi="Times New Roman" w:cs="Times New Roman"/>
          <w:color w:val="000000"/>
          <w:spacing w:val="6"/>
          <w:sz w:val="24"/>
          <w:szCs w:val="24"/>
          <w:lang w:val="en-ZA" w:eastAsia="en-GB"/>
        </w:rPr>
        <w:t>ational Tertiary Services Grant; and</w:t>
      </w:r>
    </w:p>
    <w:p w14:paraId="36B705E7" w14:textId="77777777" w:rsidR="00302087" w:rsidRPr="007A4338" w:rsidRDefault="00302087" w:rsidP="007A4338">
      <w:pPr>
        <w:numPr>
          <w:ilvl w:val="0"/>
          <w:numId w:val="7"/>
        </w:numPr>
        <w:spacing w:after="0" w:line="360" w:lineRule="auto"/>
        <w:ind w:left="11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Substance Abuse Treatment Grant</w:t>
      </w:r>
      <w:r w:rsidR="00591737" w:rsidRPr="007A4338">
        <w:rPr>
          <w:rFonts w:ascii="Times New Roman" w:eastAsia="Times New Roman" w:hAnsi="Times New Roman" w:cs="Times New Roman"/>
          <w:color w:val="000000"/>
          <w:spacing w:val="6"/>
          <w:sz w:val="24"/>
          <w:szCs w:val="24"/>
          <w:lang w:val="en-ZA" w:eastAsia="en-GB"/>
        </w:rPr>
        <w:t>.</w:t>
      </w:r>
    </w:p>
    <w:p w14:paraId="266A495C" w14:textId="77777777" w:rsidR="00302087" w:rsidRPr="007A4338" w:rsidRDefault="00302087" w:rsidP="007A4338">
      <w:pPr>
        <w:autoSpaceDE w:val="0"/>
        <w:autoSpaceDN w:val="0"/>
        <w:adjustRightInd w:val="0"/>
        <w:spacing w:after="0" w:line="360" w:lineRule="auto"/>
        <w:ind w:left="567"/>
        <w:contextualSpacing/>
        <w:jc w:val="both"/>
        <w:rPr>
          <w:rFonts w:ascii="Times New Roman" w:eastAsia="Calibri" w:hAnsi="Times New Roman" w:cs="Times New Roman"/>
          <w:color w:val="000000"/>
          <w:spacing w:val="6"/>
          <w:sz w:val="24"/>
          <w:szCs w:val="24"/>
          <w:lang w:val="en-ZA" w:eastAsia="en-GB"/>
        </w:rPr>
      </w:pPr>
    </w:p>
    <w:p w14:paraId="568D0B1D" w14:textId="77777777" w:rsidR="00302087" w:rsidRPr="007A4338" w:rsidRDefault="00302087" w:rsidP="007A4338">
      <w:pPr>
        <w:numPr>
          <w:ilvl w:val="0"/>
          <w:numId w:val="8"/>
        </w:numPr>
        <w:spacing w:after="0" w:line="360" w:lineRule="auto"/>
        <w:jc w:val="both"/>
        <w:rPr>
          <w:rFonts w:ascii="Times New Roman" w:eastAsia="Calibri" w:hAnsi="Times New Roman" w:cs="Times New Roman"/>
          <w:vanish/>
          <w:color w:val="000000"/>
          <w:spacing w:val="6"/>
          <w:sz w:val="24"/>
          <w:szCs w:val="24"/>
          <w:lang w:val="en-ZA" w:eastAsia="en-GB"/>
        </w:rPr>
      </w:pPr>
    </w:p>
    <w:p w14:paraId="7BF03651" w14:textId="77777777" w:rsidR="00302087" w:rsidRPr="007A4338" w:rsidRDefault="00302087" w:rsidP="007A4338">
      <w:pPr>
        <w:numPr>
          <w:ilvl w:val="0"/>
          <w:numId w:val="8"/>
        </w:numPr>
        <w:spacing w:after="0" w:line="360" w:lineRule="auto"/>
        <w:jc w:val="both"/>
        <w:rPr>
          <w:rFonts w:ascii="Times New Roman" w:eastAsia="Calibri" w:hAnsi="Times New Roman" w:cs="Times New Roman"/>
          <w:vanish/>
          <w:color w:val="000000"/>
          <w:spacing w:val="6"/>
          <w:sz w:val="24"/>
          <w:szCs w:val="24"/>
          <w:lang w:val="en-ZA" w:eastAsia="en-GB"/>
        </w:rPr>
      </w:pPr>
    </w:p>
    <w:p w14:paraId="4960B903" w14:textId="77777777" w:rsidR="00302087" w:rsidRPr="007A4338" w:rsidRDefault="00302087" w:rsidP="007A4338">
      <w:pPr>
        <w:numPr>
          <w:ilvl w:val="0"/>
          <w:numId w:val="8"/>
        </w:numPr>
        <w:spacing w:after="0" w:line="360" w:lineRule="auto"/>
        <w:jc w:val="both"/>
        <w:rPr>
          <w:rFonts w:ascii="Times New Roman" w:eastAsia="Calibri" w:hAnsi="Times New Roman" w:cs="Times New Roman"/>
          <w:vanish/>
          <w:color w:val="000000"/>
          <w:spacing w:val="6"/>
          <w:sz w:val="24"/>
          <w:szCs w:val="24"/>
          <w:lang w:val="en-ZA" w:eastAsia="en-GB"/>
        </w:rPr>
      </w:pPr>
    </w:p>
    <w:p w14:paraId="1EA67E09" w14:textId="77777777" w:rsidR="00302087" w:rsidRPr="007A4338" w:rsidRDefault="00302087" w:rsidP="007A4338">
      <w:pPr>
        <w:numPr>
          <w:ilvl w:val="1"/>
          <w:numId w:val="8"/>
        </w:numPr>
        <w:spacing w:after="0" w:line="360" w:lineRule="auto"/>
        <w:jc w:val="both"/>
        <w:rPr>
          <w:rFonts w:ascii="Times New Roman" w:eastAsia="Calibri" w:hAnsi="Times New Roman" w:cs="Times New Roman"/>
          <w:vanish/>
          <w:color w:val="000000"/>
          <w:spacing w:val="6"/>
          <w:sz w:val="24"/>
          <w:szCs w:val="24"/>
          <w:lang w:val="en-ZA" w:eastAsia="en-GB"/>
        </w:rPr>
      </w:pPr>
    </w:p>
    <w:p w14:paraId="743DDFDB" w14:textId="77777777" w:rsidR="00732682" w:rsidRPr="007A4338" w:rsidRDefault="00732682" w:rsidP="007A4338">
      <w:pPr>
        <w:spacing w:after="0" w:line="360" w:lineRule="auto"/>
        <w:ind w:left="540" w:hanging="54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10.2</w:t>
      </w:r>
      <w:r w:rsidRPr="007A4338">
        <w:rPr>
          <w:rFonts w:ascii="Times New Roman" w:eastAsia="Times New Roman" w:hAnsi="Times New Roman" w:cs="Times New Roman"/>
          <w:color w:val="000000"/>
          <w:spacing w:val="6"/>
          <w:sz w:val="24"/>
          <w:szCs w:val="24"/>
          <w:lang w:val="en-ZA" w:eastAsia="en-GB"/>
        </w:rPr>
        <w:tab/>
        <w:t xml:space="preserve">That the Minister of Finance and the Minister of Cooperative Governance and Traditional Affairs should ensure that </w:t>
      </w:r>
      <w:r w:rsidR="00302087" w:rsidRPr="007A4338">
        <w:rPr>
          <w:rFonts w:ascii="Times New Roman" w:eastAsia="Times New Roman" w:hAnsi="Times New Roman" w:cs="Times New Roman"/>
          <w:color w:val="000000"/>
          <w:spacing w:val="6"/>
          <w:sz w:val="24"/>
          <w:szCs w:val="24"/>
          <w:lang w:val="en-ZA" w:eastAsia="en-GB"/>
        </w:rPr>
        <w:t xml:space="preserve">National Treasury and </w:t>
      </w:r>
      <w:r w:rsidR="000D5CF5" w:rsidRPr="007A4338">
        <w:rPr>
          <w:rFonts w:ascii="Times New Roman" w:eastAsia="Times New Roman" w:hAnsi="Times New Roman" w:cs="Times New Roman"/>
          <w:color w:val="000000"/>
          <w:spacing w:val="6"/>
          <w:sz w:val="24"/>
          <w:szCs w:val="24"/>
          <w:lang w:val="en-ZA" w:eastAsia="en-GB"/>
        </w:rPr>
        <w:t>the Department of</w:t>
      </w:r>
      <w:r w:rsidR="00302087" w:rsidRPr="007A4338">
        <w:rPr>
          <w:rFonts w:ascii="Times New Roman" w:eastAsia="Times New Roman" w:hAnsi="Times New Roman" w:cs="Times New Roman"/>
          <w:color w:val="000000"/>
          <w:spacing w:val="6"/>
          <w:sz w:val="24"/>
          <w:szCs w:val="24"/>
          <w:lang w:val="en-ZA" w:eastAsia="en-GB"/>
        </w:rPr>
        <w:t xml:space="preserve"> Cooperative Governance and relevant stakeholders develop and set explicit targets with timelines and submit quarterly reports on:</w:t>
      </w:r>
    </w:p>
    <w:p w14:paraId="04C1C46E" w14:textId="77777777" w:rsidR="00302087" w:rsidRPr="007A4338" w:rsidRDefault="00302087"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Ensuring alignment of funding and functions for district and local municipalities</w:t>
      </w:r>
      <w:r w:rsidR="00591737" w:rsidRPr="007A4338">
        <w:rPr>
          <w:rFonts w:ascii="Times New Roman" w:eastAsia="Times New Roman" w:hAnsi="Times New Roman" w:cs="Times New Roman"/>
          <w:color w:val="000000"/>
          <w:spacing w:val="6"/>
          <w:sz w:val="24"/>
          <w:szCs w:val="24"/>
          <w:lang w:val="en-ZA" w:eastAsia="en-GB"/>
        </w:rPr>
        <w:t>;</w:t>
      </w:r>
    </w:p>
    <w:p w14:paraId="18996AC8" w14:textId="77777777" w:rsidR="00302087" w:rsidRPr="007A4338" w:rsidRDefault="00302087"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Ensuring there are mechanisms that minimise overlaps between the M</w:t>
      </w:r>
      <w:r w:rsidR="0093229E" w:rsidRPr="007A4338">
        <w:rPr>
          <w:rFonts w:ascii="Times New Roman" w:eastAsia="Times New Roman" w:hAnsi="Times New Roman" w:cs="Times New Roman"/>
          <w:color w:val="000000"/>
          <w:spacing w:val="6"/>
          <w:sz w:val="24"/>
          <w:szCs w:val="24"/>
          <w:lang w:val="en-ZA" w:eastAsia="en-GB"/>
        </w:rPr>
        <w:t>unicipal Systems Act</w:t>
      </w:r>
      <w:r w:rsidRPr="007A4338">
        <w:rPr>
          <w:rFonts w:ascii="Times New Roman" w:eastAsia="Times New Roman" w:hAnsi="Times New Roman" w:cs="Times New Roman"/>
          <w:color w:val="000000"/>
          <w:spacing w:val="6"/>
          <w:sz w:val="24"/>
          <w:szCs w:val="24"/>
          <w:lang w:val="en-ZA" w:eastAsia="en-GB"/>
        </w:rPr>
        <w:t xml:space="preserve"> and </w:t>
      </w:r>
      <w:r w:rsidR="0093229E" w:rsidRPr="007A4338">
        <w:rPr>
          <w:rFonts w:ascii="Times New Roman" w:eastAsia="Times New Roman" w:hAnsi="Times New Roman" w:cs="Times New Roman"/>
          <w:color w:val="000000"/>
          <w:spacing w:val="6"/>
          <w:sz w:val="24"/>
          <w:szCs w:val="24"/>
          <w:lang w:val="en-ZA" w:eastAsia="en-GB"/>
        </w:rPr>
        <w:t>the Municipal Finance Management Act</w:t>
      </w:r>
      <w:r w:rsidRPr="007A4338">
        <w:rPr>
          <w:rFonts w:ascii="Times New Roman" w:eastAsia="Times New Roman" w:hAnsi="Times New Roman" w:cs="Times New Roman"/>
          <w:color w:val="000000"/>
          <w:spacing w:val="6"/>
          <w:sz w:val="24"/>
          <w:szCs w:val="24"/>
          <w:lang w:val="en-ZA" w:eastAsia="en-GB"/>
        </w:rPr>
        <w:t xml:space="preserve"> so as </w:t>
      </w:r>
      <w:r w:rsidR="00591737" w:rsidRPr="007A4338">
        <w:rPr>
          <w:rFonts w:ascii="Times New Roman" w:eastAsia="Times New Roman" w:hAnsi="Times New Roman" w:cs="Times New Roman"/>
          <w:color w:val="000000"/>
          <w:spacing w:val="6"/>
          <w:sz w:val="24"/>
          <w:szCs w:val="24"/>
          <w:lang w:val="en-ZA" w:eastAsia="en-GB"/>
        </w:rPr>
        <w:t xml:space="preserve">to allow clear and unambiguous </w:t>
      </w:r>
      <w:r w:rsidRPr="007A4338">
        <w:rPr>
          <w:rFonts w:ascii="Times New Roman" w:eastAsia="Times New Roman" w:hAnsi="Times New Roman" w:cs="Times New Roman"/>
          <w:color w:val="000000"/>
          <w:spacing w:val="6"/>
          <w:sz w:val="24"/>
          <w:szCs w:val="24"/>
          <w:lang w:val="en-ZA" w:eastAsia="en-GB"/>
        </w:rPr>
        <w:t xml:space="preserve">functional responsibilities for </w:t>
      </w:r>
      <w:r w:rsidR="0093229E" w:rsidRPr="007A4338">
        <w:rPr>
          <w:rFonts w:ascii="Times New Roman" w:eastAsia="Times New Roman" w:hAnsi="Times New Roman" w:cs="Times New Roman"/>
          <w:color w:val="000000"/>
          <w:spacing w:val="6"/>
          <w:sz w:val="24"/>
          <w:szCs w:val="24"/>
          <w:lang w:val="en-ZA" w:eastAsia="en-GB"/>
        </w:rPr>
        <w:t>local government</w:t>
      </w:r>
      <w:r w:rsidRPr="007A4338">
        <w:rPr>
          <w:rFonts w:ascii="Times New Roman" w:eastAsia="Times New Roman" w:hAnsi="Times New Roman" w:cs="Times New Roman"/>
          <w:color w:val="000000"/>
          <w:spacing w:val="6"/>
          <w:sz w:val="24"/>
          <w:szCs w:val="24"/>
          <w:lang w:val="en-ZA" w:eastAsia="en-GB"/>
        </w:rPr>
        <w:t xml:space="preserve"> performance monitoring and oversight among national and provincial treasuries and </w:t>
      </w:r>
      <w:r w:rsidR="00274F6D" w:rsidRPr="007A4338">
        <w:rPr>
          <w:rFonts w:ascii="Times New Roman" w:eastAsia="Times New Roman" w:hAnsi="Times New Roman" w:cs="Times New Roman"/>
          <w:color w:val="000000"/>
          <w:spacing w:val="6"/>
          <w:sz w:val="24"/>
          <w:szCs w:val="24"/>
          <w:lang w:val="en-ZA" w:eastAsia="en-GB"/>
        </w:rPr>
        <w:t>provincial departments of Cooperative Governance</w:t>
      </w:r>
      <w:r w:rsidR="00591737" w:rsidRPr="007A4338">
        <w:rPr>
          <w:rFonts w:ascii="Times New Roman" w:eastAsia="Times New Roman" w:hAnsi="Times New Roman" w:cs="Times New Roman"/>
          <w:color w:val="000000"/>
          <w:spacing w:val="6"/>
          <w:sz w:val="24"/>
          <w:szCs w:val="24"/>
          <w:lang w:val="en-ZA" w:eastAsia="en-GB"/>
        </w:rPr>
        <w:t>;</w:t>
      </w:r>
    </w:p>
    <w:p w14:paraId="50A244AF" w14:textId="77777777" w:rsidR="00302087" w:rsidRPr="007A4338" w:rsidRDefault="00302087"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Ensuring that non-compliance </w:t>
      </w:r>
      <w:r w:rsidR="0093229E" w:rsidRPr="007A4338">
        <w:rPr>
          <w:rFonts w:ascii="Times New Roman" w:eastAsia="Times New Roman" w:hAnsi="Times New Roman" w:cs="Times New Roman"/>
          <w:color w:val="000000"/>
          <w:spacing w:val="6"/>
          <w:sz w:val="24"/>
          <w:szCs w:val="24"/>
          <w:lang w:val="en-ZA" w:eastAsia="en-GB"/>
        </w:rPr>
        <w:t>with</w:t>
      </w:r>
      <w:r w:rsidRPr="007A4338">
        <w:rPr>
          <w:rFonts w:ascii="Times New Roman" w:eastAsia="Times New Roman" w:hAnsi="Times New Roman" w:cs="Times New Roman"/>
          <w:color w:val="000000"/>
          <w:spacing w:val="6"/>
          <w:sz w:val="24"/>
          <w:szCs w:val="24"/>
          <w:lang w:val="en-ZA" w:eastAsia="en-GB"/>
        </w:rPr>
        <w:t xml:space="preserve"> </w:t>
      </w:r>
      <w:r w:rsidR="00B353D9" w:rsidRPr="007A4338">
        <w:rPr>
          <w:rFonts w:ascii="Times New Roman" w:eastAsia="Times New Roman" w:hAnsi="Times New Roman" w:cs="Times New Roman"/>
          <w:color w:val="000000"/>
          <w:spacing w:val="6"/>
          <w:sz w:val="24"/>
          <w:szCs w:val="24"/>
          <w:lang w:val="en-ZA" w:eastAsia="en-GB"/>
        </w:rPr>
        <w:t>legislation</w:t>
      </w:r>
      <w:r w:rsidRPr="007A4338">
        <w:rPr>
          <w:rFonts w:ascii="Times New Roman" w:eastAsia="Times New Roman" w:hAnsi="Times New Roman" w:cs="Times New Roman"/>
          <w:color w:val="000000"/>
          <w:spacing w:val="6"/>
          <w:sz w:val="24"/>
          <w:szCs w:val="24"/>
          <w:lang w:val="en-ZA" w:eastAsia="en-GB"/>
        </w:rPr>
        <w:t xml:space="preserve"> is eliminated</w:t>
      </w:r>
      <w:r w:rsidR="0093229E" w:rsidRPr="007A4338">
        <w:rPr>
          <w:rFonts w:ascii="Times New Roman" w:eastAsia="Times New Roman" w:hAnsi="Times New Roman" w:cs="Times New Roman"/>
          <w:color w:val="000000"/>
          <w:spacing w:val="6"/>
          <w:sz w:val="24"/>
          <w:szCs w:val="24"/>
          <w:lang w:val="en-ZA" w:eastAsia="en-GB"/>
        </w:rPr>
        <w:t>, transgressors are identified in this regard</w:t>
      </w:r>
      <w:r w:rsidR="00942ED1" w:rsidRPr="007A4338">
        <w:rPr>
          <w:rFonts w:ascii="Times New Roman" w:eastAsia="Times New Roman" w:hAnsi="Times New Roman" w:cs="Times New Roman"/>
          <w:color w:val="000000"/>
          <w:spacing w:val="6"/>
          <w:sz w:val="24"/>
          <w:szCs w:val="24"/>
          <w:lang w:val="en-ZA" w:eastAsia="en-GB"/>
        </w:rPr>
        <w:t>,</w:t>
      </w:r>
      <w:r w:rsidR="0093229E" w:rsidRPr="007A4338">
        <w:rPr>
          <w:rFonts w:ascii="Times New Roman" w:eastAsia="Times New Roman" w:hAnsi="Times New Roman" w:cs="Times New Roman"/>
          <w:color w:val="000000"/>
          <w:spacing w:val="6"/>
          <w:sz w:val="24"/>
          <w:szCs w:val="24"/>
          <w:lang w:val="en-ZA" w:eastAsia="en-GB"/>
        </w:rPr>
        <w:t xml:space="preserve"> and that </w:t>
      </w:r>
      <w:r w:rsidR="00B64B0D" w:rsidRPr="007A4338">
        <w:rPr>
          <w:rFonts w:ascii="Times New Roman" w:eastAsia="Times New Roman" w:hAnsi="Times New Roman" w:cs="Times New Roman"/>
          <w:color w:val="000000"/>
          <w:spacing w:val="6"/>
          <w:sz w:val="24"/>
          <w:szCs w:val="24"/>
          <w:lang w:val="en-ZA" w:eastAsia="en-GB"/>
        </w:rPr>
        <w:t>consequence management is applied</w:t>
      </w:r>
      <w:r w:rsidR="00591737" w:rsidRPr="007A4338">
        <w:rPr>
          <w:rFonts w:ascii="Times New Roman" w:eastAsia="Times New Roman" w:hAnsi="Times New Roman" w:cs="Times New Roman"/>
          <w:color w:val="000000"/>
          <w:spacing w:val="6"/>
          <w:sz w:val="24"/>
          <w:szCs w:val="24"/>
          <w:lang w:val="en-ZA" w:eastAsia="en-GB"/>
        </w:rPr>
        <w:t xml:space="preserve">; </w:t>
      </w:r>
    </w:p>
    <w:p w14:paraId="7C31D918" w14:textId="77777777" w:rsidR="003631C0" w:rsidRPr="007A4338" w:rsidRDefault="003631C0"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Matters pertaining to improvements in municipal audit outcome</w:t>
      </w:r>
      <w:r w:rsidR="003D4723" w:rsidRPr="007A4338">
        <w:rPr>
          <w:rFonts w:ascii="Times New Roman" w:eastAsia="Times New Roman" w:hAnsi="Times New Roman" w:cs="Times New Roman"/>
          <w:color w:val="000000"/>
          <w:spacing w:val="6"/>
          <w:sz w:val="24"/>
          <w:szCs w:val="24"/>
          <w:lang w:val="en-ZA" w:eastAsia="en-GB"/>
        </w:rPr>
        <w:t>s</w:t>
      </w:r>
      <w:r w:rsidRPr="007A4338">
        <w:rPr>
          <w:rFonts w:ascii="Times New Roman" w:eastAsia="Times New Roman" w:hAnsi="Times New Roman" w:cs="Times New Roman"/>
          <w:color w:val="000000"/>
          <w:spacing w:val="6"/>
          <w:sz w:val="24"/>
          <w:szCs w:val="24"/>
          <w:lang w:val="en-ZA" w:eastAsia="en-GB"/>
        </w:rPr>
        <w:t xml:space="preserve"> and other related financial management.</w:t>
      </w:r>
    </w:p>
    <w:p w14:paraId="1F6260A9"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1C22FF73" w14:textId="77777777" w:rsidR="003D4723" w:rsidRPr="007A4338" w:rsidRDefault="00302087" w:rsidP="007A4338">
      <w:pPr>
        <w:pStyle w:val="ListParagraph"/>
        <w:numPr>
          <w:ilvl w:val="1"/>
          <w:numId w:val="14"/>
        </w:numPr>
        <w:tabs>
          <w:tab w:val="left" w:pos="709"/>
        </w:tabs>
        <w:spacing w:after="0" w:line="360" w:lineRule="auto"/>
        <w:ind w:left="540" w:hanging="540"/>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The Minister of Water and Sanitation and the Minister of Finance ensure that the Department of Water and Sanitation and the National Treasury ring-fence funding for sanitation programmes</w:t>
      </w:r>
      <w:r w:rsidR="003D4723" w:rsidRPr="007A4338">
        <w:rPr>
          <w:rFonts w:ascii="Times New Roman" w:eastAsia="Times New Roman" w:hAnsi="Times New Roman" w:cs="Times New Roman"/>
          <w:spacing w:val="6"/>
          <w:sz w:val="24"/>
          <w:szCs w:val="24"/>
          <w:lang w:val="en-ZA" w:eastAsia="en-GB"/>
        </w:rPr>
        <w:t xml:space="preserve">, </w:t>
      </w:r>
      <w:r w:rsidRPr="007A4338">
        <w:rPr>
          <w:rFonts w:ascii="Times New Roman" w:eastAsia="Times New Roman" w:hAnsi="Times New Roman" w:cs="Times New Roman"/>
          <w:spacing w:val="6"/>
          <w:sz w:val="24"/>
          <w:szCs w:val="24"/>
          <w:lang w:val="en-ZA" w:eastAsia="en-GB"/>
        </w:rPr>
        <w:t>bolster efforts at accelerating sanitation programmes</w:t>
      </w:r>
      <w:r w:rsidR="003D4723" w:rsidRPr="007A4338">
        <w:rPr>
          <w:rFonts w:ascii="Times New Roman" w:eastAsia="Times New Roman" w:hAnsi="Times New Roman" w:cs="Times New Roman"/>
          <w:spacing w:val="6"/>
          <w:sz w:val="24"/>
          <w:szCs w:val="24"/>
          <w:lang w:val="en-ZA" w:eastAsia="en-GB"/>
        </w:rPr>
        <w:t xml:space="preserve">, and </w:t>
      </w:r>
      <w:r w:rsidRPr="007A4338">
        <w:rPr>
          <w:rFonts w:ascii="Times New Roman" w:eastAsia="Times New Roman" w:hAnsi="Times New Roman" w:cs="Times New Roman"/>
          <w:spacing w:val="6"/>
          <w:sz w:val="24"/>
          <w:szCs w:val="24"/>
          <w:lang w:val="en-ZA" w:eastAsia="en-GB"/>
        </w:rPr>
        <w:t>enhancing the delivery capacity for the bucket eradication programme.</w:t>
      </w:r>
    </w:p>
    <w:p w14:paraId="05AEA045" w14:textId="77777777" w:rsidR="003D4723" w:rsidRPr="007A4338" w:rsidRDefault="003D4723" w:rsidP="007A4338">
      <w:pPr>
        <w:spacing w:after="0" w:line="360" w:lineRule="auto"/>
        <w:jc w:val="both"/>
        <w:rPr>
          <w:rFonts w:ascii="Times New Roman" w:eastAsia="Times New Roman" w:hAnsi="Times New Roman" w:cs="Times New Roman"/>
          <w:color w:val="000000"/>
          <w:spacing w:val="6"/>
          <w:sz w:val="24"/>
          <w:szCs w:val="24"/>
          <w:lang w:val="en-GB" w:eastAsia="en-GB"/>
        </w:rPr>
      </w:pPr>
    </w:p>
    <w:p w14:paraId="1747211B" w14:textId="77777777" w:rsidR="00302087" w:rsidRPr="007A4338" w:rsidRDefault="00D076F1" w:rsidP="007A4338">
      <w:pPr>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7A4338">
        <w:rPr>
          <w:rFonts w:ascii="Times New Roman" w:eastAsia="Times New Roman" w:hAnsi="Times New Roman" w:cs="Times New Roman"/>
          <w:b/>
          <w:color w:val="000000"/>
          <w:spacing w:val="6"/>
          <w:sz w:val="24"/>
          <w:szCs w:val="24"/>
          <w:lang w:val="en-ZA" w:eastAsia="en-GB"/>
        </w:rPr>
        <w:t>10.4</w:t>
      </w:r>
      <w:r w:rsidR="00302087" w:rsidRPr="007A4338">
        <w:rPr>
          <w:rFonts w:ascii="Times New Roman" w:eastAsia="Times New Roman" w:hAnsi="Times New Roman" w:cs="Times New Roman"/>
          <w:color w:val="000000"/>
          <w:spacing w:val="6"/>
          <w:sz w:val="24"/>
          <w:szCs w:val="24"/>
          <w:lang w:val="en-ZA" w:eastAsia="en-GB"/>
        </w:rPr>
        <w:tab/>
        <w:t>The Minister of Cooperative</w:t>
      </w:r>
      <w:r w:rsidR="00732682" w:rsidRPr="007A4338">
        <w:rPr>
          <w:rFonts w:ascii="Times New Roman" w:eastAsia="Times New Roman" w:hAnsi="Times New Roman" w:cs="Times New Roman"/>
          <w:color w:val="000000"/>
          <w:spacing w:val="6"/>
          <w:sz w:val="24"/>
          <w:szCs w:val="24"/>
          <w:lang w:val="en-ZA" w:eastAsia="en-GB"/>
        </w:rPr>
        <w:t xml:space="preserve"> Governance should ensure that </w:t>
      </w:r>
      <w:r w:rsidR="00302087" w:rsidRPr="007A4338">
        <w:rPr>
          <w:rFonts w:ascii="Times New Roman" w:eastAsia="Times New Roman" w:hAnsi="Times New Roman" w:cs="Times New Roman"/>
          <w:color w:val="000000"/>
          <w:spacing w:val="6"/>
          <w:sz w:val="24"/>
          <w:szCs w:val="24"/>
          <w:lang w:val="en-ZA" w:eastAsia="en-GB"/>
        </w:rPr>
        <w:t>the Department of Cooperative Governance develop and set explicit targets with timelines and submit quarterly reports on its collaborative interventions in local government including the following:</w:t>
      </w:r>
    </w:p>
    <w:p w14:paraId="1ECDB877" w14:textId="77777777" w:rsidR="00302087" w:rsidRPr="007A4338" w:rsidRDefault="00302087"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On matters relating to Eskom debt </w:t>
      </w:r>
      <w:r w:rsidR="000E492D" w:rsidRPr="007A4338">
        <w:rPr>
          <w:rFonts w:ascii="Times New Roman" w:eastAsia="Times New Roman" w:hAnsi="Times New Roman" w:cs="Times New Roman"/>
          <w:color w:val="000000"/>
          <w:spacing w:val="6"/>
          <w:sz w:val="24"/>
          <w:szCs w:val="24"/>
          <w:lang w:val="en-ZA" w:eastAsia="en-GB"/>
        </w:rPr>
        <w:t xml:space="preserve">owed </w:t>
      </w:r>
      <w:r w:rsidRPr="007A4338">
        <w:rPr>
          <w:rFonts w:ascii="Times New Roman" w:eastAsia="Times New Roman" w:hAnsi="Times New Roman" w:cs="Times New Roman"/>
          <w:color w:val="000000"/>
          <w:spacing w:val="6"/>
          <w:sz w:val="24"/>
          <w:szCs w:val="24"/>
          <w:lang w:val="en-ZA" w:eastAsia="en-GB"/>
        </w:rPr>
        <w:t>by municipalities</w:t>
      </w:r>
      <w:r w:rsidR="00B353D9" w:rsidRPr="007A4338">
        <w:rPr>
          <w:rFonts w:ascii="Times New Roman" w:eastAsia="Times New Roman" w:hAnsi="Times New Roman" w:cs="Times New Roman"/>
          <w:color w:val="000000"/>
          <w:spacing w:val="6"/>
          <w:sz w:val="24"/>
          <w:szCs w:val="24"/>
          <w:lang w:val="en-ZA" w:eastAsia="en-GB"/>
        </w:rPr>
        <w:t>;</w:t>
      </w:r>
    </w:p>
    <w:p w14:paraId="552A74C9" w14:textId="77777777" w:rsidR="00302087" w:rsidRPr="007A4338" w:rsidRDefault="00302087"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On matters relating to debt owed by government to municipalities</w:t>
      </w:r>
      <w:r w:rsidR="00B353D9" w:rsidRPr="007A4338">
        <w:rPr>
          <w:rFonts w:ascii="Times New Roman" w:eastAsia="Times New Roman" w:hAnsi="Times New Roman" w:cs="Times New Roman"/>
          <w:color w:val="000000"/>
          <w:spacing w:val="6"/>
          <w:sz w:val="24"/>
          <w:szCs w:val="24"/>
          <w:lang w:val="en-ZA" w:eastAsia="en-GB"/>
        </w:rPr>
        <w:t>; and</w:t>
      </w:r>
    </w:p>
    <w:p w14:paraId="58CF2EC4" w14:textId="77777777" w:rsidR="00302087" w:rsidRPr="007A4338" w:rsidRDefault="00302087" w:rsidP="007A4338">
      <w:pPr>
        <w:numPr>
          <w:ilvl w:val="1"/>
          <w:numId w:val="6"/>
        </w:numPr>
        <w:spacing w:after="0" w:line="360" w:lineRule="auto"/>
        <w:ind w:left="1080" w:hanging="27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lastRenderedPageBreak/>
        <w:t>On matters pertaining to improvements in governance.</w:t>
      </w:r>
    </w:p>
    <w:p w14:paraId="1F41F6B0"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40A17D7A" w14:textId="77777777" w:rsidR="003D4723" w:rsidRPr="007A4338" w:rsidRDefault="003D4723" w:rsidP="007A4338">
      <w:pPr>
        <w:spacing w:after="0" w:line="360" w:lineRule="auto"/>
        <w:ind w:left="720" w:hanging="720"/>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10.5</w:t>
      </w:r>
      <w:r w:rsidRPr="007A4338">
        <w:rPr>
          <w:rFonts w:ascii="Times New Roman" w:eastAsia="Times New Roman" w:hAnsi="Times New Roman" w:cs="Times New Roman"/>
          <w:color w:val="000000"/>
          <w:spacing w:val="6"/>
          <w:sz w:val="24"/>
          <w:szCs w:val="24"/>
          <w:lang w:val="en-ZA" w:eastAsia="en-GB"/>
        </w:rPr>
        <w:tab/>
        <w:t xml:space="preserve">That the Minister of Finance and the Minister of Cooperative Governance and Traditional Affairs should ensure that National Treasury and the Department of Cooperative Governance and relevant stakeholders consult broadly and develop initiatives on reversing the culture of non-payment across the three spheres of government. </w:t>
      </w:r>
    </w:p>
    <w:p w14:paraId="0E578C5D" w14:textId="77777777" w:rsidR="00732682" w:rsidRPr="007A4338" w:rsidRDefault="00732682" w:rsidP="007A4338">
      <w:pPr>
        <w:spacing w:after="0" w:line="360" w:lineRule="auto"/>
        <w:ind w:left="1080"/>
        <w:jc w:val="both"/>
        <w:rPr>
          <w:rFonts w:ascii="Times New Roman" w:eastAsia="Times New Roman" w:hAnsi="Times New Roman" w:cs="Times New Roman"/>
          <w:color w:val="000000"/>
          <w:spacing w:val="6"/>
          <w:sz w:val="24"/>
          <w:szCs w:val="24"/>
          <w:lang w:val="en-ZA" w:eastAsia="en-GB"/>
        </w:rPr>
      </w:pPr>
    </w:p>
    <w:p w14:paraId="4FB0737F" w14:textId="77777777" w:rsidR="003B26DA" w:rsidRPr="007A4338" w:rsidRDefault="00031499"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Committee </w:t>
      </w:r>
      <w:r w:rsidR="003B26DA" w:rsidRPr="007A4338">
        <w:rPr>
          <w:rFonts w:ascii="Times New Roman" w:eastAsia="Times New Roman" w:hAnsi="Times New Roman" w:cs="Times New Roman"/>
          <w:b/>
          <w:color w:val="000000"/>
          <w:spacing w:val="6"/>
          <w:sz w:val="24"/>
          <w:szCs w:val="24"/>
          <w:lang w:val="en-ZA" w:eastAsia="en-GB"/>
        </w:rPr>
        <w:t>Recommendation</w:t>
      </w:r>
      <w:r w:rsidR="00B353D9" w:rsidRPr="007A4338">
        <w:rPr>
          <w:rFonts w:ascii="Times New Roman" w:eastAsia="Times New Roman" w:hAnsi="Times New Roman" w:cs="Times New Roman"/>
          <w:b/>
          <w:color w:val="000000"/>
          <w:spacing w:val="6"/>
          <w:sz w:val="24"/>
          <w:szCs w:val="24"/>
          <w:lang w:val="en-ZA" w:eastAsia="en-GB"/>
        </w:rPr>
        <w:t xml:space="preserve"> on the Bill</w:t>
      </w:r>
    </w:p>
    <w:p w14:paraId="3F4BB351" w14:textId="77777777" w:rsidR="00732682" w:rsidRPr="007A4338" w:rsidRDefault="00732682"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62AFEA5"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Standing Committee on Appropriations, having considered the Division of Revenue Amendment Bill [B24 - 2017] (National Assembly) referred to it and classified by the Joint Tagging Mechanism (JTM) as a Section 76 Bill, recommends that the Bill be adopted, without amendments. </w:t>
      </w:r>
    </w:p>
    <w:p w14:paraId="4A77E013"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3DC1476"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D09F1B8"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618B0D9D" w14:textId="77777777" w:rsidR="003B26DA" w:rsidRPr="007A4338" w:rsidRDefault="003B26DA" w:rsidP="007A4338">
      <w:pPr>
        <w:spacing w:after="0" w:line="360" w:lineRule="auto"/>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Report to be considered.</w:t>
      </w:r>
    </w:p>
    <w:p w14:paraId="2E961DD9"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003D131" w14:textId="77777777" w:rsidR="002A769C" w:rsidRPr="007A4338" w:rsidRDefault="002A769C" w:rsidP="007A4338">
      <w:pPr>
        <w:spacing w:line="360" w:lineRule="auto"/>
        <w:rPr>
          <w:rFonts w:ascii="Times New Roman" w:hAnsi="Times New Roman" w:cs="Times New Roman"/>
          <w:sz w:val="24"/>
          <w:szCs w:val="24"/>
        </w:rPr>
      </w:pPr>
    </w:p>
    <w:p w14:paraId="3D7D29F4" w14:textId="77777777" w:rsidR="00B973AA" w:rsidRPr="007A4338" w:rsidRDefault="00B973AA" w:rsidP="007A4338">
      <w:pPr>
        <w:spacing w:line="360" w:lineRule="auto"/>
        <w:rPr>
          <w:rFonts w:ascii="Times New Roman" w:hAnsi="Times New Roman" w:cs="Times New Roman"/>
          <w:sz w:val="24"/>
          <w:szCs w:val="24"/>
        </w:rPr>
      </w:pPr>
    </w:p>
    <w:p w14:paraId="05BF57BA" w14:textId="77777777" w:rsidR="00B973AA" w:rsidRPr="007A4338" w:rsidRDefault="00B973AA" w:rsidP="007A4338">
      <w:pPr>
        <w:spacing w:line="360" w:lineRule="auto"/>
        <w:rPr>
          <w:rFonts w:ascii="Times New Roman" w:hAnsi="Times New Roman" w:cs="Times New Roman"/>
          <w:sz w:val="24"/>
          <w:szCs w:val="24"/>
        </w:rPr>
      </w:pPr>
    </w:p>
    <w:sectPr w:rsidR="00B973AA" w:rsidRPr="007A4338" w:rsidSect="0091791A">
      <w:headerReference w:type="even" r:id="rId8"/>
      <w:headerReference w:type="default" r:id="rId9"/>
      <w:footerReference w:type="even" r:id="rId10"/>
      <w:footerReference w:type="default" r:id="rId11"/>
      <w:headerReference w:type="first" r:id="rId12"/>
      <w:footerReference w:type="first" r:id="rId13"/>
      <w:pgSz w:w="11906" w:h="16838" w:code="9"/>
      <w:pgMar w:top="709" w:right="1138" w:bottom="864" w:left="1138" w:header="1138"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0807" w14:textId="77777777" w:rsidR="00CB2335" w:rsidRDefault="00CB2335">
      <w:pPr>
        <w:spacing w:after="0" w:line="240" w:lineRule="auto"/>
      </w:pPr>
      <w:r>
        <w:separator/>
      </w:r>
    </w:p>
  </w:endnote>
  <w:endnote w:type="continuationSeparator" w:id="0">
    <w:p w14:paraId="3ECA3207" w14:textId="77777777" w:rsidR="00CB2335" w:rsidRDefault="00CB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E34C" w14:textId="77777777" w:rsidR="002F03C5" w:rsidRDefault="003B1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5372" w14:textId="77777777" w:rsidR="002F03C5" w:rsidRDefault="00031499">
    <w:pPr>
      <w:pStyle w:val="Footer"/>
      <w:jc w:val="right"/>
    </w:pPr>
    <w:r>
      <w:fldChar w:fldCharType="begin"/>
    </w:r>
    <w:r>
      <w:instrText xml:space="preserve"> PAGE   \* MERGEFORMAT </w:instrText>
    </w:r>
    <w:r>
      <w:fldChar w:fldCharType="separate"/>
    </w:r>
    <w:r w:rsidR="003B1D39">
      <w:rPr>
        <w:noProof/>
      </w:rPr>
      <w:t>11</w:t>
    </w:r>
    <w:r>
      <w:fldChar w:fldCharType="end"/>
    </w:r>
  </w:p>
  <w:p w14:paraId="781718F3" w14:textId="77777777" w:rsidR="002F03C5" w:rsidRDefault="003B1D39">
    <w:pPr>
      <w:pStyle w:val="Footer"/>
      <w:ind w:right="360"/>
      <w:rPr>
        <w:rFonts w:ascii="Arial Bold" w:hAnsi="Arial Bol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BDD4" w14:textId="77777777" w:rsidR="002F03C5" w:rsidRDefault="00031499">
    <w:pPr>
      <w:pStyle w:val="Footer"/>
      <w:jc w:val="right"/>
    </w:pPr>
    <w:r>
      <w:fldChar w:fldCharType="begin"/>
    </w:r>
    <w:r>
      <w:instrText xml:space="preserve"> PAGE   \* MERGEFORMAT </w:instrText>
    </w:r>
    <w:r>
      <w:fldChar w:fldCharType="separate"/>
    </w:r>
    <w:r w:rsidR="003B1D39">
      <w:rPr>
        <w:noProof/>
      </w:rPr>
      <w:t>1</w:t>
    </w:r>
    <w:r>
      <w:fldChar w:fldCharType="end"/>
    </w:r>
  </w:p>
  <w:p w14:paraId="553B5438" w14:textId="77777777" w:rsidR="002F03C5" w:rsidRDefault="003B1D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9D96" w14:textId="77777777" w:rsidR="00CB2335" w:rsidRDefault="00CB2335">
      <w:pPr>
        <w:spacing w:after="0" w:line="240" w:lineRule="auto"/>
      </w:pPr>
      <w:r>
        <w:separator/>
      </w:r>
    </w:p>
  </w:footnote>
  <w:footnote w:type="continuationSeparator" w:id="0">
    <w:p w14:paraId="0D64F50A" w14:textId="77777777" w:rsidR="00CB2335" w:rsidRDefault="00CB2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0DE9" w14:textId="77777777" w:rsidR="002F03C5" w:rsidRDefault="003B1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42C9" w14:textId="77777777" w:rsidR="002F03C5" w:rsidRDefault="003B1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8E720" w14:textId="77777777" w:rsidR="002F03C5" w:rsidRDefault="003B1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0F45"/>
    <w:multiLevelType w:val="hybridMultilevel"/>
    <w:tmpl w:val="8BC23816"/>
    <w:lvl w:ilvl="0" w:tplc="1C090001">
      <w:start w:val="1"/>
      <w:numFmt w:val="bullet"/>
      <w:lvlText w:val=""/>
      <w:lvlJc w:val="left"/>
      <w:pPr>
        <w:ind w:left="720" w:hanging="360"/>
      </w:pPr>
      <w:rPr>
        <w:rFonts w:ascii="Symbol" w:hAnsi="Symbol" w:hint="default"/>
      </w:rPr>
    </w:lvl>
    <w:lvl w:ilvl="1" w:tplc="0FD0F9A2">
      <w:start w:val="25"/>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F714BE9"/>
    <w:multiLevelType w:val="hybridMultilevel"/>
    <w:tmpl w:val="94286740"/>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C5B26B3"/>
    <w:multiLevelType w:val="multilevel"/>
    <w:tmpl w:val="BF42FF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8B72D1"/>
    <w:multiLevelType w:val="hybridMultilevel"/>
    <w:tmpl w:val="FDD43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54D5CCE"/>
    <w:multiLevelType w:val="multilevel"/>
    <w:tmpl w:val="1C16FD08"/>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11022C5"/>
    <w:multiLevelType w:val="hybridMultilevel"/>
    <w:tmpl w:val="9536A91E"/>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31340AA"/>
    <w:multiLevelType w:val="multilevel"/>
    <w:tmpl w:val="B4AA73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B3724B2"/>
    <w:multiLevelType w:val="multilevel"/>
    <w:tmpl w:val="B328B4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DE845DC"/>
    <w:multiLevelType w:val="hybridMultilevel"/>
    <w:tmpl w:val="BD4469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36C02FD"/>
    <w:multiLevelType w:val="multilevel"/>
    <w:tmpl w:val="81F63A52"/>
    <w:lvl w:ilvl="0">
      <w:start w:val="3"/>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68C75E87"/>
    <w:multiLevelType w:val="multilevel"/>
    <w:tmpl w:val="35987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8D157FC"/>
    <w:multiLevelType w:val="hybridMultilevel"/>
    <w:tmpl w:val="1C8A3A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0B7A16"/>
    <w:multiLevelType w:val="hybridMultilevel"/>
    <w:tmpl w:val="C608BC2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nsid w:val="72631C51"/>
    <w:multiLevelType w:val="hybridMultilevel"/>
    <w:tmpl w:val="93A6EFB2"/>
    <w:lvl w:ilvl="0" w:tplc="09D233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448525A" w:tentative="1">
      <w:start w:val="1"/>
      <w:numFmt w:val="bullet"/>
      <w:lvlText w:val="–"/>
      <w:lvlJc w:val="left"/>
      <w:pPr>
        <w:tabs>
          <w:tab w:val="num" w:pos="2160"/>
        </w:tabs>
        <w:ind w:left="2160" w:hanging="360"/>
      </w:pPr>
      <w:rPr>
        <w:rFonts w:ascii="Arial" w:hAnsi="Arial" w:hint="default"/>
      </w:rPr>
    </w:lvl>
    <w:lvl w:ilvl="3" w:tplc="CEC27166" w:tentative="1">
      <w:start w:val="1"/>
      <w:numFmt w:val="bullet"/>
      <w:lvlText w:val="–"/>
      <w:lvlJc w:val="left"/>
      <w:pPr>
        <w:tabs>
          <w:tab w:val="num" w:pos="2880"/>
        </w:tabs>
        <w:ind w:left="2880" w:hanging="360"/>
      </w:pPr>
      <w:rPr>
        <w:rFonts w:ascii="Arial" w:hAnsi="Arial" w:hint="default"/>
      </w:rPr>
    </w:lvl>
    <w:lvl w:ilvl="4" w:tplc="F266E89C" w:tentative="1">
      <w:start w:val="1"/>
      <w:numFmt w:val="bullet"/>
      <w:lvlText w:val="–"/>
      <w:lvlJc w:val="left"/>
      <w:pPr>
        <w:tabs>
          <w:tab w:val="num" w:pos="3600"/>
        </w:tabs>
        <w:ind w:left="3600" w:hanging="360"/>
      </w:pPr>
      <w:rPr>
        <w:rFonts w:ascii="Arial" w:hAnsi="Arial" w:hint="default"/>
      </w:rPr>
    </w:lvl>
    <w:lvl w:ilvl="5" w:tplc="49CA35A4" w:tentative="1">
      <w:start w:val="1"/>
      <w:numFmt w:val="bullet"/>
      <w:lvlText w:val="–"/>
      <w:lvlJc w:val="left"/>
      <w:pPr>
        <w:tabs>
          <w:tab w:val="num" w:pos="4320"/>
        </w:tabs>
        <w:ind w:left="4320" w:hanging="360"/>
      </w:pPr>
      <w:rPr>
        <w:rFonts w:ascii="Arial" w:hAnsi="Arial" w:hint="default"/>
      </w:rPr>
    </w:lvl>
    <w:lvl w:ilvl="6" w:tplc="1C985292" w:tentative="1">
      <w:start w:val="1"/>
      <w:numFmt w:val="bullet"/>
      <w:lvlText w:val="–"/>
      <w:lvlJc w:val="left"/>
      <w:pPr>
        <w:tabs>
          <w:tab w:val="num" w:pos="5040"/>
        </w:tabs>
        <w:ind w:left="5040" w:hanging="360"/>
      </w:pPr>
      <w:rPr>
        <w:rFonts w:ascii="Arial" w:hAnsi="Arial" w:hint="default"/>
      </w:rPr>
    </w:lvl>
    <w:lvl w:ilvl="7" w:tplc="0F601128" w:tentative="1">
      <w:start w:val="1"/>
      <w:numFmt w:val="bullet"/>
      <w:lvlText w:val="–"/>
      <w:lvlJc w:val="left"/>
      <w:pPr>
        <w:tabs>
          <w:tab w:val="num" w:pos="5760"/>
        </w:tabs>
        <w:ind w:left="5760" w:hanging="360"/>
      </w:pPr>
      <w:rPr>
        <w:rFonts w:ascii="Arial" w:hAnsi="Arial" w:hint="default"/>
      </w:rPr>
    </w:lvl>
    <w:lvl w:ilvl="8" w:tplc="82B26C1A" w:tentative="1">
      <w:start w:val="1"/>
      <w:numFmt w:val="bullet"/>
      <w:lvlText w:val="–"/>
      <w:lvlJc w:val="left"/>
      <w:pPr>
        <w:tabs>
          <w:tab w:val="num" w:pos="6480"/>
        </w:tabs>
        <w:ind w:left="6480" w:hanging="360"/>
      </w:pPr>
      <w:rPr>
        <w:rFonts w:ascii="Arial" w:hAnsi="Arial" w:hint="default"/>
      </w:rPr>
    </w:lvl>
  </w:abstractNum>
  <w:abstractNum w:abstractNumId="14">
    <w:nsid w:val="7B8E409D"/>
    <w:multiLevelType w:val="multilevel"/>
    <w:tmpl w:val="87A669D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7DB26676"/>
    <w:multiLevelType w:val="hybridMultilevel"/>
    <w:tmpl w:val="6DF6E95E"/>
    <w:lvl w:ilvl="0" w:tplc="EFD2CEC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0"/>
  </w:num>
  <w:num w:numId="5">
    <w:abstractNumId w:val="13"/>
  </w:num>
  <w:num w:numId="6">
    <w:abstractNumId w:val="5"/>
  </w:num>
  <w:num w:numId="7">
    <w:abstractNumId w:val="12"/>
  </w:num>
  <w:num w:numId="8">
    <w:abstractNumId w:val="9"/>
  </w:num>
  <w:num w:numId="9">
    <w:abstractNumId w:val="10"/>
  </w:num>
  <w:num w:numId="10">
    <w:abstractNumId w:val="2"/>
  </w:num>
  <w:num w:numId="11">
    <w:abstractNumId w:val="1"/>
  </w:num>
  <w:num w:numId="12">
    <w:abstractNumId w:val="6"/>
  </w:num>
  <w:num w:numId="13">
    <w:abstractNumId w:val="7"/>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DA"/>
    <w:rsid w:val="00002B9D"/>
    <w:rsid w:val="00013D97"/>
    <w:rsid w:val="00031499"/>
    <w:rsid w:val="00060CA7"/>
    <w:rsid w:val="00090F44"/>
    <w:rsid w:val="000B4CEC"/>
    <w:rsid w:val="000B71B1"/>
    <w:rsid w:val="000D5CF5"/>
    <w:rsid w:val="000E492D"/>
    <w:rsid w:val="001A6ECD"/>
    <w:rsid w:val="00274F6D"/>
    <w:rsid w:val="00286D52"/>
    <w:rsid w:val="002A769C"/>
    <w:rsid w:val="002E7650"/>
    <w:rsid w:val="00302087"/>
    <w:rsid w:val="003038EF"/>
    <w:rsid w:val="003631C0"/>
    <w:rsid w:val="003B1D39"/>
    <w:rsid w:val="003B26DA"/>
    <w:rsid w:val="003D4723"/>
    <w:rsid w:val="004700EB"/>
    <w:rsid w:val="004848C0"/>
    <w:rsid w:val="00492904"/>
    <w:rsid w:val="004A21AC"/>
    <w:rsid w:val="004B4749"/>
    <w:rsid w:val="00586419"/>
    <w:rsid w:val="00591737"/>
    <w:rsid w:val="005A2E24"/>
    <w:rsid w:val="0062577D"/>
    <w:rsid w:val="00712D14"/>
    <w:rsid w:val="00730975"/>
    <w:rsid w:val="00732682"/>
    <w:rsid w:val="00756058"/>
    <w:rsid w:val="00783A94"/>
    <w:rsid w:val="007A4338"/>
    <w:rsid w:val="007C3685"/>
    <w:rsid w:val="0086154F"/>
    <w:rsid w:val="008B7087"/>
    <w:rsid w:val="008C4341"/>
    <w:rsid w:val="008F7C4A"/>
    <w:rsid w:val="00905FA8"/>
    <w:rsid w:val="00915AEC"/>
    <w:rsid w:val="0093229E"/>
    <w:rsid w:val="00942ED1"/>
    <w:rsid w:val="00956298"/>
    <w:rsid w:val="00965CE0"/>
    <w:rsid w:val="00973183"/>
    <w:rsid w:val="00984468"/>
    <w:rsid w:val="009A1B19"/>
    <w:rsid w:val="00A50905"/>
    <w:rsid w:val="00A83E39"/>
    <w:rsid w:val="00A95EDA"/>
    <w:rsid w:val="00A95F70"/>
    <w:rsid w:val="00AC7F82"/>
    <w:rsid w:val="00B119EF"/>
    <w:rsid w:val="00B353D9"/>
    <w:rsid w:val="00B40F36"/>
    <w:rsid w:val="00B61570"/>
    <w:rsid w:val="00B64B0D"/>
    <w:rsid w:val="00B973AA"/>
    <w:rsid w:val="00BA5440"/>
    <w:rsid w:val="00BD33E4"/>
    <w:rsid w:val="00C173B8"/>
    <w:rsid w:val="00C22C17"/>
    <w:rsid w:val="00C857F9"/>
    <w:rsid w:val="00C904C9"/>
    <w:rsid w:val="00CB2335"/>
    <w:rsid w:val="00CE784F"/>
    <w:rsid w:val="00D076F1"/>
    <w:rsid w:val="00D62BBD"/>
    <w:rsid w:val="00D933A5"/>
    <w:rsid w:val="00E33842"/>
    <w:rsid w:val="00EA610E"/>
    <w:rsid w:val="00EB0976"/>
    <w:rsid w:val="00EE0EFD"/>
    <w:rsid w:val="00EE37C8"/>
    <w:rsid w:val="00F13884"/>
    <w:rsid w:val="00F33077"/>
    <w:rsid w:val="00F44DBC"/>
    <w:rsid w:val="00F6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6DA"/>
  </w:style>
  <w:style w:type="paragraph" w:styleId="Header">
    <w:name w:val="header"/>
    <w:basedOn w:val="Normal"/>
    <w:link w:val="HeaderChar"/>
    <w:uiPriority w:val="99"/>
    <w:semiHidden/>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6DA"/>
  </w:style>
  <w:style w:type="paragraph" w:styleId="Header">
    <w:name w:val="header"/>
    <w:basedOn w:val="Normal"/>
    <w:link w:val="HeaderChar"/>
    <w:uiPriority w:val="99"/>
    <w:semiHidden/>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3175</Words>
  <Characters>18103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2017-11-13T17:50:00Z</cp:lastPrinted>
  <dcterms:created xsi:type="dcterms:W3CDTF">2017-11-14T10:42:00Z</dcterms:created>
  <dcterms:modified xsi:type="dcterms:W3CDTF">2017-11-14T10:42:00Z</dcterms:modified>
</cp:coreProperties>
</file>