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89" w:rsidRPr="00A734D4" w:rsidRDefault="00D13B89" w:rsidP="00A734D4">
      <w:pPr>
        <w:jc w:val="center"/>
        <w:rPr>
          <w:rFonts w:ascii="Arial Narrow" w:hAnsi="Arial Narrow"/>
          <w:b/>
          <w:sz w:val="24"/>
          <w:szCs w:val="24"/>
        </w:rPr>
      </w:pPr>
      <w:r w:rsidRPr="004F24C4">
        <w:rPr>
          <w:rFonts w:ascii="Arial Narrow" w:hAnsi="Arial Narrow"/>
          <w:b/>
          <w:sz w:val="24"/>
          <w:szCs w:val="24"/>
        </w:rPr>
        <w:t>WORKING ON FIRE OVERVIEW OF EXPENDITURE AND KEY</w:t>
      </w:r>
      <w:r w:rsidR="008C4C96">
        <w:rPr>
          <w:rFonts w:ascii="Arial Narrow" w:hAnsi="Arial Narrow"/>
          <w:b/>
          <w:sz w:val="24"/>
          <w:szCs w:val="24"/>
        </w:rPr>
        <w:t xml:space="preserve"> DELIVERABLES FOR THE FINANCIAL YEARS </w:t>
      </w:r>
      <w:r w:rsidRPr="004F24C4">
        <w:rPr>
          <w:rFonts w:ascii="Arial Narrow" w:hAnsi="Arial Narrow"/>
          <w:b/>
          <w:sz w:val="24"/>
          <w:szCs w:val="24"/>
        </w:rPr>
        <w:t>2013/14</w:t>
      </w:r>
      <w:r w:rsidR="008C4C96">
        <w:rPr>
          <w:rFonts w:ascii="Arial Narrow" w:hAnsi="Arial Narrow"/>
          <w:b/>
          <w:sz w:val="24"/>
          <w:szCs w:val="24"/>
        </w:rPr>
        <w:t xml:space="preserve"> TO</w:t>
      </w:r>
      <w:r w:rsidRPr="004F24C4">
        <w:rPr>
          <w:rFonts w:ascii="Arial Narrow" w:hAnsi="Arial Narrow"/>
          <w:b/>
          <w:sz w:val="24"/>
          <w:szCs w:val="24"/>
        </w:rPr>
        <w:t xml:space="preserve"> 2016/17 (MID-TERM)</w:t>
      </w:r>
    </w:p>
    <w:p w:rsidR="00D13B89" w:rsidRPr="004F24C4" w:rsidRDefault="00CE3DA2" w:rsidP="00CE3DA2">
      <w:pPr>
        <w:pStyle w:val="ListParagraph"/>
        <w:numPr>
          <w:ilvl w:val="0"/>
          <w:numId w:val="1"/>
        </w:numPr>
        <w:rPr>
          <w:rFonts w:ascii="Arial Narrow" w:hAnsi="Arial Narrow"/>
          <w:b/>
          <w:sz w:val="24"/>
          <w:szCs w:val="24"/>
        </w:rPr>
      </w:pPr>
      <w:r w:rsidRPr="004F24C4">
        <w:rPr>
          <w:rFonts w:ascii="Arial Narrow" w:hAnsi="Arial Narrow"/>
          <w:b/>
          <w:sz w:val="24"/>
          <w:szCs w:val="24"/>
        </w:rPr>
        <w:t>INTRODUCTION</w:t>
      </w:r>
    </w:p>
    <w:p w:rsidR="00D13B89" w:rsidRPr="00CE3DA2" w:rsidRDefault="00D13B89" w:rsidP="00CE3DA2">
      <w:pPr>
        <w:jc w:val="both"/>
        <w:rPr>
          <w:rFonts w:ascii="Arial Narrow" w:hAnsi="Arial Narrow"/>
          <w:sz w:val="24"/>
          <w:szCs w:val="24"/>
        </w:rPr>
      </w:pPr>
      <w:r w:rsidRPr="00CE3DA2">
        <w:rPr>
          <w:rFonts w:ascii="Arial Narrow" w:hAnsi="Arial Narrow"/>
          <w:sz w:val="24"/>
          <w:szCs w:val="24"/>
        </w:rPr>
        <w:t xml:space="preserve">Key data was extracted from the key performance indicator (KPI) reports of the Working on Fire Programmes (WoFire) for the financial years </w:t>
      </w:r>
      <w:r w:rsidR="00A93DC5">
        <w:rPr>
          <w:rFonts w:ascii="Arial Narrow" w:hAnsi="Arial Narrow"/>
          <w:sz w:val="24"/>
          <w:szCs w:val="24"/>
        </w:rPr>
        <w:t>under review</w:t>
      </w:r>
      <w:r w:rsidRPr="00CE3DA2">
        <w:rPr>
          <w:rFonts w:ascii="Arial Narrow" w:hAnsi="Arial Narrow"/>
          <w:sz w:val="24"/>
          <w:szCs w:val="24"/>
        </w:rPr>
        <w:t>.  The 2013/14 financial year data is applicable to the previous contract with the then Department of Water Affairs, WP9191.  The figures for the other three financial years are based on data under the current contract as entered into by Department of Environmental Affairs (DEA)</w:t>
      </w:r>
      <w:r w:rsidR="00B96363">
        <w:rPr>
          <w:rFonts w:ascii="Arial Narrow" w:hAnsi="Arial Narrow"/>
          <w:sz w:val="24"/>
          <w:szCs w:val="24"/>
        </w:rPr>
        <w:t xml:space="preserve"> on 1 April 2014</w:t>
      </w:r>
      <w:r w:rsidRPr="00CE3DA2">
        <w:rPr>
          <w:rFonts w:ascii="Arial Narrow" w:hAnsi="Arial Narrow"/>
          <w:sz w:val="24"/>
          <w:szCs w:val="24"/>
        </w:rPr>
        <w:t xml:space="preserve">.  </w:t>
      </w:r>
    </w:p>
    <w:p w:rsidR="00CE3DA2" w:rsidRDefault="00D13B89" w:rsidP="00CE3DA2">
      <w:pPr>
        <w:jc w:val="both"/>
        <w:rPr>
          <w:rFonts w:ascii="Arial Narrow" w:hAnsi="Arial Narrow"/>
          <w:sz w:val="24"/>
          <w:szCs w:val="24"/>
        </w:rPr>
      </w:pPr>
      <w:r w:rsidRPr="00CE3DA2">
        <w:rPr>
          <w:rFonts w:ascii="Arial Narrow" w:hAnsi="Arial Narrow"/>
          <w:sz w:val="24"/>
          <w:szCs w:val="24"/>
        </w:rPr>
        <w:t>As the request from the Portfolio Committee on the Environment on the 18</w:t>
      </w:r>
      <w:r w:rsidRPr="00CE3DA2">
        <w:rPr>
          <w:rFonts w:ascii="Arial Narrow" w:hAnsi="Arial Narrow"/>
          <w:sz w:val="24"/>
          <w:szCs w:val="24"/>
          <w:vertAlign w:val="superscript"/>
        </w:rPr>
        <w:t>th</w:t>
      </w:r>
      <w:r w:rsidRPr="00CE3DA2">
        <w:rPr>
          <w:rFonts w:ascii="Arial Narrow" w:hAnsi="Arial Narrow"/>
          <w:sz w:val="24"/>
          <w:szCs w:val="24"/>
        </w:rPr>
        <w:t xml:space="preserve"> October 2016 focused on financial information, more particular on expenditure and funding sources some emphasis was placed on these indicators.  Presenting financial figures </w:t>
      </w:r>
      <w:r w:rsidR="00A734D4">
        <w:rPr>
          <w:rFonts w:ascii="Arial Narrow" w:hAnsi="Arial Narrow"/>
          <w:sz w:val="24"/>
          <w:szCs w:val="24"/>
        </w:rPr>
        <w:t>without a geographical and operational context</w:t>
      </w:r>
      <w:r w:rsidRPr="00CE3DA2">
        <w:rPr>
          <w:rFonts w:ascii="Arial Narrow" w:hAnsi="Arial Narrow"/>
          <w:sz w:val="24"/>
          <w:szCs w:val="24"/>
        </w:rPr>
        <w:t xml:space="preserve"> would not </w:t>
      </w:r>
      <w:r w:rsidR="00A734D4">
        <w:rPr>
          <w:rFonts w:ascii="Arial Narrow" w:hAnsi="Arial Narrow"/>
          <w:sz w:val="24"/>
          <w:szCs w:val="24"/>
        </w:rPr>
        <w:t>present a thorough</w:t>
      </w:r>
      <w:r w:rsidRPr="00CE3DA2">
        <w:rPr>
          <w:rFonts w:ascii="Arial Narrow" w:hAnsi="Arial Narrow"/>
          <w:sz w:val="24"/>
          <w:szCs w:val="24"/>
        </w:rPr>
        <w:t xml:space="preserve"> </w:t>
      </w:r>
      <w:r w:rsidR="00A734D4">
        <w:rPr>
          <w:rFonts w:ascii="Arial Narrow" w:hAnsi="Arial Narrow"/>
          <w:sz w:val="24"/>
          <w:szCs w:val="24"/>
        </w:rPr>
        <w:t>overview to the programme though.  Data</w:t>
      </w:r>
      <w:r w:rsidRPr="00CE3DA2">
        <w:rPr>
          <w:rFonts w:ascii="Arial Narrow" w:hAnsi="Arial Narrow"/>
          <w:sz w:val="24"/>
          <w:szCs w:val="24"/>
        </w:rPr>
        <w:t xml:space="preserve"> for some key </w:t>
      </w:r>
      <w:r w:rsidR="00A734D4">
        <w:rPr>
          <w:rFonts w:ascii="Arial Narrow" w:hAnsi="Arial Narrow"/>
          <w:sz w:val="24"/>
          <w:szCs w:val="24"/>
        </w:rPr>
        <w:t xml:space="preserve">operational </w:t>
      </w:r>
      <w:r w:rsidRPr="00CE3DA2">
        <w:rPr>
          <w:rFonts w:ascii="Arial Narrow" w:hAnsi="Arial Narrow"/>
          <w:sz w:val="24"/>
          <w:szCs w:val="24"/>
        </w:rPr>
        <w:t>indicators where therefore also extracted.  These included, training, number of fire</w:t>
      </w:r>
      <w:r w:rsidR="00A734D4">
        <w:rPr>
          <w:rFonts w:ascii="Arial Narrow" w:hAnsi="Arial Narrow"/>
          <w:sz w:val="24"/>
          <w:szCs w:val="24"/>
        </w:rPr>
        <w:t>s</w:t>
      </w:r>
      <w:r w:rsidRPr="00CE3DA2">
        <w:rPr>
          <w:rFonts w:ascii="Arial Narrow" w:hAnsi="Arial Narrow"/>
          <w:sz w:val="24"/>
          <w:szCs w:val="24"/>
        </w:rPr>
        <w:t xml:space="preserve"> attended to, estimated hectares of fire attended to, hectares of manual fuel load reduction, hectares of burnt fire belts, hectares of prescribed burning and high level employment figures.</w:t>
      </w:r>
    </w:p>
    <w:p w:rsidR="00CE3DA2" w:rsidRPr="004F24C4" w:rsidRDefault="00CE3DA2" w:rsidP="00CE3DA2">
      <w:pPr>
        <w:pStyle w:val="ListParagraph"/>
        <w:numPr>
          <w:ilvl w:val="0"/>
          <w:numId w:val="1"/>
        </w:numPr>
        <w:jc w:val="both"/>
        <w:rPr>
          <w:rFonts w:ascii="Arial Narrow" w:hAnsi="Arial Narrow"/>
          <w:b/>
          <w:sz w:val="24"/>
          <w:szCs w:val="24"/>
        </w:rPr>
      </w:pPr>
      <w:r w:rsidRPr="004F24C4">
        <w:rPr>
          <w:rFonts w:ascii="Arial Narrow" w:hAnsi="Arial Narrow"/>
          <w:b/>
          <w:sz w:val="24"/>
          <w:szCs w:val="24"/>
        </w:rPr>
        <w:t>GEOGRAPHICAL OVERVIEW</w:t>
      </w:r>
    </w:p>
    <w:p w:rsidR="00A734D4" w:rsidRPr="00A734D4" w:rsidRDefault="00A734D4" w:rsidP="00A734D4">
      <w:pPr>
        <w:jc w:val="both"/>
        <w:rPr>
          <w:rFonts w:ascii="Arial Narrow" w:hAnsi="Arial Narrow" w:cs="Tahoma"/>
          <w:sz w:val="24"/>
          <w:szCs w:val="24"/>
        </w:rPr>
      </w:pPr>
      <w:r w:rsidRPr="00A734D4">
        <w:rPr>
          <w:rFonts w:ascii="Arial Narrow" w:hAnsi="Arial Narrow" w:cs="Tahoma"/>
          <w:sz w:val="24"/>
          <w:szCs w:val="24"/>
        </w:rPr>
        <w:t>Most of South Africa’s biologically diverse ecosystems are fire adapted and in fact depend on fire to regenerate and survive (Figure 1) (Forsyth et al. 2010; Le Maitre et al. 2014).</w:t>
      </w:r>
    </w:p>
    <w:tbl>
      <w:tblPr>
        <w:tblStyle w:val="TableGrid"/>
        <w:tblW w:w="0" w:type="auto"/>
        <w:tblInd w:w="675" w:type="dxa"/>
        <w:tblLook w:val="04A0" w:firstRow="1" w:lastRow="0" w:firstColumn="1" w:lastColumn="0" w:noHBand="0" w:noVBand="1"/>
      </w:tblPr>
      <w:tblGrid>
        <w:gridCol w:w="8077"/>
      </w:tblGrid>
      <w:tr w:rsidR="00A734D4" w:rsidRPr="00A734D4" w:rsidTr="007F3485">
        <w:tc>
          <w:tcPr>
            <w:tcW w:w="6379" w:type="dxa"/>
          </w:tcPr>
          <w:p w:rsidR="00A734D4" w:rsidRPr="00A734D4" w:rsidRDefault="00A734D4" w:rsidP="00A734D4">
            <w:pPr>
              <w:spacing w:line="276" w:lineRule="auto"/>
              <w:rPr>
                <w:rFonts w:ascii="Arial Narrow" w:hAnsi="Arial Narrow" w:cs="Tahoma"/>
                <w:sz w:val="24"/>
                <w:szCs w:val="24"/>
              </w:rPr>
            </w:pPr>
            <w:r w:rsidRPr="00A734D4">
              <w:rPr>
                <w:rFonts w:ascii="Arial Narrow" w:hAnsi="Arial Narrow" w:cs="Tahoma"/>
                <w:sz w:val="24"/>
                <w:szCs w:val="24"/>
              </w:rPr>
              <w:t>Figure 1:  Untransformed fire-prone vegetation, forest plantations, degraded vegetation and wetlands in South Africa.</w:t>
            </w:r>
            <w:r w:rsidRPr="00A734D4">
              <w:rPr>
                <w:sz w:val="24"/>
                <w:szCs w:val="24"/>
              </w:rPr>
              <w:t xml:space="preserve"> </w:t>
            </w:r>
            <w:r w:rsidRPr="00A734D4">
              <w:rPr>
                <w:rFonts w:ascii="Arial Narrow" w:hAnsi="Arial Narrow" w:cs="Tahoma"/>
                <w:sz w:val="24"/>
                <w:szCs w:val="24"/>
              </w:rPr>
              <w:t xml:space="preserve"> (</w:t>
            </w:r>
            <w:r w:rsidRPr="00A734D4">
              <w:rPr>
                <w:rFonts w:ascii="Arial Narrow" w:hAnsi="Arial Narrow"/>
                <w:sz w:val="24"/>
                <w:szCs w:val="24"/>
              </w:rPr>
              <w:t>Van den berg et al. 2008; Forsyth et al. 2010</w:t>
            </w:r>
            <w:r>
              <w:rPr>
                <w:rFonts w:ascii="Arial Narrow" w:hAnsi="Arial Narrow"/>
                <w:sz w:val="24"/>
                <w:szCs w:val="24"/>
              </w:rPr>
              <w:t>)</w:t>
            </w:r>
          </w:p>
        </w:tc>
      </w:tr>
      <w:tr w:rsidR="00A734D4" w:rsidRPr="00A734D4" w:rsidTr="007F3485">
        <w:tc>
          <w:tcPr>
            <w:tcW w:w="6379" w:type="dxa"/>
          </w:tcPr>
          <w:p w:rsidR="00A734D4" w:rsidRPr="00A734D4" w:rsidRDefault="00A734D4" w:rsidP="007F3485">
            <w:pPr>
              <w:spacing w:line="276" w:lineRule="auto"/>
              <w:jc w:val="both"/>
              <w:rPr>
                <w:rFonts w:ascii="Arial Narrow" w:hAnsi="Arial Narrow" w:cs="Tahoma"/>
                <w:sz w:val="24"/>
                <w:szCs w:val="24"/>
              </w:rPr>
            </w:pPr>
            <w:r w:rsidRPr="00A734D4">
              <w:rPr>
                <w:rFonts w:ascii="Arial Narrow" w:hAnsi="Arial Narrow" w:cs="Tahoma"/>
                <w:noProof/>
                <w:sz w:val="24"/>
                <w:szCs w:val="24"/>
                <w:lang w:eastAsia="en-ZA"/>
              </w:rPr>
              <w:t xml:space="preserve"> </w:t>
            </w:r>
            <w:r w:rsidRPr="00A734D4">
              <w:rPr>
                <w:rFonts w:ascii="Arial Narrow" w:hAnsi="Arial Narrow" w:cs="Tahoma"/>
                <w:noProof/>
                <w:sz w:val="24"/>
                <w:szCs w:val="24"/>
                <w:lang w:eastAsia="en-ZA"/>
              </w:rPr>
              <w:drawing>
                <wp:inline distT="0" distB="0" distL="0" distR="0" wp14:anchorId="4A77B5CA" wp14:editId="6D85E29E">
                  <wp:extent cx="4991819" cy="37438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3058" cy="3752293"/>
                          </a:xfrm>
                          <a:prstGeom prst="rect">
                            <a:avLst/>
                          </a:prstGeom>
                        </pic:spPr>
                      </pic:pic>
                    </a:graphicData>
                  </a:graphic>
                </wp:inline>
              </w:drawing>
            </w:r>
          </w:p>
        </w:tc>
      </w:tr>
    </w:tbl>
    <w:p w:rsidR="00A734D4" w:rsidRPr="00A734D4" w:rsidRDefault="00A734D4" w:rsidP="0037148E">
      <w:pPr>
        <w:jc w:val="both"/>
        <w:rPr>
          <w:rFonts w:ascii="Arial Narrow" w:hAnsi="Arial Narrow"/>
          <w:sz w:val="24"/>
          <w:szCs w:val="24"/>
        </w:rPr>
      </w:pPr>
    </w:p>
    <w:p w:rsidR="0037148E" w:rsidRDefault="00A734D4" w:rsidP="0037148E">
      <w:pPr>
        <w:jc w:val="both"/>
        <w:rPr>
          <w:rFonts w:ascii="Arial Narrow" w:hAnsi="Arial Narrow"/>
          <w:sz w:val="24"/>
          <w:szCs w:val="24"/>
        </w:rPr>
      </w:pPr>
      <w:r>
        <w:rPr>
          <w:rFonts w:ascii="Arial Narrow" w:hAnsi="Arial Narrow"/>
          <w:sz w:val="24"/>
          <w:szCs w:val="24"/>
        </w:rPr>
        <w:t>Figure 2 b</w:t>
      </w:r>
      <w:r w:rsidR="0037148E">
        <w:rPr>
          <w:rFonts w:ascii="Arial Narrow" w:hAnsi="Arial Narrow"/>
          <w:sz w:val="24"/>
          <w:szCs w:val="24"/>
        </w:rPr>
        <w:t xml:space="preserve">elow </w:t>
      </w:r>
      <w:r>
        <w:rPr>
          <w:rFonts w:ascii="Arial Narrow" w:hAnsi="Arial Narrow"/>
          <w:sz w:val="24"/>
          <w:szCs w:val="24"/>
        </w:rPr>
        <w:t>shows</w:t>
      </w:r>
      <w:r w:rsidR="0037148E">
        <w:rPr>
          <w:rFonts w:ascii="Arial Narrow" w:hAnsi="Arial Narrow"/>
          <w:sz w:val="24"/>
          <w:szCs w:val="24"/>
        </w:rPr>
        <w:t xml:space="preserve"> </w:t>
      </w:r>
      <w:r>
        <w:rPr>
          <w:rFonts w:ascii="Arial Narrow" w:hAnsi="Arial Narrow"/>
          <w:sz w:val="24"/>
          <w:szCs w:val="24"/>
        </w:rPr>
        <w:t>distribution of Working on Fire (WoF) bases</w:t>
      </w:r>
      <w:r w:rsidR="0037148E">
        <w:rPr>
          <w:rFonts w:ascii="Arial Narrow" w:hAnsi="Arial Narrow"/>
          <w:sz w:val="24"/>
          <w:szCs w:val="24"/>
        </w:rPr>
        <w:t xml:space="preserve"> during the 2015/16 financial year.</w:t>
      </w:r>
    </w:p>
    <w:p w:rsidR="008C4C96" w:rsidRDefault="008C4C96" w:rsidP="0037148E">
      <w:pPr>
        <w:jc w:val="both"/>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Default="00A734D4" w:rsidP="0037148E">
            <w:pPr>
              <w:jc w:val="both"/>
              <w:rPr>
                <w:rFonts w:ascii="Arial Narrow" w:hAnsi="Arial Narrow"/>
                <w:sz w:val="24"/>
                <w:szCs w:val="24"/>
              </w:rPr>
            </w:pPr>
            <w:r>
              <w:rPr>
                <w:rFonts w:ascii="Arial Narrow" w:hAnsi="Arial Narrow"/>
                <w:sz w:val="24"/>
                <w:szCs w:val="24"/>
              </w:rPr>
              <w:t>Figure 2: Most recent distribution of WoF (including high altitude invasive alien plant clearing teams) bases.</w:t>
            </w:r>
          </w:p>
        </w:tc>
      </w:tr>
      <w:tr w:rsidR="00A734D4" w:rsidTr="00A734D4">
        <w:tc>
          <w:tcPr>
            <w:tcW w:w="9242" w:type="dxa"/>
          </w:tcPr>
          <w:p w:rsidR="00A734D4" w:rsidRDefault="00A734D4" w:rsidP="00A734D4">
            <w:pPr>
              <w:jc w:val="center"/>
              <w:rPr>
                <w:rFonts w:ascii="Arial Narrow" w:hAnsi="Arial Narrow"/>
                <w:sz w:val="24"/>
                <w:szCs w:val="24"/>
              </w:rPr>
            </w:pPr>
            <w:r w:rsidRPr="00A734D4">
              <w:rPr>
                <w:rFonts w:ascii="Arial Narrow" w:hAnsi="Arial Narrow"/>
                <w:noProof/>
                <w:sz w:val="24"/>
                <w:szCs w:val="24"/>
                <w:lang w:eastAsia="en-ZA"/>
              </w:rPr>
              <w:drawing>
                <wp:inline distT="0" distB="0" distL="0" distR="0" wp14:anchorId="17DA17BB" wp14:editId="24CD323C">
                  <wp:extent cx="5771734" cy="4080294"/>
                  <wp:effectExtent l="0" t="0" r="635" b="0"/>
                  <wp:docPr id="2050" name="Picture 2" descr="C:\Users\Lynne\Downloads\Dispatch_2016_Slidesho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Lynne\Downloads\Dispatch_2016_Slideshow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1607" cy="4080204"/>
                          </a:xfrm>
                          <a:prstGeom prst="rect">
                            <a:avLst/>
                          </a:prstGeom>
                          <a:noFill/>
                          <a:extLst/>
                        </pic:spPr>
                      </pic:pic>
                    </a:graphicData>
                  </a:graphic>
                </wp:inline>
              </w:drawing>
            </w:r>
          </w:p>
        </w:tc>
      </w:tr>
    </w:tbl>
    <w:p w:rsidR="00A734D4" w:rsidRDefault="00A734D4" w:rsidP="0037148E">
      <w:pPr>
        <w:jc w:val="both"/>
        <w:rPr>
          <w:rFonts w:ascii="Arial Narrow" w:hAnsi="Arial Narrow"/>
          <w:sz w:val="24"/>
          <w:szCs w:val="24"/>
        </w:rPr>
      </w:pPr>
    </w:p>
    <w:p w:rsidR="00A734D4" w:rsidRDefault="00A734D4" w:rsidP="0037148E">
      <w:pPr>
        <w:jc w:val="both"/>
        <w:rPr>
          <w:rFonts w:ascii="Arial Narrow" w:hAnsi="Arial Narrow"/>
          <w:sz w:val="24"/>
          <w:szCs w:val="24"/>
        </w:rPr>
      </w:pPr>
      <w:r>
        <w:rPr>
          <w:rFonts w:ascii="Arial Narrow" w:hAnsi="Arial Narrow"/>
          <w:sz w:val="24"/>
          <w:szCs w:val="24"/>
        </w:rPr>
        <w:t>From the map it is clear that teams are being deployed within the fire prone biomes of the country.  In large parts of the Northern Cape (the Great Karroo) no teams are based.  Figure 1 clearly illustrates why no teams are needed there</w:t>
      </w:r>
      <w:r w:rsidR="008C4C96">
        <w:rPr>
          <w:rFonts w:ascii="Arial Narrow" w:hAnsi="Arial Narrow"/>
          <w:sz w:val="24"/>
          <w:szCs w:val="24"/>
        </w:rPr>
        <w:t xml:space="preserve"> as the vegetation in these areas is not fire prone</w:t>
      </w:r>
      <w:r>
        <w:rPr>
          <w:rFonts w:ascii="Arial Narrow" w:hAnsi="Arial Narrow"/>
          <w:sz w:val="24"/>
          <w:szCs w:val="24"/>
        </w:rPr>
        <w:t xml:space="preserve">. Over the last number of years there was </w:t>
      </w:r>
      <w:r w:rsidR="008C4C96">
        <w:rPr>
          <w:rFonts w:ascii="Arial Narrow" w:hAnsi="Arial Narrow"/>
          <w:sz w:val="24"/>
          <w:szCs w:val="24"/>
        </w:rPr>
        <w:t xml:space="preserve">a </w:t>
      </w:r>
      <w:r>
        <w:rPr>
          <w:rFonts w:ascii="Arial Narrow" w:hAnsi="Arial Narrow"/>
          <w:sz w:val="24"/>
          <w:szCs w:val="24"/>
        </w:rPr>
        <w:t>gradual shift in the placement of teams towards resource poor areas.  This does come with additional costs to the programme as generally there are few</w:t>
      </w:r>
      <w:r w:rsidR="008C4C96">
        <w:rPr>
          <w:rFonts w:ascii="Arial Narrow" w:hAnsi="Arial Narrow"/>
          <w:sz w:val="24"/>
          <w:szCs w:val="24"/>
        </w:rPr>
        <w:t>er</w:t>
      </w:r>
      <w:r>
        <w:rPr>
          <w:rFonts w:ascii="Arial Narrow" w:hAnsi="Arial Narrow"/>
          <w:sz w:val="24"/>
          <w:szCs w:val="24"/>
        </w:rPr>
        <w:t xml:space="preserve"> funding partners in these areas.  Figure 3 shows the impact sphere of the programme.  Assuming a 1</w:t>
      </w:r>
      <w:r w:rsidR="008C4C96">
        <w:rPr>
          <w:rFonts w:ascii="Arial Narrow" w:hAnsi="Arial Narrow"/>
          <w:sz w:val="24"/>
          <w:szCs w:val="24"/>
        </w:rPr>
        <w:t xml:space="preserve">00km radius for resources </w:t>
      </w:r>
      <w:r>
        <w:rPr>
          <w:rFonts w:ascii="Arial Narrow" w:hAnsi="Arial Narrow"/>
          <w:sz w:val="24"/>
          <w:szCs w:val="24"/>
        </w:rPr>
        <w:t>deployed the map shows what part of the country is covered by the programme.  This does not mean that teams cannot be deployed outside these areas.  It’s not uncommon for teams to be deployed outside the 100 km radius.  During disaster fires teams from Cape Town can and are being deployed in Limpopo or any other part of the country and vice versa.</w:t>
      </w:r>
    </w:p>
    <w:p w:rsidR="00A734D4" w:rsidRDefault="00A734D4" w:rsidP="0037148E">
      <w:pPr>
        <w:jc w:val="both"/>
        <w:rPr>
          <w:rFonts w:ascii="Arial Narrow" w:hAnsi="Arial Narrow"/>
          <w:sz w:val="24"/>
          <w:szCs w:val="24"/>
        </w:rPr>
      </w:pPr>
    </w:p>
    <w:p w:rsidR="00A734D4" w:rsidRDefault="00A734D4" w:rsidP="0037148E">
      <w:pPr>
        <w:jc w:val="both"/>
        <w:rPr>
          <w:rFonts w:ascii="Arial Narrow" w:hAnsi="Arial Narrow"/>
          <w:sz w:val="24"/>
          <w:szCs w:val="24"/>
        </w:rPr>
      </w:pPr>
    </w:p>
    <w:p w:rsidR="008C4C96" w:rsidRDefault="008C4C96" w:rsidP="0037148E">
      <w:pPr>
        <w:jc w:val="both"/>
        <w:rPr>
          <w:rFonts w:ascii="Arial Narrow" w:hAnsi="Arial Narrow"/>
          <w:sz w:val="24"/>
          <w:szCs w:val="24"/>
        </w:rPr>
      </w:pP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Default="00A734D4" w:rsidP="0037148E">
            <w:pPr>
              <w:jc w:val="both"/>
              <w:rPr>
                <w:rFonts w:ascii="Arial Narrow" w:hAnsi="Arial Narrow"/>
                <w:sz w:val="24"/>
                <w:szCs w:val="24"/>
              </w:rPr>
            </w:pPr>
            <w:r>
              <w:rPr>
                <w:rFonts w:ascii="Arial Narrow" w:hAnsi="Arial Narrow"/>
                <w:sz w:val="24"/>
                <w:szCs w:val="24"/>
              </w:rPr>
              <w:lastRenderedPageBreak/>
              <w:t>Figure 3: The area of the country covered by WoF bases assuming a 100km radius around the base.</w:t>
            </w:r>
          </w:p>
        </w:tc>
      </w:tr>
      <w:tr w:rsidR="00A734D4" w:rsidTr="00A734D4">
        <w:tc>
          <w:tcPr>
            <w:tcW w:w="9242" w:type="dxa"/>
          </w:tcPr>
          <w:p w:rsidR="00A734D4" w:rsidRDefault="00A734D4" w:rsidP="00A734D4">
            <w:pPr>
              <w:jc w:val="center"/>
              <w:rPr>
                <w:rFonts w:ascii="Arial Narrow" w:hAnsi="Arial Narrow"/>
                <w:sz w:val="24"/>
                <w:szCs w:val="24"/>
              </w:rPr>
            </w:pPr>
            <w:r w:rsidRPr="00CE3DA2">
              <w:rPr>
                <w:rFonts w:ascii="Arial Narrow" w:hAnsi="Arial Narrow"/>
                <w:noProof/>
                <w:sz w:val="24"/>
                <w:szCs w:val="24"/>
                <w:lang w:eastAsia="en-ZA"/>
              </w:rPr>
              <w:drawing>
                <wp:inline distT="0" distB="0" distL="0" distR="0" wp14:anchorId="7781358D" wp14:editId="32F0535E">
                  <wp:extent cx="5497903" cy="41234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04719" cy="4128539"/>
                          </a:xfrm>
                          <a:prstGeom prst="rect">
                            <a:avLst/>
                          </a:prstGeom>
                        </pic:spPr>
                      </pic:pic>
                    </a:graphicData>
                  </a:graphic>
                </wp:inline>
              </w:drawing>
            </w:r>
          </w:p>
        </w:tc>
      </w:tr>
    </w:tbl>
    <w:p w:rsidR="00A734D4" w:rsidRDefault="00A734D4" w:rsidP="0037148E">
      <w:pPr>
        <w:jc w:val="both"/>
        <w:rPr>
          <w:rFonts w:ascii="Arial Narrow" w:hAnsi="Arial Narrow"/>
          <w:sz w:val="24"/>
          <w:szCs w:val="24"/>
        </w:rPr>
      </w:pPr>
    </w:p>
    <w:p w:rsidR="00CE3DA2" w:rsidRDefault="00A734D4" w:rsidP="00CE3DA2">
      <w:pPr>
        <w:jc w:val="both"/>
        <w:rPr>
          <w:rFonts w:ascii="Arial Narrow" w:hAnsi="Arial Narrow"/>
          <w:sz w:val="24"/>
          <w:szCs w:val="24"/>
        </w:rPr>
      </w:pPr>
      <w:r>
        <w:rPr>
          <w:rFonts w:ascii="Arial Narrow" w:hAnsi="Arial Narrow"/>
          <w:sz w:val="24"/>
          <w:szCs w:val="24"/>
        </w:rPr>
        <w:t>Historically the deployment of well-equipped veld and forest fire management resources were largely focused around the commercial forestry areas of the country. During the 1970’s and 80’s some resources were also placed in the mountain catchment areas and state forests declared under the Mountain Catchment Areas Act of 1970 and the Forest Act.  Limited support was given to agricultural and especially communal areas</w:t>
      </w:r>
      <w:r w:rsidR="008C4C96">
        <w:rPr>
          <w:rFonts w:ascii="Arial Narrow" w:hAnsi="Arial Narrow"/>
          <w:sz w:val="24"/>
          <w:szCs w:val="24"/>
        </w:rPr>
        <w:t xml:space="preserve"> though</w:t>
      </w:r>
      <w:r>
        <w:rPr>
          <w:rFonts w:ascii="Arial Narrow" w:hAnsi="Arial Narrow"/>
          <w:sz w:val="24"/>
          <w:szCs w:val="24"/>
        </w:rPr>
        <w:t>.  With the launch of WoF this all changed to the point where the country’s fire prone areas are well covered by resources.  The bulk of the land covered by WoF is now agricultural</w:t>
      </w:r>
      <w:r w:rsidR="008C4C96">
        <w:rPr>
          <w:rFonts w:ascii="Arial Narrow" w:hAnsi="Arial Narrow"/>
          <w:sz w:val="24"/>
          <w:szCs w:val="24"/>
        </w:rPr>
        <w:t>, including communal areas</w:t>
      </w:r>
      <w:r>
        <w:rPr>
          <w:rFonts w:ascii="Arial Narrow" w:hAnsi="Arial Narrow"/>
          <w:sz w:val="24"/>
          <w:szCs w:val="24"/>
        </w:rPr>
        <w:t xml:space="preserve"> and commercial forestry land as can be seen in figure 3.  As the Department of Agriculture Forestry and Fisheries is a key partner the support for state forest plantations are also shown </w:t>
      </w:r>
      <w:r w:rsidR="008C4C96">
        <w:rPr>
          <w:rFonts w:ascii="Arial Narrow" w:hAnsi="Arial Narrow"/>
          <w:sz w:val="24"/>
          <w:szCs w:val="24"/>
        </w:rPr>
        <w:t>as a separate category in the pie chart of</w:t>
      </w:r>
      <w:r>
        <w:rPr>
          <w:rFonts w:ascii="Arial Narrow" w:hAnsi="Arial Narrow"/>
          <w:sz w:val="24"/>
          <w:szCs w:val="24"/>
        </w:rPr>
        <w:t xml:space="preserve"> figure 4.  Supporting agricultural areas means that the programme makes a significant contribution to maintain the ecological integrity of fire prone biomes while securing the livelihoods of people involved in the agricultural sector but also the overall food security of the country.  Of particular importance to Department of Environmental affairs</w:t>
      </w:r>
      <w:r w:rsidR="008C4C96">
        <w:rPr>
          <w:rFonts w:ascii="Arial Narrow" w:hAnsi="Arial Narrow"/>
          <w:sz w:val="24"/>
          <w:szCs w:val="24"/>
        </w:rPr>
        <w:t xml:space="preserve"> is the extent of protected and communal areas</w:t>
      </w:r>
      <w:r>
        <w:rPr>
          <w:rFonts w:ascii="Arial Narrow" w:hAnsi="Arial Narrow"/>
          <w:sz w:val="24"/>
          <w:szCs w:val="24"/>
        </w:rPr>
        <w:t xml:space="preserve"> being </w:t>
      </w:r>
      <w:r w:rsidR="008C4C96">
        <w:rPr>
          <w:rFonts w:ascii="Arial Narrow" w:hAnsi="Arial Narrow"/>
          <w:sz w:val="24"/>
          <w:szCs w:val="24"/>
        </w:rPr>
        <w:t>supported</w:t>
      </w:r>
      <w:r>
        <w:rPr>
          <w:rFonts w:ascii="Arial Narrow" w:hAnsi="Arial Narrow"/>
          <w:sz w:val="24"/>
          <w:szCs w:val="24"/>
        </w:rPr>
        <w:t xml:space="preserve"> by the programme.</w:t>
      </w:r>
    </w:p>
    <w:p w:rsidR="00A734D4" w:rsidRDefault="00A734D4" w:rsidP="005E79A7">
      <w:pPr>
        <w:jc w:val="both"/>
        <w:rPr>
          <w:rFonts w:ascii="Arial Narrow" w:hAnsi="Arial Narrow"/>
          <w:sz w:val="24"/>
          <w:szCs w:val="24"/>
        </w:rPr>
      </w:pPr>
      <w:r>
        <w:rPr>
          <w:rFonts w:ascii="Arial Narrow" w:hAnsi="Arial Narrow"/>
          <w:sz w:val="24"/>
          <w:szCs w:val="24"/>
        </w:rPr>
        <w:t>The institutional partners in the agricultural land category are Fire Protection Associations and local authorities</w:t>
      </w:r>
      <w:r w:rsidR="00B96363">
        <w:rPr>
          <w:rFonts w:ascii="Arial Narrow" w:hAnsi="Arial Narrow"/>
          <w:sz w:val="24"/>
          <w:szCs w:val="24"/>
        </w:rPr>
        <w:t xml:space="preserve"> in</w:t>
      </w:r>
      <w:r w:rsidR="008C4C96">
        <w:rPr>
          <w:rFonts w:ascii="Arial Narrow" w:hAnsi="Arial Narrow"/>
          <w:sz w:val="24"/>
          <w:szCs w:val="24"/>
        </w:rPr>
        <w:t xml:space="preserve"> support of DAFF and DCOG</w:t>
      </w:r>
      <w:r>
        <w:rPr>
          <w:rFonts w:ascii="Arial Narrow" w:hAnsi="Arial Narrow"/>
          <w:sz w:val="24"/>
          <w:szCs w:val="24"/>
        </w:rPr>
        <w:t>. The national distribution of the deployment of fire fighters expressed as person days worked is shown in figure 4 below.  It must be noted that the country has effectively two fire seasons.  In the summer rainfall areas the highest fire danger indices recorded are during the winter months, while in the Western Cape which has a Mediterranean climate and therefore gets its rain during winter the</w:t>
      </w:r>
      <w:r w:rsidR="008C4C96">
        <w:rPr>
          <w:rFonts w:ascii="Arial Narrow" w:hAnsi="Arial Narrow"/>
          <w:sz w:val="24"/>
          <w:szCs w:val="24"/>
        </w:rPr>
        <w:t xml:space="preserve"> fire</w:t>
      </w:r>
      <w:r>
        <w:rPr>
          <w:rFonts w:ascii="Arial Narrow" w:hAnsi="Arial Narrow"/>
          <w:sz w:val="24"/>
          <w:szCs w:val="24"/>
        </w:rPr>
        <w:t xml:space="preserve"> season is during the hot summer months of the year.  The highest </w:t>
      </w:r>
      <w:r>
        <w:rPr>
          <w:rFonts w:ascii="Arial Narrow" w:hAnsi="Arial Narrow"/>
          <w:sz w:val="24"/>
          <w:szCs w:val="24"/>
        </w:rPr>
        <w:lastRenderedPageBreak/>
        <w:t xml:space="preserve">team densities occur in KwaZulu-Natal and Gauteng where the programme has a number of very strong partners.  </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Default="00A734D4" w:rsidP="00A734D4">
            <w:pPr>
              <w:rPr>
                <w:rFonts w:ascii="Arial Narrow" w:hAnsi="Arial Narrow"/>
                <w:sz w:val="24"/>
                <w:szCs w:val="24"/>
              </w:rPr>
            </w:pPr>
            <w:r>
              <w:rPr>
                <w:rFonts w:ascii="Arial Narrow" w:hAnsi="Arial Narrow"/>
                <w:sz w:val="24"/>
                <w:szCs w:val="24"/>
              </w:rPr>
              <w:t>Figure 3: Distribution of resources per partner category.</w:t>
            </w:r>
          </w:p>
        </w:tc>
      </w:tr>
      <w:tr w:rsidR="00A734D4" w:rsidTr="00A734D4">
        <w:tc>
          <w:tcPr>
            <w:tcW w:w="9242" w:type="dxa"/>
          </w:tcPr>
          <w:p w:rsidR="00A734D4" w:rsidRDefault="00A734D4" w:rsidP="00A734D4">
            <w:pPr>
              <w:jc w:val="center"/>
              <w:rPr>
                <w:rFonts w:ascii="Arial Narrow" w:hAnsi="Arial Narrow"/>
                <w:sz w:val="24"/>
                <w:szCs w:val="24"/>
              </w:rPr>
            </w:pPr>
            <w:r w:rsidRPr="00CE3DA2">
              <w:rPr>
                <w:rFonts w:ascii="Arial Narrow" w:hAnsi="Arial Narrow"/>
                <w:noProof/>
                <w:sz w:val="24"/>
                <w:szCs w:val="24"/>
                <w:lang w:eastAsia="en-ZA"/>
              </w:rPr>
              <w:drawing>
                <wp:inline distT="0" distB="0" distL="0" distR="0" wp14:anchorId="4C669B7C" wp14:editId="1767B3C6">
                  <wp:extent cx="5423142" cy="406735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6711" cy="4070032"/>
                          </a:xfrm>
                          <a:prstGeom prst="rect">
                            <a:avLst/>
                          </a:prstGeom>
                        </pic:spPr>
                      </pic:pic>
                    </a:graphicData>
                  </a:graphic>
                </wp:inline>
              </w:drawing>
            </w:r>
          </w:p>
        </w:tc>
      </w:tr>
    </w:tbl>
    <w:p w:rsidR="00A734D4" w:rsidRDefault="00A734D4" w:rsidP="00CE3DA2">
      <w:pPr>
        <w:jc w:val="both"/>
        <w:rPr>
          <w:rFonts w:ascii="Arial Narrow" w:hAnsi="Arial Narrow"/>
          <w:sz w:val="24"/>
          <w:szCs w:val="24"/>
        </w:rPr>
      </w:pPr>
    </w:p>
    <w:p w:rsidR="00CE3DA2" w:rsidRDefault="00A734D4" w:rsidP="00CE3DA2">
      <w:pPr>
        <w:jc w:val="both"/>
        <w:rPr>
          <w:rFonts w:ascii="Arial Narrow" w:hAnsi="Arial Narrow"/>
          <w:sz w:val="24"/>
          <w:szCs w:val="24"/>
        </w:rPr>
      </w:pPr>
      <w:r>
        <w:rPr>
          <w:rFonts w:ascii="Arial Narrow" w:hAnsi="Arial Narrow"/>
          <w:sz w:val="24"/>
          <w:szCs w:val="24"/>
        </w:rPr>
        <w:t xml:space="preserve">Historically the forestry areas were favoured but over the years the emphasis has gradually shifted to agricultural areas especially resource poor areas.  </w:t>
      </w:r>
      <w:r w:rsidR="005E79A7">
        <w:rPr>
          <w:rFonts w:ascii="Arial Narrow" w:hAnsi="Arial Narrow"/>
          <w:sz w:val="24"/>
          <w:szCs w:val="24"/>
        </w:rPr>
        <w:t>Currently the most resources have been deployed in KwaZulu-Natal.  The allocations need to be measured in terms of the extent of fire prone areas of the province being considered.</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Default="00A734D4" w:rsidP="00CE3DA2">
            <w:pPr>
              <w:jc w:val="both"/>
              <w:rPr>
                <w:rFonts w:ascii="Arial Narrow" w:hAnsi="Arial Narrow"/>
                <w:sz w:val="24"/>
                <w:szCs w:val="24"/>
              </w:rPr>
            </w:pPr>
            <w:r>
              <w:rPr>
                <w:rFonts w:ascii="Arial Narrow" w:hAnsi="Arial Narrow"/>
                <w:sz w:val="24"/>
                <w:szCs w:val="24"/>
              </w:rPr>
              <w:t>Figure 4: The provincial distribution of WoF resources using person days of employment as a proxy for resources deployed.</w:t>
            </w:r>
          </w:p>
        </w:tc>
      </w:tr>
      <w:tr w:rsidR="00A734D4" w:rsidTr="00E833AE">
        <w:tc>
          <w:tcPr>
            <w:tcW w:w="9242" w:type="dxa"/>
          </w:tcPr>
          <w:p w:rsidR="00A734D4" w:rsidRDefault="00E833AE" w:rsidP="00A734D4">
            <w:pPr>
              <w:jc w:val="center"/>
              <w:rPr>
                <w:rFonts w:ascii="Arial Narrow" w:hAnsi="Arial Narrow"/>
                <w:sz w:val="24"/>
                <w:szCs w:val="24"/>
              </w:rPr>
            </w:pPr>
            <w:r>
              <w:rPr>
                <w:noProof/>
                <w:lang w:eastAsia="en-ZA"/>
              </w:rPr>
              <w:drawing>
                <wp:inline distT="0" distB="0" distL="0" distR="0" wp14:anchorId="1A42D1C9" wp14:editId="3A93EF28">
                  <wp:extent cx="5443267" cy="2363638"/>
                  <wp:effectExtent l="0" t="0" r="24130" b="177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8C4C96" w:rsidRDefault="008C4C96" w:rsidP="008C4C96">
      <w:pPr>
        <w:ind w:left="360"/>
        <w:jc w:val="both"/>
        <w:rPr>
          <w:rFonts w:ascii="Arial Narrow" w:hAnsi="Arial Narrow"/>
          <w:b/>
          <w:sz w:val="24"/>
          <w:szCs w:val="24"/>
        </w:rPr>
      </w:pPr>
    </w:p>
    <w:p w:rsidR="00CE3DA2" w:rsidRPr="008C4C96" w:rsidRDefault="00CE3DA2" w:rsidP="008C4C96">
      <w:pPr>
        <w:pStyle w:val="ListParagraph"/>
        <w:numPr>
          <w:ilvl w:val="0"/>
          <w:numId w:val="1"/>
        </w:numPr>
        <w:jc w:val="both"/>
        <w:rPr>
          <w:rFonts w:ascii="Arial Narrow" w:hAnsi="Arial Narrow"/>
          <w:b/>
          <w:sz w:val="24"/>
          <w:szCs w:val="24"/>
        </w:rPr>
      </w:pPr>
      <w:r w:rsidRPr="008C4C96">
        <w:rPr>
          <w:rFonts w:ascii="Arial Narrow" w:hAnsi="Arial Narrow"/>
          <w:b/>
          <w:sz w:val="24"/>
          <w:szCs w:val="24"/>
        </w:rPr>
        <w:t>FINANCIAL INDICATORS AND HIGH LEVEL PERFORMANCE INDICATORS</w:t>
      </w:r>
    </w:p>
    <w:p w:rsidR="00B95D20" w:rsidRDefault="00A734D4" w:rsidP="00B95D20">
      <w:pPr>
        <w:jc w:val="both"/>
        <w:rPr>
          <w:rFonts w:ascii="Arial Narrow" w:hAnsi="Arial Narrow"/>
          <w:b/>
          <w:sz w:val="24"/>
          <w:szCs w:val="24"/>
          <w:highlight w:val="yellow"/>
        </w:rPr>
      </w:pPr>
      <w:r>
        <w:rPr>
          <w:rFonts w:ascii="Arial Narrow" w:hAnsi="Arial Narrow"/>
          <w:sz w:val="24"/>
          <w:szCs w:val="24"/>
        </w:rPr>
        <w:t xml:space="preserve">Table 1 shows the WoF income from different sources.  As can be seen the bulk of the resources is still funded by the EPWP.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191"/>
        <w:gridCol w:w="1273"/>
        <w:gridCol w:w="1355"/>
        <w:gridCol w:w="1191"/>
        <w:gridCol w:w="1273"/>
      </w:tblGrid>
      <w:tr w:rsidR="005E79A7" w:rsidRPr="005E79A7" w:rsidTr="005E79A7">
        <w:trPr>
          <w:trHeight w:val="510"/>
        </w:trPr>
        <w:tc>
          <w:tcPr>
            <w:tcW w:w="0" w:type="auto"/>
            <w:gridSpan w:val="6"/>
            <w:shd w:val="clear" w:color="auto" w:fill="auto"/>
            <w:noWrap/>
            <w:vAlign w:val="bottom"/>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Cs/>
                <w:color w:val="000000"/>
                <w:sz w:val="18"/>
                <w:szCs w:val="18"/>
                <w:lang w:eastAsia="en-ZA"/>
              </w:rPr>
              <w:t>Table 1: Expenditure per programme income streams since 2013/14.  The last column shows the 2016/17 up to the end of September 2016.</w:t>
            </w:r>
          </w:p>
        </w:tc>
      </w:tr>
      <w:tr w:rsidR="005E79A7" w:rsidRPr="005E79A7" w:rsidTr="005E79A7">
        <w:trPr>
          <w:trHeight w:val="51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Sources of funding</w:t>
            </w: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2013/14</w:t>
            </w: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2014/15</w:t>
            </w: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2015/16</w:t>
            </w:r>
          </w:p>
        </w:tc>
        <w:tc>
          <w:tcPr>
            <w:tcW w:w="0" w:type="auto"/>
            <w:shd w:val="clear" w:color="auto" w:fill="auto"/>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2016/17 </w:t>
            </w:r>
            <w:r w:rsidRPr="005E79A7">
              <w:rPr>
                <w:rFonts w:ascii="Arial Narrow" w:eastAsia="Times New Roman" w:hAnsi="Arial Narrow" w:cs="Times New Roman"/>
                <w:b/>
                <w:bCs/>
                <w:color w:val="000000"/>
                <w:sz w:val="18"/>
                <w:szCs w:val="18"/>
                <w:lang w:eastAsia="en-ZA"/>
              </w:rPr>
              <w:br/>
              <w:t>Forecast</w:t>
            </w:r>
          </w:p>
        </w:tc>
        <w:tc>
          <w:tcPr>
            <w:tcW w:w="0" w:type="auto"/>
            <w:shd w:val="clear" w:color="auto" w:fill="auto"/>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2016/17 </w:t>
            </w:r>
            <w:r w:rsidRPr="005E79A7">
              <w:rPr>
                <w:rFonts w:ascii="Arial Narrow" w:eastAsia="Times New Roman" w:hAnsi="Arial Narrow" w:cs="Times New Roman"/>
                <w:b/>
                <w:bCs/>
                <w:color w:val="000000"/>
                <w:sz w:val="18"/>
                <w:szCs w:val="18"/>
                <w:lang w:eastAsia="en-ZA"/>
              </w:rPr>
              <w:br/>
              <w:t>YTD</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p>
        </w:tc>
        <w:tc>
          <w:tcPr>
            <w:tcW w:w="0" w:type="auto"/>
            <w:shd w:val="clear" w:color="auto" w:fill="auto"/>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p>
        </w:tc>
        <w:tc>
          <w:tcPr>
            <w:tcW w:w="0" w:type="auto"/>
            <w:shd w:val="clear" w:color="auto" w:fill="auto"/>
            <w:vAlign w:val="bottom"/>
            <w:hideMark/>
          </w:tcPr>
          <w:p w:rsidR="005E79A7" w:rsidRPr="005E79A7" w:rsidRDefault="005E79A7" w:rsidP="005E79A7">
            <w:pPr>
              <w:spacing w:after="0" w:line="240" w:lineRule="auto"/>
              <w:jc w:val="center"/>
              <w:rPr>
                <w:rFonts w:ascii="Arial Narrow" w:eastAsia="Times New Roman" w:hAnsi="Arial Narrow" w:cs="Times New Roman"/>
                <w:b/>
                <w:bCs/>
                <w:color w:val="000000"/>
                <w:sz w:val="18"/>
                <w:szCs w:val="18"/>
                <w:lang w:eastAsia="en-ZA"/>
              </w:rPr>
            </w:pPr>
          </w:p>
        </w:tc>
      </w:tr>
      <w:tr w:rsidR="005E79A7" w:rsidRPr="005E79A7" w:rsidTr="005E79A7">
        <w:trPr>
          <w:trHeight w:val="255"/>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A. DEA Baseline and Wage Incentive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420 055 719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513 201 748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556 803 876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558 870 873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354 735 063 </w:t>
            </w:r>
          </w:p>
        </w:tc>
      </w:tr>
      <w:tr w:rsidR="005E79A7" w:rsidRPr="005E79A7" w:rsidTr="005E79A7">
        <w:trPr>
          <w:trHeight w:val="255"/>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Gauteng Projects</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7 000 001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7 210 000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7 100 000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7 606 680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Medupi Project</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6 880 432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779 959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2 114 139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Sasol Project and eThekwini Projects</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8 234 575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4 934 938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8 676 812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4 338 406 </w:t>
            </w:r>
          </w:p>
        </w:tc>
      </w:tr>
      <w:tr w:rsidR="005E79A7" w:rsidRPr="005E79A7" w:rsidTr="005E79A7">
        <w:trPr>
          <w:trHeight w:val="525"/>
        </w:trPr>
        <w:tc>
          <w:tcPr>
            <w:tcW w:w="0" w:type="auto"/>
            <w:shd w:val="clear" w:color="auto" w:fill="auto"/>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B. Sub-total partners and participating </w:t>
            </w:r>
            <w:r w:rsidRPr="005E79A7">
              <w:rPr>
                <w:rFonts w:ascii="Arial Narrow" w:eastAsia="Times New Roman" w:hAnsi="Arial Narrow" w:cs="Times New Roman"/>
                <w:b/>
                <w:bCs/>
                <w:color w:val="000000"/>
                <w:sz w:val="18"/>
                <w:szCs w:val="18"/>
                <w:lang w:eastAsia="en-ZA"/>
              </w:rPr>
              <w:br/>
              <w:t xml:space="preserve">    departments</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7 000 001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22 325 007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12 814 897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18 397 630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4 338 406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Aviation Revenue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56 456 999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26 116 233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Recoupments</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3 830 272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6 410 936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1 418 108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1 181 757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Interest Received</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2 780 856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4 246 128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2 595 347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2 162 789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Service Rendered Revenue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13 651 187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8 751 798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9 810 155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4 081 736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Employee Tax Incentive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10 360 625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15 614 730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7 962 830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6 635 692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Other Income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32 798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309 088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2 839 309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 R     1 585 784 </w:t>
            </w:r>
          </w:p>
        </w:tc>
      </w:tr>
      <w:tr w:rsidR="005E79A7" w:rsidRPr="005E79A7" w:rsidTr="005E79A7">
        <w:trPr>
          <w:trHeight w:val="510"/>
        </w:trPr>
        <w:tc>
          <w:tcPr>
            <w:tcW w:w="0" w:type="auto"/>
            <w:shd w:val="clear" w:color="auto" w:fill="auto"/>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C. Sub-total Additional Third Party </w:t>
            </w:r>
            <w:r w:rsidRPr="005E79A7">
              <w:rPr>
                <w:rFonts w:ascii="Arial Narrow" w:eastAsia="Times New Roman" w:hAnsi="Arial Narrow" w:cs="Times New Roman"/>
                <w:b/>
                <w:bCs/>
                <w:color w:val="000000"/>
                <w:sz w:val="18"/>
                <w:szCs w:val="18"/>
                <w:lang w:eastAsia="en-ZA"/>
              </w:rPr>
              <w:br/>
              <w:t xml:space="preserve">    Revenue</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30 655 738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35 332 680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81 082 749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 R    41 763 991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Canada 1</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6 653 273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Indonesia</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5 467 970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Canada 2</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24 560 357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r w:rsidRPr="005E79A7">
              <w:rPr>
                <w:rFonts w:ascii="Arial Narrow" w:eastAsia="Times New Roman" w:hAnsi="Arial Narrow" w:cs="Times New Roman"/>
                <w:color w:val="000000"/>
                <w:sz w:val="18"/>
                <w:szCs w:val="18"/>
                <w:lang w:eastAsia="en-ZA"/>
              </w:rPr>
              <w:t xml:space="preserve">R    24 560 357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D. Sub-total foreign deployments</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12 121 243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24 560 357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24 560 357 </w:t>
            </w:r>
          </w:p>
        </w:tc>
      </w:tr>
      <w:tr w:rsidR="005E79A7" w:rsidRPr="005E79A7" w:rsidTr="005E79A7">
        <w:trPr>
          <w:trHeight w:val="300"/>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color w:val="000000"/>
                <w:sz w:val="18"/>
                <w:szCs w:val="18"/>
                <w:lang w:eastAsia="en-ZA"/>
              </w:rPr>
            </w:pPr>
          </w:p>
        </w:tc>
      </w:tr>
      <w:tr w:rsidR="005E79A7" w:rsidRPr="005E79A7" w:rsidTr="005E79A7">
        <w:trPr>
          <w:trHeight w:val="255"/>
        </w:trPr>
        <w:tc>
          <w:tcPr>
            <w:tcW w:w="0" w:type="auto"/>
            <w:shd w:val="clear" w:color="auto" w:fill="auto"/>
            <w:noWrap/>
            <w:vAlign w:val="bottom"/>
            <w:hideMark/>
          </w:tcPr>
          <w:p w:rsidR="005E79A7" w:rsidRPr="005E79A7" w:rsidRDefault="005E79A7" w:rsidP="005E79A7">
            <w:pPr>
              <w:spacing w:after="0" w:line="240" w:lineRule="auto"/>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Total WoF funding</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427 055 720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566 182 493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617 072 696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682 911 609 </w:t>
            </w:r>
          </w:p>
        </w:tc>
        <w:tc>
          <w:tcPr>
            <w:tcW w:w="0" w:type="auto"/>
            <w:shd w:val="clear" w:color="auto" w:fill="auto"/>
            <w:noWrap/>
            <w:vAlign w:val="bottom"/>
            <w:hideMark/>
          </w:tcPr>
          <w:p w:rsidR="005E79A7" w:rsidRPr="005E79A7" w:rsidRDefault="005E79A7" w:rsidP="005E79A7">
            <w:pPr>
              <w:spacing w:after="0" w:line="240" w:lineRule="auto"/>
              <w:jc w:val="right"/>
              <w:rPr>
                <w:rFonts w:ascii="Arial Narrow" w:eastAsia="Times New Roman" w:hAnsi="Arial Narrow" w:cs="Times New Roman"/>
                <w:b/>
                <w:bCs/>
                <w:color w:val="000000"/>
                <w:sz w:val="18"/>
                <w:szCs w:val="18"/>
                <w:lang w:eastAsia="en-ZA"/>
              </w:rPr>
            </w:pPr>
            <w:r w:rsidRPr="005E79A7">
              <w:rPr>
                <w:rFonts w:ascii="Arial Narrow" w:eastAsia="Times New Roman" w:hAnsi="Arial Narrow" w:cs="Times New Roman"/>
                <w:b/>
                <w:bCs/>
                <w:color w:val="000000"/>
                <w:sz w:val="18"/>
                <w:szCs w:val="18"/>
                <w:lang w:eastAsia="en-ZA"/>
              </w:rPr>
              <w:t xml:space="preserve">R  425 397 817 </w:t>
            </w:r>
          </w:p>
        </w:tc>
      </w:tr>
    </w:tbl>
    <w:p w:rsidR="005E79A7" w:rsidRDefault="005E79A7" w:rsidP="005E79A7">
      <w:pPr>
        <w:jc w:val="both"/>
        <w:rPr>
          <w:rFonts w:ascii="Arial Narrow" w:hAnsi="Arial Narrow"/>
          <w:b/>
          <w:sz w:val="24"/>
          <w:szCs w:val="24"/>
        </w:rPr>
      </w:pPr>
    </w:p>
    <w:p w:rsidR="006F60B0" w:rsidRDefault="006F60B0" w:rsidP="005E79A7">
      <w:pPr>
        <w:jc w:val="both"/>
        <w:rPr>
          <w:rFonts w:ascii="Arial Narrow" w:hAnsi="Arial Narrow"/>
          <w:b/>
          <w:sz w:val="24"/>
          <w:szCs w:val="24"/>
        </w:rPr>
      </w:pPr>
      <w:r>
        <w:rPr>
          <w:rFonts w:ascii="Arial Narrow" w:hAnsi="Arial Narrow"/>
          <w:b/>
          <w:sz w:val="24"/>
          <w:szCs w:val="24"/>
        </w:rPr>
        <w:t>Notes</w:t>
      </w:r>
      <w:r w:rsidR="005E79A7">
        <w:rPr>
          <w:rFonts w:ascii="Arial Narrow" w:hAnsi="Arial Narrow"/>
          <w:b/>
          <w:sz w:val="24"/>
          <w:szCs w:val="24"/>
        </w:rPr>
        <w:t xml:space="preserve"> explaining table 1:</w:t>
      </w:r>
    </w:p>
    <w:p w:rsidR="006F60B0" w:rsidRDefault="006F60B0" w:rsidP="005E79A7">
      <w:pPr>
        <w:pStyle w:val="ListParagraph"/>
        <w:numPr>
          <w:ilvl w:val="0"/>
          <w:numId w:val="5"/>
        </w:numPr>
        <w:jc w:val="both"/>
        <w:rPr>
          <w:rFonts w:ascii="Arial Narrow" w:hAnsi="Arial Narrow"/>
          <w:sz w:val="24"/>
          <w:szCs w:val="24"/>
        </w:rPr>
      </w:pPr>
      <w:r w:rsidRPr="006F60B0">
        <w:rPr>
          <w:rFonts w:ascii="Arial Narrow" w:hAnsi="Arial Narrow"/>
          <w:sz w:val="24"/>
          <w:szCs w:val="24"/>
        </w:rPr>
        <w:t>These amounts represent total funding received through DEA allocation.</w:t>
      </w:r>
    </w:p>
    <w:p w:rsidR="00863BD8" w:rsidRPr="006F60B0" w:rsidRDefault="00863BD8" w:rsidP="005E79A7">
      <w:pPr>
        <w:pStyle w:val="ListParagraph"/>
        <w:jc w:val="both"/>
        <w:rPr>
          <w:rFonts w:ascii="Arial Narrow" w:hAnsi="Arial Narrow"/>
          <w:sz w:val="24"/>
          <w:szCs w:val="24"/>
        </w:rPr>
      </w:pPr>
    </w:p>
    <w:p w:rsidR="005E79A7" w:rsidRDefault="006F60B0" w:rsidP="005E79A7">
      <w:pPr>
        <w:pStyle w:val="ListParagraph"/>
        <w:numPr>
          <w:ilvl w:val="0"/>
          <w:numId w:val="5"/>
        </w:numPr>
        <w:jc w:val="both"/>
        <w:rPr>
          <w:rFonts w:ascii="Arial Narrow" w:hAnsi="Arial Narrow"/>
          <w:sz w:val="24"/>
          <w:szCs w:val="24"/>
        </w:rPr>
      </w:pPr>
      <w:r w:rsidRPr="006F60B0">
        <w:rPr>
          <w:rFonts w:ascii="Arial Narrow" w:hAnsi="Arial Narrow"/>
          <w:sz w:val="24"/>
          <w:szCs w:val="24"/>
        </w:rPr>
        <w:t>The amounts included as contributions from partners and participating departments consist of multi-year projects as listed</w:t>
      </w:r>
      <w:r w:rsidR="005E79A7">
        <w:rPr>
          <w:rFonts w:ascii="Arial Narrow" w:hAnsi="Arial Narrow"/>
          <w:sz w:val="24"/>
          <w:szCs w:val="24"/>
        </w:rPr>
        <w:t>.</w:t>
      </w:r>
    </w:p>
    <w:p w:rsidR="005E79A7" w:rsidRPr="005E79A7" w:rsidRDefault="005E79A7" w:rsidP="005E79A7">
      <w:pPr>
        <w:pStyle w:val="ListParagraph"/>
        <w:rPr>
          <w:rFonts w:ascii="Arial Narrow" w:hAnsi="Arial Narrow"/>
          <w:sz w:val="24"/>
          <w:szCs w:val="24"/>
        </w:rPr>
      </w:pPr>
    </w:p>
    <w:p w:rsidR="005E79A7" w:rsidRPr="005E79A7" w:rsidRDefault="00A46DDB" w:rsidP="005E79A7">
      <w:pPr>
        <w:pStyle w:val="ListParagraph"/>
        <w:numPr>
          <w:ilvl w:val="0"/>
          <w:numId w:val="5"/>
        </w:numPr>
        <w:jc w:val="both"/>
        <w:rPr>
          <w:rFonts w:ascii="Arial Narrow" w:hAnsi="Arial Narrow"/>
          <w:sz w:val="24"/>
          <w:szCs w:val="24"/>
        </w:rPr>
      </w:pPr>
      <w:r w:rsidRPr="005E79A7">
        <w:rPr>
          <w:rFonts w:ascii="Arial Narrow" w:hAnsi="Arial Narrow"/>
          <w:sz w:val="24"/>
          <w:szCs w:val="24"/>
        </w:rPr>
        <w:t>Additional aviation standby and flying hours were not paid or recorded as third party revenue in WoF records f</w:t>
      </w:r>
      <w:r w:rsidR="00863BD8" w:rsidRPr="005E79A7">
        <w:rPr>
          <w:rFonts w:ascii="Arial Narrow" w:hAnsi="Arial Narrow"/>
          <w:sz w:val="24"/>
          <w:szCs w:val="24"/>
        </w:rPr>
        <w:t>or the years preceding 2016/17,</w:t>
      </w:r>
      <w:r w:rsidRPr="005E79A7">
        <w:rPr>
          <w:rFonts w:ascii="Arial Narrow" w:hAnsi="Arial Narrow"/>
          <w:sz w:val="24"/>
          <w:szCs w:val="24"/>
        </w:rPr>
        <w:t xml:space="preserve"> but</w:t>
      </w:r>
      <w:r w:rsidR="00863BD8" w:rsidRPr="005E79A7">
        <w:rPr>
          <w:rFonts w:ascii="Arial Narrow" w:hAnsi="Arial Narrow"/>
          <w:sz w:val="24"/>
          <w:szCs w:val="24"/>
        </w:rPr>
        <w:t xml:space="preserve"> </w:t>
      </w:r>
      <w:r w:rsidRPr="005E79A7">
        <w:rPr>
          <w:rFonts w:ascii="Arial Narrow" w:hAnsi="Arial Narrow"/>
          <w:sz w:val="24"/>
          <w:szCs w:val="24"/>
        </w:rPr>
        <w:t xml:space="preserve">directly to the contracted service provider. </w:t>
      </w:r>
    </w:p>
    <w:p w:rsidR="005E79A7" w:rsidRPr="005E79A7" w:rsidRDefault="00863BD8"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lastRenderedPageBreak/>
        <w:t xml:space="preserve">These contracts were subsequently </w:t>
      </w:r>
      <w:r w:rsidR="00DE1ED2" w:rsidRPr="005E79A7">
        <w:rPr>
          <w:rFonts w:ascii="Arial Narrow" w:hAnsi="Arial Narrow"/>
          <w:sz w:val="24"/>
          <w:szCs w:val="24"/>
        </w:rPr>
        <w:t>amended</w:t>
      </w:r>
      <w:r w:rsidRPr="005E79A7">
        <w:rPr>
          <w:rFonts w:ascii="Arial Narrow" w:hAnsi="Arial Narrow"/>
          <w:sz w:val="24"/>
          <w:szCs w:val="24"/>
        </w:rPr>
        <w:t xml:space="preserve"> to enable recording and receipt of these contributions</w:t>
      </w:r>
      <w:r w:rsidR="005E79A7" w:rsidRPr="005E79A7">
        <w:rPr>
          <w:rFonts w:ascii="Arial Narrow" w:hAnsi="Arial Narrow"/>
          <w:sz w:val="24"/>
          <w:szCs w:val="24"/>
        </w:rPr>
        <w:t xml:space="preserve"> in the WoF Accounting records.</w:t>
      </w:r>
    </w:p>
    <w:p w:rsidR="005E79A7" w:rsidRPr="005E79A7" w:rsidRDefault="00863BD8"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 xml:space="preserve">During extended fire suppression </w:t>
      </w:r>
      <w:r w:rsidR="00E31EE7" w:rsidRPr="005E79A7">
        <w:rPr>
          <w:rFonts w:ascii="Arial Narrow" w:hAnsi="Arial Narrow"/>
          <w:sz w:val="24"/>
          <w:szCs w:val="24"/>
        </w:rPr>
        <w:t>operations</w:t>
      </w:r>
      <w:r w:rsidRPr="005E79A7">
        <w:rPr>
          <w:rFonts w:ascii="Arial Narrow" w:hAnsi="Arial Narrow"/>
          <w:sz w:val="24"/>
          <w:szCs w:val="24"/>
        </w:rPr>
        <w:t xml:space="preserve">, the South African Air Force </w:t>
      </w:r>
      <w:r w:rsidR="00E31EE7" w:rsidRPr="005E79A7">
        <w:rPr>
          <w:rFonts w:ascii="Arial Narrow" w:hAnsi="Arial Narrow"/>
          <w:sz w:val="24"/>
          <w:szCs w:val="24"/>
        </w:rPr>
        <w:t>could also assist</w:t>
      </w:r>
      <w:r w:rsidRPr="005E79A7">
        <w:rPr>
          <w:rFonts w:ascii="Arial Narrow" w:hAnsi="Arial Narrow"/>
          <w:sz w:val="24"/>
          <w:szCs w:val="24"/>
        </w:rPr>
        <w:t xml:space="preserve"> with aerial suppression</w:t>
      </w:r>
      <w:r w:rsidR="00E31EE7" w:rsidRPr="005E79A7">
        <w:rPr>
          <w:rFonts w:ascii="Arial Narrow" w:hAnsi="Arial Narrow"/>
          <w:sz w:val="24"/>
          <w:szCs w:val="24"/>
        </w:rPr>
        <w:t>, depending on budget and crew resource availability</w:t>
      </w:r>
      <w:r w:rsidRPr="005E79A7">
        <w:rPr>
          <w:rFonts w:ascii="Arial Narrow" w:hAnsi="Arial Narrow"/>
          <w:sz w:val="24"/>
          <w:szCs w:val="24"/>
        </w:rPr>
        <w:t xml:space="preserve">. </w:t>
      </w:r>
      <w:r w:rsidR="00E31EE7" w:rsidRPr="005E79A7">
        <w:rPr>
          <w:rFonts w:ascii="Arial Narrow" w:hAnsi="Arial Narrow"/>
          <w:sz w:val="24"/>
          <w:szCs w:val="24"/>
        </w:rPr>
        <w:t>The Air Force assistance is activated through the Disaster Management System. Activation is only done when insufficient private sector resources are available.</w:t>
      </w:r>
    </w:p>
    <w:p w:rsidR="005E79A7" w:rsidRPr="005E79A7" w:rsidRDefault="00863BD8"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Recoupments consist of recoupment of costs from third parties like kilometres travelled and rations provided during product</w:t>
      </w:r>
      <w:r w:rsidR="005E79A7" w:rsidRPr="005E79A7">
        <w:rPr>
          <w:rFonts w:ascii="Arial Narrow" w:hAnsi="Arial Narrow"/>
          <w:sz w:val="24"/>
          <w:szCs w:val="24"/>
        </w:rPr>
        <w:t>ion and suppression activities.</w:t>
      </w:r>
    </w:p>
    <w:p w:rsidR="005E79A7" w:rsidRPr="005E79A7" w:rsidRDefault="00863BD8"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Interest received consists of interest earned on the dedicated project bank</w:t>
      </w:r>
      <w:r w:rsidR="00BC5DEE" w:rsidRPr="005E79A7">
        <w:rPr>
          <w:rFonts w:ascii="Arial Narrow" w:hAnsi="Arial Narrow"/>
          <w:sz w:val="24"/>
          <w:szCs w:val="24"/>
        </w:rPr>
        <w:t xml:space="preserve"> -</w:t>
      </w:r>
      <w:r w:rsidRPr="005E79A7">
        <w:rPr>
          <w:rFonts w:ascii="Arial Narrow" w:hAnsi="Arial Narrow"/>
          <w:sz w:val="24"/>
          <w:szCs w:val="24"/>
        </w:rPr>
        <w:t xml:space="preserve"> and investment account</w:t>
      </w:r>
      <w:r w:rsidR="00BC5DEE" w:rsidRPr="005E79A7">
        <w:rPr>
          <w:rFonts w:ascii="Arial Narrow" w:hAnsi="Arial Narrow"/>
          <w:sz w:val="24"/>
          <w:szCs w:val="24"/>
        </w:rPr>
        <w:t xml:space="preserve">s on </w:t>
      </w:r>
      <w:r w:rsidR="005E79A7" w:rsidRPr="005E79A7">
        <w:rPr>
          <w:rFonts w:ascii="Arial Narrow" w:hAnsi="Arial Narrow"/>
          <w:sz w:val="24"/>
          <w:szCs w:val="24"/>
        </w:rPr>
        <w:t>surplus project funds invested.</w:t>
      </w:r>
    </w:p>
    <w:p w:rsidR="005E79A7" w:rsidRPr="005E79A7" w:rsidRDefault="00BC5DEE"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Services rendered c</w:t>
      </w:r>
      <w:r w:rsidR="00A46DDB" w:rsidRPr="005E79A7">
        <w:rPr>
          <w:rFonts w:ascii="Arial Narrow" w:hAnsi="Arial Narrow"/>
          <w:sz w:val="24"/>
          <w:szCs w:val="24"/>
        </w:rPr>
        <w:t>onsist of revenue earned from third parties on the provision of services like prescribed burning, suppression etc.</w:t>
      </w:r>
    </w:p>
    <w:p w:rsidR="005E79A7" w:rsidRPr="005E79A7" w:rsidRDefault="00A46DDB"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Employee Tax Incentive is an incentive earned on employing young and</w:t>
      </w:r>
      <w:r w:rsidR="005E79A7" w:rsidRPr="005E79A7">
        <w:rPr>
          <w:rFonts w:ascii="Arial Narrow" w:hAnsi="Arial Narrow"/>
          <w:sz w:val="24"/>
          <w:szCs w:val="24"/>
        </w:rPr>
        <w:t xml:space="preserve"> less experienced work seekers.</w:t>
      </w:r>
    </w:p>
    <w:p w:rsidR="00A46DDB" w:rsidRPr="005E79A7" w:rsidRDefault="00A46DDB" w:rsidP="005E79A7">
      <w:pPr>
        <w:pStyle w:val="ListParagraph"/>
        <w:numPr>
          <w:ilvl w:val="1"/>
          <w:numId w:val="9"/>
        </w:numPr>
        <w:jc w:val="both"/>
        <w:rPr>
          <w:rFonts w:ascii="Arial Narrow" w:hAnsi="Arial Narrow"/>
          <w:sz w:val="24"/>
          <w:szCs w:val="24"/>
        </w:rPr>
      </w:pPr>
      <w:r w:rsidRPr="005E79A7">
        <w:rPr>
          <w:rFonts w:ascii="Arial Narrow" w:hAnsi="Arial Narrow"/>
          <w:sz w:val="24"/>
          <w:szCs w:val="24"/>
        </w:rPr>
        <w:t>Other income consists of non-recurring items like insurance receipts etc.</w:t>
      </w:r>
    </w:p>
    <w:p w:rsidR="00863BD8" w:rsidRDefault="00863BD8" w:rsidP="005E79A7">
      <w:pPr>
        <w:pStyle w:val="ListParagraph"/>
        <w:jc w:val="both"/>
        <w:rPr>
          <w:rFonts w:ascii="Arial Narrow" w:hAnsi="Arial Narrow"/>
          <w:sz w:val="24"/>
          <w:szCs w:val="24"/>
        </w:rPr>
      </w:pPr>
    </w:p>
    <w:p w:rsidR="005E79A7" w:rsidRPr="005E79A7" w:rsidRDefault="001053A6" w:rsidP="005E79A7">
      <w:pPr>
        <w:pStyle w:val="ListParagraph"/>
        <w:numPr>
          <w:ilvl w:val="0"/>
          <w:numId w:val="5"/>
        </w:numPr>
        <w:jc w:val="both"/>
        <w:rPr>
          <w:rFonts w:ascii="Arial Narrow" w:hAnsi="Arial Narrow"/>
          <w:sz w:val="24"/>
          <w:szCs w:val="24"/>
        </w:rPr>
      </w:pPr>
      <w:r>
        <w:rPr>
          <w:rFonts w:ascii="Arial Narrow" w:hAnsi="Arial Narrow"/>
          <w:sz w:val="24"/>
          <w:szCs w:val="24"/>
        </w:rPr>
        <w:t>Foreign deployment income consists of all additional revenue generated through these deployments.</w:t>
      </w:r>
    </w:p>
    <w:p w:rsidR="004D4144" w:rsidRDefault="001053A6" w:rsidP="005E79A7">
      <w:pPr>
        <w:ind w:left="720"/>
        <w:jc w:val="both"/>
        <w:rPr>
          <w:rFonts w:ascii="Arial Narrow" w:hAnsi="Arial Narrow"/>
          <w:sz w:val="24"/>
          <w:szCs w:val="24"/>
        </w:rPr>
      </w:pPr>
      <w:r w:rsidRPr="005E79A7">
        <w:rPr>
          <w:rFonts w:ascii="Arial Narrow" w:hAnsi="Arial Narrow"/>
          <w:sz w:val="24"/>
          <w:szCs w:val="24"/>
        </w:rPr>
        <w:t>All surpluses generated though the above additional sources of revenue are utilised in the WoF Programme for additional capacity like training and person days. As can clearly be seen in Fig 7 for the years 2014/15 – 2016/17, actual person days are consiste</w:t>
      </w:r>
      <w:r w:rsidR="00D03DF1" w:rsidRPr="005E79A7">
        <w:rPr>
          <w:rFonts w:ascii="Arial Narrow" w:hAnsi="Arial Narrow"/>
          <w:sz w:val="24"/>
          <w:szCs w:val="24"/>
        </w:rPr>
        <w:t>ntly higher than planned as a result of the additional revenue generated.</w:t>
      </w:r>
    </w:p>
    <w:p w:rsidR="00351CE9" w:rsidRPr="005E79A7" w:rsidRDefault="00351CE9" w:rsidP="005E79A7">
      <w:pPr>
        <w:ind w:left="720"/>
        <w:jc w:val="both"/>
        <w:rPr>
          <w:rFonts w:ascii="Arial Narrow" w:hAnsi="Arial Narrow"/>
          <w:sz w:val="24"/>
          <w:szCs w:val="24"/>
        </w:rPr>
      </w:pPr>
      <w:r>
        <w:rPr>
          <w:rFonts w:ascii="Arial Narrow" w:hAnsi="Arial Narrow"/>
          <w:sz w:val="24"/>
          <w:szCs w:val="24"/>
        </w:rPr>
        <w:t xml:space="preserve">Annexure A shows the steps that the Department has taken so far to ensure collaboration between South Africa and Canada can be optimized in the future. </w:t>
      </w:r>
    </w:p>
    <w:p w:rsidR="00A734D4" w:rsidRDefault="00A734D4" w:rsidP="00B95D20">
      <w:pPr>
        <w:jc w:val="both"/>
        <w:rPr>
          <w:rFonts w:ascii="Arial Narrow" w:hAnsi="Arial Narrow"/>
          <w:sz w:val="24"/>
          <w:szCs w:val="24"/>
        </w:rPr>
      </w:pPr>
      <w:r w:rsidRPr="00A734D4">
        <w:rPr>
          <w:rFonts w:ascii="Arial Narrow" w:hAnsi="Arial Narrow"/>
          <w:sz w:val="24"/>
          <w:szCs w:val="24"/>
        </w:rPr>
        <w:t>Figure 5</w:t>
      </w:r>
      <w:r>
        <w:rPr>
          <w:rFonts w:ascii="Arial Narrow" w:hAnsi="Arial Narrow"/>
          <w:sz w:val="24"/>
          <w:szCs w:val="24"/>
        </w:rPr>
        <w:t xml:space="preserve"> below shows the 3</w:t>
      </w:r>
      <w:r w:rsidRPr="00A734D4">
        <w:rPr>
          <w:rFonts w:ascii="Arial Narrow" w:hAnsi="Arial Narrow"/>
          <w:sz w:val="24"/>
          <w:szCs w:val="24"/>
          <w:vertAlign w:val="superscript"/>
        </w:rPr>
        <w:t>rd</w:t>
      </w:r>
      <w:r>
        <w:rPr>
          <w:rFonts w:ascii="Arial Narrow" w:hAnsi="Arial Narrow"/>
          <w:sz w:val="24"/>
          <w:szCs w:val="24"/>
        </w:rPr>
        <w:t xml:space="preserve"> party resources against the DEA WoF contributions between 2013/14 and 2016/17.</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Pr="008C4C96" w:rsidRDefault="00A734D4" w:rsidP="00B95D20">
            <w:pPr>
              <w:jc w:val="both"/>
              <w:rPr>
                <w:rFonts w:ascii="Arial Narrow" w:hAnsi="Arial Narrow"/>
              </w:rPr>
            </w:pPr>
            <w:r>
              <w:rPr>
                <w:rFonts w:ascii="Arial Narrow" w:hAnsi="Arial Narrow"/>
                <w:sz w:val="24"/>
                <w:szCs w:val="24"/>
              </w:rPr>
              <w:t>Figure 5:</w:t>
            </w:r>
            <w:r w:rsidRPr="00A734D4">
              <w:rPr>
                <w:rFonts w:ascii="Arial Narrow" w:hAnsi="Arial Narrow"/>
                <w:sz w:val="24"/>
                <w:szCs w:val="24"/>
              </w:rPr>
              <w:t xml:space="preserve"> </w:t>
            </w:r>
            <w:r w:rsidRPr="00A734D4">
              <w:rPr>
                <w:rFonts w:ascii="Arial Narrow" w:hAnsi="Arial Narrow"/>
                <w:bCs/>
                <w:sz w:val="24"/>
                <w:szCs w:val="24"/>
              </w:rPr>
              <w:t>Analysis of funding sources</w:t>
            </w:r>
          </w:p>
        </w:tc>
      </w:tr>
      <w:tr w:rsidR="00A734D4" w:rsidTr="00A734D4">
        <w:tc>
          <w:tcPr>
            <w:tcW w:w="9242" w:type="dxa"/>
          </w:tcPr>
          <w:p w:rsidR="00A734D4" w:rsidRDefault="00A734D4" w:rsidP="00B95D20">
            <w:pPr>
              <w:jc w:val="both"/>
              <w:rPr>
                <w:rFonts w:ascii="Arial Narrow" w:hAnsi="Arial Narrow"/>
                <w:sz w:val="24"/>
                <w:szCs w:val="24"/>
              </w:rPr>
            </w:pPr>
            <w:r>
              <w:rPr>
                <w:noProof/>
                <w:lang w:eastAsia="en-ZA"/>
              </w:rPr>
              <w:drawing>
                <wp:inline distT="0" distB="0" distL="0" distR="0" wp14:anchorId="76D7E8ED" wp14:editId="540FBA2B">
                  <wp:extent cx="5555411" cy="2751827"/>
                  <wp:effectExtent l="0" t="0" r="2667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A734D4" w:rsidRDefault="00A734D4" w:rsidP="00B95D20">
      <w:pPr>
        <w:jc w:val="both"/>
        <w:rPr>
          <w:rFonts w:ascii="Arial Narrow" w:hAnsi="Arial Narrow"/>
          <w:sz w:val="24"/>
          <w:szCs w:val="24"/>
        </w:rPr>
      </w:pPr>
      <w:r>
        <w:rPr>
          <w:rFonts w:ascii="Arial Narrow" w:hAnsi="Arial Narrow"/>
          <w:sz w:val="24"/>
          <w:szCs w:val="24"/>
        </w:rPr>
        <w:lastRenderedPageBreak/>
        <w:t xml:space="preserve"> </w:t>
      </w:r>
      <w:r w:rsidRPr="00A734D4">
        <w:rPr>
          <w:rFonts w:ascii="Arial Narrow" w:hAnsi="Arial Narrow"/>
          <w:sz w:val="24"/>
          <w:szCs w:val="24"/>
        </w:rPr>
        <w:t xml:space="preserve"> </w:t>
      </w:r>
    </w:p>
    <w:p w:rsidR="00A734D4" w:rsidRDefault="00A734D4" w:rsidP="00B95D20">
      <w:pPr>
        <w:jc w:val="both"/>
        <w:rPr>
          <w:rFonts w:ascii="Arial Narrow" w:hAnsi="Arial Narrow"/>
          <w:sz w:val="24"/>
          <w:szCs w:val="24"/>
        </w:rPr>
      </w:pPr>
      <w:r>
        <w:rPr>
          <w:rFonts w:ascii="Arial Narrow" w:hAnsi="Arial Narrow"/>
          <w:sz w:val="24"/>
          <w:szCs w:val="24"/>
        </w:rPr>
        <w:t xml:space="preserve">Figure 6 shows the %’s of total expenditure per high level expense category funded by the DEA EPWP WoF programme.  Direct employment cost includes the wages of fire fighters, the salaries of management staff </w:t>
      </w:r>
      <w:r w:rsidR="008C4C96">
        <w:rPr>
          <w:rFonts w:ascii="Arial Narrow" w:hAnsi="Arial Narrow"/>
          <w:sz w:val="24"/>
          <w:szCs w:val="24"/>
        </w:rPr>
        <w:t xml:space="preserve">in the programme </w:t>
      </w:r>
      <w:r>
        <w:rPr>
          <w:rFonts w:ascii="Arial Narrow" w:hAnsi="Arial Narrow"/>
          <w:sz w:val="24"/>
          <w:szCs w:val="24"/>
        </w:rPr>
        <w:t xml:space="preserve">and other employment related costs such as Unemployment Insurance Fund, Workmen Compensation and </w:t>
      </w:r>
      <w:r w:rsidR="00B96363">
        <w:rPr>
          <w:rFonts w:ascii="Arial Narrow" w:hAnsi="Arial Narrow"/>
          <w:sz w:val="24"/>
          <w:szCs w:val="24"/>
        </w:rPr>
        <w:t>pre-employment and compliance medical examination</w:t>
      </w:r>
      <w:r>
        <w:rPr>
          <w:rFonts w:ascii="Arial Narrow" w:hAnsi="Arial Narrow"/>
          <w:sz w:val="24"/>
          <w:szCs w:val="24"/>
        </w:rPr>
        <w:t xml:space="preserve"> for workers.  Indirect employee costs, those costs that are needed to keep the teams operational, include personal protective equipment, operational equipment, training and transport.</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Pr="00A734D4" w:rsidRDefault="00A734D4" w:rsidP="00B95D20">
            <w:pPr>
              <w:jc w:val="both"/>
              <w:rPr>
                <w:rFonts w:ascii="Arial Narrow" w:hAnsi="Arial Narrow"/>
                <w:sz w:val="24"/>
                <w:szCs w:val="24"/>
              </w:rPr>
            </w:pPr>
            <w:r w:rsidRPr="00A734D4">
              <w:rPr>
                <w:rFonts w:ascii="Arial Narrow" w:hAnsi="Arial Narrow"/>
                <w:bCs/>
                <w:sz w:val="24"/>
                <w:szCs w:val="24"/>
              </w:rPr>
              <w:t>Figure 6: Expense analysis per Expense Category</w:t>
            </w:r>
          </w:p>
        </w:tc>
      </w:tr>
      <w:tr w:rsidR="00A734D4" w:rsidTr="00351CE9">
        <w:tc>
          <w:tcPr>
            <w:tcW w:w="9242" w:type="dxa"/>
          </w:tcPr>
          <w:p w:rsidR="00A734D4" w:rsidRDefault="00351CE9" w:rsidP="00B95D20">
            <w:pPr>
              <w:jc w:val="both"/>
              <w:rPr>
                <w:rFonts w:ascii="Arial Narrow" w:hAnsi="Arial Narrow"/>
                <w:sz w:val="24"/>
                <w:szCs w:val="24"/>
              </w:rPr>
            </w:pPr>
            <w:r>
              <w:rPr>
                <w:noProof/>
                <w:lang w:eastAsia="en-ZA"/>
              </w:rPr>
              <w:drawing>
                <wp:inline distT="0" distB="0" distL="0" distR="0" wp14:anchorId="6B6CD534" wp14:editId="53CEC1FB">
                  <wp:extent cx="5943600" cy="3552190"/>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A734D4" w:rsidRDefault="00A734D4" w:rsidP="00B95D20">
      <w:pPr>
        <w:jc w:val="both"/>
        <w:rPr>
          <w:rFonts w:ascii="Arial Narrow" w:hAnsi="Arial Narrow"/>
          <w:sz w:val="24"/>
          <w:szCs w:val="24"/>
        </w:rPr>
      </w:pPr>
    </w:p>
    <w:p w:rsidR="00A734D4" w:rsidRPr="00351CE9" w:rsidRDefault="00A734D4" w:rsidP="00B95D20">
      <w:pPr>
        <w:jc w:val="both"/>
        <w:rPr>
          <w:rFonts w:ascii="Arial Narrow" w:hAnsi="Arial Narrow"/>
          <w:sz w:val="24"/>
          <w:szCs w:val="24"/>
        </w:rPr>
      </w:pPr>
      <w:r>
        <w:rPr>
          <w:rFonts w:ascii="Arial Narrow" w:hAnsi="Arial Narrow"/>
          <w:sz w:val="24"/>
          <w:szCs w:val="24"/>
        </w:rPr>
        <w:t>Note that the last column in figure 6 represents the expenditure to the end of September.  Indirect employment costs such as personal protective clothing and equipment are generally bought early in the financial</w:t>
      </w:r>
      <w:r w:rsidR="005E79A7">
        <w:rPr>
          <w:rFonts w:ascii="Arial Narrow" w:hAnsi="Arial Narrow"/>
          <w:sz w:val="24"/>
          <w:szCs w:val="24"/>
        </w:rPr>
        <w:t xml:space="preserve"> year</w:t>
      </w:r>
      <w:r>
        <w:rPr>
          <w:rFonts w:ascii="Arial Narrow" w:hAnsi="Arial Narrow"/>
          <w:sz w:val="24"/>
          <w:szCs w:val="24"/>
        </w:rPr>
        <w:t>.</w:t>
      </w:r>
      <w:r w:rsidR="005E79A7">
        <w:rPr>
          <w:rFonts w:ascii="Arial Narrow" w:hAnsi="Arial Narrow"/>
          <w:sz w:val="24"/>
          <w:szCs w:val="24"/>
        </w:rPr>
        <w:t xml:space="preserve"> This explains why the management fee during September 2016 stood at 10.1%.  A maximum of 96% is a condition of the agreement. The Department will therefore ensure that no more than 9.6% is being paid </w:t>
      </w:r>
      <w:r w:rsidR="005E79A7" w:rsidRPr="00351CE9">
        <w:rPr>
          <w:rFonts w:ascii="Arial Narrow" w:hAnsi="Arial Narrow"/>
          <w:sz w:val="24"/>
          <w:szCs w:val="24"/>
        </w:rPr>
        <w:t>out to the implementing agent.</w:t>
      </w:r>
    </w:p>
    <w:p w:rsidR="007544EC" w:rsidRPr="00351CE9" w:rsidRDefault="007544EC" w:rsidP="00B95D20">
      <w:pPr>
        <w:jc w:val="both"/>
        <w:rPr>
          <w:rFonts w:ascii="Arial Narrow" w:hAnsi="Arial Narrow"/>
          <w:sz w:val="24"/>
          <w:szCs w:val="24"/>
        </w:rPr>
      </w:pPr>
      <w:r w:rsidRPr="00351CE9">
        <w:rPr>
          <w:rFonts w:ascii="Arial Narrow" w:hAnsi="Arial Narrow"/>
          <w:sz w:val="24"/>
          <w:szCs w:val="24"/>
        </w:rPr>
        <w:t>The programme expenditure versus funding drawn down since the beginning of the 2016/17 financial year is shown in table 2 below.  As can be seen the 1</w:t>
      </w:r>
      <w:r w:rsidRPr="00351CE9">
        <w:rPr>
          <w:rFonts w:ascii="Arial Narrow" w:hAnsi="Arial Narrow"/>
          <w:sz w:val="24"/>
          <w:szCs w:val="24"/>
          <w:vertAlign w:val="superscript"/>
        </w:rPr>
        <w:t>st</w:t>
      </w:r>
      <w:r w:rsidRPr="00351CE9">
        <w:rPr>
          <w:rFonts w:ascii="Arial Narrow" w:hAnsi="Arial Narrow"/>
          <w:sz w:val="24"/>
          <w:szCs w:val="24"/>
        </w:rPr>
        <w:t xml:space="preserve"> </w:t>
      </w:r>
      <w:r w:rsidR="00351CE9" w:rsidRPr="00351CE9">
        <w:rPr>
          <w:rFonts w:ascii="Arial Narrow" w:hAnsi="Arial Narrow"/>
          <w:sz w:val="24"/>
          <w:szCs w:val="24"/>
        </w:rPr>
        <w:t xml:space="preserve">quarter </w:t>
      </w:r>
      <w:r w:rsidRPr="00351CE9">
        <w:rPr>
          <w:rFonts w:ascii="Arial Narrow" w:hAnsi="Arial Narrow"/>
          <w:sz w:val="24"/>
          <w:szCs w:val="24"/>
        </w:rPr>
        <w:t>drawdown was 40% of the total amount allocated to the programme by DEA</w:t>
      </w:r>
      <w:r w:rsidR="00351CE9" w:rsidRPr="00351CE9">
        <w:rPr>
          <w:rFonts w:ascii="Arial Narrow" w:hAnsi="Arial Narrow"/>
          <w:sz w:val="24"/>
          <w:szCs w:val="24"/>
        </w:rPr>
        <w:t xml:space="preserve"> to ensure a seamless transition between financial years and allow for upfront expenditure </w:t>
      </w:r>
      <w:r w:rsidR="00351CE9" w:rsidRPr="00351CE9">
        <w:rPr>
          <w:rFonts w:ascii="Arial Narrow" w:hAnsi="Arial Narrow"/>
          <w:sz w:val="24"/>
          <w:szCs w:val="24"/>
        </w:rPr>
        <w:t>that needs to be done by the programme during the 1</w:t>
      </w:r>
      <w:r w:rsidR="00351CE9" w:rsidRPr="00351CE9">
        <w:rPr>
          <w:rFonts w:ascii="Arial Narrow" w:hAnsi="Arial Narrow"/>
          <w:sz w:val="24"/>
          <w:szCs w:val="24"/>
          <w:vertAlign w:val="superscript"/>
        </w:rPr>
        <w:t>st</w:t>
      </w:r>
      <w:r w:rsidR="00351CE9" w:rsidRPr="00351CE9">
        <w:rPr>
          <w:rFonts w:ascii="Arial Narrow" w:hAnsi="Arial Narrow"/>
          <w:sz w:val="24"/>
          <w:szCs w:val="24"/>
        </w:rPr>
        <w:t xml:space="preserve"> quarter</w:t>
      </w:r>
      <w:r w:rsidR="00351CE9" w:rsidRPr="00351CE9">
        <w:rPr>
          <w:rFonts w:ascii="Arial Narrow" w:hAnsi="Arial Narrow"/>
          <w:sz w:val="24"/>
          <w:szCs w:val="24"/>
        </w:rPr>
        <w:t>, for example personal protective, and operational equipment with annual life spans</w:t>
      </w:r>
      <w:r w:rsidRPr="00351CE9">
        <w:rPr>
          <w:rFonts w:ascii="Arial Narrow" w:hAnsi="Arial Narrow"/>
          <w:sz w:val="24"/>
          <w:szCs w:val="24"/>
        </w:rPr>
        <w:t xml:space="preserve">.  </w:t>
      </w:r>
    </w:p>
    <w:p w:rsidR="00351CE9" w:rsidRDefault="00351CE9" w:rsidP="00B95D20">
      <w:pPr>
        <w:jc w:val="both"/>
        <w:rPr>
          <w:rFonts w:ascii="Arial Narrow" w:hAnsi="Arial Narrow"/>
          <w:sz w:val="24"/>
          <w:szCs w:val="24"/>
        </w:rPr>
      </w:pPr>
      <w:r w:rsidRPr="00351CE9">
        <w:rPr>
          <w:rFonts w:ascii="Arial Narrow" w:hAnsi="Arial Narrow"/>
          <w:sz w:val="24"/>
          <w:szCs w:val="24"/>
        </w:rPr>
        <w:t>The 2</w:t>
      </w:r>
      <w:r w:rsidRPr="00351CE9">
        <w:rPr>
          <w:rFonts w:ascii="Arial Narrow" w:hAnsi="Arial Narrow"/>
          <w:sz w:val="24"/>
          <w:szCs w:val="24"/>
          <w:vertAlign w:val="superscript"/>
        </w:rPr>
        <w:t>nd</w:t>
      </w:r>
      <w:r w:rsidRPr="00351CE9">
        <w:rPr>
          <w:rFonts w:ascii="Arial Narrow" w:hAnsi="Arial Narrow"/>
          <w:sz w:val="24"/>
          <w:szCs w:val="24"/>
        </w:rPr>
        <w:t xml:space="preserve"> quarter drawd</w:t>
      </w:r>
      <w:r>
        <w:rPr>
          <w:rFonts w:ascii="Arial Narrow" w:hAnsi="Arial Narrow"/>
          <w:sz w:val="24"/>
          <w:szCs w:val="24"/>
        </w:rPr>
        <w:t>own was 25% of the total budget.  While there was an 8% surplus at the end of the 1</w:t>
      </w:r>
      <w:r w:rsidRPr="00351CE9">
        <w:rPr>
          <w:rFonts w:ascii="Arial Narrow" w:hAnsi="Arial Narrow"/>
          <w:sz w:val="24"/>
          <w:szCs w:val="24"/>
          <w:vertAlign w:val="superscript"/>
        </w:rPr>
        <w:t>st</w:t>
      </w:r>
      <w:r>
        <w:rPr>
          <w:rFonts w:ascii="Arial Narrow" w:hAnsi="Arial Narrow"/>
          <w:sz w:val="24"/>
          <w:szCs w:val="24"/>
        </w:rPr>
        <w:t xml:space="preserve"> quarter, the 2</w:t>
      </w:r>
      <w:r w:rsidRPr="00351CE9">
        <w:rPr>
          <w:rFonts w:ascii="Arial Narrow" w:hAnsi="Arial Narrow"/>
          <w:sz w:val="24"/>
          <w:szCs w:val="24"/>
          <w:vertAlign w:val="superscript"/>
        </w:rPr>
        <w:t>nd</w:t>
      </w:r>
      <w:r>
        <w:rPr>
          <w:rFonts w:ascii="Arial Narrow" w:hAnsi="Arial Narrow"/>
          <w:sz w:val="24"/>
          <w:szCs w:val="24"/>
        </w:rPr>
        <w:t xml:space="preserve"> quarter drawdown was 6% less than the amount spent leaving only 2% unspent at the end of quarter 2.  It should be noted that the 8% surplus at the end of the 1</w:t>
      </w:r>
      <w:r w:rsidRPr="00351CE9">
        <w:rPr>
          <w:rFonts w:ascii="Arial Narrow" w:hAnsi="Arial Narrow"/>
          <w:sz w:val="24"/>
          <w:szCs w:val="24"/>
          <w:vertAlign w:val="superscript"/>
        </w:rPr>
        <w:t>st</w:t>
      </w:r>
      <w:r>
        <w:rPr>
          <w:rFonts w:ascii="Arial Narrow" w:hAnsi="Arial Narrow"/>
          <w:sz w:val="24"/>
          <w:szCs w:val="24"/>
        </w:rPr>
        <w:t xml:space="preserve"> quarter is equivalent to an average month’s turnover.</w:t>
      </w:r>
    </w:p>
    <w:p w:rsidR="00351CE9" w:rsidRDefault="00351CE9" w:rsidP="00B95D20">
      <w:pPr>
        <w:jc w:val="both"/>
        <w:rPr>
          <w:rFonts w:ascii="Arial Narrow" w:hAnsi="Arial Narrow"/>
          <w:sz w:val="24"/>
          <w:szCs w:val="24"/>
        </w:rPr>
      </w:pPr>
    </w:p>
    <w:p w:rsidR="00351CE9" w:rsidRDefault="00351CE9" w:rsidP="00B95D20">
      <w:pPr>
        <w:jc w:val="both"/>
        <w:rPr>
          <w:rFonts w:ascii="Arial Narrow" w:hAnsi="Arial Narrow"/>
          <w:sz w:val="24"/>
          <w:szCs w:val="24"/>
        </w:rPr>
      </w:pPr>
      <w:r>
        <w:rPr>
          <w:rFonts w:ascii="Arial Narrow" w:hAnsi="Arial Narrow"/>
          <w:sz w:val="24"/>
          <w:szCs w:val="24"/>
        </w:rPr>
        <w:t xml:space="preserve"> </w:t>
      </w:r>
    </w:p>
    <w:tbl>
      <w:tblPr>
        <w:tblW w:w="8657" w:type="dxa"/>
        <w:tblInd w:w="98" w:type="dxa"/>
        <w:tblLook w:val="04A0" w:firstRow="1" w:lastRow="0" w:firstColumn="1" w:lastColumn="0" w:noHBand="0" w:noVBand="1"/>
      </w:tblPr>
      <w:tblGrid>
        <w:gridCol w:w="2962"/>
        <w:gridCol w:w="2010"/>
        <w:gridCol w:w="1984"/>
        <w:gridCol w:w="1701"/>
      </w:tblGrid>
      <w:tr w:rsidR="00351CE9" w:rsidRPr="00351CE9" w:rsidTr="00351CE9">
        <w:trPr>
          <w:trHeight w:val="315"/>
        </w:trPr>
        <w:tc>
          <w:tcPr>
            <w:tcW w:w="865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b/>
                <w:color w:val="000000"/>
                <w:sz w:val="24"/>
                <w:szCs w:val="24"/>
                <w:lang w:eastAsia="en-ZA"/>
              </w:rPr>
              <w:t xml:space="preserve"> Table 2: </w:t>
            </w:r>
            <w:r w:rsidRPr="00351CE9">
              <w:rPr>
                <w:rFonts w:ascii="Arial Narrow" w:eastAsia="Times New Roman" w:hAnsi="Arial Narrow" w:cs="Times New Roman"/>
                <w:b/>
                <w:bCs/>
                <w:color w:val="000000"/>
                <w:sz w:val="24"/>
                <w:szCs w:val="24"/>
                <w:lang w:eastAsia="en-ZA"/>
              </w:rPr>
              <w:t>Working on Fire Expenditure versus Drawdowns September 2016/17</w:t>
            </w:r>
          </w:p>
        </w:tc>
      </w:tr>
      <w:tr w:rsidR="00351CE9" w:rsidRPr="00351CE9" w:rsidTr="00351CE9">
        <w:trPr>
          <w:trHeight w:val="615"/>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 </w:t>
            </w:r>
          </w:p>
        </w:tc>
        <w:tc>
          <w:tcPr>
            <w:tcW w:w="2010" w:type="dxa"/>
            <w:tcBorders>
              <w:top w:val="nil"/>
              <w:left w:val="nil"/>
              <w:bottom w:val="single" w:sz="4" w:space="0" w:color="auto"/>
              <w:right w:val="single" w:sz="4" w:space="0" w:color="auto"/>
            </w:tcBorders>
            <w:shd w:val="clear" w:color="auto" w:fill="auto"/>
            <w:vAlign w:val="center"/>
            <w:hideMark/>
          </w:tcPr>
          <w:p w:rsidR="00351CE9" w:rsidRPr="00351CE9" w:rsidRDefault="00351CE9" w:rsidP="00351CE9">
            <w:pPr>
              <w:spacing w:after="0" w:line="240" w:lineRule="auto"/>
              <w:jc w:val="center"/>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 xml:space="preserve"> Q1 YTD Actual </w:t>
            </w:r>
          </w:p>
        </w:tc>
        <w:tc>
          <w:tcPr>
            <w:tcW w:w="1984" w:type="dxa"/>
            <w:tcBorders>
              <w:top w:val="nil"/>
              <w:left w:val="nil"/>
              <w:bottom w:val="single" w:sz="4" w:space="0" w:color="auto"/>
              <w:right w:val="single" w:sz="4" w:space="0" w:color="auto"/>
            </w:tcBorders>
            <w:shd w:val="clear" w:color="auto" w:fill="auto"/>
            <w:vAlign w:val="center"/>
            <w:hideMark/>
          </w:tcPr>
          <w:p w:rsidR="00351CE9" w:rsidRPr="00351CE9" w:rsidRDefault="00351CE9" w:rsidP="00351CE9">
            <w:pPr>
              <w:spacing w:after="0" w:line="240" w:lineRule="auto"/>
              <w:jc w:val="center"/>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 xml:space="preserve"> Q2 YTD Actual </w:t>
            </w:r>
          </w:p>
        </w:tc>
        <w:tc>
          <w:tcPr>
            <w:tcW w:w="1701" w:type="dxa"/>
            <w:tcBorders>
              <w:top w:val="nil"/>
              <w:left w:val="nil"/>
              <w:bottom w:val="single" w:sz="4" w:space="0" w:color="auto"/>
              <w:right w:val="single" w:sz="8" w:space="0" w:color="auto"/>
            </w:tcBorders>
            <w:shd w:val="clear" w:color="auto" w:fill="auto"/>
            <w:vAlign w:val="center"/>
            <w:hideMark/>
          </w:tcPr>
          <w:p w:rsidR="00351CE9" w:rsidRPr="00351CE9" w:rsidRDefault="00351CE9" w:rsidP="00351CE9">
            <w:pPr>
              <w:spacing w:after="0" w:line="240" w:lineRule="auto"/>
              <w:jc w:val="center"/>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 xml:space="preserve"> YTD Sept 2016 </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Wages</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51 672 301</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48 096 395</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99 768 696</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Salaries (WoF Management)</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23 143 191</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30 606 057</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53 749 247</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Other employment related costs</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8 632 637</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5 654 348</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14 286 985</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Direct Employee Cost</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83 448 128</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84 356 800</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167 804 928</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PPE &amp; PPC</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12 847 014</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15 593 906</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28 440 920</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Training</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17 023 560</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17 885 591</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34 909 151</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Transport</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12 201 983</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11 982 830</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24 184 812</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Indirect Employee Cost</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42 072 557</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45 462 326</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87 534 884</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Operational Variable Costs</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20 084 806</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8 949 325</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29 034 131</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Research</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356 259</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220 676</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576 935</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Media, Comm</w:t>
            </w:r>
            <w:r>
              <w:rPr>
                <w:rFonts w:ascii="Arial Narrow" w:eastAsia="Times New Roman" w:hAnsi="Arial Narrow" w:cs="Times New Roman"/>
                <w:color w:val="000000"/>
                <w:sz w:val="24"/>
                <w:szCs w:val="24"/>
                <w:lang w:eastAsia="en-ZA"/>
              </w:rPr>
              <w:t>unication</w:t>
            </w:r>
            <w:r w:rsidRPr="00351CE9">
              <w:rPr>
                <w:rFonts w:ascii="Arial Narrow" w:eastAsia="Times New Roman" w:hAnsi="Arial Narrow" w:cs="Times New Roman"/>
                <w:color w:val="000000"/>
                <w:sz w:val="24"/>
                <w:szCs w:val="24"/>
                <w:lang w:eastAsia="en-ZA"/>
              </w:rPr>
              <w:t xml:space="preserve"> &amp; Marketing</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372 466</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2 882 780</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3 255 246</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IT</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218 989</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3 021 225</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3 240 214</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FPA's</w:t>
            </w:r>
          </w:p>
        </w:tc>
        <w:tc>
          <w:tcPr>
            <w:tcW w:w="2010"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1 569 398</w:t>
            </w:r>
          </w:p>
        </w:tc>
        <w:tc>
          <w:tcPr>
            <w:tcW w:w="1984" w:type="dxa"/>
            <w:tcBorders>
              <w:top w:val="nil"/>
              <w:left w:val="nil"/>
              <w:bottom w:val="single" w:sz="4" w:space="0" w:color="auto"/>
              <w:right w:val="single" w:sz="4"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2 096 974</w:t>
            </w:r>
          </w:p>
        </w:tc>
        <w:tc>
          <w:tcPr>
            <w:tcW w:w="1701" w:type="dxa"/>
            <w:tcBorders>
              <w:top w:val="nil"/>
              <w:left w:val="nil"/>
              <w:bottom w:val="single" w:sz="4" w:space="0" w:color="auto"/>
              <w:right w:val="single" w:sz="8" w:space="0" w:color="auto"/>
            </w:tcBorders>
            <w:shd w:val="clear" w:color="auto" w:fill="auto"/>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R 3 666 372</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Other Overhead Cost</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22 601 917</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17 170 981</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39 772 899</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Aviation</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11 875 000</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11 875 000</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23 750 000</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Management Fee</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21 460 642</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14 411 711</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35 872 352</w:t>
            </w:r>
          </w:p>
        </w:tc>
      </w:tr>
      <w:tr w:rsidR="00351CE9" w:rsidRPr="00351CE9" w:rsidTr="00351CE9">
        <w:trPr>
          <w:trHeight w:val="33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Total expenditure</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181 458 244</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173 276 818</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354 735 063</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Amount  Paid</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223 548 349</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139 717 718</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363 266 067</w:t>
            </w:r>
          </w:p>
        </w:tc>
      </w:tr>
      <w:tr w:rsidR="00351CE9" w:rsidRPr="00351CE9" w:rsidTr="00351CE9">
        <w:trPr>
          <w:trHeight w:val="300"/>
        </w:trPr>
        <w:tc>
          <w:tcPr>
            <w:tcW w:w="2962" w:type="dxa"/>
            <w:tcBorders>
              <w:top w:val="nil"/>
              <w:left w:val="single" w:sz="8" w:space="0" w:color="auto"/>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Variance</w:t>
            </w:r>
          </w:p>
        </w:tc>
        <w:tc>
          <w:tcPr>
            <w:tcW w:w="2010"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42 090 105</w:t>
            </w:r>
          </w:p>
        </w:tc>
        <w:tc>
          <w:tcPr>
            <w:tcW w:w="1984" w:type="dxa"/>
            <w:tcBorders>
              <w:top w:val="nil"/>
              <w:left w:val="nil"/>
              <w:bottom w:val="single" w:sz="4"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33 559 100</w:t>
            </w:r>
          </w:p>
        </w:tc>
        <w:tc>
          <w:tcPr>
            <w:tcW w:w="1701" w:type="dxa"/>
            <w:tcBorders>
              <w:top w:val="nil"/>
              <w:left w:val="nil"/>
              <w:bottom w:val="single" w:sz="4"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R 8 531 005</w:t>
            </w:r>
          </w:p>
        </w:tc>
      </w:tr>
      <w:tr w:rsidR="00351CE9" w:rsidRPr="00351CE9" w:rsidTr="00351CE9">
        <w:trPr>
          <w:trHeight w:val="315"/>
        </w:trPr>
        <w:tc>
          <w:tcPr>
            <w:tcW w:w="2962" w:type="dxa"/>
            <w:tcBorders>
              <w:top w:val="nil"/>
              <w:left w:val="single" w:sz="8" w:space="0" w:color="auto"/>
              <w:bottom w:val="single" w:sz="8" w:space="0" w:color="auto"/>
              <w:right w:val="single" w:sz="4" w:space="0" w:color="auto"/>
            </w:tcBorders>
            <w:shd w:val="clear" w:color="000000" w:fill="D9D9D9"/>
            <w:noWrap/>
            <w:vAlign w:val="bottom"/>
            <w:hideMark/>
          </w:tcPr>
          <w:p w:rsidR="00351CE9" w:rsidRPr="00351CE9" w:rsidRDefault="00351CE9" w:rsidP="00351CE9">
            <w:pPr>
              <w:spacing w:after="0" w:line="240" w:lineRule="auto"/>
              <w:rPr>
                <w:rFonts w:ascii="Arial Narrow" w:eastAsia="Times New Roman" w:hAnsi="Arial Narrow" w:cs="Times New Roman"/>
                <w:b/>
                <w:bCs/>
                <w:color w:val="000000"/>
                <w:sz w:val="24"/>
                <w:szCs w:val="24"/>
                <w:lang w:eastAsia="en-ZA"/>
              </w:rPr>
            </w:pPr>
            <w:r w:rsidRPr="00351CE9">
              <w:rPr>
                <w:rFonts w:ascii="Arial Narrow" w:eastAsia="Times New Roman" w:hAnsi="Arial Narrow" w:cs="Times New Roman"/>
                <w:b/>
                <w:bCs/>
                <w:color w:val="000000"/>
                <w:sz w:val="24"/>
                <w:szCs w:val="24"/>
                <w:lang w:eastAsia="en-ZA"/>
              </w:rPr>
              <w:t>Variance</w:t>
            </w:r>
          </w:p>
        </w:tc>
        <w:tc>
          <w:tcPr>
            <w:tcW w:w="2010" w:type="dxa"/>
            <w:tcBorders>
              <w:top w:val="nil"/>
              <w:left w:val="nil"/>
              <w:bottom w:val="single" w:sz="8"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8%</w:t>
            </w:r>
          </w:p>
        </w:tc>
        <w:tc>
          <w:tcPr>
            <w:tcW w:w="1984" w:type="dxa"/>
            <w:tcBorders>
              <w:top w:val="nil"/>
              <w:left w:val="nil"/>
              <w:bottom w:val="single" w:sz="8" w:space="0" w:color="auto"/>
              <w:right w:val="single" w:sz="4"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-6%</w:t>
            </w:r>
          </w:p>
        </w:tc>
        <w:tc>
          <w:tcPr>
            <w:tcW w:w="1701" w:type="dxa"/>
            <w:tcBorders>
              <w:top w:val="nil"/>
              <w:left w:val="nil"/>
              <w:bottom w:val="single" w:sz="8" w:space="0" w:color="auto"/>
              <w:right w:val="single" w:sz="8" w:space="0" w:color="auto"/>
            </w:tcBorders>
            <w:shd w:val="clear" w:color="000000" w:fill="D9D9D9"/>
            <w:noWrap/>
            <w:vAlign w:val="bottom"/>
            <w:hideMark/>
          </w:tcPr>
          <w:p w:rsidR="00351CE9" w:rsidRPr="00351CE9" w:rsidRDefault="00351CE9" w:rsidP="00351CE9">
            <w:pPr>
              <w:spacing w:after="0" w:line="240" w:lineRule="auto"/>
              <w:jc w:val="right"/>
              <w:rPr>
                <w:rFonts w:ascii="Arial Narrow" w:eastAsia="Times New Roman" w:hAnsi="Arial Narrow" w:cs="Times New Roman"/>
                <w:color w:val="000000"/>
                <w:sz w:val="24"/>
                <w:szCs w:val="24"/>
                <w:lang w:eastAsia="en-ZA"/>
              </w:rPr>
            </w:pPr>
            <w:r w:rsidRPr="00351CE9">
              <w:rPr>
                <w:rFonts w:ascii="Arial Narrow" w:eastAsia="Times New Roman" w:hAnsi="Arial Narrow" w:cs="Times New Roman"/>
                <w:color w:val="000000"/>
                <w:sz w:val="24"/>
                <w:szCs w:val="24"/>
                <w:lang w:eastAsia="en-ZA"/>
              </w:rPr>
              <w:t>2%</w:t>
            </w:r>
          </w:p>
        </w:tc>
      </w:tr>
    </w:tbl>
    <w:p w:rsidR="00351CE9" w:rsidRDefault="00351CE9" w:rsidP="00B95D20">
      <w:pPr>
        <w:jc w:val="both"/>
        <w:rPr>
          <w:rFonts w:ascii="Arial Narrow" w:hAnsi="Arial Narrow"/>
          <w:sz w:val="24"/>
          <w:szCs w:val="24"/>
        </w:rPr>
      </w:pPr>
    </w:p>
    <w:p w:rsidR="00A734D4" w:rsidRDefault="00A734D4" w:rsidP="00B95D20">
      <w:pPr>
        <w:jc w:val="both"/>
        <w:rPr>
          <w:rFonts w:ascii="Arial Narrow" w:hAnsi="Arial Narrow"/>
          <w:sz w:val="24"/>
          <w:szCs w:val="24"/>
        </w:rPr>
      </w:pPr>
      <w:r>
        <w:rPr>
          <w:rFonts w:ascii="Arial Narrow" w:hAnsi="Arial Narrow"/>
          <w:sz w:val="24"/>
          <w:szCs w:val="24"/>
        </w:rPr>
        <w:t xml:space="preserve">The fact that the bulk of the resources deployed by WoF </w:t>
      </w:r>
      <w:r w:rsidR="002F6D18">
        <w:rPr>
          <w:rFonts w:ascii="Arial Narrow" w:hAnsi="Arial Narrow"/>
          <w:sz w:val="24"/>
          <w:szCs w:val="24"/>
        </w:rPr>
        <w:t>are</w:t>
      </w:r>
      <w:r>
        <w:rPr>
          <w:rFonts w:ascii="Arial Narrow" w:hAnsi="Arial Narrow"/>
          <w:sz w:val="24"/>
          <w:szCs w:val="24"/>
        </w:rPr>
        <w:t xml:space="preserve"> funded by the EPW</w:t>
      </w:r>
      <w:r w:rsidRPr="00A734D4">
        <w:rPr>
          <w:rFonts w:ascii="Arial Narrow" w:hAnsi="Arial Narrow"/>
          <w:sz w:val="24"/>
          <w:szCs w:val="24"/>
        </w:rPr>
        <w:t>P does not mean that other institutions do not allocate resources to integrated veld a</w:t>
      </w:r>
      <w:r w:rsidR="008C4C96">
        <w:rPr>
          <w:rFonts w:ascii="Arial Narrow" w:hAnsi="Arial Narrow"/>
          <w:sz w:val="24"/>
          <w:szCs w:val="24"/>
        </w:rPr>
        <w:t>nd forest fire management</w:t>
      </w:r>
      <w:r w:rsidRPr="00A734D4">
        <w:rPr>
          <w:rFonts w:ascii="Arial Narrow" w:hAnsi="Arial Narrow"/>
          <w:sz w:val="24"/>
          <w:szCs w:val="24"/>
        </w:rPr>
        <w:t xml:space="preserve">.  In a recent project on </w:t>
      </w:r>
      <w:r>
        <w:rPr>
          <w:rFonts w:ascii="Arial Narrow" w:hAnsi="Arial Narrow"/>
          <w:sz w:val="24"/>
          <w:szCs w:val="24"/>
          <w:lang w:val="en-GB"/>
        </w:rPr>
        <w:t>r</w:t>
      </w:r>
      <w:r w:rsidRPr="00A734D4">
        <w:rPr>
          <w:rFonts w:ascii="Arial Narrow" w:hAnsi="Arial Narrow"/>
          <w:sz w:val="24"/>
          <w:szCs w:val="24"/>
          <w:lang w:val="en-GB"/>
        </w:rPr>
        <w:t>educin</w:t>
      </w:r>
      <w:r>
        <w:rPr>
          <w:rFonts w:ascii="Arial Narrow" w:hAnsi="Arial Narrow"/>
          <w:sz w:val="24"/>
          <w:szCs w:val="24"/>
          <w:lang w:val="en-GB"/>
        </w:rPr>
        <w:t>g disaster risks from wildland fire hazards associated with climate c</w:t>
      </w:r>
      <w:r w:rsidRPr="00A734D4">
        <w:rPr>
          <w:rFonts w:ascii="Arial Narrow" w:hAnsi="Arial Narrow"/>
          <w:sz w:val="24"/>
          <w:szCs w:val="24"/>
          <w:lang w:val="en-GB"/>
        </w:rPr>
        <w:t>hange in South Africa</w:t>
      </w:r>
      <w:r w:rsidRPr="00A734D4">
        <w:rPr>
          <w:rFonts w:ascii="Arial Narrow" w:hAnsi="Arial Narrow"/>
          <w:sz w:val="24"/>
          <w:szCs w:val="24"/>
        </w:rPr>
        <w:t xml:space="preserve"> </w:t>
      </w:r>
      <w:r>
        <w:rPr>
          <w:rFonts w:ascii="Arial Narrow" w:hAnsi="Arial Narrow"/>
          <w:sz w:val="24"/>
          <w:szCs w:val="24"/>
        </w:rPr>
        <w:t xml:space="preserve">focusing </w:t>
      </w:r>
      <w:r w:rsidR="008C4C96">
        <w:rPr>
          <w:rFonts w:ascii="Arial Narrow" w:hAnsi="Arial Narrow"/>
          <w:sz w:val="24"/>
          <w:szCs w:val="24"/>
        </w:rPr>
        <w:t>on the Cape Floristic Region</w:t>
      </w:r>
      <w:r>
        <w:rPr>
          <w:rFonts w:ascii="Arial Narrow" w:hAnsi="Arial Narrow"/>
          <w:sz w:val="24"/>
          <w:szCs w:val="24"/>
        </w:rPr>
        <w:t xml:space="preserve"> </w:t>
      </w:r>
      <w:r w:rsidRPr="00A734D4">
        <w:rPr>
          <w:rFonts w:ascii="Arial Narrow" w:hAnsi="Arial Narrow"/>
          <w:sz w:val="24"/>
          <w:szCs w:val="24"/>
        </w:rPr>
        <w:t xml:space="preserve">funded by the Global Environment Facility (GEF) </w:t>
      </w:r>
      <w:r>
        <w:rPr>
          <w:rFonts w:ascii="Arial Narrow" w:hAnsi="Arial Narrow"/>
          <w:sz w:val="24"/>
          <w:szCs w:val="24"/>
        </w:rPr>
        <w:t>it became clear that other stakeholders do contribute to veld and forest fire management as well.</w:t>
      </w:r>
    </w:p>
    <w:p w:rsidR="00A734D4" w:rsidRDefault="00A734D4" w:rsidP="00B95D20">
      <w:pPr>
        <w:jc w:val="both"/>
        <w:rPr>
          <w:rFonts w:ascii="Arial Narrow" w:hAnsi="Arial Narrow"/>
          <w:sz w:val="24"/>
          <w:szCs w:val="24"/>
        </w:rPr>
      </w:pPr>
      <w:r>
        <w:rPr>
          <w:rFonts w:ascii="Arial Narrow" w:hAnsi="Arial Narrow"/>
          <w:sz w:val="24"/>
          <w:szCs w:val="24"/>
        </w:rPr>
        <w:t>A s</w:t>
      </w:r>
      <w:r w:rsidR="008C4C96">
        <w:rPr>
          <w:rFonts w:ascii="Arial Narrow" w:hAnsi="Arial Narrow"/>
          <w:sz w:val="24"/>
          <w:szCs w:val="24"/>
        </w:rPr>
        <w:t>urvey done by the project showed that in</w:t>
      </w:r>
      <w:r>
        <w:rPr>
          <w:rFonts w:ascii="Arial Narrow" w:hAnsi="Arial Narrow"/>
          <w:sz w:val="24"/>
          <w:szCs w:val="24"/>
        </w:rPr>
        <w:t xml:space="preserve"> the Western Cape around 55% of resources deployed </w:t>
      </w:r>
      <w:r w:rsidR="008C4C96">
        <w:rPr>
          <w:rFonts w:ascii="Arial Narrow" w:hAnsi="Arial Narrow"/>
          <w:sz w:val="24"/>
          <w:szCs w:val="24"/>
        </w:rPr>
        <w:t xml:space="preserve">towards </w:t>
      </w:r>
      <w:r>
        <w:rPr>
          <w:rFonts w:ascii="Arial Narrow" w:hAnsi="Arial Narrow"/>
          <w:sz w:val="24"/>
          <w:szCs w:val="24"/>
        </w:rPr>
        <w:t>integrated veld</w:t>
      </w:r>
      <w:r w:rsidR="008C4C96">
        <w:rPr>
          <w:rFonts w:ascii="Arial Narrow" w:hAnsi="Arial Narrow"/>
          <w:sz w:val="24"/>
          <w:szCs w:val="24"/>
        </w:rPr>
        <w:t xml:space="preserve"> and forest fire management was being </w:t>
      </w:r>
      <w:r>
        <w:rPr>
          <w:rFonts w:ascii="Arial Narrow" w:hAnsi="Arial Narrow"/>
          <w:sz w:val="24"/>
          <w:szCs w:val="24"/>
        </w:rPr>
        <w:t xml:space="preserve"> funded by WoF.  Land users through Fire Protection Associations (FPA) &amp; individual commitments contributed 36%, local authorities 6.5%, provincial government, 1% and National government agencies 1.5%. The resources deployed by the provincial conservation agency are included under land users.  It must be noted that this is not necessarily the case in other parts of the country.  In resource poor areas like the former homelan</w:t>
      </w:r>
      <w:r w:rsidR="008C4C96">
        <w:rPr>
          <w:rFonts w:ascii="Arial Narrow" w:hAnsi="Arial Narrow"/>
          <w:sz w:val="24"/>
          <w:szCs w:val="24"/>
        </w:rPr>
        <w:t>ds contribution profile will</w:t>
      </w:r>
      <w:r>
        <w:rPr>
          <w:rFonts w:ascii="Arial Narrow" w:hAnsi="Arial Narrow"/>
          <w:sz w:val="24"/>
          <w:szCs w:val="24"/>
        </w:rPr>
        <w:t xml:space="preserve"> be different to the Western Cape.  These resource poor communities will be more dependent on the contribution of government to protect their livelihoods against wildfires but also </w:t>
      </w:r>
      <w:r>
        <w:rPr>
          <w:rFonts w:ascii="Arial Narrow" w:hAnsi="Arial Narrow"/>
          <w:sz w:val="24"/>
          <w:szCs w:val="24"/>
        </w:rPr>
        <w:lastRenderedPageBreak/>
        <w:t>to support them to implement sustainable grazing regimes by implementing prescribed block burning and fire break programmes.</w:t>
      </w:r>
    </w:p>
    <w:tbl>
      <w:tblPr>
        <w:tblW w:w="0" w:type="auto"/>
        <w:tblInd w:w="93" w:type="dxa"/>
        <w:tblLayout w:type="fixed"/>
        <w:tblLook w:val="04A0" w:firstRow="1" w:lastRow="0" w:firstColumn="1" w:lastColumn="0" w:noHBand="0" w:noVBand="1"/>
      </w:tblPr>
      <w:tblGrid>
        <w:gridCol w:w="7386"/>
        <w:gridCol w:w="1763"/>
      </w:tblGrid>
      <w:tr w:rsidR="00A734D4" w:rsidRPr="00A734D4" w:rsidTr="00A734D4">
        <w:trPr>
          <w:trHeight w:val="300"/>
        </w:trPr>
        <w:tc>
          <w:tcPr>
            <w:tcW w:w="9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34D4" w:rsidRPr="00A734D4" w:rsidRDefault="00A734D4" w:rsidP="007F3485">
            <w:pPr>
              <w:spacing w:after="0"/>
              <w:rPr>
                <w:rFonts w:ascii="Arial Narrow" w:eastAsia="Times New Roman" w:hAnsi="Arial Narrow" w:cs="Times New Roman"/>
                <w:b/>
                <w:color w:val="000000"/>
                <w:sz w:val="24"/>
                <w:szCs w:val="24"/>
                <w:lang w:eastAsia="en-ZA"/>
              </w:rPr>
            </w:pPr>
            <w:r>
              <w:rPr>
                <w:rFonts w:ascii="Arial Narrow" w:eastAsia="Times New Roman" w:hAnsi="Arial Narrow" w:cs="Times New Roman"/>
                <w:b/>
                <w:color w:val="000000"/>
                <w:sz w:val="24"/>
                <w:szCs w:val="24"/>
                <w:lang w:eastAsia="en-ZA"/>
              </w:rPr>
              <w:t>Table 2</w:t>
            </w:r>
            <w:r w:rsidRPr="00A734D4">
              <w:rPr>
                <w:rFonts w:ascii="Arial Narrow" w:eastAsia="Times New Roman" w:hAnsi="Arial Narrow" w:cs="Times New Roman"/>
                <w:b/>
                <w:color w:val="000000"/>
                <w:sz w:val="24"/>
                <w:szCs w:val="24"/>
                <w:lang w:eastAsia="en-ZA"/>
              </w:rPr>
              <w:t>: Contribution by sectors per integrated veld and forest fire management activity</w:t>
            </w:r>
          </w:p>
        </w:tc>
      </w:tr>
      <w:tr w:rsidR="00A734D4" w:rsidRPr="00A734D4" w:rsidTr="00A734D4">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Contributors</w:t>
            </w:r>
          </w:p>
        </w:tc>
        <w:tc>
          <w:tcPr>
            <w:tcW w:w="1763" w:type="dxa"/>
            <w:tcBorders>
              <w:top w:val="single" w:sz="4" w:space="0" w:color="auto"/>
              <w:left w:val="nil"/>
              <w:bottom w:val="single" w:sz="4" w:space="0" w:color="auto"/>
              <w:right w:val="single" w:sz="4" w:space="0" w:color="auto"/>
            </w:tcBorders>
            <w:shd w:val="clear" w:color="auto" w:fill="auto"/>
            <w:noWrap/>
            <w:vAlign w:val="bottom"/>
            <w:hideMark/>
          </w:tcPr>
          <w:p w:rsidR="00A734D4" w:rsidRPr="00A734D4" w:rsidRDefault="00A734D4" w:rsidP="00A734D4">
            <w:pPr>
              <w:spacing w:after="0"/>
              <w:jc w:val="center"/>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Proportional Contribution per sector</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Land Users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 </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F</w:t>
            </w:r>
            <w:r>
              <w:rPr>
                <w:rFonts w:ascii="Arial Narrow" w:eastAsia="Times New Roman" w:hAnsi="Arial Narrow" w:cs="Times New Roman"/>
                <w:color w:val="000000"/>
                <w:sz w:val="24"/>
                <w:szCs w:val="24"/>
                <w:lang w:eastAsia="en-ZA"/>
              </w:rPr>
              <w:t xml:space="preserve">ire </w:t>
            </w:r>
            <w:r w:rsidRPr="00A734D4">
              <w:rPr>
                <w:rFonts w:ascii="Arial Narrow" w:eastAsia="Times New Roman" w:hAnsi="Arial Narrow" w:cs="Times New Roman"/>
                <w:color w:val="000000"/>
                <w:sz w:val="24"/>
                <w:szCs w:val="24"/>
                <w:lang w:eastAsia="en-ZA"/>
              </w:rPr>
              <w:t>P</w:t>
            </w:r>
            <w:r>
              <w:rPr>
                <w:rFonts w:ascii="Arial Narrow" w:eastAsia="Times New Roman" w:hAnsi="Arial Narrow" w:cs="Times New Roman"/>
                <w:color w:val="000000"/>
                <w:sz w:val="24"/>
                <w:szCs w:val="24"/>
                <w:lang w:eastAsia="en-ZA"/>
              </w:rPr>
              <w:t xml:space="preserve">rotection </w:t>
            </w:r>
            <w:r w:rsidRPr="00A734D4">
              <w:rPr>
                <w:rFonts w:ascii="Arial Narrow" w:eastAsia="Times New Roman" w:hAnsi="Arial Narrow" w:cs="Times New Roman"/>
                <w:color w:val="000000"/>
                <w:sz w:val="24"/>
                <w:szCs w:val="24"/>
                <w:lang w:eastAsia="en-ZA"/>
              </w:rPr>
              <w:t>A</w:t>
            </w:r>
            <w:r>
              <w:rPr>
                <w:rFonts w:ascii="Arial Narrow" w:eastAsia="Times New Roman" w:hAnsi="Arial Narrow" w:cs="Times New Roman"/>
                <w:color w:val="000000"/>
                <w:sz w:val="24"/>
                <w:szCs w:val="24"/>
                <w:lang w:eastAsia="en-ZA"/>
              </w:rPr>
              <w:t>ssociation (FPA)</w:t>
            </w:r>
            <w:r w:rsidRPr="00A734D4">
              <w:rPr>
                <w:rFonts w:ascii="Arial Narrow" w:eastAsia="Times New Roman" w:hAnsi="Arial Narrow" w:cs="Times New Roman"/>
                <w:color w:val="000000"/>
                <w:sz w:val="24"/>
                <w:szCs w:val="24"/>
                <w:lang w:eastAsia="en-ZA"/>
              </w:rPr>
              <w:t xml:space="preserve"> Costs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7.0%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FPA Aerial Support Costs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3.0%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Fore</w:t>
            </w:r>
            <w:r>
              <w:rPr>
                <w:rFonts w:ascii="Arial Narrow" w:eastAsia="Times New Roman" w:hAnsi="Arial Narrow" w:cs="Times New Roman"/>
                <w:color w:val="000000"/>
                <w:sz w:val="24"/>
                <w:szCs w:val="24"/>
                <w:lang w:eastAsia="en-ZA"/>
              </w:rPr>
              <w:t>st Fire</w:t>
            </w:r>
            <w:r w:rsidRPr="00A734D4">
              <w:rPr>
                <w:rFonts w:ascii="Arial Narrow" w:eastAsia="Times New Roman" w:hAnsi="Arial Narrow" w:cs="Times New Roman"/>
                <w:color w:val="000000"/>
                <w:sz w:val="24"/>
                <w:szCs w:val="24"/>
                <w:lang w:eastAsia="en-ZA"/>
              </w:rPr>
              <w:t xml:space="preserve"> Detection</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3.0%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Forestry Costs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23.0%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Agricultural Costs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0.0%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Working on Fire</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 </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WoF Ground Operations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23.0%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WoF Aerial Support</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3.0%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WoF Other</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29.0%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Local Authorities</w:t>
            </w:r>
          </w:p>
        </w:tc>
        <w:tc>
          <w:tcPr>
            <w:tcW w:w="1763" w:type="dxa"/>
            <w:tcBorders>
              <w:top w:val="nil"/>
              <w:left w:val="nil"/>
              <w:bottom w:val="single" w:sz="4" w:space="0" w:color="auto"/>
              <w:right w:val="single" w:sz="4" w:space="0" w:color="auto"/>
            </w:tcBorders>
            <w:shd w:val="clear" w:color="auto" w:fill="auto"/>
            <w:noWrap/>
            <w:vAlign w:val="bottom"/>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District Municipalities</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6.0%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 xml:space="preserve">Metropolitan Municipalities </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0.5%</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Provincial Government</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1.0%</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b/>
                <w:color w:val="000000"/>
                <w:sz w:val="24"/>
                <w:szCs w:val="24"/>
                <w:lang w:eastAsia="en-ZA"/>
              </w:rPr>
              <w:t>National Government</w:t>
            </w:r>
            <w:r w:rsidRPr="00A734D4">
              <w:rPr>
                <w:rFonts w:ascii="Arial Narrow" w:eastAsia="Times New Roman" w:hAnsi="Arial Narrow" w:cs="Times New Roman"/>
                <w:color w:val="000000"/>
                <w:sz w:val="24"/>
                <w:szCs w:val="24"/>
                <w:lang w:eastAsia="en-ZA"/>
              </w:rPr>
              <w:t xml:space="preserve"> (SANParks, National Disaster Management </w:t>
            </w:r>
            <w:r w:rsidR="008C4C96" w:rsidRPr="00A734D4">
              <w:rPr>
                <w:rFonts w:ascii="Arial Narrow" w:eastAsia="Times New Roman" w:hAnsi="Arial Narrow" w:cs="Times New Roman"/>
                <w:color w:val="000000"/>
                <w:sz w:val="24"/>
                <w:szCs w:val="24"/>
                <w:lang w:eastAsia="en-ZA"/>
              </w:rPr>
              <w:t>Centre</w:t>
            </w:r>
            <w:r w:rsidRPr="00A734D4">
              <w:rPr>
                <w:rFonts w:ascii="Arial Narrow" w:eastAsia="Times New Roman" w:hAnsi="Arial Narrow" w:cs="Times New Roman"/>
                <w:color w:val="000000"/>
                <w:sz w:val="24"/>
                <w:szCs w:val="24"/>
                <w:lang w:eastAsia="en-ZA"/>
              </w:rPr>
              <w:t>, DAFF)</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1.5%</w:t>
            </w:r>
          </w:p>
        </w:tc>
      </w:tr>
      <w:tr w:rsidR="00A734D4" w:rsidRPr="00A734D4" w:rsidTr="00A734D4">
        <w:trPr>
          <w:trHeight w:val="300"/>
        </w:trPr>
        <w:tc>
          <w:tcPr>
            <w:tcW w:w="7386" w:type="dxa"/>
            <w:tcBorders>
              <w:top w:val="nil"/>
              <w:left w:val="single" w:sz="4" w:space="0" w:color="auto"/>
              <w:bottom w:val="single" w:sz="4" w:space="0" w:color="auto"/>
              <w:right w:val="single" w:sz="4" w:space="0" w:color="auto"/>
            </w:tcBorders>
            <w:shd w:val="clear" w:color="auto" w:fill="auto"/>
            <w:noWrap/>
            <w:vAlign w:val="bottom"/>
            <w:hideMark/>
          </w:tcPr>
          <w:p w:rsidR="00A734D4" w:rsidRPr="00A734D4" w:rsidRDefault="00A734D4" w:rsidP="007F3485">
            <w:pPr>
              <w:spacing w:after="0"/>
              <w:rPr>
                <w:rFonts w:ascii="Arial Narrow" w:eastAsia="Times New Roman" w:hAnsi="Arial Narrow" w:cs="Times New Roman"/>
                <w:b/>
                <w:color w:val="000000"/>
                <w:sz w:val="24"/>
                <w:szCs w:val="24"/>
                <w:lang w:eastAsia="en-ZA"/>
              </w:rPr>
            </w:pPr>
            <w:r w:rsidRPr="00A734D4">
              <w:rPr>
                <w:rFonts w:ascii="Arial Narrow" w:eastAsia="Times New Roman" w:hAnsi="Arial Narrow" w:cs="Times New Roman"/>
                <w:b/>
                <w:color w:val="000000"/>
                <w:sz w:val="24"/>
                <w:szCs w:val="24"/>
                <w:lang w:eastAsia="en-ZA"/>
              </w:rPr>
              <w:t>Total</w:t>
            </w:r>
          </w:p>
        </w:tc>
        <w:tc>
          <w:tcPr>
            <w:tcW w:w="1763" w:type="dxa"/>
            <w:tcBorders>
              <w:top w:val="nil"/>
              <w:left w:val="nil"/>
              <w:bottom w:val="single" w:sz="4" w:space="0" w:color="auto"/>
              <w:right w:val="single" w:sz="4" w:space="0" w:color="auto"/>
            </w:tcBorders>
            <w:shd w:val="clear" w:color="auto" w:fill="auto"/>
            <w:noWrap/>
            <w:vAlign w:val="bottom"/>
            <w:hideMark/>
          </w:tcPr>
          <w:p w:rsidR="00A734D4" w:rsidRPr="00A734D4" w:rsidRDefault="00A734D4" w:rsidP="007F3485">
            <w:pPr>
              <w:spacing w:after="0"/>
              <w:jc w:val="right"/>
              <w:rPr>
                <w:rFonts w:ascii="Arial Narrow" w:eastAsia="Times New Roman" w:hAnsi="Arial Narrow" w:cs="Times New Roman"/>
                <w:color w:val="000000"/>
                <w:sz w:val="24"/>
                <w:szCs w:val="24"/>
                <w:lang w:eastAsia="en-ZA"/>
              </w:rPr>
            </w:pPr>
            <w:r w:rsidRPr="00A734D4">
              <w:rPr>
                <w:rFonts w:ascii="Arial Narrow" w:eastAsia="Times New Roman" w:hAnsi="Arial Narrow" w:cs="Times New Roman"/>
                <w:color w:val="000000"/>
                <w:sz w:val="24"/>
                <w:szCs w:val="24"/>
                <w:lang w:eastAsia="en-ZA"/>
              </w:rPr>
              <w:t>100.0%</w:t>
            </w:r>
          </w:p>
        </w:tc>
      </w:tr>
    </w:tbl>
    <w:p w:rsidR="00A734D4" w:rsidRDefault="00A734D4" w:rsidP="00B95D20">
      <w:pPr>
        <w:jc w:val="both"/>
        <w:rPr>
          <w:rFonts w:ascii="Arial Narrow" w:hAnsi="Arial Narrow"/>
          <w:sz w:val="24"/>
          <w:szCs w:val="24"/>
        </w:rPr>
      </w:pPr>
    </w:p>
    <w:p w:rsidR="00A734D4" w:rsidRDefault="00A734D4" w:rsidP="00B95D20">
      <w:pPr>
        <w:pStyle w:val="ListParagraph"/>
        <w:numPr>
          <w:ilvl w:val="0"/>
          <w:numId w:val="1"/>
        </w:numPr>
        <w:jc w:val="both"/>
        <w:rPr>
          <w:rFonts w:ascii="Arial Narrow" w:hAnsi="Arial Narrow"/>
          <w:b/>
          <w:sz w:val="24"/>
          <w:szCs w:val="24"/>
        </w:rPr>
      </w:pPr>
      <w:r w:rsidRPr="00A734D4">
        <w:rPr>
          <w:rFonts w:ascii="Arial Narrow" w:hAnsi="Arial Narrow"/>
          <w:b/>
          <w:sz w:val="24"/>
          <w:szCs w:val="24"/>
        </w:rPr>
        <w:t>HIGH LEVEL OPERATIONAL INDICATORS</w:t>
      </w:r>
    </w:p>
    <w:p w:rsidR="00A734D4" w:rsidRPr="00A734D4" w:rsidRDefault="00A734D4" w:rsidP="00A734D4">
      <w:pPr>
        <w:jc w:val="both"/>
        <w:rPr>
          <w:rFonts w:ascii="Arial Narrow" w:hAnsi="Arial Narrow"/>
          <w:sz w:val="24"/>
          <w:szCs w:val="24"/>
        </w:rPr>
      </w:pPr>
      <w:r>
        <w:rPr>
          <w:rFonts w:ascii="Arial Narrow" w:hAnsi="Arial Narrow"/>
          <w:sz w:val="24"/>
          <w:szCs w:val="24"/>
        </w:rPr>
        <w:t>Some high level indicators will be presented below showing the national scale of the socio-economic and natural resource management impact of the WoF programme.</w:t>
      </w:r>
    </w:p>
    <w:p w:rsidR="007F3485" w:rsidRDefault="007F3485" w:rsidP="007F3485">
      <w:pPr>
        <w:pStyle w:val="ListParagraph"/>
        <w:numPr>
          <w:ilvl w:val="1"/>
          <w:numId w:val="1"/>
        </w:numPr>
        <w:jc w:val="both"/>
        <w:rPr>
          <w:rFonts w:ascii="Arial Narrow" w:hAnsi="Arial Narrow"/>
          <w:b/>
          <w:sz w:val="24"/>
          <w:szCs w:val="24"/>
        </w:rPr>
      </w:pPr>
      <w:r>
        <w:rPr>
          <w:rFonts w:ascii="Arial Narrow" w:hAnsi="Arial Narrow"/>
          <w:b/>
          <w:sz w:val="24"/>
          <w:szCs w:val="24"/>
        </w:rPr>
        <w:t>Socio-Economic deliverables</w:t>
      </w:r>
    </w:p>
    <w:p w:rsidR="007F3485" w:rsidRPr="007F3485" w:rsidRDefault="007F3485" w:rsidP="007F3485">
      <w:pPr>
        <w:pStyle w:val="ListParagraph"/>
        <w:numPr>
          <w:ilvl w:val="2"/>
          <w:numId w:val="1"/>
        </w:numPr>
        <w:jc w:val="both"/>
        <w:rPr>
          <w:rFonts w:ascii="Arial Narrow" w:hAnsi="Arial Narrow"/>
          <w:b/>
          <w:sz w:val="24"/>
          <w:szCs w:val="24"/>
        </w:rPr>
      </w:pPr>
      <w:r>
        <w:rPr>
          <w:rFonts w:ascii="Arial Narrow" w:hAnsi="Arial Narrow"/>
          <w:b/>
          <w:sz w:val="24"/>
          <w:szCs w:val="24"/>
        </w:rPr>
        <w:t>Employment</w:t>
      </w:r>
    </w:p>
    <w:p w:rsidR="00A734D4" w:rsidRPr="00A734D4" w:rsidRDefault="00A734D4" w:rsidP="00A734D4">
      <w:pPr>
        <w:jc w:val="both"/>
        <w:rPr>
          <w:rFonts w:ascii="Arial Narrow" w:hAnsi="Arial Narrow"/>
          <w:sz w:val="24"/>
          <w:szCs w:val="24"/>
        </w:rPr>
      </w:pPr>
      <w:r>
        <w:rPr>
          <w:rFonts w:ascii="Arial Narrow" w:hAnsi="Arial Narrow"/>
          <w:sz w:val="24"/>
          <w:szCs w:val="24"/>
        </w:rPr>
        <w:t>Figure 7 shows the employment created by the programme since 2013/14.  As can be seen during the 2015/16 financial year the number of person days came</w:t>
      </w:r>
      <w:r w:rsidR="005E79A7">
        <w:rPr>
          <w:rFonts w:ascii="Arial Narrow" w:hAnsi="Arial Narrow"/>
          <w:sz w:val="24"/>
          <w:szCs w:val="24"/>
        </w:rPr>
        <w:t xml:space="preserve"> down</w:t>
      </w:r>
      <w:r>
        <w:rPr>
          <w:rFonts w:ascii="Arial Narrow" w:hAnsi="Arial Narrow"/>
          <w:sz w:val="24"/>
          <w:szCs w:val="24"/>
        </w:rPr>
        <w:t xml:space="preserve">.  </w:t>
      </w:r>
      <w:r w:rsidR="005E79A7">
        <w:rPr>
          <w:rFonts w:ascii="Arial Narrow" w:hAnsi="Arial Narrow"/>
          <w:sz w:val="24"/>
          <w:szCs w:val="24"/>
        </w:rPr>
        <w:t>This was due to a misinterpretation</w:t>
      </w:r>
      <w:r>
        <w:rPr>
          <w:rFonts w:ascii="Arial Narrow" w:hAnsi="Arial Narrow"/>
          <w:sz w:val="24"/>
          <w:szCs w:val="24"/>
        </w:rPr>
        <w:t xml:space="preserve"> between EPWP and DEA about what qualifies as a person day.  Historically, when a fire fighter worked overtime the latter was added and reported as additional person days of employment.  The EPWP system however only allows for a 40 hour </w:t>
      </w:r>
      <w:r w:rsidR="00B96363">
        <w:rPr>
          <w:rFonts w:ascii="Arial Narrow" w:hAnsi="Arial Narrow"/>
          <w:sz w:val="24"/>
          <w:szCs w:val="24"/>
        </w:rPr>
        <w:t xml:space="preserve">work </w:t>
      </w:r>
      <w:r>
        <w:rPr>
          <w:rFonts w:ascii="Arial Narrow" w:hAnsi="Arial Narrow"/>
          <w:sz w:val="24"/>
          <w:szCs w:val="24"/>
        </w:rPr>
        <w:t>week and the programme stopped reporting these person days.  The cost of these so-called overtime person days were also relatively low as there are effectively no additional costs with regards to additional management, equipment, personal protective equipment etc.  It is predicted that the employment in 2016/17 will come down marginally again due to budget cuts in all the DEA Environmental Programmes. If expressed as full time employment (230 working days per year) the person days shown in figure 7 represents 5 696 person years of employment during 2013/14, 6 757 during 2015/16, 6 069 during 2015/16 and it is predicted that the programme can create 5 652 during 2016/17.</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Pr="00A734D4" w:rsidRDefault="00A734D4" w:rsidP="00B95D20">
            <w:pPr>
              <w:jc w:val="both"/>
              <w:rPr>
                <w:rFonts w:ascii="Arial Narrow" w:hAnsi="Arial Narrow"/>
              </w:rPr>
            </w:pPr>
            <w:r>
              <w:rPr>
                <w:rFonts w:ascii="Arial Narrow" w:hAnsi="Arial Narrow"/>
                <w:sz w:val="24"/>
                <w:szCs w:val="24"/>
              </w:rPr>
              <w:lastRenderedPageBreak/>
              <w:t>Figure 7</w:t>
            </w:r>
            <w:r w:rsidRPr="00A734D4">
              <w:rPr>
                <w:rFonts w:ascii="Arial Narrow" w:hAnsi="Arial Narrow"/>
                <w:sz w:val="24"/>
                <w:szCs w:val="24"/>
              </w:rPr>
              <w:t xml:space="preserve">: </w:t>
            </w:r>
            <w:r w:rsidRPr="00A734D4">
              <w:rPr>
                <w:rFonts w:ascii="Arial Narrow" w:hAnsi="Arial Narrow"/>
                <w:bCs/>
                <w:sz w:val="24"/>
                <w:szCs w:val="24"/>
              </w:rPr>
              <w:t>No of person days</w:t>
            </w:r>
            <w:r w:rsidRPr="00A734D4">
              <w:rPr>
                <w:rFonts w:ascii="Arial Narrow" w:hAnsi="Arial Narrow"/>
                <w:sz w:val="24"/>
                <w:szCs w:val="24"/>
              </w:rPr>
              <w:t xml:space="preserve"> of employment created between 2013/14 and September 2016/17</w:t>
            </w:r>
          </w:p>
        </w:tc>
      </w:tr>
      <w:tr w:rsidR="00A734D4" w:rsidTr="00A734D4">
        <w:tc>
          <w:tcPr>
            <w:tcW w:w="9242" w:type="dxa"/>
          </w:tcPr>
          <w:p w:rsidR="00A734D4" w:rsidRDefault="00A734D4" w:rsidP="00B95D20">
            <w:pPr>
              <w:jc w:val="both"/>
              <w:rPr>
                <w:rFonts w:ascii="Arial Narrow" w:hAnsi="Arial Narrow"/>
                <w:sz w:val="24"/>
                <w:szCs w:val="24"/>
              </w:rPr>
            </w:pPr>
            <w:r>
              <w:rPr>
                <w:noProof/>
                <w:lang w:eastAsia="en-ZA"/>
              </w:rPr>
              <w:drawing>
                <wp:inline distT="0" distB="0" distL="0" distR="0" wp14:anchorId="5546DF7F" wp14:editId="00243ADE">
                  <wp:extent cx="5736566" cy="3303917"/>
                  <wp:effectExtent l="0" t="0" r="17145"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5E79A7" w:rsidRDefault="005E79A7" w:rsidP="00B95D20">
      <w:pPr>
        <w:jc w:val="both"/>
        <w:rPr>
          <w:rFonts w:ascii="Arial Narrow" w:hAnsi="Arial Narrow"/>
          <w:sz w:val="24"/>
          <w:szCs w:val="24"/>
        </w:rPr>
      </w:pPr>
    </w:p>
    <w:p w:rsidR="00A734D4" w:rsidRPr="00A734D4" w:rsidRDefault="00A734D4" w:rsidP="00B95D20">
      <w:pPr>
        <w:jc w:val="both"/>
        <w:rPr>
          <w:rFonts w:ascii="Arial Narrow" w:hAnsi="Arial Narrow"/>
          <w:sz w:val="24"/>
          <w:szCs w:val="24"/>
        </w:rPr>
      </w:pPr>
      <w:r>
        <w:rPr>
          <w:rFonts w:ascii="Arial Narrow" w:hAnsi="Arial Narrow"/>
          <w:sz w:val="24"/>
          <w:szCs w:val="24"/>
        </w:rPr>
        <w:t xml:space="preserve">As can be expected, the costs per person day are going up in line with inflation but have gone up more significantly during the 2015/16 financial year due to the “disqualification” of the overtime person days which was a significant proportion during 2014/15. </w:t>
      </w:r>
      <w:r w:rsidR="008C4C96">
        <w:rPr>
          <w:rFonts w:ascii="Arial Narrow" w:hAnsi="Arial Narrow"/>
          <w:sz w:val="24"/>
          <w:szCs w:val="24"/>
        </w:rPr>
        <w:t>The impact</w:t>
      </w:r>
      <w:r>
        <w:rPr>
          <w:rFonts w:ascii="Arial Narrow" w:hAnsi="Arial Narrow"/>
          <w:sz w:val="24"/>
          <w:szCs w:val="24"/>
        </w:rPr>
        <w:t xml:space="preserve"> can also be seen in figure 8 below.</w:t>
      </w:r>
      <w:r w:rsidR="005E79A7">
        <w:rPr>
          <w:rFonts w:ascii="Arial Narrow" w:hAnsi="Arial Narrow"/>
          <w:sz w:val="24"/>
          <w:szCs w:val="24"/>
        </w:rPr>
        <w:t xml:space="preserve"> Like in the above cases the high upfront annual costs is having an impact on the midterm person day costs.</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Pr="00A734D4" w:rsidRDefault="00A734D4" w:rsidP="00B95D20">
            <w:pPr>
              <w:jc w:val="both"/>
              <w:rPr>
                <w:rFonts w:ascii="Arial Narrow" w:hAnsi="Arial Narrow"/>
                <w:sz w:val="24"/>
                <w:szCs w:val="24"/>
              </w:rPr>
            </w:pPr>
            <w:r>
              <w:rPr>
                <w:rFonts w:ascii="Arial Narrow" w:hAnsi="Arial Narrow"/>
                <w:sz w:val="24"/>
                <w:szCs w:val="24"/>
              </w:rPr>
              <w:t>Figure 8: C</w:t>
            </w:r>
            <w:r w:rsidRPr="00A734D4">
              <w:rPr>
                <w:rFonts w:ascii="Arial Narrow" w:hAnsi="Arial Narrow"/>
                <w:sz w:val="24"/>
                <w:szCs w:val="24"/>
              </w:rPr>
              <w:t>ost</w:t>
            </w:r>
            <w:r>
              <w:rPr>
                <w:rFonts w:ascii="Arial Narrow" w:hAnsi="Arial Narrow"/>
                <w:sz w:val="24"/>
                <w:szCs w:val="24"/>
              </w:rPr>
              <w:t>s</w:t>
            </w:r>
            <w:r w:rsidRPr="00A734D4">
              <w:rPr>
                <w:rFonts w:ascii="Arial Narrow" w:hAnsi="Arial Narrow"/>
                <w:sz w:val="24"/>
                <w:szCs w:val="24"/>
              </w:rPr>
              <w:t xml:space="preserve"> per person day</w:t>
            </w:r>
            <w:r>
              <w:rPr>
                <w:rFonts w:ascii="Arial Narrow" w:hAnsi="Arial Narrow"/>
                <w:sz w:val="24"/>
                <w:szCs w:val="24"/>
              </w:rPr>
              <w:t xml:space="preserve"> for the respective financial years.</w:t>
            </w:r>
            <w:r w:rsidRPr="00A734D4">
              <w:rPr>
                <w:rFonts w:ascii="Arial Narrow" w:hAnsi="Arial Narrow"/>
                <w:sz w:val="24"/>
                <w:szCs w:val="24"/>
              </w:rPr>
              <w:t xml:space="preserve"> </w:t>
            </w:r>
          </w:p>
        </w:tc>
      </w:tr>
      <w:tr w:rsidR="00A734D4" w:rsidTr="00A734D4">
        <w:tc>
          <w:tcPr>
            <w:tcW w:w="9242" w:type="dxa"/>
          </w:tcPr>
          <w:p w:rsidR="00A734D4" w:rsidRDefault="00A734D4" w:rsidP="00B95D20">
            <w:pPr>
              <w:jc w:val="both"/>
              <w:rPr>
                <w:rFonts w:ascii="Arial Narrow" w:hAnsi="Arial Narrow"/>
                <w:b/>
                <w:sz w:val="24"/>
                <w:szCs w:val="24"/>
              </w:rPr>
            </w:pPr>
            <w:r>
              <w:rPr>
                <w:noProof/>
                <w:lang w:eastAsia="en-ZA"/>
              </w:rPr>
              <w:drawing>
                <wp:inline distT="0" distB="0" distL="0" distR="0" wp14:anchorId="3247A09E" wp14:editId="44ADCA0F">
                  <wp:extent cx="5736566" cy="3286664"/>
                  <wp:effectExtent l="0" t="0" r="1714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734D4" w:rsidRDefault="00A734D4" w:rsidP="00B95D20">
      <w:pPr>
        <w:jc w:val="both"/>
        <w:rPr>
          <w:rFonts w:ascii="Arial Narrow" w:hAnsi="Arial Narrow"/>
          <w:b/>
          <w:sz w:val="24"/>
          <w:szCs w:val="24"/>
        </w:rPr>
      </w:pPr>
    </w:p>
    <w:p w:rsidR="007F3485" w:rsidRDefault="007F3485" w:rsidP="00B95D20">
      <w:pPr>
        <w:jc w:val="both"/>
        <w:rPr>
          <w:rFonts w:ascii="Arial Narrow" w:hAnsi="Arial Narrow"/>
          <w:b/>
          <w:sz w:val="24"/>
          <w:szCs w:val="24"/>
        </w:rPr>
      </w:pPr>
    </w:p>
    <w:p w:rsidR="00BE5EDD" w:rsidRPr="007F3485" w:rsidRDefault="00C77751" w:rsidP="007F3485">
      <w:pPr>
        <w:pStyle w:val="ListParagraph"/>
        <w:numPr>
          <w:ilvl w:val="2"/>
          <w:numId w:val="3"/>
        </w:numPr>
        <w:jc w:val="both"/>
        <w:rPr>
          <w:rFonts w:ascii="Arial Narrow" w:hAnsi="Arial Narrow"/>
          <w:b/>
          <w:sz w:val="24"/>
          <w:szCs w:val="24"/>
        </w:rPr>
      </w:pPr>
      <w:r w:rsidRPr="007F3485">
        <w:rPr>
          <w:rFonts w:ascii="Arial Narrow" w:hAnsi="Arial Narrow"/>
          <w:b/>
          <w:sz w:val="24"/>
          <w:szCs w:val="24"/>
        </w:rPr>
        <w:lastRenderedPageBreak/>
        <w:t>Training</w:t>
      </w:r>
    </w:p>
    <w:p w:rsidR="007F3485" w:rsidRPr="007F3485" w:rsidRDefault="004905AB" w:rsidP="007F3485">
      <w:pPr>
        <w:ind w:left="360"/>
        <w:jc w:val="both"/>
        <w:rPr>
          <w:rFonts w:ascii="Arial Narrow" w:hAnsi="Arial Narrow"/>
          <w:sz w:val="24"/>
          <w:szCs w:val="24"/>
        </w:rPr>
      </w:pPr>
      <w:r>
        <w:rPr>
          <w:rFonts w:ascii="Arial Narrow" w:hAnsi="Arial Narrow"/>
          <w:sz w:val="24"/>
          <w:szCs w:val="24"/>
        </w:rPr>
        <w:t>Figure</w:t>
      </w:r>
      <w:r w:rsidR="007F3485">
        <w:rPr>
          <w:rFonts w:ascii="Arial Narrow" w:hAnsi="Arial Narrow"/>
          <w:sz w:val="24"/>
          <w:szCs w:val="24"/>
        </w:rPr>
        <w:t xml:space="preserve"> 9 shows the training days during the period </w:t>
      </w:r>
      <w:r w:rsidR="008C4C96">
        <w:rPr>
          <w:rFonts w:ascii="Arial Narrow" w:hAnsi="Arial Narrow"/>
          <w:sz w:val="24"/>
          <w:szCs w:val="24"/>
        </w:rPr>
        <w:t>under review</w:t>
      </w:r>
      <w:r w:rsidR="007F3485">
        <w:rPr>
          <w:rFonts w:ascii="Arial Narrow" w:hAnsi="Arial Narrow"/>
          <w:sz w:val="24"/>
          <w:szCs w:val="24"/>
        </w:rPr>
        <w:t>.  Notable from the training is th</w:t>
      </w:r>
      <w:r w:rsidR="00B96363">
        <w:rPr>
          <w:rFonts w:ascii="Arial Narrow" w:hAnsi="Arial Narrow"/>
          <w:sz w:val="24"/>
          <w:szCs w:val="24"/>
        </w:rPr>
        <w:t xml:space="preserve">at WoF consistently offers a significant number of accredited </w:t>
      </w:r>
      <w:r w:rsidR="007F3485">
        <w:rPr>
          <w:rFonts w:ascii="Arial Narrow" w:hAnsi="Arial Narrow"/>
          <w:sz w:val="24"/>
          <w:szCs w:val="24"/>
        </w:rPr>
        <w:t>training</w:t>
      </w:r>
      <w:r w:rsidR="00B96363">
        <w:rPr>
          <w:rFonts w:ascii="Arial Narrow" w:hAnsi="Arial Narrow"/>
          <w:sz w:val="24"/>
          <w:szCs w:val="24"/>
        </w:rPr>
        <w:t xml:space="preserve"> days every year</w:t>
      </w:r>
      <w:r w:rsidR="007F3485">
        <w:rPr>
          <w:rFonts w:ascii="Arial Narrow" w:hAnsi="Arial Narrow"/>
          <w:sz w:val="24"/>
          <w:szCs w:val="24"/>
        </w:rPr>
        <w:t>.</w:t>
      </w:r>
    </w:p>
    <w:tbl>
      <w:tblPr>
        <w:tblStyle w:val="TableGrid"/>
        <w:tblW w:w="0" w:type="auto"/>
        <w:tblLook w:val="04A0" w:firstRow="1" w:lastRow="0" w:firstColumn="1" w:lastColumn="0" w:noHBand="0" w:noVBand="1"/>
      </w:tblPr>
      <w:tblGrid>
        <w:gridCol w:w="9242"/>
      </w:tblGrid>
      <w:tr w:rsidR="00A734D4" w:rsidTr="00A734D4">
        <w:tc>
          <w:tcPr>
            <w:tcW w:w="9242" w:type="dxa"/>
          </w:tcPr>
          <w:p w:rsidR="00A734D4" w:rsidRPr="00A734D4" w:rsidRDefault="004905AB" w:rsidP="00B95D20">
            <w:pPr>
              <w:jc w:val="both"/>
              <w:rPr>
                <w:rFonts w:ascii="Arial Narrow" w:hAnsi="Arial Narrow"/>
                <w:sz w:val="24"/>
                <w:szCs w:val="24"/>
              </w:rPr>
            </w:pPr>
            <w:r>
              <w:rPr>
                <w:rFonts w:ascii="Arial Narrow" w:hAnsi="Arial Narrow"/>
                <w:sz w:val="24"/>
                <w:szCs w:val="24"/>
              </w:rPr>
              <w:t>Figure</w:t>
            </w:r>
            <w:r w:rsidR="00A734D4" w:rsidRPr="00A734D4">
              <w:rPr>
                <w:rFonts w:ascii="Arial Narrow" w:hAnsi="Arial Narrow"/>
                <w:sz w:val="24"/>
                <w:szCs w:val="24"/>
              </w:rPr>
              <w:t xml:space="preserve"> 9: Training days given to fire fighters in WoF between 2013/14 and 2016/17</w:t>
            </w:r>
          </w:p>
        </w:tc>
      </w:tr>
      <w:tr w:rsidR="00A734D4" w:rsidTr="00A734D4">
        <w:tc>
          <w:tcPr>
            <w:tcW w:w="9242" w:type="dxa"/>
          </w:tcPr>
          <w:p w:rsidR="00A734D4" w:rsidRDefault="00A734D4" w:rsidP="00B95D20">
            <w:pPr>
              <w:jc w:val="both"/>
              <w:rPr>
                <w:rFonts w:ascii="Arial Narrow" w:hAnsi="Arial Narrow"/>
                <w:b/>
                <w:sz w:val="24"/>
                <w:szCs w:val="24"/>
              </w:rPr>
            </w:pPr>
            <w:r>
              <w:rPr>
                <w:noProof/>
                <w:lang w:eastAsia="en-ZA"/>
              </w:rPr>
              <w:drawing>
                <wp:inline distT="0" distB="0" distL="0" distR="0" wp14:anchorId="5D4C83DA" wp14:editId="5B6B3090">
                  <wp:extent cx="5719313" cy="4106174"/>
                  <wp:effectExtent l="0" t="0" r="1524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BE5EDD" w:rsidRDefault="00BE5EDD" w:rsidP="00B95D20">
      <w:pPr>
        <w:jc w:val="both"/>
        <w:rPr>
          <w:rFonts w:ascii="Arial Narrow" w:hAnsi="Arial Narrow"/>
          <w:b/>
          <w:sz w:val="24"/>
          <w:szCs w:val="24"/>
        </w:rPr>
      </w:pPr>
    </w:p>
    <w:p w:rsidR="00A734D4" w:rsidRDefault="007F3485" w:rsidP="007F3485">
      <w:pPr>
        <w:pStyle w:val="ListParagraph"/>
        <w:numPr>
          <w:ilvl w:val="1"/>
          <w:numId w:val="4"/>
        </w:numPr>
        <w:jc w:val="both"/>
        <w:rPr>
          <w:rFonts w:ascii="Arial Narrow" w:hAnsi="Arial Narrow"/>
          <w:b/>
          <w:sz w:val="24"/>
          <w:szCs w:val="24"/>
        </w:rPr>
      </w:pPr>
      <w:r w:rsidRPr="007F3485">
        <w:rPr>
          <w:rFonts w:ascii="Arial Narrow" w:hAnsi="Arial Narrow"/>
          <w:b/>
          <w:sz w:val="24"/>
          <w:szCs w:val="24"/>
        </w:rPr>
        <w:t>Operational Deliverables</w:t>
      </w:r>
    </w:p>
    <w:p w:rsidR="004905AB" w:rsidRPr="004905AB" w:rsidRDefault="004905AB" w:rsidP="004905AB">
      <w:pPr>
        <w:jc w:val="both"/>
        <w:rPr>
          <w:rFonts w:ascii="Arial Narrow" w:hAnsi="Arial Narrow"/>
          <w:sz w:val="24"/>
          <w:szCs w:val="24"/>
        </w:rPr>
      </w:pPr>
      <w:r w:rsidRPr="004905AB">
        <w:rPr>
          <w:rFonts w:ascii="Arial Narrow" w:hAnsi="Arial Narrow"/>
          <w:sz w:val="24"/>
          <w:szCs w:val="24"/>
        </w:rPr>
        <w:t xml:space="preserve">Figure 10 shows the number of fires </w:t>
      </w:r>
      <w:r>
        <w:rPr>
          <w:rFonts w:ascii="Arial Narrow" w:hAnsi="Arial Narrow"/>
          <w:sz w:val="24"/>
          <w:szCs w:val="24"/>
        </w:rPr>
        <w:t xml:space="preserve">attended to by WoF during the period </w:t>
      </w:r>
      <w:r w:rsidR="008C4C96">
        <w:rPr>
          <w:rFonts w:ascii="Arial Narrow" w:hAnsi="Arial Narrow"/>
          <w:sz w:val="24"/>
          <w:szCs w:val="24"/>
        </w:rPr>
        <w:t>under review</w:t>
      </w:r>
      <w:r>
        <w:rPr>
          <w:rFonts w:ascii="Arial Narrow" w:hAnsi="Arial Narrow"/>
          <w:sz w:val="24"/>
          <w:szCs w:val="24"/>
        </w:rPr>
        <w:t>. One c</w:t>
      </w:r>
      <w:r w:rsidR="008C4C96">
        <w:rPr>
          <w:rFonts w:ascii="Arial Narrow" w:hAnsi="Arial Narrow"/>
          <w:sz w:val="24"/>
          <w:szCs w:val="24"/>
        </w:rPr>
        <w:t>annot</w:t>
      </w:r>
      <w:r>
        <w:rPr>
          <w:rFonts w:ascii="Arial Narrow" w:hAnsi="Arial Narrow"/>
          <w:sz w:val="24"/>
          <w:szCs w:val="24"/>
        </w:rPr>
        <w:t xml:space="preserve"> not be blamed for questioning why the number of fires attended to during 2015/16 was lower than 2014/15 as it was a very dry year. On the surface it could be expected that dry years should have more fires than wet years.  This is not necessarily true in general</w:t>
      </w:r>
      <w:r w:rsidR="008C4C96">
        <w:rPr>
          <w:rFonts w:ascii="Arial Narrow" w:hAnsi="Arial Narrow"/>
          <w:sz w:val="24"/>
          <w:szCs w:val="24"/>
        </w:rPr>
        <w:t xml:space="preserve"> though</w:t>
      </w:r>
      <w:r>
        <w:rPr>
          <w:rFonts w:ascii="Arial Narrow" w:hAnsi="Arial Narrow"/>
          <w:sz w:val="24"/>
          <w:szCs w:val="24"/>
        </w:rPr>
        <w:t>.  Long term ecological research has shown that the years with the biggest and most severe fires are associated with at least two years of above average rainfall during the wet season.  This leads to a build-up in grass fuels</w:t>
      </w:r>
      <w:r w:rsidR="008C4C96">
        <w:rPr>
          <w:rFonts w:ascii="Arial Narrow" w:hAnsi="Arial Narrow"/>
          <w:sz w:val="24"/>
          <w:szCs w:val="24"/>
        </w:rPr>
        <w:t xml:space="preserve"> in both the savannah and grassland biomes</w:t>
      </w:r>
      <w:r>
        <w:rPr>
          <w:rFonts w:ascii="Arial Narrow" w:hAnsi="Arial Narrow"/>
          <w:sz w:val="24"/>
          <w:szCs w:val="24"/>
        </w:rPr>
        <w:t xml:space="preserve">.  The herbivores on the land are then unable to graze it down so that the biomass </w:t>
      </w:r>
      <w:r w:rsidR="008C4C96">
        <w:rPr>
          <w:rFonts w:ascii="Arial Narrow" w:hAnsi="Arial Narrow"/>
          <w:sz w:val="24"/>
          <w:szCs w:val="24"/>
        </w:rPr>
        <w:t>loads are</w:t>
      </w:r>
      <w:r>
        <w:rPr>
          <w:rFonts w:ascii="Arial Narrow" w:hAnsi="Arial Narrow"/>
          <w:sz w:val="24"/>
          <w:szCs w:val="24"/>
        </w:rPr>
        <w:t xml:space="preserve"> too low to sustain a fire</w:t>
      </w:r>
      <w:r w:rsidR="008C4C96">
        <w:rPr>
          <w:rFonts w:ascii="Arial Narrow" w:hAnsi="Arial Narrow"/>
          <w:sz w:val="24"/>
          <w:szCs w:val="24"/>
        </w:rPr>
        <w:t>. S</w:t>
      </w:r>
      <w:r>
        <w:rPr>
          <w:rFonts w:ascii="Arial Narrow" w:hAnsi="Arial Narrow"/>
          <w:sz w:val="24"/>
          <w:szCs w:val="24"/>
        </w:rPr>
        <w:t>hould it be able to sustain the fire it is a relatively low intensity fire</w:t>
      </w:r>
      <w:r w:rsidR="008C4C96">
        <w:rPr>
          <w:rFonts w:ascii="Arial Narrow" w:hAnsi="Arial Narrow"/>
          <w:sz w:val="24"/>
          <w:szCs w:val="24"/>
        </w:rPr>
        <w:t xml:space="preserve"> due to the lower than normal grass fuel loads</w:t>
      </w:r>
      <w:r>
        <w:rPr>
          <w:rFonts w:ascii="Arial Narrow" w:hAnsi="Arial Narrow"/>
          <w:sz w:val="24"/>
          <w:szCs w:val="24"/>
        </w:rPr>
        <w:t xml:space="preserve">.  This does not necessarily apply across the country though.  In the fynbos areas in the Western &amp; Eastern Cape this will not be true.  Fynbos generally has fire intervals between 8 and 45 years with an average of between 12 to 15 years.  Therefore no matter what, during a dry hot year one would expect a higher number and more intense fires in the fynbos.  In the grasslands though, the current drought would have had an effect on available fuel in the landscape due to higher levels of utilization by stock and wildlife which could be one of the major contributors to a reduction in the number of call outs.  </w:t>
      </w:r>
      <w:r w:rsidR="008C4C96">
        <w:rPr>
          <w:rFonts w:ascii="Arial Narrow" w:hAnsi="Arial Narrow"/>
          <w:sz w:val="24"/>
          <w:szCs w:val="24"/>
        </w:rPr>
        <w:t>The 2016/17 financial years is</w:t>
      </w:r>
      <w:r>
        <w:rPr>
          <w:rFonts w:ascii="Arial Narrow" w:hAnsi="Arial Narrow"/>
          <w:sz w:val="24"/>
          <w:szCs w:val="24"/>
        </w:rPr>
        <w:t xml:space="preserve"> an even </w:t>
      </w:r>
      <w:r>
        <w:rPr>
          <w:rFonts w:ascii="Arial Narrow" w:hAnsi="Arial Narrow"/>
          <w:sz w:val="24"/>
          <w:szCs w:val="24"/>
        </w:rPr>
        <w:lastRenderedPageBreak/>
        <w:t>drier year in</w:t>
      </w:r>
      <w:r w:rsidR="008C4C96">
        <w:rPr>
          <w:rFonts w:ascii="Arial Narrow" w:hAnsi="Arial Narrow"/>
          <w:sz w:val="24"/>
          <w:szCs w:val="24"/>
        </w:rPr>
        <w:t xml:space="preserve"> the summer rainfall regions.  T</w:t>
      </w:r>
      <w:r>
        <w:rPr>
          <w:rFonts w:ascii="Arial Narrow" w:hAnsi="Arial Narrow"/>
          <w:sz w:val="24"/>
          <w:szCs w:val="24"/>
        </w:rPr>
        <w:t xml:space="preserve">he number of fires </w:t>
      </w:r>
      <w:r w:rsidR="008C4C96">
        <w:rPr>
          <w:rFonts w:ascii="Arial Narrow" w:hAnsi="Arial Narrow"/>
          <w:sz w:val="24"/>
          <w:szCs w:val="24"/>
        </w:rPr>
        <w:t xml:space="preserve">attended to </w:t>
      </w:r>
      <w:r>
        <w:rPr>
          <w:rFonts w:ascii="Arial Narrow" w:hAnsi="Arial Narrow"/>
          <w:sz w:val="24"/>
          <w:szCs w:val="24"/>
        </w:rPr>
        <w:t>up to the end of September is not even ½ of 2015/16.</w:t>
      </w:r>
      <w:r w:rsidR="008C4C96">
        <w:rPr>
          <w:rFonts w:ascii="Arial Narrow" w:hAnsi="Arial Narrow"/>
          <w:sz w:val="24"/>
          <w:szCs w:val="24"/>
        </w:rPr>
        <w:t xml:space="preserve">  It could however change dramatically during the Western Cape &amp; western parts of the Eastern Cape fire season.</w:t>
      </w:r>
    </w:p>
    <w:tbl>
      <w:tblPr>
        <w:tblStyle w:val="TableGrid"/>
        <w:tblW w:w="0" w:type="auto"/>
        <w:tblLook w:val="04A0" w:firstRow="1" w:lastRow="0" w:firstColumn="1" w:lastColumn="0" w:noHBand="0" w:noVBand="1"/>
      </w:tblPr>
      <w:tblGrid>
        <w:gridCol w:w="9242"/>
      </w:tblGrid>
      <w:tr w:rsidR="007F3485" w:rsidTr="007F3485">
        <w:tc>
          <w:tcPr>
            <w:tcW w:w="9242" w:type="dxa"/>
          </w:tcPr>
          <w:p w:rsidR="007F3485" w:rsidRPr="004905AB" w:rsidRDefault="004905AB" w:rsidP="004905AB">
            <w:pPr>
              <w:jc w:val="both"/>
              <w:rPr>
                <w:rFonts w:ascii="Arial Narrow" w:hAnsi="Arial Narrow"/>
                <w:sz w:val="24"/>
                <w:szCs w:val="24"/>
              </w:rPr>
            </w:pPr>
            <w:r w:rsidRPr="004905AB">
              <w:rPr>
                <w:rFonts w:ascii="Arial Narrow" w:hAnsi="Arial Narrow"/>
                <w:sz w:val="24"/>
                <w:szCs w:val="24"/>
              </w:rPr>
              <w:t xml:space="preserve">Figure 10: </w:t>
            </w:r>
            <w:r w:rsidRPr="004905AB">
              <w:rPr>
                <w:rFonts w:ascii="Arial Narrow" w:hAnsi="Arial Narrow"/>
                <w:bCs/>
                <w:sz w:val="24"/>
                <w:szCs w:val="24"/>
                <w:lang w:val="en-US"/>
              </w:rPr>
              <w:t xml:space="preserve">Number of fires </w:t>
            </w:r>
            <w:r>
              <w:rPr>
                <w:rFonts w:ascii="Arial Narrow" w:hAnsi="Arial Narrow"/>
                <w:bCs/>
                <w:sz w:val="24"/>
                <w:szCs w:val="24"/>
                <w:lang w:val="en-US"/>
              </w:rPr>
              <w:t>attended to</w:t>
            </w:r>
            <w:r w:rsidRPr="004905AB">
              <w:rPr>
                <w:rFonts w:ascii="Arial Narrow" w:hAnsi="Arial Narrow"/>
                <w:bCs/>
                <w:sz w:val="24"/>
                <w:szCs w:val="24"/>
                <w:lang w:val="en-US"/>
              </w:rPr>
              <w:t xml:space="preserve"> </w:t>
            </w:r>
            <w:r>
              <w:rPr>
                <w:rFonts w:ascii="Arial Narrow" w:hAnsi="Arial Narrow"/>
                <w:sz w:val="24"/>
                <w:szCs w:val="24"/>
              </w:rPr>
              <w:t>by</w:t>
            </w:r>
            <w:r w:rsidRPr="004905AB">
              <w:rPr>
                <w:rFonts w:ascii="Arial Narrow" w:hAnsi="Arial Narrow"/>
                <w:sz w:val="24"/>
                <w:szCs w:val="24"/>
              </w:rPr>
              <w:t xml:space="preserve"> WoF between 2013/14 and 2016/17</w:t>
            </w:r>
          </w:p>
        </w:tc>
      </w:tr>
      <w:tr w:rsidR="007F3485" w:rsidTr="007F3485">
        <w:tc>
          <w:tcPr>
            <w:tcW w:w="9242" w:type="dxa"/>
          </w:tcPr>
          <w:p w:rsidR="007F3485" w:rsidRDefault="007F3485" w:rsidP="004905AB">
            <w:pPr>
              <w:jc w:val="center"/>
              <w:rPr>
                <w:rFonts w:ascii="Arial Narrow" w:hAnsi="Arial Narrow"/>
                <w:b/>
                <w:sz w:val="24"/>
                <w:szCs w:val="24"/>
              </w:rPr>
            </w:pPr>
            <w:r>
              <w:rPr>
                <w:noProof/>
                <w:lang w:eastAsia="en-ZA"/>
              </w:rPr>
              <w:drawing>
                <wp:inline distT="0" distB="0" distL="0" distR="0" wp14:anchorId="73C38FA5" wp14:editId="306AA474">
                  <wp:extent cx="5512279" cy="3071004"/>
                  <wp:effectExtent l="0" t="0" r="1270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BE5EDD" w:rsidRPr="004905AB" w:rsidRDefault="00BE5EDD" w:rsidP="00B95D20">
      <w:pPr>
        <w:jc w:val="both"/>
        <w:rPr>
          <w:rFonts w:ascii="Arial Narrow" w:hAnsi="Arial Narrow"/>
          <w:sz w:val="24"/>
          <w:szCs w:val="24"/>
        </w:rPr>
      </w:pPr>
    </w:p>
    <w:p w:rsidR="004905AB" w:rsidRDefault="004905AB" w:rsidP="00B95D20">
      <w:pPr>
        <w:jc w:val="both"/>
        <w:rPr>
          <w:rFonts w:ascii="Arial Narrow" w:hAnsi="Arial Narrow"/>
          <w:sz w:val="24"/>
          <w:szCs w:val="24"/>
        </w:rPr>
      </w:pPr>
      <w:r w:rsidRPr="004905AB">
        <w:rPr>
          <w:rFonts w:ascii="Arial Narrow" w:hAnsi="Arial Narrow"/>
          <w:sz w:val="24"/>
          <w:szCs w:val="24"/>
        </w:rPr>
        <w:t xml:space="preserve">The </w:t>
      </w:r>
      <w:r>
        <w:rPr>
          <w:rFonts w:ascii="Arial Narrow" w:hAnsi="Arial Narrow"/>
          <w:sz w:val="24"/>
          <w:szCs w:val="24"/>
        </w:rPr>
        <w:t>last two years could therefore be described as relatively mild fire seasons. Figure 11 shows the estimated area of the fires WoF attended to during the period.</w:t>
      </w:r>
    </w:p>
    <w:tbl>
      <w:tblPr>
        <w:tblStyle w:val="TableGrid"/>
        <w:tblW w:w="0" w:type="auto"/>
        <w:tblLook w:val="04A0" w:firstRow="1" w:lastRow="0" w:firstColumn="1" w:lastColumn="0" w:noHBand="0" w:noVBand="1"/>
      </w:tblPr>
      <w:tblGrid>
        <w:gridCol w:w="9242"/>
      </w:tblGrid>
      <w:tr w:rsidR="004905AB" w:rsidTr="004905AB">
        <w:tc>
          <w:tcPr>
            <w:tcW w:w="9242" w:type="dxa"/>
          </w:tcPr>
          <w:p w:rsidR="004905AB" w:rsidRPr="004905AB" w:rsidRDefault="004905AB" w:rsidP="004905AB">
            <w:pPr>
              <w:jc w:val="both"/>
              <w:rPr>
                <w:rFonts w:ascii="Arial Narrow" w:hAnsi="Arial Narrow"/>
              </w:rPr>
            </w:pPr>
            <w:r>
              <w:rPr>
                <w:rFonts w:ascii="Arial Narrow" w:hAnsi="Arial Narrow"/>
                <w:sz w:val="24"/>
                <w:szCs w:val="24"/>
              </w:rPr>
              <w:t>Figure 1</w:t>
            </w:r>
            <w:r w:rsidRPr="004905AB">
              <w:rPr>
                <w:rFonts w:ascii="Arial Narrow" w:hAnsi="Arial Narrow"/>
                <w:sz w:val="24"/>
                <w:szCs w:val="24"/>
              </w:rPr>
              <w:t xml:space="preserve">1: </w:t>
            </w:r>
            <w:r w:rsidRPr="004905AB">
              <w:rPr>
                <w:rFonts w:ascii="Arial Narrow" w:hAnsi="Arial Narrow"/>
                <w:bCs/>
                <w:sz w:val="24"/>
                <w:szCs w:val="24"/>
              </w:rPr>
              <w:t>Estimated Hectares of fire that WoF attended to</w:t>
            </w:r>
            <w:r w:rsidRPr="004905AB">
              <w:rPr>
                <w:rFonts w:ascii="Arial Narrow" w:hAnsi="Arial Narrow"/>
                <w:b/>
                <w:bCs/>
              </w:rPr>
              <w:t xml:space="preserve"> </w:t>
            </w:r>
          </w:p>
          <w:p w:rsidR="004905AB" w:rsidRDefault="004905AB" w:rsidP="00B95D20">
            <w:pPr>
              <w:jc w:val="both"/>
              <w:rPr>
                <w:rFonts w:ascii="Arial Narrow" w:hAnsi="Arial Narrow"/>
                <w:sz w:val="24"/>
                <w:szCs w:val="24"/>
              </w:rPr>
            </w:pPr>
          </w:p>
        </w:tc>
      </w:tr>
      <w:tr w:rsidR="004905AB" w:rsidTr="004905AB">
        <w:tc>
          <w:tcPr>
            <w:tcW w:w="9242" w:type="dxa"/>
          </w:tcPr>
          <w:p w:rsidR="004905AB" w:rsidRDefault="004905AB" w:rsidP="005E79A7">
            <w:pPr>
              <w:jc w:val="center"/>
              <w:rPr>
                <w:rFonts w:ascii="Arial Narrow" w:hAnsi="Arial Narrow"/>
                <w:sz w:val="24"/>
                <w:szCs w:val="24"/>
              </w:rPr>
            </w:pPr>
            <w:r>
              <w:rPr>
                <w:noProof/>
                <w:lang w:eastAsia="en-ZA"/>
              </w:rPr>
              <w:drawing>
                <wp:inline distT="0" distB="0" distL="0" distR="0" wp14:anchorId="4BB398DB" wp14:editId="4EC29CA9">
                  <wp:extent cx="5339751" cy="2725948"/>
                  <wp:effectExtent l="0" t="0" r="13335" b="177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4905AB" w:rsidRDefault="004905AB" w:rsidP="00B95D20">
      <w:pPr>
        <w:jc w:val="both"/>
        <w:rPr>
          <w:rFonts w:ascii="Arial Narrow" w:hAnsi="Arial Narrow"/>
          <w:sz w:val="24"/>
          <w:szCs w:val="24"/>
        </w:rPr>
      </w:pPr>
      <w:r>
        <w:rPr>
          <w:rFonts w:ascii="Arial Narrow" w:hAnsi="Arial Narrow"/>
          <w:sz w:val="24"/>
          <w:szCs w:val="24"/>
        </w:rPr>
        <w:t xml:space="preserve">The number of fires and the estimated area attended to confirms that 2014/15 was a particularly bad year for wild fires.  </w:t>
      </w:r>
      <w:r w:rsidR="008C4C96">
        <w:rPr>
          <w:rFonts w:ascii="Arial Narrow" w:hAnsi="Arial Narrow"/>
          <w:sz w:val="24"/>
          <w:szCs w:val="24"/>
        </w:rPr>
        <w:t>Figure</w:t>
      </w:r>
      <w:r>
        <w:rPr>
          <w:rFonts w:ascii="Arial Narrow" w:hAnsi="Arial Narrow"/>
          <w:sz w:val="24"/>
          <w:szCs w:val="24"/>
        </w:rPr>
        <w:t xml:space="preserve"> 12 shows the average size of the fires </w:t>
      </w:r>
      <w:r w:rsidR="005E79A7">
        <w:rPr>
          <w:rFonts w:ascii="Arial Narrow" w:hAnsi="Arial Narrow"/>
          <w:sz w:val="24"/>
          <w:szCs w:val="24"/>
        </w:rPr>
        <w:t>based on figures 11 &amp; 12 above.</w:t>
      </w:r>
    </w:p>
    <w:tbl>
      <w:tblPr>
        <w:tblStyle w:val="TableGrid"/>
        <w:tblW w:w="0" w:type="auto"/>
        <w:tblLook w:val="04A0" w:firstRow="1" w:lastRow="0" w:firstColumn="1" w:lastColumn="0" w:noHBand="0" w:noVBand="1"/>
      </w:tblPr>
      <w:tblGrid>
        <w:gridCol w:w="9242"/>
      </w:tblGrid>
      <w:tr w:rsidR="004905AB" w:rsidTr="004905AB">
        <w:tc>
          <w:tcPr>
            <w:tcW w:w="9242" w:type="dxa"/>
          </w:tcPr>
          <w:p w:rsidR="004905AB" w:rsidRPr="004905AB" w:rsidRDefault="004905AB" w:rsidP="00B95D20">
            <w:pPr>
              <w:jc w:val="both"/>
              <w:rPr>
                <w:rFonts w:ascii="Arial Narrow" w:hAnsi="Arial Narrow"/>
              </w:rPr>
            </w:pPr>
            <w:r>
              <w:rPr>
                <w:rFonts w:ascii="Arial Narrow" w:hAnsi="Arial Narrow"/>
                <w:sz w:val="24"/>
                <w:szCs w:val="24"/>
              </w:rPr>
              <w:t xml:space="preserve">Figure 12: </w:t>
            </w:r>
            <w:r>
              <w:rPr>
                <w:rFonts w:ascii="Arial Narrow" w:hAnsi="Arial Narrow"/>
                <w:bCs/>
                <w:sz w:val="24"/>
                <w:szCs w:val="24"/>
              </w:rPr>
              <w:t>Average size per f</w:t>
            </w:r>
            <w:r w:rsidRPr="004905AB">
              <w:rPr>
                <w:rFonts w:ascii="Arial Narrow" w:hAnsi="Arial Narrow"/>
                <w:bCs/>
                <w:sz w:val="24"/>
                <w:szCs w:val="24"/>
              </w:rPr>
              <w:t>ire</w:t>
            </w:r>
            <w:r>
              <w:rPr>
                <w:rFonts w:ascii="Arial Narrow" w:hAnsi="Arial Narrow"/>
                <w:bCs/>
                <w:sz w:val="24"/>
                <w:szCs w:val="24"/>
              </w:rPr>
              <w:t xml:space="preserve"> as shown in figures 11 &amp; 12.</w:t>
            </w:r>
          </w:p>
        </w:tc>
      </w:tr>
      <w:tr w:rsidR="004905AB" w:rsidTr="004905AB">
        <w:tc>
          <w:tcPr>
            <w:tcW w:w="9242" w:type="dxa"/>
          </w:tcPr>
          <w:p w:rsidR="004905AB" w:rsidRDefault="004905AB" w:rsidP="00B95D20">
            <w:pPr>
              <w:jc w:val="both"/>
              <w:rPr>
                <w:rFonts w:ascii="Arial Narrow" w:hAnsi="Arial Narrow"/>
                <w:sz w:val="24"/>
                <w:szCs w:val="24"/>
              </w:rPr>
            </w:pPr>
            <w:r>
              <w:rPr>
                <w:noProof/>
                <w:lang w:eastAsia="en-ZA"/>
              </w:rPr>
              <w:lastRenderedPageBreak/>
              <w:drawing>
                <wp:inline distT="0" distB="0" distL="0" distR="0" wp14:anchorId="75E19974" wp14:editId="0C87B740">
                  <wp:extent cx="5684808" cy="2958861"/>
                  <wp:effectExtent l="0" t="0" r="11430" b="133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4905AB" w:rsidRDefault="004905AB" w:rsidP="00B95D20">
      <w:pPr>
        <w:jc w:val="both"/>
        <w:rPr>
          <w:rFonts w:ascii="Arial Narrow" w:hAnsi="Arial Narrow"/>
          <w:sz w:val="24"/>
          <w:szCs w:val="24"/>
        </w:rPr>
      </w:pPr>
    </w:p>
    <w:p w:rsidR="004905AB" w:rsidRDefault="004905AB" w:rsidP="00B95D20">
      <w:pPr>
        <w:jc w:val="both"/>
        <w:rPr>
          <w:rFonts w:ascii="Arial Narrow" w:hAnsi="Arial Narrow"/>
          <w:sz w:val="24"/>
          <w:szCs w:val="24"/>
        </w:rPr>
      </w:pPr>
      <w:r>
        <w:rPr>
          <w:rFonts w:ascii="Arial Narrow" w:hAnsi="Arial Narrow"/>
          <w:sz w:val="24"/>
          <w:szCs w:val="24"/>
        </w:rPr>
        <w:t xml:space="preserve">During these periods the focus should be on ensuring a sustainable veld age </w:t>
      </w:r>
      <w:r w:rsidR="008C4C96">
        <w:rPr>
          <w:rFonts w:ascii="Arial Narrow" w:hAnsi="Arial Narrow"/>
          <w:sz w:val="24"/>
          <w:szCs w:val="24"/>
        </w:rPr>
        <w:t>distribution</w:t>
      </w:r>
      <w:r>
        <w:rPr>
          <w:rFonts w:ascii="Arial Narrow" w:hAnsi="Arial Narrow"/>
          <w:sz w:val="24"/>
          <w:szCs w:val="24"/>
        </w:rPr>
        <w:t xml:space="preserve">.  The making of fire breaks, fuel load reduction and prescribed burning </w:t>
      </w:r>
      <w:r w:rsidR="008C4C96">
        <w:rPr>
          <w:rFonts w:ascii="Arial Narrow" w:hAnsi="Arial Narrow"/>
          <w:sz w:val="24"/>
          <w:szCs w:val="24"/>
        </w:rPr>
        <w:t xml:space="preserve">are </w:t>
      </w:r>
      <w:r>
        <w:rPr>
          <w:rFonts w:ascii="Arial Narrow" w:hAnsi="Arial Narrow"/>
          <w:sz w:val="24"/>
          <w:szCs w:val="24"/>
        </w:rPr>
        <w:t xml:space="preserve">always important to achieve the goal of maintaining a sustainable veld age </w:t>
      </w:r>
      <w:r w:rsidR="008C4C96">
        <w:rPr>
          <w:rFonts w:ascii="Arial Narrow" w:hAnsi="Arial Narrow"/>
          <w:sz w:val="24"/>
          <w:szCs w:val="24"/>
        </w:rPr>
        <w:t>distribution</w:t>
      </w:r>
      <w:r>
        <w:rPr>
          <w:rFonts w:ascii="Arial Narrow" w:hAnsi="Arial Narrow"/>
          <w:sz w:val="24"/>
          <w:szCs w:val="24"/>
        </w:rPr>
        <w:t>.  Figure 13 shows the hectares of fire breaks burnt during the respective years.  These are planned fires and are aimed at ensuring that big enough breaks in the vegetation are being created to minimize the risk of catastrophic wild fires.</w:t>
      </w:r>
    </w:p>
    <w:tbl>
      <w:tblPr>
        <w:tblStyle w:val="TableGrid"/>
        <w:tblW w:w="0" w:type="auto"/>
        <w:tblLook w:val="04A0" w:firstRow="1" w:lastRow="0" w:firstColumn="1" w:lastColumn="0" w:noHBand="0" w:noVBand="1"/>
      </w:tblPr>
      <w:tblGrid>
        <w:gridCol w:w="9242"/>
      </w:tblGrid>
      <w:tr w:rsidR="004905AB" w:rsidTr="004905AB">
        <w:tc>
          <w:tcPr>
            <w:tcW w:w="9242" w:type="dxa"/>
          </w:tcPr>
          <w:p w:rsidR="004905AB" w:rsidRDefault="004905AB" w:rsidP="00B95D20">
            <w:pPr>
              <w:jc w:val="both"/>
              <w:rPr>
                <w:rFonts w:ascii="Arial Narrow" w:hAnsi="Arial Narrow"/>
                <w:sz w:val="24"/>
                <w:szCs w:val="24"/>
              </w:rPr>
            </w:pPr>
            <w:r>
              <w:rPr>
                <w:rFonts w:ascii="Arial Narrow" w:hAnsi="Arial Narrow"/>
                <w:sz w:val="24"/>
                <w:szCs w:val="24"/>
              </w:rPr>
              <w:t xml:space="preserve">Figure 13: </w:t>
            </w:r>
            <w:r>
              <w:rPr>
                <w:rFonts w:ascii="Arial Narrow" w:hAnsi="Arial Narrow"/>
                <w:sz w:val="24"/>
                <w:szCs w:val="24"/>
                <w:lang w:val="en-US"/>
              </w:rPr>
              <w:t>Fire b</w:t>
            </w:r>
            <w:r w:rsidRPr="004905AB">
              <w:rPr>
                <w:rFonts w:ascii="Arial Narrow" w:hAnsi="Arial Narrow"/>
                <w:sz w:val="24"/>
                <w:szCs w:val="24"/>
                <w:lang w:val="en-US"/>
              </w:rPr>
              <w:t>reaks</w:t>
            </w:r>
            <w:r>
              <w:rPr>
                <w:rFonts w:ascii="Arial Narrow" w:hAnsi="Arial Narrow"/>
                <w:sz w:val="24"/>
                <w:szCs w:val="24"/>
                <w:lang w:val="en-US"/>
              </w:rPr>
              <w:t xml:space="preserve"> made during the period 2013/14 to September 2016.</w:t>
            </w:r>
          </w:p>
        </w:tc>
      </w:tr>
      <w:tr w:rsidR="004905AB" w:rsidTr="004905AB">
        <w:tc>
          <w:tcPr>
            <w:tcW w:w="9242" w:type="dxa"/>
          </w:tcPr>
          <w:p w:rsidR="004905AB" w:rsidRDefault="004905AB" w:rsidP="00B95D20">
            <w:pPr>
              <w:jc w:val="both"/>
              <w:rPr>
                <w:rFonts w:ascii="Arial Narrow" w:hAnsi="Arial Narrow"/>
                <w:sz w:val="24"/>
                <w:szCs w:val="24"/>
              </w:rPr>
            </w:pPr>
            <w:r>
              <w:rPr>
                <w:noProof/>
                <w:lang w:eastAsia="en-ZA"/>
              </w:rPr>
              <w:drawing>
                <wp:inline distT="0" distB="0" distL="0" distR="0" wp14:anchorId="6E6F6DE5" wp14:editId="3F23C441">
                  <wp:extent cx="5684808" cy="3450566"/>
                  <wp:effectExtent l="0" t="0" r="11430"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4905AB" w:rsidRDefault="008C4C96" w:rsidP="00B95D20">
      <w:pPr>
        <w:jc w:val="both"/>
        <w:rPr>
          <w:rFonts w:ascii="Arial Narrow" w:hAnsi="Arial Narrow"/>
          <w:sz w:val="24"/>
          <w:szCs w:val="24"/>
        </w:rPr>
      </w:pPr>
      <w:r>
        <w:rPr>
          <w:rFonts w:ascii="Arial Narrow" w:hAnsi="Arial Narrow"/>
          <w:sz w:val="24"/>
          <w:szCs w:val="24"/>
        </w:rPr>
        <w:t>Up to September 2016 a</w:t>
      </w:r>
      <w:r w:rsidR="004905AB">
        <w:rPr>
          <w:rFonts w:ascii="Arial Narrow" w:hAnsi="Arial Narrow"/>
          <w:sz w:val="24"/>
          <w:szCs w:val="24"/>
        </w:rPr>
        <w:t xml:space="preserve"> substantial area of fire breaks have</w:t>
      </w:r>
      <w:r>
        <w:rPr>
          <w:rFonts w:ascii="Arial Narrow" w:hAnsi="Arial Narrow"/>
          <w:sz w:val="24"/>
          <w:szCs w:val="24"/>
        </w:rPr>
        <w:t xml:space="preserve"> already been</w:t>
      </w:r>
      <w:r w:rsidR="005E79A7">
        <w:rPr>
          <w:rFonts w:ascii="Arial Narrow" w:hAnsi="Arial Narrow"/>
          <w:sz w:val="24"/>
          <w:szCs w:val="24"/>
        </w:rPr>
        <w:t xml:space="preserve"> burnt</w:t>
      </w:r>
      <w:r w:rsidR="004905AB">
        <w:rPr>
          <w:rFonts w:ascii="Arial Narrow" w:hAnsi="Arial Narrow"/>
          <w:sz w:val="24"/>
          <w:szCs w:val="24"/>
        </w:rPr>
        <w:t xml:space="preserve">.  This should contribute to the ability of land users to contain wildfires during the next fire season.  Fire breaks go hand in hand with the manual reduction of fuel loads around infrastructure like fences around parks and </w:t>
      </w:r>
      <w:r w:rsidR="004905AB">
        <w:rPr>
          <w:rFonts w:ascii="Arial Narrow" w:hAnsi="Arial Narrow"/>
          <w:sz w:val="24"/>
          <w:szCs w:val="24"/>
        </w:rPr>
        <w:lastRenderedPageBreak/>
        <w:t>built up areas and includes the clearing of dense stands of invasive alien plants.  Figure 14 shows the areas treated by the programme with regards to manual fuel load reduction.</w:t>
      </w:r>
      <w:r w:rsidR="005E79A7">
        <w:rPr>
          <w:rFonts w:ascii="Arial Narrow" w:hAnsi="Arial Narrow"/>
          <w:sz w:val="24"/>
          <w:szCs w:val="24"/>
        </w:rPr>
        <w:t xml:space="preserve"> During 2013/14 the Department started putting a greater emphasis on prescribed burning and fuel load reduction.  The 2013/14 planned figures show that the managers were over ambitious with what they can achieve.</w:t>
      </w:r>
    </w:p>
    <w:tbl>
      <w:tblPr>
        <w:tblStyle w:val="TableGrid"/>
        <w:tblW w:w="0" w:type="auto"/>
        <w:tblLook w:val="04A0" w:firstRow="1" w:lastRow="0" w:firstColumn="1" w:lastColumn="0" w:noHBand="0" w:noVBand="1"/>
      </w:tblPr>
      <w:tblGrid>
        <w:gridCol w:w="9242"/>
      </w:tblGrid>
      <w:tr w:rsidR="004905AB" w:rsidTr="004905AB">
        <w:tc>
          <w:tcPr>
            <w:tcW w:w="9242" w:type="dxa"/>
          </w:tcPr>
          <w:p w:rsidR="004905AB" w:rsidRPr="004905AB" w:rsidRDefault="004905AB" w:rsidP="004905AB">
            <w:pPr>
              <w:jc w:val="both"/>
              <w:rPr>
                <w:rFonts w:ascii="Arial Narrow" w:hAnsi="Arial Narrow"/>
              </w:rPr>
            </w:pPr>
            <w:r>
              <w:rPr>
                <w:rFonts w:ascii="Arial Narrow" w:hAnsi="Arial Narrow"/>
                <w:sz w:val="24"/>
                <w:szCs w:val="24"/>
              </w:rPr>
              <w:t>Figure 14:</w:t>
            </w:r>
            <w:r w:rsidRPr="004905AB">
              <w:rPr>
                <w:rFonts w:ascii="Arial Narrow" w:hAnsi="Arial Narrow"/>
                <w:sz w:val="24"/>
                <w:szCs w:val="24"/>
              </w:rPr>
              <w:t xml:space="preserve"> Hectares </w:t>
            </w:r>
            <w:r w:rsidRPr="004905AB">
              <w:rPr>
                <w:rFonts w:ascii="Arial Narrow" w:hAnsi="Arial Narrow"/>
                <w:bCs/>
                <w:sz w:val="24"/>
                <w:szCs w:val="24"/>
              </w:rPr>
              <w:t>manually cleared to reduce fuel loads and minimizing the risk of damage to infrastructure.</w:t>
            </w:r>
          </w:p>
        </w:tc>
      </w:tr>
      <w:tr w:rsidR="004905AB" w:rsidTr="004905AB">
        <w:tc>
          <w:tcPr>
            <w:tcW w:w="9242" w:type="dxa"/>
          </w:tcPr>
          <w:p w:rsidR="004905AB" w:rsidRDefault="004905AB" w:rsidP="00B95D20">
            <w:pPr>
              <w:jc w:val="both"/>
              <w:rPr>
                <w:rFonts w:ascii="Arial Narrow" w:hAnsi="Arial Narrow"/>
                <w:sz w:val="24"/>
                <w:szCs w:val="24"/>
              </w:rPr>
            </w:pPr>
            <w:r>
              <w:rPr>
                <w:noProof/>
                <w:lang w:eastAsia="en-ZA"/>
              </w:rPr>
              <w:drawing>
                <wp:inline distT="0" distB="0" distL="0" distR="0" wp14:anchorId="74718FBC" wp14:editId="664F273C">
                  <wp:extent cx="5676181" cy="2562046"/>
                  <wp:effectExtent l="0" t="0" r="2032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4905AB" w:rsidRDefault="004905AB" w:rsidP="00B95D20">
      <w:pPr>
        <w:jc w:val="both"/>
        <w:rPr>
          <w:rFonts w:ascii="Arial Narrow" w:hAnsi="Arial Narrow"/>
          <w:sz w:val="24"/>
          <w:szCs w:val="24"/>
        </w:rPr>
      </w:pPr>
    </w:p>
    <w:p w:rsidR="004905AB" w:rsidRDefault="004905AB" w:rsidP="00B95D20">
      <w:pPr>
        <w:jc w:val="both"/>
        <w:rPr>
          <w:rFonts w:ascii="Arial Narrow" w:hAnsi="Arial Narrow"/>
          <w:sz w:val="24"/>
          <w:szCs w:val="24"/>
        </w:rPr>
      </w:pPr>
      <w:r>
        <w:rPr>
          <w:rFonts w:ascii="Arial Narrow" w:hAnsi="Arial Narrow"/>
          <w:sz w:val="24"/>
          <w:szCs w:val="24"/>
        </w:rPr>
        <w:t xml:space="preserve">The final high level indicator that is of specific importance to DEA is the areas of prescribed burning, figure 15.  These areas are all burnt for ecological reasons, either to improve the veld age </w:t>
      </w:r>
      <w:r w:rsidR="008C4C96">
        <w:rPr>
          <w:rFonts w:ascii="Arial Narrow" w:hAnsi="Arial Narrow"/>
          <w:sz w:val="24"/>
          <w:szCs w:val="24"/>
        </w:rPr>
        <w:t>distribution</w:t>
      </w:r>
      <w:r>
        <w:rPr>
          <w:rFonts w:ascii="Arial Narrow" w:hAnsi="Arial Narrow"/>
          <w:sz w:val="24"/>
          <w:szCs w:val="24"/>
        </w:rPr>
        <w:t xml:space="preserve"> or fire was used as a tool in the clearing of invasive alien plants.</w:t>
      </w:r>
      <w:r w:rsidR="005E79A7">
        <w:rPr>
          <w:rFonts w:ascii="Arial Narrow" w:hAnsi="Arial Narrow"/>
          <w:sz w:val="24"/>
          <w:szCs w:val="24"/>
        </w:rPr>
        <w:t xml:space="preserve"> Climatic conditions and a greater emphasis on prescribed burning have led to a significant over performance during 2015/16.  Not too much should be read in it for future planning though as prescribed burning is very weather dependent.</w:t>
      </w:r>
    </w:p>
    <w:tbl>
      <w:tblPr>
        <w:tblStyle w:val="TableGrid"/>
        <w:tblW w:w="0" w:type="auto"/>
        <w:tblLook w:val="04A0" w:firstRow="1" w:lastRow="0" w:firstColumn="1" w:lastColumn="0" w:noHBand="0" w:noVBand="1"/>
      </w:tblPr>
      <w:tblGrid>
        <w:gridCol w:w="9242"/>
      </w:tblGrid>
      <w:tr w:rsidR="004905AB" w:rsidTr="004905AB">
        <w:tc>
          <w:tcPr>
            <w:tcW w:w="9242" w:type="dxa"/>
          </w:tcPr>
          <w:p w:rsidR="004905AB" w:rsidRPr="004905AB" w:rsidRDefault="004905AB" w:rsidP="00B95D20">
            <w:pPr>
              <w:jc w:val="both"/>
              <w:rPr>
                <w:rFonts w:ascii="Arial Narrow" w:hAnsi="Arial Narrow"/>
              </w:rPr>
            </w:pPr>
            <w:r>
              <w:rPr>
                <w:rFonts w:ascii="Arial Narrow" w:hAnsi="Arial Narrow"/>
                <w:sz w:val="24"/>
                <w:szCs w:val="24"/>
              </w:rPr>
              <w:t>Figure 15:</w:t>
            </w:r>
            <w:r w:rsidRPr="004905AB">
              <w:rPr>
                <w:rFonts w:ascii="Arial Narrow" w:hAnsi="Arial Narrow"/>
                <w:sz w:val="24"/>
                <w:szCs w:val="24"/>
              </w:rPr>
              <w:t xml:space="preserve">  He</w:t>
            </w:r>
            <w:r>
              <w:rPr>
                <w:rFonts w:ascii="Arial Narrow" w:hAnsi="Arial Narrow"/>
                <w:sz w:val="24"/>
                <w:szCs w:val="24"/>
              </w:rPr>
              <w:t>c</w:t>
            </w:r>
            <w:r w:rsidRPr="004905AB">
              <w:rPr>
                <w:rFonts w:ascii="Arial Narrow" w:hAnsi="Arial Narrow"/>
                <w:sz w:val="24"/>
                <w:szCs w:val="24"/>
              </w:rPr>
              <w:t xml:space="preserve">tares of </w:t>
            </w:r>
            <w:r w:rsidRPr="004905AB">
              <w:rPr>
                <w:rFonts w:ascii="Arial Narrow" w:hAnsi="Arial Narrow"/>
                <w:bCs/>
                <w:sz w:val="24"/>
                <w:szCs w:val="24"/>
                <w:lang w:val="en-US"/>
              </w:rPr>
              <w:t>Prescribed Burning for ecological reasons.</w:t>
            </w:r>
          </w:p>
        </w:tc>
      </w:tr>
      <w:tr w:rsidR="004905AB" w:rsidTr="004905AB">
        <w:tc>
          <w:tcPr>
            <w:tcW w:w="9242" w:type="dxa"/>
          </w:tcPr>
          <w:p w:rsidR="004905AB" w:rsidRDefault="004905AB" w:rsidP="00B95D20">
            <w:pPr>
              <w:jc w:val="both"/>
              <w:rPr>
                <w:rFonts w:ascii="Arial Narrow" w:hAnsi="Arial Narrow"/>
                <w:sz w:val="24"/>
                <w:szCs w:val="24"/>
              </w:rPr>
            </w:pPr>
            <w:r>
              <w:rPr>
                <w:noProof/>
                <w:lang w:eastAsia="en-ZA"/>
              </w:rPr>
              <w:drawing>
                <wp:inline distT="0" distB="0" distL="0" distR="0" wp14:anchorId="42F70350" wp14:editId="7919A11D">
                  <wp:extent cx="5727940" cy="2596551"/>
                  <wp:effectExtent l="0" t="0" r="25400" b="133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4905AB" w:rsidRDefault="004905AB" w:rsidP="00B95D20">
      <w:pPr>
        <w:jc w:val="both"/>
        <w:rPr>
          <w:rFonts w:ascii="Arial Narrow" w:hAnsi="Arial Narrow"/>
          <w:sz w:val="24"/>
          <w:szCs w:val="24"/>
        </w:rPr>
      </w:pPr>
    </w:p>
    <w:p w:rsidR="004905AB" w:rsidRDefault="004905AB" w:rsidP="00B95D20">
      <w:pPr>
        <w:jc w:val="both"/>
        <w:rPr>
          <w:rFonts w:ascii="Arial Narrow" w:hAnsi="Arial Narrow"/>
          <w:sz w:val="24"/>
          <w:szCs w:val="24"/>
        </w:rPr>
      </w:pPr>
      <w:r>
        <w:rPr>
          <w:rFonts w:ascii="Arial Narrow" w:hAnsi="Arial Narrow"/>
          <w:sz w:val="24"/>
          <w:szCs w:val="24"/>
        </w:rPr>
        <w:t>Figure 12 - 15 shows that over the last four years the programme has become more proactive in ensuring sustainable fire management regimes.</w:t>
      </w:r>
    </w:p>
    <w:p w:rsidR="004905AB" w:rsidRPr="004905AB" w:rsidRDefault="004905AB" w:rsidP="004905AB">
      <w:pPr>
        <w:pStyle w:val="ListParagraph"/>
        <w:numPr>
          <w:ilvl w:val="0"/>
          <w:numId w:val="4"/>
        </w:numPr>
        <w:jc w:val="both"/>
        <w:rPr>
          <w:rFonts w:ascii="Arial Narrow" w:hAnsi="Arial Narrow"/>
          <w:b/>
          <w:sz w:val="24"/>
          <w:szCs w:val="24"/>
        </w:rPr>
      </w:pPr>
      <w:r w:rsidRPr="004905AB">
        <w:rPr>
          <w:rFonts w:ascii="Arial Narrow" w:hAnsi="Arial Narrow"/>
          <w:b/>
          <w:sz w:val="24"/>
          <w:szCs w:val="24"/>
        </w:rPr>
        <w:lastRenderedPageBreak/>
        <w:t>CONCLUSIONS</w:t>
      </w:r>
    </w:p>
    <w:p w:rsidR="00B96363" w:rsidRDefault="00B96363" w:rsidP="00B95D20">
      <w:pPr>
        <w:jc w:val="both"/>
        <w:rPr>
          <w:rFonts w:ascii="Arial Narrow" w:hAnsi="Arial Narrow"/>
          <w:sz w:val="24"/>
          <w:szCs w:val="24"/>
        </w:rPr>
      </w:pPr>
      <w:r>
        <w:rPr>
          <w:rFonts w:ascii="Arial Narrow" w:hAnsi="Arial Narrow"/>
          <w:sz w:val="24"/>
          <w:szCs w:val="24"/>
        </w:rPr>
        <w:t>As can be seen from the above</w:t>
      </w:r>
      <w:r w:rsidR="00043582">
        <w:rPr>
          <w:rFonts w:ascii="Arial Narrow" w:hAnsi="Arial Narrow"/>
          <w:sz w:val="24"/>
          <w:szCs w:val="24"/>
        </w:rPr>
        <w:t>,</w:t>
      </w:r>
      <w:r>
        <w:rPr>
          <w:rFonts w:ascii="Arial Narrow" w:hAnsi="Arial Narrow"/>
          <w:sz w:val="24"/>
          <w:szCs w:val="24"/>
        </w:rPr>
        <w:t xml:space="preserve"> significant strides have been made </w:t>
      </w:r>
      <w:r w:rsidR="00043582">
        <w:rPr>
          <w:rFonts w:ascii="Arial Narrow" w:hAnsi="Arial Narrow"/>
          <w:sz w:val="24"/>
          <w:szCs w:val="24"/>
        </w:rPr>
        <w:t xml:space="preserve">by WoF </w:t>
      </w:r>
      <w:r>
        <w:rPr>
          <w:rFonts w:ascii="Arial Narrow" w:hAnsi="Arial Narrow"/>
          <w:sz w:val="24"/>
          <w:szCs w:val="24"/>
        </w:rPr>
        <w:t>in the fight against unwanted wild fires</w:t>
      </w:r>
      <w:r w:rsidR="00043582">
        <w:rPr>
          <w:rFonts w:ascii="Arial Narrow" w:hAnsi="Arial Narrow"/>
          <w:sz w:val="24"/>
          <w:szCs w:val="24"/>
        </w:rPr>
        <w:t xml:space="preserve"> in South Africa</w:t>
      </w:r>
      <w:r>
        <w:rPr>
          <w:rFonts w:ascii="Arial Narrow" w:hAnsi="Arial Narrow"/>
          <w:sz w:val="24"/>
          <w:szCs w:val="24"/>
        </w:rPr>
        <w:t xml:space="preserve">. WoF covers nearly </w:t>
      </w:r>
      <w:r w:rsidR="00043582">
        <w:rPr>
          <w:rFonts w:ascii="Arial Narrow" w:hAnsi="Arial Narrow"/>
          <w:sz w:val="24"/>
          <w:szCs w:val="24"/>
        </w:rPr>
        <w:t>all</w:t>
      </w:r>
      <w:r>
        <w:rPr>
          <w:rFonts w:ascii="Arial Narrow" w:hAnsi="Arial Narrow"/>
          <w:sz w:val="24"/>
          <w:szCs w:val="24"/>
        </w:rPr>
        <w:t xml:space="preserve"> naturally fire prone area</w:t>
      </w:r>
      <w:r w:rsidR="00043582">
        <w:rPr>
          <w:rFonts w:ascii="Arial Narrow" w:hAnsi="Arial Narrow"/>
          <w:sz w:val="24"/>
          <w:szCs w:val="24"/>
        </w:rPr>
        <w:t>s</w:t>
      </w:r>
      <w:r>
        <w:rPr>
          <w:rFonts w:ascii="Arial Narrow" w:hAnsi="Arial Narrow"/>
          <w:sz w:val="24"/>
          <w:szCs w:val="24"/>
        </w:rPr>
        <w:t xml:space="preserve"> of the country and is making significant contributions to the successful implementation of the National Veld and Forest Fire Act of the DAFF.  In the process more than 5 000 young people are being given employment and training opportunities every year with more than 30% of them women, higher than any other fire management programme in the world.</w:t>
      </w:r>
    </w:p>
    <w:p w:rsidR="00B96363" w:rsidRDefault="00B96363" w:rsidP="00B95D20">
      <w:pPr>
        <w:jc w:val="both"/>
        <w:rPr>
          <w:rFonts w:ascii="Arial Narrow" w:hAnsi="Arial Narrow"/>
          <w:sz w:val="24"/>
          <w:szCs w:val="24"/>
        </w:rPr>
      </w:pPr>
      <w:r>
        <w:rPr>
          <w:rFonts w:ascii="Arial Narrow" w:hAnsi="Arial Narrow"/>
          <w:sz w:val="24"/>
          <w:szCs w:val="24"/>
        </w:rPr>
        <w:t>Highlighted by the overview is that, should WoF disappear from the greater South African landscape, veld and forest fire management in rural areas might well collapse with serious livelihood, food security and biodiversity implications.  If it is assumed that the findings of the GEF project is a reasonably accurate estimate of resource allocations in the Western Cape, one of the richer provinces in the country, the programme contributes as much as 55% of all resources towards integrated veld and forest fire managem</w:t>
      </w:r>
      <w:r w:rsidR="00043582">
        <w:rPr>
          <w:rFonts w:ascii="Arial Narrow" w:hAnsi="Arial Narrow"/>
          <w:sz w:val="24"/>
          <w:szCs w:val="24"/>
        </w:rPr>
        <w:t>ent.  In resource poor areas this</w:t>
      </w:r>
      <w:r>
        <w:rPr>
          <w:rFonts w:ascii="Arial Narrow" w:hAnsi="Arial Narrow"/>
          <w:sz w:val="24"/>
          <w:szCs w:val="24"/>
        </w:rPr>
        <w:t xml:space="preserve"> % is expected to be much higher.</w:t>
      </w:r>
    </w:p>
    <w:p w:rsidR="004905AB" w:rsidRDefault="004905AB" w:rsidP="00B95D20">
      <w:pPr>
        <w:jc w:val="both"/>
        <w:rPr>
          <w:rFonts w:ascii="Arial Narrow" w:hAnsi="Arial Narrow"/>
          <w:sz w:val="24"/>
          <w:szCs w:val="24"/>
        </w:rPr>
      </w:pPr>
      <w:r>
        <w:rPr>
          <w:rFonts w:ascii="Arial Narrow" w:hAnsi="Arial Narrow"/>
          <w:sz w:val="24"/>
          <w:szCs w:val="24"/>
        </w:rPr>
        <w:t>While there will always</w:t>
      </w:r>
      <w:r w:rsidR="008C4C96">
        <w:rPr>
          <w:rFonts w:ascii="Arial Narrow" w:hAnsi="Arial Narrow"/>
          <w:sz w:val="24"/>
          <w:szCs w:val="24"/>
        </w:rPr>
        <w:t xml:space="preserve"> be</w:t>
      </w:r>
      <w:r>
        <w:rPr>
          <w:rFonts w:ascii="Arial Narrow" w:hAnsi="Arial Narrow"/>
          <w:sz w:val="24"/>
          <w:szCs w:val="24"/>
        </w:rPr>
        <w:t xml:space="preserve"> room for improvement the </w:t>
      </w:r>
      <w:r w:rsidR="00B96363">
        <w:rPr>
          <w:rFonts w:ascii="Arial Narrow" w:hAnsi="Arial Narrow"/>
          <w:sz w:val="24"/>
          <w:szCs w:val="24"/>
        </w:rPr>
        <w:t>overview</w:t>
      </w:r>
      <w:r>
        <w:rPr>
          <w:rFonts w:ascii="Arial Narrow" w:hAnsi="Arial Narrow"/>
          <w:sz w:val="24"/>
          <w:szCs w:val="24"/>
        </w:rPr>
        <w:t xml:space="preserve"> shows that progress has been made to ensure that WoF resources are being deployed optimally.  In the early years of the programme substantial emphasis was placed on fire suppression in partnership </w:t>
      </w:r>
      <w:r w:rsidR="008C4C96">
        <w:rPr>
          <w:rFonts w:ascii="Arial Narrow" w:hAnsi="Arial Narrow"/>
          <w:sz w:val="24"/>
          <w:szCs w:val="24"/>
        </w:rPr>
        <w:t xml:space="preserve">with </w:t>
      </w:r>
      <w:r>
        <w:rPr>
          <w:rFonts w:ascii="Arial Narrow" w:hAnsi="Arial Narrow"/>
          <w:sz w:val="24"/>
          <w:szCs w:val="24"/>
        </w:rPr>
        <w:t xml:space="preserve">established partners in especially the forestry and environmental sectors.  As the programme grew however capacity has been developed gradually </w:t>
      </w:r>
      <w:r w:rsidR="00B96363">
        <w:rPr>
          <w:rFonts w:ascii="Arial Narrow" w:hAnsi="Arial Narrow"/>
          <w:sz w:val="24"/>
          <w:szCs w:val="24"/>
        </w:rPr>
        <w:t>in resource poor areas. Figure 2</w:t>
      </w:r>
      <w:r>
        <w:rPr>
          <w:rFonts w:ascii="Arial Narrow" w:hAnsi="Arial Narrow"/>
          <w:sz w:val="24"/>
          <w:szCs w:val="24"/>
        </w:rPr>
        <w:t xml:space="preserve"> is evidence that the footprint of the programme has improved substantially.  The % of direct costs of employment (employee wages/salaries and staff benefits) have consistently been above 50% for the period under review.</w:t>
      </w:r>
    </w:p>
    <w:p w:rsidR="00B96363" w:rsidRDefault="004905AB" w:rsidP="00B95D20">
      <w:pPr>
        <w:jc w:val="both"/>
        <w:rPr>
          <w:rFonts w:ascii="Arial Narrow" w:hAnsi="Arial Narrow"/>
          <w:sz w:val="24"/>
          <w:szCs w:val="24"/>
        </w:rPr>
      </w:pPr>
      <w:r>
        <w:rPr>
          <w:rFonts w:ascii="Arial Narrow" w:hAnsi="Arial Narrow"/>
          <w:sz w:val="24"/>
          <w:szCs w:val="24"/>
        </w:rPr>
        <w:t>The unlocking of 3</w:t>
      </w:r>
      <w:r w:rsidRPr="004905AB">
        <w:rPr>
          <w:rFonts w:ascii="Arial Narrow" w:hAnsi="Arial Narrow"/>
          <w:sz w:val="24"/>
          <w:szCs w:val="24"/>
          <w:vertAlign w:val="superscript"/>
        </w:rPr>
        <w:t>rd</w:t>
      </w:r>
      <w:r>
        <w:rPr>
          <w:rFonts w:ascii="Arial Narrow" w:hAnsi="Arial Narrow"/>
          <w:sz w:val="24"/>
          <w:szCs w:val="24"/>
        </w:rPr>
        <w:t xml:space="preserve"> party resources is also growing but can still be improved.  To optimize the latter though, DEA and its partners, DAFF, DWS, DCOG, DRDL</w:t>
      </w:r>
      <w:r w:rsidR="008C4C96">
        <w:rPr>
          <w:rFonts w:ascii="Arial Narrow" w:hAnsi="Arial Narrow"/>
          <w:sz w:val="24"/>
          <w:szCs w:val="24"/>
        </w:rPr>
        <w:t xml:space="preserve">R and </w:t>
      </w:r>
      <w:r w:rsidR="00043582">
        <w:rPr>
          <w:rFonts w:ascii="Arial Narrow" w:hAnsi="Arial Narrow"/>
          <w:sz w:val="24"/>
          <w:szCs w:val="24"/>
        </w:rPr>
        <w:t>conservation agencies need</w:t>
      </w:r>
      <w:r>
        <w:rPr>
          <w:rFonts w:ascii="Arial Narrow" w:hAnsi="Arial Narrow"/>
          <w:sz w:val="24"/>
          <w:szCs w:val="24"/>
        </w:rPr>
        <w:t xml:space="preserve"> to create an enabling environment for the programme to unlock </w:t>
      </w:r>
      <w:r w:rsidR="00043582">
        <w:rPr>
          <w:rFonts w:ascii="Arial Narrow" w:hAnsi="Arial Narrow"/>
          <w:sz w:val="24"/>
          <w:szCs w:val="24"/>
        </w:rPr>
        <w:t xml:space="preserve">further </w:t>
      </w:r>
      <w:r>
        <w:rPr>
          <w:rFonts w:ascii="Arial Narrow" w:hAnsi="Arial Narrow"/>
          <w:sz w:val="24"/>
          <w:szCs w:val="24"/>
        </w:rPr>
        <w:t>3</w:t>
      </w:r>
      <w:r w:rsidRPr="004905AB">
        <w:rPr>
          <w:rFonts w:ascii="Arial Narrow" w:hAnsi="Arial Narrow"/>
          <w:sz w:val="24"/>
          <w:szCs w:val="24"/>
          <w:vertAlign w:val="superscript"/>
        </w:rPr>
        <w:t>rd</w:t>
      </w:r>
      <w:r>
        <w:rPr>
          <w:rFonts w:ascii="Arial Narrow" w:hAnsi="Arial Narrow"/>
          <w:sz w:val="24"/>
          <w:szCs w:val="24"/>
        </w:rPr>
        <w:t xml:space="preserve"> party resources.  The institutional arrangements to unlock 3</w:t>
      </w:r>
      <w:r w:rsidRPr="004905AB">
        <w:rPr>
          <w:rFonts w:ascii="Arial Narrow" w:hAnsi="Arial Narrow"/>
          <w:sz w:val="24"/>
          <w:szCs w:val="24"/>
          <w:vertAlign w:val="superscript"/>
        </w:rPr>
        <w:t>rd</w:t>
      </w:r>
      <w:r>
        <w:rPr>
          <w:rFonts w:ascii="Arial Narrow" w:hAnsi="Arial Narrow"/>
          <w:sz w:val="24"/>
          <w:szCs w:val="24"/>
        </w:rPr>
        <w:t xml:space="preserve"> party resources therefore need to be looked at over the next five years during the “so called” exit strategy for the programme.  Governance can also still improve as long term institutional arrangements </w:t>
      </w:r>
      <w:r w:rsidR="008C4C96">
        <w:rPr>
          <w:rFonts w:ascii="Arial Narrow" w:hAnsi="Arial Narrow"/>
          <w:sz w:val="24"/>
          <w:szCs w:val="24"/>
        </w:rPr>
        <w:t>are developed</w:t>
      </w:r>
      <w:r>
        <w:rPr>
          <w:rFonts w:ascii="Arial Narrow" w:hAnsi="Arial Narrow"/>
          <w:sz w:val="24"/>
          <w:szCs w:val="24"/>
        </w:rPr>
        <w:t>.</w:t>
      </w:r>
    </w:p>
    <w:p w:rsidR="00B96363" w:rsidRDefault="00B96363" w:rsidP="00B95D20">
      <w:pPr>
        <w:jc w:val="both"/>
        <w:rPr>
          <w:rFonts w:ascii="Arial Narrow" w:hAnsi="Arial Narrow"/>
          <w:sz w:val="24"/>
          <w:szCs w:val="24"/>
        </w:rPr>
      </w:pPr>
      <w:r>
        <w:rPr>
          <w:rFonts w:ascii="Arial Narrow" w:hAnsi="Arial Narrow"/>
          <w:sz w:val="24"/>
          <w:szCs w:val="24"/>
        </w:rPr>
        <w:t>The next four and a half years is crucial for veld and forest fire management in the long term.  By the end of the current agreement the new institutional arrangements must be of such a nature that the gains that have been made by the programme to date is not lost and that it can be increased</w:t>
      </w:r>
      <w:r w:rsidR="00043582">
        <w:rPr>
          <w:rFonts w:ascii="Arial Narrow" w:hAnsi="Arial Narrow"/>
          <w:sz w:val="24"/>
          <w:szCs w:val="24"/>
        </w:rPr>
        <w:t xml:space="preserve"> in the future</w:t>
      </w:r>
      <w:r>
        <w:rPr>
          <w:rFonts w:ascii="Arial Narrow" w:hAnsi="Arial Narrow"/>
          <w:sz w:val="24"/>
          <w:szCs w:val="24"/>
        </w:rPr>
        <w:t>.</w:t>
      </w:r>
    </w:p>
    <w:p w:rsidR="004905AB" w:rsidRDefault="004905AB" w:rsidP="00B95D20">
      <w:pPr>
        <w:jc w:val="both"/>
        <w:rPr>
          <w:rFonts w:ascii="Arial Narrow" w:hAnsi="Arial Narrow"/>
          <w:sz w:val="24"/>
          <w:szCs w:val="24"/>
        </w:rPr>
      </w:pPr>
    </w:p>
    <w:p w:rsidR="004905AB" w:rsidRDefault="008C4C96" w:rsidP="00B95D20">
      <w:pPr>
        <w:jc w:val="both"/>
        <w:rPr>
          <w:rFonts w:ascii="Arial Narrow" w:hAnsi="Arial Narrow"/>
          <w:sz w:val="24"/>
          <w:szCs w:val="24"/>
        </w:rPr>
      </w:pPr>
      <w:r>
        <w:rPr>
          <w:rFonts w:ascii="Arial Narrow" w:hAnsi="Arial Narrow"/>
          <w:sz w:val="24"/>
          <w:szCs w:val="24"/>
        </w:rPr>
        <w:t>E</w:t>
      </w:r>
      <w:r w:rsidR="004905AB">
        <w:rPr>
          <w:rFonts w:ascii="Arial Narrow" w:hAnsi="Arial Narrow"/>
          <w:sz w:val="24"/>
          <w:szCs w:val="24"/>
        </w:rPr>
        <w:t>nd</w:t>
      </w:r>
    </w:p>
    <w:p w:rsidR="008C4C96" w:rsidRDefault="008C4C96" w:rsidP="00B95D20">
      <w:pPr>
        <w:jc w:val="both"/>
        <w:rPr>
          <w:rFonts w:ascii="Arial Narrow" w:hAnsi="Arial Narrow"/>
          <w:sz w:val="24"/>
          <w:szCs w:val="24"/>
        </w:rPr>
      </w:pPr>
      <w:r>
        <w:rPr>
          <w:rFonts w:ascii="Arial Narrow" w:hAnsi="Arial Narrow"/>
          <w:sz w:val="24"/>
          <w:szCs w:val="24"/>
        </w:rPr>
        <w:t>27 October 2016</w:t>
      </w:r>
    </w:p>
    <w:p w:rsidR="00351CE9" w:rsidRDefault="00351CE9" w:rsidP="00B95D20">
      <w:pPr>
        <w:jc w:val="both"/>
        <w:rPr>
          <w:rFonts w:ascii="Arial Narrow" w:hAnsi="Arial Narrow"/>
          <w:sz w:val="24"/>
          <w:szCs w:val="24"/>
        </w:rPr>
      </w:pPr>
    </w:p>
    <w:p w:rsidR="00351CE9" w:rsidRDefault="00351CE9">
      <w:pPr>
        <w:rPr>
          <w:rFonts w:ascii="Arial Narrow" w:hAnsi="Arial Narrow"/>
          <w:sz w:val="24"/>
          <w:szCs w:val="24"/>
        </w:rPr>
      </w:pPr>
      <w:r>
        <w:rPr>
          <w:rFonts w:ascii="Arial Narrow" w:hAnsi="Arial Narrow"/>
          <w:sz w:val="24"/>
          <w:szCs w:val="24"/>
        </w:rPr>
        <w:br w:type="page"/>
      </w:r>
    </w:p>
    <w:p w:rsidR="00351CE9" w:rsidRPr="005569D3" w:rsidRDefault="00351CE9" w:rsidP="00351CE9">
      <w:pPr>
        <w:pStyle w:val="ListParagraph"/>
        <w:spacing w:after="0" w:line="360" w:lineRule="auto"/>
        <w:ind w:left="360"/>
        <w:jc w:val="both"/>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lastRenderedPageBreak/>
        <w:t xml:space="preserve">ANNEXURE A: </w:t>
      </w:r>
      <w:r>
        <w:rPr>
          <w:rFonts w:ascii="Arial Narrow" w:eastAsia="Times New Roman" w:hAnsi="Arial Narrow" w:cs="Times New Roman"/>
          <w:b/>
          <w:bCs/>
          <w:sz w:val="24"/>
          <w:szCs w:val="24"/>
          <w:lang w:val="en-GB"/>
        </w:rPr>
        <w:t>SOUTH AFRICA CANADA RELATIONS</w:t>
      </w:r>
    </w:p>
    <w:p w:rsidR="00351CE9" w:rsidRPr="005569D3" w:rsidRDefault="00351CE9" w:rsidP="00351CE9">
      <w:pPr>
        <w:pStyle w:val="ListParagraph"/>
        <w:spacing w:after="0" w:line="360" w:lineRule="auto"/>
        <w:ind w:left="360"/>
        <w:jc w:val="both"/>
        <w:rPr>
          <w:rFonts w:ascii="Arial Narrow" w:eastAsia="Times New Roman" w:hAnsi="Arial Narrow" w:cs="Times New Roman"/>
          <w:b/>
          <w:bCs/>
          <w:sz w:val="24"/>
          <w:szCs w:val="24"/>
          <w:lang w:val="en-GB"/>
        </w:rPr>
      </w:pPr>
    </w:p>
    <w:p w:rsidR="00351CE9" w:rsidRPr="005569D3"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5569D3">
        <w:rPr>
          <w:rFonts w:ascii="Arial Narrow" w:eastAsia="Times New Roman" w:hAnsi="Arial Narrow" w:cs="Arial"/>
          <w:sz w:val="24"/>
          <w:szCs w:val="24"/>
          <w:lang w:val="en-US"/>
        </w:rPr>
        <w:t xml:space="preserve">The Relations between South Africa and Canada were formalised in 2003 with the signing of the Joint Declaration of Intent to strengthen relations between South Africa and Canada.  This led to the establishment of Annual Consultations between the two countries that are held at a Senior Officials level. </w:t>
      </w:r>
    </w:p>
    <w:p w:rsidR="00351CE9" w:rsidRPr="005569D3"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Pr="00082E85"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082E85">
        <w:rPr>
          <w:rFonts w:ascii="Arial Narrow" w:eastAsia="Times New Roman" w:hAnsi="Arial Narrow" w:cs="Arial"/>
          <w:sz w:val="24"/>
          <w:szCs w:val="24"/>
          <w:lang w:val="en-US"/>
        </w:rPr>
        <w:t>Currently, there is no formal cooperation with Canada in the environmental sector but in 2015 a request was received for the deployment of Fire-fighters. Following the July 2015 deployment, the Department of Environmental Affairs (DEA) attempted to remedy this situation by looking at the possibility of establishing formal cooperation with Canada on Environmental issues.</w:t>
      </w:r>
    </w:p>
    <w:p w:rsidR="00351CE9" w:rsidRPr="005569D3"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bookmarkStart w:id="0" w:name="_GoBack"/>
      <w:bookmarkEnd w:id="0"/>
    </w:p>
    <w:p w:rsidR="00351CE9" w:rsidRPr="005569D3"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5569D3">
        <w:rPr>
          <w:rFonts w:ascii="Arial Narrow" w:eastAsia="Times New Roman" w:hAnsi="Arial Narrow" w:cs="Arial"/>
          <w:sz w:val="24"/>
          <w:szCs w:val="24"/>
          <w:lang w:val="en-US"/>
        </w:rPr>
        <w:tab/>
        <w:t>As an initial step in this process, DEA participated in the 10</w:t>
      </w:r>
      <w:r w:rsidRPr="00082E85">
        <w:rPr>
          <w:rFonts w:ascii="Arial Narrow" w:eastAsia="Times New Roman" w:hAnsi="Arial Narrow" w:cs="Arial"/>
          <w:sz w:val="24"/>
          <w:szCs w:val="24"/>
          <w:vertAlign w:val="superscript"/>
          <w:lang w:val="en-US"/>
        </w:rPr>
        <w:t>th</w:t>
      </w:r>
      <w:r>
        <w:rPr>
          <w:rFonts w:ascii="Arial Narrow" w:eastAsia="Times New Roman" w:hAnsi="Arial Narrow" w:cs="Arial"/>
          <w:sz w:val="24"/>
          <w:szCs w:val="24"/>
          <w:lang w:val="en-US"/>
        </w:rPr>
        <w:t xml:space="preserve"> </w:t>
      </w:r>
      <w:r w:rsidRPr="005569D3">
        <w:rPr>
          <w:rFonts w:ascii="Arial Narrow" w:eastAsia="Times New Roman" w:hAnsi="Arial Narrow" w:cs="Arial"/>
          <w:sz w:val="24"/>
          <w:szCs w:val="24"/>
          <w:lang w:val="en-US"/>
        </w:rPr>
        <w:t xml:space="preserve">Annual Consultations which took place in Ottawa, Canada in December 2015. </w:t>
      </w:r>
    </w:p>
    <w:p w:rsidR="00351CE9" w:rsidRPr="005569D3"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5569D3">
        <w:rPr>
          <w:rFonts w:ascii="Arial Narrow" w:eastAsia="Times New Roman" w:hAnsi="Arial Narrow" w:cs="Arial"/>
          <w:sz w:val="24"/>
          <w:szCs w:val="24"/>
          <w:lang w:val="en-US"/>
        </w:rPr>
        <w:tab/>
        <w:t>The Department participated in bilateral working group meetings with the Canadian Forest Service, which focused largely on how to grow the sector in terms of integrated veld and fire management (wildland fire management), responsible forestry, natural resource economics, environmental impacts and eoxyribonucleic acid (DNA) barcoding, where the possibility of cooperation in these areas was discussed.</w:t>
      </w:r>
    </w:p>
    <w:p w:rsidR="00351CE9"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5569D3">
        <w:rPr>
          <w:rFonts w:ascii="Arial Narrow" w:eastAsia="Times New Roman" w:hAnsi="Arial Narrow" w:cs="Arial"/>
          <w:sz w:val="24"/>
          <w:szCs w:val="24"/>
          <w:lang w:val="en-US"/>
        </w:rPr>
        <w:t xml:space="preserve">It was envisaged that the outcome of these discussions would be formalised in terms of official cooperation in the broader environmental sector. However, </w:t>
      </w:r>
      <w:r>
        <w:rPr>
          <w:rFonts w:ascii="Arial Narrow" w:eastAsia="Times New Roman" w:hAnsi="Arial Narrow" w:cs="Arial"/>
          <w:sz w:val="24"/>
          <w:szCs w:val="24"/>
          <w:lang w:val="en-US"/>
        </w:rPr>
        <w:t>Working on Fire (</w:t>
      </w:r>
      <w:r w:rsidRPr="005569D3">
        <w:rPr>
          <w:rFonts w:ascii="Arial Narrow" w:eastAsia="Times New Roman" w:hAnsi="Arial Narrow" w:cs="Arial"/>
          <w:sz w:val="24"/>
          <w:szCs w:val="24"/>
          <w:lang w:val="en-US"/>
        </w:rPr>
        <w:t>WoF</w:t>
      </w:r>
      <w:r>
        <w:rPr>
          <w:rFonts w:ascii="Arial Narrow" w:eastAsia="Times New Roman" w:hAnsi="Arial Narrow" w:cs="Arial"/>
          <w:sz w:val="24"/>
          <w:szCs w:val="24"/>
          <w:lang w:val="en-US"/>
        </w:rPr>
        <w:t>)</w:t>
      </w:r>
      <w:r w:rsidRPr="005569D3">
        <w:rPr>
          <w:rFonts w:ascii="Arial Narrow" w:eastAsia="Times New Roman" w:hAnsi="Arial Narrow" w:cs="Arial"/>
          <w:sz w:val="24"/>
          <w:szCs w:val="24"/>
          <w:lang w:val="en-US"/>
        </w:rPr>
        <w:t xml:space="preserve"> received a formal request to assist with wildland fire suppression efforts in Canada in May 2016 before this process could be completed.</w:t>
      </w:r>
    </w:p>
    <w:p w:rsidR="00351CE9"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121215">
        <w:rPr>
          <w:rFonts w:ascii="Arial Narrow" w:eastAsia="Times New Roman" w:hAnsi="Arial Narrow" w:cs="Arial"/>
          <w:sz w:val="24"/>
          <w:szCs w:val="24"/>
          <w:lang w:val="en-US"/>
        </w:rPr>
        <w:t>On 03 June 2016, the internal meeting was held in the Department to assess the interest of various Branches in cooperating with Canada. Emanating from this meeting, the broad areas identified for cooperation with Canada entail natural resources management, climate change, sustainable development, compliance and enforcement, waste management, environmental management tools and systems and biodiversity</w:t>
      </w:r>
      <w:r>
        <w:rPr>
          <w:rFonts w:ascii="Arial Narrow" w:eastAsia="Times New Roman" w:hAnsi="Arial Narrow" w:cs="Arial"/>
          <w:sz w:val="24"/>
          <w:szCs w:val="24"/>
          <w:lang w:val="en-US"/>
        </w:rPr>
        <w:t>.</w:t>
      </w:r>
    </w:p>
    <w:p w:rsidR="00351CE9" w:rsidRDefault="00351CE9" w:rsidP="00351CE9">
      <w:pPr>
        <w:pStyle w:val="ListParagraph"/>
        <w:rPr>
          <w:rFonts w:ascii="Arial Narrow" w:eastAsia="Times New Roman" w:hAnsi="Arial Narrow" w:cs="Arial"/>
          <w:sz w:val="24"/>
          <w:szCs w:val="24"/>
          <w:lang w:val="en-US"/>
        </w:rPr>
      </w:pPr>
    </w:p>
    <w:p w:rsidR="00351CE9" w:rsidRPr="00121215"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Pr>
          <w:rFonts w:ascii="Arial Narrow" w:eastAsia="Times New Roman" w:hAnsi="Arial Narrow" w:cs="Arial"/>
          <w:sz w:val="24"/>
          <w:szCs w:val="24"/>
          <w:lang w:val="en-US"/>
        </w:rPr>
        <w:lastRenderedPageBreak/>
        <w:t xml:space="preserve">Following this a meeting was held </w:t>
      </w:r>
      <w:r w:rsidRPr="008439A2">
        <w:rPr>
          <w:rFonts w:ascii="Arial Narrow" w:eastAsia="Times New Roman" w:hAnsi="Arial Narrow" w:cs="Arial"/>
          <w:sz w:val="24"/>
          <w:szCs w:val="24"/>
          <w:lang w:val="en-US"/>
        </w:rPr>
        <w:t>with DIRCO on 13 July 2016 to</w:t>
      </w:r>
      <w:r>
        <w:rPr>
          <w:rFonts w:ascii="Arial Narrow" w:eastAsia="Times New Roman" w:hAnsi="Arial Narrow" w:cs="Arial"/>
          <w:sz w:val="24"/>
          <w:szCs w:val="24"/>
          <w:lang w:val="en-US"/>
        </w:rPr>
        <w:t xml:space="preserve"> provide feedback on the progress on the internal DEA discussion and the proposed areas of cooperation which includes natural resources management, climate change, sustainable development and biodiversity amongst others   Subsequently a meeting was held with colleagues from the Canadian High Commission on 25 July 2016 in which they undertook to consult internally within in the Canadian Government and revert regarding the proposals. </w:t>
      </w:r>
    </w:p>
    <w:p w:rsidR="00351CE9" w:rsidRDefault="00351CE9" w:rsidP="00351CE9">
      <w:pPr>
        <w:tabs>
          <w:tab w:val="left" w:pos="709"/>
        </w:tabs>
        <w:spacing w:after="0" w:line="360" w:lineRule="auto"/>
        <w:ind w:left="709"/>
        <w:jc w:val="both"/>
        <w:outlineLvl w:val="0"/>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Pr>
          <w:rFonts w:ascii="Arial Narrow" w:eastAsia="Times New Roman" w:hAnsi="Arial Narrow" w:cs="Arial"/>
          <w:sz w:val="24"/>
          <w:szCs w:val="24"/>
          <w:lang w:val="en-US"/>
        </w:rPr>
        <w:t>At a follow up meeting held in October 2016, the Canadians informed the SA government that since the change of government policies, particularly in the Environment sector, they have been receiving a number of requests for cooperation on environmental issues. They are thus internally still working on a strategy before they will be able to provide feedback.</w:t>
      </w:r>
    </w:p>
    <w:p w:rsidR="00351CE9" w:rsidRDefault="00351CE9" w:rsidP="00351CE9">
      <w:pPr>
        <w:pStyle w:val="ListParagraph"/>
        <w:rPr>
          <w:rFonts w:ascii="Arial Narrow" w:eastAsia="Times New Roman" w:hAnsi="Arial Narrow" w:cs="Arial"/>
          <w:sz w:val="24"/>
          <w:szCs w:val="24"/>
          <w:lang w:val="en-US"/>
        </w:rPr>
      </w:pPr>
    </w:p>
    <w:p w:rsidR="00351CE9" w:rsidRDefault="00351CE9" w:rsidP="00351CE9">
      <w:pPr>
        <w:numPr>
          <w:ilvl w:val="1"/>
          <w:numId w:val="10"/>
        </w:numPr>
        <w:tabs>
          <w:tab w:val="left" w:pos="709"/>
        </w:tabs>
        <w:spacing w:after="0" w:line="360" w:lineRule="auto"/>
        <w:ind w:left="709" w:hanging="709"/>
        <w:jc w:val="both"/>
        <w:outlineLvl w:val="0"/>
        <w:rPr>
          <w:rFonts w:ascii="Arial Narrow" w:eastAsia="Times New Roman" w:hAnsi="Arial Narrow" w:cs="Arial"/>
          <w:sz w:val="24"/>
          <w:szCs w:val="24"/>
          <w:lang w:val="en-US"/>
        </w:rPr>
      </w:pPr>
      <w:r w:rsidRPr="00DA7B19">
        <w:rPr>
          <w:rFonts w:ascii="Arial Narrow" w:eastAsia="Times New Roman" w:hAnsi="Arial Narrow" w:cs="Arial"/>
          <w:sz w:val="24"/>
          <w:szCs w:val="24"/>
          <w:lang w:val="en-US"/>
        </w:rPr>
        <w:t xml:space="preserve">Pending this feedback, a first draft of an Agreement will be drafted and negotiations will commence between the Parties with the aim of finalising the Agreement by the next Annual Consultations which </w:t>
      </w:r>
      <w:r>
        <w:rPr>
          <w:rFonts w:ascii="Arial Narrow" w:eastAsia="Times New Roman" w:hAnsi="Arial Narrow" w:cs="Arial"/>
          <w:sz w:val="24"/>
          <w:szCs w:val="24"/>
          <w:lang w:val="en-US"/>
        </w:rPr>
        <w:t>is likely to be s</w:t>
      </w:r>
      <w:r w:rsidRPr="00DA7B19">
        <w:rPr>
          <w:rFonts w:ascii="Arial Narrow" w:eastAsia="Times New Roman" w:hAnsi="Arial Narrow" w:cs="Arial"/>
          <w:sz w:val="24"/>
          <w:szCs w:val="24"/>
          <w:lang w:val="en-US"/>
        </w:rPr>
        <w:t>chedul</w:t>
      </w:r>
      <w:r>
        <w:rPr>
          <w:rFonts w:ascii="Arial Narrow" w:eastAsia="Times New Roman" w:hAnsi="Arial Narrow" w:cs="Arial"/>
          <w:sz w:val="24"/>
          <w:szCs w:val="24"/>
          <w:lang w:val="en-US"/>
        </w:rPr>
        <w:t>ed</w:t>
      </w:r>
      <w:r w:rsidRPr="00DA7B19">
        <w:rPr>
          <w:rFonts w:ascii="Arial Narrow" w:eastAsia="Times New Roman" w:hAnsi="Arial Narrow" w:cs="Arial"/>
          <w:sz w:val="24"/>
          <w:szCs w:val="24"/>
          <w:lang w:val="en-US"/>
        </w:rPr>
        <w:t xml:space="preserve"> for April 2017</w:t>
      </w:r>
      <w:r>
        <w:rPr>
          <w:rFonts w:ascii="Arial Narrow" w:eastAsia="Times New Roman" w:hAnsi="Arial Narrow" w:cs="Arial"/>
          <w:sz w:val="24"/>
          <w:szCs w:val="24"/>
          <w:lang w:val="en-US"/>
        </w:rPr>
        <w:t>.</w:t>
      </w:r>
    </w:p>
    <w:p w:rsidR="00351CE9" w:rsidRPr="004905AB" w:rsidRDefault="00351CE9" w:rsidP="00B95D20">
      <w:pPr>
        <w:jc w:val="both"/>
        <w:rPr>
          <w:rFonts w:ascii="Arial Narrow" w:hAnsi="Arial Narrow"/>
          <w:sz w:val="24"/>
          <w:szCs w:val="24"/>
        </w:rPr>
      </w:pPr>
    </w:p>
    <w:sectPr w:rsidR="00351CE9" w:rsidRPr="004905A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26" w:rsidRDefault="005C0926" w:rsidP="0057210A">
      <w:pPr>
        <w:spacing w:after="0" w:line="240" w:lineRule="auto"/>
      </w:pPr>
      <w:r>
        <w:separator/>
      </w:r>
    </w:p>
  </w:endnote>
  <w:endnote w:type="continuationSeparator" w:id="0">
    <w:p w:rsidR="005C0926" w:rsidRDefault="005C0926" w:rsidP="0057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4896"/>
      <w:docPartObj>
        <w:docPartGallery w:val="Page Numbers (Bottom of Page)"/>
        <w:docPartUnique/>
      </w:docPartObj>
    </w:sdtPr>
    <w:sdtEndPr>
      <w:rPr>
        <w:noProof/>
      </w:rPr>
    </w:sdtEndPr>
    <w:sdtContent>
      <w:p w:rsidR="00A93DC5" w:rsidRDefault="00A93DC5">
        <w:pPr>
          <w:pStyle w:val="Footer"/>
          <w:jc w:val="center"/>
        </w:pPr>
        <w:r>
          <w:fldChar w:fldCharType="begin"/>
        </w:r>
        <w:r>
          <w:instrText xml:space="preserve"> PAGE   \* MERGEFORMAT </w:instrText>
        </w:r>
        <w:r>
          <w:fldChar w:fldCharType="separate"/>
        </w:r>
        <w:r w:rsidR="00351CE9">
          <w:rPr>
            <w:noProof/>
          </w:rPr>
          <w:t>16</w:t>
        </w:r>
        <w:r>
          <w:rPr>
            <w:noProof/>
          </w:rPr>
          <w:fldChar w:fldCharType="end"/>
        </w:r>
      </w:p>
    </w:sdtContent>
  </w:sdt>
  <w:p w:rsidR="00A93DC5" w:rsidRDefault="00A9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26" w:rsidRDefault="005C0926" w:rsidP="0057210A">
      <w:pPr>
        <w:spacing w:after="0" w:line="240" w:lineRule="auto"/>
      </w:pPr>
      <w:r>
        <w:separator/>
      </w:r>
    </w:p>
  </w:footnote>
  <w:footnote w:type="continuationSeparator" w:id="0">
    <w:p w:rsidR="005C0926" w:rsidRDefault="005C0926" w:rsidP="0057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B3"/>
    <w:multiLevelType w:val="multilevel"/>
    <w:tmpl w:val="60842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nsid w:val="201749A5"/>
    <w:multiLevelType w:val="hybridMultilevel"/>
    <w:tmpl w:val="0BB6C1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96610C"/>
    <w:multiLevelType w:val="multilevel"/>
    <w:tmpl w:val="B6E2AD1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3C356F"/>
    <w:multiLevelType w:val="multilevel"/>
    <w:tmpl w:val="1F22BCE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FDB6A6A"/>
    <w:multiLevelType w:val="hybridMultilevel"/>
    <w:tmpl w:val="3EF6B7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D456291"/>
    <w:multiLevelType w:val="hybridMultilevel"/>
    <w:tmpl w:val="4F585D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A1031CB"/>
    <w:multiLevelType w:val="multilevel"/>
    <w:tmpl w:val="C58C01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FA2AAC"/>
    <w:multiLevelType w:val="multilevel"/>
    <w:tmpl w:val="7F5E9866"/>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70D04CF"/>
    <w:multiLevelType w:val="hybridMultilevel"/>
    <w:tmpl w:val="01BE241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B77500C"/>
    <w:multiLevelType w:val="hybridMultilevel"/>
    <w:tmpl w:val="33E4203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8"/>
  </w:num>
  <w:num w:numId="6">
    <w:abstractNumId w:val="4"/>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89"/>
    <w:rsid w:val="00043582"/>
    <w:rsid w:val="00043623"/>
    <w:rsid w:val="000C6180"/>
    <w:rsid w:val="0010250C"/>
    <w:rsid w:val="001053A6"/>
    <w:rsid w:val="001430B4"/>
    <w:rsid w:val="001773EE"/>
    <w:rsid w:val="001D6D29"/>
    <w:rsid w:val="001E34CF"/>
    <w:rsid w:val="001F7A6C"/>
    <w:rsid w:val="00254685"/>
    <w:rsid w:val="002F6D18"/>
    <w:rsid w:val="0033175B"/>
    <w:rsid w:val="00351CE9"/>
    <w:rsid w:val="0037148E"/>
    <w:rsid w:val="00433754"/>
    <w:rsid w:val="00482557"/>
    <w:rsid w:val="004905AB"/>
    <w:rsid w:val="004D4144"/>
    <w:rsid w:val="004F24C4"/>
    <w:rsid w:val="0050233F"/>
    <w:rsid w:val="00510554"/>
    <w:rsid w:val="0057210A"/>
    <w:rsid w:val="005C0926"/>
    <w:rsid w:val="005E79A7"/>
    <w:rsid w:val="00610FA5"/>
    <w:rsid w:val="006307C7"/>
    <w:rsid w:val="006C7764"/>
    <w:rsid w:val="006F60B0"/>
    <w:rsid w:val="007544EC"/>
    <w:rsid w:val="007A1F32"/>
    <w:rsid w:val="007F3485"/>
    <w:rsid w:val="0082508A"/>
    <w:rsid w:val="00863BD8"/>
    <w:rsid w:val="00891FA7"/>
    <w:rsid w:val="008C4C96"/>
    <w:rsid w:val="008E52F2"/>
    <w:rsid w:val="009C37CE"/>
    <w:rsid w:val="00A46DDB"/>
    <w:rsid w:val="00A734D4"/>
    <w:rsid w:val="00A93DC5"/>
    <w:rsid w:val="00B73518"/>
    <w:rsid w:val="00B75BDD"/>
    <w:rsid w:val="00B95D20"/>
    <w:rsid w:val="00B96363"/>
    <w:rsid w:val="00BC5DEE"/>
    <w:rsid w:val="00BE0D0C"/>
    <w:rsid w:val="00BE5EDD"/>
    <w:rsid w:val="00C77751"/>
    <w:rsid w:val="00CC6661"/>
    <w:rsid w:val="00CE3DA2"/>
    <w:rsid w:val="00D03DF1"/>
    <w:rsid w:val="00D13B89"/>
    <w:rsid w:val="00D72484"/>
    <w:rsid w:val="00DE1ED2"/>
    <w:rsid w:val="00E31EE7"/>
    <w:rsid w:val="00E833AE"/>
    <w:rsid w:val="00ED70CB"/>
    <w:rsid w:val="00F51E34"/>
    <w:rsid w:val="00F642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0A"/>
  </w:style>
  <w:style w:type="paragraph" w:styleId="Footer">
    <w:name w:val="footer"/>
    <w:basedOn w:val="Normal"/>
    <w:link w:val="FooterChar"/>
    <w:uiPriority w:val="99"/>
    <w:unhideWhenUsed/>
    <w:rsid w:val="0057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0A"/>
  </w:style>
  <w:style w:type="paragraph" w:styleId="BalloonText">
    <w:name w:val="Balloon Text"/>
    <w:basedOn w:val="Normal"/>
    <w:link w:val="BalloonTextChar"/>
    <w:uiPriority w:val="99"/>
    <w:semiHidden/>
    <w:unhideWhenUsed/>
    <w:rsid w:val="00CE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A2"/>
    <w:rPr>
      <w:rFonts w:ascii="Tahoma" w:hAnsi="Tahoma" w:cs="Tahoma"/>
      <w:sz w:val="16"/>
      <w:szCs w:val="16"/>
    </w:rPr>
  </w:style>
  <w:style w:type="paragraph" w:styleId="ListParagraph">
    <w:name w:val="List Paragraph"/>
    <w:basedOn w:val="Normal"/>
    <w:uiPriority w:val="34"/>
    <w:qFormat/>
    <w:rsid w:val="00CE3DA2"/>
    <w:pPr>
      <w:ind w:left="720"/>
      <w:contextualSpacing/>
    </w:pPr>
  </w:style>
  <w:style w:type="table" w:styleId="TableGrid">
    <w:name w:val="Table Grid"/>
    <w:basedOn w:val="TableNormal"/>
    <w:uiPriority w:val="59"/>
    <w:rsid w:val="00A7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4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33175B"/>
    <w:rPr>
      <w:sz w:val="16"/>
      <w:szCs w:val="16"/>
    </w:rPr>
  </w:style>
  <w:style w:type="paragraph" w:styleId="CommentText">
    <w:name w:val="annotation text"/>
    <w:basedOn w:val="Normal"/>
    <w:link w:val="CommentTextChar"/>
    <w:uiPriority w:val="99"/>
    <w:semiHidden/>
    <w:unhideWhenUsed/>
    <w:rsid w:val="0033175B"/>
    <w:pPr>
      <w:spacing w:line="240" w:lineRule="auto"/>
    </w:pPr>
    <w:rPr>
      <w:sz w:val="20"/>
      <w:szCs w:val="20"/>
    </w:rPr>
  </w:style>
  <w:style w:type="character" w:customStyle="1" w:styleId="CommentTextChar">
    <w:name w:val="Comment Text Char"/>
    <w:basedOn w:val="DefaultParagraphFont"/>
    <w:link w:val="CommentText"/>
    <w:uiPriority w:val="99"/>
    <w:semiHidden/>
    <w:rsid w:val="0033175B"/>
    <w:rPr>
      <w:sz w:val="20"/>
      <w:szCs w:val="20"/>
    </w:rPr>
  </w:style>
  <w:style w:type="paragraph" w:styleId="CommentSubject">
    <w:name w:val="annotation subject"/>
    <w:basedOn w:val="CommentText"/>
    <w:next w:val="CommentText"/>
    <w:link w:val="CommentSubjectChar"/>
    <w:uiPriority w:val="99"/>
    <w:semiHidden/>
    <w:unhideWhenUsed/>
    <w:rsid w:val="0033175B"/>
    <w:rPr>
      <w:b/>
      <w:bCs/>
    </w:rPr>
  </w:style>
  <w:style w:type="character" w:customStyle="1" w:styleId="CommentSubjectChar">
    <w:name w:val="Comment Subject Char"/>
    <w:basedOn w:val="CommentTextChar"/>
    <w:link w:val="CommentSubject"/>
    <w:uiPriority w:val="99"/>
    <w:semiHidden/>
    <w:rsid w:val="0033175B"/>
    <w:rPr>
      <w:b/>
      <w:bCs/>
      <w:sz w:val="20"/>
      <w:szCs w:val="20"/>
    </w:rPr>
  </w:style>
  <w:style w:type="character" w:customStyle="1" w:styleId="apple-converted-space">
    <w:name w:val="apple-converted-space"/>
    <w:basedOn w:val="DefaultParagraphFont"/>
    <w:rsid w:val="00A46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0A"/>
  </w:style>
  <w:style w:type="paragraph" w:styleId="Footer">
    <w:name w:val="footer"/>
    <w:basedOn w:val="Normal"/>
    <w:link w:val="FooterChar"/>
    <w:uiPriority w:val="99"/>
    <w:unhideWhenUsed/>
    <w:rsid w:val="0057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0A"/>
  </w:style>
  <w:style w:type="paragraph" w:styleId="BalloonText">
    <w:name w:val="Balloon Text"/>
    <w:basedOn w:val="Normal"/>
    <w:link w:val="BalloonTextChar"/>
    <w:uiPriority w:val="99"/>
    <w:semiHidden/>
    <w:unhideWhenUsed/>
    <w:rsid w:val="00CE3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DA2"/>
    <w:rPr>
      <w:rFonts w:ascii="Tahoma" w:hAnsi="Tahoma" w:cs="Tahoma"/>
      <w:sz w:val="16"/>
      <w:szCs w:val="16"/>
    </w:rPr>
  </w:style>
  <w:style w:type="paragraph" w:styleId="ListParagraph">
    <w:name w:val="List Paragraph"/>
    <w:basedOn w:val="Normal"/>
    <w:uiPriority w:val="34"/>
    <w:qFormat/>
    <w:rsid w:val="00CE3DA2"/>
    <w:pPr>
      <w:ind w:left="720"/>
      <w:contextualSpacing/>
    </w:pPr>
  </w:style>
  <w:style w:type="table" w:styleId="TableGrid">
    <w:name w:val="Table Grid"/>
    <w:basedOn w:val="TableNormal"/>
    <w:uiPriority w:val="59"/>
    <w:rsid w:val="00A7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34D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33175B"/>
    <w:rPr>
      <w:sz w:val="16"/>
      <w:szCs w:val="16"/>
    </w:rPr>
  </w:style>
  <w:style w:type="paragraph" w:styleId="CommentText">
    <w:name w:val="annotation text"/>
    <w:basedOn w:val="Normal"/>
    <w:link w:val="CommentTextChar"/>
    <w:uiPriority w:val="99"/>
    <w:semiHidden/>
    <w:unhideWhenUsed/>
    <w:rsid w:val="0033175B"/>
    <w:pPr>
      <w:spacing w:line="240" w:lineRule="auto"/>
    </w:pPr>
    <w:rPr>
      <w:sz w:val="20"/>
      <w:szCs w:val="20"/>
    </w:rPr>
  </w:style>
  <w:style w:type="character" w:customStyle="1" w:styleId="CommentTextChar">
    <w:name w:val="Comment Text Char"/>
    <w:basedOn w:val="DefaultParagraphFont"/>
    <w:link w:val="CommentText"/>
    <w:uiPriority w:val="99"/>
    <w:semiHidden/>
    <w:rsid w:val="0033175B"/>
    <w:rPr>
      <w:sz w:val="20"/>
      <w:szCs w:val="20"/>
    </w:rPr>
  </w:style>
  <w:style w:type="paragraph" w:styleId="CommentSubject">
    <w:name w:val="annotation subject"/>
    <w:basedOn w:val="CommentText"/>
    <w:next w:val="CommentText"/>
    <w:link w:val="CommentSubjectChar"/>
    <w:uiPriority w:val="99"/>
    <w:semiHidden/>
    <w:unhideWhenUsed/>
    <w:rsid w:val="0033175B"/>
    <w:rPr>
      <w:b/>
      <w:bCs/>
    </w:rPr>
  </w:style>
  <w:style w:type="character" w:customStyle="1" w:styleId="CommentSubjectChar">
    <w:name w:val="Comment Subject Char"/>
    <w:basedOn w:val="CommentTextChar"/>
    <w:link w:val="CommentSubject"/>
    <w:uiPriority w:val="99"/>
    <w:semiHidden/>
    <w:rsid w:val="0033175B"/>
    <w:rPr>
      <w:b/>
      <w:bCs/>
      <w:sz w:val="20"/>
      <w:szCs w:val="20"/>
    </w:rPr>
  </w:style>
  <w:style w:type="character" w:customStyle="1" w:styleId="apple-converted-space">
    <w:name w:val="apple-converted-space"/>
    <w:basedOn w:val="DefaultParagraphFont"/>
    <w:rsid w:val="00A4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97">
      <w:bodyDiv w:val="1"/>
      <w:marLeft w:val="0"/>
      <w:marRight w:val="0"/>
      <w:marTop w:val="0"/>
      <w:marBottom w:val="0"/>
      <w:divBdr>
        <w:top w:val="none" w:sz="0" w:space="0" w:color="auto"/>
        <w:left w:val="none" w:sz="0" w:space="0" w:color="auto"/>
        <w:bottom w:val="none" w:sz="0" w:space="0" w:color="auto"/>
        <w:right w:val="none" w:sz="0" w:space="0" w:color="auto"/>
      </w:divBdr>
    </w:div>
    <w:div w:id="51584120">
      <w:bodyDiv w:val="1"/>
      <w:marLeft w:val="0"/>
      <w:marRight w:val="0"/>
      <w:marTop w:val="0"/>
      <w:marBottom w:val="0"/>
      <w:divBdr>
        <w:top w:val="none" w:sz="0" w:space="0" w:color="auto"/>
        <w:left w:val="none" w:sz="0" w:space="0" w:color="auto"/>
        <w:bottom w:val="none" w:sz="0" w:space="0" w:color="auto"/>
        <w:right w:val="none" w:sz="0" w:space="0" w:color="auto"/>
      </w:divBdr>
    </w:div>
    <w:div w:id="98062635">
      <w:bodyDiv w:val="1"/>
      <w:marLeft w:val="0"/>
      <w:marRight w:val="0"/>
      <w:marTop w:val="0"/>
      <w:marBottom w:val="0"/>
      <w:divBdr>
        <w:top w:val="none" w:sz="0" w:space="0" w:color="auto"/>
        <w:left w:val="none" w:sz="0" w:space="0" w:color="auto"/>
        <w:bottom w:val="none" w:sz="0" w:space="0" w:color="auto"/>
        <w:right w:val="none" w:sz="0" w:space="0" w:color="auto"/>
      </w:divBdr>
    </w:div>
    <w:div w:id="243998164">
      <w:bodyDiv w:val="1"/>
      <w:marLeft w:val="0"/>
      <w:marRight w:val="0"/>
      <w:marTop w:val="0"/>
      <w:marBottom w:val="0"/>
      <w:divBdr>
        <w:top w:val="none" w:sz="0" w:space="0" w:color="auto"/>
        <w:left w:val="none" w:sz="0" w:space="0" w:color="auto"/>
        <w:bottom w:val="none" w:sz="0" w:space="0" w:color="auto"/>
        <w:right w:val="none" w:sz="0" w:space="0" w:color="auto"/>
      </w:divBdr>
    </w:div>
    <w:div w:id="277299367">
      <w:bodyDiv w:val="1"/>
      <w:marLeft w:val="0"/>
      <w:marRight w:val="0"/>
      <w:marTop w:val="0"/>
      <w:marBottom w:val="0"/>
      <w:divBdr>
        <w:top w:val="none" w:sz="0" w:space="0" w:color="auto"/>
        <w:left w:val="none" w:sz="0" w:space="0" w:color="auto"/>
        <w:bottom w:val="none" w:sz="0" w:space="0" w:color="auto"/>
        <w:right w:val="none" w:sz="0" w:space="0" w:color="auto"/>
      </w:divBdr>
    </w:div>
    <w:div w:id="399713197">
      <w:bodyDiv w:val="1"/>
      <w:marLeft w:val="0"/>
      <w:marRight w:val="0"/>
      <w:marTop w:val="0"/>
      <w:marBottom w:val="0"/>
      <w:divBdr>
        <w:top w:val="none" w:sz="0" w:space="0" w:color="auto"/>
        <w:left w:val="none" w:sz="0" w:space="0" w:color="auto"/>
        <w:bottom w:val="none" w:sz="0" w:space="0" w:color="auto"/>
        <w:right w:val="none" w:sz="0" w:space="0" w:color="auto"/>
      </w:divBdr>
    </w:div>
    <w:div w:id="449589578">
      <w:bodyDiv w:val="1"/>
      <w:marLeft w:val="0"/>
      <w:marRight w:val="0"/>
      <w:marTop w:val="0"/>
      <w:marBottom w:val="0"/>
      <w:divBdr>
        <w:top w:val="none" w:sz="0" w:space="0" w:color="auto"/>
        <w:left w:val="none" w:sz="0" w:space="0" w:color="auto"/>
        <w:bottom w:val="none" w:sz="0" w:space="0" w:color="auto"/>
        <w:right w:val="none" w:sz="0" w:space="0" w:color="auto"/>
      </w:divBdr>
    </w:div>
    <w:div w:id="453057505">
      <w:bodyDiv w:val="1"/>
      <w:marLeft w:val="0"/>
      <w:marRight w:val="0"/>
      <w:marTop w:val="0"/>
      <w:marBottom w:val="0"/>
      <w:divBdr>
        <w:top w:val="none" w:sz="0" w:space="0" w:color="auto"/>
        <w:left w:val="none" w:sz="0" w:space="0" w:color="auto"/>
        <w:bottom w:val="none" w:sz="0" w:space="0" w:color="auto"/>
        <w:right w:val="none" w:sz="0" w:space="0" w:color="auto"/>
      </w:divBdr>
    </w:div>
    <w:div w:id="469980805">
      <w:bodyDiv w:val="1"/>
      <w:marLeft w:val="0"/>
      <w:marRight w:val="0"/>
      <w:marTop w:val="0"/>
      <w:marBottom w:val="0"/>
      <w:divBdr>
        <w:top w:val="none" w:sz="0" w:space="0" w:color="auto"/>
        <w:left w:val="none" w:sz="0" w:space="0" w:color="auto"/>
        <w:bottom w:val="none" w:sz="0" w:space="0" w:color="auto"/>
        <w:right w:val="none" w:sz="0" w:space="0" w:color="auto"/>
      </w:divBdr>
    </w:div>
    <w:div w:id="509954167">
      <w:bodyDiv w:val="1"/>
      <w:marLeft w:val="0"/>
      <w:marRight w:val="0"/>
      <w:marTop w:val="0"/>
      <w:marBottom w:val="0"/>
      <w:divBdr>
        <w:top w:val="none" w:sz="0" w:space="0" w:color="auto"/>
        <w:left w:val="none" w:sz="0" w:space="0" w:color="auto"/>
        <w:bottom w:val="none" w:sz="0" w:space="0" w:color="auto"/>
        <w:right w:val="none" w:sz="0" w:space="0" w:color="auto"/>
      </w:divBdr>
    </w:div>
    <w:div w:id="553809186">
      <w:bodyDiv w:val="1"/>
      <w:marLeft w:val="0"/>
      <w:marRight w:val="0"/>
      <w:marTop w:val="0"/>
      <w:marBottom w:val="0"/>
      <w:divBdr>
        <w:top w:val="none" w:sz="0" w:space="0" w:color="auto"/>
        <w:left w:val="none" w:sz="0" w:space="0" w:color="auto"/>
        <w:bottom w:val="none" w:sz="0" w:space="0" w:color="auto"/>
        <w:right w:val="none" w:sz="0" w:space="0" w:color="auto"/>
      </w:divBdr>
    </w:div>
    <w:div w:id="559366791">
      <w:bodyDiv w:val="1"/>
      <w:marLeft w:val="0"/>
      <w:marRight w:val="0"/>
      <w:marTop w:val="0"/>
      <w:marBottom w:val="0"/>
      <w:divBdr>
        <w:top w:val="none" w:sz="0" w:space="0" w:color="auto"/>
        <w:left w:val="none" w:sz="0" w:space="0" w:color="auto"/>
        <w:bottom w:val="none" w:sz="0" w:space="0" w:color="auto"/>
        <w:right w:val="none" w:sz="0" w:space="0" w:color="auto"/>
      </w:divBdr>
    </w:div>
    <w:div w:id="711997220">
      <w:bodyDiv w:val="1"/>
      <w:marLeft w:val="0"/>
      <w:marRight w:val="0"/>
      <w:marTop w:val="0"/>
      <w:marBottom w:val="0"/>
      <w:divBdr>
        <w:top w:val="none" w:sz="0" w:space="0" w:color="auto"/>
        <w:left w:val="none" w:sz="0" w:space="0" w:color="auto"/>
        <w:bottom w:val="none" w:sz="0" w:space="0" w:color="auto"/>
        <w:right w:val="none" w:sz="0" w:space="0" w:color="auto"/>
      </w:divBdr>
    </w:div>
    <w:div w:id="830604397">
      <w:bodyDiv w:val="1"/>
      <w:marLeft w:val="0"/>
      <w:marRight w:val="0"/>
      <w:marTop w:val="0"/>
      <w:marBottom w:val="0"/>
      <w:divBdr>
        <w:top w:val="none" w:sz="0" w:space="0" w:color="auto"/>
        <w:left w:val="none" w:sz="0" w:space="0" w:color="auto"/>
        <w:bottom w:val="none" w:sz="0" w:space="0" w:color="auto"/>
        <w:right w:val="none" w:sz="0" w:space="0" w:color="auto"/>
      </w:divBdr>
    </w:div>
    <w:div w:id="836118775">
      <w:bodyDiv w:val="1"/>
      <w:marLeft w:val="0"/>
      <w:marRight w:val="0"/>
      <w:marTop w:val="0"/>
      <w:marBottom w:val="0"/>
      <w:divBdr>
        <w:top w:val="none" w:sz="0" w:space="0" w:color="auto"/>
        <w:left w:val="none" w:sz="0" w:space="0" w:color="auto"/>
        <w:bottom w:val="none" w:sz="0" w:space="0" w:color="auto"/>
        <w:right w:val="none" w:sz="0" w:space="0" w:color="auto"/>
      </w:divBdr>
    </w:div>
    <w:div w:id="844055022">
      <w:bodyDiv w:val="1"/>
      <w:marLeft w:val="0"/>
      <w:marRight w:val="0"/>
      <w:marTop w:val="0"/>
      <w:marBottom w:val="0"/>
      <w:divBdr>
        <w:top w:val="none" w:sz="0" w:space="0" w:color="auto"/>
        <w:left w:val="none" w:sz="0" w:space="0" w:color="auto"/>
        <w:bottom w:val="none" w:sz="0" w:space="0" w:color="auto"/>
        <w:right w:val="none" w:sz="0" w:space="0" w:color="auto"/>
      </w:divBdr>
    </w:div>
    <w:div w:id="907686194">
      <w:bodyDiv w:val="1"/>
      <w:marLeft w:val="0"/>
      <w:marRight w:val="0"/>
      <w:marTop w:val="0"/>
      <w:marBottom w:val="0"/>
      <w:divBdr>
        <w:top w:val="none" w:sz="0" w:space="0" w:color="auto"/>
        <w:left w:val="none" w:sz="0" w:space="0" w:color="auto"/>
        <w:bottom w:val="none" w:sz="0" w:space="0" w:color="auto"/>
        <w:right w:val="none" w:sz="0" w:space="0" w:color="auto"/>
      </w:divBdr>
    </w:div>
    <w:div w:id="949121459">
      <w:bodyDiv w:val="1"/>
      <w:marLeft w:val="0"/>
      <w:marRight w:val="0"/>
      <w:marTop w:val="0"/>
      <w:marBottom w:val="0"/>
      <w:divBdr>
        <w:top w:val="none" w:sz="0" w:space="0" w:color="auto"/>
        <w:left w:val="none" w:sz="0" w:space="0" w:color="auto"/>
        <w:bottom w:val="none" w:sz="0" w:space="0" w:color="auto"/>
        <w:right w:val="none" w:sz="0" w:space="0" w:color="auto"/>
      </w:divBdr>
    </w:div>
    <w:div w:id="960453483">
      <w:bodyDiv w:val="1"/>
      <w:marLeft w:val="0"/>
      <w:marRight w:val="0"/>
      <w:marTop w:val="0"/>
      <w:marBottom w:val="0"/>
      <w:divBdr>
        <w:top w:val="none" w:sz="0" w:space="0" w:color="auto"/>
        <w:left w:val="none" w:sz="0" w:space="0" w:color="auto"/>
        <w:bottom w:val="none" w:sz="0" w:space="0" w:color="auto"/>
        <w:right w:val="none" w:sz="0" w:space="0" w:color="auto"/>
      </w:divBdr>
    </w:div>
    <w:div w:id="1042364170">
      <w:bodyDiv w:val="1"/>
      <w:marLeft w:val="0"/>
      <w:marRight w:val="0"/>
      <w:marTop w:val="0"/>
      <w:marBottom w:val="0"/>
      <w:divBdr>
        <w:top w:val="none" w:sz="0" w:space="0" w:color="auto"/>
        <w:left w:val="none" w:sz="0" w:space="0" w:color="auto"/>
        <w:bottom w:val="none" w:sz="0" w:space="0" w:color="auto"/>
        <w:right w:val="none" w:sz="0" w:space="0" w:color="auto"/>
      </w:divBdr>
    </w:div>
    <w:div w:id="1204101496">
      <w:bodyDiv w:val="1"/>
      <w:marLeft w:val="0"/>
      <w:marRight w:val="0"/>
      <w:marTop w:val="0"/>
      <w:marBottom w:val="0"/>
      <w:divBdr>
        <w:top w:val="none" w:sz="0" w:space="0" w:color="auto"/>
        <w:left w:val="none" w:sz="0" w:space="0" w:color="auto"/>
        <w:bottom w:val="none" w:sz="0" w:space="0" w:color="auto"/>
        <w:right w:val="none" w:sz="0" w:space="0" w:color="auto"/>
      </w:divBdr>
    </w:div>
    <w:div w:id="1208763477">
      <w:bodyDiv w:val="1"/>
      <w:marLeft w:val="0"/>
      <w:marRight w:val="0"/>
      <w:marTop w:val="0"/>
      <w:marBottom w:val="0"/>
      <w:divBdr>
        <w:top w:val="none" w:sz="0" w:space="0" w:color="auto"/>
        <w:left w:val="none" w:sz="0" w:space="0" w:color="auto"/>
        <w:bottom w:val="none" w:sz="0" w:space="0" w:color="auto"/>
        <w:right w:val="none" w:sz="0" w:space="0" w:color="auto"/>
      </w:divBdr>
    </w:div>
    <w:div w:id="1324317802">
      <w:bodyDiv w:val="1"/>
      <w:marLeft w:val="0"/>
      <w:marRight w:val="0"/>
      <w:marTop w:val="0"/>
      <w:marBottom w:val="0"/>
      <w:divBdr>
        <w:top w:val="none" w:sz="0" w:space="0" w:color="auto"/>
        <w:left w:val="none" w:sz="0" w:space="0" w:color="auto"/>
        <w:bottom w:val="none" w:sz="0" w:space="0" w:color="auto"/>
        <w:right w:val="none" w:sz="0" w:space="0" w:color="auto"/>
      </w:divBdr>
    </w:div>
    <w:div w:id="1407336879">
      <w:bodyDiv w:val="1"/>
      <w:marLeft w:val="0"/>
      <w:marRight w:val="0"/>
      <w:marTop w:val="0"/>
      <w:marBottom w:val="0"/>
      <w:divBdr>
        <w:top w:val="none" w:sz="0" w:space="0" w:color="auto"/>
        <w:left w:val="none" w:sz="0" w:space="0" w:color="auto"/>
        <w:bottom w:val="none" w:sz="0" w:space="0" w:color="auto"/>
        <w:right w:val="none" w:sz="0" w:space="0" w:color="auto"/>
      </w:divBdr>
    </w:div>
    <w:div w:id="1455636351">
      <w:bodyDiv w:val="1"/>
      <w:marLeft w:val="0"/>
      <w:marRight w:val="0"/>
      <w:marTop w:val="0"/>
      <w:marBottom w:val="0"/>
      <w:divBdr>
        <w:top w:val="none" w:sz="0" w:space="0" w:color="auto"/>
        <w:left w:val="none" w:sz="0" w:space="0" w:color="auto"/>
        <w:bottom w:val="none" w:sz="0" w:space="0" w:color="auto"/>
        <w:right w:val="none" w:sz="0" w:space="0" w:color="auto"/>
      </w:divBdr>
    </w:div>
    <w:div w:id="1548378052">
      <w:bodyDiv w:val="1"/>
      <w:marLeft w:val="0"/>
      <w:marRight w:val="0"/>
      <w:marTop w:val="0"/>
      <w:marBottom w:val="0"/>
      <w:divBdr>
        <w:top w:val="none" w:sz="0" w:space="0" w:color="auto"/>
        <w:left w:val="none" w:sz="0" w:space="0" w:color="auto"/>
        <w:bottom w:val="none" w:sz="0" w:space="0" w:color="auto"/>
        <w:right w:val="none" w:sz="0" w:space="0" w:color="auto"/>
      </w:divBdr>
    </w:div>
    <w:div w:id="1690520773">
      <w:bodyDiv w:val="1"/>
      <w:marLeft w:val="0"/>
      <w:marRight w:val="0"/>
      <w:marTop w:val="0"/>
      <w:marBottom w:val="0"/>
      <w:divBdr>
        <w:top w:val="none" w:sz="0" w:space="0" w:color="auto"/>
        <w:left w:val="none" w:sz="0" w:space="0" w:color="auto"/>
        <w:bottom w:val="none" w:sz="0" w:space="0" w:color="auto"/>
        <w:right w:val="none" w:sz="0" w:space="0" w:color="auto"/>
      </w:divBdr>
    </w:div>
    <w:div w:id="1760328843">
      <w:bodyDiv w:val="1"/>
      <w:marLeft w:val="0"/>
      <w:marRight w:val="0"/>
      <w:marTop w:val="0"/>
      <w:marBottom w:val="0"/>
      <w:divBdr>
        <w:top w:val="none" w:sz="0" w:space="0" w:color="auto"/>
        <w:left w:val="none" w:sz="0" w:space="0" w:color="auto"/>
        <w:bottom w:val="none" w:sz="0" w:space="0" w:color="auto"/>
        <w:right w:val="none" w:sz="0" w:space="0" w:color="auto"/>
      </w:divBdr>
    </w:div>
    <w:div w:id="1761870682">
      <w:bodyDiv w:val="1"/>
      <w:marLeft w:val="0"/>
      <w:marRight w:val="0"/>
      <w:marTop w:val="0"/>
      <w:marBottom w:val="0"/>
      <w:divBdr>
        <w:top w:val="none" w:sz="0" w:space="0" w:color="auto"/>
        <w:left w:val="none" w:sz="0" w:space="0" w:color="auto"/>
        <w:bottom w:val="none" w:sz="0" w:space="0" w:color="auto"/>
        <w:right w:val="none" w:sz="0" w:space="0" w:color="auto"/>
      </w:divBdr>
    </w:div>
    <w:div w:id="1791316691">
      <w:bodyDiv w:val="1"/>
      <w:marLeft w:val="0"/>
      <w:marRight w:val="0"/>
      <w:marTop w:val="0"/>
      <w:marBottom w:val="0"/>
      <w:divBdr>
        <w:top w:val="none" w:sz="0" w:space="0" w:color="auto"/>
        <w:left w:val="none" w:sz="0" w:space="0" w:color="auto"/>
        <w:bottom w:val="none" w:sz="0" w:space="0" w:color="auto"/>
        <w:right w:val="none" w:sz="0" w:space="0" w:color="auto"/>
      </w:divBdr>
    </w:div>
    <w:div w:id="1827237791">
      <w:bodyDiv w:val="1"/>
      <w:marLeft w:val="0"/>
      <w:marRight w:val="0"/>
      <w:marTop w:val="0"/>
      <w:marBottom w:val="0"/>
      <w:divBdr>
        <w:top w:val="none" w:sz="0" w:space="0" w:color="auto"/>
        <w:left w:val="none" w:sz="0" w:space="0" w:color="auto"/>
        <w:bottom w:val="none" w:sz="0" w:space="0" w:color="auto"/>
        <w:right w:val="none" w:sz="0" w:space="0" w:color="auto"/>
      </w:divBdr>
    </w:div>
    <w:div w:id="1857959755">
      <w:bodyDiv w:val="1"/>
      <w:marLeft w:val="0"/>
      <w:marRight w:val="0"/>
      <w:marTop w:val="0"/>
      <w:marBottom w:val="0"/>
      <w:divBdr>
        <w:top w:val="none" w:sz="0" w:space="0" w:color="auto"/>
        <w:left w:val="none" w:sz="0" w:space="0" w:color="auto"/>
        <w:bottom w:val="none" w:sz="0" w:space="0" w:color="auto"/>
        <w:right w:val="none" w:sz="0" w:space="0" w:color="auto"/>
      </w:divBdr>
    </w:div>
    <w:div w:id="1885675827">
      <w:bodyDiv w:val="1"/>
      <w:marLeft w:val="0"/>
      <w:marRight w:val="0"/>
      <w:marTop w:val="0"/>
      <w:marBottom w:val="0"/>
      <w:divBdr>
        <w:top w:val="none" w:sz="0" w:space="0" w:color="auto"/>
        <w:left w:val="none" w:sz="0" w:space="0" w:color="auto"/>
        <w:bottom w:val="none" w:sz="0" w:space="0" w:color="auto"/>
        <w:right w:val="none" w:sz="0" w:space="0" w:color="auto"/>
      </w:divBdr>
    </w:div>
    <w:div w:id="1989166704">
      <w:bodyDiv w:val="1"/>
      <w:marLeft w:val="0"/>
      <w:marRight w:val="0"/>
      <w:marTop w:val="0"/>
      <w:marBottom w:val="0"/>
      <w:divBdr>
        <w:top w:val="none" w:sz="0" w:space="0" w:color="auto"/>
        <w:left w:val="none" w:sz="0" w:space="0" w:color="auto"/>
        <w:bottom w:val="none" w:sz="0" w:space="0" w:color="auto"/>
        <w:right w:val="none" w:sz="0" w:space="0" w:color="auto"/>
      </w:divBdr>
    </w:div>
    <w:div w:id="20238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Monthly%20PDW%20report%20v1%20-%20Sept%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Marais\AppData\Local\Microsoft\Windows\Temporary%20Internet%20Files\Content.IE5\L7MSE105\WoF%20Financial%20Report%20to%20Portfolio%20Committee%20(V11%204%20Nov%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amp;%20High%20Level%20Key%20Indicator%20Report%20to%20Portfolio%20Committee%20%20(V2%2024%20October%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Marais\Documents\Werk%20Files\WoFire\Portfolio%20Committee%20Response\WoF%20Financial%20Report%20to%20Portfolio%20Committee%20(V9%2027%20Oct%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SUMMARY!$AE$44</c:f>
              <c:strCache>
                <c:ptCount val="1"/>
                <c:pt idx="0">
                  <c:v>% of Person Days</c:v>
                </c:pt>
              </c:strCache>
            </c:strRef>
          </c:tx>
          <c:invertIfNegative val="0"/>
          <c:cat>
            <c:strRef>
              <c:f>SUMMARY!$AD$45:$AD$52</c:f>
              <c:strCache>
                <c:ptCount val="8"/>
                <c:pt idx="0">
                  <c:v>Limpopo</c:v>
                </c:pt>
                <c:pt idx="1">
                  <c:v>Mpumalanga</c:v>
                </c:pt>
                <c:pt idx="2">
                  <c:v>Gauteng</c:v>
                </c:pt>
                <c:pt idx="3">
                  <c:v>North West</c:v>
                </c:pt>
                <c:pt idx="4">
                  <c:v>Freestate &amp; Northern Cape</c:v>
                </c:pt>
                <c:pt idx="5">
                  <c:v>KwaZulu-Natal</c:v>
                </c:pt>
                <c:pt idx="6">
                  <c:v>Eastern Cape</c:v>
                </c:pt>
                <c:pt idx="7">
                  <c:v>Western Cape</c:v>
                </c:pt>
              </c:strCache>
            </c:strRef>
          </c:cat>
          <c:val>
            <c:numRef>
              <c:f>SUMMARY!$AE$45:$AE$52</c:f>
              <c:numCache>
                <c:formatCode>0.0%</c:formatCode>
                <c:ptCount val="8"/>
                <c:pt idx="0">
                  <c:v>0.13796981817642223</c:v>
                </c:pt>
                <c:pt idx="1">
                  <c:v>0.13568198797284653</c:v>
                </c:pt>
                <c:pt idx="2">
                  <c:v>8.5324528866830049E-2</c:v>
                </c:pt>
                <c:pt idx="3">
                  <c:v>7.5349615519259047E-2</c:v>
                </c:pt>
                <c:pt idx="4">
                  <c:v>0.13534318939748169</c:v>
                </c:pt>
                <c:pt idx="5">
                  <c:v>0.15529931582700762</c:v>
                </c:pt>
                <c:pt idx="6">
                  <c:v>0.12981183535477542</c:v>
                </c:pt>
                <c:pt idx="7">
                  <c:v>0.14521970888537739</c:v>
                </c:pt>
              </c:numCache>
            </c:numRef>
          </c:val>
        </c:ser>
        <c:dLbls>
          <c:showLegendKey val="0"/>
          <c:showVal val="1"/>
          <c:showCatName val="0"/>
          <c:showSerName val="0"/>
          <c:showPercent val="0"/>
          <c:showBubbleSize val="0"/>
        </c:dLbls>
        <c:gapWidth val="75"/>
        <c:axId val="123297152"/>
        <c:axId val="132958080"/>
      </c:barChart>
      <c:catAx>
        <c:axId val="123297152"/>
        <c:scaling>
          <c:orientation val="minMax"/>
        </c:scaling>
        <c:delete val="0"/>
        <c:axPos val="b"/>
        <c:majorTickMark val="none"/>
        <c:minorTickMark val="none"/>
        <c:tickLblPos val="nextTo"/>
        <c:crossAx val="132958080"/>
        <c:crosses val="autoZero"/>
        <c:auto val="1"/>
        <c:lblAlgn val="ctr"/>
        <c:lblOffset val="100"/>
        <c:noMultiLvlLbl val="0"/>
      </c:catAx>
      <c:valAx>
        <c:axId val="132958080"/>
        <c:scaling>
          <c:orientation val="minMax"/>
        </c:scaling>
        <c:delete val="0"/>
        <c:axPos val="l"/>
        <c:numFmt formatCode="0.0%" sourceLinked="1"/>
        <c:majorTickMark val="none"/>
        <c:minorTickMark val="none"/>
        <c:tickLblPos val="nextTo"/>
        <c:crossAx val="123297152"/>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98613613737154"/>
          <c:y val="0.13675194754010381"/>
          <c:w val="0.71459646697767798"/>
          <c:h val="0.70454009542736873"/>
        </c:manualLayout>
      </c:layout>
      <c:barChart>
        <c:barDir val="col"/>
        <c:grouping val="clustered"/>
        <c:varyColors val="0"/>
        <c:ser>
          <c:idx val="0"/>
          <c:order val="0"/>
          <c:tx>
            <c:strRef>
              <c:f>'Key Operational Indicators'!$B$54</c:f>
              <c:strCache>
                <c:ptCount val="1"/>
                <c:pt idx="0">
                  <c:v>Planned</c:v>
                </c:pt>
              </c:strCache>
            </c:strRef>
          </c:tx>
          <c:invertIfNegative val="0"/>
          <c:cat>
            <c:strRef>
              <c:f>'Key Operational Indicators'!$A$55:$A$58</c:f>
              <c:strCache>
                <c:ptCount val="4"/>
                <c:pt idx="0">
                  <c:v>2013/14</c:v>
                </c:pt>
                <c:pt idx="1">
                  <c:v>2014/15</c:v>
                </c:pt>
                <c:pt idx="2">
                  <c:v>2015/16</c:v>
                </c:pt>
                <c:pt idx="3">
                  <c:v>2016/17 up to September</c:v>
                </c:pt>
              </c:strCache>
            </c:strRef>
          </c:cat>
          <c:val>
            <c:numRef>
              <c:f>'Key Operational Indicators'!$B$55:$B$58</c:f>
              <c:numCache>
                <c:formatCode>#,##0</c:formatCode>
                <c:ptCount val="4"/>
                <c:pt idx="0">
                  <c:v>15487.17</c:v>
                </c:pt>
                <c:pt idx="1">
                  <c:v>31305</c:v>
                </c:pt>
                <c:pt idx="2">
                  <c:v>37820.000000000007</c:v>
                </c:pt>
                <c:pt idx="3">
                  <c:v>27331.049225612285</c:v>
                </c:pt>
              </c:numCache>
            </c:numRef>
          </c:val>
        </c:ser>
        <c:ser>
          <c:idx val="1"/>
          <c:order val="1"/>
          <c:tx>
            <c:strRef>
              <c:f>'Key Operational Indicators'!$C$54</c:f>
              <c:strCache>
                <c:ptCount val="1"/>
                <c:pt idx="0">
                  <c:v>Actual</c:v>
                </c:pt>
              </c:strCache>
            </c:strRef>
          </c:tx>
          <c:invertIfNegative val="0"/>
          <c:cat>
            <c:strRef>
              <c:f>'Key Operational Indicators'!$A$55:$A$58</c:f>
              <c:strCache>
                <c:ptCount val="4"/>
                <c:pt idx="0">
                  <c:v>2013/14</c:v>
                </c:pt>
                <c:pt idx="1">
                  <c:v>2014/15</c:v>
                </c:pt>
                <c:pt idx="2">
                  <c:v>2015/16</c:v>
                </c:pt>
                <c:pt idx="3">
                  <c:v>2016/17 up to September</c:v>
                </c:pt>
              </c:strCache>
            </c:strRef>
          </c:cat>
          <c:val>
            <c:numRef>
              <c:f>'Key Operational Indicators'!$C$55:$C$58</c:f>
              <c:numCache>
                <c:formatCode>#,##0</c:formatCode>
                <c:ptCount val="4"/>
                <c:pt idx="0">
                  <c:v>26830.28225</c:v>
                </c:pt>
                <c:pt idx="1">
                  <c:v>40533.310999999994</c:v>
                </c:pt>
                <c:pt idx="2">
                  <c:v>36258.609999999993</c:v>
                </c:pt>
                <c:pt idx="3">
                  <c:v>34115.519999999997</c:v>
                </c:pt>
              </c:numCache>
            </c:numRef>
          </c:val>
        </c:ser>
        <c:dLbls>
          <c:showLegendKey val="0"/>
          <c:showVal val="0"/>
          <c:showCatName val="0"/>
          <c:showSerName val="0"/>
          <c:showPercent val="0"/>
          <c:showBubbleSize val="0"/>
        </c:dLbls>
        <c:gapWidth val="150"/>
        <c:axId val="193396096"/>
        <c:axId val="197350528"/>
      </c:barChart>
      <c:catAx>
        <c:axId val="193396096"/>
        <c:scaling>
          <c:orientation val="minMax"/>
        </c:scaling>
        <c:delete val="0"/>
        <c:axPos val="b"/>
        <c:numFmt formatCode="General" sourceLinked="0"/>
        <c:majorTickMark val="out"/>
        <c:minorTickMark val="none"/>
        <c:tickLblPos val="nextTo"/>
        <c:crossAx val="197350528"/>
        <c:crosses val="autoZero"/>
        <c:auto val="1"/>
        <c:lblAlgn val="ctr"/>
        <c:lblOffset val="100"/>
        <c:noMultiLvlLbl val="0"/>
      </c:catAx>
      <c:valAx>
        <c:axId val="197350528"/>
        <c:scaling>
          <c:orientation val="minMax"/>
        </c:scaling>
        <c:delete val="0"/>
        <c:axPos val="l"/>
        <c:majorGridlines/>
        <c:title>
          <c:tx>
            <c:rich>
              <a:bodyPr rot="-5400000" vert="horz"/>
              <a:lstStyle/>
              <a:p>
                <a:pPr>
                  <a:defRPr/>
                </a:pPr>
                <a:r>
                  <a:rPr lang="en-US"/>
                  <a:t>Hectares</a:t>
                </a:r>
              </a:p>
            </c:rich>
          </c:tx>
          <c:overlay val="0"/>
        </c:title>
        <c:numFmt formatCode="#,##0" sourceLinked="1"/>
        <c:majorTickMark val="out"/>
        <c:minorTickMark val="none"/>
        <c:tickLblPos val="nextTo"/>
        <c:crossAx val="193396096"/>
        <c:crosses val="autoZero"/>
        <c:crossBetween val="between"/>
      </c:valAx>
    </c:plotArea>
    <c:legend>
      <c:legendPos val="r"/>
      <c:layout>
        <c:manualLayout>
          <c:xMode val="edge"/>
          <c:yMode val="edge"/>
          <c:x val="0.76180830844420311"/>
          <c:y val="9.7637795275590644E-3"/>
          <c:w val="0.23401196323813755"/>
          <c:h val="0.1540610299111971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'Key Operational Indicators'!$B$47</c:f>
              <c:strCache>
                <c:ptCount val="1"/>
                <c:pt idx="0">
                  <c:v>Planned</c:v>
                </c:pt>
              </c:strCache>
            </c:strRef>
          </c:tx>
          <c:invertIfNegative val="0"/>
          <c:cat>
            <c:strRef>
              <c:f>'Key Operational Indicators'!$A$48:$A$51</c:f>
              <c:strCache>
                <c:ptCount val="4"/>
                <c:pt idx="0">
                  <c:v>2013/14</c:v>
                </c:pt>
                <c:pt idx="1">
                  <c:v>2014/15</c:v>
                </c:pt>
                <c:pt idx="2">
                  <c:v>2015/16</c:v>
                </c:pt>
                <c:pt idx="3">
                  <c:v>2016/17 up to September</c:v>
                </c:pt>
              </c:strCache>
            </c:strRef>
          </c:cat>
          <c:val>
            <c:numRef>
              <c:f>'Key Operational Indicators'!$B$48:$B$51</c:f>
              <c:numCache>
                <c:formatCode>#,##0</c:formatCode>
                <c:ptCount val="4"/>
                <c:pt idx="0">
                  <c:v>16884.2</c:v>
                </c:pt>
                <c:pt idx="1">
                  <c:v>6576</c:v>
                </c:pt>
                <c:pt idx="2">
                  <c:v>9137.9774952336611</c:v>
                </c:pt>
                <c:pt idx="3">
                  <c:v>16474.015194909261</c:v>
                </c:pt>
              </c:numCache>
            </c:numRef>
          </c:val>
        </c:ser>
        <c:ser>
          <c:idx val="1"/>
          <c:order val="1"/>
          <c:tx>
            <c:strRef>
              <c:f>'Key Operational Indicators'!$C$47</c:f>
              <c:strCache>
                <c:ptCount val="1"/>
                <c:pt idx="0">
                  <c:v>Actual</c:v>
                </c:pt>
              </c:strCache>
            </c:strRef>
          </c:tx>
          <c:invertIfNegative val="0"/>
          <c:cat>
            <c:strRef>
              <c:f>'Key Operational Indicators'!$A$48:$A$51</c:f>
              <c:strCache>
                <c:ptCount val="4"/>
                <c:pt idx="0">
                  <c:v>2013/14</c:v>
                </c:pt>
                <c:pt idx="1">
                  <c:v>2014/15</c:v>
                </c:pt>
                <c:pt idx="2">
                  <c:v>2015/16</c:v>
                </c:pt>
                <c:pt idx="3">
                  <c:v>2016/17 up to September</c:v>
                </c:pt>
              </c:strCache>
            </c:strRef>
          </c:cat>
          <c:val>
            <c:numRef>
              <c:f>'Key Operational Indicators'!$C$48:$C$51</c:f>
              <c:numCache>
                <c:formatCode>#,##0</c:formatCode>
                <c:ptCount val="4"/>
                <c:pt idx="0">
                  <c:v>5350.39</c:v>
                </c:pt>
                <c:pt idx="1">
                  <c:v>6307.6399999999994</c:v>
                </c:pt>
                <c:pt idx="2">
                  <c:v>11375.1</c:v>
                </c:pt>
                <c:pt idx="3">
                  <c:v>10359.320000000002</c:v>
                </c:pt>
              </c:numCache>
            </c:numRef>
          </c:val>
        </c:ser>
        <c:dLbls>
          <c:showLegendKey val="0"/>
          <c:showVal val="0"/>
          <c:showCatName val="0"/>
          <c:showSerName val="0"/>
          <c:showPercent val="0"/>
          <c:showBubbleSize val="0"/>
        </c:dLbls>
        <c:gapWidth val="150"/>
        <c:axId val="197375872"/>
        <c:axId val="197377408"/>
      </c:barChart>
      <c:catAx>
        <c:axId val="197375872"/>
        <c:scaling>
          <c:orientation val="minMax"/>
        </c:scaling>
        <c:delete val="0"/>
        <c:axPos val="b"/>
        <c:numFmt formatCode="General" sourceLinked="0"/>
        <c:majorTickMark val="none"/>
        <c:minorTickMark val="none"/>
        <c:tickLblPos val="nextTo"/>
        <c:crossAx val="197377408"/>
        <c:crosses val="autoZero"/>
        <c:auto val="1"/>
        <c:lblAlgn val="ctr"/>
        <c:lblOffset val="100"/>
        <c:noMultiLvlLbl val="0"/>
      </c:catAx>
      <c:valAx>
        <c:axId val="197377408"/>
        <c:scaling>
          <c:orientation val="minMax"/>
        </c:scaling>
        <c:delete val="0"/>
        <c:axPos val="l"/>
        <c:majorGridlines/>
        <c:title>
          <c:tx>
            <c:rich>
              <a:bodyPr rot="-5400000" vert="horz"/>
              <a:lstStyle/>
              <a:p>
                <a:pPr>
                  <a:defRPr/>
                </a:pPr>
                <a:r>
                  <a:rPr lang="en-US"/>
                  <a:t>Hectares</a:t>
                </a:r>
              </a:p>
            </c:rich>
          </c:tx>
          <c:overlay val="0"/>
        </c:title>
        <c:numFmt formatCode="#,##0" sourceLinked="1"/>
        <c:majorTickMark val="none"/>
        <c:minorTickMark val="none"/>
        <c:tickLblPos val="nextTo"/>
        <c:crossAx val="197375872"/>
        <c:crosses val="autoZero"/>
        <c:crossBetween val="between"/>
      </c:valAx>
    </c:plotArea>
    <c:legend>
      <c:legendPos val="r"/>
      <c:layout>
        <c:manualLayout>
          <c:xMode val="edge"/>
          <c:yMode val="edge"/>
          <c:x val="0.77195495197625963"/>
          <c:y val="1.0742439803720203E-2"/>
          <c:w val="0.2259714347526155"/>
          <c:h val="0.139771311194796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63406504764126"/>
          <c:y val="0.12448513703228957"/>
          <c:w val="0.75573468293062429"/>
          <c:h val="0.71047967841229154"/>
        </c:manualLayout>
      </c:layout>
      <c:barChart>
        <c:barDir val="col"/>
        <c:grouping val="clustered"/>
        <c:varyColors val="0"/>
        <c:ser>
          <c:idx val="0"/>
          <c:order val="0"/>
          <c:tx>
            <c:strRef>
              <c:f>'Key Operational Indicators'!$B$61</c:f>
              <c:strCache>
                <c:ptCount val="1"/>
                <c:pt idx="0">
                  <c:v>Planned</c:v>
                </c:pt>
              </c:strCache>
            </c:strRef>
          </c:tx>
          <c:invertIfNegative val="0"/>
          <c:cat>
            <c:strRef>
              <c:f>'Key Operational Indicators'!$A$62:$A$65</c:f>
              <c:strCache>
                <c:ptCount val="4"/>
                <c:pt idx="0">
                  <c:v>2013/14</c:v>
                </c:pt>
                <c:pt idx="1">
                  <c:v>2014/15</c:v>
                </c:pt>
                <c:pt idx="2">
                  <c:v>2015/16</c:v>
                </c:pt>
                <c:pt idx="3">
                  <c:v>2016/17 up to September</c:v>
                </c:pt>
              </c:strCache>
            </c:strRef>
          </c:cat>
          <c:val>
            <c:numRef>
              <c:f>'Key Operational Indicators'!$B$62:$B$65</c:f>
              <c:numCache>
                <c:formatCode>#,##0</c:formatCode>
                <c:ptCount val="4"/>
                <c:pt idx="0">
                  <c:v>30849</c:v>
                </c:pt>
                <c:pt idx="1">
                  <c:v>53361.040816326531</c:v>
                </c:pt>
                <c:pt idx="2">
                  <c:v>53535</c:v>
                </c:pt>
                <c:pt idx="3">
                  <c:v>53172.989491504894</c:v>
                </c:pt>
              </c:numCache>
            </c:numRef>
          </c:val>
        </c:ser>
        <c:ser>
          <c:idx val="1"/>
          <c:order val="1"/>
          <c:tx>
            <c:strRef>
              <c:f>'Key Operational Indicators'!$C$61</c:f>
              <c:strCache>
                <c:ptCount val="1"/>
                <c:pt idx="0">
                  <c:v>Actual</c:v>
                </c:pt>
              </c:strCache>
            </c:strRef>
          </c:tx>
          <c:invertIfNegative val="0"/>
          <c:cat>
            <c:strRef>
              <c:f>'Key Operational Indicators'!$A$62:$A$65</c:f>
              <c:strCache>
                <c:ptCount val="4"/>
                <c:pt idx="0">
                  <c:v>2013/14</c:v>
                </c:pt>
                <c:pt idx="1">
                  <c:v>2014/15</c:v>
                </c:pt>
                <c:pt idx="2">
                  <c:v>2015/16</c:v>
                </c:pt>
                <c:pt idx="3">
                  <c:v>2016/17 up to September</c:v>
                </c:pt>
              </c:strCache>
            </c:strRef>
          </c:cat>
          <c:val>
            <c:numRef>
              <c:f>'Key Operational Indicators'!$C$62:$C$65</c:f>
              <c:numCache>
                <c:formatCode>#,##0</c:formatCode>
                <c:ptCount val="4"/>
                <c:pt idx="0">
                  <c:v>38595.919999999998</c:v>
                </c:pt>
                <c:pt idx="1">
                  <c:v>58735.82</c:v>
                </c:pt>
                <c:pt idx="2">
                  <c:v>86899</c:v>
                </c:pt>
                <c:pt idx="3">
                  <c:v>18034.629999999997</c:v>
                </c:pt>
              </c:numCache>
            </c:numRef>
          </c:val>
        </c:ser>
        <c:dLbls>
          <c:showLegendKey val="0"/>
          <c:showVal val="0"/>
          <c:showCatName val="0"/>
          <c:showSerName val="0"/>
          <c:showPercent val="0"/>
          <c:showBubbleSize val="0"/>
        </c:dLbls>
        <c:gapWidth val="150"/>
        <c:axId val="196739456"/>
        <c:axId val="196740992"/>
      </c:barChart>
      <c:catAx>
        <c:axId val="196739456"/>
        <c:scaling>
          <c:orientation val="minMax"/>
        </c:scaling>
        <c:delete val="0"/>
        <c:axPos val="b"/>
        <c:numFmt formatCode="General" sourceLinked="0"/>
        <c:majorTickMark val="out"/>
        <c:minorTickMark val="none"/>
        <c:tickLblPos val="nextTo"/>
        <c:crossAx val="196740992"/>
        <c:crosses val="autoZero"/>
        <c:auto val="1"/>
        <c:lblAlgn val="ctr"/>
        <c:lblOffset val="100"/>
        <c:noMultiLvlLbl val="0"/>
      </c:catAx>
      <c:valAx>
        <c:axId val="196740992"/>
        <c:scaling>
          <c:orientation val="minMax"/>
        </c:scaling>
        <c:delete val="0"/>
        <c:axPos val="l"/>
        <c:majorGridlines/>
        <c:title>
          <c:tx>
            <c:rich>
              <a:bodyPr rot="-5400000" vert="horz"/>
              <a:lstStyle/>
              <a:p>
                <a:pPr>
                  <a:defRPr/>
                </a:pPr>
                <a:r>
                  <a:rPr lang="en-US"/>
                  <a:t>Hectares</a:t>
                </a:r>
              </a:p>
            </c:rich>
          </c:tx>
          <c:overlay val="0"/>
        </c:title>
        <c:numFmt formatCode="#,##0" sourceLinked="1"/>
        <c:majorTickMark val="out"/>
        <c:minorTickMark val="none"/>
        <c:tickLblPos val="nextTo"/>
        <c:crossAx val="196739456"/>
        <c:crosses val="autoZero"/>
        <c:crossBetween val="between"/>
      </c:valAx>
    </c:plotArea>
    <c:legend>
      <c:legendPos val="r"/>
      <c:layout>
        <c:manualLayout>
          <c:xMode val="edge"/>
          <c:yMode val="edge"/>
          <c:x val="0.74004217491534308"/>
          <c:y val="3.5085149240066029E-3"/>
          <c:w val="0.25371757547467255"/>
          <c:h val="0.1602029978810788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'Financial Graph info'!$A$2</c:f>
              <c:strCache>
                <c:ptCount val="1"/>
                <c:pt idx="0">
                  <c:v>DEA Funding</c:v>
                </c:pt>
              </c:strCache>
            </c:strRef>
          </c:tx>
          <c:invertIfNegative val="0"/>
          <c:cat>
            <c:strRef>
              <c:f>'Financial Graph info'!$B$1:$F$1</c:f>
              <c:strCache>
                <c:ptCount val="5"/>
                <c:pt idx="0">
                  <c:v>2013/14</c:v>
                </c:pt>
                <c:pt idx="1">
                  <c:v>2014/15</c:v>
                </c:pt>
                <c:pt idx="2">
                  <c:v>2015/16</c:v>
                </c:pt>
                <c:pt idx="3">
                  <c:v>2016/17 
Forecast</c:v>
                </c:pt>
                <c:pt idx="4">
                  <c:v>2016/17 
YTD</c:v>
                </c:pt>
              </c:strCache>
            </c:strRef>
          </c:cat>
          <c:val>
            <c:numRef>
              <c:f>'Financial Graph info'!$B$2:$F$2</c:f>
              <c:numCache>
                <c:formatCode>"R"\ #,##0</c:formatCode>
                <c:ptCount val="5"/>
                <c:pt idx="0">
                  <c:v>420055719</c:v>
                </c:pt>
                <c:pt idx="1">
                  <c:v>513201747.99999994</c:v>
                </c:pt>
                <c:pt idx="2">
                  <c:v>556803876.24000001</c:v>
                </c:pt>
                <c:pt idx="3">
                  <c:v>558870873</c:v>
                </c:pt>
                <c:pt idx="4">
                  <c:v>354735063.01380002</c:v>
                </c:pt>
              </c:numCache>
            </c:numRef>
          </c:val>
        </c:ser>
        <c:ser>
          <c:idx val="1"/>
          <c:order val="1"/>
          <c:tx>
            <c:strRef>
              <c:f>'Financial Graph info'!$A$3</c:f>
              <c:strCache>
                <c:ptCount val="1"/>
                <c:pt idx="0">
                  <c:v>Other sources</c:v>
                </c:pt>
              </c:strCache>
            </c:strRef>
          </c:tx>
          <c:invertIfNegative val="0"/>
          <c:cat>
            <c:strRef>
              <c:f>'Financial Graph info'!$B$1:$F$1</c:f>
              <c:strCache>
                <c:ptCount val="5"/>
                <c:pt idx="0">
                  <c:v>2013/14</c:v>
                </c:pt>
                <c:pt idx="1">
                  <c:v>2014/15</c:v>
                </c:pt>
                <c:pt idx="2">
                  <c:v>2015/16</c:v>
                </c:pt>
                <c:pt idx="3">
                  <c:v>2016/17 
Forecast</c:v>
                </c:pt>
                <c:pt idx="4">
                  <c:v>2016/17 
YTD</c:v>
                </c:pt>
              </c:strCache>
            </c:strRef>
          </c:cat>
          <c:val>
            <c:numRef>
              <c:f>'Financial Graph info'!$B$3:$F$3</c:f>
              <c:numCache>
                <c:formatCode>"R"\ #,##0</c:formatCode>
                <c:ptCount val="5"/>
                <c:pt idx="0">
                  <c:v>7000001</c:v>
                </c:pt>
                <c:pt idx="1">
                  <c:v>52980745.278400004</c:v>
                </c:pt>
                <c:pt idx="2">
                  <c:v>60268820.126399994</c:v>
                </c:pt>
                <c:pt idx="3">
                  <c:v>124040736.1358099</c:v>
                </c:pt>
                <c:pt idx="4">
                  <c:v>70662753.774999976</c:v>
                </c:pt>
              </c:numCache>
            </c:numRef>
          </c:val>
        </c:ser>
        <c:dLbls>
          <c:showLegendKey val="0"/>
          <c:showVal val="0"/>
          <c:showCatName val="0"/>
          <c:showSerName val="0"/>
          <c:showPercent val="0"/>
          <c:showBubbleSize val="0"/>
        </c:dLbls>
        <c:gapWidth val="150"/>
        <c:axId val="193417216"/>
        <c:axId val="193418752"/>
      </c:barChart>
      <c:catAx>
        <c:axId val="193417216"/>
        <c:scaling>
          <c:orientation val="minMax"/>
        </c:scaling>
        <c:delete val="0"/>
        <c:axPos val="b"/>
        <c:numFmt formatCode="General" sourceLinked="0"/>
        <c:majorTickMark val="none"/>
        <c:minorTickMark val="none"/>
        <c:tickLblPos val="nextTo"/>
        <c:crossAx val="193418752"/>
        <c:crosses val="autoZero"/>
        <c:auto val="1"/>
        <c:lblAlgn val="ctr"/>
        <c:lblOffset val="100"/>
        <c:noMultiLvlLbl val="0"/>
      </c:catAx>
      <c:valAx>
        <c:axId val="193418752"/>
        <c:scaling>
          <c:orientation val="minMax"/>
        </c:scaling>
        <c:delete val="0"/>
        <c:axPos val="l"/>
        <c:majorGridlines/>
        <c:numFmt formatCode="&quot;R&quot;\ #,##0" sourceLinked="1"/>
        <c:majorTickMark val="none"/>
        <c:minorTickMark val="none"/>
        <c:tickLblPos val="nextTo"/>
        <c:crossAx val="193417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a:t>Expense analysis per Expense</a:t>
            </a:r>
            <a:r>
              <a:rPr lang="en-ZA" baseline="0"/>
              <a:t> Category</a:t>
            </a:r>
            <a:endParaRPr lang="en-ZA"/>
          </a:p>
        </c:rich>
      </c:tx>
      <c:overlay val="0"/>
    </c:title>
    <c:autoTitleDeleted val="0"/>
    <c:plotArea>
      <c:layout/>
      <c:barChart>
        <c:barDir val="col"/>
        <c:grouping val="clustered"/>
        <c:varyColors val="0"/>
        <c:ser>
          <c:idx val="0"/>
          <c:order val="0"/>
          <c:tx>
            <c:strRef>
              <c:f>'[WoF Financial Report to Portfolio Committee (V11 4 Nov 2016).xlsx]Financial Graph info'!$A$6</c:f>
              <c:strCache>
                <c:ptCount val="1"/>
                <c:pt idx="0">
                  <c:v>Direct Employee Cost</c:v>
                </c:pt>
              </c:strCache>
            </c:strRef>
          </c:tx>
          <c:invertIfNegative val="0"/>
          <c:cat>
            <c:strRef>
              <c:f>'[WoF Financial Report to Portfolio Committee (V11 4 Nov 2016).xlsx]Financial Graph info'!$B$5:$F$5</c:f>
              <c:strCache>
                <c:ptCount val="5"/>
                <c:pt idx="0">
                  <c:v>2013/14</c:v>
                </c:pt>
                <c:pt idx="1">
                  <c:v>2014/15</c:v>
                </c:pt>
                <c:pt idx="2">
                  <c:v>2015/16</c:v>
                </c:pt>
                <c:pt idx="3">
                  <c:v>2016/17 
Forecast</c:v>
                </c:pt>
                <c:pt idx="4">
                  <c:v>2016/17 
YTD</c:v>
                </c:pt>
              </c:strCache>
            </c:strRef>
          </c:cat>
          <c:val>
            <c:numRef>
              <c:f>'[WoF Financial Report to Portfolio Committee (V11 4 Nov 2016).xlsx]Financial Graph info'!$B$6:$F$6</c:f>
              <c:numCache>
                <c:formatCode>0.0%</c:formatCode>
                <c:ptCount val="5"/>
                <c:pt idx="0">
                  <c:v>0.57712898083408792</c:v>
                </c:pt>
                <c:pt idx="1">
                  <c:v>0.52845760518039242</c:v>
                </c:pt>
                <c:pt idx="2">
                  <c:v>0.54618170514117337</c:v>
                </c:pt>
                <c:pt idx="3">
                  <c:v>0.52041892689583769</c:v>
                </c:pt>
                <c:pt idx="4">
                  <c:v>0.47304297140865692</c:v>
                </c:pt>
              </c:numCache>
            </c:numRef>
          </c:val>
        </c:ser>
        <c:ser>
          <c:idx val="1"/>
          <c:order val="1"/>
          <c:tx>
            <c:strRef>
              <c:f>'[WoF Financial Report to Portfolio Committee (V11 4 Nov 2016).xlsx]Financial Graph info'!$A$7</c:f>
              <c:strCache>
                <c:ptCount val="1"/>
                <c:pt idx="0">
                  <c:v>Indirect Employee Cost</c:v>
                </c:pt>
              </c:strCache>
            </c:strRef>
          </c:tx>
          <c:invertIfNegative val="0"/>
          <c:cat>
            <c:strRef>
              <c:f>'[WoF Financial Report to Portfolio Committee (V11 4 Nov 2016).xlsx]Financial Graph info'!$B$5:$F$5</c:f>
              <c:strCache>
                <c:ptCount val="5"/>
                <c:pt idx="0">
                  <c:v>2013/14</c:v>
                </c:pt>
                <c:pt idx="1">
                  <c:v>2014/15</c:v>
                </c:pt>
                <c:pt idx="2">
                  <c:v>2015/16</c:v>
                </c:pt>
                <c:pt idx="3">
                  <c:v>2016/17 
Forecast</c:v>
                </c:pt>
                <c:pt idx="4">
                  <c:v>2016/17 
YTD</c:v>
                </c:pt>
              </c:strCache>
            </c:strRef>
          </c:cat>
          <c:val>
            <c:numRef>
              <c:f>'[WoF Financial Report to Portfolio Committee (V11 4 Nov 2016).xlsx]Financial Graph info'!$B$7:$F$7</c:f>
              <c:numCache>
                <c:formatCode>0.0%</c:formatCode>
                <c:ptCount val="5"/>
                <c:pt idx="0">
                  <c:v>0.16416610197372411</c:v>
                </c:pt>
                <c:pt idx="1">
                  <c:v>0.20816574232565083</c:v>
                </c:pt>
                <c:pt idx="2">
                  <c:v>0.20559362110613147</c:v>
                </c:pt>
                <c:pt idx="3">
                  <c:v>0.22514536376634536</c:v>
                </c:pt>
                <c:pt idx="4">
                  <c:v>0.24676129550268927</c:v>
                </c:pt>
              </c:numCache>
            </c:numRef>
          </c:val>
        </c:ser>
        <c:ser>
          <c:idx val="2"/>
          <c:order val="2"/>
          <c:tx>
            <c:strRef>
              <c:f>'[WoF Financial Report to Portfolio Committee (V11 4 Nov 2016).xlsx]Financial Graph info'!$A$8</c:f>
              <c:strCache>
                <c:ptCount val="1"/>
                <c:pt idx="0">
                  <c:v>Other Overhead Cost</c:v>
                </c:pt>
              </c:strCache>
            </c:strRef>
          </c:tx>
          <c:invertIfNegative val="0"/>
          <c:cat>
            <c:strRef>
              <c:f>'[WoF Financial Report to Portfolio Committee (V11 4 Nov 2016).xlsx]Financial Graph info'!$B$5:$F$5</c:f>
              <c:strCache>
                <c:ptCount val="5"/>
                <c:pt idx="0">
                  <c:v>2013/14</c:v>
                </c:pt>
                <c:pt idx="1">
                  <c:v>2014/15</c:v>
                </c:pt>
                <c:pt idx="2">
                  <c:v>2015/16</c:v>
                </c:pt>
                <c:pt idx="3">
                  <c:v>2016/17 
Forecast</c:v>
                </c:pt>
                <c:pt idx="4">
                  <c:v>2016/17 
YTD</c:v>
                </c:pt>
              </c:strCache>
            </c:strRef>
          </c:cat>
          <c:val>
            <c:numRef>
              <c:f>'[WoF Financial Report to Portfolio Committee (V11 4 Nov 2016).xlsx]Financial Graph info'!$B$8:$F$8</c:f>
              <c:numCache>
                <c:formatCode>0.0%</c:formatCode>
                <c:ptCount val="5"/>
                <c:pt idx="0">
                  <c:v>6.1195010179113878E-2</c:v>
                </c:pt>
                <c:pt idx="1">
                  <c:v>8.7045606476365459E-2</c:v>
                </c:pt>
                <c:pt idx="2">
                  <c:v>9.0141341789318791E-2</c:v>
                </c:pt>
                <c:pt idx="3">
                  <c:v>7.843570870797556E-2</c:v>
                </c:pt>
                <c:pt idx="4">
                  <c:v>0.11212000927357491</c:v>
                </c:pt>
              </c:numCache>
            </c:numRef>
          </c:val>
        </c:ser>
        <c:ser>
          <c:idx val="3"/>
          <c:order val="3"/>
          <c:tx>
            <c:strRef>
              <c:f>'[WoF Financial Report to Portfolio Committee (V11 4 Nov 2016).xlsx]Financial Graph info'!$A$9</c:f>
              <c:strCache>
                <c:ptCount val="1"/>
                <c:pt idx="0">
                  <c:v>Aviation</c:v>
                </c:pt>
              </c:strCache>
            </c:strRef>
          </c:tx>
          <c:invertIfNegative val="0"/>
          <c:cat>
            <c:strRef>
              <c:f>'[WoF Financial Report to Portfolio Committee (V11 4 Nov 2016).xlsx]Financial Graph info'!$B$5:$F$5</c:f>
              <c:strCache>
                <c:ptCount val="5"/>
                <c:pt idx="0">
                  <c:v>2013/14</c:v>
                </c:pt>
                <c:pt idx="1">
                  <c:v>2014/15</c:v>
                </c:pt>
                <c:pt idx="2">
                  <c:v>2015/16</c:v>
                </c:pt>
                <c:pt idx="3">
                  <c:v>2016/17 
Forecast</c:v>
                </c:pt>
                <c:pt idx="4">
                  <c:v>2016/17 
YTD</c:v>
                </c:pt>
              </c:strCache>
            </c:strRef>
          </c:cat>
          <c:val>
            <c:numRef>
              <c:f>'[WoF Financial Report to Portfolio Committee (V11 4 Nov 2016).xlsx]Financial Graph info'!$B$9:$F$9</c:f>
              <c:numCache>
                <c:formatCode>0.0%</c:formatCode>
                <c:ptCount val="5"/>
                <c:pt idx="0">
                  <c:v>8.2462869646109979E-2</c:v>
                </c:pt>
                <c:pt idx="1">
                  <c:v>8.1262562317402268E-2</c:v>
                </c:pt>
                <c:pt idx="2">
                  <c:v>6.8115020455519246E-2</c:v>
                </c:pt>
                <c:pt idx="3">
                  <c:v>8.0000000286291534E-2</c:v>
                </c:pt>
                <c:pt idx="4">
                  <c:v>6.6951374350242232E-2</c:v>
                </c:pt>
              </c:numCache>
            </c:numRef>
          </c:val>
        </c:ser>
        <c:ser>
          <c:idx val="4"/>
          <c:order val="4"/>
          <c:tx>
            <c:strRef>
              <c:f>'[WoF Financial Report to Portfolio Committee (V11 4 Nov 2016).xlsx]Financial Graph info'!$A$10</c:f>
              <c:strCache>
                <c:ptCount val="1"/>
                <c:pt idx="0">
                  <c:v>Management Fee</c:v>
                </c:pt>
              </c:strCache>
            </c:strRef>
          </c:tx>
          <c:invertIfNegative val="0"/>
          <c:cat>
            <c:strRef>
              <c:f>'[WoF Financial Report to Portfolio Committee (V11 4 Nov 2016).xlsx]Financial Graph info'!$B$5:$F$5</c:f>
              <c:strCache>
                <c:ptCount val="5"/>
                <c:pt idx="0">
                  <c:v>2013/14</c:v>
                </c:pt>
                <c:pt idx="1">
                  <c:v>2014/15</c:v>
                </c:pt>
                <c:pt idx="2">
                  <c:v>2015/16</c:v>
                </c:pt>
                <c:pt idx="3">
                  <c:v>2016/17 
Forecast</c:v>
                </c:pt>
                <c:pt idx="4">
                  <c:v>2016/17 
YTD</c:v>
                </c:pt>
              </c:strCache>
            </c:strRef>
          </c:cat>
          <c:val>
            <c:numRef>
              <c:f>'[WoF Financial Report to Portfolio Committee (V11 4 Nov 2016).xlsx]Financial Graph info'!$B$10:$F$10</c:f>
              <c:numCache>
                <c:formatCode>0.0%</c:formatCode>
                <c:ptCount val="5"/>
                <c:pt idx="0">
                  <c:v>0.11504703736696417</c:v>
                </c:pt>
                <c:pt idx="1">
                  <c:v>9.5068483700189069E-2</c:v>
                </c:pt>
                <c:pt idx="2">
                  <c:v>8.9968311507857224E-2</c:v>
                </c:pt>
                <c:pt idx="3">
                  <c:v>9.6000000343549843E-2</c:v>
                </c:pt>
                <c:pt idx="4">
                  <c:v>0.10112434946483667</c:v>
                </c:pt>
              </c:numCache>
            </c:numRef>
          </c:val>
        </c:ser>
        <c:dLbls>
          <c:showLegendKey val="0"/>
          <c:showVal val="0"/>
          <c:showCatName val="0"/>
          <c:showSerName val="0"/>
          <c:showPercent val="0"/>
          <c:showBubbleSize val="0"/>
        </c:dLbls>
        <c:gapWidth val="150"/>
        <c:axId val="193442176"/>
        <c:axId val="193443712"/>
      </c:barChart>
      <c:catAx>
        <c:axId val="193442176"/>
        <c:scaling>
          <c:orientation val="minMax"/>
        </c:scaling>
        <c:delete val="0"/>
        <c:axPos val="b"/>
        <c:numFmt formatCode="General" sourceLinked="0"/>
        <c:majorTickMark val="none"/>
        <c:minorTickMark val="none"/>
        <c:tickLblPos val="nextTo"/>
        <c:crossAx val="193443712"/>
        <c:crosses val="autoZero"/>
        <c:auto val="1"/>
        <c:lblAlgn val="ctr"/>
        <c:lblOffset val="100"/>
        <c:noMultiLvlLbl val="0"/>
      </c:catAx>
      <c:valAx>
        <c:axId val="193443712"/>
        <c:scaling>
          <c:orientation val="minMax"/>
        </c:scaling>
        <c:delete val="0"/>
        <c:axPos val="l"/>
        <c:majorGridlines/>
        <c:numFmt formatCode="0.0%" sourceLinked="1"/>
        <c:majorTickMark val="none"/>
        <c:minorTickMark val="none"/>
        <c:tickLblPos val="nextTo"/>
        <c:crossAx val="193442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'Financial Graph info'!$A$13</c:f>
              <c:strCache>
                <c:ptCount val="1"/>
                <c:pt idx="0">
                  <c:v>Planned</c:v>
                </c:pt>
              </c:strCache>
            </c:strRef>
          </c:tx>
          <c:invertIfNegative val="0"/>
          <c:cat>
            <c:strRef>
              <c:f>'Financial Graph info'!$B$12:$F$12</c:f>
              <c:strCache>
                <c:ptCount val="5"/>
                <c:pt idx="0">
                  <c:v>2013/14</c:v>
                </c:pt>
                <c:pt idx="1">
                  <c:v>2014/15</c:v>
                </c:pt>
                <c:pt idx="2">
                  <c:v>2015/16</c:v>
                </c:pt>
                <c:pt idx="3">
                  <c:v>2016/17 
Forecast</c:v>
                </c:pt>
                <c:pt idx="4">
                  <c:v>2016/17 
YTD</c:v>
                </c:pt>
              </c:strCache>
            </c:strRef>
          </c:cat>
          <c:val>
            <c:numRef>
              <c:f>'Financial Graph info'!$B$13:$F$13</c:f>
              <c:numCache>
                <c:formatCode>_ * #,##0_ ;_ * \-#,##0_ ;_ * "-"??_ ;_ @_ </c:formatCode>
                <c:ptCount val="5"/>
                <c:pt idx="0">
                  <c:v>1323343</c:v>
                </c:pt>
                <c:pt idx="1">
                  <c:v>1358637</c:v>
                </c:pt>
                <c:pt idx="2">
                  <c:v>1161787</c:v>
                </c:pt>
                <c:pt idx="3">
                  <c:v>1128325.4386142013</c:v>
                </c:pt>
                <c:pt idx="4">
                  <c:v>1128325.4386142013</c:v>
                </c:pt>
              </c:numCache>
            </c:numRef>
          </c:val>
        </c:ser>
        <c:ser>
          <c:idx val="1"/>
          <c:order val="1"/>
          <c:tx>
            <c:strRef>
              <c:f>'Financial Graph info'!$A$14</c:f>
              <c:strCache>
                <c:ptCount val="1"/>
                <c:pt idx="0">
                  <c:v>Actual</c:v>
                </c:pt>
              </c:strCache>
            </c:strRef>
          </c:tx>
          <c:invertIfNegative val="0"/>
          <c:cat>
            <c:strRef>
              <c:f>'Financial Graph info'!$B$12:$F$12</c:f>
              <c:strCache>
                <c:ptCount val="5"/>
                <c:pt idx="0">
                  <c:v>2013/14</c:v>
                </c:pt>
                <c:pt idx="1">
                  <c:v>2014/15</c:v>
                </c:pt>
                <c:pt idx="2">
                  <c:v>2015/16</c:v>
                </c:pt>
                <c:pt idx="3">
                  <c:v>2016/17 
Forecast</c:v>
                </c:pt>
                <c:pt idx="4">
                  <c:v>2016/17 
YTD</c:v>
                </c:pt>
              </c:strCache>
            </c:strRef>
          </c:cat>
          <c:val>
            <c:numRef>
              <c:f>'Financial Graph info'!$B$14:$F$14</c:f>
              <c:numCache>
                <c:formatCode>_ * #,##0_ ;_ * \-#,##0_ ;_ * "-"??_ ;_ @_ </c:formatCode>
                <c:ptCount val="5"/>
                <c:pt idx="0">
                  <c:v>1310077.7855</c:v>
                </c:pt>
                <c:pt idx="1">
                  <c:v>1554074.3358999998</c:v>
                </c:pt>
                <c:pt idx="2">
                  <c:v>1395980.1475</c:v>
                </c:pt>
                <c:pt idx="3">
                  <c:v>1299880</c:v>
                </c:pt>
                <c:pt idx="4">
                  <c:v>651376.02619999996</c:v>
                </c:pt>
              </c:numCache>
            </c:numRef>
          </c:val>
        </c:ser>
        <c:dLbls>
          <c:showLegendKey val="0"/>
          <c:showVal val="0"/>
          <c:showCatName val="0"/>
          <c:showSerName val="0"/>
          <c:showPercent val="0"/>
          <c:showBubbleSize val="0"/>
        </c:dLbls>
        <c:gapWidth val="150"/>
        <c:axId val="192873216"/>
        <c:axId val="192874752"/>
      </c:barChart>
      <c:catAx>
        <c:axId val="192873216"/>
        <c:scaling>
          <c:orientation val="minMax"/>
        </c:scaling>
        <c:delete val="0"/>
        <c:axPos val="b"/>
        <c:numFmt formatCode="General" sourceLinked="0"/>
        <c:majorTickMark val="none"/>
        <c:minorTickMark val="none"/>
        <c:tickLblPos val="nextTo"/>
        <c:crossAx val="192874752"/>
        <c:crosses val="autoZero"/>
        <c:auto val="1"/>
        <c:lblAlgn val="ctr"/>
        <c:lblOffset val="100"/>
        <c:noMultiLvlLbl val="0"/>
      </c:catAx>
      <c:valAx>
        <c:axId val="192874752"/>
        <c:scaling>
          <c:orientation val="minMax"/>
        </c:scaling>
        <c:delete val="0"/>
        <c:axPos val="l"/>
        <c:majorGridlines/>
        <c:numFmt formatCode="_ * #,##0_ ;_ * \-#,##0_ ;_ * &quot;-&quot;??_ ;_ @_ " sourceLinked="1"/>
        <c:majorTickMark val="none"/>
        <c:minorTickMark val="none"/>
        <c:tickLblPos val="nextTo"/>
        <c:crossAx val="192873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'Financial Graph info'!$A$17</c:f>
              <c:strCache>
                <c:ptCount val="1"/>
                <c:pt idx="0">
                  <c:v>Planned</c:v>
                </c:pt>
              </c:strCache>
            </c:strRef>
          </c:tx>
          <c:invertIfNegative val="0"/>
          <c:cat>
            <c:strRef>
              <c:f>'Financial Graph info'!$B$16:$F$16</c:f>
              <c:strCache>
                <c:ptCount val="5"/>
                <c:pt idx="0">
                  <c:v>2013/14</c:v>
                </c:pt>
                <c:pt idx="1">
                  <c:v>2014/15</c:v>
                </c:pt>
                <c:pt idx="2">
                  <c:v>2015/16</c:v>
                </c:pt>
                <c:pt idx="3">
                  <c:v>2016/17 
Forecast</c:v>
                </c:pt>
                <c:pt idx="4">
                  <c:v>2016/17 
YTD</c:v>
                </c:pt>
              </c:strCache>
            </c:strRef>
          </c:cat>
          <c:val>
            <c:numRef>
              <c:f>'Financial Graph info'!$B$17:$F$17</c:f>
              <c:numCache>
                <c:formatCode>"R"\ #,##0.00</c:formatCode>
                <c:ptCount val="5"/>
                <c:pt idx="0">
                  <c:v>307.02395372930528</c:v>
                </c:pt>
                <c:pt idx="1">
                  <c:v>374.06753974755583</c:v>
                </c:pt>
                <c:pt idx="2">
                  <c:v>486.73349610556841</c:v>
                </c:pt>
                <c:pt idx="3">
                  <c:v>495.31</c:v>
                </c:pt>
                <c:pt idx="4">
                  <c:v>495.31</c:v>
                </c:pt>
              </c:numCache>
            </c:numRef>
          </c:val>
        </c:ser>
        <c:ser>
          <c:idx val="1"/>
          <c:order val="1"/>
          <c:tx>
            <c:strRef>
              <c:f>'Financial Graph info'!$A$18</c:f>
              <c:strCache>
                <c:ptCount val="1"/>
                <c:pt idx="0">
                  <c:v>Actual</c:v>
                </c:pt>
              </c:strCache>
            </c:strRef>
          </c:tx>
          <c:invertIfNegative val="0"/>
          <c:cat>
            <c:strRef>
              <c:f>'Financial Graph info'!$B$16:$F$16</c:f>
              <c:strCache>
                <c:ptCount val="5"/>
                <c:pt idx="0">
                  <c:v>2013/14</c:v>
                </c:pt>
                <c:pt idx="1">
                  <c:v>2014/15</c:v>
                </c:pt>
                <c:pt idx="2">
                  <c:v>2015/16</c:v>
                </c:pt>
                <c:pt idx="3">
                  <c:v>2016/17 
Forecast</c:v>
                </c:pt>
                <c:pt idx="4">
                  <c:v>2016/17 
YTD</c:v>
                </c:pt>
              </c:strCache>
            </c:strRef>
          </c:cat>
          <c:val>
            <c:numRef>
              <c:f>'Financial Graph info'!$B$18:$F$18</c:f>
              <c:numCache>
                <c:formatCode>"R"\ #,##0.00</c:formatCode>
                <c:ptCount val="5"/>
                <c:pt idx="0">
                  <c:v>320.63418191591035</c:v>
                </c:pt>
                <c:pt idx="1">
                  <c:v>330.22985847249913</c:v>
                </c:pt>
                <c:pt idx="2">
                  <c:v>398.86231708749989</c:v>
                </c:pt>
                <c:pt idx="3">
                  <c:v>429.94035834076993</c:v>
                </c:pt>
                <c:pt idx="4">
                  <c:v>544.59336657392021</c:v>
                </c:pt>
              </c:numCache>
            </c:numRef>
          </c:val>
        </c:ser>
        <c:dLbls>
          <c:showLegendKey val="0"/>
          <c:showVal val="0"/>
          <c:showCatName val="0"/>
          <c:showSerName val="0"/>
          <c:showPercent val="0"/>
          <c:showBubbleSize val="0"/>
        </c:dLbls>
        <c:gapWidth val="150"/>
        <c:axId val="192901120"/>
        <c:axId val="192902656"/>
      </c:barChart>
      <c:catAx>
        <c:axId val="192901120"/>
        <c:scaling>
          <c:orientation val="minMax"/>
        </c:scaling>
        <c:delete val="0"/>
        <c:axPos val="b"/>
        <c:numFmt formatCode="General" sourceLinked="0"/>
        <c:majorTickMark val="none"/>
        <c:minorTickMark val="none"/>
        <c:tickLblPos val="nextTo"/>
        <c:crossAx val="192902656"/>
        <c:crosses val="autoZero"/>
        <c:auto val="1"/>
        <c:lblAlgn val="ctr"/>
        <c:lblOffset val="100"/>
        <c:noMultiLvlLbl val="0"/>
      </c:catAx>
      <c:valAx>
        <c:axId val="192902656"/>
        <c:scaling>
          <c:orientation val="minMax"/>
        </c:scaling>
        <c:delete val="0"/>
        <c:axPos val="l"/>
        <c:majorGridlines/>
        <c:numFmt formatCode="&quot;R&quot;\ #,##0.00" sourceLinked="1"/>
        <c:majorTickMark val="none"/>
        <c:minorTickMark val="none"/>
        <c:tickLblPos val="nextTo"/>
        <c:crossAx val="192901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30557931821912"/>
          <c:y val="3.1493984175949258E-2"/>
          <c:w val="0.75109379354607841"/>
          <c:h val="0.60500805318789419"/>
        </c:manualLayout>
      </c:layout>
      <c:barChart>
        <c:barDir val="col"/>
        <c:grouping val="clustered"/>
        <c:varyColors val="0"/>
        <c:ser>
          <c:idx val="0"/>
          <c:order val="0"/>
          <c:tx>
            <c:strRef>
              <c:f>Training!$E$52</c:f>
              <c:strCache>
                <c:ptCount val="1"/>
                <c:pt idx="0">
                  <c:v>Accredited</c:v>
                </c:pt>
              </c:strCache>
            </c:strRef>
          </c:tx>
          <c:invertIfNegative val="0"/>
          <c:cat>
            <c:strRef>
              <c:f>Training!$D$53:$D$60</c:f>
              <c:strCache>
                <c:ptCount val="8"/>
                <c:pt idx="0">
                  <c:v>2013/14 Target</c:v>
                </c:pt>
                <c:pt idx="1">
                  <c:v>2013/14 Actual</c:v>
                </c:pt>
                <c:pt idx="2">
                  <c:v>2014/15 Target</c:v>
                </c:pt>
                <c:pt idx="3">
                  <c:v>2014/15 Actual</c:v>
                </c:pt>
                <c:pt idx="4">
                  <c:v>2015/16 Target</c:v>
                </c:pt>
                <c:pt idx="5">
                  <c:v>2015/16 Actual</c:v>
                </c:pt>
                <c:pt idx="6">
                  <c:v>2016/17 Target</c:v>
                </c:pt>
                <c:pt idx="7">
                  <c:v>2016/17 Actual up to September</c:v>
                </c:pt>
              </c:strCache>
            </c:strRef>
          </c:cat>
          <c:val>
            <c:numRef>
              <c:f>Training!$E$53:$E$60</c:f>
              <c:numCache>
                <c:formatCode>_ * #,##0_ ;_ * \-#,##0_ ;_ * "-"??_ ;_ @_ </c:formatCode>
                <c:ptCount val="8"/>
                <c:pt idx="0">
                  <c:v>22090.95</c:v>
                </c:pt>
                <c:pt idx="1">
                  <c:v>23333</c:v>
                </c:pt>
                <c:pt idx="2">
                  <c:v>28194.982739999999</c:v>
                </c:pt>
                <c:pt idx="3">
                  <c:v>28911</c:v>
                </c:pt>
                <c:pt idx="4">
                  <c:v>23983</c:v>
                </c:pt>
                <c:pt idx="5">
                  <c:v>14673</c:v>
                </c:pt>
                <c:pt idx="6">
                  <c:v>25000</c:v>
                </c:pt>
                <c:pt idx="7">
                  <c:v>14116</c:v>
                </c:pt>
              </c:numCache>
            </c:numRef>
          </c:val>
        </c:ser>
        <c:ser>
          <c:idx val="1"/>
          <c:order val="1"/>
          <c:tx>
            <c:strRef>
              <c:f>Training!$F$52</c:f>
              <c:strCache>
                <c:ptCount val="1"/>
                <c:pt idx="0">
                  <c:v>Non-Accredited</c:v>
                </c:pt>
              </c:strCache>
            </c:strRef>
          </c:tx>
          <c:invertIfNegative val="0"/>
          <c:cat>
            <c:strRef>
              <c:f>Training!$D$53:$D$60</c:f>
              <c:strCache>
                <c:ptCount val="8"/>
                <c:pt idx="0">
                  <c:v>2013/14 Target</c:v>
                </c:pt>
                <c:pt idx="1">
                  <c:v>2013/14 Actual</c:v>
                </c:pt>
                <c:pt idx="2">
                  <c:v>2014/15 Target</c:v>
                </c:pt>
                <c:pt idx="3">
                  <c:v>2014/15 Actual</c:v>
                </c:pt>
                <c:pt idx="4">
                  <c:v>2015/16 Target</c:v>
                </c:pt>
                <c:pt idx="5">
                  <c:v>2015/16 Actual</c:v>
                </c:pt>
                <c:pt idx="6">
                  <c:v>2016/17 Target</c:v>
                </c:pt>
                <c:pt idx="7">
                  <c:v>2016/17 Actual up to September</c:v>
                </c:pt>
              </c:strCache>
            </c:strRef>
          </c:cat>
          <c:val>
            <c:numRef>
              <c:f>Training!$F$53:$F$60</c:f>
              <c:numCache>
                <c:formatCode>_ * #,##0_ ;_ * \-#,##0_ ;_ * "-"??_ ;_ @_ </c:formatCode>
                <c:ptCount val="8"/>
                <c:pt idx="0">
                  <c:v>27000.050000000003</c:v>
                </c:pt>
                <c:pt idx="1">
                  <c:v>28961</c:v>
                </c:pt>
                <c:pt idx="2">
                  <c:v>29185.017260000004</c:v>
                </c:pt>
                <c:pt idx="3">
                  <c:v>42105</c:v>
                </c:pt>
                <c:pt idx="4">
                  <c:v>20946</c:v>
                </c:pt>
                <c:pt idx="5">
                  <c:v>36057</c:v>
                </c:pt>
                <c:pt idx="6">
                  <c:v>30000</c:v>
                </c:pt>
                <c:pt idx="7">
                  <c:v>28761.5</c:v>
                </c:pt>
              </c:numCache>
            </c:numRef>
          </c:val>
        </c:ser>
        <c:ser>
          <c:idx val="2"/>
          <c:order val="2"/>
          <c:tx>
            <c:strRef>
              <c:f>Training!$G$52</c:f>
              <c:strCache>
                <c:ptCount val="1"/>
                <c:pt idx="0">
                  <c:v>Total</c:v>
                </c:pt>
              </c:strCache>
            </c:strRef>
          </c:tx>
          <c:invertIfNegative val="0"/>
          <c:cat>
            <c:strRef>
              <c:f>Training!$D$53:$D$60</c:f>
              <c:strCache>
                <c:ptCount val="8"/>
                <c:pt idx="0">
                  <c:v>2013/14 Target</c:v>
                </c:pt>
                <c:pt idx="1">
                  <c:v>2013/14 Actual</c:v>
                </c:pt>
                <c:pt idx="2">
                  <c:v>2014/15 Target</c:v>
                </c:pt>
                <c:pt idx="3">
                  <c:v>2014/15 Actual</c:v>
                </c:pt>
                <c:pt idx="4">
                  <c:v>2015/16 Target</c:v>
                </c:pt>
                <c:pt idx="5">
                  <c:v>2015/16 Actual</c:v>
                </c:pt>
                <c:pt idx="6">
                  <c:v>2016/17 Target</c:v>
                </c:pt>
                <c:pt idx="7">
                  <c:v>2016/17 Actual up to September</c:v>
                </c:pt>
              </c:strCache>
            </c:strRef>
          </c:cat>
          <c:val>
            <c:numRef>
              <c:f>Training!$G$53:$G$60</c:f>
              <c:numCache>
                <c:formatCode>_ * #,##0_ ;_ * \-#,##0_ ;_ * "-"??_ ;_ @_ </c:formatCode>
                <c:ptCount val="8"/>
                <c:pt idx="0">
                  <c:v>49091</c:v>
                </c:pt>
                <c:pt idx="1">
                  <c:v>52294</c:v>
                </c:pt>
                <c:pt idx="2">
                  <c:v>57380</c:v>
                </c:pt>
                <c:pt idx="3">
                  <c:v>71016</c:v>
                </c:pt>
                <c:pt idx="4">
                  <c:v>44929</c:v>
                </c:pt>
                <c:pt idx="5">
                  <c:v>50730</c:v>
                </c:pt>
                <c:pt idx="6">
                  <c:v>55000</c:v>
                </c:pt>
                <c:pt idx="7">
                  <c:v>42877.5</c:v>
                </c:pt>
              </c:numCache>
            </c:numRef>
          </c:val>
        </c:ser>
        <c:dLbls>
          <c:showLegendKey val="0"/>
          <c:showVal val="0"/>
          <c:showCatName val="0"/>
          <c:showSerName val="0"/>
          <c:showPercent val="0"/>
          <c:showBubbleSize val="0"/>
        </c:dLbls>
        <c:gapWidth val="150"/>
        <c:axId val="192929152"/>
        <c:axId val="192935040"/>
      </c:barChart>
      <c:catAx>
        <c:axId val="192929152"/>
        <c:scaling>
          <c:orientation val="minMax"/>
        </c:scaling>
        <c:delete val="0"/>
        <c:axPos val="b"/>
        <c:majorTickMark val="out"/>
        <c:minorTickMark val="none"/>
        <c:tickLblPos val="nextTo"/>
        <c:crossAx val="192935040"/>
        <c:crosses val="autoZero"/>
        <c:auto val="1"/>
        <c:lblAlgn val="ctr"/>
        <c:lblOffset val="100"/>
        <c:noMultiLvlLbl val="0"/>
      </c:catAx>
      <c:valAx>
        <c:axId val="192935040"/>
        <c:scaling>
          <c:orientation val="minMax"/>
        </c:scaling>
        <c:delete val="0"/>
        <c:axPos val="l"/>
        <c:majorGridlines/>
        <c:numFmt formatCode="_ * #,##0_ ;_ * \-#,##0_ ;_ * &quot;-&quot;??_ ;_ @_ " sourceLinked="1"/>
        <c:majorTickMark val="out"/>
        <c:minorTickMark val="none"/>
        <c:tickLblPos val="nextTo"/>
        <c:crossAx val="192929152"/>
        <c:crosses val="autoZero"/>
        <c:crossBetween val="between"/>
      </c:valAx>
      <c:dTable>
        <c:showHorzBorder val="1"/>
        <c:showVertBorder val="1"/>
        <c:showOutline val="1"/>
        <c:showKeys val="0"/>
      </c:dTable>
    </c:plotArea>
    <c:legend>
      <c:legendPos val="r"/>
      <c:layout>
        <c:manualLayout>
          <c:xMode val="edge"/>
          <c:yMode val="edge"/>
          <c:x val="0.57946937961683365"/>
          <c:y val="2.5923270229519187E-2"/>
          <c:w val="0.37879987816021932"/>
          <c:h val="7.7315294311574717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'Key Operational Indicators'!$B$34</c:f>
              <c:strCache>
                <c:ptCount val="1"/>
                <c:pt idx="0">
                  <c:v>Number of Fires fought</c:v>
                </c:pt>
              </c:strCache>
            </c:strRef>
          </c:tx>
          <c:invertIfNegative val="0"/>
          <c:cat>
            <c:strRef>
              <c:f>'Key Operational Indicators'!$A$35:$A$38</c:f>
              <c:strCache>
                <c:ptCount val="4"/>
                <c:pt idx="0">
                  <c:v>2013/14</c:v>
                </c:pt>
                <c:pt idx="1">
                  <c:v>2014/15</c:v>
                </c:pt>
                <c:pt idx="2">
                  <c:v>2015/16</c:v>
                </c:pt>
                <c:pt idx="3">
                  <c:v>2016/17 up to September</c:v>
                </c:pt>
              </c:strCache>
            </c:strRef>
          </c:cat>
          <c:val>
            <c:numRef>
              <c:f>'Key Operational Indicators'!$B$35:$B$38</c:f>
              <c:numCache>
                <c:formatCode>_ * #,##0_ ;_ * \-#,##0_ ;_ * "-"??_ ;_ @_ </c:formatCode>
                <c:ptCount val="4"/>
                <c:pt idx="0">
                  <c:v>2395</c:v>
                </c:pt>
                <c:pt idx="1">
                  <c:v>3133</c:v>
                </c:pt>
                <c:pt idx="2">
                  <c:v>2295</c:v>
                </c:pt>
                <c:pt idx="3">
                  <c:v>746</c:v>
                </c:pt>
              </c:numCache>
            </c:numRef>
          </c:val>
        </c:ser>
        <c:dLbls>
          <c:showLegendKey val="0"/>
          <c:showVal val="0"/>
          <c:showCatName val="0"/>
          <c:showSerName val="0"/>
          <c:showPercent val="0"/>
          <c:showBubbleSize val="0"/>
        </c:dLbls>
        <c:gapWidth val="150"/>
        <c:axId val="193342464"/>
        <c:axId val="193344256"/>
      </c:barChart>
      <c:catAx>
        <c:axId val="193342464"/>
        <c:scaling>
          <c:orientation val="minMax"/>
        </c:scaling>
        <c:delete val="0"/>
        <c:axPos val="b"/>
        <c:numFmt formatCode="General" sourceLinked="0"/>
        <c:majorTickMark val="out"/>
        <c:minorTickMark val="none"/>
        <c:tickLblPos val="nextTo"/>
        <c:crossAx val="193344256"/>
        <c:crosses val="autoZero"/>
        <c:auto val="1"/>
        <c:lblAlgn val="ctr"/>
        <c:lblOffset val="100"/>
        <c:noMultiLvlLbl val="0"/>
      </c:catAx>
      <c:valAx>
        <c:axId val="193344256"/>
        <c:scaling>
          <c:orientation val="minMax"/>
        </c:scaling>
        <c:delete val="0"/>
        <c:axPos val="l"/>
        <c:majorGridlines/>
        <c:numFmt formatCode="_ * #,##0_ ;_ * \-#,##0_ ;_ * &quot;-&quot;??_ ;_ @_ " sourceLinked="1"/>
        <c:majorTickMark val="out"/>
        <c:minorTickMark val="none"/>
        <c:tickLblPos val="nextTo"/>
        <c:crossAx val="1933424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'Key Operational Indicators'!$B$40</c:f>
              <c:strCache>
                <c:ptCount val="1"/>
                <c:pt idx="0">
                  <c:v>Estimated Hectares Burnt (fires that WoF was involved in) </c:v>
                </c:pt>
              </c:strCache>
            </c:strRef>
          </c:tx>
          <c:invertIfNegative val="0"/>
          <c:cat>
            <c:strRef>
              <c:f>'Key Operational Indicators'!$A$41:$A$44</c:f>
              <c:strCache>
                <c:ptCount val="4"/>
                <c:pt idx="0">
                  <c:v>2013/14</c:v>
                </c:pt>
                <c:pt idx="1">
                  <c:v>2014/15</c:v>
                </c:pt>
                <c:pt idx="2">
                  <c:v>2015/16</c:v>
                </c:pt>
                <c:pt idx="3">
                  <c:v>2016/17 up to September</c:v>
                </c:pt>
              </c:strCache>
            </c:strRef>
          </c:cat>
          <c:val>
            <c:numRef>
              <c:f>'Key Operational Indicators'!$B$41:$B$44</c:f>
              <c:numCache>
                <c:formatCode>_ * #,##0_ ;_ * \-#,##0_ ;_ * "-"??_ ;_ @_ </c:formatCode>
                <c:ptCount val="4"/>
                <c:pt idx="0">
                  <c:v>580376.32999999996</c:v>
                </c:pt>
                <c:pt idx="1">
                  <c:v>1456183.4800000002</c:v>
                </c:pt>
                <c:pt idx="2">
                  <c:v>842808.2</c:v>
                </c:pt>
                <c:pt idx="3">
                  <c:v>155274.79800000001</c:v>
                </c:pt>
              </c:numCache>
            </c:numRef>
          </c:val>
        </c:ser>
        <c:dLbls>
          <c:showLegendKey val="0"/>
          <c:showVal val="0"/>
          <c:showCatName val="0"/>
          <c:showSerName val="0"/>
          <c:showPercent val="0"/>
          <c:showBubbleSize val="0"/>
        </c:dLbls>
        <c:gapWidth val="150"/>
        <c:axId val="193363968"/>
        <c:axId val="193365504"/>
      </c:barChart>
      <c:catAx>
        <c:axId val="193363968"/>
        <c:scaling>
          <c:orientation val="minMax"/>
        </c:scaling>
        <c:delete val="0"/>
        <c:axPos val="b"/>
        <c:numFmt formatCode="General" sourceLinked="0"/>
        <c:majorTickMark val="out"/>
        <c:minorTickMark val="none"/>
        <c:tickLblPos val="nextTo"/>
        <c:crossAx val="193365504"/>
        <c:crosses val="autoZero"/>
        <c:auto val="1"/>
        <c:lblAlgn val="ctr"/>
        <c:lblOffset val="100"/>
        <c:noMultiLvlLbl val="0"/>
      </c:catAx>
      <c:valAx>
        <c:axId val="193365504"/>
        <c:scaling>
          <c:orientation val="minMax"/>
        </c:scaling>
        <c:delete val="0"/>
        <c:axPos val="l"/>
        <c:majorGridlines/>
        <c:title>
          <c:tx>
            <c:rich>
              <a:bodyPr rot="-5400000" vert="horz"/>
              <a:lstStyle/>
              <a:p>
                <a:pPr>
                  <a:defRPr/>
                </a:pPr>
                <a:r>
                  <a:rPr lang="en-US"/>
                  <a:t>Hectares</a:t>
                </a:r>
              </a:p>
            </c:rich>
          </c:tx>
          <c:overlay val="0"/>
        </c:title>
        <c:numFmt formatCode="_ * #,##0_ ;_ * \-#,##0_ ;_ * &quot;-&quot;??_ ;_ @_ " sourceLinked="1"/>
        <c:majorTickMark val="out"/>
        <c:minorTickMark val="none"/>
        <c:tickLblPos val="nextTo"/>
        <c:crossAx val="1933639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'Key Operational Indicators'!$E$34</c:f>
              <c:strCache>
                <c:ptCount val="1"/>
                <c:pt idx="0">
                  <c:v>Average Size per Fire</c:v>
                </c:pt>
              </c:strCache>
            </c:strRef>
          </c:tx>
          <c:invertIfNegative val="0"/>
          <c:cat>
            <c:strRef>
              <c:f>'Key Operational Indicators'!$D$35:$D$38</c:f>
              <c:strCache>
                <c:ptCount val="4"/>
                <c:pt idx="0">
                  <c:v>2013/14</c:v>
                </c:pt>
                <c:pt idx="1">
                  <c:v>2014/15</c:v>
                </c:pt>
                <c:pt idx="2">
                  <c:v>2015/16</c:v>
                </c:pt>
                <c:pt idx="3">
                  <c:v>2016/17 up to September</c:v>
                </c:pt>
              </c:strCache>
            </c:strRef>
          </c:cat>
          <c:val>
            <c:numRef>
              <c:f>'Key Operational Indicators'!$E$35:$E$38</c:f>
              <c:numCache>
                <c:formatCode>_(* #,##0.00_);_(* \(#,##0.00\);_(* "-"??_);_(@_)</c:formatCode>
                <c:ptCount val="4"/>
                <c:pt idx="0">
                  <c:v>242.32832150313152</c:v>
                </c:pt>
                <c:pt idx="1">
                  <c:v>464.78885413341851</c:v>
                </c:pt>
                <c:pt idx="2">
                  <c:v>367.23668845315905</c:v>
                </c:pt>
                <c:pt idx="3">
                  <c:v>208.14316085790887</c:v>
                </c:pt>
              </c:numCache>
            </c:numRef>
          </c:val>
        </c:ser>
        <c:dLbls>
          <c:showLegendKey val="0"/>
          <c:showVal val="0"/>
          <c:showCatName val="0"/>
          <c:showSerName val="0"/>
          <c:showPercent val="0"/>
          <c:showBubbleSize val="0"/>
        </c:dLbls>
        <c:gapWidth val="150"/>
        <c:axId val="193385600"/>
        <c:axId val="193387136"/>
      </c:barChart>
      <c:catAx>
        <c:axId val="193385600"/>
        <c:scaling>
          <c:orientation val="minMax"/>
        </c:scaling>
        <c:delete val="0"/>
        <c:axPos val="b"/>
        <c:numFmt formatCode="General" sourceLinked="0"/>
        <c:majorTickMark val="out"/>
        <c:minorTickMark val="none"/>
        <c:tickLblPos val="nextTo"/>
        <c:crossAx val="193387136"/>
        <c:crosses val="autoZero"/>
        <c:auto val="1"/>
        <c:lblAlgn val="ctr"/>
        <c:lblOffset val="100"/>
        <c:noMultiLvlLbl val="0"/>
      </c:catAx>
      <c:valAx>
        <c:axId val="193387136"/>
        <c:scaling>
          <c:orientation val="minMax"/>
        </c:scaling>
        <c:delete val="0"/>
        <c:axPos val="l"/>
        <c:majorGridlines/>
        <c:title>
          <c:tx>
            <c:rich>
              <a:bodyPr rot="-5400000" vert="horz"/>
              <a:lstStyle/>
              <a:p>
                <a:pPr>
                  <a:defRPr/>
                </a:pPr>
                <a:r>
                  <a:rPr lang="en-US"/>
                  <a:t>Average size of fire (ha)</a:t>
                </a:r>
              </a:p>
            </c:rich>
          </c:tx>
          <c:overlay val="0"/>
        </c:title>
        <c:numFmt formatCode="_(* #,##0.00_);_(* \(#,##0.00\);_(* &quot;-&quot;??_);_(@_)" sourceLinked="1"/>
        <c:majorTickMark val="out"/>
        <c:minorTickMark val="none"/>
        <c:tickLblPos val="nextTo"/>
        <c:crossAx val="193385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 Marais</dc:creator>
  <cp:lastModifiedBy>Christo Marais</cp:lastModifiedBy>
  <cp:revision>2</cp:revision>
  <dcterms:created xsi:type="dcterms:W3CDTF">2016-11-04T09:22:00Z</dcterms:created>
  <dcterms:modified xsi:type="dcterms:W3CDTF">2016-11-04T09:22:00Z</dcterms:modified>
</cp:coreProperties>
</file>