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71" w:rsidRPr="00245C90" w:rsidRDefault="007B4702" w:rsidP="00245C90">
      <w:pPr>
        <w:tabs>
          <w:tab w:val="left" w:pos="2552"/>
        </w:tabs>
        <w:autoSpaceDE w:val="0"/>
        <w:autoSpaceDN w:val="0"/>
        <w:adjustRightInd w:val="0"/>
        <w:spacing w:line="360" w:lineRule="auto"/>
        <w:jc w:val="both"/>
        <w:rPr>
          <w:b/>
        </w:rPr>
      </w:pPr>
      <w:bookmarkStart w:id="0" w:name="_GoBack"/>
      <w:bookmarkEnd w:id="0"/>
      <w:r>
        <w:rPr>
          <w:b/>
        </w:rPr>
        <w:t xml:space="preserve">3. </w:t>
      </w:r>
      <w:r w:rsidR="00C05C71" w:rsidRPr="00245C90">
        <w:rPr>
          <w:b/>
        </w:rPr>
        <w:t>The Budgetary Review and Recommendation Report of the Portfolio Committee on Justice and Co</w:t>
      </w:r>
      <w:r w:rsidR="00F804CA" w:rsidRPr="00245C90">
        <w:rPr>
          <w:b/>
        </w:rPr>
        <w:t>rrectional Services</w:t>
      </w:r>
      <w:r w:rsidR="00C05C71" w:rsidRPr="00245C90">
        <w:rPr>
          <w:b/>
        </w:rPr>
        <w:t xml:space="preserve">, dated </w:t>
      </w:r>
      <w:r w:rsidR="005F4BAB" w:rsidRPr="00245C90">
        <w:rPr>
          <w:b/>
        </w:rPr>
        <w:t>26</w:t>
      </w:r>
      <w:r w:rsidR="009635F9" w:rsidRPr="00245C90">
        <w:rPr>
          <w:b/>
        </w:rPr>
        <w:t xml:space="preserve"> October 2016</w:t>
      </w:r>
    </w:p>
    <w:p w:rsidR="00C05C71" w:rsidRPr="00245C90" w:rsidRDefault="00C05C71" w:rsidP="00245C90">
      <w:pPr>
        <w:autoSpaceDE w:val="0"/>
        <w:autoSpaceDN w:val="0"/>
        <w:adjustRightInd w:val="0"/>
        <w:spacing w:line="360" w:lineRule="auto"/>
        <w:jc w:val="both"/>
      </w:pPr>
    </w:p>
    <w:p w:rsidR="00C05C71" w:rsidRPr="00245C90" w:rsidRDefault="00C05C71" w:rsidP="00245C90">
      <w:pPr>
        <w:autoSpaceDE w:val="0"/>
        <w:autoSpaceDN w:val="0"/>
        <w:adjustRightInd w:val="0"/>
        <w:spacing w:line="360" w:lineRule="auto"/>
        <w:jc w:val="both"/>
        <w:rPr>
          <w:b/>
          <w:lang w:val="en-ZA"/>
        </w:rPr>
      </w:pPr>
      <w:r w:rsidRPr="00245C90">
        <w:t>The Portfolio Committee on Justice and Co</w:t>
      </w:r>
      <w:r w:rsidR="00F804CA" w:rsidRPr="00245C90">
        <w:t>rrectional Services</w:t>
      </w:r>
      <w:r w:rsidRPr="00245C90">
        <w:t xml:space="preserve">, having considered the performance and requests for additional allocations for the medium term period of the </w:t>
      </w:r>
      <w:r w:rsidR="009B277E" w:rsidRPr="00245C90">
        <w:t>Office of the Chief Justice and Judicial Administration</w:t>
      </w:r>
      <w:r w:rsidRPr="00245C90">
        <w:t>, reports as follows:</w:t>
      </w:r>
    </w:p>
    <w:p w:rsidR="00C05C71" w:rsidRPr="00245C90" w:rsidRDefault="00C05C71" w:rsidP="00245C90">
      <w:pPr>
        <w:autoSpaceDE w:val="0"/>
        <w:autoSpaceDN w:val="0"/>
        <w:adjustRightInd w:val="0"/>
        <w:spacing w:line="360" w:lineRule="auto"/>
        <w:jc w:val="both"/>
        <w:rPr>
          <w:lang w:val="en-ZA"/>
        </w:rPr>
      </w:pPr>
    </w:p>
    <w:p w:rsidR="00C05C71" w:rsidRPr="00245C90" w:rsidRDefault="00C05C71" w:rsidP="00245C90">
      <w:pPr>
        <w:numPr>
          <w:ilvl w:val="0"/>
          <w:numId w:val="2"/>
        </w:numPr>
        <w:tabs>
          <w:tab w:val="clear" w:pos="360"/>
          <w:tab w:val="num" w:pos="540"/>
        </w:tabs>
        <w:autoSpaceDE w:val="0"/>
        <w:autoSpaceDN w:val="0"/>
        <w:adjustRightInd w:val="0"/>
        <w:spacing w:line="360" w:lineRule="auto"/>
        <w:ind w:left="540" w:hanging="540"/>
        <w:jc w:val="both"/>
        <w:rPr>
          <w:b/>
          <w:lang w:val="en-ZA"/>
        </w:rPr>
      </w:pPr>
      <w:r w:rsidRPr="00245C90">
        <w:rPr>
          <w:b/>
          <w:lang w:val="en-ZA"/>
        </w:rPr>
        <w:t>Introduction</w:t>
      </w:r>
    </w:p>
    <w:p w:rsidR="00C05C71" w:rsidRPr="00245C90" w:rsidRDefault="00C05C71" w:rsidP="00245C90">
      <w:pPr>
        <w:spacing w:line="360" w:lineRule="auto"/>
        <w:jc w:val="both"/>
        <w:rPr>
          <w:lang w:val="en-ZA"/>
        </w:rPr>
      </w:pPr>
    </w:p>
    <w:p w:rsidR="009C311F" w:rsidRPr="00245C90" w:rsidRDefault="009C311F" w:rsidP="00245C90">
      <w:pPr>
        <w:numPr>
          <w:ilvl w:val="1"/>
          <w:numId w:val="8"/>
        </w:numPr>
        <w:spacing w:line="360" w:lineRule="auto"/>
        <w:ind w:left="540" w:hanging="540"/>
        <w:jc w:val="both"/>
        <w:rPr>
          <w:lang w:val="en-US"/>
        </w:rPr>
      </w:pPr>
      <w:r w:rsidRPr="00245C90">
        <w:rPr>
          <w:lang w:val="en-US"/>
        </w:rPr>
        <w:t xml:space="preserve">The Money Bills Procedures and Related Matters Amendment Act 9 of 2009 sets out the process that allows Parliament to make recommendations to the Minister of Finance to amend the budget of a national department. In October of each year, portfolio committees must compile Budgetary Review and Recommendation Reports (BRRR) that assess service delivery performance given </w:t>
      </w:r>
      <w:r w:rsidR="00A9386F">
        <w:rPr>
          <w:lang w:val="en-US"/>
        </w:rPr>
        <w:t xml:space="preserve">the </w:t>
      </w:r>
      <w:r w:rsidRPr="00245C90">
        <w:rPr>
          <w:lang w:val="en-US"/>
        </w:rPr>
        <w:t>available resources; evaluate the effective and efficient use and forward</w:t>
      </w:r>
      <w:r w:rsidR="002B3E59">
        <w:rPr>
          <w:lang w:val="en-US"/>
        </w:rPr>
        <w:t xml:space="preserve"> </w:t>
      </w:r>
      <w:r w:rsidRPr="00245C90">
        <w:rPr>
          <w:lang w:val="en-US"/>
        </w:rPr>
        <w:t xml:space="preserve">allocation of resources; and may make recommendations on the future allocation of resources. These BRRR are source documents for the Standing Committee on Appropriations when it makes recommendations to the </w:t>
      </w:r>
      <w:r w:rsidR="005F4BAB" w:rsidRPr="00245C90">
        <w:rPr>
          <w:lang w:val="en-US"/>
        </w:rPr>
        <w:t xml:space="preserve">National Assembly </w:t>
      </w:r>
      <w:r w:rsidRPr="00245C90">
        <w:rPr>
          <w:lang w:val="en-US"/>
        </w:rPr>
        <w:t xml:space="preserve">on the Medium-Term Budget Policy Statement (MTBPS). The </w:t>
      </w:r>
      <w:r w:rsidR="00157E9A" w:rsidRPr="00245C90">
        <w:rPr>
          <w:lang w:val="en-US"/>
        </w:rPr>
        <w:t xml:space="preserve">annual </w:t>
      </w:r>
      <w:r w:rsidRPr="00245C90">
        <w:rPr>
          <w:lang w:val="en-US"/>
        </w:rPr>
        <w:t xml:space="preserve">review of </w:t>
      </w:r>
      <w:r w:rsidR="00157E9A" w:rsidRPr="00245C90">
        <w:rPr>
          <w:lang w:val="en-US"/>
        </w:rPr>
        <w:t xml:space="preserve">expenditure and </w:t>
      </w:r>
      <w:r w:rsidRPr="00245C90">
        <w:rPr>
          <w:lang w:val="en-US"/>
        </w:rPr>
        <w:t>performance</w:t>
      </w:r>
      <w:r w:rsidR="00236552" w:rsidRPr="00245C90">
        <w:rPr>
          <w:lang w:val="en-US"/>
        </w:rPr>
        <w:t xml:space="preserve"> </w:t>
      </w:r>
      <w:r w:rsidR="00157E9A" w:rsidRPr="00245C90">
        <w:rPr>
          <w:lang w:val="en-US"/>
        </w:rPr>
        <w:t>for 20</w:t>
      </w:r>
      <w:r w:rsidR="009635F9" w:rsidRPr="00245C90">
        <w:rPr>
          <w:lang w:val="en-US"/>
        </w:rPr>
        <w:t>15/16</w:t>
      </w:r>
      <w:r w:rsidR="00157E9A" w:rsidRPr="00245C90">
        <w:rPr>
          <w:lang w:val="en-US"/>
        </w:rPr>
        <w:t xml:space="preserve"> </w:t>
      </w:r>
      <w:r w:rsidR="005F4BAB" w:rsidRPr="00245C90">
        <w:rPr>
          <w:lang w:val="en-US"/>
        </w:rPr>
        <w:t xml:space="preserve">also </w:t>
      </w:r>
      <w:r w:rsidRPr="00245C90">
        <w:rPr>
          <w:lang w:val="en-US"/>
        </w:rPr>
        <w:t>forms part of this process.</w:t>
      </w:r>
    </w:p>
    <w:p w:rsidR="00C05C71" w:rsidRPr="00245C90" w:rsidRDefault="00C05C71" w:rsidP="00245C90">
      <w:pPr>
        <w:spacing w:line="360" w:lineRule="auto"/>
        <w:jc w:val="both"/>
        <w:rPr>
          <w:lang w:val="en-ZA"/>
        </w:rPr>
      </w:pPr>
    </w:p>
    <w:p w:rsidR="009C311F" w:rsidRPr="00245C90" w:rsidRDefault="009B277E" w:rsidP="00245C90">
      <w:pPr>
        <w:numPr>
          <w:ilvl w:val="1"/>
          <w:numId w:val="8"/>
        </w:numPr>
        <w:spacing w:line="360" w:lineRule="auto"/>
        <w:ind w:left="540" w:hanging="540"/>
        <w:jc w:val="both"/>
        <w:rPr>
          <w:lang w:val="en-US"/>
        </w:rPr>
      </w:pPr>
      <w:r w:rsidRPr="00245C90">
        <w:rPr>
          <w:lang w:val="en-US"/>
        </w:rPr>
        <w:t>O</w:t>
      </w:r>
      <w:r w:rsidR="00157E9A" w:rsidRPr="00245C90">
        <w:rPr>
          <w:lang w:val="en-US"/>
        </w:rPr>
        <w:t xml:space="preserve">n </w:t>
      </w:r>
      <w:r w:rsidR="009C311F" w:rsidRPr="00245C90">
        <w:rPr>
          <w:lang w:val="en-US"/>
        </w:rPr>
        <w:t>1 April 2015</w:t>
      </w:r>
      <w:r w:rsidR="00157E9A" w:rsidRPr="00245C90">
        <w:rPr>
          <w:lang w:val="en-US"/>
        </w:rPr>
        <w:t>, the O</w:t>
      </w:r>
      <w:r w:rsidR="00F22EE3" w:rsidRPr="00245C90">
        <w:rPr>
          <w:lang w:val="en-US"/>
        </w:rPr>
        <w:t xml:space="preserve">ffice of </w:t>
      </w:r>
      <w:r w:rsidR="00157E9A" w:rsidRPr="00245C90">
        <w:rPr>
          <w:lang w:val="en-US"/>
        </w:rPr>
        <w:t>C</w:t>
      </w:r>
      <w:r w:rsidR="00F22EE3" w:rsidRPr="00245C90">
        <w:rPr>
          <w:lang w:val="en-US"/>
        </w:rPr>
        <w:t xml:space="preserve">hief </w:t>
      </w:r>
      <w:r w:rsidR="00157E9A" w:rsidRPr="00245C90">
        <w:rPr>
          <w:lang w:val="en-US"/>
        </w:rPr>
        <w:t>J</w:t>
      </w:r>
      <w:r w:rsidR="00F22EE3" w:rsidRPr="00245C90">
        <w:rPr>
          <w:lang w:val="en-US"/>
        </w:rPr>
        <w:t>ustice (OCJ)</w:t>
      </w:r>
      <w:r w:rsidR="00157E9A" w:rsidRPr="00245C90">
        <w:rPr>
          <w:lang w:val="en-US"/>
        </w:rPr>
        <w:t xml:space="preserve"> became a fully-fledged Department with </w:t>
      </w:r>
      <w:r w:rsidR="009C311F" w:rsidRPr="00245C90">
        <w:rPr>
          <w:lang w:val="en-US"/>
        </w:rPr>
        <w:t>its own Vote – Vote 22: Office of the Chief Justice and Judicial Administration</w:t>
      </w:r>
      <w:r w:rsidR="00F045F1" w:rsidRPr="00245C90">
        <w:rPr>
          <w:lang w:val="en-US"/>
        </w:rPr>
        <w:t xml:space="preserve">. </w:t>
      </w:r>
      <w:r w:rsidR="00C7413B" w:rsidRPr="00245C90">
        <w:rPr>
          <w:lang w:val="en-US"/>
        </w:rPr>
        <w:t xml:space="preserve">The administration and allocation for the Superior Courts, Judicial Services Commission (JSC) and South African Judicial Education Institute (SAJEI) </w:t>
      </w:r>
      <w:r w:rsidR="00EC15BE" w:rsidRPr="00245C90">
        <w:rPr>
          <w:lang w:val="en-US"/>
        </w:rPr>
        <w:t xml:space="preserve">were </w:t>
      </w:r>
      <w:r w:rsidR="00C7413B" w:rsidRPr="00245C90">
        <w:rPr>
          <w:lang w:val="en-US"/>
        </w:rPr>
        <w:t xml:space="preserve">transferred to the </w:t>
      </w:r>
      <w:r w:rsidR="00FE5F8C" w:rsidRPr="00245C90">
        <w:rPr>
          <w:lang w:val="en-US"/>
        </w:rPr>
        <w:t xml:space="preserve">OCJ, </w:t>
      </w:r>
      <w:r w:rsidR="00C7413B" w:rsidRPr="00245C90">
        <w:rPr>
          <w:lang w:val="en-US"/>
        </w:rPr>
        <w:t>together with personnel</w:t>
      </w:r>
      <w:r w:rsidR="00EC15BE" w:rsidRPr="00245C90">
        <w:rPr>
          <w:lang w:val="en-US"/>
        </w:rPr>
        <w:t>, from the Department of Justice and Constitutional Development</w:t>
      </w:r>
      <w:r w:rsidR="00C7413B" w:rsidRPr="00245C90">
        <w:rPr>
          <w:lang w:val="en-US"/>
        </w:rPr>
        <w:t xml:space="preserve">. </w:t>
      </w:r>
      <w:r w:rsidR="009C311F" w:rsidRPr="00245C90">
        <w:rPr>
          <w:lang w:val="en-US"/>
        </w:rPr>
        <w:t xml:space="preserve">The funds for judges’ salaries </w:t>
      </w:r>
      <w:r w:rsidR="00EC15BE" w:rsidRPr="00245C90">
        <w:rPr>
          <w:lang w:val="en-US"/>
        </w:rPr>
        <w:t xml:space="preserve">were </w:t>
      </w:r>
      <w:r w:rsidR="009C311F" w:rsidRPr="00245C90">
        <w:rPr>
          <w:lang w:val="en-US"/>
        </w:rPr>
        <w:t>also transferred to the new Vote.</w:t>
      </w:r>
      <w:r w:rsidR="00EC15BE" w:rsidRPr="00245C90">
        <w:rPr>
          <w:lang w:val="en-US"/>
        </w:rPr>
        <w:t xml:space="preserve"> This is the first year that the OCJ will be</w:t>
      </w:r>
      <w:r w:rsidR="00236552" w:rsidRPr="00245C90">
        <w:rPr>
          <w:lang w:val="en-US"/>
        </w:rPr>
        <w:t xml:space="preserve"> participating in the BRRR process </w:t>
      </w:r>
      <w:r w:rsidR="00EC15BE" w:rsidRPr="00245C90">
        <w:rPr>
          <w:lang w:val="en-US"/>
        </w:rPr>
        <w:t>as a fully-fledged department.</w:t>
      </w:r>
    </w:p>
    <w:p w:rsidR="00EC15BE" w:rsidRPr="00245C90" w:rsidRDefault="00EC15BE" w:rsidP="00245C90">
      <w:pPr>
        <w:spacing w:line="360" w:lineRule="auto"/>
        <w:ind w:left="540"/>
        <w:jc w:val="both"/>
        <w:rPr>
          <w:lang w:val="en-US"/>
        </w:rPr>
      </w:pPr>
    </w:p>
    <w:p w:rsidR="00C05C71" w:rsidRPr="00245C90" w:rsidRDefault="009B277E" w:rsidP="00245C90">
      <w:pPr>
        <w:numPr>
          <w:ilvl w:val="1"/>
          <w:numId w:val="8"/>
        </w:numPr>
        <w:spacing w:line="360" w:lineRule="auto"/>
        <w:ind w:left="540" w:hanging="540"/>
        <w:jc w:val="both"/>
        <w:rPr>
          <w:lang w:val="en-US"/>
        </w:rPr>
      </w:pPr>
      <w:r w:rsidRPr="00245C90">
        <w:rPr>
          <w:lang w:val="en-US"/>
        </w:rPr>
        <w:t xml:space="preserve">On </w:t>
      </w:r>
      <w:r w:rsidR="00856216" w:rsidRPr="00245C90">
        <w:rPr>
          <w:lang w:val="en-US"/>
        </w:rPr>
        <w:t xml:space="preserve">18 October </w:t>
      </w:r>
      <w:r w:rsidRPr="00245C90">
        <w:rPr>
          <w:lang w:val="en-US"/>
        </w:rPr>
        <w:t>2016, t</w:t>
      </w:r>
      <w:r w:rsidR="00C05C71" w:rsidRPr="00245C90">
        <w:rPr>
          <w:lang w:val="en-US"/>
        </w:rPr>
        <w:t>he Committee enga</w:t>
      </w:r>
      <w:r w:rsidR="004C613B" w:rsidRPr="00245C90">
        <w:rPr>
          <w:lang w:val="en-US"/>
        </w:rPr>
        <w:t xml:space="preserve">ged with the </w:t>
      </w:r>
      <w:r w:rsidRPr="00245C90">
        <w:t xml:space="preserve">Office of the Chief Justice </w:t>
      </w:r>
      <w:r w:rsidRPr="00245C90">
        <w:rPr>
          <w:lang w:val="en-US"/>
        </w:rPr>
        <w:t>on its a</w:t>
      </w:r>
      <w:r w:rsidR="00C05C71" w:rsidRPr="00245C90">
        <w:rPr>
          <w:lang w:val="en-US"/>
        </w:rPr>
        <w:t>nnual performance and spending for 201</w:t>
      </w:r>
      <w:r w:rsidR="009635F9" w:rsidRPr="00245C90">
        <w:rPr>
          <w:lang w:val="en-US"/>
        </w:rPr>
        <w:t>5</w:t>
      </w:r>
      <w:r w:rsidR="0044061A" w:rsidRPr="00245C90">
        <w:rPr>
          <w:lang w:val="en-US"/>
        </w:rPr>
        <w:t>/1</w:t>
      </w:r>
      <w:r w:rsidR="009635F9" w:rsidRPr="00245C90">
        <w:rPr>
          <w:lang w:val="en-US"/>
        </w:rPr>
        <w:t>6</w:t>
      </w:r>
      <w:r w:rsidR="005F4BAB" w:rsidRPr="00245C90">
        <w:rPr>
          <w:lang w:val="en-US"/>
        </w:rPr>
        <w:t>. The meeting</w:t>
      </w:r>
      <w:r w:rsidR="00C05C71" w:rsidRPr="00245C90">
        <w:rPr>
          <w:lang w:val="en-US"/>
        </w:rPr>
        <w:t xml:space="preserve"> also </w:t>
      </w:r>
      <w:r w:rsidR="00C05C71" w:rsidRPr="00245C90">
        <w:rPr>
          <w:lang w:val="en-US"/>
        </w:rPr>
        <w:lastRenderedPageBreak/>
        <w:t xml:space="preserve">addressed service delivery performance and spending </w:t>
      </w:r>
      <w:r w:rsidR="005F4BAB" w:rsidRPr="00245C90">
        <w:rPr>
          <w:lang w:val="en-US"/>
        </w:rPr>
        <w:t xml:space="preserve">for </w:t>
      </w:r>
      <w:r w:rsidR="009635F9" w:rsidRPr="00245C90">
        <w:rPr>
          <w:lang w:val="en-US"/>
        </w:rPr>
        <w:t>the First Quarter 2016/17</w:t>
      </w:r>
      <w:r w:rsidR="00C05C71" w:rsidRPr="00245C90">
        <w:rPr>
          <w:lang w:val="en-US"/>
        </w:rPr>
        <w:t xml:space="preserve">. </w:t>
      </w:r>
    </w:p>
    <w:p w:rsidR="00C05C71" w:rsidRPr="00245C90" w:rsidRDefault="00C05C71" w:rsidP="00245C90">
      <w:pPr>
        <w:spacing w:line="360" w:lineRule="auto"/>
        <w:jc w:val="both"/>
        <w:rPr>
          <w:lang w:val="en-US"/>
        </w:rPr>
      </w:pPr>
    </w:p>
    <w:p w:rsidR="00C05C71" w:rsidRPr="00245C90" w:rsidRDefault="00C05C71" w:rsidP="00245C90">
      <w:pPr>
        <w:numPr>
          <w:ilvl w:val="1"/>
          <w:numId w:val="8"/>
        </w:numPr>
        <w:spacing w:line="360" w:lineRule="auto"/>
        <w:ind w:left="540" w:hanging="540"/>
        <w:jc w:val="both"/>
        <w:rPr>
          <w:lang w:val="en-US"/>
        </w:rPr>
      </w:pPr>
      <w:r w:rsidRPr="00245C90">
        <w:rPr>
          <w:lang w:val="en-US"/>
        </w:rPr>
        <w:t>The Committee</w:t>
      </w:r>
      <w:r w:rsidR="006F6A75" w:rsidRPr="00245C90">
        <w:rPr>
          <w:lang w:val="en-US"/>
        </w:rPr>
        <w:t xml:space="preserve"> </w:t>
      </w:r>
      <w:r w:rsidRPr="00245C90">
        <w:rPr>
          <w:lang w:val="en-US"/>
        </w:rPr>
        <w:t xml:space="preserve">met with the Auditor-General on the </w:t>
      </w:r>
      <w:r w:rsidR="00042CCC" w:rsidRPr="00245C90">
        <w:rPr>
          <w:lang w:val="en-US"/>
        </w:rPr>
        <w:t>a</w:t>
      </w:r>
      <w:r w:rsidR="00856216" w:rsidRPr="00245C90">
        <w:rPr>
          <w:lang w:val="en-US"/>
        </w:rPr>
        <w:t>udit outcomes for the Vote on 11</w:t>
      </w:r>
      <w:r w:rsidR="00042CCC" w:rsidRPr="00245C90">
        <w:rPr>
          <w:lang w:val="en-US"/>
        </w:rPr>
        <w:t xml:space="preserve"> October 2016. </w:t>
      </w:r>
    </w:p>
    <w:p w:rsidR="00856216" w:rsidRPr="00245C90" w:rsidRDefault="00856216" w:rsidP="00245C90">
      <w:pPr>
        <w:pStyle w:val="ListParagraph"/>
        <w:spacing w:line="360" w:lineRule="auto"/>
        <w:jc w:val="both"/>
        <w:rPr>
          <w:lang w:val="en-US"/>
        </w:rPr>
      </w:pPr>
    </w:p>
    <w:p w:rsidR="00C05C71" w:rsidRPr="00245C90" w:rsidRDefault="00C05C71" w:rsidP="00245C90">
      <w:pPr>
        <w:numPr>
          <w:ilvl w:val="1"/>
          <w:numId w:val="8"/>
        </w:numPr>
        <w:spacing w:line="360" w:lineRule="auto"/>
        <w:ind w:left="540" w:hanging="540"/>
        <w:jc w:val="both"/>
        <w:rPr>
          <w:lang w:val="en-US"/>
        </w:rPr>
      </w:pPr>
      <w:r w:rsidRPr="00245C90">
        <w:rPr>
          <w:lang w:val="en-US"/>
        </w:rPr>
        <w:t xml:space="preserve">Copies of </w:t>
      </w:r>
      <w:r w:rsidR="00BF4747" w:rsidRPr="00245C90">
        <w:rPr>
          <w:lang w:val="en-US"/>
        </w:rPr>
        <w:t xml:space="preserve">all </w:t>
      </w:r>
      <w:r w:rsidRPr="00245C90">
        <w:rPr>
          <w:lang w:val="en-US"/>
        </w:rPr>
        <w:t xml:space="preserve">the presentations are available from the committee secretary. </w:t>
      </w:r>
    </w:p>
    <w:p w:rsidR="00BE558A" w:rsidRPr="00245C90" w:rsidRDefault="00BE558A" w:rsidP="00245C90">
      <w:pPr>
        <w:tabs>
          <w:tab w:val="num" w:pos="2520"/>
        </w:tabs>
        <w:spacing w:line="360" w:lineRule="auto"/>
        <w:jc w:val="both"/>
        <w:rPr>
          <w:b/>
        </w:rPr>
      </w:pPr>
    </w:p>
    <w:p w:rsidR="00856216" w:rsidRPr="00245C90" w:rsidRDefault="00856216" w:rsidP="00245C90">
      <w:pPr>
        <w:tabs>
          <w:tab w:val="num" w:pos="2520"/>
        </w:tabs>
        <w:spacing w:line="360" w:lineRule="auto"/>
        <w:jc w:val="both"/>
        <w:rPr>
          <w:b/>
        </w:rPr>
      </w:pPr>
    </w:p>
    <w:p w:rsidR="00C05C71" w:rsidRPr="00245C90" w:rsidRDefault="005F4BAB" w:rsidP="00245C90">
      <w:pPr>
        <w:numPr>
          <w:ilvl w:val="0"/>
          <w:numId w:val="2"/>
        </w:numPr>
        <w:tabs>
          <w:tab w:val="clear" w:pos="360"/>
          <w:tab w:val="num" w:pos="540"/>
        </w:tabs>
        <w:spacing w:line="360" w:lineRule="auto"/>
        <w:ind w:left="540" w:hanging="540"/>
        <w:jc w:val="both"/>
        <w:rPr>
          <w:b/>
          <w:lang w:val="en-ZA"/>
        </w:rPr>
      </w:pPr>
      <w:r w:rsidRPr="00245C90">
        <w:rPr>
          <w:b/>
          <w:lang w:val="en-ZA"/>
        </w:rPr>
        <w:t>S</w:t>
      </w:r>
      <w:r w:rsidR="006F6A75" w:rsidRPr="00245C90">
        <w:rPr>
          <w:b/>
          <w:lang w:val="en-ZA"/>
        </w:rPr>
        <w:t>trategic overview</w:t>
      </w:r>
    </w:p>
    <w:p w:rsidR="00C05C71" w:rsidRPr="00245C90" w:rsidRDefault="00C05C71" w:rsidP="00245C90">
      <w:pPr>
        <w:spacing w:line="360" w:lineRule="auto"/>
        <w:jc w:val="both"/>
        <w:rPr>
          <w:lang w:val="en-ZA"/>
        </w:rPr>
      </w:pPr>
    </w:p>
    <w:p w:rsidR="00856216" w:rsidRPr="00245C90" w:rsidRDefault="00856216" w:rsidP="00245C90">
      <w:pPr>
        <w:pStyle w:val="ListParagraph"/>
        <w:numPr>
          <w:ilvl w:val="1"/>
          <w:numId w:val="2"/>
        </w:numPr>
        <w:tabs>
          <w:tab w:val="num" w:pos="567"/>
        </w:tabs>
        <w:spacing w:line="360" w:lineRule="auto"/>
        <w:ind w:left="567" w:hanging="567"/>
        <w:jc w:val="both"/>
        <w:rPr>
          <w:lang w:val="en-US" w:eastAsia="en-US"/>
        </w:rPr>
      </w:pPr>
      <w:r w:rsidRPr="00245C90">
        <w:rPr>
          <w:bCs/>
        </w:rPr>
        <w:t>Strengthening judicial governance and the rule of law is considered vital to further the transformati</w:t>
      </w:r>
      <w:r w:rsidR="00236552" w:rsidRPr="00245C90">
        <w:rPr>
          <w:bCs/>
        </w:rPr>
        <w:t>ve promise of our Constitution.</w:t>
      </w:r>
    </w:p>
    <w:p w:rsidR="00856216" w:rsidRPr="00245C90" w:rsidRDefault="00856216" w:rsidP="00245C90">
      <w:pPr>
        <w:pStyle w:val="ListParagraph"/>
        <w:autoSpaceDE w:val="0"/>
        <w:autoSpaceDN w:val="0"/>
        <w:adjustRightInd w:val="0"/>
        <w:spacing w:line="360" w:lineRule="auto"/>
        <w:ind w:left="1004"/>
        <w:contextualSpacing/>
        <w:jc w:val="both"/>
        <w:rPr>
          <w:lang w:val="en-US" w:eastAsia="en-US"/>
        </w:rPr>
      </w:pPr>
    </w:p>
    <w:p w:rsidR="00856216" w:rsidRPr="00245C90" w:rsidRDefault="003D7013" w:rsidP="00245C90">
      <w:pPr>
        <w:pStyle w:val="ListParagraph"/>
        <w:numPr>
          <w:ilvl w:val="1"/>
          <w:numId w:val="2"/>
        </w:numPr>
        <w:tabs>
          <w:tab w:val="num" w:pos="567"/>
        </w:tabs>
        <w:spacing w:line="360" w:lineRule="auto"/>
        <w:ind w:left="567" w:hanging="567"/>
        <w:jc w:val="both"/>
        <w:rPr>
          <w:lang w:val="en-US" w:eastAsia="en-US"/>
        </w:rPr>
      </w:pPr>
      <w:r w:rsidRPr="00245C90">
        <w:rPr>
          <w:lang w:val="en-US" w:eastAsia="en-US"/>
        </w:rPr>
        <w:t xml:space="preserve">On 23 August 2010, the President of the Republic of South Africa proclaimed the Office of the Chief Justice (OCJ) as a national </w:t>
      </w:r>
      <w:r w:rsidR="00A9386F">
        <w:rPr>
          <w:lang w:val="en-US" w:eastAsia="en-US"/>
        </w:rPr>
        <w:t>d</w:t>
      </w:r>
      <w:r w:rsidRPr="00245C90">
        <w:rPr>
          <w:lang w:val="en-US" w:eastAsia="en-US"/>
        </w:rPr>
        <w:t xml:space="preserve">epartment within the public service. The establishment of the OCJ was envisaged as the first phase towards an </w:t>
      </w:r>
      <w:r w:rsidR="00570286" w:rsidRPr="00245C90">
        <w:rPr>
          <w:lang w:val="en-US" w:eastAsia="en-US"/>
        </w:rPr>
        <w:t>independent judiciary</w:t>
      </w:r>
      <w:r w:rsidRPr="00245C90">
        <w:rPr>
          <w:lang w:val="en-US" w:eastAsia="en-US"/>
        </w:rPr>
        <w:t>-led court administration system in order to fully</w:t>
      </w:r>
      <w:r w:rsidRPr="00245C90">
        <w:rPr>
          <w:lang w:eastAsia="en-US"/>
        </w:rPr>
        <w:t xml:space="preserve"> realise</w:t>
      </w:r>
      <w:r w:rsidRPr="00245C90">
        <w:rPr>
          <w:lang w:val="en-US" w:eastAsia="en-US"/>
        </w:rPr>
        <w:t xml:space="preserve"> the Judiciary’s institutional independence in line with the Constitution</w:t>
      </w:r>
      <w:r w:rsidR="005F4BAB" w:rsidRPr="00245C90">
        <w:rPr>
          <w:lang w:val="en-US" w:eastAsia="en-US"/>
        </w:rPr>
        <w:t>, 1996,</w:t>
      </w:r>
      <w:r w:rsidRPr="00245C90">
        <w:rPr>
          <w:lang w:val="en-US" w:eastAsia="en-US"/>
        </w:rPr>
        <w:t xml:space="preserve"> and the Superior Courts Act, 2013. </w:t>
      </w:r>
    </w:p>
    <w:p w:rsidR="00856216" w:rsidRPr="00245C90" w:rsidRDefault="00856216" w:rsidP="00245C90">
      <w:pPr>
        <w:autoSpaceDE w:val="0"/>
        <w:autoSpaceDN w:val="0"/>
        <w:adjustRightInd w:val="0"/>
        <w:spacing w:line="360" w:lineRule="auto"/>
        <w:ind w:left="720"/>
        <w:jc w:val="both"/>
        <w:rPr>
          <w:lang w:val="en-US" w:eastAsia="en-US"/>
        </w:rPr>
      </w:pPr>
    </w:p>
    <w:p w:rsidR="00856216" w:rsidRPr="00245C90" w:rsidRDefault="003D7013" w:rsidP="00245C90">
      <w:pPr>
        <w:pStyle w:val="ListParagraph"/>
        <w:numPr>
          <w:ilvl w:val="1"/>
          <w:numId w:val="2"/>
        </w:numPr>
        <w:tabs>
          <w:tab w:val="num" w:pos="567"/>
        </w:tabs>
        <w:spacing w:line="360" w:lineRule="auto"/>
        <w:ind w:left="567" w:hanging="567"/>
        <w:jc w:val="both"/>
        <w:rPr>
          <w:lang w:val="en-US" w:eastAsia="en-US"/>
        </w:rPr>
      </w:pPr>
      <w:r w:rsidRPr="00245C90">
        <w:rPr>
          <w:lang w:val="en-US"/>
        </w:rPr>
        <w:t>The Constitution Seventeenth Amendment Act, 2013, affirms the Chief Justice as head of the Judiciary responsible for establishing and monitoring the norms and standards for the exercise of judicial functions of all courts. The Superior Courts Act</w:t>
      </w:r>
      <w:r w:rsidR="00CA00DF" w:rsidRPr="00245C90">
        <w:rPr>
          <w:lang w:val="en-US"/>
        </w:rPr>
        <w:t>, 2013,</w:t>
      </w:r>
      <w:r w:rsidRPr="00245C90">
        <w:rPr>
          <w:lang w:val="en-US"/>
        </w:rPr>
        <w:t xml:space="preserve"> establishes a legislative framework for the Chief Justice to exercise his/her judicial leadership supported by the OCJ and provides for the delegation of certain functions flowing from the Act to the OCJ.</w:t>
      </w:r>
      <w:r w:rsidRPr="00245C90">
        <w:rPr>
          <w:lang w:val="en-US" w:eastAsia="en-US"/>
        </w:rPr>
        <w:t xml:space="preserve"> </w:t>
      </w:r>
    </w:p>
    <w:p w:rsidR="00856216" w:rsidRPr="00245C90" w:rsidRDefault="00856216" w:rsidP="00245C90">
      <w:pPr>
        <w:pStyle w:val="ListParagraph"/>
        <w:spacing w:line="360" w:lineRule="auto"/>
        <w:jc w:val="both"/>
      </w:pPr>
    </w:p>
    <w:p w:rsidR="00856216" w:rsidRPr="00245C90" w:rsidRDefault="006F6A75" w:rsidP="00245C90">
      <w:pPr>
        <w:pStyle w:val="ListParagraph"/>
        <w:numPr>
          <w:ilvl w:val="1"/>
          <w:numId w:val="2"/>
        </w:numPr>
        <w:tabs>
          <w:tab w:val="num" w:pos="567"/>
        </w:tabs>
        <w:spacing w:line="360" w:lineRule="auto"/>
        <w:ind w:left="567" w:hanging="567"/>
        <w:jc w:val="both"/>
        <w:rPr>
          <w:lang w:val="en-US" w:eastAsia="en-US"/>
        </w:rPr>
      </w:pPr>
      <w:r w:rsidRPr="00245C90">
        <w:rPr>
          <w:lang w:val="en-US"/>
        </w:rPr>
        <w:t xml:space="preserve">The Minister of Justice and Correctional Services </w:t>
      </w:r>
      <w:r w:rsidR="0049091A" w:rsidRPr="00245C90">
        <w:rPr>
          <w:lang w:val="en-US"/>
        </w:rPr>
        <w:t xml:space="preserve">heads </w:t>
      </w:r>
      <w:r w:rsidRPr="00245C90">
        <w:rPr>
          <w:lang w:val="en-US"/>
        </w:rPr>
        <w:t>the OCJ</w:t>
      </w:r>
      <w:r w:rsidR="0049091A" w:rsidRPr="00245C90">
        <w:rPr>
          <w:lang w:val="en-US"/>
        </w:rPr>
        <w:t xml:space="preserve"> as its Executive Authority, while t</w:t>
      </w:r>
      <w:r w:rsidR="00856216" w:rsidRPr="00245C90">
        <w:rPr>
          <w:lang w:val="en-US"/>
        </w:rPr>
        <w:t>he Secretary-General is the accounting officer</w:t>
      </w:r>
      <w:r w:rsidR="0049091A" w:rsidRPr="00245C90">
        <w:rPr>
          <w:lang w:val="en-US"/>
        </w:rPr>
        <w:t>.</w:t>
      </w:r>
      <w:r w:rsidR="005F4BAB" w:rsidRPr="00245C90">
        <w:rPr>
          <w:lang w:val="en-US"/>
        </w:rPr>
        <w:t xml:space="preserve"> The Secretary-</w:t>
      </w:r>
      <w:r w:rsidR="00501292" w:rsidRPr="00245C90">
        <w:rPr>
          <w:lang w:val="en-US"/>
        </w:rPr>
        <w:t>G</w:t>
      </w:r>
      <w:r w:rsidR="0049091A" w:rsidRPr="00245C90">
        <w:rPr>
          <w:lang w:val="en-US"/>
        </w:rPr>
        <w:t>eneral acts as the Minister’s proxy, engaging and consulting with the Chief J</w:t>
      </w:r>
      <w:r w:rsidR="005F4BAB" w:rsidRPr="00245C90">
        <w:rPr>
          <w:lang w:val="en-US"/>
        </w:rPr>
        <w:t>ustice and other Heads of Court</w:t>
      </w:r>
      <w:r w:rsidR="0049091A" w:rsidRPr="00245C90">
        <w:rPr>
          <w:lang w:val="en-US"/>
        </w:rPr>
        <w:t xml:space="preserve"> in respect of the administrative functioning of the Superior Courts, while the Chief Justice </w:t>
      </w:r>
      <w:r w:rsidR="00501292" w:rsidRPr="00245C90">
        <w:rPr>
          <w:lang w:val="en-US"/>
        </w:rPr>
        <w:t>is in charge of the judicia</w:t>
      </w:r>
      <w:r w:rsidR="005F4BAB" w:rsidRPr="00245C90">
        <w:rPr>
          <w:lang w:val="en-US"/>
        </w:rPr>
        <w:t>l functions of the Superior and Magistrates’ Courts</w:t>
      </w:r>
      <w:r w:rsidR="00501292" w:rsidRPr="00245C90">
        <w:rPr>
          <w:lang w:val="en-US"/>
        </w:rPr>
        <w:t xml:space="preserve">. </w:t>
      </w:r>
      <w:r w:rsidR="005F4BAB" w:rsidRPr="00245C90">
        <w:rPr>
          <w:lang w:val="en-US"/>
        </w:rPr>
        <w:t xml:space="preserve">However, until the </w:t>
      </w:r>
      <w:r w:rsidR="005F4BAB" w:rsidRPr="00245C90">
        <w:rPr>
          <w:lang w:val="en-US"/>
        </w:rPr>
        <w:lastRenderedPageBreak/>
        <w:t xml:space="preserve">legislative framework for the Magistrates’ Courts has been overhauled to transform these courts in line with the Superior Courts Act, 2013, </w:t>
      </w:r>
      <w:r w:rsidR="00856216" w:rsidRPr="00245C90">
        <w:rPr>
          <w:lang w:val="en-US"/>
        </w:rPr>
        <w:t>the Justice Depa</w:t>
      </w:r>
      <w:r w:rsidR="005F4BAB" w:rsidRPr="00245C90">
        <w:rPr>
          <w:lang w:val="en-US"/>
        </w:rPr>
        <w:t xml:space="preserve">rtment will continue to </w:t>
      </w:r>
      <w:r w:rsidR="00570286" w:rsidRPr="00245C90">
        <w:rPr>
          <w:lang w:val="en-US"/>
        </w:rPr>
        <w:t>provide the necessary administrative support</w:t>
      </w:r>
      <w:r w:rsidR="00A9386F">
        <w:rPr>
          <w:lang w:val="en-US"/>
        </w:rPr>
        <w:t xml:space="preserve"> to the Magistrates’ Courts</w:t>
      </w:r>
      <w:r w:rsidR="00570286" w:rsidRPr="00245C90">
        <w:rPr>
          <w:lang w:val="en-US"/>
        </w:rPr>
        <w:t xml:space="preserve">. </w:t>
      </w:r>
    </w:p>
    <w:p w:rsidR="00856216" w:rsidRPr="00245C90" w:rsidRDefault="00856216" w:rsidP="00245C90">
      <w:pPr>
        <w:pStyle w:val="ListParagraph"/>
        <w:spacing w:line="360" w:lineRule="auto"/>
        <w:jc w:val="both"/>
      </w:pPr>
    </w:p>
    <w:p w:rsidR="003D7013" w:rsidRPr="00245C90" w:rsidRDefault="003D7013" w:rsidP="00245C90">
      <w:pPr>
        <w:pStyle w:val="ListParagraph"/>
        <w:numPr>
          <w:ilvl w:val="1"/>
          <w:numId w:val="2"/>
        </w:numPr>
        <w:tabs>
          <w:tab w:val="num" w:pos="567"/>
        </w:tabs>
        <w:spacing w:line="360" w:lineRule="auto"/>
        <w:ind w:left="567" w:hanging="567"/>
        <w:jc w:val="both"/>
        <w:rPr>
          <w:lang w:val="en-US" w:eastAsia="en-US"/>
        </w:rPr>
      </w:pPr>
      <w:r w:rsidRPr="00245C90">
        <w:t xml:space="preserve">The </w:t>
      </w:r>
      <w:r w:rsidR="00501292" w:rsidRPr="00245C90">
        <w:t xml:space="preserve">strategic </w:t>
      </w:r>
      <w:r w:rsidRPr="00245C90">
        <w:t xml:space="preserve">focus remains on strengthening the </w:t>
      </w:r>
      <w:r w:rsidR="00570286" w:rsidRPr="00245C90">
        <w:t xml:space="preserve">OCJ </w:t>
      </w:r>
      <w:r w:rsidRPr="00245C90">
        <w:t xml:space="preserve">to enhance its capacity to support the Chief Justice in his or her role as head of the Judiciary and to provide a platform for the implementation of judicial reforms that will improve service delivery and address administrative challenges in a context that also respects judicial independence. </w:t>
      </w:r>
    </w:p>
    <w:p w:rsidR="003D7013" w:rsidRPr="00245C90" w:rsidRDefault="003D7013" w:rsidP="00245C90">
      <w:pPr>
        <w:pStyle w:val="ListParagraph"/>
        <w:spacing w:line="360" w:lineRule="auto"/>
        <w:ind w:left="709"/>
        <w:jc w:val="both"/>
      </w:pPr>
    </w:p>
    <w:p w:rsidR="003D7013" w:rsidRPr="00245C90" w:rsidRDefault="006F6A75" w:rsidP="00245C90">
      <w:pPr>
        <w:pStyle w:val="ListParagraph"/>
        <w:numPr>
          <w:ilvl w:val="1"/>
          <w:numId w:val="2"/>
        </w:numPr>
        <w:tabs>
          <w:tab w:val="num" w:pos="567"/>
        </w:tabs>
        <w:spacing w:line="360" w:lineRule="auto"/>
        <w:ind w:left="567" w:hanging="567"/>
        <w:jc w:val="both"/>
      </w:pPr>
      <w:r w:rsidRPr="00245C90">
        <w:t xml:space="preserve">The OCJ </w:t>
      </w:r>
      <w:r w:rsidR="00632573" w:rsidRPr="00245C90">
        <w:t xml:space="preserve">performs </w:t>
      </w:r>
      <w:r w:rsidRPr="00245C90">
        <w:t>the following functions:</w:t>
      </w:r>
    </w:p>
    <w:p w:rsidR="006F6A75" w:rsidRPr="00245C90" w:rsidRDefault="006F6A75" w:rsidP="00245C90">
      <w:pPr>
        <w:numPr>
          <w:ilvl w:val="0"/>
          <w:numId w:val="27"/>
        </w:numPr>
        <w:autoSpaceDE w:val="0"/>
        <w:autoSpaceDN w:val="0"/>
        <w:adjustRightInd w:val="0"/>
        <w:spacing w:line="360" w:lineRule="auto"/>
        <w:ind w:left="1080" w:hanging="513"/>
        <w:jc w:val="both"/>
        <w:rPr>
          <w:lang w:val="en-US"/>
        </w:rPr>
      </w:pPr>
      <w:r w:rsidRPr="00245C90">
        <w:rPr>
          <w:lang w:val="en-US"/>
        </w:rPr>
        <w:t>Provide</w:t>
      </w:r>
      <w:r w:rsidR="00632573" w:rsidRPr="00245C90">
        <w:rPr>
          <w:lang w:val="en-US"/>
        </w:rPr>
        <w:t>s</w:t>
      </w:r>
      <w:r w:rsidRPr="00245C90">
        <w:rPr>
          <w:lang w:val="en-US"/>
        </w:rPr>
        <w:t xml:space="preserve"> and co-ordinate</w:t>
      </w:r>
      <w:r w:rsidR="00632573" w:rsidRPr="00245C90">
        <w:rPr>
          <w:lang w:val="en-US"/>
        </w:rPr>
        <w:t>s</w:t>
      </w:r>
      <w:r w:rsidRPr="00245C90">
        <w:rPr>
          <w:lang w:val="en-US"/>
        </w:rPr>
        <w:t xml:space="preserve"> legal and administrative support to the Chief Justice</w:t>
      </w:r>
      <w:r w:rsidR="00570286" w:rsidRPr="00245C90">
        <w:rPr>
          <w:lang w:val="en-US"/>
        </w:rPr>
        <w:t>.</w:t>
      </w:r>
    </w:p>
    <w:p w:rsidR="006F6A75" w:rsidRPr="00245C90" w:rsidRDefault="006F6A75" w:rsidP="00245C90">
      <w:pPr>
        <w:numPr>
          <w:ilvl w:val="0"/>
          <w:numId w:val="27"/>
        </w:numPr>
        <w:autoSpaceDE w:val="0"/>
        <w:autoSpaceDN w:val="0"/>
        <w:adjustRightInd w:val="0"/>
        <w:spacing w:line="360" w:lineRule="auto"/>
        <w:ind w:left="1080" w:hanging="513"/>
        <w:jc w:val="both"/>
        <w:rPr>
          <w:lang w:val="en-US"/>
        </w:rPr>
      </w:pPr>
      <w:r w:rsidRPr="00245C90">
        <w:rPr>
          <w:lang w:val="en-US"/>
        </w:rPr>
        <w:t>Provide</w:t>
      </w:r>
      <w:r w:rsidR="00632573" w:rsidRPr="00245C90">
        <w:rPr>
          <w:lang w:val="en-US"/>
        </w:rPr>
        <w:t>s</w:t>
      </w:r>
      <w:r w:rsidRPr="00245C90">
        <w:rPr>
          <w:lang w:val="en-US"/>
        </w:rPr>
        <w:t xml:space="preserve"> communication and relationship management services and inter-governmental and international co-ordination</w:t>
      </w:r>
      <w:r w:rsidR="00570286" w:rsidRPr="00245C90">
        <w:rPr>
          <w:lang w:val="en-US"/>
        </w:rPr>
        <w:t>.</w:t>
      </w:r>
    </w:p>
    <w:p w:rsidR="006F6A75" w:rsidRPr="00245C90" w:rsidRDefault="006F6A75" w:rsidP="00245C90">
      <w:pPr>
        <w:numPr>
          <w:ilvl w:val="0"/>
          <w:numId w:val="27"/>
        </w:numPr>
        <w:autoSpaceDE w:val="0"/>
        <w:autoSpaceDN w:val="0"/>
        <w:adjustRightInd w:val="0"/>
        <w:spacing w:line="360" w:lineRule="auto"/>
        <w:ind w:left="1080" w:hanging="513"/>
        <w:jc w:val="both"/>
        <w:rPr>
          <w:lang w:val="en-US"/>
        </w:rPr>
      </w:pPr>
      <w:r w:rsidRPr="00245C90">
        <w:rPr>
          <w:lang w:val="en-US"/>
        </w:rPr>
        <w:t>Develop</w:t>
      </w:r>
      <w:r w:rsidR="00632573" w:rsidRPr="00245C90">
        <w:rPr>
          <w:lang w:val="en-US"/>
        </w:rPr>
        <w:t>s</w:t>
      </w:r>
      <w:r w:rsidRPr="00245C90">
        <w:rPr>
          <w:lang w:val="en-US"/>
        </w:rPr>
        <w:t xml:space="preserve"> courts’ administration policy, norms and standards.</w:t>
      </w:r>
    </w:p>
    <w:p w:rsidR="006F6A75" w:rsidRPr="00245C90" w:rsidRDefault="006F6A75" w:rsidP="00245C90">
      <w:pPr>
        <w:numPr>
          <w:ilvl w:val="0"/>
          <w:numId w:val="27"/>
        </w:numPr>
        <w:autoSpaceDE w:val="0"/>
        <w:autoSpaceDN w:val="0"/>
        <w:adjustRightInd w:val="0"/>
        <w:spacing w:line="360" w:lineRule="auto"/>
        <w:ind w:left="1080" w:hanging="513"/>
        <w:jc w:val="both"/>
        <w:rPr>
          <w:lang w:val="en-US"/>
        </w:rPr>
      </w:pPr>
      <w:r w:rsidRPr="00245C90">
        <w:rPr>
          <w:lang w:val="en-US"/>
        </w:rPr>
        <w:t>Support</w:t>
      </w:r>
      <w:r w:rsidR="00632573" w:rsidRPr="00245C90">
        <w:rPr>
          <w:lang w:val="en-US"/>
        </w:rPr>
        <w:t>s</w:t>
      </w:r>
      <w:r w:rsidRPr="00245C90">
        <w:rPr>
          <w:lang w:val="en-US"/>
        </w:rPr>
        <w:t xml:space="preserve"> the development of judicial policy, norms and standards.</w:t>
      </w:r>
    </w:p>
    <w:p w:rsidR="006F6A75" w:rsidRPr="00245C90" w:rsidRDefault="006F6A75" w:rsidP="00245C90">
      <w:pPr>
        <w:numPr>
          <w:ilvl w:val="0"/>
          <w:numId w:val="27"/>
        </w:numPr>
        <w:autoSpaceDE w:val="0"/>
        <w:autoSpaceDN w:val="0"/>
        <w:adjustRightInd w:val="0"/>
        <w:spacing w:line="360" w:lineRule="auto"/>
        <w:ind w:left="1080" w:hanging="513"/>
        <w:jc w:val="both"/>
        <w:rPr>
          <w:lang w:val="en-US"/>
        </w:rPr>
      </w:pPr>
      <w:r w:rsidRPr="00245C90">
        <w:rPr>
          <w:lang w:val="en-US"/>
        </w:rPr>
        <w:t>Support</w:t>
      </w:r>
      <w:r w:rsidR="00632573" w:rsidRPr="00245C90">
        <w:rPr>
          <w:lang w:val="en-US"/>
        </w:rPr>
        <w:t>s</w:t>
      </w:r>
      <w:r w:rsidRPr="00245C90">
        <w:rPr>
          <w:lang w:val="en-US"/>
        </w:rPr>
        <w:t xml:space="preserve"> the judicial function of the Constitutional </w:t>
      </w:r>
      <w:r w:rsidR="00570286" w:rsidRPr="00245C90">
        <w:rPr>
          <w:lang w:val="en-US"/>
        </w:rPr>
        <w:t>C</w:t>
      </w:r>
      <w:r w:rsidRPr="00245C90">
        <w:rPr>
          <w:lang w:val="en-US"/>
        </w:rPr>
        <w:t>ourt</w:t>
      </w:r>
      <w:r w:rsidR="00570286" w:rsidRPr="00245C90">
        <w:rPr>
          <w:lang w:val="en-US"/>
        </w:rPr>
        <w:t>.</w:t>
      </w:r>
    </w:p>
    <w:p w:rsidR="006F6A75" w:rsidRPr="00245C90" w:rsidRDefault="006F6A75" w:rsidP="00245C90">
      <w:pPr>
        <w:numPr>
          <w:ilvl w:val="0"/>
          <w:numId w:val="27"/>
        </w:numPr>
        <w:autoSpaceDE w:val="0"/>
        <w:autoSpaceDN w:val="0"/>
        <w:adjustRightInd w:val="0"/>
        <w:spacing w:line="360" w:lineRule="auto"/>
        <w:ind w:left="1080" w:hanging="513"/>
        <w:jc w:val="both"/>
        <w:rPr>
          <w:lang w:val="en-US"/>
        </w:rPr>
      </w:pPr>
      <w:r w:rsidRPr="00245C90">
        <w:rPr>
          <w:lang w:val="en-US"/>
        </w:rPr>
        <w:t>Support</w:t>
      </w:r>
      <w:r w:rsidR="00632573" w:rsidRPr="00245C90">
        <w:rPr>
          <w:lang w:val="en-US"/>
        </w:rPr>
        <w:t>s</w:t>
      </w:r>
      <w:r w:rsidRPr="00245C90">
        <w:rPr>
          <w:lang w:val="en-US"/>
        </w:rPr>
        <w:t xml:space="preserve"> the Judicial Services Commission in the execution of its mandate.</w:t>
      </w:r>
    </w:p>
    <w:p w:rsidR="003D7013" w:rsidRPr="00245C90" w:rsidRDefault="00A9386F" w:rsidP="00245C90">
      <w:pPr>
        <w:numPr>
          <w:ilvl w:val="0"/>
          <w:numId w:val="27"/>
        </w:numPr>
        <w:autoSpaceDE w:val="0"/>
        <w:autoSpaceDN w:val="0"/>
        <w:adjustRightInd w:val="0"/>
        <w:spacing w:line="360" w:lineRule="auto"/>
        <w:ind w:left="1080" w:hanging="513"/>
        <w:jc w:val="both"/>
      </w:pPr>
      <w:r>
        <w:rPr>
          <w:lang w:val="en-US"/>
        </w:rPr>
        <w:t>S</w:t>
      </w:r>
      <w:r w:rsidR="006F6A75" w:rsidRPr="00245C90">
        <w:rPr>
          <w:lang w:val="en-US"/>
        </w:rPr>
        <w:t>upport</w:t>
      </w:r>
      <w:r>
        <w:rPr>
          <w:lang w:val="en-US"/>
        </w:rPr>
        <w:t xml:space="preserve">s </w:t>
      </w:r>
      <w:r w:rsidR="006F6A75" w:rsidRPr="00245C90">
        <w:rPr>
          <w:lang w:val="en-US"/>
        </w:rPr>
        <w:t>judicial education through the South Af</w:t>
      </w:r>
      <w:r w:rsidR="006F6A75" w:rsidRPr="00245C90">
        <w:t>rican Education Institute (SAJEI).</w:t>
      </w:r>
    </w:p>
    <w:p w:rsidR="006F6A75" w:rsidRPr="00245C90" w:rsidRDefault="006F6A75" w:rsidP="00245C90">
      <w:pPr>
        <w:pStyle w:val="ListParagraph"/>
        <w:spacing w:line="360" w:lineRule="auto"/>
        <w:jc w:val="both"/>
      </w:pPr>
    </w:p>
    <w:p w:rsidR="00632573" w:rsidRPr="00245C90" w:rsidRDefault="00632573" w:rsidP="00245C90">
      <w:pPr>
        <w:pStyle w:val="ListParagraph"/>
        <w:spacing w:line="360" w:lineRule="auto"/>
        <w:jc w:val="both"/>
      </w:pPr>
    </w:p>
    <w:p w:rsidR="003D7013" w:rsidRPr="00245C90" w:rsidRDefault="003D7013" w:rsidP="00245C90">
      <w:pPr>
        <w:numPr>
          <w:ilvl w:val="0"/>
          <w:numId w:val="2"/>
        </w:numPr>
        <w:tabs>
          <w:tab w:val="clear" w:pos="360"/>
          <w:tab w:val="num" w:pos="567"/>
        </w:tabs>
        <w:spacing w:line="360" w:lineRule="auto"/>
        <w:ind w:left="540" w:hanging="540"/>
        <w:jc w:val="both"/>
        <w:rPr>
          <w:b/>
        </w:rPr>
      </w:pPr>
      <w:r w:rsidRPr="00245C90">
        <w:rPr>
          <w:b/>
        </w:rPr>
        <w:t>Strategic priorities 2015 – 2019</w:t>
      </w:r>
    </w:p>
    <w:p w:rsidR="003D7013" w:rsidRPr="00245C90" w:rsidRDefault="003D7013" w:rsidP="00245C90">
      <w:pPr>
        <w:pStyle w:val="ListParagraph"/>
        <w:spacing w:line="360" w:lineRule="auto"/>
        <w:jc w:val="both"/>
        <w:rPr>
          <w:b/>
        </w:rPr>
      </w:pPr>
    </w:p>
    <w:p w:rsidR="0046751C" w:rsidRPr="00245C90" w:rsidRDefault="003D7013" w:rsidP="00245C90">
      <w:pPr>
        <w:pStyle w:val="ListParagraph"/>
        <w:numPr>
          <w:ilvl w:val="1"/>
          <w:numId w:val="2"/>
        </w:numPr>
        <w:tabs>
          <w:tab w:val="num" w:pos="567"/>
        </w:tabs>
        <w:spacing w:line="360" w:lineRule="auto"/>
        <w:ind w:left="567" w:hanging="567"/>
        <w:jc w:val="both"/>
      </w:pPr>
      <w:r w:rsidRPr="00245C90">
        <w:t>The OCJ contributes to the N</w:t>
      </w:r>
      <w:r w:rsidR="00570286" w:rsidRPr="00245C90">
        <w:t xml:space="preserve">ational </w:t>
      </w:r>
      <w:r w:rsidRPr="00245C90">
        <w:t>D</w:t>
      </w:r>
      <w:r w:rsidR="00570286" w:rsidRPr="00245C90">
        <w:t xml:space="preserve">evelopment </w:t>
      </w:r>
      <w:r w:rsidRPr="00245C90">
        <w:t>P</w:t>
      </w:r>
      <w:r w:rsidR="00570286" w:rsidRPr="00245C90">
        <w:t>lan</w:t>
      </w:r>
      <w:r w:rsidRPr="00245C90">
        <w:t xml:space="preserve">’s </w:t>
      </w:r>
      <w:r w:rsidR="00570286" w:rsidRPr="00245C90">
        <w:t xml:space="preserve">(NDP) </w:t>
      </w:r>
      <w:r w:rsidRPr="00245C90">
        <w:t>call for strengthened judicial governance and the rule of law</w:t>
      </w:r>
      <w:r w:rsidR="00570286" w:rsidRPr="00245C90">
        <w:t xml:space="preserve">, and also to ensuring </w:t>
      </w:r>
      <w:r w:rsidRPr="00245C90">
        <w:t>an efficient and effective criminal justice system</w:t>
      </w:r>
      <w:r w:rsidR="00245C90">
        <w:t xml:space="preserve"> in support of Outcome 3 of the Medium Term Strategic Framework 2014-2019 (MTSF) – ‘All people in South Africa are and feel safe’.</w:t>
      </w:r>
      <w:r w:rsidR="00570286" w:rsidRPr="00245C90">
        <w:t xml:space="preserve"> </w:t>
      </w:r>
    </w:p>
    <w:p w:rsidR="0046751C" w:rsidRPr="00245C90" w:rsidRDefault="0046751C" w:rsidP="00245C90">
      <w:pPr>
        <w:pStyle w:val="ListParagraph"/>
        <w:spacing w:line="360" w:lineRule="auto"/>
        <w:jc w:val="both"/>
        <w:rPr>
          <w:lang w:val="en-US"/>
        </w:rPr>
      </w:pPr>
    </w:p>
    <w:p w:rsidR="00632573" w:rsidRPr="00245C90" w:rsidRDefault="00570286" w:rsidP="00245C90">
      <w:pPr>
        <w:pStyle w:val="ListParagraph"/>
        <w:numPr>
          <w:ilvl w:val="1"/>
          <w:numId w:val="2"/>
        </w:numPr>
        <w:tabs>
          <w:tab w:val="num" w:pos="567"/>
        </w:tabs>
        <w:spacing w:line="360" w:lineRule="auto"/>
        <w:ind w:left="567" w:hanging="567"/>
        <w:jc w:val="both"/>
      </w:pPr>
      <w:r w:rsidRPr="00245C90">
        <w:t>T</w:t>
      </w:r>
      <w:r w:rsidR="00632573" w:rsidRPr="00245C90">
        <w:t xml:space="preserve">he OCJ has aligned its </w:t>
      </w:r>
      <w:r w:rsidRPr="00245C90">
        <w:t xml:space="preserve">plans to the NDP and the </w:t>
      </w:r>
      <w:r w:rsidR="00632573" w:rsidRPr="00245C90">
        <w:t>M</w:t>
      </w:r>
      <w:r w:rsidR="00245C90">
        <w:t>TSF</w:t>
      </w:r>
      <w:r w:rsidRPr="00245C90">
        <w:t>,</w:t>
      </w:r>
      <w:r w:rsidR="00632573" w:rsidRPr="00245C90">
        <w:t xml:space="preserve"> as follows</w:t>
      </w:r>
      <w:r w:rsidR="00632573" w:rsidRPr="00245C90">
        <w:rPr>
          <w:lang w:val="en-US"/>
        </w:rPr>
        <w:t>:</w:t>
      </w:r>
    </w:p>
    <w:p w:rsidR="00632573" w:rsidRPr="00245C90" w:rsidRDefault="00632573" w:rsidP="00245C90">
      <w:pPr>
        <w:numPr>
          <w:ilvl w:val="0"/>
          <w:numId w:val="27"/>
        </w:numPr>
        <w:autoSpaceDE w:val="0"/>
        <w:autoSpaceDN w:val="0"/>
        <w:adjustRightInd w:val="0"/>
        <w:spacing w:line="360" w:lineRule="auto"/>
        <w:ind w:left="1080" w:hanging="513"/>
        <w:jc w:val="both"/>
        <w:rPr>
          <w:lang w:val="en-US"/>
        </w:rPr>
      </w:pPr>
      <w:r w:rsidRPr="00245C90">
        <w:rPr>
          <w:lang w:val="en-US"/>
        </w:rPr>
        <w:t>Administration is linked to Outcome 12</w:t>
      </w:r>
      <w:r w:rsidR="00386511">
        <w:rPr>
          <w:lang w:val="en-US"/>
        </w:rPr>
        <w:t xml:space="preserve"> of the MTSF</w:t>
      </w:r>
      <w:r w:rsidRPr="00245C90">
        <w:rPr>
          <w:lang w:val="en-US"/>
        </w:rPr>
        <w:t>: An efficient and effective development-orientated public service.</w:t>
      </w:r>
    </w:p>
    <w:p w:rsidR="00632573" w:rsidRPr="00245C90" w:rsidRDefault="00570286" w:rsidP="00245C90">
      <w:pPr>
        <w:numPr>
          <w:ilvl w:val="0"/>
          <w:numId w:val="27"/>
        </w:numPr>
        <w:autoSpaceDE w:val="0"/>
        <w:autoSpaceDN w:val="0"/>
        <w:adjustRightInd w:val="0"/>
        <w:spacing w:line="360" w:lineRule="auto"/>
        <w:ind w:left="1080" w:hanging="513"/>
        <w:jc w:val="both"/>
      </w:pPr>
      <w:r w:rsidRPr="00245C90">
        <w:rPr>
          <w:lang w:val="en-US"/>
        </w:rPr>
        <w:t xml:space="preserve">Both the </w:t>
      </w:r>
      <w:r w:rsidR="00632573" w:rsidRPr="00245C90">
        <w:rPr>
          <w:lang w:val="en-US"/>
        </w:rPr>
        <w:t>Judicial Support and Court Administration and Judicial Education and Research programmes are linked to Chapter 14 of the NDP: Strengthening</w:t>
      </w:r>
      <w:r w:rsidR="00632573" w:rsidRPr="00245C90">
        <w:t xml:space="preserve"> judicial governance and the rule of law.</w:t>
      </w:r>
      <w:r w:rsidR="00631839" w:rsidRPr="00245C90">
        <w:t xml:space="preserve"> Relevant MTSF targets are</w:t>
      </w:r>
      <w:r w:rsidR="0046751C" w:rsidRPr="00245C90">
        <w:t>:</w:t>
      </w:r>
      <w:r w:rsidRPr="00245C90">
        <w:t xml:space="preserve"> </w:t>
      </w:r>
      <w:r w:rsidR="0046751C" w:rsidRPr="00245C90">
        <w:t>T</w:t>
      </w:r>
      <w:r w:rsidR="00631839" w:rsidRPr="00245C90">
        <w:t>he reduction of the number of c</w:t>
      </w:r>
      <w:r w:rsidRPr="00245C90">
        <w:t>ases on the roll for more than two</w:t>
      </w:r>
      <w:r w:rsidR="00631839" w:rsidRPr="00245C90">
        <w:t xml:space="preserve"> months (High Courts); and </w:t>
      </w:r>
      <w:r w:rsidRPr="00245C90">
        <w:t>the f</w:t>
      </w:r>
      <w:r w:rsidR="00631839" w:rsidRPr="00245C90">
        <w:t>inalisation</w:t>
      </w:r>
      <w:r w:rsidRPr="00245C90">
        <w:t xml:space="preserve"> of criminal cases with verdict</w:t>
      </w:r>
      <w:r w:rsidR="00631839" w:rsidRPr="00245C90">
        <w:t xml:space="preserve"> (High Courts).</w:t>
      </w:r>
    </w:p>
    <w:p w:rsidR="00631839" w:rsidRPr="00245C90" w:rsidRDefault="00631839" w:rsidP="00245C90">
      <w:pPr>
        <w:autoSpaceDE w:val="0"/>
        <w:autoSpaceDN w:val="0"/>
        <w:adjustRightInd w:val="0"/>
        <w:spacing w:line="360" w:lineRule="auto"/>
        <w:ind w:left="1080"/>
        <w:jc w:val="both"/>
      </w:pPr>
    </w:p>
    <w:p w:rsidR="00631839" w:rsidRPr="00245C90" w:rsidRDefault="00570286" w:rsidP="00245C90">
      <w:pPr>
        <w:pStyle w:val="ListParagraph"/>
        <w:numPr>
          <w:ilvl w:val="1"/>
          <w:numId w:val="2"/>
        </w:numPr>
        <w:tabs>
          <w:tab w:val="num" w:pos="567"/>
        </w:tabs>
        <w:spacing w:line="360" w:lineRule="auto"/>
        <w:ind w:left="567" w:hanging="567"/>
        <w:jc w:val="both"/>
      </w:pPr>
      <w:r w:rsidRPr="00245C90">
        <w:t>T</w:t>
      </w:r>
      <w:r w:rsidR="00631839" w:rsidRPr="00245C90">
        <w:t xml:space="preserve">he NDP recommends the need for a strategy to improve the quality of judges </w:t>
      </w:r>
      <w:r w:rsidR="0046751C" w:rsidRPr="00245C90">
        <w:t xml:space="preserve">both </w:t>
      </w:r>
      <w:r w:rsidR="00631839" w:rsidRPr="00245C90">
        <w:t xml:space="preserve">through appointments and the scaling up of judicial </w:t>
      </w:r>
      <w:r w:rsidR="00A9386F">
        <w:t xml:space="preserve">training </w:t>
      </w:r>
      <w:r w:rsidRPr="00245C90">
        <w:t>as a measure to strengthen judicial governance.</w:t>
      </w:r>
      <w:r w:rsidR="00631839" w:rsidRPr="00245C90">
        <w:t xml:space="preserve"> </w:t>
      </w:r>
    </w:p>
    <w:p w:rsidR="003D7013" w:rsidRPr="00245C90" w:rsidRDefault="003D7013" w:rsidP="00245C90">
      <w:pPr>
        <w:pStyle w:val="ListParagraph"/>
        <w:spacing w:line="360" w:lineRule="auto"/>
        <w:ind w:left="709"/>
        <w:jc w:val="both"/>
      </w:pPr>
    </w:p>
    <w:p w:rsidR="003D7013" w:rsidRPr="00245C90" w:rsidRDefault="003D7013" w:rsidP="00245C90">
      <w:pPr>
        <w:pStyle w:val="ListParagraph"/>
        <w:numPr>
          <w:ilvl w:val="1"/>
          <w:numId w:val="2"/>
        </w:numPr>
        <w:tabs>
          <w:tab w:val="num" w:pos="567"/>
        </w:tabs>
        <w:spacing w:line="360" w:lineRule="auto"/>
        <w:ind w:left="567" w:hanging="567"/>
        <w:jc w:val="both"/>
      </w:pPr>
      <w:r w:rsidRPr="00245C90">
        <w:t>The OCJ has the following broad strategic outcome-orientated goals.</w:t>
      </w:r>
    </w:p>
    <w:p w:rsidR="003D7013" w:rsidRPr="00245C90" w:rsidRDefault="003D7013" w:rsidP="00245C90">
      <w:pPr>
        <w:pStyle w:val="BodySingle"/>
        <w:numPr>
          <w:ilvl w:val="0"/>
          <w:numId w:val="6"/>
        </w:numPr>
        <w:spacing w:line="360" w:lineRule="auto"/>
        <w:ind w:hanging="513"/>
        <w:rPr>
          <w:rFonts w:ascii="Times New Roman" w:hAnsi="Times New Roman"/>
          <w:i w:val="0"/>
          <w:sz w:val="24"/>
          <w:szCs w:val="24"/>
        </w:rPr>
      </w:pPr>
      <w:r w:rsidRPr="00386511">
        <w:rPr>
          <w:rFonts w:ascii="Times New Roman" w:hAnsi="Times New Roman"/>
          <w:i w:val="0"/>
          <w:sz w:val="24"/>
          <w:szCs w:val="24"/>
        </w:rPr>
        <w:t>Capacitate the Office of the Chief Justice: Secure</w:t>
      </w:r>
      <w:r w:rsidRPr="00245C90">
        <w:rPr>
          <w:rFonts w:ascii="Times New Roman" w:hAnsi="Times New Roman"/>
          <w:i w:val="0"/>
          <w:sz w:val="24"/>
          <w:szCs w:val="24"/>
        </w:rPr>
        <w:t xml:space="preserve"> adequate human resources for the OCJ to enable it to carry out its mandate effectively by attracting and recruiting competent personnel.</w:t>
      </w:r>
    </w:p>
    <w:p w:rsidR="003D7013" w:rsidRPr="00245C90" w:rsidRDefault="003D7013" w:rsidP="00245C90">
      <w:pPr>
        <w:pStyle w:val="BodySingle"/>
        <w:numPr>
          <w:ilvl w:val="0"/>
          <w:numId w:val="6"/>
        </w:numPr>
        <w:spacing w:line="360" w:lineRule="auto"/>
        <w:ind w:hanging="513"/>
        <w:rPr>
          <w:rFonts w:ascii="Times New Roman" w:hAnsi="Times New Roman"/>
          <w:i w:val="0"/>
          <w:sz w:val="24"/>
          <w:szCs w:val="24"/>
        </w:rPr>
      </w:pPr>
      <w:r w:rsidRPr="00245C90">
        <w:rPr>
          <w:rFonts w:ascii="Times New Roman" w:hAnsi="Times New Roman"/>
          <w:i w:val="0"/>
          <w:sz w:val="24"/>
          <w:szCs w:val="24"/>
        </w:rPr>
        <w:t>Support the Chief Justice in fulfilling his/her functions as Head of the Judiciary: Enable the Chief Justice as head of the Judiciary to deliver on his</w:t>
      </w:r>
      <w:r w:rsidR="00A9386F">
        <w:rPr>
          <w:rFonts w:ascii="Times New Roman" w:hAnsi="Times New Roman"/>
          <w:i w:val="0"/>
          <w:sz w:val="24"/>
          <w:szCs w:val="24"/>
        </w:rPr>
        <w:t>/her</w:t>
      </w:r>
      <w:r w:rsidRPr="00245C90">
        <w:rPr>
          <w:rFonts w:ascii="Times New Roman" w:hAnsi="Times New Roman"/>
          <w:i w:val="0"/>
          <w:sz w:val="24"/>
          <w:szCs w:val="24"/>
        </w:rPr>
        <w:t xml:space="preserve"> consitutional mandate by providing administrative support.</w:t>
      </w:r>
    </w:p>
    <w:p w:rsidR="003D7013" w:rsidRPr="00245C90" w:rsidRDefault="003D7013" w:rsidP="00245C90">
      <w:pPr>
        <w:pStyle w:val="BodySingle"/>
        <w:numPr>
          <w:ilvl w:val="0"/>
          <w:numId w:val="6"/>
        </w:numPr>
        <w:spacing w:line="360" w:lineRule="auto"/>
        <w:ind w:hanging="513"/>
        <w:rPr>
          <w:rFonts w:ascii="Times New Roman" w:hAnsi="Times New Roman"/>
          <w:i w:val="0"/>
          <w:sz w:val="24"/>
          <w:szCs w:val="24"/>
        </w:rPr>
      </w:pPr>
      <w:r w:rsidRPr="00245C90">
        <w:rPr>
          <w:rFonts w:ascii="Times New Roman" w:hAnsi="Times New Roman"/>
          <w:i w:val="0"/>
          <w:sz w:val="24"/>
          <w:szCs w:val="24"/>
        </w:rPr>
        <w:t xml:space="preserve">Render effective and efficient administration and technical support to the Superior Courts: Support the efficiency of the Superior Courts in the provision of their services </w:t>
      </w:r>
      <w:r w:rsidR="00570286" w:rsidRPr="00245C90">
        <w:rPr>
          <w:rFonts w:ascii="Times New Roman" w:hAnsi="Times New Roman"/>
          <w:i w:val="0"/>
          <w:sz w:val="24"/>
          <w:szCs w:val="24"/>
        </w:rPr>
        <w:t xml:space="preserve">to improve </w:t>
      </w:r>
      <w:r w:rsidRPr="00245C90">
        <w:rPr>
          <w:rFonts w:ascii="Times New Roman" w:hAnsi="Times New Roman"/>
          <w:i w:val="0"/>
          <w:sz w:val="24"/>
          <w:szCs w:val="24"/>
        </w:rPr>
        <w:t>case finalisation ra</w:t>
      </w:r>
      <w:r w:rsidR="00570286" w:rsidRPr="00245C90">
        <w:rPr>
          <w:rFonts w:ascii="Times New Roman" w:hAnsi="Times New Roman"/>
          <w:i w:val="0"/>
          <w:sz w:val="24"/>
          <w:szCs w:val="24"/>
        </w:rPr>
        <w:t xml:space="preserve">tes and reduce case backlogs </w:t>
      </w:r>
      <w:r w:rsidRPr="00245C90">
        <w:rPr>
          <w:rFonts w:ascii="Times New Roman" w:hAnsi="Times New Roman"/>
          <w:i w:val="0"/>
          <w:sz w:val="24"/>
          <w:szCs w:val="24"/>
        </w:rPr>
        <w:t>by providing continuous administrative and technical support.</w:t>
      </w:r>
    </w:p>
    <w:p w:rsidR="00632573" w:rsidRPr="00245C90" w:rsidRDefault="00632573" w:rsidP="00386511">
      <w:pPr>
        <w:autoSpaceDE w:val="0"/>
        <w:autoSpaceDN w:val="0"/>
        <w:adjustRightInd w:val="0"/>
        <w:spacing w:line="360" w:lineRule="auto"/>
        <w:jc w:val="both"/>
        <w:rPr>
          <w:lang w:val="en-US"/>
        </w:rPr>
      </w:pPr>
    </w:p>
    <w:p w:rsidR="003D7013" w:rsidRPr="00245C90" w:rsidRDefault="003D7013" w:rsidP="00386511">
      <w:pPr>
        <w:autoSpaceDE w:val="0"/>
        <w:autoSpaceDN w:val="0"/>
        <w:adjustRightInd w:val="0"/>
        <w:spacing w:line="360" w:lineRule="auto"/>
        <w:jc w:val="both"/>
      </w:pPr>
    </w:p>
    <w:p w:rsidR="00C40365" w:rsidRPr="00245C90" w:rsidRDefault="00C40365" w:rsidP="00245C90">
      <w:pPr>
        <w:numPr>
          <w:ilvl w:val="0"/>
          <w:numId w:val="2"/>
        </w:numPr>
        <w:tabs>
          <w:tab w:val="clear" w:pos="360"/>
          <w:tab w:val="num" w:pos="540"/>
        </w:tabs>
        <w:spacing w:line="360" w:lineRule="auto"/>
        <w:ind w:left="540" w:hanging="540"/>
        <w:jc w:val="both"/>
        <w:rPr>
          <w:b/>
          <w:lang w:val="en-ZA"/>
        </w:rPr>
      </w:pPr>
      <w:r w:rsidRPr="00245C90">
        <w:rPr>
          <w:b/>
          <w:lang w:val="en-ZA"/>
        </w:rPr>
        <w:t>Budget allocation 2015/16 and 2016/17</w:t>
      </w:r>
    </w:p>
    <w:p w:rsidR="00C40365" w:rsidRPr="00245C90" w:rsidRDefault="00C40365" w:rsidP="00245C90">
      <w:pPr>
        <w:spacing w:line="360" w:lineRule="auto"/>
        <w:jc w:val="both"/>
        <w:rPr>
          <w:b/>
          <w:lang w:val="en-ZA"/>
        </w:rPr>
      </w:pPr>
    </w:p>
    <w:p w:rsidR="0046751C" w:rsidRPr="00245C90" w:rsidRDefault="003D7013" w:rsidP="00245C90">
      <w:pPr>
        <w:pStyle w:val="ListParagraph"/>
        <w:numPr>
          <w:ilvl w:val="1"/>
          <w:numId w:val="2"/>
        </w:numPr>
        <w:tabs>
          <w:tab w:val="num" w:pos="567"/>
        </w:tabs>
        <w:spacing w:line="360" w:lineRule="auto"/>
        <w:ind w:left="567" w:hanging="567"/>
        <w:jc w:val="both"/>
      </w:pPr>
      <w:r w:rsidRPr="00245C90">
        <w:rPr>
          <w:lang w:val="en-US"/>
        </w:rPr>
        <w:t xml:space="preserve">The OCJ </w:t>
      </w:r>
      <w:r w:rsidR="00632573" w:rsidRPr="00245C90">
        <w:rPr>
          <w:lang w:val="en-US"/>
        </w:rPr>
        <w:t xml:space="preserve">received </w:t>
      </w:r>
      <w:r w:rsidR="00501292" w:rsidRPr="00245C90">
        <w:rPr>
          <w:lang w:val="en-US"/>
        </w:rPr>
        <w:t>R</w:t>
      </w:r>
      <w:r w:rsidR="00632573" w:rsidRPr="00245C90">
        <w:rPr>
          <w:lang w:val="en-US"/>
        </w:rPr>
        <w:t xml:space="preserve">1.65 billion in 2015/16 and is allocated </w:t>
      </w:r>
      <w:r w:rsidRPr="00245C90">
        <w:rPr>
          <w:lang w:val="en-US"/>
        </w:rPr>
        <w:t>R</w:t>
      </w:r>
      <w:r w:rsidR="00C82500" w:rsidRPr="00245C90">
        <w:rPr>
          <w:lang w:val="en-US"/>
        </w:rPr>
        <w:t>1.78</w:t>
      </w:r>
      <w:r w:rsidRPr="00245C90">
        <w:rPr>
          <w:lang w:val="en-US"/>
        </w:rPr>
        <w:t xml:space="preserve"> billion for 2016/17</w:t>
      </w:r>
      <w:r w:rsidR="00501292" w:rsidRPr="00245C90">
        <w:rPr>
          <w:lang w:val="en-US"/>
        </w:rPr>
        <w:t xml:space="preserve">. The </w:t>
      </w:r>
      <w:r w:rsidRPr="00245C90">
        <w:rPr>
          <w:lang w:val="en-US"/>
        </w:rPr>
        <w:t>budget is expected to increase to R1.9</w:t>
      </w:r>
      <w:r w:rsidR="00C82500" w:rsidRPr="00245C90">
        <w:rPr>
          <w:lang w:val="en-US"/>
        </w:rPr>
        <w:t>7</w:t>
      </w:r>
      <w:r w:rsidRPr="00245C90">
        <w:rPr>
          <w:lang w:val="en-US"/>
        </w:rPr>
        <w:t xml:space="preserve"> billion </w:t>
      </w:r>
      <w:r w:rsidR="00C82500" w:rsidRPr="00245C90">
        <w:rPr>
          <w:lang w:val="en-US"/>
        </w:rPr>
        <w:t xml:space="preserve">and R2.08 billion in </w:t>
      </w:r>
      <w:r w:rsidR="00632573" w:rsidRPr="00245C90">
        <w:rPr>
          <w:lang w:val="en-US"/>
        </w:rPr>
        <w:t xml:space="preserve">2017/18 and </w:t>
      </w:r>
      <w:r w:rsidR="00C82500" w:rsidRPr="00245C90">
        <w:rPr>
          <w:lang w:val="en-US"/>
        </w:rPr>
        <w:t>2018/19</w:t>
      </w:r>
      <w:r w:rsidR="00632573" w:rsidRPr="00245C90">
        <w:rPr>
          <w:lang w:val="en-US"/>
        </w:rPr>
        <w:t xml:space="preserve"> respectively</w:t>
      </w:r>
      <w:r w:rsidRPr="00245C90">
        <w:rPr>
          <w:lang w:val="en-US"/>
        </w:rPr>
        <w:t xml:space="preserve">. </w:t>
      </w:r>
      <w:r w:rsidR="0046751C" w:rsidRPr="00245C90">
        <w:t>The 2015/16 allocation is divided as follows: Funds allocated for departmental programmes amount to R783.4 million, while the direct charges for judges’ salaries is R873.7 million.</w:t>
      </w:r>
    </w:p>
    <w:p w:rsidR="006652CA" w:rsidRPr="00245C90" w:rsidRDefault="006652CA" w:rsidP="00245C90">
      <w:pPr>
        <w:pStyle w:val="ListParagraph"/>
        <w:tabs>
          <w:tab w:val="num" w:pos="862"/>
        </w:tabs>
        <w:spacing w:line="360" w:lineRule="auto"/>
        <w:ind w:left="567"/>
        <w:jc w:val="both"/>
      </w:pPr>
    </w:p>
    <w:p w:rsidR="006652CA" w:rsidRPr="00245C90" w:rsidRDefault="006652CA" w:rsidP="00245C90">
      <w:pPr>
        <w:pStyle w:val="ListParagraph"/>
        <w:numPr>
          <w:ilvl w:val="1"/>
          <w:numId w:val="2"/>
        </w:numPr>
        <w:tabs>
          <w:tab w:val="num" w:pos="567"/>
        </w:tabs>
        <w:spacing w:line="360" w:lineRule="auto"/>
        <w:ind w:left="567" w:hanging="567"/>
        <w:jc w:val="both"/>
      </w:pPr>
      <w:r w:rsidRPr="00245C90">
        <w:t>During the Budget process for 2015/16, the OCJ identified that unfunded mandates create a shortfall of R100.8 million for 2015/16. The Department of Justice and Constitutional Development assisted with an amount of R25 million. During the Adjustment’s process, the OCJ received an additional R40.9 million.</w:t>
      </w:r>
    </w:p>
    <w:p w:rsidR="003D7013" w:rsidRPr="00245C90" w:rsidRDefault="003D7013" w:rsidP="00245C90">
      <w:pPr>
        <w:autoSpaceDE w:val="0"/>
        <w:autoSpaceDN w:val="0"/>
        <w:adjustRightInd w:val="0"/>
        <w:spacing w:line="360" w:lineRule="auto"/>
        <w:ind w:left="720"/>
        <w:jc w:val="both"/>
        <w:rPr>
          <w:lang w:val="en-US"/>
        </w:rPr>
      </w:pPr>
    </w:p>
    <w:p w:rsidR="003D7013" w:rsidRPr="00245C90" w:rsidRDefault="003D7013" w:rsidP="00245C90">
      <w:pPr>
        <w:spacing w:line="360" w:lineRule="auto"/>
        <w:ind w:left="375"/>
        <w:jc w:val="both"/>
        <w:rPr>
          <w:b/>
        </w:rPr>
      </w:pPr>
      <w:r w:rsidRPr="00245C90">
        <w:rPr>
          <w:b/>
        </w:rPr>
        <w:t>Table 1: Budget allocation for the Office of the Chief Justice per programme</w:t>
      </w:r>
    </w:p>
    <w:p w:rsidR="00CA00DF" w:rsidRPr="00245C90" w:rsidRDefault="00CA00DF" w:rsidP="00245C90">
      <w:pPr>
        <w:spacing w:line="360" w:lineRule="auto"/>
        <w:ind w:left="375"/>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730"/>
        <w:gridCol w:w="1617"/>
        <w:gridCol w:w="1619"/>
        <w:gridCol w:w="1619"/>
      </w:tblGrid>
      <w:tr w:rsidR="003D7013" w:rsidRPr="00245C90" w:rsidTr="00EC15BE">
        <w:trPr>
          <w:tblHeader/>
        </w:trPr>
        <w:tc>
          <w:tcPr>
            <w:tcW w:w="1095" w:type="pct"/>
            <w:vMerge w:val="restart"/>
            <w:shd w:val="clear" w:color="auto" w:fill="D9D9D9"/>
          </w:tcPr>
          <w:p w:rsidR="003D7013" w:rsidRPr="00245C90" w:rsidRDefault="006652CA" w:rsidP="00245C90">
            <w:pPr>
              <w:pStyle w:val="NormalWeb"/>
              <w:spacing w:before="0" w:after="0" w:line="360" w:lineRule="auto"/>
              <w:jc w:val="both"/>
              <w:rPr>
                <w:lang w:val="en-US" w:eastAsia="en-US"/>
              </w:rPr>
            </w:pPr>
            <w:r w:rsidRPr="00245C90">
              <w:rPr>
                <w:b/>
                <w:lang w:val="en-US" w:eastAsia="en-US"/>
              </w:rPr>
              <w:t>Programme</w:t>
            </w:r>
          </w:p>
        </w:tc>
        <w:tc>
          <w:tcPr>
            <w:tcW w:w="1026" w:type="pct"/>
            <w:vMerge w:val="restart"/>
            <w:shd w:val="clear" w:color="auto" w:fill="D9D9D9"/>
          </w:tcPr>
          <w:p w:rsidR="003D7013" w:rsidRPr="00245C90" w:rsidRDefault="003D7013" w:rsidP="00245C90">
            <w:pPr>
              <w:spacing w:line="360" w:lineRule="auto"/>
              <w:jc w:val="both"/>
              <w:rPr>
                <w:lang w:val="en-US"/>
              </w:rPr>
            </w:pPr>
            <w:r w:rsidRPr="00245C90">
              <w:rPr>
                <w:b/>
                <w:bCs/>
                <w:lang w:val="en-US"/>
              </w:rPr>
              <w:t>Adjusted Appropriation 2015/16</w:t>
            </w:r>
          </w:p>
          <w:p w:rsidR="003D7013" w:rsidRPr="00245C90" w:rsidRDefault="003D7013" w:rsidP="00245C90">
            <w:pPr>
              <w:spacing w:line="360" w:lineRule="auto"/>
              <w:jc w:val="both"/>
            </w:pPr>
          </w:p>
        </w:tc>
        <w:tc>
          <w:tcPr>
            <w:tcW w:w="2879" w:type="pct"/>
            <w:gridSpan w:val="3"/>
            <w:shd w:val="clear" w:color="auto" w:fill="D9D9D9"/>
          </w:tcPr>
          <w:p w:rsidR="003D7013" w:rsidRPr="00245C90" w:rsidRDefault="003D7013" w:rsidP="00245C90">
            <w:pPr>
              <w:spacing w:line="360" w:lineRule="auto"/>
              <w:jc w:val="center"/>
            </w:pPr>
            <w:r w:rsidRPr="00245C90">
              <w:rPr>
                <w:b/>
                <w:bCs/>
                <w:lang w:val="en-US"/>
              </w:rPr>
              <w:t>MTEF</w:t>
            </w:r>
          </w:p>
        </w:tc>
      </w:tr>
      <w:tr w:rsidR="003D7013" w:rsidRPr="00245C90" w:rsidTr="00EC15BE">
        <w:trPr>
          <w:tblHeader/>
        </w:trPr>
        <w:tc>
          <w:tcPr>
            <w:tcW w:w="1095" w:type="pct"/>
            <w:vMerge/>
            <w:shd w:val="clear" w:color="auto" w:fill="D9D9D9"/>
          </w:tcPr>
          <w:p w:rsidR="003D7013" w:rsidRPr="00245C90" w:rsidRDefault="003D7013" w:rsidP="00245C90">
            <w:pPr>
              <w:pStyle w:val="NormalWeb"/>
              <w:spacing w:before="0" w:after="0" w:line="360" w:lineRule="auto"/>
              <w:jc w:val="both"/>
              <w:rPr>
                <w:b/>
                <w:bCs/>
                <w:color w:val="000000"/>
                <w:kern w:val="24"/>
              </w:rPr>
            </w:pPr>
          </w:p>
        </w:tc>
        <w:tc>
          <w:tcPr>
            <w:tcW w:w="1026" w:type="pct"/>
            <w:vMerge/>
            <w:shd w:val="clear" w:color="auto" w:fill="D9D9D9"/>
          </w:tcPr>
          <w:p w:rsidR="003D7013" w:rsidRPr="00245C90" w:rsidRDefault="003D7013" w:rsidP="00245C90">
            <w:pPr>
              <w:spacing w:line="360" w:lineRule="auto"/>
              <w:jc w:val="both"/>
            </w:pPr>
          </w:p>
        </w:tc>
        <w:tc>
          <w:tcPr>
            <w:tcW w:w="959" w:type="pct"/>
            <w:shd w:val="clear" w:color="auto" w:fill="D9D9D9"/>
          </w:tcPr>
          <w:p w:rsidR="003D7013" w:rsidRPr="00245C90" w:rsidRDefault="003D7013" w:rsidP="00245C90">
            <w:pPr>
              <w:pStyle w:val="NormalWeb"/>
              <w:spacing w:before="0" w:after="0" w:line="360" w:lineRule="auto"/>
              <w:jc w:val="center"/>
              <w:rPr>
                <w:lang w:val="en-US" w:eastAsia="en-US"/>
              </w:rPr>
            </w:pPr>
            <w:r w:rsidRPr="00245C90">
              <w:rPr>
                <w:b/>
                <w:bCs/>
                <w:color w:val="000000"/>
                <w:kern w:val="24"/>
              </w:rPr>
              <w:t>2016/17</w:t>
            </w:r>
          </w:p>
        </w:tc>
        <w:tc>
          <w:tcPr>
            <w:tcW w:w="960" w:type="pct"/>
            <w:shd w:val="clear" w:color="auto" w:fill="D9D9D9"/>
          </w:tcPr>
          <w:p w:rsidR="003D7013" w:rsidRPr="00245C90" w:rsidRDefault="003D7013" w:rsidP="00245C90">
            <w:pPr>
              <w:pStyle w:val="NormalWeb"/>
              <w:spacing w:before="0" w:after="0" w:line="360" w:lineRule="auto"/>
              <w:jc w:val="center"/>
            </w:pPr>
            <w:r w:rsidRPr="00245C90">
              <w:rPr>
                <w:b/>
                <w:bCs/>
                <w:color w:val="000000"/>
                <w:kern w:val="24"/>
              </w:rPr>
              <w:t>2017/18</w:t>
            </w:r>
          </w:p>
        </w:tc>
        <w:tc>
          <w:tcPr>
            <w:tcW w:w="960" w:type="pct"/>
            <w:shd w:val="clear" w:color="auto" w:fill="D9D9D9"/>
          </w:tcPr>
          <w:p w:rsidR="003D7013" w:rsidRPr="00245C90" w:rsidRDefault="003D7013" w:rsidP="00245C90">
            <w:pPr>
              <w:pStyle w:val="NormalWeb"/>
              <w:spacing w:before="0" w:after="0" w:line="360" w:lineRule="auto"/>
              <w:jc w:val="center"/>
            </w:pPr>
            <w:r w:rsidRPr="00245C90">
              <w:rPr>
                <w:b/>
                <w:bCs/>
                <w:color w:val="000000"/>
                <w:kern w:val="24"/>
              </w:rPr>
              <w:t>2018/19</w:t>
            </w:r>
          </w:p>
        </w:tc>
      </w:tr>
      <w:tr w:rsidR="003D7013" w:rsidRPr="00245C90" w:rsidTr="00EC15BE">
        <w:trPr>
          <w:tblHeader/>
        </w:trPr>
        <w:tc>
          <w:tcPr>
            <w:tcW w:w="1095" w:type="pct"/>
            <w:vMerge/>
            <w:shd w:val="clear" w:color="auto" w:fill="D9D9D9"/>
          </w:tcPr>
          <w:p w:rsidR="003D7013" w:rsidRPr="00245C90" w:rsidRDefault="003D7013" w:rsidP="00245C90">
            <w:pPr>
              <w:pStyle w:val="NormalWeb"/>
              <w:spacing w:before="0" w:after="0" w:line="360" w:lineRule="auto"/>
              <w:jc w:val="both"/>
              <w:rPr>
                <w:b/>
                <w:bCs/>
                <w:color w:val="000000"/>
                <w:kern w:val="24"/>
              </w:rPr>
            </w:pPr>
          </w:p>
        </w:tc>
        <w:tc>
          <w:tcPr>
            <w:tcW w:w="1026" w:type="pct"/>
            <w:shd w:val="clear" w:color="auto" w:fill="D9D9D9"/>
          </w:tcPr>
          <w:p w:rsidR="003D7013" w:rsidRPr="00245C90" w:rsidRDefault="003D7013" w:rsidP="00245C90">
            <w:pPr>
              <w:spacing w:line="360" w:lineRule="auto"/>
              <w:jc w:val="center"/>
            </w:pPr>
            <w:r w:rsidRPr="00245C90">
              <w:rPr>
                <w:b/>
                <w:bCs/>
                <w:kern w:val="24"/>
              </w:rPr>
              <w:t>R’000</w:t>
            </w:r>
          </w:p>
        </w:tc>
        <w:tc>
          <w:tcPr>
            <w:tcW w:w="959" w:type="pct"/>
            <w:shd w:val="clear" w:color="auto" w:fill="D9D9D9"/>
          </w:tcPr>
          <w:p w:rsidR="003D7013" w:rsidRPr="00245C90" w:rsidRDefault="003D7013" w:rsidP="00245C90">
            <w:pPr>
              <w:pStyle w:val="NormalWeb"/>
              <w:spacing w:before="0" w:after="0" w:line="360" w:lineRule="auto"/>
              <w:jc w:val="center"/>
            </w:pPr>
            <w:r w:rsidRPr="00245C90">
              <w:rPr>
                <w:b/>
                <w:bCs/>
                <w:color w:val="000000"/>
                <w:kern w:val="24"/>
              </w:rPr>
              <w:t>R’000</w:t>
            </w:r>
          </w:p>
        </w:tc>
        <w:tc>
          <w:tcPr>
            <w:tcW w:w="960" w:type="pct"/>
            <w:shd w:val="clear" w:color="auto" w:fill="D9D9D9"/>
          </w:tcPr>
          <w:p w:rsidR="003D7013" w:rsidRPr="00245C90" w:rsidRDefault="003D7013" w:rsidP="00245C90">
            <w:pPr>
              <w:pStyle w:val="NormalWeb"/>
              <w:spacing w:before="0" w:after="0" w:line="360" w:lineRule="auto"/>
              <w:jc w:val="center"/>
            </w:pPr>
            <w:r w:rsidRPr="00245C90">
              <w:rPr>
                <w:b/>
                <w:bCs/>
                <w:color w:val="000000"/>
                <w:kern w:val="24"/>
              </w:rPr>
              <w:t>R’000</w:t>
            </w:r>
          </w:p>
        </w:tc>
        <w:tc>
          <w:tcPr>
            <w:tcW w:w="960" w:type="pct"/>
            <w:shd w:val="clear" w:color="auto" w:fill="D9D9D9"/>
          </w:tcPr>
          <w:p w:rsidR="003D7013" w:rsidRPr="00245C90" w:rsidRDefault="003D7013" w:rsidP="00245C90">
            <w:pPr>
              <w:pStyle w:val="NormalWeb"/>
              <w:spacing w:before="0" w:after="0" w:line="360" w:lineRule="auto"/>
              <w:jc w:val="center"/>
            </w:pPr>
            <w:r w:rsidRPr="00245C90">
              <w:rPr>
                <w:b/>
                <w:bCs/>
                <w:color w:val="000000"/>
                <w:kern w:val="24"/>
              </w:rPr>
              <w:t>R’000</w:t>
            </w:r>
          </w:p>
        </w:tc>
      </w:tr>
      <w:tr w:rsidR="003D7013" w:rsidRPr="00245C90" w:rsidTr="00EC15BE">
        <w:tc>
          <w:tcPr>
            <w:tcW w:w="1095" w:type="pct"/>
            <w:shd w:val="clear" w:color="auto" w:fill="auto"/>
          </w:tcPr>
          <w:p w:rsidR="003D7013" w:rsidRPr="00245C90" w:rsidRDefault="003D7013" w:rsidP="00245C90">
            <w:pPr>
              <w:pStyle w:val="NormalWeb"/>
              <w:spacing w:before="0" w:after="0" w:line="360" w:lineRule="auto"/>
              <w:jc w:val="both"/>
              <w:rPr>
                <w:lang w:val="en-US" w:eastAsia="en-US"/>
              </w:rPr>
            </w:pPr>
            <w:r w:rsidRPr="00245C90">
              <w:rPr>
                <w:color w:val="000000"/>
                <w:kern w:val="24"/>
              </w:rPr>
              <w:t>Administration</w:t>
            </w:r>
          </w:p>
        </w:tc>
        <w:tc>
          <w:tcPr>
            <w:tcW w:w="1026" w:type="pct"/>
            <w:shd w:val="clear" w:color="auto" w:fill="auto"/>
          </w:tcPr>
          <w:p w:rsidR="003D7013" w:rsidRPr="00245C90" w:rsidRDefault="003D7013" w:rsidP="00245C90">
            <w:pPr>
              <w:pStyle w:val="NormalWeb"/>
              <w:spacing w:before="0" w:after="0" w:line="360" w:lineRule="auto"/>
              <w:jc w:val="center"/>
              <w:rPr>
                <w:lang w:val="en-US" w:eastAsia="en-US"/>
              </w:rPr>
            </w:pPr>
            <w:r w:rsidRPr="00245C90">
              <w:rPr>
                <w:color w:val="000000"/>
                <w:kern w:val="24"/>
              </w:rPr>
              <w:t>99 479</w:t>
            </w:r>
          </w:p>
        </w:tc>
        <w:tc>
          <w:tcPr>
            <w:tcW w:w="959" w:type="pct"/>
            <w:shd w:val="clear" w:color="auto" w:fill="auto"/>
          </w:tcPr>
          <w:p w:rsidR="003D7013" w:rsidRPr="00245C90" w:rsidRDefault="003D7013" w:rsidP="00245C90">
            <w:pPr>
              <w:pStyle w:val="NormalWeb"/>
              <w:spacing w:before="0" w:after="0" w:line="360" w:lineRule="auto"/>
              <w:jc w:val="center"/>
            </w:pPr>
            <w:r w:rsidRPr="00245C90">
              <w:rPr>
                <w:color w:val="000000"/>
                <w:kern w:val="24"/>
              </w:rPr>
              <w:t>161 173</w:t>
            </w:r>
          </w:p>
        </w:tc>
        <w:tc>
          <w:tcPr>
            <w:tcW w:w="960" w:type="pct"/>
            <w:shd w:val="clear" w:color="auto" w:fill="auto"/>
          </w:tcPr>
          <w:p w:rsidR="003D7013" w:rsidRPr="00245C90" w:rsidRDefault="003D7013" w:rsidP="00245C90">
            <w:pPr>
              <w:pStyle w:val="NormalWeb"/>
              <w:spacing w:before="0" w:after="0" w:line="360" w:lineRule="auto"/>
              <w:jc w:val="center"/>
            </w:pPr>
            <w:r w:rsidRPr="00245C90">
              <w:rPr>
                <w:color w:val="000000"/>
                <w:kern w:val="24"/>
              </w:rPr>
              <w:t>202 329</w:t>
            </w:r>
          </w:p>
        </w:tc>
        <w:tc>
          <w:tcPr>
            <w:tcW w:w="960" w:type="pct"/>
            <w:shd w:val="clear" w:color="auto" w:fill="auto"/>
          </w:tcPr>
          <w:p w:rsidR="003D7013" w:rsidRPr="00245C90" w:rsidRDefault="003D7013" w:rsidP="00245C90">
            <w:pPr>
              <w:pStyle w:val="NormalWeb"/>
              <w:spacing w:before="0" w:after="0" w:line="360" w:lineRule="auto"/>
              <w:jc w:val="center"/>
            </w:pPr>
            <w:r w:rsidRPr="00245C90">
              <w:rPr>
                <w:color w:val="000000"/>
                <w:kern w:val="24"/>
              </w:rPr>
              <w:t>212, 96</w:t>
            </w:r>
          </w:p>
        </w:tc>
      </w:tr>
      <w:tr w:rsidR="003D7013" w:rsidRPr="00245C90" w:rsidTr="00EC15BE">
        <w:tc>
          <w:tcPr>
            <w:tcW w:w="1095" w:type="pct"/>
            <w:shd w:val="clear" w:color="auto" w:fill="auto"/>
          </w:tcPr>
          <w:p w:rsidR="003D7013" w:rsidRPr="00245C90" w:rsidRDefault="003D7013" w:rsidP="00245C90">
            <w:pPr>
              <w:pStyle w:val="NormalWeb"/>
              <w:spacing w:before="0" w:after="0" w:line="360" w:lineRule="auto"/>
              <w:jc w:val="both"/>
            </w:pPr>
            <w:r w:rsidRPr="00245C90">
              <w:rPr>
                <w:color w:val="000000"/>
                <w:kern w:val="24"/>
              </w:rPr>
              <w:t>Judicial Support and Court Administration</w:t>
            </w:r>
          </w:p>
        </w:tc>
        <w:tc>
          <w:tcPr>
            <w:tcW w:w="1026" w:type="pct"/>
            <w:shd w:val="clear" w:color="auto" w:fill="auto"/>
          </w:tcPr>
          <w:p w:rsidR="003D7013" w:rsidRPr="00245C90" w:rsidRDefault="003D7013" w:rsidP="00245C90">
            <w:pPr>
              <w:pStyle w:val="NormalWeb"/>
              <w:spacing w:before="0" w:after="0" w:line="360" w:lineRule="auto"/>
              <w:jc w:val="center"/>
            </w:pPr>
            <w:r w:rsidRPr="00245C90">
              <w:rPr>
                <w:color w:val="000000"/>
                <w:kern w:val="24"/>
              </w:rPr>
              <w:t>649 541</w:t>
            </w:r>
          </w:p>
        </w:tc>
        <w:tc>
          <w:tcPr>
            <w:tcW w:w="959" w:type="pct"/>
            <w:shd w:val="clear" w:color="auto" w:fill="auto"/>
          </w:tcPr>
          <w:p w:rsidR="003D7013" w:rsidRPr="00245C90" w:rsidRDefault="003D7013" w:rsidP="00245C90">
            <w:pPr>
              <w:pStyle w:val="NormalWeb"/>
              <w:spacing w:before="0" w:after="0" w:line="360" w:lineRule="auto"/>
              <w:jc w:val="center"/>
            </w:pPr>
            <w:r w:rsidRPr="00245C90">
              <w:rPr>
                <w:color w:val="000000"/>
                <w:kern w:val="24"/>
              </w:rPr>
              <w:t>665 972</w:t>
            </w:r>
          </w:p>
        </w:tc>
        <w:tc>
          <w:tcPr>
            <w:tcW w:w="960" w:type="pct"/>
            <w:shd w:val="clear" w:color="auto" w:fill="auto"/>
          </w:tcPr>
          <w:p w:rsidR="003D7013" w:rsidRPr="00245C90" w:rsidRDefault="003D7013" w:rsidP="00245C90">
            <w:pPr>
              <w:pStyle w:val="NormalWeb"/>
              <w:spacing w:before="0" w:after="0" w:line="360" w:lineRule="auto"/>
              <w:jc w:val="center"/>
            </w:pPr>
            <w:r w:rsidRPr="00245C90">
              <w:rPr>
                <w:color w:val="000000"/>
                <w:kern w:val="24"/>
              </w:rPr>
              <w:t>749 494</w:t>
            </w:r>
          </w:p>
        </w:tc>
        <w:tc>
          <w:tcPr>
            <w:tcW w:w="960" w:type="pct"/>
            <w:shd w:val="clear" w:color="auto" w:fill="auto"/>
          </w:tcPr>
          <w:p w:rsidR="003D7013" w:rsidRPr="00245C90" w:rsidRDefault="003D7013" w:rsidP="00245C90">
            <w:pPr>
              <w:pStyle w:val="NormalWeb"/>
              <w:spacing w:before="0" w:after="0" w:line="360" w:lineRule="auto"/>
              <w:jc w:val="center"/>
            </w:pPr>
            <w:r w:rsidRPr="00245C90">
              <w:rPr>
                <w:color w:val="000000"/>
                <w:kern w:val="24"/>
              </w:rPr>
              <w:t>787 814</w:t>
            </w:r>
          </w:p>
        </w:tc>
      </w:tr>
      <w:tr w:rsidR="003D7013" w:rsidRPr="00245C90" w:rsidTr="00EC15BE">
        <w:tc>
          <w:tcPr>
            <w:tcW w:w="1095" w:type="pct"/>
            <w:shd w:val="clear" w:color="auto" w:fill="auto"/>
          </w:tcPr>
          <w:p w:rsidR="003D7013" w:rsidRPr="00245C90" w:rsidRDefault="003D7013" w:rsidP="00245C90">
            <w:pPr>
              <w:pStyle w:val="NormalWeb"/>
              <w:spacing w:before="0" w:after="0" w:line="360" w:lineRule="auto"/>
              <w:jc w:val="both"/>
            </w:pPr>
            <w:r w:rsidRPr="00245C90">
              <w:rPr>
                <w:color w:val="000000"/>
                <w:kern w:val="24"/>
              </w:rPr>
              <w:t xml:space="preserve">Judicial Education </w:t>
            </w:r>
            <w:r w:rsidR="00E84A6A" w:rsidRPr="00245C90">
              <w:rPr>
                <w:color w:val="000000"/>
                <w:kern w:val="24"/>
              </w:rPr>
              <w:t>&amp;</w:t>
            </w:r>
            <w:r w:rsidRPr="00245C90">
              <w:rPr>
                <w:color w:val="000000"/>
                <w:kern w:val="24"/>
              </w:rPr>
              <w:t xml:space="preserve"> Training</w:t>
            </w:r>
          </w:p>
        </w:tc>
        <w:tc>
          <w:tcPr>
            <w:tcW w:w="1026" w:type="pct"/>
            <w:shd w:val="clear" w:color="auto" w:fill="auto"/>
          </w:tcPr>
          <w:p w:rsidR="003D7013" w:rsidRPr="00245C90" w:rsidRDefault="003D7013" w:rsidP="00245C90">
            <w:pPr>
              <w:pStyle w:val="NormalWeb"/>
              <w:spacing w:before="0" w:after="0" w:line="360" w:lineRule="auto"/>
              <w:jc w:val="center"/>
            </w:pPr>
            <w:r w:rsidRPr="00245C90">
              <w:rPr>
                <w:color w:val="000000"/>
                <w:kern w:val="24"/>
              </w:rPr>
              <w:t>34 359</w:t>
            </w:r>
          </w:p>
        </w:tc>
        <w:tc>
          <w:tcPr>
            <w:tcW w:w="959" w:type="pct"/>
            <w:shd w:val="clear" w:color="auto" w:fill="auto"/>
          </w:tcPr>
          <w:p w:rsidR="003D7013" w:rsidRPr="00245C90" w:rsidRDefault="003D7013" w:rsidP="00245C90">
            <w:pPr>
              <w:pStyle w:val="NormalWeb"/>
              <w:spacing w:before="0" w:after="0" w:line="360" w:lineRule="auto"/>
              <w:jc w:val="center"/>
            </w:pPr>
            <w:r w:rsidRPr="00245C90">
              <w:rPr>
                <w:color w:val="000000"/>
                <w:kern w:val="24"/>
              </w:rPr>
              <w:t>37 845</w:t>
            </w:r>
          </w:p>
        </w:tc>
        <w:tc>
          <w:tcPr>
            <w:tcW w:w="960" w:type="pct"/>
            <w:shd w:val="clear" w:color="auto" w:fill="auto"/>
          </w:tcPr>
          <w:p w:rsidR="003D7013" w:rsidRPr="00245C90" w:rsidRDefault="003D7013" w:rsidP="00245C90">
            <w:pPr>
              <w:pStyle w:val="NormalWeb"/>
              <w:spacing w:before="0" w:after="0" w:line="360" w:lineRule="auto"/>
              <w:jc w:val="center"/>
            </w:pPr>
            <w:r w:rsidRPr="00245C90">
              <w:rPr>
                <w:color w:val="000000"/>
                <w:kern w:val="24"/>
              </w:rPr>
              <w:t>57 184</w:t>
            </w:r>
          </w:p>
        </w:tc>
        <w:tc>
          <w:tcPr>
            <w:tcW w:w="960" w:type="pct"/>
            <w:shd w:val="clear" w:color="auto" w:fill="auto"/>
          </w:tcPr>
          <w:p w:rsidR="003D7013" w:rsidRPr="00245C90" w:rsidRDefault="003D7013" w:rsidP="00245C90">
            <w:pPr>
              <w:pStyle w:val="NormalWeb"/>
              <w:spacing w:before="0" w:after="0" w:line="360" w:lineRule="auto"/>
              <w:jc w:val="center"/>
            </w:pPr>
            <w:r w:rsidRPr="00245C90">
              <w:rPr>
                <w:color w:val="000000"/>
                <w:kern w:val="24"/>
              </w:rPr>
              <w:t>60 141</w:t>
            </w:r>
          </w:p>
        </w:tc>
      </w:tr>
      <w:tr w:rsidR="003D7013" w:rsidRPr="00245C90" w:rsidTr="00EC15BE">
        <w:tc>
          <w:tcPr>
            <w:tcW w:w="1095" w:type="pct"/>
            <w:shd w:val="clear" w:color="auto" w:fill="auto"/>
          </w:tcPr>
          <w:p w:rsidR="003D7013" w:rsidRPr="00245C90" w:rsidRDefault="003D7013" w:rsidP="00245C90">
            <w:pPr>
              <w:pStyle w:val="NormalWeb"/>
              <w:spacing w:before="0" w:after="0" w:line="360" w:lineRule="auto"/>
              <w:jc w:val="both"/>
              <w:rPr>
                <w:lang w:val="en-US" w:eastAsia="en-US"/>
              </w:rPr>
            </w:pPr>
            <w:r w:rsidRPr="00245C90">
              <w:rPr>
                <w:b/>
                <w:bCs/>
                <w:color w:val="000000"/>
                <w:kern w:val="24"/>
              </w:rPr>
              <w:t>Subtotal</w:t>
            </w:r>
          </w:p>
        </w:tc>
        <w:tc>
          <w:tcPr>
            <w:tcW w:w="1026" w:type="pct"/>
            <w:shd w:val="clear" w:color="auto" w:fill="auto"/>
          </w:tcPr>
          <w:p w:rsidR="003D7013" w:rsidRPr="00245C90" w:rsidRDefault="003D7013" w:rsidP="00245C90">
            <w:pPr>
              <w:pStyle w:val="NormalWeb"/>
              <w:spacing w:before="0" w:after="0" w:line="360" w:lineRule="auto"/>
              <w:jc w:val="center"/>
            </w:pPr>
            <w:r w:rsidRPr="00245C90">
              <w:rPr>
                <w:b/>
                <w:bCs/>
                <w:color w:val="000000"/>
                <w:kern w:val="24"/>
              </w:rPr>
              <w:t>783 379</w:t>
            </w:r>
          </w:p>
        </w:tc>
        <w:tc>
          <w:tcPr>
            <w:tcW w:w="959" w:type="pct"/>
            <w:shd w:val="clear" w:color="auto" w:fill="auto"/>
          </w:tcPr>
          <w:p w:rsidR="003D7013" w:rsidRPr="00245C90" w:rsidRDefault="003D7013" w:rsidP="00245C90">
            <w:pPr>
              <w:pStyle w:val="NormalWeb"/>
              <w:spacing w:before="0" w:after="0" w:line="360" w:lineRule="auto"/>
              <w:jc w:val="center"/>
            </w:pPr>
            <w:r w:rsidRPr="00245C90">
              <w:rPr>
                <w:b/>
                <w:bCs/>
                <w:color w:val="000000"/>
                <w:kern w:val="24"/>
              </w:rPr>
              <w:t>864 990</w:t>
            </w:r>
          </w:p>
        </w:tc>
        <w:tc>
          <w:tcPr>
            <w:tcW w:w="960" w:type="pct"/>
            <w:shd w:val="clear" w:color="auto" w:fill="auto"/>
          </w:tcPr>
          <w:p w:rsidR="003D7013" w:rsidRPr="00245C90" w:rsidRDefault="003D7013" w:rsidP="00245C90">
            <w:pPr>
              <w:pStyle w:val="NormalWeb"/>
              <w:spacing w:before="0" w:after="0" w:line="360" w:lineRule="auto"/>
              <w:jc w:val="center"/>
            </w:pPr>
            <w:r w:rsidRPr="00245C90">
              <w:rPr>
                <w:b/>
                <w:bCs/>
                <w:color w:val="000000"/>
                <w:kern w:val="24"/>
              </w:rPr>
              <w:t>1 009,007</w:t>
            </w:r>
          </w:p>
        </w:tc>
        <w:tc>
          <w:tcPr>
            <w:tcW w:w="960" w:type="pct"/>
            <w:shd w:val="clear" w:color="auto" w:fill="auto"/>
          </w:tcPr>
          <w:p w:rsidR="003D7013" w:rsidRPr="00245C90" w:rsidRDefault="003D7013" w:rsidP="00245C90">
            <w:pPr>
              <w:pStyle w:val="NormalWeb"/>
              <w:spacing w:before="0" w:after="0" w:line="360" w:lineRule="auto"/>
              <w:jc w:val="center"/>
            </w:pPr>
            <w:r w:rsidRPr="00245C90">
              <w:rPr>
                <w:b/>
                <w:bCs/>
                <w:color w:val="000000"/>
                <w:kern w:val="24"/>
              </w:rPr>
              <w:t>1 060 851</w:t>
            </w:r>
          </w:p>
        </w:tc>
      </w:tr>
      <w:tr w:rsidR="003D7013" w:rsidRPr="00245C90" w:rsidTr="00EC15BE">
        <w:tc>
          <w:tcPr>
            <w:tcW w:w="1095" w:type="pct"/>
            <w:shd w:val="clear" w:color="auto" w:fill="auto"/>
          </w:tcPr>
          <w:p w:rsidR="003D7013" w:rsidRPr="00245C90" w:rsidRDefault="003D7013" w:rsidP="00245C90">
            <w:pPr>
              <w:pStyle w:val="NormalWeb"/>
              <w:spacing w:before="0" w:after="0" w:line="360" w:lineRule="auto"/>
              <w:jc w:val="both"/>
              <w:rPr>
                <w:b/>
              </w:rPr>
            </w:pPr>
            <w:r w:rsidRPr="00245C90">
              <w:rPr>
                <w:b/>
                <w:kern w:val="24"/>
              </w:rPr>
              <w:t xml:space="preserve">Direct Charge: </w:t>
            </w:r>
          </w:p>
          <w:p w:rsidR="003D7013" w:rsidRPr="00245C90" w:rsidRDefault="003D7013" w:rsidP="00245C90">
            <w:pPr>
              <w:pStyle w:val="NormalWeb"/>
              <w:numPr>
                <w:ilvl w:val="0"/>
                <w:numId w:val="31"/>
              </w:numPr>
              <w:spacing w:before="0" w:after="0" w:line="360" w:lineRule="auto"/>
              <w:jc w:val="both"/>
            </w:pPr>
            <w:r w:rsidRPr="00245C90">
              <w:rPr>
                <w:kern w:val="24"/>
              </w:rPr>
              <w:t>Judges’ Salaries</w:t>
            </w:r>
          </w:p>
          <w:p w:rsidR="003D7013" w:rsidRPr="00245C90" w:rsidRDefault="003D7013" w:rsidP="00245C90">
            <w:pPr>
              <w:pStyle w:val="NormalWeb"/>
              <w:numPr>
                <w:ilvl w:val="0"/>
                <w:numId w:val="31"/>
              </w:numPr>
              <w:spacing w:before="0" w:after="0" w:line="360" w:lineRule="auto"/>
              <w:jc w:val="both"/>
            </w:pPr>
            <w:r w:rsidRPr="00245C90">
              <w:rPr>
                <w:kern w:val="24"/>
              </w:rPr>
              <w:t>Transfers &amp; subsidies</w:t>
            </w:r>
          </w:p>
        </w:tc>
        <w:tc>
          <w:tcPr>
            <w:tcW w:w="1026" w:type="pct"/>
            <w:shd w:val="clear" w:color="auto" w:fill="auto"/>
          </w:tcPr>
          <w:p w:rsidR="003D7013" w:rsidRPr="00245C90" w:rsidRDefault="003D7013" w:rsidP="00245C90">
            <w:pPr>
              <w:pStyle w:val="NormalWeb"/>
              <w:spacing w:before="0" w:after="0" w:line="360" w:lineRule="auto"/>
              <w:jc w:val="center"/>
              <w:rPr>
                <w:b/>
              </w:rPr>
            </w:pPr>
            <w:r w:rsidRPr="00245C90">
              <w:rPr>
                <w:b/>
                <w:kern w:val="24"/>
              </w:rPr>
              <w:t>873 748</w:t>
            </w:r>
          </w:p>
          <w:p w:rsidR="003D7013" w:rsidRPr="00245C90" w:rsidRDefault="003D7013" w:rsidP="00245C90">
            <w:pPr>
              <w:pStyle w:val="NormalWeb"/>
              <w:spacing w:before="0" w:after="0" w:line="360" w:lineRule="auto"/>
              <w:jc w:val="center"/>
            </w:pPr>
            <w:r w:rsidRPr="00245C90">
              <w:rPr>
                <w:kern w:val="24"/>
              </w:rPr>
              <w:t>821 454</w:t>
            </w:r>
          </w:p>
          <w:p w:rsidR="003D7013" w:rsidRPr="00245C90" w:rsidRDefault="003D7013" w:rsidP="00245C90">
            <w:pPr>
              <w:pStyle w:val="NormalWeb"/>
              <w:spacing w:before="0" w:after="0" w:line="360" w:lineRule="auto"/>
              <w:jc w:val="center"/>
              <w:rPr>
                <w:kern w:val="24"/>
              </w:rPr>
            </w:pPr>
          </w:p>
          <w:p w:rsidR="003D7013" w:rsidRPr="00245C90" w:rsidRDefault="003D7013" w:rsidP="00245C90">
            <w:pPr>
              <w:pStyle w:val="NormalWeb"/>
              <w:spacing w:before="0" w:after="0" w:line="360" w:lineRule="auto"/>
              <w:jc w:val="center"/>
            </w:pPr>
            <w:r w:rsidRPr="00245C90">
              <w:rPr>
                <w:kern w:val="24"/>
              </w:rPr>
              <w:t>52 294</w:t>
            </w:r>
          </w:p>
        </w:tc>
        <w:tc>
          <w:tcPr>
            <w:tcW w:w="959" w:type="pct"/>
            <w:shd w:val="clear" w:color="auto" w:fill="auto"/>
          </w:tcPr>
          <w:p w:rsidR="003D7013" w:rsidRPr="00245C90" w:rsidRDefault="003D7013" w:rsidP="00245C90">
            <w:pPr>
              <w:pStyle w:val="NormalWeb"/>
              <w:spacing w:before="0" w:after="0" w:line="360" w:lineRule="auto"/>
              <w:jc w:val="center"/>
              <w:rPr>
                <w:b/>
              </w:rPr>
            </w:pPr>
            <w:r w:rsidRPr="00245C90">
              <w:rPr>
                <w:b/>
                <w:kern w:val="24"/>
              </w:rPr>
              <w:t>920 057</w:t>
            </w:r>
          </w:p>
          <w:p w:rsidR="003D7013" w:rsidRPr="00245C90" w:rsidRDefault="003D7013" w:rsidP="00245C90">
            <w:pPr>
              <w:pStyle w:val="NormalWeb"/>
              <w:spacing w:before="0" w:after="0" w:line="360" w:lineRule="auto"/>
              <w:jc w:val="center"/>
            </w:pPr>
            <w:r w:rsidRPr="00245C90">
              <w:rPr>
                <w:kern w:val="24"/>
              </w:rPr>
              <w:t>864 991</w:t>
            </w:r>
          </w:p>
          <w:p w:rsidR="003D7013" w:rsidRPr="00245C90" w:rsidRDefault="003D7013" w:rsidP="00245C90">
            <w:pPr>
              <w:pStyle w:val="NormalWeb"/>
              <w:spacing w:before="0" w:after="0" w:line="360" w:lineRule="auto"/>
              <w:jc w:val="center"/>
              <w:rPr>
                <w:kern w:val="24"/>
              </w:rPr>
            </w:pPr>
          </w:p>
          <w:p w:rsidR="003D7013" w:rsidRPr="00245C90" w:rsidRDefault="003D7013" w:rsidP="00245C90">
            <w:pPr>
              <w:pStyle w:val="NormalWeb"/>
              <w:spacing w:before="0" w:after="0" w:line="360" w:lineRule="auto"/>
              <w:jc w:val="center"/>
            </w:pPr>
            <w:r w:rsidRPr="00245C90">
              <w:rPr>
                <w:kern w:val="24"/>
              </w:rPr>
              <w:t>55 066</w:t>
            </w:r>
          </w:p>
        </w:tc>
        <w:tc>
          <w:tcPr>
            <w:tcW w:w="960" w:type="pct"/>
            <w:shd w:val="clear" w:color="auto" w:fill="auto"/>
          </w:tcPr>
          <w:p w:rsidR="003D7013" w:rsidRPr="00245C90" w:rsidRDefault="003D7013" w:rsidP="00245C90">
            <w:pPr>
              <w:pStyle w:val="NormalWeb"/>
              <w:spacing w:before="0" w:after="0" w:line="360" w:lineRule="auto"/>
              <w:jc w:val="center"/>
              <w:rPr>
                <w:b/>
              </w:rPr>
            </w:pPr>
            <w:r w:rsidRPr="00245C90">
              <w:rPr>
                <w:b/>
                <w:kern w:val="24"/>
              </w:rPr>
              <w:t>966 060</w:t>
            </w:r>
          </w:p>
          <w:p w:rsidR="003D7013" w:rsidRPr="00245C90" w:rsidRDefault="003D7013" w:rsidP="00245C90">
            <w:pPr>
              <w:pStyle w:val="NormalWeb"/>
              <w:spacing w:before="0" w:after="0" w:line="360" w:lineRule="auto"/>
              <w:jc w:val="center"/>
            </w:pPr>
            <w:r w:rsidRPr="00245C90">
              <w:rPr>
                <w:kern w:val="24"/>
              </w:rPr>
              <w:t>908 241</w:t>
            </w:r>
          </w:p>
          <w:p w:rsidR="003D7013" w:rsidRPr="00245C90" w:rsidRDefault="003D7013" w:rsidP="00245C90">
            <w:pPr>
              <w:pStyle w:val="NormalWeb"/>
              <w:spacing w:before="0" w:after="0" w:line="360" w:lineRule="auto"/>
              <w:jc w:val="center"/>
              <w:rPr>
                <w:kern w:val="24"/>
              </w:rPr>
            </w:pPr>
          </w:p>
          <w:p w:rsidR="003D7013" w:rsidRPr="00245C90" w:rsidRDefault="003D7013" w:rsidP="00245C90">
            <w:pPr>
              <w:pStyle w:val="NormalWeb"/>
              <w:spacing w:before="0" w:after="0" w:line="360" w:lineRule="auto"/>
              <w:jc w:val="center"/>
            </w:pPr>
            <w:r w:rsidRPr="00245C90">
              <w:rPr>
                <w:kern w:val="24"/>
              </w:rPr>
              <w:t>57 819</w:t>
            </w:r>
          </w:p>
        </w:tc>
        <w:tc>
          <w:tcPr>
            <w:tcW w:w="960" w:type="pct"/>
            <w:shd w:val="clear" w:color="auto" w:fill="auto"/>
          </w:tcPr>
          <w:p w:rsidR="003D7013" w:rsidRPr="00245C90" w:rsidRDefault="003D7013" w:rsidP="00245C90">
            <w:pPr>
              <w:pStyle w:val="NormalWeb"/>
              <w:spacing w:before="0" w:after="0" w:line="360" w:lineRule="auto"/>
              <w:jc w:val="center"/>
              <w:rPr>
                <w:b/>
              </w:rPr>
            </w:pPr>
            <w:r w:rsidRPr="00245C90">
              <w:rPr>
                <w:b/>
                <w:kern w:val="24"/>
              </w:rPr>
              <w:t>1 022 091</w:t>
            </w:r>
          </w:p>
          <w:p w:rsidR="003D7013" w:rsidRPr="00245C90" w:rsidRDefault="003D7013" w:rsidP="00245C90">
            <w:pPr>
              <w:pStyle w:val="NormalWeb"/>
              <w:spacing w:before="0" w:after="0" w:line="360" w:lineRule="auto"/>
              <w:jc w:val="center"/>
            </w:pPr>
            <w:r w:rsidRPr="00245C90">
              <w:rPr>
                <w:kern w:val="24"/>
              </w:rPr>
              <w:t>960 918</w:t>
            </w:r>
          </w:p>
          <w:p w:rsidR="003D7013" w:rsidRPr="00245C90" w:rsidRDefault="003D7013" w:rsidP="00245C90">
            <w:pPr>
              <w:pStyle w:val="NormalWeb"/>
              <w:spacing w:before="0" w:after="0" w:line="360" w:lineRule="auto"/>
              <w:jc w:val="center"/>
              <w:rPr>
                <w:kern w:val="24"/>
              </w:rPr>
            </w:pPr>
          </w:p>
          <w:p w:rsidR="003D7013" w:rsidRPr="00245C90" w:rsidRDefault="003D7013" w:rsidP="00245C90">
            <w:pPr>
              <w:pStyle w:val="NormalWeb"/>
              <w:spacing w:before="0" w:after="0" w:line="360" w:lineRule="auto"/>
              <w:jc w:val="center"/>
            </w:pPr>
            <w:r w:rsidRPr="00245C90">
              <w:rPr>
                <w:kern w:val="24"/>
              </w:rPr>
              <w:t>61 173</w:t>
            </w:r>
          </w:p>
        </w:tc>
      </w:tr>
      <w:tr w:rsidR="003D7013" w:rsidRPr="00245C90" w:rsidTr="00EC15BE">
        <w:tc>
          <w:tcPr>
            <w:tcW w:w="1095" w:type="pct"/>
            <w:shd w:val="clear" w:color="auto" w:fill="auto"/>
          </w:tcPr>
          <w:p w:rsidR="003D7013" w:rsidRPr="00245C90" w:rsidRDefault="003D7013" w:rsidP="00245C90">
            <w:pPr>
              <w:pStyle w:val="NormalWeb"/>
              <w:spacing w:before="0" w:after="0" w:line="360" w:lineRule="auto"/>
              <w:jc w:val="both"/>
            </w:pPr>
            <w:r w:rsidRPr="00245C90">
              <w:rPr>
                <w:b/>
                <w:bCs/>
                <w:color w:val="000000"/>
                <w:kern w:val="24"/>
              </w:rPr>
              <w:t xml:space="preserve">Total </w:t>
            </w:r>
          </w:p>
        </w:tc>
        <w:tc>
          <w:tcPr>
            <w:tcW w:w="1026" w:type="pct"/>
            <w:shd w:val="clear" w:color="auto" w:fill="auto"/>
          </w:tcPr>
          <w:p w:rsidR="003D7013" w:rsidRPr="00245C90" w:rsidRDefault="003D7013" w:rsidP="00245C90">
            <w:pPr>
              <w:pStyle w:val="NormalWeb"/>
              <w:spacing w:before="0" w:after="0" w:line="360" w:lineRule="auto"/>
              <w:jc w:val="center"/>
            </w:pPr>
            <w:r w:rsidRPr="00245C90">
              <w:rPr>
                <w:b/>
                <w:bCs/>
                <w:color w:val="000000"/>
                <w:kern w:val="24"/>
              </w:rPr>
              <w:t>1 657 127</w:t>
            </w:r>
          </w:p>
        </w:tc>
        <w:tc>
          <w:tcPr>
            <w:tcW w:w="959" w:type="pct"/>
            <w:shd w:val="clear" w:color="auto" w:fill="auto"/>
          </w:tcPr>
          <w:p w:rsidR="003D7013" w:rsidRPr="00245C90" w:rsidRDefault="00501292" w:rsidP="00245C90">
            <w:pPr>
              <w:pStyle w:val="NormalWeb"/>
              <w:spacing w:before="0" w:after="0" w:line="360" w:lineRule="auto"/>
              <w:jc w:val="center"/>
            </w:pPr>
            <w:r w:rsidRPr="00245C90">
              <w:rPr>
                <w:b/>
                <w:bCs/>
                <w:color w:val="000000"/>
                <w:kern w:val="24"/>
              </w:rPr>
              <w:t xml:space="preserve">1 785 </w:t>
            </w:r>
            <w:r w:rsidR="003D7013" w:rsidRPr="00245C90">
              <w:rPr>
                <w:b/>
                <w:bCs/>
                <w:color w:val="000000"/>
                <w:kern w:val="24"/>
              </w:rPr>
              <w:t>047</w:t>
            </w:r>
          </w:p>
        </w:tc>
        <w:tc>
          <w:tcPr>
            <w:tcW w:w="960" w:type="pct"/>
            <w:shd w:val="clear" w:color="auto" w:fill="auto"/>
          </w:tcPr>
          <w:p w:rsidR="003D7013" w:rsidRPr="00245C90" w:rsidRDefault="003D7013" w:rsidP="00245C90">
            <w:pPr>
              <w:pStyle w:val="NormalWeb"/>
              <w:spacing w:before="0" w:after="0" w:line="360" w:lineRule="auto"/>
              <w:jc w:val="center"/>
            </w:pPr>
            <w:r w:rsidRPr="00245C90">
              <w:rPr>
                <w:b/>
                <w:bCs/>
                <w:color w:val="000000"/>
                <w:kern w:val="24"/>
              </w:rPr>
              <w:t>1</w:t>
            </w:r>
            <w:r w:rsidR="00501292" w:rsidRPr="00245C90">
              <w:rPr>
                <w:b/>
                <w:bCs/>
                <w:color w:val="000000"/>
                <w:kern w:val="24"/>
              </w:rPr>
              <w:t> </w:t>
            </w:r>
            <w:r w:rsidRPr="00245C90">
              <w:rPr>
                <w:b/>
                <w:bCs/>
                <w:color w:val="000000"/>
                <w:kern w:val="24"/>
              </w:rPr>
              <w:t>975</w:t>
            </w:r>
            <w:r w:rsidR="00501292" w:rsidRPr="00245C90">
              <w:rPr>
                <w:b/>
                <w:bCs/>
                <w:color w:val="000000"/>
                <w:kern w:val="24"/>
              </w:rPr>
              <w:t xml:space="preserve"> </w:t>
            </w:r>
            <w:r w:rsidRPr="00245C90">
              <w:rPr>
                <w:b/>
                <w:bCs/>
                <w:color w:val="000000"/>
                <w:kern w:val="24"/>
              </w:rPr>
              <w:t>067</w:t>
            </w:r>
          </w:p>
        </w:tc>
        <w:tc>
          <w:tcPr>
            <w:tcW w:w="960" w:type="pct"/>
            <w:shd w:val="clear" w:color="auto" w:fill="auto"/>
          </w:tcPr>
          <w:p w:rsidR="003D7013" w:rsidRPr="00245C90" w:rsidRDefault="003D7013" w:rsidP="00245C90">
            <w:pPr>
              <w:pStyle w:val="NormalWeb"/>
              <w:spacing w:before="0" w:after="0" w:line="360" w:lineRule="auto"/>
              <w:jc w:val="center"/>
            </w:pPr>
            <w:r w:rsidRPr="00245C90">
              <w:rPr>
                <w:b/>
                <w:bCs/>
                <w:color w:val="000000"/>
                <w:kern w:val="24"/>
              </w:rPr>
              <w:t>2 082 942</w:t>
            </w:r>
          </w:p>
        </w:tc>
      </w:tr>
    </w:tbl>
    <w:p w:rsidR="003D7013" w:rsidRPr="00245C90" w:rsidRDefault="003D7013" w:rsidP="00245C90">
      <w:pPr>
        <w:autoSpaceDE w:val="0"/>
        <w:autoSpaceDN w:val="0"/>
        <w:adjustRightInd w:val="0"/>
        <w:spacing w:line="360" w:lineRule="auto"/>
        <w:ind w:left="720"/>
        <w:jc w:val="both"/>
      </w:pPr>
    </w:p>
    <w:p w:rsidR="003D7013" w:rsidRPr="00245C90" w:rsidRDefault="003D7013" w:rsidP="00245C90">
      <w:pPr>
        <w:pStyle w:val="ListParagraph"/>
        <w:numPr>
          <w:ilvl w:val="1"/>
          <w:numId w:val="2"/>
        </w:numPr>
        <w:tabs>
          <w:tab w:val="num" w:pos="567"/>
        </w:tabs>
        <w:spacing w:line="360" w:lineRule="auto"/>
        <w:ind w:left="567" w:hanging="567"/>
        <w:jc w:val="both"/>
        <w:rPr>
          <w:lang w:val="en-US"/>
        </w:rPr>
      </w:pPr>
      <w:r w:rsidRPr="00245C90">
        <w:rPr>
          <w:lang w:val="en-US"/>
        </w:rPr>
        <w:t>The operationalization of the Superior Courts Act is to be</w:t>
      </w:r>
      <w:r w:rsidRPr="00245C90">
        <w:t xml:space="preserve"> prioritised</w:t>
      </w:r>
      <w:r w:rsidRPr="00245C90">
        <w:rPr>
          <w:lang w:val="en-US"/>
        </w:rPr>
        <w:t xml:space="preserve"> over the medium term with increased funding in the amounts of R34.5 million in 2017/18 and R36.3 million in 2018/19. These amounts go to the Judicial Support and Court Administration</w:t>
      </w:r>
      <w:r w:rsidRPr="00245C90">
        <w:t xml:space="preserve"> programme</w:t>
      </w:r>
      <w:r w:rsidRPr="00245C90">
        <w:rPr>
          <w:lang w:val="en-US"/>
        </w:rPr>
        <w:t xml:space="preserve"> for additional capacity in the Judge Presidents’ offices to co-ordinate judicial functions and to ensure that judicial norms and standards are implemented, monitored and reported on. </w:t>
      </w:r>
    </w:p>
    <w:p w:rsidR="003D7013" w:rsidRPr="00245C90" w:rsidRDefault="003D7013" w:rsidP="00245C90">
      <w:pPr>
        <w:pStyle w:val="ListParagraph"/>
        <w:spacing w:line="360" w:lineRule="auto"/>
        <w:ind w:left="709"/>
        <w:contextualSpacing/>
        <w:jc w:val="both"/>
        <w:rPr>
          <w:lang w:val="en-US"/>
        </w:rPr>
      </w:pPr>
    </w:p>
    <w:p w:rsidR="003D7013" w:rsidRPr="00245C90" w:rsidRDefault="003D7013" w:rsidP="00245C90">
      <w:pPr>
        <w:pStyle w:val="ListParagraph"/>
        <w:numPr>
          <w:ilvl w:val="1"/>
          <w:numId w:val="2"/>
        </w:numPr>
        <w:tabs>
          <w:tab w:val="num" w:pos="567"/>
        </w:tabs>
        <w:spacing w:line="360" w:lineRule="auto"/>
        <w:ind w:left="567" w:hanging="567"/>
        <w:jc w:val="both"/>
        <w:rPr>
          <w:lang w:val="en-US"/>
        </w:rPr>
      </w:pPr>
      <w:r w:rsidRPr="00245C90">
        <w:rPr>
          <w:lang w:val="en-US"/>
        </w:rPr>
        <w:t>In order to facilitate the appointment and training of judicial officers, the OCJ also receives an increase of R17.2 million in 2017/18 and R17.9 million in 2018/19</w:t>
      </w:r>
      <w:r w:rsidR="006652CA" w:rsidRPr="00245C90">
        <w:rPr>
          <w:lang w:val="en-US"/>
        </w:rPr>
        <w:t xml:space="preserve"> for</w:t>
      </w:r>
      <w:r w:rsidRPr="00245C90">
        <w:rPr>
          <w:lang w:val="en-US"/>
        </w:rPr>
        <w:t xml:space="preserve"> Judicial Education and Research. This</w:t>
      </w:r>
      <w:r w:rsidRPr="00245C90">
        <w:t xml:space="preserve"> programme</w:t>
      </w:r>
      <w:r w:rsidRPr="00245C90">
        <w:rPr>
          <w:lang w:val="en-US"/>
        </w:rPr>
        <w:t xml:space="preserve"> is expected to increase from R37.8 million in 2016/17 to R60.1 million in 2018/19.</w:t>
      </w:r>
    </w:p>
    <w:p w:rsidR="00C40365" w:rsidRPr="00245C90" w:rsidRDefault="00C40365" w:rsidP="00245C90">
      <w:pPr>
        <w:pStyle w:val="ListParagraph"/>
        <w:spacing w:line="360" w:lineRule="auto"/>
        <w:jc w:val="both"/>
      </w:pPr>
    </w:p>
    <w:p w:rsidR="00A52900" w:rsidRPr="00245C90" w:rsidRDefault="00A52900" w:rsidP="00245C90">
      <w:pPr>
        <w:pStyle w:val="ListParagraph"/>
        <w:spacing w:line="360" w:lineRule="auto"/>
        <w:jc w:val="both"/>
      </w:pPr>
    </w:p>
    <w:p w:rsidR="0046751C" w:rsidRPr="00245C90" w:rsidRDefault="00820627" w:rsidP="00245C90">
      <w:pPr>
        <w:numPr>
          <w:ilvl w:val="0"/>
          <w:numId w:val="2"/>
        </w:numPr>
        <w:tabs>
          <w:tab w:val="clear" w:pos="360"/>
          <w:tab w:val="num" w:pos="540"/>
        </w:tabs>
        <w:spacing w:line="360" w:lineRule="auto"/>
        <w:ind w:left="540" w:hanging="540"/>
        <w:jc w:val="both"/>
        <w:rPr>
          <w:b/>
        </w:rPr>
      </w:pPr>
      <w:r w:rsidRPr="00245C90">
        <w:rPr>
          <w:b/>
        </w:rPr>
        <w:t>Spending 2015/16</w:t>
      </w:r>
    </w:p>
    <w:p w:rsidR="0046751C" w:rsidRPr="00245C90" w:rsidRDefault="0046751C" w:rsidP="00245C90">
      <w:pPr>
        <w:pStyle w:val="ListParagraph"/>
        <w:spacing w:line="360" w:lineRule="auto"/>
        <w:jc w:val="both"/>
      </w:pPr>
    </w:p>
    <w:p w:rsidR="00C40365" w:rsidRPr="00245C90" w:rsidRDefault="00C40365" w:rsidP="00245C90">
      <w:pPr>
        <w:pStyle w:val="ListParagraph"/>
        <w:numPr>
          <w:ilvl w:val="1"/>
          <w:numId w:val="2"/>
        </w:numPr>
        <w:spacing w:line="360" w:lineRule="auto"/>
        <w:ind w:left="709" w:hanging="709"/>
        <w:contextualSpacing/>
        <w:jc w:val="both"/>
      </w:pPr>
      <w:r w:rsidRPr="00245C90">
        <w:t>The</w:t>
      </w:r>
      <w:r w:rsidR="006652CA" w:rsidRPr="00245C90">
        <w:t xml:space="preserve"> OCJ</w:t>
      </w:r>
      <w:r w:rsidRPr="00245C90">
        <w:t xml:space="preserve"> spent R775.4 million or 98.9% of the total annual budget of R783.4 million</w:t>
      </w:r>
      <w:r w:rsidR="006652CA" w:rsidRPr="00245C90">
        <w:t xml:space="preserve"> for programmes. If the Direct C</w:t>
      </w:r>
      <w:r w:rsidRPr="00245C90">
        <w:t>harges are included, total spending at year end was 99.9%</w:t>
      </w:r>
      <w:r w:rsidR="006652CA" w:rsidRPr="00245C90">
        <w:t xml:space="preserve"> of the adjusted budget </w:t>
      </w:r>
      <w:r w:rsidR="0046751C" w:rsidRPr="00245C90">
        <w:t xml:space="preserve">with underspending </w:t>
      </w:r>
      <w:r w:rsidR="006652CA" w:rsidRPr="00245C90">
        <w:t xml:space="preserve">of </w:t>
      </w:r>
      <w:r w:rsidRPr="00245C90">
        <w:t xml:space="preserve">R1.8 million. However, if the </w:t>
      </w:r>
      <w:r w:rsidR="006652CA" w:rsidRPr="00245C90">
        <w:t>D</w:t>
      </w:r>
      <w:r w:rsidRPr="00245C90">
        <w:t>irec</w:t>
      </w:r>
      <w:r w:rsidR="006652CA" w:rsidRPr="00245C90">
        <w:t>t C</w:t>
      </w:r>
      <w:r w:rsidRPr="00245C90">
        <w:t>harges are excluded, expenditure at the end of the period was R767.8 million (or 98%) of the adjusted budget of R783.4 million</w:t>
      </w:r>
      <w:r w:rsidR="006652CA" w:rsidRPr="00245C90">
        <w:t xml:space="preserve">, which means </w:t>
      </w:r>
      <w:r w:rsidRPr="00245C90">
        <w:t xml:space="preserve">that the </w:t>
      </w:r>
      <w:r w:rsidR="006652CA" w:rsidRPr="00245C90">
        <w:t>OCJ</w:t>
      </w:r>
      <w:r w:rsidRPr="00245C90">
        <w:t xml:space="preserve"> underspent by R15.6 million.</w:t>
      </w:r>
    </w:p>
    <w:p w:rsidR="00C40365" w:rsidRPr="00245C90" w:rsidRDefault="00C40365" w:rsidP="00245C90">
      <w:pPr>
        <w:pStyle w:val="ListParagraph"/>
        <w:spacing w:line="360" w:lineRule="auto"/>
        <w:ind w:left="709"/>
        <w:jc w:val="both"/>
      </w:pPr>
    </w:p>
    <w:p w:rsidR="007D6B21" w:rsidRPr="00245C90" w:rsidRDefault="007D6B21" w:rsidP="00245C90">
      <w:pPr>
        <w:autoSpaceDE w:val="0"/>
        <w:autoSpaceDN w:val="0"/>
        <w:adjustRightInd w:val="0"/>
        <w:spacing w:line="360" w:lineRule="auto"/>
        <w:ind w:left="720"/>
        <w:jc w:val="both"/>
        <w:rPr>
          <w:lang w:val="en-US" w:eastAsia="en-US"/>
        </w:rPr>
      </w:pPr>
    </w:p>
    <w:p w:rsidR="00632573" w:rsidRPr="00245C90" w:rsidRDefault="00632573" w:rsidP="00245C90">
      <w:pPr>
        <w:numPr>
          <w:ilvl w:val="0"/>
          <w:numId w:val="2"/>
        </w:numPr>
        <w:autoSpaceDE w:val="0"/>
        <w:autoSpaceDN w:val="0"/>
        <w:adjustRightInd w:val="0"/>
        <w:spacing w:line="360" w:lineRule="auto"/>
        <w:jc w:val="both"/>
        <w:rPr>
          <w:b/>
          <w:lang w:val="en-US" w:eastAsia="en-US"/>
        </w:rPr>
      </w:pPr>
      <w:r w:rsidRPr="00245C90">
        <w:rPr>
          <w:b/>
          <w:lang w:val="en-US" w:eastAsia="en-US"/>
        </w:rPr>
        <w:t>Audit outcome</w:t>
      </w:r>
      <w:r w:rsidR="002B3E59">
        <w:rPr>
          <w:b/>
          <w:lang w:val="en-US" w:eastAsia="en-US"/>
        </w:rPr>
        <w:t>s</w:t>
      </w:r>
    </w:p>
    <w:p w:rsidR="007D6B21" w:rsidRPr="00245C90" w:rsidRDefault="007D6B21" w:rsidP="00245C90">
      <w:pPr>
        <w:pStyle w:val="ListParagraph"/>
        <w:spacing w:line="360" w:lineRule="auto"/>
        <w:jc w:val="both"/>
        <w:rPr>
          <w:b/>
          <w:lang w:val="en-US" w:eastAsia="en-US"/>
        </w:rPr>
      </w:pPr>
    </w:p>
    <w:p w:rsidR="00E35F84" w:rsidRPr="00245C90" w:rsidRDefault="007D6B21" w:rsidP="00245C90">
      <w:pPr>
        <w:pStyle w:val="ListParagraph"/>
        <w:numPr>
          <w:ilvl w:val="1"/>
          <w:numId w:val="2"/>
        </w:numPr>
        <w:tabs>
          <w:tab w:val="num" w:pos="567"/>
        </w:tabs>
        <w:spacing w:line="360" w:lineRule="auto"/>
        <w:ind w:left="567" w:hanging="567"/>
        <w:jc w:val="both"/>
        <w:rPr>
          <w:lang w:val="en-US" w:eastAsia="en-US"/>
        </w:rPr>
      </w:pPr>
      <w:r w:rsidRPr="00245C90">
        <w:rPr>
          <w:lang w:val="en-US" w:eastAsia="en-US"/>
        </w:rPr>
        <w:t xml:space="preserve">The </w:t>
      </w:r>
      <w:r w:rsidR="00857A94" w:rsidRPr="00245C90">
        <w:rPr>
          <w:lang w:val="en-US" w:eastAsia="en-US"/>
        </w:rPr>
        <w:t>OCJ received an unqualified audit opinion with findings</w:t>
      </w:r>
      <w:r w:rsidR="00E35F84" w:rsidRPr="00245C90">
        <w:rPr>
          <w:lang w:val="en-US" w:eastAsia="en-US"/>
        </w:rPr>
        <w:t xml:space="preserve"> on</w:t>
      </w:r>
      <w:r w:rsidR="00AC5A08" w:rsidRPr="00245C90">
        <w:rPr>
          <w:lang w:val="en-US" w:eastAsia="en-US"/>
        </w:rPr>
        <w:t xml:space="preserve"> predetermined objectives and compliance</w:t>
      </w:r>
      <w:r w:rsidR="00857A94" w:rsidRPr="00245C90">
        <w:rPr>
          <w:lang w:val="en-US" w:eastAsia="en-US"/>
        </w:rPr>
        <w:t>.</w:t>
      </w:r>
    </w:p>
    <w:p w:rsidR="00E35F84" w:rsidRPr="00245C90" w:rsidRDefault="00E35F84" w:rsidP="00245C90">
      <w:pPr>
        <w:pStyle w:val="ListParagraph"/>
        <w:autoSpaceDE w:val="0"/>
        <w:autoSpaceDN w:val="0"/>
        <w:adjustRightInd w:val="0"/>
        <w:spacing w:line="360" w:lineRule="auto"/>
        <w:ind w:left="1004"/>
        <w:jc w:val="both"/>
        <w:rPr>
          <w:lang w:val="en-US" w:eastAsia="en-US"/>
        </w:rPr>
      </w:pPr>
    </w:p>
    <w:p w:rsidR="00857A94" w:rsidRPr="00245C90" w:rsidRDefault="00857A94" w:rsidP="00245C90">
      <w:pPr>
        <w:pStyle w:val="ListParagraph"/>
        <w:numPr>
          <w:ilvl w:val="1"/>
          <w:numId w:val="2"/>
        </w:numPr>
        <w:tabs>
          <w:tab w:val="num" w:pos="567"/>
        </w:tabs>
        <w:spacing w:line="360" w:lineRule="auto"/>
        <w:ind w:left="567" w:hanging="567"/>
        <w:jc w:val="both"/>
        <w:rPr>
          <w:lang w:val="en-US" w:eastAsia="en-US"/>
        </w:rPr>
      </w:pPr>
      <w:r w:rsidRPr="00245C90">
        <w:rPr>
          <w:lang w:val="en-US" w:eastAsia="en-US"/>
        </w:rPr>
        <w:t>Key findings raised include:</w:t>
      </w:r>
    </w:p>
    <w:p w:rsidR="00857A94" w:rsidRPr="00245C90" w:rsidRDefault="00857A94" w:rsidP="00245C90">
      <w:pPr>
        <w:pStyle w:val="BodySingle"/>
        <w:numPr>
          <w:ilvl w:val="0"/>
          <w:numId w:val="6"/>
        </w:numPr>
        <w:spacing w:line="360" w:lineRule="auto"/>
        <w:ind w:hanging="513"/>
        <w:rPr>
          <w:rFonts w:ascii="Times New Roman" w:hAnsi="Times New Roman"/>
          <w:i w:val="0"/>
          <w:sz w:val="24"/>
          <w:szCs w:val="24"/>
        </w:rPr>
      </w:pPr>
      <w:r w:rsidRPr="00245C90">
        <w:rPr>
          <w:rFonts w:ascii="Times New Roman" w:hAnsi="Times New Roman"/>
          <w:i w:val="0"/>
          <w:sz w:val="24"/>
          <w:szCs w:val="24"/>
        </w:rPr>
        <w:t xml:space="preserve">The usefulness and reliability of the reported information </w:t>
      </w:r>
      <w:r w:rsidR="00E35F84" w:rsidRPr="00245C90">
        <w:rPr>
          <w:rFonts w:ascii="Times New Roman" w:hAnsi="Times New Roman"/>
          <w:i w:val="0"/>
          <w:sz w:val="24"/>
          <w:szCs w:val="24"/>
        </w:rPr>
        <w:t>in respect of Programme 2: Judicial Support and Court Administration and Programme 3: Judicial Education and Research</w:t>
      </w:r>
      <w:r w:rsidR="00F7559A" w:rsidRPr="00245C90">
        <w:rPr>
          <w:rFonts w:ascii="Times New Roman" w:hAnsi="Times New Roman"/>
          <w:i w:val="0"/>
          <w:sz w:val="24"/>
          <w:szCs w:val="24"/>
        </w:rPr>
        <w:t>. I</w:t>
      </w:r>
      <w:r w:rsidR="00E35F84" w:rsidRPr="00245C90">
        <w:rPr>
          <w:rFonts w:ascii="Times New Roman" w:hAnsi="Times New Roman"/>
          <w:i w:val="0"/>
          <w:sz w:val="24"/>
          <w:szCs w:val="24"/>
        </w:rPr>
        <w:t>mportant indicators were not well defined and the reported performance information was not reliable when compared to source information.</w:t>
      </w:r>
    </w:p>
    <w:p w:rsidR="00857A94" w:rsidRPr="00245C90" w:rsidRDefault="00857A94" w:rsidP="00245C90">
      <w:pPr>
        <w:pStyle w:val="BodySingle"/>
        <w:numPr>
          <w:ilvl w:val="0"/>
          <w:numId w:val="6"/>
        </w:numPr>
        <w:spacing w:line="360" w:lineRule="auto"/>
        <w:ind w:hanging="513"/>
        <w:rPr>
          <w:rFonts w:ascii="Times New Roman" w:hAnsi="Times New Roman"/>
          <w:i w:val="0"/>
          <w:sz w:val="24"/>
          <w:szCs w:val="24"/>
        </w:rPr>
      </w:pPr>
      <w:r w:rsidRPr="00245C90">
        <w:rPr>
          <w:rFonts w:ascii="Times New Roman" w:hAnsi="Times New Roman"/>
          <w:i w:val="0"/>
          <w:sz w:val="24"/>
          <w:szCs w:val="24"/>
        </w:rPr>
        <w:t>Material misstatement</w:t>
      </w:r>
      <w:r w:rsidR="00AC5A08" w:rsidRPr="00245C90">
        <w:rPr>
          <w:rFonts w:ascii="Times New Roman" w:hAnsi="Times New Roman"/>
          <w:i w:val="0"/>
          <w:sz w:val="24"/>
          <w:szCs w:val="24"/>
        </w:rPr>
        <w:t>s in the financial statements</w:t>
      </w:r>
      <w:r w:rsidR="00E35F84" w:rsidRPr="00245C90">
        <w:rPr>
          <w:rFonts w:ascii="Times New Roman" w:hAnsi="Times New Roman"/>
          <w:i w:val="0"/>
          <w:sz w:val="24"/>
          <w:szCs w:val="24"/>
        </w:rPr>
        <w:t xml:space="preserve">, which were </w:t>
      </w:r>
      <w:r w:rsidR="00F7559A" w:rsidRPr="00245C90">
        <w:rPr>
          <w:rFonts w:ascii="Times New Roman" w:hAnsi="Times New Roman"/>
          <w:i w:val="0"/>
          <w:sz w:val="24"/>
          <w:szCs w:val="24"/>
        </w:rPr>
        <w:t xml:space="preserve">subsequently </w:t>
      </w:r>
      <w:r w:rsidR="00E35F84" w:rsidRPr="00245C90">
        <w:rPr>
          <w:rFonts w:ascii="Times New Roman" w:hAnsi="Times New Roman"/>
          <w:i w:val="0"/>
          <w:sz w:val="24"/>
          <w:szCs w:val="24"/>
        </w:rPr>
        <w:t xml:space="preserve">corrected during the </w:t>
      </w:r>
      <w:r w:rsidR="00AC5A08" w:rsidRPr="00245C90">
        <w:rPr>
          <w:rFonts w:ascii="Times New Roman" w:hAnsi="Times New Roman"/>
          <w:i w:val="0"/>
          <w:sz w:val="24"/>
          <w:szCs w:val="24"/>
        </w:rPr>
        <w:t>audit</w:t>
      </w:r>
      <w:r w:rsidR="00E35F84" w:rsidRPr="00245C90">
        <w:rPr>
          <w:rFonts w:ascii="Times New Roman" w:hAnsi="Times New Roman"/>
          <w:i w:val="0"/>
          <w:sz w:val="24"/>
          <w:szCs w:val="24"/>
        </w:rPr>
        <w:t xml:space="preserve"> process</w:t>
      </w:r>
      <w:r w:rsidRPr="00245C90">
        <w:rPr>
          <w:rFonts w:ascii="Times New Roman" w:hAnsi="Times New Roman"/>
          <w:i w:val="0"/>
          <w:sz w:val="24"/>
          <w:szCs w:val="24"/>
        </w:rPr>
        <w:t>.</w:t>
      </w:r>
    </w:p>
    <w:p w:rsidR="00857A94" w:rsidRPr="00245C90" w:rsidRDefault="00F7559A" w:rsidP="00245C90">
      <w:pPr>
        <w:pStyle w:val="BodySingle"/>
        <w:numPr>
          <w:ilvl w:val="0"/>
          <w:numId w:val="6"/>
        </w:numPr>
        <w:spacing w:line="360" w:lineRule="auto"/>
        <w:ind w:hanging="513"/>
        <w:rPr>
          <w:rFonts w:ascii="Times New Roman" w:hAnsi="Times New Roman"/>
          <w:i w:val="0"/>
          <w:sz w:val="24"/>
          <w:szCs w:val="24"/>
        </w:rPr>
      </w:pPr>
      <w:r w:rsidRPr="00245C90">
        <w:rPr>
          <w:rFonts w:ascii="Times New Roman" w:hAnsi="Times New Roman"/>
          <w:i w:val="0"/>
          <w:sz w:val="24"/>
          <w:szCs w:val="24"/>
        </w:rPr>
        <w:t>S</w:t>
      </w:r>
      <w:r w:rsidR="00AC5A08" w:rsidRPr="00245C90">
        <w:rPr>
          <w:rFonts w:ascii="Times New Roman" w:hAnsi="Times New Roman"/>
          <w:i w:val="0"/>
          <w:sz w:val="24"/>
          <w:szCs w:val="24"/>
        </w:rPr>
        <w:t xml:space="preserve">uppliers </w:t>
      </w:r>
      <w:r w:rsidRPr="00245C90">
        <w:rPr>
          <w:rFonts w:ascii="Times New Roman" w:hAnsi="Times New Roman"/>
          <w:i w:val="0"/>
          <w:sz w:val="24"/>
          <w:szCs w:val="24"/>
        </w:rPr>
        <w:t xml:space="preserve">were paid outside of </w:t>
      </w:r>
      <w:r w:rsidR="00AC5A08" w:rsidRPr="00245C90">
        <w:rPr>
          <w:rFonts w:ascii="Times New Roman" w:hAnsi="Times New Roman"/>
          <w:i w:val="0"/>
          <w:sz w:val="24"/>
          <w:szCs w:val="24"/>
        </w:rPr>
        <w:t>the prescribed 30 days.</w:t>
      </w:r>
    </w:p>
    <w:p w:rsidR="00AC5A08" w:rsidRPr="00245C90" w:rsidRDefault="00A52900" w:rsidP="00245C90">
      <w:pPr>
        <w:numPr>
          <w:ilvl w:val="0"/>
          <w:numId w:val="27"/>
        </w:numPr>
        <w:autoSpaceDE w:val="0"/>
        <w:autoSpaceDN w:val="0"/>
        <w:adjustRightInd w:val="0"/>
        <w:spacing w:line="360" w:lineRule="auto"/>
        <w:ind w:left="1080" w:hanging="513"/>
        <w:jc w:val="both"/>
        <w:rPr>
          <w:lang w:val="en-US" w:eastAsia="en-US"/>
        </w:rPr>
      </w:pPr>
      <w:r w:rsidRPr="00245C90">
        <w:rPr>
          <w:lang w:val="en-US"/>
        </w:rPr>
        <w:t>Vacancies</w:t>
      </w:r>
      <w:r w:rsidRPr="00245C90">
        <w:rPr>
          <w:bCs/>
          <w:lang w:val="en-US" w:eastAsia="en-US"/>
        </w:rPr>
        <w:t xml:space="preserve"> remained unfilled for longer than </w:t>
      </w:r>
      <w:r w:rsidR="00AC5A08" w:rsidRPr="00245C90">
        <w:rPr>
          <w:lang w:val="en-US" w:eastAsia="en-US"/>
        </w:rPr>
        <w:t>12 months.</w:t>
      </w:r>
    </w:p>
    <w:p w:rsidR="00E35F84" w:rsidRPr="00245C90" w:rsidRDefault="00E35F84" w:rsidP="00245C90">
      <w:pPr>
        <w:autoSpaceDE w:val="0"/>
        <w:autoSpaceDN w:val="0"/>
        <w:adjustRightInd w:val="0"/>
        <w:spacing w:line="360" w:lineRule="auto"/>
        <w:ind w:left="360"/>
        <w:jc w:val="both"/>
        <w:rPr>
          <w:lang w:val="en-US" w:eastAsia="en-US"/>
        </w:rPr>
      </w:pPr>
    </w:p>
    <w:p w:rsidR="00E35F84" w:rsidRPr="00245C90" w:rsidRDefault="00E35F84" w:rsidP="00245C90">
      <w:pPr>
        <w:pStyle w:val="ListParagraph"/>
        <w:numPr>
          <w:ilvl w:val="1"/>
          <w:numId w:val="2"/>
        </w:numPr>
        <w:tabs>
          <w:tab w:val="num" w:pos="567"/>
        </w:tabs>
        <w:spacing w:line="360" w:lineRule="auto"/>
        <w:ind w:left="567" w:hanging="567"/>
        <w:jc w:val="both"/>
        <w:rPr>
          <w:b/>
          <w:lang w:val="en-US" w:eastAsia="en-US"/>
        </w:rPr>
      </w:pPr>
      <w:r w:rsidRPr="00245C90">
        <w:rPr>
          <w:lang w:val="en-US" w:eastAsia="en-US"/>
        </w:rPr>
        <w:t>With regard to the predetermined objectives, t</w:t>
      </w:r>
      <w:r w:rsidR="00AC5A08" w:rsidRPr="00245C90">
        <w:rPr>
          <w:lang w:val="en-US" w:eastAsia="en-US"/>
        </w:rPr>
        <w:t>he</w:t>
      </w:r>
      <w:r w:rsidR="00820627" w:rsidRPr="00245C90">
        <w:rPr>
          <w:lang w:val="en-US" w:eastAsia="en-US"/>
        </w:rPr>
        <w:t xml:space="preserve"> Auditor-</w:t>
      </w:r>
      <w:r w:rsidRPr="00245C90">
        <w:rPr>
          <w:lang w:val="en-US" w:eastAsia="en-US"/>
        </w:rPr>
        <w:t>G</w:t>
      </w:r>
      <w:r w:rsidR="00AC5A08" w:rsidRPr="00245C90">
        <w:rPr>
          <w:lang w:val="en-US" w:eastAsia="en-US"/>
        </w:rPr>
        <w:t xml:space="preserve">eneral highlighted that Management must </w:t>
      </w:r>
      <w:r w:rsidR="00A52900" w:rsidRPr="00245C90">
        <w:rPr>
          <w:lang w:val="en-US" w:eastAsia="en-US"/>
        </w:rPr>
        <w:t xml:space="preserve">craft </w:t>
      </w:r>
      <w:r w:rsidR="00AC5A08" w:rsidRPr="00245C90">
        <w:rPr>
          <w:lang w:val="en-US" w:eastAsia="en-US"/>
        </w:rPr>
        <w:t xml:space="preserve">clearer and unambiguous indicators and targets </w:t>
      </w:r>
      <w:r w:rsidR="00820627" w:rsidRPr="00245C90">
        <w:rPr>
          <w:lang w:val="en-US" w:eastAsia="en-US"/>
        </w:rPr>
        <w:t xml:space="preserve">conforming with </w:t>
      </w:r>
      <w:r w:rsidR="00AC5A08" w:rsidRPr="00245C90">
        <w:rPr>
          <w:lang w:val="en-US" w:eastAsia="en-US"/>
        </w:rPr>
        <w:t>SMART principles</w:t>
      </w:r>
      <w:r w:rsidR="00820627" w:rsidRPr="00245C90">
        <w:rPr>
          <w:lang w:val="en-US" w:eastAsia="en-US"/>
        </w:rPr>
        <w:t xml:space="preserve"> that a</w:t>
      </w:r>
      <w:r w:rsidR="00AC5A08" w:rsidRPr="00245C90">
        <w:rPr>
          <w:lang w:val="en-US" w:eastAsia="en-US"/>
        </w:rPr>
        <w:t xml:space="preserve">re aligned </w:t>
      </w:r>
      <w:r w:rsidR="00A9386F">
        <w:rPr>
          <w:lang w:val="en-US" w:eastAsia="en-US"/>
        </w:rPr>
        <w:t xml:space="preserve">to </w:t>
      </w:r>
      <w:r w:rsidR="00AC5A08" w:rsidRPr="00245C90">
        <w:rPr>
          <w:lang w:val="en-US" w:eastAsia="en-US"/>
        </w:rPr>
        <w:t>the OCJ’s mandate. Further, the absence o</w:t>
      </w:r>
      <w:r w:rsidR="00820627" w:rsidRPr="00245C90">
        <w:rPr>
          <w:lang w:val="en-US" w:eastAsia="en-US"/>
        </w:rPr>
        <w:t>f reviewing mechanisms at court-</w:t>
      </w:r>
      <w:r w:rsidR="00AC5A08" w:rsidRPr="00245C90">
        <w:rPr>
          <w:lang w:val="en-US" w:eastAsia="en-US"/>
        </w:rPr>
        <w:t>level led to some files being omitted from performance management, which undermined the reliability of</w:t>
      </w:r>
      <w:r w:rsidRPr="00245C90">
        <w:rPr>
          <w:lang w:val="en-US" w:eastAsia="en-US"/>
        </w:rPr>
        <w:t xml:space="preserve"> the performance information when compared to source.</w:t>
      </w:r>
    </w:p>
    <w:p w:rsidR="00E35F84" w:rsidRPr="00245C90" w:rsidRDefault="00E35F84" w:rsidP="00245C90">
      <w:pPr>
        <w:pStyle w:val="ListParagraph"/>
        <w:autoSpaceDE w:val="0"/>
        <w:autoSpaceDN w:val="0"/>
        <w:adjustRightInd w:val="0"/>
        <w:spacing w:line="360" w:lineRule="auto"/>
        <w:ind w:left="709"/>
        <w:contextualSpacing/>
        <w:jc w:val="both"/>
        <w:rPr>
          <w:b/>
          <w:lang w:val="en-US" w:eastAsia="en-US"/>
        </w:rPr>
      </w:pPr>
    </w:p>
    <w:p w:rsidR="00A52900" w:rsidRPr="00245C90" w:rsidRDefault="00820627" w:rsidP="00245C90">
      <w:pPr>
        <w:pStyle w:val="ListParagraph"/>
        <w:numPr>
          <w:ilvl w:val="1"/>
          <w:numId w:val="2"/>
        </w:numPr>
        <w:tabs>
          <w:tab w:val="clear" w:pos="862"/>
          <w:tab w:val="num" w:pos="567"/>
        </w:tabs>
        <w:spacing w:line="360" w:lineRule="auto"/>
        <w:ind w:left="567" w:hanging="567"/>
        <w:jc w:val="both"/>
        <w:rPr>
          <w:lang w:val="en-US" w:eastAsia="en-US"/>
        </w:rPr>
      </w:pPr>
      <w:r w:rsidRPr="00245C90">
        <w:rPr>
          <w:lang w:val="en-US" w:eastAsia="en-US"/>
        </w:rPr>
        <w:t>The Auditor-</w:t>
      </w:r>
      <w:r w:rsidR="00E35F84" w:rsidRPr="00245C90">
        <w:rPr>
          <w:lang w:val="en-US" w:eastAsia="en-US"/>
        </w:rPr>
        <w:t xml:space="preserve">General highlighted </w:t>
      </w:r>
      <w:r w:rsidR="00B747C3" w:rsidRPr="00245C90">
        <w:rPr>
          <w:lang w:val="en-US" w:eastAsia="en-US"/>
        </w:rPr>
        <w:t>weaknesses in the</w:t>
      </w:r>
      <w:r w:rsidR="00F7559A" w:rsidRPr="00245C90">
        <w:rPr>
          <w:lang w:val="en-US" w:eastAsia="en-US"/>
        </w:rPr>
        <w:t xml:space="preserve"> OCJ’s</w:t>
      </w:r>
      <w:r w:rsidR="00B747C3" w:rsidRPr="00245C90">
        <w:rPr>
          <w:lang w:val="en-US" w:eastAsia="en-US"/>
        </w:rPr>
        <w:t xml:space="preserve"> </w:t>
      </w:r>
      <w:r w:rsidR="00E35F84" w:rsidRPr="00245C90">
        <w:rPr>
          <w:lang w:val="en-US" w:eastAsia="en-US"/>
        </w:rPr>
        <w:t>internal processes to detect non-compliance and to ensure reliable reporting of performance information</w:t>
      </w:r>
      <w:r w:rsidRPr="00245C90">
        <w:rPr>
          <w:lang w:val="en-US" w:eastAsia="en-US"/>
        </w:rPr>
        <w:t>. In this regard, the Auditor-</w:t>
      </w:r>
      <w:r w:rsidR="00B747C3" w:rsidRPr="00245C90">
        <w:rPr>
          <w:lang w:val="en-US" w:eastAsia="en-US"/>
        </w:rPr>
        <w:t>General recommended</w:t>
      </w:r>
      <w:r w:rsidR="00A52900" w:rsidRPr="00245C90">
        <w:rPr>
          <w:lang w:val="en-US" w:eastAsia="en-US"/>
        </w:rPr>
        <w:t xml:space="preserve"> that:</w:t>
      </w:r>
    </w:p>
    <w:p w:rsidR="00A52900" w:rsidRPr="00245C90" w:rsidRDefault="00A52900" w:rsidP="00245C90">
      <w:pPr>
        <w:pStyle w:val="BodySingle"/>
        <w:numPr>
          <w:ilvl w:val="0"/>
          <w:numId w:val="6"/>
        </w:numPr>
        <w:spacing w:line="360" w:lineRule="auto"/>
        <w:ind w:hanging="513"/>
        <w:rPr>
          <w:rFonts w:ascii="Times New Roman" w:hAnsi="Times New Roman"/>
          <w:i w:val="0"/>
          <w:sz w:val="24"/>
          <w:szCs w:val="24"/>
        </w:rPr>
      </w:pPr>
      <w:r w:rsidRPr="00245C90">
        <w:rPr>
          <w:rFonts w:ascii="Times New Roman" w:hAnsi="Times New Roman"/>
          <w:i w:val="0"/>
          <w:sz w:val="24"/>
          <w:szCs w:val="24"/>
        </w:rPr>
        <w:t xml:space="preserve">Management regularly monitors progress against </w:t>
      </w:r>
      <w:r w:rsidR="00B747C3" w:rsidRPr="00245C90">
        <w:rPr>
          <w:rFonts w:ascii="Times New Roman" w:hAnsi="Times New Roman"/>
          <w:i w:val="0"/>
          <w:sz w:val="24"/>
          <w:szCs w:val="24"/>
        </w:rPr>
        <w:t xml:space="preserve">the </w:t>
      </w:r>
      <w:r w:rsidRPr="00245C90">
        <w:rPr>
          <w:rFonts w:ascii="Times New Roman" w:hAnsi="Times New Roman"/>
          <w:i w:val="0"/>
          <w:sz w:val="24"/>
          <w:szCs w:val="24"/>
        </w:rPr>
        <w:t xml:space="preserve">audit </w:t>
      </w:r>
      <w:r w:rsidR="00B747C3" w:rsidRPr="00245C90">
        <w:rPr>
          <w:rFonts w:ascii="Times New Roman" w:hAnsi="Times New Roman"/>
          <w:i w:val="0"/>
          <w:sz w:val="24"/>
          <w:szCs w:val="24"/>
        </w:rPr>
        <w:t>action plan to avoid repeat findings and continued non-compliance</w:t>
      </w:r>
      <w:r w:rsidR="00820627" w:rsidRPr="00245C90">
        <w:rPr>
          <w:rFonts w:ascii="Times New Roman" w:hAnsi="Times New Roman"/>
          <w:i w:val="0"/>
          <w:sz w:val="24"/>
          <w:szCs w:val="24"/>
        </w:rPr>
        <w:t>.</w:t>
      </w:r>
      <w:r w:rsidRPr="00245C90">
        <w:rPr>
          <w:rFonts w:ascii="Times New Roman" w:hAnsi="Times New Roman"/>
          <w:i w:val="0"/>
          <w:sz w:val="24"/>
          <w:szCs w:val="24"/>
        </w:rPr>
        <w:t xml:space="preserve"> </w:t>
      </w:r>
    </w:p>
    <w:p w:rsidR="00A52900" w:rsidRPr="00245C90" w:rsidRDefault="00B747C3" w:rsidP="00245C90">
      <w:pPr>
        <w:pStyle w:val="BodySingle"/>
        <w:numPr>
          <w:ilvl w:val="0"/>
          <w:numId w:val="6"/>
        </w:numPr>
        <w:spacing w:line="360" w:lineRule="auto"/>
        <w:ind w:hanging="513"/>
        <w:rPr>
          <w:rFonts w:ascii="Times New Roman" w:hAnsi="Times New Roman"/>
          <w:i w:val="0"/>
          <w:sz w:val="24"/>
          <w:szCs w:val="24"/>
        </w:rPr>
      </w:pPr>
      <w:r w:rsidRPr="00245C90">
        <w:rPr>
          <w:rFonts w:ascii="Times New Roman" w:hAnsi="Times New Roman"/>
          <w:i w:val="0"/>
          <w:sz w:val="24"/>
          <w:szCs w:val="24"/>
        </w:rPr>
        <w:t>M</w:t>
      </w:r>
      <w:r w:rsidR="00A52900" w:rsidRPr="00245C90">
        <w:rPr>
          <w:rFonts w:ascii="Times New Roman" w:hAnsi="Times New Roman"/>
          <w:i w:val="0"/>
          <w:sz w:val="24"/>
          <w:szCs w:val="24"/>
        </w:rPr>
        <w:t xml:space="preserve">anagement </w:t>
      </w:r>
      <w:r w:rsidRPr="00245C90">
        <w:rPr>
          <w:rFonts w:ascii="Times New Roman" w:hAnsi="Times New Roman"/>
          <w:i w:val="0"/>
          <w:sz w:val="24"/>
          <w:szCs w:val="24"/>
        </w:rPr>
        <w:t>undertake</w:t>
      </w:r>
      <w:r w:rsidR="00A52900" w:rsidRPr="00245C90">
        <w:rPr>
          <w:rFonts w:ascii="Times New Roman" w:hAnsi="Times New Roman"/>
          <w:i w:val="0"/>
          <w:sz w:val="24"/>
          <w:szCs w:val="24"/>
        </w:rPr>
        <w:t>s</w:t>
      </w:r>
      <w:r w:rsidRPr="00245C90">
        <w:rPr>
          <w:rFonts w:ascii="Times New Roman" w:hAnsi="Times New Roman"/>
          <w:i w:val="0"/>
          <w:sz w:val="24"/>
          <w:szCs w:val="24"/>
        </w:rPr>
        <w:t xml:space="preserve"> regular assessments on the status of internal controls so that any deficiencies are addressed when they arise. </w:t>
      </w:r>
      <w:r w:rsidR="00A52900" w:rsidRPr="00245C90">
        <w:rPr>
          <w:rFonts w:ascii="Times New Roman" w:hAnsi="Times New Roman"/>
          <w:i w:val="0"/>
          <w:sz w:val="24"/>
          <w:szCs w:val="24"/>
        </w:rPr>
        <w:t xml:space="preserve">There should also be consequences for officials who transgress. </w:t>
      </w:r>
    </w:p>
    <w:p w:rsidR="00B747C3" w:rsidRPr="00245C90" w:rsidRDefault="00B747C3" w:rsidP="00245C90">
      <w:pPr>
        <w:pStyle w:val="BodySingle"/>
        <w:numPr>
          <w:ilvl w:val="0"/>
          <w:numId w:val="6"/>
        </w:numPr>
        <w:spacing w:line="360" w:lineRule="auto"/>
        <w:ind w:hanging="513"/>
        <w:rPr>
          <w:rFonts w:ascii="Times New Roman" w:hAnsi="Times New Roman"/>
          <w:i w:val="0"/>
          <w:sz w:val="24"/>
          <w:szCs w:val="24"/>
        </w:rPr>
      </w:pPr>
      <w:r w:rsidRPr="00245C90">
        <w:rPr>
          <w:rFonts w:ascii="Times New Roman" w:hAnsi="Times New Roman"/>
          <w:i w:val="0"/>
          <w:sz w:val="24"/>
          <w:szCs w:val="24"/>
        </w:rPr>
        <w:t>The</w:t>
      </w:r>
      <w:r w:rsidRPr="00245C90">
        <w:rPr>
          <w:rFonts w:ascii="Times New Roman" w:hAnsi="Times New Roman"/>
          <w:bCs/>
          <w:i w:val="0"/>
          <w:sz w:val="24"/>
          <w:szCs w:val="24"/>
        </w:rPr>
        <w:t xml:space="preserve"> filling</w:t>
      </w:r>
      <w:r w:rsidRPr="00245C90">
        <w:rPr>
          <w:rFonts w:ascii="Times New Roman" w:hAnsi="Times New Roman"/>
          <w:i w:val="0"/>
          <w:sz w:val="24"/>
          <w:szCs w:val="24"/>
        </w:rPr>
        <w:t xml:space="preserve"> of vacancies should be prioritised.</w:t>
      </w:r>
    </w:p>
    <w:p w:rsidR="00B747C3" w:rsidRPr="00245C90" w:rsidRDefault="00B747C3" w:rsidP="00245C90">
      <w:pPr>
        <w:pStyle w:val="ListParagraph"/>
        <w:spacing w:line="360" w:lineRule="auto"/>
        <w:jc w:val="both"/>
        <w:rPr>
          <w:b/>
          <w:lang w:val="en-US" w:eastAsia="en-US"/>
        </w:rPr>
      </w:pPr>
    </w:p>
    <w:p w:rsidR="00B747C3" w:rsidRPr="00245C90" w:rsidRDefault="00B747C3" w:rsidP="00245C90">
      <w:pPr>
        <w:pStyle w:val="ListParagraph"/>
        <w:spacing w:line="360" w:lineRule="auto"/>
        <w:jc w:val="both"/>
        <w:rPr>
          <w:b/>
          <w:lang w:val="en-US" w:eastAsia="en-US"/>
        </w:rPr>
      </w:pPr>
    </w:p>
    <w:p w:rsidR="003D7013" w:rsidRPr="00245C90" w:rsidRDefault="003D7013" w:rsidP="00245C90">
      <w:pPr>
        <w:pStyle w:val="ListParagraph"/>
        <w:numPr>
          <w:ilvl w:val="0"/>
          <w:numId w:val="2"/>
        </w:numPr>
        <w:tabs>
          <w:tab w:val="clear" w:pos="360"/>
          <w:tab w:val="num" w:pos="567"/>
        </w:tabs>
        <w:autoSpaceDE w:val="0"/>
        <w:autoSpaceDN w:val="0"/>
        <w:adjustRightInd w:val="0"/>
        <w:spacing w:line="360" w:lineRule="auto"/>
        <w:ind w:left="567" w:hanging="567"/>
        <w:contextualSpacing/>
        <w:jc w:val="both"/>
        <w:rPr>
          <w:b/>
          <w:lang w:val="en-US" w:eastAsia="en-US"/>
        </w:rPr>
      </w:pPr>
      <w:r w:rsidRPr="00245C90">
        <w:rPr>
          <w:b/>
          <w:lang w:val="en-US" w:eastAsia="en-US"/>
        </w:rPr>
        <w:t xml:space="preserve">Office </w:t>
      </w:r>
      <w:r w:rsidR="00FC46EE" w:rsidRPr="00245C90">
        <w:rPr>
          <w:b/>
          <w:lang w:val="en-US" w:eastAsia="en-US"/>
        </w:rPr>
        <w:t xml:space="preserve">of the Chief Justice: Programme </w:t>
      </w:r>
      <w:r w:rsidR="00740D8A">
        <w:rPr>
          <w:b/>
          <w:lang w:val="en-US" w:eastAsia="en-US"/>
        </w:rPr>
        <w:t>P</w:t>
      </w:r>
      <w:r w:rsidR="00FC46EE" w:rsidRPr="00245C90">
        <w:rPr>
          <w:b/>
          <w:lang w:val="en-US" w:eastAsia="en-US"/>
        </w:rPr>
        <w:t>erformance</w:t>
      </w:r>
    </w:p>
    <w:p w:rsidR="003D7013" w:rsidRPr="00245C90" w:rsidRDefault="003D7013" w:rsidP="00245C90">
      <w:pPr>
        <w:autoSpaceDE w:val="0"/>
        <w:autoSpaceDN w:val="0"/>
        <w:adjustRightInd w:val="0"/>
        <w:spacing w:line="360" w:lineRule="auto"/>
        <w:ind w:left="375"/>
        <w:jc w:val="both"/>
        <w:rPr>
          <w:b/>
          <w:lang w:val="en-US" w:eastAsia="en-US"/>
        </w:rPr>
      </w:pPr>
    </w:p>
    <w:p w:rsidR="003D7013" w:rsidRPr="00245C90" w:rsidRDefault="003D7013" w:rsidP="00245C90">
      <w:pPr>
        <w:pStyle w:val="ListParagraph"/>
        <w:numPr>
          <w:ilvl w:val="1"/>
          <w:numId w:val="2"/>
        </w:numPr>
        <w:tabs>
          <w:tab w:val="clear" w:pos="862"/>
          <w:tab w:val="num" w:pos="567"/>
        </w:tabs>
        <w:spacing w:line="360" w:lineRule="auto"/>
        <w:ind w:left="567" w:hanging="567"/>
        <w:jc w:val="both"/>
        <w:rPr>
          <w:b/>
          <w:lang w:val="en-US" w:eastAsia="en-US"/>
        </w:rPr>
      </w:pPr>
      <w:r w:rsidRPr="00245C90">
        <w:rPr>
          <w:b/>
          <w:lang w:val="en-US" w:eastAsia="en-US"/>
        </w:rPr>
        <w:t>Programme 1: Administration</w:t>
      </w:r>
    </w:p>
    <w:p w:rsidR="003D7013" w:rsidRPr="00245C90" w:rsidRDefault="003D7013" w:rsidP="00245C90">
      <w:pPr>
        <w:autoSpaceDE w:val="0"/>
        <w:autoSpaceDN w:val="0"/>
        <w:adjustRightInd w:val="0"/>
        <w:spacing w:line="360" w:lineRule="auto"/>
        <w:jc w:val="both"/>
        <w:rPr>
          <w:lang w:val="en-US" w:eastAsia="en-US"/>
        </w:rPr>
      </w:pPr>
    </w:p>
    <w:p w:rsidR="00C40365" w:rsidRPr="00245C90" w:rsidRDefault="003D7013" w:rsidP="00245C90">
      <w:pPr>
        <w:pStyle w:val="ListParagraph"/>
        <w:numPr>
          <w:ilvl w:val="2"/>
          <w:numId w:val="37"/>
        </w:numPr>
        <w:autoSpaceDE w:val="0"/>
        <w:autoSpaceDN w:val="0"/>
        <w:adjustRightInd w:val="0"/>
        <w:spacing w:line="360" w:lineRule="auto"/>
        <w:ind w:left="851" w:hanging="851"/>
        <w:jc w:val="both"/>
        <w:rPr>
          <w:lang w:val="en-US" w:eastAsia="en-US"/>
        </w:rPr>
      </w:pPr>
      <w:r w:rsidRPr="00245C90">
        <w:rPr>
          <w:lang w:val="en-US" w:eastAsia="en-US"/>
        </w:rPr>
        <w:t>The purpose of this programme is to provide strategic leadership, manageme</w:t>
      </w:r>
      <w:r w:rsidR="00A52900" w:rsidRPr="00245C90">
        <w:rPr>
          <w:lang w:val="en-US" w:eastAsia="en-US"/>
        </w:rPr>
        <w:t>nt and support services to the D</w:t>
      </w:r>
      <w:r w:rsidRPr="00245C90">
        <w:rPr>
          <w:lang w:val="en-US" w:eastAsia="en-US"/>
        </w:rPr>
        <w:t xml:space="preserve">epartment. </w:t>
      </w:r>
    </w:p>
    <w:p w:rsidR="00C40365" w:rsidRPr="00245C90" w:rsidRDefault="00C40365" w:rsidP="00245C90">
      <w:pPr>
        <w:pStyle w:val="ListParagraph"/>
        <w:autoSpaceDE w:val="0"/>
        <w:autoSpaceDN w:val="0"/>
        <w:adjustRightInd w:val="0"/>
        <w:spacing w:line="360" w:lineRule="auto"/>
        <w:jc w:val="both"/>
        <w:rPr>
          <w:lang w:val="en-US" w:eastAsia="en-US"/>
        </w:rPr>
      </w:pPr>
    </w:p>
    <w:p w:rsidR="003D7013" w:rsidRPr="00245C90" w:rsidRDefault="003D7013" w:rsidP="00245C90">
      <w:pPr>
        <w:pStyle w:val="ListParagraph"/>
        <w:numPr>
          <w:ilvl w:val="2"/>
          <w:numId w:val="37"/>
        </w:numPr>
        <w:autoSpaceDE w:val="0"/>
        <w:autoSpaceDN w:val="0"/>
        <w:adjustRightInd w:val="0"/>
        <w:spacing w:line="360" w:lineRule="auto"/>
        <w:ind w:left="851" w:hanging="851"/>
        <w:jc w:val="both"/>
        <w:rPr>
          <w:lang w:val="en-US" w:eastAsia="en-US"/>
        </w:rPr>
      </w:pPr>
      <w:r w:rsidRPr="00245C90">
        <w:rPr>
          <w:lang w:val="en-US" w:eastAsia="en-US"/>
        </w:rPr>
        <w:t xml:space="preserve">The programme consists of the following </w:t>
      </w:r>
      <w:r w:rsidRPr="00245C90">
        <w:rPr>
          <w:bCs/>
          <w:lang w:val="en-US" w:eastAsia="en-US"/>
        </w:rPr>
        <w:t xml:space="preserve">sub-programmes:  </w:t>
      </w:r>
    </w:p>
    <w:p w:rsidR="003D7013" w:rsidRPr="00245C90" w:rsidRDefault="003D7013" w:rsidP="00245C90">
      <w:pPr>
        <w:numPr>
          <w:ilvl w:val="0"/>
          <w:numId w:val="28"/>
        </w:numPr>
        <w:autoSpaceDE w:val="0"/>
        <w:autoSpaceDN w:val="0"/>
        <w:adjustRightInd w:val="0"/>
        <w:spacing w:line="360" w:lineRule="auto"/>
        <w:ind w:left="1276" w:hanging="425"/>
        <w:jc w:val="both"/>
        <w:rPr>
          <w:lang w:val="en-US" w:eastAsia="en-US"/>
        </w:rPr>
      </w:pPr>
      <w:r w:rsidRPr="00245C90">
        <w:rPr>
          <w:bCs/>
          <w:lang w:val="en-US" w:eastAsia="en-US"/>
        </w:rPr>
        <w:t xml:space="preserve">The Management subprogramme </w:t>
      </w:r>
      <w:r w:rsidRPr="00245C90">
        <w:rPr>
          <w:lang w:val="en-US" w:eastAsia="en-US"/>
        </w:rPr>
        <w:t xml:space="preserve">provides administrative, planning, monitoring, evaluation and reporting functions necessary to ensure effective functioning of the Department.  </w:t>
      </w:r>
    </w:p>
    <w:p w:rsidR="003D7013" w:rsidRPr="00245C90" w:rsidRDefault="003D7013"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 xml:space="preserve">The Corporate Services subprogramme provides integrated Human Resources Management (HRM), Information </w:t>
      </w:r>
      <w:r w:rsidR="00FC46EE" w:rsidRPr="00245C90">
        <w:rPr>
          <w:bCs/>
          <w:lang w:val="en-US" w:eastAsia="en-US"/>
        </w:rPr>
        <w:t>and</w:t>
      </w:r>
      <w:r w:rsidRPr="00245C90">
        <w:rPr>
          <w:bCs/>
          <w:lang w:val="en-US" w:eastAsia="en-US"/>
        </w:rPr>
        <w:t xml:space="preserve"> Communication Technology, Security Management and Communication support services to the Judiciary and the </w:t>
      </w:r>
      <w:r w:rsidR="00820627" w:rsidRPr="00245C90">
        <w:rPr>
          <w:bCs/>
          <w:lang w:val="en-US" w:eastAsia="en-US"/>
        </w:rPr>
        <w:t>OCJ</w:t>
      </w:r>
      <w:r w:rsidRPr="00245C90">
        <w:rPr>
          <w:bCs/>
          <w:lang w:val="en-US" w:eastAsia="en-US"/>
        </w:rPr>
        <w:t xml:space="preserve">.  </w:t>
      </w:r>
    </w:p>
    <w:p w:rsidR="003D7013" w:rsidRPr="00245C90" w:rsidRDefault="003D7013"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The Finance Administration subprogramme provides overall financial, asset and supply chain management services to the Judiciary and</w:t>
      </w:r>
      <w:r w:rsidR="00820627" w:rsidRPr="00245C90">
        <w:rPr>
          <w:bCs/>
          <w:lang w:val="en-US" w:eastAsia="en-US"/>
        </w:rPr>
        <w:t xml:space="preserve"> OCJ</w:t>
      </w:r>
      <w:r w:rsidRPr="00245C90">
        <w:rPr>
          <w:bCs/>
          <w:lang w:val="en-US" w:eastAsia="en-US"/>
        </w:rPr>
        <w:t>.</w:t>
      </w:r>
    </w:p>
    <w:p w:rsidR="003D7013" w:rsidRPr="00245C90" w:rsidRDefault="003D7013"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 xml:space="preserve">The Internal Audit and Risk Management subprogramme provides overall internal audit and risk management services to the </w:t>
      </w:r>
      <w:r w:rsidR="00820627" w:rsidRPr="00245C90">
        <w:rPr>
          <w:bCs/>
          <w:lang w:val="en-US" w:eastAsia="en-US"/>
        </w:rPr>
        <w:t>OCJ</w:t>
      </w:r>
      <w:r w:rsidRPr="00245C90">
        <w:rPr>
          <w:bCs/>
          <w:lang w:val="en-US" w:eastAsia="en-US"/>
        </w:rPr>
        <w:t xml:space="preserve"> and the </w:t>
      </w:r>
      <w:r w:rsidR="00820627" w:rsidRPr="00245C90">
        <w:rPr>
          <w:bCs/>
          <w:lang w:val="en-US" w:eastAsia="en-US"/>
        </w:rPr>
        <w:t>S</w:t>
      </w:r>
      <w:r w:rsidRPr="00245C90">
        <w:rPr>
          <w:bCs/>
          <w:lang w:val="en-US" w:eastAsia="en-US"/>
        </w:rPr>
        <w:t xml:space="preserve">uperior </w:t>
      </w:r>
      <w:r w:rsidR="00820627" w:rsidRPr="00245C90">
        <w:rPr>
          <w:bCs/>
          <w:lang w:val="en-US" w:eastAsia="en-US"/>
        </w:rPr>
        <w:t>C</w:t>
      </w:r>
      <w:r w:rsidRPr="00245C90">
        <w:rPr>
          <w:bCs/>
          <w:lang w:val="en-US" w:eastAsia="en-US"/>
        </w:rPr>
        <w:t>ourts.</w:t>
      </w:r>
    </w:p>
    <w:p w:rsidR="003D7013" w:rsidRPr="00245C90" w:rsidRDefault="003D7013" w:rsidP="00245C90">
      <w:pPr>
        <w:numPr>
          <w:ilvl w:val="0"/>
          <w:numId w:val="28"/>
        </w:numPr>
        <w:autoSpaceDE w:val="0"/>
        <w:autoSpaceDN w:val="0"/>
        <w:adjustRightInd w:val="0"/>
        <w:spacing w:line="360" w:lineRule="auto"/>
        <w:ind w:left="1276" w:hanging="425"/>
        <w:jc w:val="both"/>
        <w:rPr>
          <w:lang w:val="en-US" w:eastAsia="en-US"/>
        </w:rPr>
      </w:pPr>
      <w:r w:rsidRPr="00245C90">
        <w:rPr>
          <w:bCs/>
          <w:lang w:val="en-US" w:eastAsia="en-US"/>
        </w:rPr>
        <w:t xml:space="preserve">The Office Accommodation </w:t>
      </w:r>
      <w:r w:rsidRPr="00245C90">
        <w:rPr>
          <w:lang w:val="en-US" w:eastAsia="en-US"/>
        </w:rPr>
        <w:t>subprogramme provides for</w:t>
      </w:r>
      <w:r w:rsidRPr="00245C90">
        <w:rPr>
          <w:bCs/>
          <w:lang w:val="en-US" w:eastAsia="en-US"/>
        </w:rPr>
        <w:t xml:space="preserve"> </w:t>
      </w:r>
      <w:r w:rsidRPr="00245C90">
        <w:rPr>
          <w:lang w:val="en-US" w:eastAsia="en-US"/>
        </w:rPr>
        <w:t xml:space="preserve">acquisition of office accommodation for the </w:t>
      </w:r>
      <w:r w:rsidR="003A25B6" w:rsidRPr="00245C90">
        <w:rPr>
          <w:lang w:val="en-US" w:eastAsia="en-US"/>
        </w:rPr>
        <w:t>OCJ</w:t>
      </w:r>
      <w:r w:rsidRPr="00245C90">
        <w:rPr>
          <w:lang w:val="en-US" w:eastAsia="en-US"/>
        </w:rPr>
        <w:t>.</w:t>
      </w:r>
    </w:p>
    <w:p w:rsidR="003D7013" w:rsidRPr="00245C90" w:rsidRDefault="003D7013" w:rsidP="00245C90">
      <w:pPr>
        <w:autoSpaceDE w:val="0"/>
        <w:autoSpaceDN w:val="0"/>
        <w:adjustRightInd w:val="0"/>
        <w:spacing w:line="360" w:lineRule="auto"/>
        <w:ind w:left="1080"/>
        <w:jc w:val="both"/>
        <w:rPr>
          <w:lang w:val="en-US" w:eastAsia="en-US"/>
        </w:rPr>
      </w:pPr>
    </w:p>
    <w:p w:rsidR="00FC46EE" w:rsidRPr="00245C90" w:rsidRDefault="00FC46EE" w:rsidP="00245C90">
      <w:pPr>
        <w:pStyle w:val="ListParagraph"/>
        <w:numPr>
          <w:ilvl w:val="2"/>
          <w:numId w:val="37"/>
        </w:numPr>
        <w:autoSpaceDE w:val="0"/>
        <w:autoSpaceDN w:val="0"/>
        <w:adjustRightInd w:val="0"/>
        <w:spacing w:line="360" w:lineRule="auto"/>
        <w:ind w:left="851" w:hanging="851"/>
        <w:jc w:val="both"/>
        <w:rPr>
          <w:bCs/>
          <w:lang w:val="en-US"/>
        </w:rPr>
      </w:pPr>
      <w:r w:rsidRPr="00245C90">
        <w:rPr>
          <w:lang w:val="en-US" w:eastAsia="en-US"/>
        </w:rPr>
        <w:t>The</w:t>
      </w:r>
      <w:r w:rsidRPr="00245C90">
        <w:rPr>
          <w:bCs/>
          <w:lang w:val="en-US"/>
        </w:rPr>
        <w:t xml:space="preserve"> OCJ met or exceeded </w:t>
      </w:r>
      <w:r w:rsidR="00D3399C" w:rsidRPr="00245C90">
        <w:rPr>
          <w:bCs/>
          <w:lang w:val="en-US"/>
        </w:rPr>
        <w:t xml:space="preserve">10 of 14 or 71% of </w:t>
      </w:r>
      <w:r w:rsidR="00A9386F">
        <w:rPr>
          <w:bCs/>
          <w:lang w:val="en-US"/>
        </w:rPr>
        <w:t xml:space="preserve">performance </w:t>
      </w:r>
      <w:r w:rsidR="00D3399C" w:rsidRPr="00245C90">
        <w:rPr>
          <w:bCs/>
          <w:lang w:val="en-US"/>
        </w:rPr>
        <w:t>indicators</w:t>
      </w:r>
      <w:r w:rsidRPr="00245C90">
        <w:rPr>
          <w:bCs/>
          <w:lang w:val="en-US"/>
        </w:rPr>
        <w:t xml:space="preserve"> for 2015/16: </w:t>
      </w:r>
    </w:p>
    <w:p w:rsidR="00D3399C" w:rsidRPr="00245C90" w:rsidRDefault="00D3399C" w:rsidP="00245C90">
      <w:pPr>
        <w:pStyle w:val="ListParagraph"/>
        <w:spacing w:line="360" w:lineRule="auto"/>
        <w:ind w:left="0"/>
        <w:jc w:val="both"/>
        <w:rPr>
          <w:b/>
          <w:bCs/>
          <w:lang w:val="en-US"/>
        </w:rPr>
      </w:pPr>
    </w:p>
    <w:p w:rsidR="003D7013" w:rsidRPr="00245C90" w:rsidRDefault="003A25B6" w:rsidP="00245C90">
      <w:pPr>
        <w:pStyle w:val="ListParagraph"/>
        <w:spacing w:line="360" w:lineRule="auto"/>
        <w:ind w:left="0"/>
        <w:jc w:val="both"/>
        <w:rPr>
          <w:b/>
          <w:bCs/>
          <w:lang w:val="en-US"/>
        </w:rPr>
      </w:pPr>
      <w:r w:rsidRPr="00245C90">
        <w:rPr>
          <w:b/>
          <w:bCs/>
          <w:lang w:val="en-US"/>
        </w:rPr>
        <w:t>Table 2:</w:t>
      </w:r>
      <w:r w:rsidR="003D7013" w:rsidRPr="00245C90">
        <w:rPr>
          <w:b/>
          <w:bCs/>
          <w:lang w:val="en-US"/>
        </w:rPr>
        <w:t xml:space="preserve"> Administration: </w:t>
      </w:r>
      <w:r w:rsidR="00FC46EE" w:rsidRPr="00245C90">
        <w:rPr>
          <w:b/>
          <w:bCs/>
          <w:lang w:val="en-US"/>
        </w:rPr>
        <w:t xml:space="preserve">Selected performance 2015/15 and </w:t>
      </w:r>
      <w:r w:rsidR="00632573" w:rsidRPr="00245C90">
        <w:rPr>
          <w:b/>
          <w:bCs/>
          <w:lang w:val="en-US"/>
        </w:rPr>
        <w:t xml:space="preserve">First Quarter </w:t>
      </w:r>
      <w:r w:rsidR="003D7013" w:rsidRPr="00245C90">
        <w:rPr>
          <w:b/>
          <w:bCs/>
          <w:lang w:val="en-US"/>
        </w:rPr>
        <w:t>2016/17</w:t>
      </w:r>
    </w:p>
    <w:p w:rsidR="00632573" w:rsidRPr="00245C90" w:rsidRDefault="00632573" w:rsidP="00245C90">
      <w:pPr>
        <w:pStyle w:val="ListParagraph"/>
        <w:spacing w:line="360" w:lineRule="auto"/>
        <w:ind w:left="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2420"/>
        <w:gridCol w:w="2883"/>
      </w:tblGrid>
      <w:tr w:rsidR="00C40365" w:rsidRPr="00245C90" w:rsidTr="00632573">
        <w:trPr>
          <w:trHeight w:val="736"/>
          <w:tblHeader/>
        </w:trPr>
        <w:tc>
          <w:tcPr>
            <w:tcW w:w="0" w:type="auto"/>
            <w:shd w:val="clear" w:color="auto" w:fill="D9D9D9"/>
          </w:tcPr>
          <w:p w:rsidR="00DE27D7" w:rsidRPr="00245C90" w:rsidRDefault="00DE27D7" w:rsidP="00245C90">
            <w:pPr>
              <w:autoSpaceDE w:val="0"/>
              <w:autoSpaceDN w:val="0"/>
              <w:adjustRightInd w:val="0"/>
              <w:spacing w:line="360" w:lineRule="auto"/>
              <w:jc w:val="center"/>
              <w:rPr>
                <w:b/>
                <w:bCs/>
                <w:lang w:val="en-ZA" w:eastAsia="en-ZA"/>
              </w:rPr>
            </w:pPr>
            <w:r w:rsidRPr="00245C90">
              <w:rPr>
                <w:b/>
                <w:bCs/>
                <w:lang w:val="en-ZA" w:eastAsia="en-ZA"/>
              </w:rPr>
              <w:t>Performance Indicator</w:t>
            </w:r>
          </w:p>
        </w:tc>
        <w:tc>
          <w:tcPr>
            <w:tcW w:w="0" w:type="auto"/>
            <w:shd w:val="clear" w:color="auto" w:fill="D9D9D9"/>
          </w:tcPr>
          <w:p w:rsidR="00215FA6" w:rsidRPr="00245C90" w:rsidRDefault="00215FA6" w:rsidP="00245C90">
            <w:pPr>
              <w:autoSpaceDE w:val="0"/>
              <w:autoSpaceDN w:val="0"/>
              <w:adjustRightInd w:val="0"/>
              <w:spacing w:line="360" w:lineRule="auto"/>
              <w:jc w:val="center"/>
              <w:rPr>
                <w:b/>
                <w:bCs/>
                <w:lang w:val="en-ZA" w:eastAsia="en-ZA"/>
              </w:rPr>
            </w:pPr>
            <w:r w:rsidRPr="00245C90">
              <w:rPr>
                <w:b/>
                <w:bCs/>
                <w:lang w:val="en-ZA" w:eastAsia="en-ZA"/>
              </w:rPr>
              <w:t>Performance</w:t>
            </w:r>
          </w:p>
          <w:p w:rsidR="00DE27D7" w:rsidRPr="00245C90" w:rsidRDefault="00DE27D7" w:rsidP="00245C90">
            <w:pPr>
              <w:autoSpaceDE w:val="0"/>
              <w:autoSpaceDN w:val="0"/>
              <w:adjustRightInd w:val="0"/>
              <w:spacing w:line="360" w:lineRule="auto"/>
              <w:jc w:val="center"/>
              <w:rPr>
                <w:b/>
                <w:lang w:val="en-ZA" w:eastAsia="en-ZA"/>
              </w:rPr>
            </w:pPr>
            <w:r w:rsidRPr="00245C90">
              <w:rPr>
                <w:b/>
                <w:bCs/>
                <w:lang w:val="en-ZA" w:eastAsia="en-ZA"/>
              </w:rPr>
              <w:t>2015/16</w:t>
            </w:r>
          </w:p>
        </w:tc>
        <w:tc>
          <w:tcPr>
            <w:tcW w:w="0" w:type="auto"/>
            <w:shd w:val="clear" w:color="auto" w:fill="D9D9D9"/>
          </w:tcPr>
          <w:p w:rsidR="00641865" w:rsidRPr="00245C90" w:rsidRDefault="00632573" w:rsidP="00245C90">
            <w:pPr>
              <w:autoSpaceDE w:val="0"/>
              <w:autoSpaceDN w:val="0"/>
              <w:adjustRightInd w:val="0"/>
              <w:spacing w:line="360" w:lineRule="auto"/>
              <w:jc w:val="center"/>
              <w:rPr>
                <w:b/>
                <w:bCs/>
                <w:lang w:val="en-ZA" w:eastAsia="en-ZA"/>
              </w:rPr>
            </w:pPr>
            <w:r w:rsidRPr="00245C90">
              <w:rPr>
                <w:b/>
                <w:bCs/>
                <w:lang w:val="en-ZA" w:eastAsia="en-ZA"/>
              </w:rPr>
              <w:t>P</w:t>
            </w:r>
            <w:r w:rsidR="00DE27D7" w:rsidRPr="00245C90">
              <w:rPr>
                <w:b/>
                <w:bCs/>
                <w:lang w:val="en-ZA" w:eastAsia="en-ZA"/>
              </w:rPr>
              <w:t xml:space="preserve">erformance </w:t>
            </w:r>
          </w:p>
          <w:p w:rsidR="00DE27D7" w:rsidRPr="00245C90" w:rsidRDefault="00641865" w:rsidP="00245C90">
            <w:pPr>
              <w:autoSpaceDE w:val="0"/>
              <w:autoSpaceDN w:val="0"/>
              <w:adjustRightInd w:val="0"/>
              <w:spacing w:line="360" w:lineRule="auto"/>
              <w:jc w:val="center"/>
              <w:rPr>
                <w:b/>
                <w:lang w:val="en-ZA" w:eastAsia="en-ZA"/>
              </w:rPr>
            </w:pPr>
            <w:r w:rsidRPr="00245C90">
              <w:rPr>
                <w:b/>
                <w:bCs/>
                <w:lang w:val="en-ZA" w:eastAsia="en-ZA"/>
              </w:rPr>
              <w:t xml:space="preserve">First Quarter </w:t>
            </w:r>
            <w:r w:rsidR="00DE27D7" w:rsidRPr="00245C90">
              <w:rPr>
                <w:b/>
                <w:bCs/>
                <w:lang w:val="en-ZA" w:eastAsia="en-ZA"/>
              </w:rPr>
              <w:t>2016/17</w:t>
            </w:r>
          </w:p>
        </w:tc>
      </w:tr>
      <w:tr w:rsidR="00C40365" w:rsidRPr="00245C90" w:rsidTr="00B04F14">
        <w:trPr>
          <w:trHeight w:val="781"/>
        </w:trPr>
        <w:tc>
          <w:tcPr>
            <w:tcW w:w="0" w:type="auto"/>
          </w:tcPr>
          <w:p w:rsidR="00DE27D7" w:rsidRPr="00245C90" w:rsidRDefault="00DE27D7" w:rsidP="00245C90">
            <w:pPr>
              <w:autoSpaceDE w:val="0"/>
              <w:autoSpaceDN w:val="0"/>
              <w:adjustRightInd w:val="0"/>
              <w:spacing w:line="360" w:lineRule="auto"/>
              <w:jc w:val="both"/>
              <w:rPr>
                <w:lang w:val="en-ZA" w:eastAsia="en-ZA"/>
              </w:rPr>
            </w:pPr>
            <w:r w:rsidRPr="00245C90">
              <w:rPr>
                <w:lang w:val="en-ZA" w:eastAsia="en-ZA"/>
              </w:rPr>
              <w:t>% of identified critical funded posts filled</w:t>
            </w:r>
          </w:p>
        </w:tc>
        <w:tc>
          <w:tcPr>
            <w:tcW w:w="0" w:type="auto"/>
            <w:shd w:val="clear" w:color="auto" w:fill="auto"/>
          </w:tcPr>
          <w:p w:rsidR="00C40365" w:rsidRPr="007949CD" w:rsidRDefault="00DE27D7" w:rsidP="00245C90">
            <w:pPr>
              <w:autoSpaceDE w:val="0"/>
              <w:autoSpaceDN w:val="0"/>
              <w:adjustRightInd w:val="0"/>
              <w:spacing w:line="360" w:lineRule="auto"/>
              <w:jc w:val="both"/>
              <w:rPr>
                <w:b/>
                <w:lang w:val="en-ZA" w:eastAsia="en-ZA"/>
              </w:rPr>
            </w:pPr>
            <w:r w:rsidRPr="007949CD">
              <w:rPr>
                <w:b/>
                <w:lang w:val="en-ZA" w:eastAsia="en-ZA"/>
              </w:rPr>
              <w:t xml:space="preserve">NOT ACHIEVED </w:t>
            </w:r>
          </w:p>
          <w:p w:rsidR="00DE27D7" w:rsidRPr="00245C90" w:rsidRDefault="00DE27D7" w:rsidP="00245C90">
            <w:pPr>
              <w:autoSpaceDE w:val="0"/>
              <w:autoSpaceDN w:val="0"/>
              <w:adjustRightInd w:val="0"/>
              <w:spacing w:line="360" w:lineRule="auto"/>
              <w:jc w:val="both"/>
              <w:rPr>
                <w:lang w:val="en-ZA" w:eastAsia="en-ZA"/>
              </w:rPr>
            </w:pPr>
            <w:r w:rsidRPr="00245C90">
              <w:rPr>
                <w:lang w:val="en-ZA" w:eastAsia="en-ZA"/>
              </w:rPr>
              <w:t>57% against a target of 90%</w:t>
            </w:r>
          </w:p>
        </w:tc>
        <w:tc>
          <w:tcPr>
            <w:tcW w:w="0" w:type="auto"/>
          </w:tcPr>
          <w:p w:rsidR="00DE27D7" w:rsidRPr="007949CD" w:rsidRDefault="00645E94" w:rsidP="00245C90">
            <w:pPr>
              <w:autoSpaceDE w:val="0"/>
              <w:autoSpaceDN w:val="0"/>
              <w:adjustRightInd w:val="0"/>
              <w:spacing w:line="360" w:lineRule="auto"/>
              <w:jc w:val="both"/>
              <w:rPr>
                <w:b/>
                <w:lang w:val="en-ZA" w:eastAsia="en-ZA"/>
              </w:rPr>
            </w:pPr>
            <w:r w:rsidRPr="007949CD">
              <w:rPr>
                <w:b/>
                <w:lang w:val="en-ZA" w:eastAsia="en-ZA"/>
              </w:rPr>
              <w:t>NOT ACHIEVED</w:t>
            </w:r>
          </w:p>
          <w:p w:rsidR="00645E94" w:rsidRPr="00245C90" w:rsidRDefault="00645E94" w:rsidP="00245C90">
            <w:pPr>
              <w:autoSpaceDE w:val="0"/>
              <w:autoSpaceDN w:val="0"/>
              <w:adjustRightInd w:val="0"/>
              <w:spacing w:line="360" w:lineRule="auto"/>
              <w:jc w:val="both"/>
              <w:rPr>
                <w:lang w:val="en-ZA" w:eastAsia="en-ZA"/>
              </w:rPr>
            </w:pPr>
            <w:r w:rsidRPr="00245C90">
              <w:rPr>
                <w:lang w:val="en-ZA" w:eastAsia="en-ZA"/>
              </w:rPr>
              <w:t>17% against a quarterly target of 20% (annual target remains 90%)</w:t>
            </w:r>
          </w:p>
        </w:tc>
      </w:tr>
      <w:tr w:rsidR="00C40365" w:rsidRPr="00245C90" w:rsidTr="00B04F14">
        <w:trPr>
          <w:trHeight w:val="646"/>
        </w:trPr>
        <w:tc>
          <w:tcPr>
            <w:tcW w:w="0" w:type="auto"/>
          </w:tcPr>
          <w:p w:rsidR="00DE27D7" w:rsidRPr="00245C90" w:rsidRDefault="00DE27D7" w:rsidP="00245C90">
            <w:pPr>
              <w:autoSpaceDE w:val="0"/>
              <w:autoSpaceDN w:val="0"/>
              <w:adjustRightInd w:val="0"/>
              <w:spacing w:line="360" w:lineRule="auto"/>
              <w:jc w:val="both"/>
              <w:rPr>
                <w:lang w:val="en-ZA" w:eastAsia="en-ZA"/>
              </w:rPr>
            </w:pPr>
            <w:r w:rsidRPr="00245C90">
              <w:rPr>
                <w:lang w:val="en-ZA" w:eastAsia="en-ZA"/>
              </w:rPr>
              <w:t>No. of communication activities in line with the communication strategy</w:t>
            </w:r>
          </w:p>
        </w:tc>
        <w:tc>
          <w:tcPr>
            <w:tcW w:w="0" w:type="auto"/>
            <w:shd w:val="clear" w:color="auto" w:fill="auto"/>
          </w:tcPr>
          <w:p w:rsidR="00DE27D7" w:rsidRPr="007949CD" w:rsidRDefault="00DE27D7" w:rsidP="00245C90">
            <w:pPr>
              <w:autoSpaceDE w:val="0"/>
              <w:autoSpaceDN w:val="0"/>
              <w:adjustRightInd w:val="0"/>
              <w:spacing w:line="360" w:lineRule="auto"/>
              <w:jc w:val="both"/>
              <w:rPr>
                <w:b/>
                <w:lang w:val="en-ZA" w:eastAsia="en-ZA"/>
              </w:rPr>
            </w:pPr>
            <w:r w:rsidRPr="007949CD">
              <w:rPr>
                <w:b/>
                <w:lang w:val="en-ZA" w:eastAsia="en-ZA"/>
              </w:rPr>
              <w:t>NOT ACHIEVED</w:t>
            </w:r>
          </w:p>
          <w:p w:rsidR="00DE27D7" w:rsidRPr="00245C90" w:rsidRDefault="00DE27D7" w:rsidP="00245C90">
            <w:pPr>
              <w:autoSpaceDE w:val="0"/>
              <w:autoSpaceDN w:val="0"/>
              <w:adjustRightInd w:val="0"/>
              <w:spacing w:line="360" w:lineRule="auto"/>
              <w:jc w:val="both"/>
              <w:rPr>
                <w:lang w:val="en-ZA" w:eastAsia="en-ZA"/>
              </w:rPr>
            </w:pPr>
            <w:r w:rsidRPr="00245C90">
              <w:rPr>
                <w:lang w:val="en-ZA" w:eastAsia="en-ZA"/>
              </w:rPr>
              <w:t>8 against a target of 12</w:t>
            </w:r>
          </w:p>
        </w:tc>
        <w:tc>
          <w:tcPr>
            <w:tcW w:w="0" w:type="auto"/>
          </w:tcPr>
          <w:p w:rsidR="00DE27D7" w:rsidRPr="00245C90" w:rsidRDefault="00D3399C" w:rsidP="00245C90">
            <w:pPr>
              <w:autoSpaceDE w:val="0"/>
              <w:autoSpaceDN w:val="0"/>
              <w:adjustRightInd w:val="0"/>
              <w:spacing w:line="360" w:lineRule="auto"/>
              <w:jc w:val="both"/>
              <w:rPr>
                <w:lang w:val="en-ZA" w:eastAsia="en-ZA"/>
              </w:rPr>
            </w:pPr>
            <w:r w:rsidRPr="00245C90">
              <w:rPr>
                <w:lang w:val="en-ZA" w:eastAsia="en-ZA"/>
              </w:rPr>
              <w:t>-</w:t>
            </w:r>
          </w:p>
        </w:tc>
      </w:tr>
      <w:tr w:rsidR="00C40365" w:rsidRPr="00245C90" w:rsidTr="00B04F14">
        <w:trPr>
          <w:trHeight w:val="782"/>
        </w:trPr>
        <w:tc>
          <w:tcPr>
            <w:tcW w:w="0" w:type="auto"/>
          </w:tcPr>
          <w:p w:rsidR="00DE27D7" w:rsidRPr="00245C90" w:rsidRDefault="00DE27D7" w:rsidP="00245C90">
            <w:pPr>
              <w:autoSpaceDE w:val="0"/>
              <w:autoSpaceDN w:val="0"/>
              <w:adjustRightInd w:val="0"/>
              <w:spacing w:line="360" w:lineRule="auto"/>
              <w:jc w:val="both"/>
              <w:rPr>
                <w:lang w:val="en-ZA" w:eastAsia="en-ZA"/>
              </w:rPr>
            </w:pPr>
            <w:r w:rsidRPr="00245C90">
              <w:rPr>
                <w:lang w:val="en-ZA" w:eastAsia="en-ZA"/>
              </w:rPr>
              <w:t>% of reported fraud cases investigated within 60 days</w:t>
            </w:r>
          </w:p>
        </w:tc>
        <w:tc>
          <w:tcPr>
            <w:tcW w:w="0" w:type="auto"/>
            <w:shd w:val="clear" w:color="auto" w:fill="auto"/>
          </w:tcPr>
          <w:p w:rsidR="00C40365" w:rsidRPr="007949CD" w:rsidRDefault="00C40365" w:rsidP="00245C90">
            <w:pPr>
              <w:autoSpaceDE w:val="0"/>
              <w:autoSpaceDN w:val="0"/>
              <w:adjustRightInd w:val="0"/>
              <w:spacing w:line="360" w:lineRule="auto"/>
              <w:jc w:val="both"/>
              <w:rPr>
                <w:b/>
                <w:lang w:val="en-ZA" w:eastAsia="en-ZA"/>
              </w:rPr>
            </w:pPr>
            <w:r w:rsidRPr="007949CD">
              <w:rPr>
                <w:b/>
                <w:lang w:val="en-ZA" w:eastAsia="en-ZA"/>
              </w:rPr>
              <w:t>NOT ACHIEVED</w:t>
            </w:r>
          </w:p>
          <w:p w:rsidR="00DE27D7" w:rsidRPr="00245C90" w:rsidRDefault="00DE27D7" w:rsidP="00245C90">
            <w:pPr>
              <w:autoSpaceDE w:val="0"/>
              <w:autoSpaceDN w:val="0"/>
              <w:adjustRightInd w:val="0"/>
              <w:spacing w:line="360" w:lineRule="auto"/>
              <w:jc w:val="both"/>
              <w:rPr>
                <w:lang w:val="en-ZA" w:eastAsia="en-ZA"/>
              </w:rPr>
            </w:pPr>
            <w:r w:rsidRPr="00245C90">
              <w:rPr>
                <w:lang w:val="en-ZA" w:eastAsia="en-ZA"/>
              </w:rPr>
              <w:t>61% (20 of 33) against a target of 100%</w:t>
            </w:r>
          </w:p>
        </w:tc>
        <w:tc>
          <w:tcPr>
            <w:tcW w:w="0" w:type="auto"/>
          </w:tcPr>
          <w:p w:rsidR="00632573" w:rsidRPr="007949CD" w:rsidRDefault="00632573" w:rsidP="00245C90">
            <w:pPr>
              <w:autoSpaceDE w:val="0"/>
              <w:autoSpaceDN w:val="0"/>
              <w:adjustRightInd w:val="0"/>
              <w:spacing w:line="360" w:lineRule="auto"/>
              <w:jc w:val="both"/>
              <w:rPr>
                <w:b/>
                <w:lang w:val="en-ZA" w:eastAsia="en-ZA"/>
              </w:rPr>
            </w:pPr>
            <w:r w:rsidRPr="007949CD">
              <w:rPr>
                <w:b/>
                <w:lang w:val="en-ZA" w:eastAsia="en-ZA"/>
              </w:rPr>
              <w:t xml:space="preserve">NOT ACHIEVED </w:t>
            </w:r>
          </w:p>
          <w:p w:rsidR="00DE27D7" w:rsidRPr="00245C90" w:rsidRDefault="00A468EE" w:rsidP="00245C90">
            <w:pPr>
              <w:autoSpaceDE w:val="0"/>
              <w:autoSpaceDN w:val="0"/>
              <w:adjustRightInd w:val="0"/>
              <w:spacing w:line="360" w:lineRule="auto"/>
              <w:jc w:val="both"/>
              <w:rPr>
                <w:lang w:val="en-ZA" w:eastAsia="en-ZA"/>
              </w:rPr>
            </w:pPr>
            <w:r w:rsidRPr="00245C90">
              <w:rPr>
                <w:lang w:val="en-ZA" w:eastAsia="en-ZA"/>
              </w:rPr>
              <w:t>83% against a quarterly an</w:t>
            </w:r>
            <w:r w:rsidR="00C642CF" w:rsidRPr="00245C90">
              <w:rPr>
                <w:lang w:val="en-ZA" w:eastAsia="en-ZA"/>
              </w:rPr>
              <w:t>d</w:t>
            </w:r>
            <w:r w:rsidRPr="00245C90">
              <w:rPr>
                <w:lang w:val="en-ZA" w:eastAsia="en-ZA"/>
              </w:rPr>
              <w:t xml:space="preserve"> annual target of 100%</w:t>
            </w:r>
          </w:p>
        </w:tc>
      </w:tr>
      <w:tr w:rsidR="00C40365" w:rsidRPr="00245C90" w:rsidTr="00B04F14">
        <w:trPr>
          <w:trHeight w:val="379"/>
        </w:trPr>
        <w:tc>
          <w:tcPr>
            <w:tcW w:w="0" w:type="auto"/>
          </w:tcPr>
          <w:p w:rsidR="00645E94" w:rsidRPr="00245C90" w:rsidRDefault="00136612" w:rsidP="00245C90">
            <w:pPr>
              <w:autoSpaceDE w:val="0"/>
              <w:autoSpaceDN w:val="0"/>
              <w:adjustRightInd w:val="0"/>
              <w:spacing w:line="360" w:lineRule="auto"/>
              <w:jc w:val="both"/>
              <w:rPr>
                <w:lang w:val="en-ZA" w:eastAsia="en-ZA"/>
              </w:rPr>
            </w:pPr>
            <w:r w:rsidRPr="00245C90">
              <w:rPr>
                <w:lang w:val="en-ZA" w:eastAsia="en-ZA"/>
              </w:rPr>
              <w:t>% of audit findings (internal and external addressed)</w:t>
            </w:r>
            <w:r w:rsidR="00A468EE" w:rsidRPr="00245C90">
              <w:rPr>
                <w:lang w:val="en-ZA" w:eastAsia="en-ZA"/>
              </w:rPr>
              <w:t xml:space="preserve"> addressed</w:t>
            </w:r>
          </w:p>
        </w:tc>
        <w:tc>
          <w:tcPr>
            <w:tcW w:w="0" w:type="auto"/>
            <w:shd w:val="clear" w:color="auto" w:fill="auto"/>
          </w:tcPr>
          <w:p w:rsidR="00645E94" w:rsidRPr="00245C90" w:rsidRDefault="00D3399C" w:rsidP="00245C90">
            <w:pPr>
              <w:autoSpaceDE w:val="0"/>
              <w:autoSpaceDN w:val="0"/>
              <w:adjustRightInd w:val="0"/>
              <w:spacing w:line="360" w:lineRule="auto"/>
              <w:jc w:val="both"/>
              <w:rPr>
                <w:lang w:val="en-ZA" w:eastAsia="en-ZA"/>
              </w:rPr>
            </w:pPr>
            <w:r w:rsidRPr="00245C90">
              <w:rPr>
                <w:lang w:val="en-ZA" w:eastAsia="en-ZA"/>
              </w:rPr>
              <w:t>-</w:t>
            </w:r>
          </w:p>
        </w:tc>
        <w:tc>
          <w:tcPr>
            <w:tcW w:w="0" w:type="auto"/>
          </w:tcPr>
          <w:p w:rsidR="00632573" w:rsidRPr="007949CD" w:rsidRDefault="00632573" w:rsidP="00245C90">
            <w:pPr>
              <w:autoSpaceDE w:val="0"/>
              <w:autoSpaceDN w:val="0"/>
              <w:adjustRightInd w:val="0"/>
              <w:spacing w:line="360" w:lineRule="auto"/>
              <w:jc w:val="both"/>
              <w:rPr>
                <w:b/>
                <w:lang w:val="en-ZA" w:eastAsia="en-ZA"/>
              </w:rPr>
            </w:pPr>
            <w:r w:rsidRPr="007949CD">
              <w:rPr>
                <w:b/>
                <w:lang w:val="en-ZA" w:eastAsia="en-ZA"/>
              </w:rPr>
              <w:t xml:space="preserve">NOT ACHIEVED </w:t>
            </w:r>
          </w:p>
          <w:p w:rsidR="00645E94" w:rsidRPr="00245C90" w:rsidRDefault="00A468EE" w:rsidP="00245C90">
            <w:pPr>
              <w:autoSpaceDE w:val="0"/>
              <w:autoSpaceDN w:val="0"/>
              <w:adjustRightInd w:val="0"/>
              <w:spacing w:line="360" w:lineRule="auto"/>
              <w:jc w:val="both"/>
              <w:rPr>
                <w:lang w:val="en-ZA" w:eastAsia="en-ZA"/>
              </w:rPr>
            </w:pPr>
            <w:r w:rsidRPr="00245C90">
              <w:rPr>
                <w:lang w:val="en-ZA" w:eastAsia="en-ZA"/>
              </w:rPr>
              <w:t>49% against a quarterly target of 65% with an annual target of 80%</w:t>
            </w:r>
          </w:p>
        </w:tc>
      </w:tr>
      <w:tr w:rsidR="00C40365" w:rsidRPr="00245C90" w:rsidTr="00B04F14">
        <w:trPr>
          <w:trHeight w:val="379"/>
        </w:trPr>
        <w:tc>
          <w:tcPr>
            <w:tcW w:w="0" w:type="auto"/>
          </w:tcPr>
          <w:p w:rsidR="00DE27D7" w:rsidRPr="00245C90" w:rsidRDefault="00DE27D7" w:rsidP="00245C90">
            <w:pPr>
              <w:autoSpaceDE w:val="0"/>
              <w:autoSpaceDN w:val="0"/>
              <w:adjustRightInd w:val="0"/>
              <w:spacing w:line="360" w:lineRule="auto"/>
              <w:jc w:val="both"/>
              <w:rPr>
                <w:lang w:val="en-ZA" w:eastAsia="en-ZA"/>
              </w:rPr>
            </w:pPr>
            <w:r w:rsidRPr="00245C90">
              <w:rPr>
                <w:lang w:val="en-ZA" w:eastAsia="en-ZA"/>
              </w:rPr>
              <w:t>% of received invoices paid within 30 days</w:t>
            </w:r>
          </w:p>
        </w:tc>
        <w:tc>
          <w:tcPr>
            <w:tcW w:w="0" w:type="auto"/>
            <w:shd w:val="clear" w:color="auto" w:fill="auto"/>
          </w:tcPr>
          <w:p w:rsidR="00C40365" w:rsidRPr="007949CD" w:rsidRDefault="00C40365" w:rsidP="00245C90">
            <w:pPr>
              <w:autoSpaceDE w:val="0"/>
              <w:autoSpaceDN w:val="0"/>
              <w:adjustRightInd w:val="0"/>
              <w:spacing w:line="360" w:lineRule="auto"/>
              <w:jc w:val="both"/>
              <w:rPr>
                <w:b/>
                <w:lang w:val="en-ZA" w:eastAsia="en-ZA"/>
              </w:rPr>
            </w:pPr>
            <w:r w:rsidRPr="007949CD">
              <w:rPr>
                <w:b/>
                <w:lang w:val="en-ZA" w:eastAsia="en-ZA"/>
              </w:rPr>
              <w:t>NOT ACHIEVED</w:t>
            </w:r>
          </w:p>
          <w:p w:rsidR="00DE27D7" w:rsidRPr="00245C90" w:rsidRDefault="00DE27D7" w:rsidP="00245C90">
            <w:pPr>
              <w:autoSpaceDE w:val="0"/>
              <w:autoSpaceDN w:val="0"/>
              <w:adjustRightInd w:val="0"/>
              <w:spacing w:line="360" w:lineRule="auto"/>
              <w:jc w:val="both"/>
              <w:rPr>
                <w:lang w:val="en-ZA" w:eastAsia="en-ZA"/>
              </w:rPr>
            </w:pPr>
            <w:r w:rsidRPr="00245C90">
              <w:rPr>
                <w:lang w:val="en-ZA" w:eastAsia="en-ZA"/>
              </w:rPr>
              <w:t>83% (16 928 of 20 333)</w:t>
            </w:r>
            <w:r w:rsidR="00C40365" w:rsidRPr="00245C90">
              <w:rPr>
                <w:lang w:val="en-ZA" w:eastAsia="en-ZA"/>
              </w:rPr>
              <w:t xml:space="preserve"> against a target of </w:t>
            </w:r>
            <w:r w:rsidR="00CF799F" w:rsidRPr="00245C90">
              <w:rPr>
                <w:lang w:val="en-ZA" w:eastAsia="en-ZA"/>
              </w:rPr>
              <w:t>100%</w:t>
            </w:r>
          </w:p>
        </w:tc>
        <w:tc>
          <w:tcPr>
            <w:tcW w:w="0" w:type="auto"/>
          </w:tcPr>
          <w:p w:rsidR="00DE27D7" w:rsidRPr="00245C90" w:rsidRDefault="00D3399C" w:rsidP="00245C90">
            <w:pPr>
              <w:autoSpaceDE w:val="0"/>
              <w:autoSpaceDN w:val="0"/>
              <w:adjustRightInd w:val="0"/>
              <w:spacing w:line="360" w:lineRule="auto"/>
              <w:jc w:val="both"/>
              <w:rPr>
                <w:lang w:val="en-ZA" w:eastAsia="en-ZA"/>
              </w:rPr>
            </w:pPr>
            <w:r w:rsidRPr="00245C90">
              <w:rPr>
                <w:lang w:val="en-ZA" w:eastAsia="en-ZA"/>
              </w:rPr>
              <w:t>-</w:t>
            </w:r>
          </w:p>
        </w:tc>
      </w:tr>
    </w:tbl>
    <w:p w:rsidR="003D7013" w:rsidRPr="00245C90" w:rsidRDefault="003D7013" w:rsidP="00245C90">
      <w:pPr>
        <w:autoSpaceDE w:val="0"/>
        <w:autoSpaceDN w:val="0"/>
        <w:adjustRightInd w:val="0"/>
        <w:spacing w:line="360" w:lineRule="auto"/>
        <w:jc w:val="both"/>
        <w:rPr>
          <w:lang w:val="en-US" w:eastAsia="en-US"/>
        </w:rPr>
      </w:pPr>
    </w:p>
    <w:p w:rsidR="00220762" w:rsidRPr="00245C90" w:rsidRDefault="00260B56" w:rsidP="00245C90">
      <w:pPr>
        <w:pStyle w:val="ListParagraph"/>
        <w:numPr>
          <w:ilvl w:val="2"/>
          <w:numId w:val="37"/>
        </w:numPr>
        <w:autoSpaceDE w:val="0"/>
        <w:autoSpaceDN w:val="0"/>
        <w:adjustRightInd w:val="0"/>
        <w:spacing w:line="360" w:lineRule="auto"/>
        <w:ind w:left="851" w:hanging="851"/>
        <w:jc w:val="both"/>
        <w:rPr>
          <w:lang w:val="en-US"/>
        </w:rPr>
      </w:pPr>
      <w:r w:rsidRPr="00245C90">
        <w:rPr>
          <w:lang w:val="en-US"/>
        </w:rPr>
        <w:t>Key issues emerging</w:t>
      </w:r>
      <w:r w:rsidR="00AD29FA" w:rsidRPr="00245C90">
        <w:rPr>
          <w:lang w:val="en-US"/>
        </w:rPr>
        <w:t>:</w:t>
      </w:r>
    </w:p>
    <w:p w:rsidR="00220762" w:rsidRPr="00245C90" w:rsidRDefault="00A9386F" w:rsidP="00245C90">
      <w:pPr>
        <w:numPr>
          <w:ilvl w:val="0"/>
          <w:numId w:val="28"/>
        </w:numPr>
        <w:autoSpaceDE w:val="0"/>
        <w:autoSpaceDN w:val="0"/>
        <w:adjustRightInd w:val="0"/>
        <w:spacing w:line="360" w:lineRule="auto"/>
        <w:ind w:left="1276" w:hanging="425"/>
        <w:jc w:val="both"/>
        <w:rPr>
          <w:bCs/>
          <w:lang w:val="en-US" w:eastAsia="en-US"/>
        </w:rPr>
      </w:pPr>
      <w:r>
        <w:rPr>
          <w:bCs/>
          <w:lang w:val="en-US" w:eastAsia="en-US"/>
        </w:rPr>
        <w:t xml:space="preserve">A </w:t>
      </w:r>
      <w:r w:rsidR="00E84A6A" w:rsidRPr="00245C90">
        <w:rPr>
          <w:bCs/>
          <w:lang w:val="en-US" w:eastAsia="en-US"/>
        </w:rPr>
        <w:t xml:space="preserve">high </w:t>
      </w:r>
      <w:r w:rsidR="00220762" w:rsidRPr="00245C90">
        <w:rPr>
          <w:bCs/>
          <w:lang w:val="en-US" w:eastAsia="en-US"/>
        </w:rPr>
        <w:t>overall vacancy rate</w:t>
      </w:r>
      <w:r w:rsidR="00386511">
        <w:rPr>
          <w:bCs/>
          <w:lang w:val="en-US" w:eastAsia="en-US"/>
        </w:rPr>
        <w:t xml:space="preserve"> of 19.8%</w:t>
      </w:r>
      <w:r w:rsidR="00220762" w:rsidRPr="00245C90">
        <w:rPr>
          <w:bCs/>
          <w:lang w:val="en-US" w:eastAsia="en-US"/>
        </w:rPr>
        <w:t xml:space="preserve"> </w:t>
      </w:r>
      <w:r w:rsidR="00A52900" w:rsidRPr="00245C90">
        <w:rPr>
          <w:bCs/>
          <w:lang w:val="en-US" w:eastAsia="en-US"/>
        </w:rPr>
        <w:t>at the end of 2015/16</w:t>
      </w:r>
      <w:r w:rsidR="00220762" w:rsidRPr="00245C90">
        <w:rPr>
          <w:bCs/>
          <w:lang w:val="en-US" w:eastAsia="en-US"/>
        </w:rPr>
        <w:t xml:space="preserve">. </w:t>
      </w:r>
    </w:p>
    <w:p w:rsidR="00220762" w:rsidRPr="00245C90" w:rsidRDefault="00220762"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Capacity constraints impacted on performance in the Administration program</w:t>
      </w:r>
      <w:r w:rsidR="00E84A6A" w:rsidRPr="00245C90">
        <w:rPr>
          <w:bCs/>
          <w:lang w:val="en-US" w:eastAsia="en-US"/>
        </w:rPr>
        <w:t>me. In particular, the lack of h</w:t>
      </w:r>
      <w:r w:rsidR="00A52900" w:rsidRPr="00245C90">
        <w:rPr>
          <w:bCs/>
          <w:lang w:val="en-US" w:eastAsia="en-US"/>
        </w:rPr>
        <w:t xml:space="preserve">uman </w:t>
      </w:r>
      <w:r w:rsidR="00E84A6A" w:rsidRPr="00245C90">
        <w:rPr>
          <w:bCs/>
          <w:lang w:val="en-US" w:eastAsia="en-US"/>
        </w:rPr>
        <w:t>r</w:t>
      </w:r>
      <w:r w:rsidR="00A52900" w:rsidRPr="00245C90">
        <w:rPr>
          <w:bCs/>
          <w:lang w:val="en-US" w:eastAsia="en-US"/>
        </w:rPr>
        <w:t>esource</w:t>
      </w:r>
      <w:r w:rsidRPr="00245C90">
        <w:rPr>
          <w:bCs/>
          <w:lang w:val="en-US" w:eastAsia="en-US"/>
        </w:rPr>
        <w:t xml:space="preserve"> capacity im</w:t>
      </w:r>
      <w:r w:rsidR="00260B56" w:rsidRPr="00245C90">
        <w:rPr>
          <w:bCs/>
          <w:lang w:val="en-US" w:eastAsia="en-US"/>
        </w:rPr>
        <w:t>peded efforts to recruit staff</w:t>
      </w:r>
      <w:r w:rsidR="00A52900" w:rsidRPr="00245C90">
        <w:rPr>
          <w:bCs/>
          <w:lang w:val="en-US" w:eastAsia="en-US"/>
        </w:rPr>
        <w:t xml:space="preserve">. The </w:t>
      </w:r>
      <w:r w:rsidR="00260B56" w:rsidRPr="00245C90">
        <w:rPr>
          <w:bCs/>
          <w:lang w:val="en-US" w:eastAsia="en-US"/>
        </w:rPr>
        <w:t>OCJ</w:t>
      </w:r>
      <w:r w:rsidR="00A52900" w:rsidRPr="00245C90">
        <w:rPr>
          <w:bCs/>
          <w:lang w:val="en-US" w:eastAsia="en-US"/>
        </w:rPr>
        <w:t>, however,</w:t>
      </w:r>
      <w:r w:rsidR="00260B56" w:rsidRPr="00245C90">
        <w:rPr>
          <w:bCs/>
          <w:lang w:val="en-US" w:eastAsia="en-US"/>
        </w:rPr>
        <w:t xml:space="preserve"> reports that it has prioritized recruitment</w:t>
      </w:r>
      <w:r w:rsidR="00A52900" w:rsidRPr="00245C90">
        <w:rPr>
          <w:bCs/>
          <w:lang w:val="en-US" w:eastAsia="en-US"/>
        </w:rPr>
        <w:t xml:space="preserve"> </w:t>
      </w:r>
      <w:r w:rsidR="00E84A6A" w:rsidRPr="00245C90">
        <w:rPr>
          <w:bCs/>
          <w:lang w:val="en-US" w:eastAsia="en-US"/>
        </w:rPr>
        <w:t xml:space="preserve">in </w:t>
      </w:r>
      <w:r w:rsidR="00A52900" w:rsidRPr="00245C90">
        <w:rPr>
          <w:bCs/>
          <w:lang w:val="en-US" w:eastAsia="en-US"/>
        </w:rPr>
        <w:t xml:space="preserve">2016/17. </w:t>
      </w:r>
    </w:p>
    <w:p w:rsidR="00220762" w:rsidRPr="00245C90" w:rsidRDefault="00220762"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 xml:space="preserve">Delays in paying creditors within the requisite 30 days are the result of inadequate capacity and IT systems to process payments. The OCJ has created new posts, which were to be filled in the Fourth Quarter </w:t>
      </w:r>
      <w:r w:rsidR="00E84A6A" w:rsidRPr="00245C90">
        <w:rPr>
          <w:bCs/>
          <w:lang w:val="en-US" w:eastAsia="en-US"/>
        </w:rPr>
        <w:t xml:space="preserve">of </w:t>
      </w:r>
      <w:r w:rsidRPr="00245C90">
        <w:rPr>
          <w:bCs/>
          <w:lang w:val="en-US" w:eastAsia="en-US"/>
        </w:rPr>
        <w:t>2015/16</w:t>
      </w:r>
      <w:r w:rsidR="00E84A6A" w:rsidRPr="00245C90">
        <w:rPr>
          <w:bCs/>
          <w:lang w:val="en-US" w:eastAsia="en-US"/>
        </w:rPr>
        <w:t>,</w:t>
      </w:r>
      <w:r w:rsidRPr="00245C90">
        <w:rPr>
          <w:bCs/>
          <w:lang w:val="en-US" w:eastAsia="en-US"/>
        </w:rPr>
        <w:t xml:space="preserve"> to enhance </w:t>
      </w:r>
      <w:r w:rsidR="00E84A6A" w:rsidRPr="00245C90">
        <w:rPr>
          <w:bCs/>
          <w:lang w:val="en-US" w:eastAsia="en-US"/>
        </w:rPr>
        <w:t xml:space="preserve">the processing of </w:t>
      </w:r>
      <w:r w:rsidRPr="00245C90">
        <w:rPr>
          <w:bCs/>
          <w:lang w:val="en-US" w:eastAsia="en-US"/>
        </w:rPr>
        <w:t>payments. Also the payment of travel invoices (60% of all invoices) was to be automated.</w:t>
      </w:r>
    </w:p>
    <w:p w:rsidR="00260B56" w:rsidRPr="00245C90" w:rsidRDefault="00220762"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 xml:space="preserve">The OCJ struggled to reach its targets relating to the investigation of fraud cases within 60 days. </w:t>
      </w:r>
      <w:r w:rsidR="00260B56" w:rsidRPr="00245C90">
        <w:rPr>
          <w:bCs/>
          <w:lang w:val="en-US" w:eastAsia="en-US"/>
        </w:rPr>
        <w:t xml:space="preserve">The OCJ reports the unavailability of suspects and witnesses to conduct interviews within the prescribed investigation period and inadequate capacity in the Forensic Unit. The OCJ intends to improve on the management of witnesses and suspects to expedite the process. The recruitment of an additional forensic investigator will be finalized in the </w:t>
      </w:r>
      <w:r w:rsidR="00215FA6" w:rsidRPr="00245C90">
        <w:rPr>
          <w:bCs/>
          <w:lang w:val="en-US" w:eastAsia="en-US"/>
        </w:rPr>
        <w:t xml:space="preserve">Second </w:t>
      </w:r>
      <w:r w:rsidR="00260B56" w:rsidRPr="00245C90">
        <w:rPr>
          <w:bCs/>
          <w:lang w:val="en-US" w:eastAsia="en-US"/>
        </w:rPr>
        <w:t xml:space="preserve">Quarter </w:t>
      </w:r>
      <w:r w:rsidR="00215FA6" w:rsidRPr="00245C90">
        <w:rPr>
          <w:bCs/>
          <w:lang w:val="en-US" w:eastAsia="en-US"/>
        </w:rPr>
        <w:t xml:space="preserve">of </w:t>
      </w:r>
      <w:r w:rsidR="00260B56" w:rsidRPr="00245C90">
        <w:rPr>
          <w:bCs/>
          <w:lang w:val="en-US" w:eastAsia="en-US"/>
        </w:rPr>
        <w:t xml:space="preserve">2016/17. </w:t>
      </w:r>
    </w:p>
    <w:p w:rsidR="00260B56" w:rsidRPr="00245C90" w:rsidRDefault="00260B56"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To address the audit outcome, the OCJ reports that it intends to work with its Unit Heads to address the outstanding audit findings</w:t>
      </w:r>
      <w:r w:rsidR="00215FA6" w:rsidRPr="00245C90">
        <w:rPr>
          <w:bCs/>
          <w:lang w:val="en-US" w:eastAsia="en-US"/>
        </w:rPr>
        <w:t xml:space="preserve">. </w:t>
      </w:r>
      <w:r w:rsidRPr="00245C90">
        <w:rPr>
          <w:bCs/>
          <w:lang w:val="en-US" w:eastAsia="en-US"/>
        </w:rPr>
        <w:t>Internal Audit will follow up to provide assurance.</w:t>
      </w:r>
    </w:p>
    <w:p w:rsidR="00D3399C" w:rsidRPr="00245C90" w:rsidRDefault="00D3399C" w:rsidP="00245C90">
      <w:pPr>
        <w:autoSpaceDE w:val="0"/>
        <w:autoSpaceDN w:val="0"/>
        <w:adjustRightInd w:val="0"/>
        <w:spacing w:line="360" w:lineRule="auto"/>
        <w:jc w:val="both"/>
        <w:rPr>
          <w:lang w:val="en-US" w:eastAsia="en-US"/>
        </w:rPr>
      </w:pPr>
    </w:p>
    <w:p w:rsidR="003D7013" w:rsidRPr="00245C90" w:rsidRDefault="003D7013" w:rsidP="00245C90">
      <w:pPr>
        <w:pStyle w:val="ListParagraph"/>
        <w:numPr>
          <w:ilvl w:val="1"/>
          <w:numId w:val="2"/>
        </w:numPr>
        <w:tabs>
          <w:tab w:val="clear" w:pos="862"/>
          <w:tab w:val="num" w:pos="567"/>
        </w:tabs>
        <w:spacing w:line="360" w:lineRule="auto"/>
        <w:ind w:left="567" w:hanging="567"/>
        <w:jc w:val="both"/>
        <w:rPr>
          <w:b/>
          <w:lang w:val="en-US" w:eastAsia="en-US"/>
        </w:rPr>
      </w:pPr>
      <w:r w:rsidRPr="00245C90">
        <w:rPr>
          <w:b/>
          <w:lang w:val="en-US" w:eastAsia="en-US"/>
        </w:rPr>
        <w:t>Programme 2: Judicial Support and Court Administration</w:t>
      </w:r>
    </w:p>
    <w:p w:rsidR="003D7013" w:rsidRPr="00245C90" w:rsidRDefault="003D7013" w:rsidP="00245C90">
      <w:pPr>
        <w:autoSpaceDE w:val="0"/>
        <w:autoSpaceDN w:val="0"/>
        <w:adjustRightInd w:val="0"/>
        <w:spacing w:line="360" w:lineRule="auto"/>
        <w:ind w:left="720"/>
        <w:jc w:val="both"/>
        <w:rPr>
          <w:b/>
          <w:lang w:val="en-US" w:eastAsia="en-US"/>
        </w:rPr>
      </w:pPr>
    </w:p>
    <w:p w:rsidR="00C40365" w:rsidRPr="00245C90" w:rsidRDefault="003D7013" w:rsidP="00245C90">
      <w:pPr>
        <w:pStyle w:val="ListParagraph"/>
        <w:numPr>
          <w:ilvl w:val="2"/>
          <w:numId w:val="38"/>
        </w:numPr>
        <w:autoSpaceDE w:val="0"/>
        <w:autoSpaceDN w:val="0"/>
        <w:adjustRightInd w:val="0"/>
        <w:spacing w:line="360" w:lineRule="auto"/>
        <w:ind w:left="851" w:hanging="851"/>
        <w:jc w:val="both"/>
        <w:rPr>
          <w:bCs/>
          <w:lang w:val="en-US"/>
        </w:rPr>
      </w:pPr>
      <w:r w:rsidRPr="00245C90">
        <w:rPr>
          <w:bCs/>
          <w:lang w:val="en-US"/>
        </w:rPr>
        <w:t xml:space="preserve">This programme provides judicial support and court administration services to the Superior Courts, including secretariat and administrative support services to the Judicial Service Commission. </w:t>
      </w:r>
    </w:p>
    <w:p w:rsidR="00C40365" w:rsidRPr="00245C90" w:rsidRDefault="00C40365" w:rsidP="00245C90">
      <w:pPr>
        <w:pStyle w:val="ListParagraph"/>
        <w:autoSpaceDE w:val="0"/>
        <w:autoSpaceDN w:val="0"/>
        <w:adjustRightInd w:val="0"/>
        <w:spacing w:line="360" w:lineRule="auto"/>
        <w:jc w:val="both"/>
        <w:rPr>
          <w:bCs/>
          <w:lang w:val="en-US"/>
        </w:rPr>
      </w:pPr>
    </w:p>
    <w:p w:rsidR="003D7013" w:rsidRPr="00245C90" w:rsidRDefault="003D7013" w:rsidP="00245C90">
      <w:pPr>
        <w:pStyle w:val="ListParagraph"/>
        <w:numPr>
          <w:ilvl w:val="2"/>
          <w:numId w:val="38"/>
        </w:numPr>
        <w:autoSpaceDE w:val="0"/>
        <w:autoSpaceDN w:val="0"/>
        <w:adjustRightInd w:val="0"/>
        <w:spacing w:line="360" w:lineRule="auto"/>
        <w:ind w:left="851" w:hanging="851"/>
        <w:jc w:val="both"/>
        <w:rPr>
          <w:bCs/>
          <w:lang w:val="en-US"/>
        </w:rPr>
      </w:pPr>
      <w:r w:rsidRPr="00245C90">
        <w:rPr>
          <w:bCs/>
          <w:lang w:val="en-US"/>
        </w:rPr>
        <w:t xml:space="preserve">The programme consists of the following sub-programmes:  </w:t>
      </w:r>
    </w:p>
    <w:p w:rsidR="003D7013" w:rsidRPr="00245C90" w:rsidRDefault="003D7013"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The Administration of Superior Courts subprogramme provides administrative and technical support to the Superior Courts, monitor</w:t>
      </w:r>
      <w:r w:rsidR="00215FA6" w:rsidRPr="00245C90">
        <w:rPr>
          <w:bCs/>
          <w:lang w:val="en-US" w:eastAsia="en-US"/>
        </w:rPr>
        <w:t>s</w:t>
      </w:r>
      <w:r w:rsidRPr="00245C90">
        <w:rPr>
          <w:bCs/>
          <w:lang w:val="en-US" w:eastAsia="en-US"/>
        </w:rPr>
        <w:t xml:space="preserve"> the overall performance of the Superior Courts, and enhance</w:t>
      </w:r>
      <w:r w:rsidR="00215FA6" w:rsidRPr="00245C90">
        <w:rPr>
          <w:bCs/>
          <w:lang w:val="en-US" w:eastAsia="en-US"/>
        </w:rPr>
        <w:t>s</w:t>
      </w:r>
      <w:r w:rsidRPr="00245C90">
        <w:rPr>
          <w:bCs/>
          <w:lang w:val="en-US" w:eastAsia="en-US"/>
        </w:rPr>
        <w:t xml:space="preserve"> judicial stakeholder relations.</w:t>
      </w:r>
    </w:p>
    <w:p w:rsidR="003D7013" w:rsidRPr="00245C90" w:rsidRDefault="003D7013"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 xml:space="preserve">The Judicial Service Commission subprogramme is responsible for secretariat and administrative support services to the Judicial Service Commission to effectively perform </w:t>
      </w:r>
      <w:r w:rsidR="00215FA6" w:rsidRPr="00245C90">
        <w:rPr>
          <w:bCs/>
          <w:lang w:val="en-US" w:eastAsia="en-US"/>
        </w:rPr>
        <w:t xml:space="preserve">its </w:t>
      </w:r>
      <w:r w:rsidRPr="00245C90">
        <w:rPr>
          <w:bCs/>
          <w:lang w:val="en-US" w:eastAsia="en-US"/>
        </w:rPr>
        <w:t>constitutional and legislative mandates.</w:t>
      </w:r>
    </w:p>
    <w:p w:rsidR="003D7013" w:rsidRPr="00245C90" w:rsidRDefault="003D7013"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The Constitutional Court adjudicates on constitutional matters and any other matter that is of general public importance.</w:t>
      </w:r>
    </w:p>
    <w:p w:rsidR="003D7013" w:rsidRPr="00245C90" w:rsidRDefault="003D7013"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 xml:space="preserve">The Supreme Court of Appeal adjudicates appeals in any matters arising from the High Court of South Africa or a court of a status similar. </w:t>
      </w:r>
    </w:p>
    <w:p w:rsidR="003D7013" w:rsidRPr="00245C90" w:rsidRDefault="003D7013"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The High Courts</w:t>
      </w:r>
      <w:r w:rsidR="00215FA6" w:rsidRPr="00245C90">
        <w:rPr>
          <w:bCs/>
          <w:lang w:val="en-US" w:eastAsia="en-US"/>
        </w:rPr>
        <w:t>’</w:t>
      </w:r>
      <w:r w:rsidRPr="00245C90">
        <w:rPr>
          <w:bCs/>
          <w:lang w:val="en-US" w:eastAsia="en-US"/>
        </w:rPr>
        <w:t xml:space="preserve"> adjudicate and provide resolutions on criminal and civil disputes and hear any appeals from the lower courts. </w:t>
      </w:r>
    </w:p>
    <w:p w:rsidR="003D7013" w:rsidRPr="00245C90" w:rsidRDefault="003D7013" w:rsidP="00245C90">
      <w:pPr>
        <w:numPr>
          <w:ilvl w:val="0"/>
          <w:numId w:val="28"/>
        </w:numPr>
        <w:autoSpaceDE w:val="0"/>
        <w:autoSpaceDN w:val="0"/>
        <w:adjustRightInd w:val="0"/>
        <w:spacing w:line="360" w:lineRule="auto"/>
        <w:ind w:left="1276" w:hanging="425"/>
        <w:jc w:val="both"/>
        <w:rPr>
          <w:bCs/>
          <w:lang w:val="en-US"/>
        </w:rPr>
      </w:pPr>
      <w:r w:rsidRPr="00245C90">
        <w:rPr>
          <w:bCs/>
          <w:lang w:val="en-US" w:eastAsia="en-US"/>
        </w:rPr>
        <w:t>The Specialized Courts adjudicate over various types of matters excluded from the jurisdiction of the High Courts and Magistrate</w:t>
      </w:r>
      <w:r w:rsidR="00A9386F">
        <w:rPr>
          <w:bCs/>
          <w:lang w:val="en-US" w:eastAsia="en-US"/>
        </w:rPr>
        <w:t>s’</w:t>
      </w:r>
      <w:r w:rsidRPr="00245C90">
        <w:rPr>
          <w:bCs/>
          <w:lang w:val="en-US" w:eastAsia="en-US"/>
        </w:rPr>
        <w:t xml:space="preserve"> Courts. These include adjudication on labour, land, electoral and competition ma</w:t>
      </w:r>
      <w:r w:rsidRPr="00245C90">
        <w:rPr>
          <w:bCs/>
          <w:lang w:val="en-US"/>
        </w:rPr>
        <w:t xml:space="preserve">tters. </w:t>
      </w:r>
    </w:p>
    <w:p w:rsidR="003D7013" w:rsidRPr="00245C90" w:rsidRDefault="003D7013" w:rsidP="00245C90">
      <w:pPr>
        <w:pStyle w:val="ListParagraph"/>
        <w:spacing w:line="360" w:lineRule="auto"/>
        <w:ind w:left="0"/>
        <w:jc w:val="both"/>
        <w:rPr>
          <w:bCs/>
          <w:lang w:val="en-US"/>
        </w:rPr>
      </w:pPr>
    </w:p>
    <w:p w:rsidR="00A21AA0" w:rsidRPr="00245C90" w:rsidRDefault="00A21AA0" w:rsidP="00245C90">
      <w:pPr>
        <w:pStyle w:val="ListParagraph"/>
        <w:numPr>
          <w:ilvl w:val="2"/>
          <w:numId w:val="38"/>
        </w:numPr>
        <w:autoSpaceDE w:val="0"/>
        <w:autoSpaceDN w:val="0"/>
        <w:adjustRightInd w:val="0"/>
        <w:spacing w:line="360" w:lineRule="auto"/>
        <w:ind w:left="851" w:hanging="851"/>
        <w:jc w:val="both"/>
        <w:rPr>
          <w:bCs/>
          <w:lang w:val="en-US"/>
        </w:rPr>
      </w:pPr>
      <w:r w:rsidRPr="00245C90">
        <w:rPr>
          <w:bCs/>
          <w:lang w:val="en-US"/>
        </w:rPr>
        <w:t>The programme achieved 15 of 18 or 83% of indicators</w:t>
      </w:r>
      <w:r w:rsidR="00C40365" w:rsidRPr="00245C90">
        <w:rPr>
          <w:bCs/>
          <w:lang w:val="en-US"/>
        </w:rPr>
        <w:t xml:space="preserve"> for 2015/</w:t>
      </w:r>
      <w:r w:rsidR="00A52900" w:rsidRPr="00245C90">
        <w:rPr>
          <w:bCs/>
          <w:lang w:val="en-US"/>
        </w:rPr>
        <w:t>16:</w:t>
      </w:r>
    </w:p>
    <w:p w:rsidR="00C40365" w:rsidRPr="00245C90" w:rsidRDefault="00C40365" w:rsidP="00245C90">
      <w:pPr>
        <w:pStyle w:val="ListParagraph"/>
        <w:autoSpaceDE w:val="0"/>
        <w:autoSpaceDN w:val="0"/>
        <w:adjustRightInd w:val="0"/>
        <w:spacing w:line="360" w:lineRule="auto"/>
        <w:jc w:val="both"/>
        <w:rPr>
          <w:bCs/>
          <w:lang w:val="en-US"/>
        </w:rPr>
      </w:pPr>
    </w:p>
    <w:p w:rsidR="003D7013" w:rsidRPr="00245C90" w:rsidRDefault="00215FA6" w:rsidP="00245C90">
      <w:pPr>
        <w:autoSpaceDE w:val="0"/>
        <w:autoSpaceDN w:val="0"/>
        <w:adjustRightInd w:val="0"/>
        <w:spacing w:line="360" w:lineRule="auto"/>
        <w:jc w:val="both"/>
        <w:rPr>
          <w:b/>
          <w:bCs/>
          <w:iCs/>
          <w:lang w:val="en-ZA" w:eastAsia="en-ZA"/>
        </w:rPr>
      </w:pPr>
      <w:r w:rsidRPr="00245C90">
        <w:rPr>
          <w:b/>
          <w:bCs/>
          <w:iCs/>
          <w:lang w:val="en-ZA" w:eastAsia="en-ZA"/>
        </w:rPr>
        <w:t>Table 3</w:t>
      </w:r>
      <w:r w:rsidR="009B26F9" w:rsidRPr="00245C90">
        <w:rPr>
          <w:b/>
          <w:bCs/>
          <w:iCs/>
          <w:lang w:val="en-ZA" w:eastAsia="en-ZA"/>
        </w:rPr>
        <w:t>:</w:t>
      </w:r>
      <w:r w:rsidR="009B26F9" w:rsidRPr="00245C90">
        <w:rPr>
          <w:b/>
          <w:bCs/>
          <w:i/>
          <w:iCs/>
          <w:lang w:val="en-ZA" w:eastAsia="en-ZA"/>
        </w:rPr>
        <w:t xml:space="preserve"> </w:t>
      </w:r>
      <w:r w:rsidR="009B26F9" w:rsidRPr="00245C90">
        <w:rPr>
          <w:b/>
          <w:lang w:val="en-US" w:eastAsia="en-US"/>
        </w:rPr>
        <w:t>Judicial Support and Court Administration</w:t>
      </w:r>
      <w:r w:rsidR="009B26F9" w:rsidRPr="00245C90">
        <w:rPr>
          <w:b/>
          <w:bCs/>
          <w:i/>
          <w:iCs/>
          <w:lang w:val="en-ZA" w:eastAsia="en-ZA"/>
        </w:rPr>
        <w:t xml:space="preserve"> </w:t>
      </w:r>
      <w:r w:rsidR="008E1659" w:rsidRPr="00245C90">
        <w:rPr>
          <w:b/>
          <w:bCs/>
          <w:iCs/>
          <w:lang w:val="en-ZA" w:eastAsia="en-ZA"/>
        </w:rPr>
        <w:t>–</w:t>
      </w:r>
      <w:r w:rsidR="009B26F9" w:rsidRPr="00245C90">
        <w:rPr>
          <w:b/>
          <w:bCs/>
          <w:iCs/>
          <w:lang w:val="en-ZA" w:eastAsia="en-ZA"/>
        </w:rPr>
        <w:t xml:space="preserve"> </w:t>
      </w:r>
      <w:r w:rsidR="008E1659" w:rsidRPr="00245C90">
        <w:rPr>
          <w:b/>
          <w:bCs/>
          <w:iCs/>
          <w:lang w:val="en-ZA" w:eastAsia="en-ZA"/>
        </w:rPr>
        <w:t>Selected performance 2015/16 and First Quarter 2016/17</w:t>
      </w:r>
    </w:p>
    <w:p w:rsidR="00215FA6" w:rsidRPr="00245C90" w:rsidRDefault="00215FA6" w:rsidP="00245C90">
      <w:pPr>
        <w:autoSpaceDE w:val="0"/>
        <w:autoSpaceDN w:val="0"/>
        <w:adjustRightInd w:val="0"/>
        <w:spacing w:line="360" w:lineRule="auto"/>
        <w:jc w:val="both"/>
        <w:rPr>
          <w:b/>
          <w:bCs/>
          <w:iCs/>
          <w:lang w:val="en-ZA" w:eastAsia="en-ZA"/>
        </w:rPr>
      </w:pPr>
    </w:p>
    <w:tbl>
      <w:tblPr>
        <w:tblpPr w:leftFromText="180" w:rightFromText="180" w:vertAnchor="text" w:horzAnchor="margin" w:tblpY="113"/>
        <w:tblW w:w="0" w:type="auto"/>
        <w:tblBorders>
          <w:top w:val="nil"/>
          <w:left w:val="nil"/>
          <w:bottom w:val="nil"/>
          <w:right w:val="nil"/>
        </w:tblBorders>
        <w:tblLook w:val="0000" w:firstRow="0" w:lastRow="0" w:firstColumn="0" w:lastColumn="0" w:noHBand="0" w:noVBand="0"/>
      </w:tblPr>
      <w:tblGrid>
        <w:gridCol w:w="3218"/>
        <w:gridCol w:w="2480"/>
        <w:gridCol w:w="2734"/>
      </w:tblGrid>
      <w:tr w:rsidR="008E1659" w:rsidRPr="00245C90" w:rsidTr="00B04F14">
        <w:trPr>
          <w:trHeight w:val="585"/>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26F9" w:rsidRPr="00245C90" w:rsidRDefault="009B26F9" w:rsidP="00245C90">
            <w:pPr>
              <w:autoSpaceDE w:val="0"/>
              <w:autoSpaceDN w:val="0"/>
              <w:adjustRightInd w:val="0"/>
              <w:spacing w:line="360" w:lineRule="auto"/>
              <w:jc w:val="center"/>
              <w:rPr>
                <w:b/>
                <w:bCs/>
                <w:iCs/>
                <w:lang w:val="en-ZA" w:eastAsia="en-ZA"/>
              </w:rPr>
            </w:pPr>
            <w:r w:rsidRPr="00245C90">
              <w:rPr>
                <w:b/>
                <w:bCs/>
                <w:iCs/>
                <w:lang w:val="en-ZA" w:eastAsia="en-ZA"/>
              </w:rPr>
              <w:t>Performance indicators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5FA6" w:rsidRPr="00245C90" w:rsidRDefault="00215FA6" w:rsidP="00245C90">
            <w:pPr>
              <w:autoSpaceDE w:val="0"/>
              <w:autoSpaceDN w:val="0"/>
              <w:adjustRightInd w:val="0"/>
              <w:spacing w:line="360" w:lineRule="auto"/>
              <w:jc w:val="center"/>
              <w:rPr>
                <w:b/>
                <w:lang w:val="en-ZA" w:eastAsia="en-ZA"/>
              </w:rPr>
            </w:pPr>
            <w:r w:rsidRPr="00245C90">
              <w:rPr>
                <w:b/>
                <w:lang w:val="en-ZA" w:eastAsia="en-ZA"/>
              </w:rPr>
              <w:t>Performance</w:t>
            </w:r>
          </w:p>
          <w:p w:rsidR="009B26F9" w:rsidRPr="00245C90" w:rsidRDefault="009B26F9" w:rsidP="00245C90">
            <w:pPr>
              <w:autoSpaceDE w:val="0"/>
              <w:autoSpaceDN w:val="0"/>
              <w:adjustRightInd w:val="0"/>
              <w:spacing w:line="360" w:lineRule="auto"/>
              <w:jc w:val="center"/>
              <w:rPr>
                <w:b/>
                <w:lang w:val="en-ZA" w:eastAsia="en-ZA"/>
              </w:rPr>
            </w:pPr>
            <w:r w:rsidRPr="00245C90">
              <w:rPr>
                <w:b/>
                <w:lang w:val="en-ZA" w:eastAsia="en-ZA"/>
              </w:rPr>
              <w:t>2015/16</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1865" w:rsidRPr="00245C90" w:rsidRDefault="00641865" w:rsidP="00245C90">
            <w:pPr>
              <w:autoSpaceDE w:val="0"/>
              <w:autoSpaceDN w:val="0"/>
              <w:adjustRightInd w:val="0"/>
              <w:spacing w:line="360" w:lineRule="auto"/>
              <w:jc w:val="center"/>
              <w:rPr>
                <w:b/>
                <w:lang w:val="en-ZA" w:eastAsia="en-ZA"/>
              </w:rPr>
            </w:pPr>
            <w:r w:rsidRPr="00245C90">
              <w:rPr>
                <w:b/>
                <w:lang w:val="en-ZA" w:eastAsia="en-ZA"/>
              </w:rPr>
              <w:t xml:space="preserve">Performance </w:t>
            </w:r>
          </w:p>
          <w:p w:rsidR="009B26F9" w:rsidRPr="00245C90" w:rsidRDefault="009B26F9" w:rsidP="00245C90">
            <w:pPr>
              <w:autoSpaceDE w:val="0"/>
              <w:autoSpaceDN w:val="0"/>
              <w:adjustRightInd w:val="0"/>
              <w:spacing w:line="360" w:lineRule="auto"/>
              <w:jc w:val="center"/>
              <w:rPr>
                <w:b/>
                <w:lang w:val="en-ZA" w:eastAsia="en-ZA"/>
              </w:rPr>
            </w:pPr>
            <w:r w:rsidRPr="00245C90">
              <w:rPr>
                <w:b/>
                <w:lang w:val="en-ZA" w:eastAsia="en-ZA"/>
              </w:rPr>
              <w:t>First Quarter 201</w:t>
            </w:r>
            <w:r w:rsidR="008125D0" w:rsidRPr="00245C90">
              <w:rPr>
                <w:b/>
                <w:lang w:val="en-ZA" w:eastAsia="en-ZA"/>
              </w:rPr>
              <w:t>6</w:t>
            </w:r>
            <w:r w:rsidRPr="00245C90">
              <w:rPr>
                <w:b/>
                <w:lang w:val="en-ZA" w:eastAsia="en-ZA"/>
              </w:rPr>
              <w:t>/1</w:t>
            </w:r>
            <w:r w:rsidR="008125D0" w:rsidRPr="00245C90">
              <w:rPr>
                <w:b/>
                <w:lang w:val="en-ZA" w:eastAsia="en-ZA"/>
              </w:rPr>
              <w:t>7</w:t>
            </w:r>
          </w:p>
        </w:tc>
      </w:tr>
      <w:tr w:rsidR="008E1659" w:rsidRPr="00245C90" w:rsidTr="00B04F14">
        <w:trPr>
          <w:trHeight w:val="585"/>
        </w:trPr>
        <w:tc>
          <w:tcPr>
            <w:tcW w:w="0" w:type="auto"/>
            <w:tcBorders>
              <w:top w:val="single" w:sz="4" w:space="0" w:color="auto"/>
              <w:left w:val="single" w:sz="4" w:space="0" w:color="auto"/>
              <w:bottom w:val="single" w:sz="4" w:space="0" w:color="auto"/>
              <w:right w:val="single" w:sz="4" w:space="0" w:color="auto"/>
            </w:tcBorders>
          </w:tcPr>
          <w:p w:rsidR="00A21AA0" w:rsidRPr="00245C90" w:rsidRDefault="00A21AA0" w:rsidP="00245C90">
            <w:pPr>
              <w:autoSpaceDE w:val="0"/>
              <w:autoSpaceDN w:val="0"/>
              <w:adjustRightInd w:val="0"/>
              <w:spacing w:line="360" w:lineRule="auto"/>
              <w:jc w:val="both"/>
              <w:rPr>
                <w:lang w:val="en-ZA" w:eastAsia="en-ZA"/>
              </w:rPr>
            </w:pPr>
            <w:r w:rsidRPr="00245C90">
              <w:rPr>
                <w:lang w:val="en-ZA" w:eastAsia="en-ZA"/>
              </w:rPr>
              <w:t>Number of Superio</w:t>
            </w:r>
            <w:r w:rsidR="0093665D" w:rsidRPr="00245C90">
              <w:rPr>
                <w:lang w:val="en-ZA" w:eastAsia="en-ZA"/>
              </w:rPr>
              <w:t xml:space="preserve">r Courts performance monitoring </w:t>
            </w:r>
            <w:r w:rsidRPr="00245C90">
              <w:rPr>
                <w:lang w:val="en-ZA" w:eastAsia="en-ZA"/>
              </w:rPr>
              <w:t xml:space="preserve">reports produced </w:t>
            </w:r>
          </w:p>
        </w:tc>
        <w:tc>
          <w:tcPr>
            <w:tcW w:w="0" w:type="auto"/>
            <w:tcBorders>
              <w:top w:val="single" w:sz="4" w:space="0" w:color="auto"/>
              <w:left w:val="single" w:sz="4" w:space="0" w:color="auto"/>
              <w:bottom w:val="single" w:sz="4" w:space="0" w:color="auto"/>
              <w:right w:val="single" w:sz="4" w:space="0" w:color="auto"/>
            </w:tcBorders>
          </w:tcPr>
          <w:p w:rsidR="0093665D" w:rsidRPr="007949CD" w:rsidRDefault="0093665D" w:rsidP="00245C90">
            <w:pPr>
              <w:autoSpaceDE w:val="0"/>
              <w:autoSpaceDN w:val="0"/>
              <w:adjustRightInd w:val="0"/>
              <w:spacing w:line="360" w:lineRule="auto"/>
              <w:jc w:val="both"/>
              <w:rPr>
                <w:b/>
                <w:lang w:val="en-ZA" w:eastAsia="en-ZA"/>
              </w:rPr>
            </w:pPr>
            <w:r w:rsidRPr="007949CD">
              <w:rPr>
                <w:b/>
                <w:lang w:val="en-ZA" w:eastAsia="en-ZA"/>
              </w:rPr>
              <w:t>NOT ACHIEVED</w:t>
            </w:r>
          </w:p>
          <w:p w:rsidR="00A21AA0" w:rsidRPr="00245C90" w:rsidRDefault="009B26F9" w:rsidP="00245C90">
            <w:pPr>
              <w:autoSpaceDE w:val="0"/>
              <w:autoSpaceDN w:val="0"/>
              <w:adjustRightInd w:val="0"/>
              <w:spacing w:line="360" w:lineRule="auto"/>
              <w:jc w:val="both"/>
              <w:rPr>
                <w:lang w:val="en-ZA" w:eastAsia="en-ZA"/>
              </w:rPr>
            </w:pPr>
            <w:r w:rsidRPr="00245C90">
              <w:rPr>
                <w:lang w:val="en-ZA" w:eastAsia="en-ZA"/>
              </w:rPr>
              <w:t>2 reports against a target of 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665D" w:rsidRPr="007949CD" w:rsidRDefault="0093665D" w:rsidP="00245C90">
            <w:pPr>
              <w:autoSpaceDE w:val="0"/>
              <w:autoSpaceDN w:val="0"/>
              <w:adjustRightInd w:val="0"/>
              <w:spacing w:line="360" w:lineRule="auto"/>
              <w:jc w:val="both"/>
              <w:rPr>
                <w:b/>
                <w:lang w:val="en-ZA" w:eastAsia="en-ZA"/>
              </w:rPr>
            </w:pPr>
            <w:r w:rsidRPr="007949CD">
              <w:rPr>
                <w:b/>
                <w:lang w:val="en-ZA" w:eastAsia="en-ZA"/>
              </w:rPr>
              <w:t>ACHIEVED</w:t>
            </w:r>
          </w:p>
          <w:p w:rsidR="00A21AA0" w:rsidRPr="00245C90" w:rsidRDefault="0093665D" w:rsidP="00245C90">
            <w:pPr>
              <w:autoSpaceDE w:val="0"/>
              <w:autoSpaceDN w:val="0"/>
              <w:adjustRightInd w:val="0"/>
              <w:spacing w:line="360" w:lineRule="auto"/>
              <w:jc w:val="both"/>
              <w:rPr>
                <w:lang w:val="en-ZA" w:eastAsia="en-ZA"/>
              </w:rPr>
            </w:pPr>
            <w:r w:rsidRPr="00245C90">
              <w:rPr>
                <w:lang w:val="en-ZA" w:eastAsia="en-ZA"/>
              </w:rPr>
              <w:t>1 against a quarterly target of 1 and annual target of 5</w:t>
            </w:r>
          </w:p>
        </w:tc>
      </w:tr>
      <w:tr w:rsidR="008E1659" w:rsidRPr="00245C90" w:rsidTr="00B04F14">
        <w:trPr>
          <w:trHeight w:val="647"/>
        </w:trPr>
        <w:tc>
          <w:tcPr>
            <w:tcW w:w="0" w:type="auto"/>
            <w:tcBorders>
              <w:top w:val="single" w:sz="4" w:space="0" w:color="auto"/>
              <w:left w:val="single" w:sz="4" w:space="0" w:color="auto"/>
              <w:bottom w:val="single" w:sz="4" w:space="0" w:color="auto"/>
              <w:right w:val="single" w:sz="4" w:space="0" w:color="auto"/>
            </w:tcBorders>
          </w:tcPr>
          <w:p w:rsidR="00A21AA0" w:rsidRPr="00245C90" w:rsidRDefault="0093665D" w:rsidP="00245C90">
            <w:pPr>
              <w:autoSpaceDE w:val="0"/>
              <w:autoSpaceDN w:val="0"/>
              <w:adjustRightInd w:val="0"/>
              <w:spacing w:line="360" w:lineRule="auto"/>
              <w:jc w:val="both"/>
              <w:rPr>
                <w:lang w:val="en-ZA" w:eastAsia="en-ZA"/>
              </w:rPr>
            </w:pPr>
            <w:r w:rsidRPr="00245C90">
              <w:rPr>
                <w:lang w:val="en-ZA" w:eastAsia="en-ZA"/>
              </w:rPr>
              <w:t>% of warrants of release delivered within a day of the release granted</w:t>
            </w:r>
          </w:p>
        </w:tc>
        <w:tc>
          <w:tcPr>
            <w:tcW w:w="0" w:type="auto"/>
            <w:tcBorders>
              <w:top w:val="single" w:sz="4" w:space="0" w:color="auto"/>
              <w:left w:val="single" w:sz="4" w:space="0" w:color="auto"/>
              <w:bottom w:val="single" w:sz="4" w:space="0" w:color="auto"/>
              <w:right w:val="single" w:sz="4" w:space="0" w:color="auto"/>
            </w:tcBorders>
          </w:tcPr>
          <w:p w:rsidR="00A21AA0" w:rsidRPr="00245C90" w:rsidRDefault="0093665D" w:rsidP="00245C90">
            <w:pPr>
              <w:autoSpaceDE w:val="0"/>
              <w:autoSpaceDN w:val="0"/>
              <w:adjustRightInd w:val="0"/>
              <w:spacing w:line="360" w:lineRule="auto"/>
              <w:jc w:val="both"/>
              <w:rPr>
                <w:lang w:val="en-ZA" w:eastAsia="en-ZA"/>
              </w:rPr>
            </w:pPr>
            <w:r w:rsidRPr="00245C90">
              <w:rPr>
                <w:lang w:val="en-ZA" w:eastAsia="en-ZA"/>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665D" w:rsidRPr="007949CD" w:rsidRDefault="0093665D" w:rsidP="00245C90">
            <w:pPr>
              <w:autoSpaceDE w:val="0"/>
              <w:autoSpaceDN w:val="0"/>
              <w:adjustRightInd w:val="0"/>
              <w:spacing w:line="360" w:lineRule="auto"/>
              <w:jc w:val="both"/>
              <w:rPr>
                <w:b/>
                <w:lang w:val="en-ZA" w:eastAsia="en-ZA"/>
              </w:rPr>
            </w:pPr>
            <w:r w:rsidRPr="007949CD">
              <w:rPr>
                <w:b/>
                <w:lang w:val="en-ZA" w:eastAsia="en-ZA"/>
              </w:rPr>
              <w:t>NOT ACHIEVED</w:t>
            </w:r>
          </w:p>
          <w:p w:rsidR="00A21AA0" w:rsidRPr="00245C90" w:rsidRDefault="0093665D" w:rsidP="00245C90">
            <w:pPr>
              <w:autoSpaceDE w:val="0"/>
              <w:autoSpaceDN w:val="0"/>
              <w:adjustRightInd w:val="0"/>
              <w:spacing w:line="360" w:lineRule="auto"/>
              <w:jc w:val="both"/>
              <w:rPr>
                <w:lang w:val="en-ZA" w:eastAsia="en-ZA"/>
              </w:rPr>
            </w:pPr>
            <w:r w:rsidRPr="00245C90">
              <w:rPr>
                <w:lang w:val="en-ZA" w:eastAsia="en-ZA"/>
              </w:rPr>
              <w:t>85% against a quarterly and annual target of 100%</w:t>
            </w:r>
          </w:p>
        </w:tc>
      </w:tr>
      <w:tr w:rsidR="008E1659" w:rsidRPr="00245C90" w:rsidTr="00B04F14">
        <w:trPr>
          <w:trHeight w:val="244"/>
        </w:trPr>
        <w:tc>
          <w:tcPr>
            <w:tcW w:w="0" w:type="auto"/>
            <w:tcBorders>
              <w:top w:val="single" w:sz="4" w:space="0" w:color="auto"/>
              <w:left w:val="single" w:sz="4" w:space="0" w:color="auto"/>
              <w:bottom w:val="single" w:sz="4" w:space="0" w:color="auto"/>
              <w:right w:val="single" w:sz="4" w:space="0" w:color="auto"/>
            </w:tcBorders>
          </w:tcPr>
          <w:p w:rsidR="00A21AA0" w:rsidRPr="00245C90" w:rsidRDefault="00215FA6" w:rsidP="00245C90">
            <w:pPr>
              <w:autoSpaceDE w:val="0"/>
              <w:autoSpaceDN w:val="0"/>
              <w:adjustRightInd w:val="0"/>
              <w:spacing w:line="360" w:lineRule="auto"/>
              <w:jc w:val="both"/>
              <w:rPr>
                <w:lang w:val="en-ZA" w:eastAsia="en-ZA"/>
              </w:rPr>
            </w:pPr>
            <w:r w:rsidRPr="00245C90">
              <w:rPr>
                <w:lang w:val="en-ZA" w:eastAsia="en-ZA"/>
              </w:rPr>
              <w:t xml:space="preserve">% </w:t>
            </w:r>
            <w:r w:rsidR="00A21AA0" w:rsidRPr="00245C90">
              <w:rPr>
                <w:lang w:val="en-ZA" w:eastAsia="en-ZA"/>
              </w:rPr>
              <w:t xml:space="preserve">of cases finalised (CC) </w:t>
            </w:r>
          </w:p>
        </w:tc>
        <w:tc>
          <w:tcPr>
            <w:tcW w:w="0" w:type="auto"/>
            <w:tcBorders>
              <w:top w:val="single" w:sz="4" w:space="0" w:color="auto"/>
              <w:left w:val="single" w:sz="4" w:space="0" w:color="auto"/>
              <w:bottom w:val="single" w:sz="4" w:space="0" w:color="auto"/>
              <w:right w:val="single" w:sz="4" w:space="0" w:color="auto"/>
            </w:tcBorders>
          </w:tcPr>
          <w:p w:rsidR="0093665D" w:rsidRPr="007949CD" w:rsidRDefault="0093665D" w:rsidP="00245C90">
            <w:pPr>
              <w:autoSpaceDE w:val="0"/>
              <w:autoSpaceDN w:val="0"/>
              <w:adjustRightInd w:val="0"/>
              <w:spacing w:line="360" w:lineRule="auto"/>
              <w:jc w:val="both"/>
              <w:rPr>
                <w:b/>
                <w:lang w:val="en-ZA" w:eastAsia="en-ZA"/>
              </w:rPr>
            </w:pPr>
            <w:r w:rsidRPr="007949CD">
              <w:rPr>
                <w:b/>
                <w:lang w:val="en-ZA" w:eastAsia="en-ZA"/>
              </w:rPr>
              <w:t>NOT ACHIEVED</w:t>
            </w:r>
          </w:p>
          <w:p w:rsidR="00A21AA0" w:rsidRPr="00245C90" w:rsidRDefault="009B26F9" w:rsidP="00245C90">
            <w:pPr>
              <w:autoSpaceDE w:val="0"/>
              <w:autoSpaceDN w:val="0"/>
              <w:adjustRightInd w:val="0"/>
              <w:spacing w:line="360" w:lineRule="auto"/>
              <w:jc w:val="both"/>
              <w:rPr>
                <w:lang w:val="en-ZA" w:eastAsia="en-ZA"/>
              </w:rPr>
            </w:pPr>
            <w:r w:rsidRPr="00245C90">
              <w:rPr>
                <w:lang w:val="en-ZA" w:eastAsia="en-ZA"/>
              </w:rPr>
              <w:t>75% against a target of 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665D" w:rsidRPr="007949CD" w:rsidRDefault="0093665D" w:rsidP="00245C90">
            <w:pPr>
              <w:autoSpaceDE w:val="0"/>
              <w:autoSpaceDN w:val="0"/>
              <w:adjustRightInd w:val="0"/>
              <w:spacing w:line="360" w:lineRule="auto"/>
              <w:jc w:val="both"/>
              <w:rPr>
                <w:b/>
                <w:lang w:val="en-ZA" w:eastAsia="en-ZA"/>
              </w:rPr>
            </w:pPr>
            <w:r w:rsidRPr="007949CD">
              <w:rPr>
                <w:b/>
                <w:lang w:val="en-ZA" w:eastAsia="en-ZA"/>
              </w:rPr>
              <w:t>NOT ACHIEVED</w:t>
            </w:r>
          </w:p>
          <w:p w:rsidR="00A21AA0" w:rsidRPr="00245C90" w:rsidRDefault="0093665D" w:rsidP="00245C90">
            <w:pPr>
              <w:autoSpaceDE w:val="0"/>
              <w:autoSpaceDN w:val="0"/>
              <w:adjustRightInd w:val="0"/>
              <w:spacing w:line="360" w:lineRule="auto"/>
              <w:jc w:val="both"/>
              <w:rPr>
                <w:lang w:val="en-ZA" w:eastAsia="en-ZA"/>
              </w:rPr>
            </w:pPr>
            <w:r w:rsidRPr="00245C90">
              <w:rPr>
                <w:lang w:val="en-ZA" w:eastAsia="en-ZA"/>
              </w:rPr>
              <w:t>31% against quarterly and annual target of 80%</w:t>
            </w:r>
          </w:p>
        </w:tc>
      </w:tr>
      <w:tr w:rsidR="008E1659" w:rsidRPr="00245C90" w:rsidTr="00B04F14">
        <w:trPr>
          <w:trHeight w:val="244"/>
        </w:trPr>
        <w:tc>
          <w:tcPr>
            <w:tcW w:w="0" w:type="auto"/>
            <w:tcBorders>
              <w:top w:val="single" w:sz="4" w:space="0" w:color="auto"/>
              <w:left w:val="single" w:sz="4" w:space="0" w:color="auto"/>
              <w:bottom w:val="single" w:sz="4" w:space="0" w:color="auto"/>
              <w:right w:val="single" w:sz="4" w:space="0" w:color="auto"/>
            </w:tcBorders>
          </w:tcPr>
          <w:p w:rsidR="00A21AA0" w:rsidRPr="00245C90" w:rsidRDefault="00215FA6" w:rsidP="00245C90">
            <w:pPr>
              <w:autoSpaceDE w:val="0"/>
              <w:autoSpaceDN w:val="0"/>
              <w:adjustRightInd w:val="0"/>
              <w:spacing w:line="360" w:lineRule="auto"/>
              <w:jc w:val="both"/>
              <w:rPr>
                <w:lang w:val="en-ZA" w:eastAsia="en-ZA"/>
              </w:rPr>
            </w:pPr>
            <w:r w:rsidRPr="00245C90">
              <w:rPr>
                <w:lang w:val="en-ZA" w:eastAsia="en-ZA"/>
              </w:rPr>
              <w:t xml:space="preserve">% </w:t>
            </w:r>
            <w:r w:rsidR="00A21AA0" w:rsidRPr="00245C90">
              <w:rPr>
                <w:lang w:val="en-ZA" w:eastAsia="en-ZA"/>
              </w:rPr>
              <w:t xml:space="preserve">of cases finalised (SCA) </w:t>
            </w:r>
          </w:p>
        </w:tc>
        <w:tc>
          <w:tcPr>
            <w:tcW w:w="0" w:type="auto"/>
            <w:tcBorders>
              <w:top w:val="single" w:sz="4" w:space="0" w:color="auto"/>
              <w:left w:val="single" w:sz="4" w:space="0" w:color="auto"/>
              <w:bottom w:val="single" w:sz="4" w:space="0" w:color="auto"/>
              <w:right w:val="single" w:sz="4" w:space="0" w:color="auto"/>
            </w:tcBorders>
          </w:tcPr>
          <w:p w:rsidR="0093665D" w:rsidRPr="007949CD" w:rsidRDefault="0093665D" w:rsidP="00245C90">
            <w:pPr>
              <w:autoSpaceDE w:val="0"/>
              <w:autoSpaceDN w:val="0"/>
              <w:adjustRightInd w:val="0"/>
              <w:spacing w:line="360" w:lineRule="auto"/>
              <w:jc w:val="both"/>
              <w:rPr>
                <w:b/>
                <w:lang w:val="en-ZA" w:eastAsia="en-ZA"/>
              </w:rPr>
            </w:pPr>
            <w:r w:rsidRPr="007949CD">
              <w:rPr>
                <w:b/>
                <w:lang w:val="en-ZA" w:eastAsia="en-ZA"/>
              </w:rPr>
              <w:t>EXCEEDED</w:t>
            </w:r>
          </w:p>
          <w:p w:rsidR="00A21AA0" w:rsidRPr="00245C90" w:rsidRDefault="009B26F9" w:rsidP="00245C90">
            <w:pPr>
              <w:autoSpaceDE w:val="0"/>
              <w:autoSpaceDN w:val="0"/>
              <w:adjustRightInd w:val="0"/>
              <w:spacing w:line="360" w:lineRule="auto"/>
              <w:jc w:val="both"/>
              <w:rPr>
                <w:lang w:val="en-ZA" w:eastAsia="en-ZA"/>
              </w:rPr>
            </w:pPr>
            <w:r w:rsidRPr="00245C90">
              <w:rPr>
                <w:lang w:val="en-ZA" w:eastAsia="en-ZA"/>
              </w:rPr>
              <w:t>83% against a target of 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665D" w:rsidRPr="007949CD" w:rsidRDefault="0093665D" w:rsidP="00245C90">
            <w:pPr>
              <w:autoSpaceDE w:val="0"/>
              <w:autoSpaceDN w:val="0"/>
              <w:adjustRightInd w:val="0"/>
              <w:spacing w:line="360" w:lineRule="auto"/>
              <w:jc w:val="both"/>
              <w:rPr>
                <w:b/>
                <w:lang w:val="en-ZA" w:eastAsia="en-ZA"/>
              </w:rPr>
            </w:pPr>
            <w:r w:rsidRPr="007949CD">
              <w:rPr>
                <w:b/>
                <w:lang w:val="en-ZA" w:eastAsia="en-ZA"/>
              </w:rPr>
              <w:t>EXCEEDED</w:t>
            </w:r>
          </w:p>
          <w:p w:rsidR="00A21AA0" w:rsidRPr="00245C90" w:rsidRDefault="0093665D" w:rsidP="00245C90">
            <w:pPr>
              <w:autoSpaceDE w:val="0"/>
              <w:autoSpaceDN w:val="0"/>
              <w:adjustRightInd w:val="0"/>
              <w:spacing w:line="360" w:lineRule="auto"/>
              <w:jc w:val="both"/>
              <w:rPr>
                <w:lang w:val="en-ZA" w:eastAsia="en-ZA"/>
              </w:rPr>
            </w:pPr>
            <w:r w:rsidRPr="00245C90">
              <w:rPr>
                <w:lang w:val="en-ZA" w:eastAsia="en-ZA"/>
              </w:rPr>
              <w:t>83% against a quarterly and annual target of 80%</w:t>
            </w:r>
          </w:p>
        </w:tc>
      </w:tr>
      <w:tr w:rsidR="008E1659" w:rsidRPr="00245C90" w:rsidTr="00B04F14">
        <w:trPr>
          <w:trHeight w:val="244"/>
        </w:trPr>
        <w:tc>
          <w:tcPr>
            <w:tcW w:w="0" w:type="auto"/>
            <w:tcBorders>
              <w:top w:val="single" w:sz="4" w:space="0" w:color="auto"/>
              <w:left w:val="single" w:sz="4" w:space="0" w:color="auto"/>
              <w:bottom w:val="single" w:sz="4" w:space="0" w:color="auto"/>
              <w:right w:val="single" w:sz="4" w:space="0" w:color="auto"/>
            </w:tcBorders>
          </w:tcPr>
          <w:p w:rsidR="00A21AA0" w:rsidRPr="00245C90" w:rsidRDefault="00215FA6" w:rsidP="00245C90">
            <w:pPr>
              <w:autoSpaceDE w:val="0"/>
              <w:autoSpaceDN w:val="0"/>
              <w:adjustRightInd w:val="0"/>
              <w:spacing w:line="360" w:lineRule="auto"/>
              <w:jc w:val="both"/>
              <w:rPr>
                <w:lang w:val="en-ZA" w:eastAsia="en-ZA"/>
              </w:rPr>
            </w:pPr>
            <w:r w:rsidRPr="00245C90">
              <w:rPr>
                <w:lang w:val="en-ZA" w:eastAsia="en-ZA"/>
              </w:rPr>
              <w:t xml:space="preserve">% </w:t>
            </w:r>
            <w:r w:rsidR="00A21AA0" w:rsidRPr="00245C90">
              <w:rPr>
                <w:lang w:val="en-ZA" w:eastAsia="en-ZA"/>
              </w:rPr>
              <w:t>criminal cases finalised with verdict</w:t>
            </w:r>
            <w:r w:rsidR="009B26F9" w:rsidRPr="00245C90">
              <w:rPr>
                <w:lang w:val="en-ZA" w:eastAsia="en-ZA"/>
              </w:rPr>
              <w:t xml:space="preserve"> </w:t>
            </w:r>
            <w:r w:rsidRPr="00245C90">
              <w:rPr>
                <w:lang w:val="en-ZA" w:eastAsia="en-ZA"/>
              </w:rPr>
              <w:t>(</w:t>
            </w:r>
            <w:r w:rsidR="009B26F9" w:rsidRPr="00245C90">
              <w:rPr>
                <w:lang w:val="en-ZA" w:eastAsia="en-ZA"/>
              </w:rPr>
              <w:t>High Courts</w:t>
            </w:r>
            <w:r w:rsidRPr="00245C90">
              <w:rPr>
                <w:lang w:val="en-ZA" w:eastAsia="en-ZA"/>
              </w:rPr>
              <w:t>)</w:t>
            </w:r>
          </w:p>
        </w:tc>
        <w:tc>
          <w:tcPr>
            <w:tcW w:w="0" w:type="auto"/>
            <w:tcBorders>
              <w:top w:val="single" w:sz="4" w:space="0" w:color="auto"/>
              <w:left w:val="single" w:sz="4" w:space="0" w:color="auto"/>
              <w:bottom w:val="single" w:sz="4" w:space="0" w:color="auto"/>
              <w:right w:val="single" w:sz="4" w:space="0" w:color="auto"/>
            </w:tcBorders>
          </w:tcPr>
          <w:p w:rsidR="0093665D" w:rsidRPr="007949CD" w:rsidRDefault="0093665D" w:rsidP="00245C90">
            <w:pPr>
              <w:autoSpaceDE w:val="0"/>
              <w:autoSpaceDN w:val="0"/>
              <w:adjustRightInd w:val="0"/>
              <w:spacing w:line="360" w:lineRule="auto"/>
              <w:jc w:val="both"/>
              <w:rPr>
                <w:b/>
                <w:lang w:val="en-ZA" w:eastAsia="en-ZA"/>
              </w:rPr>
            </w:pPr>
            <w:r w:rsidRPr="007949CD">
              <w:rPr>
                <w:b/>
                <w:lang w:val="en-ZA" w:eastAsia="en-ZA"/>
              </w:rPr>
              <w:t>NOT ACHIEVED</w:t>
            </w:r>
          </w:p>
          <w:p w:rsidR="00A21AA0" w:rsidRPr="00245C90" w:rsidRDefault="009B26F9" w:rsidP="00245C90">
            <w:pPr>
              <w:autoSpaceDE w:val="0"/>
              <w:autoSpaceDN w:val="0"/>
              <w:adjustRightInd w:val="0"/>
              <w:spacing w:line="360" w:lineRule="auto"/>
              <w:jc w:val="both"/>
              <w:rPr>
                <w:lang w:val="en-ZA" w:eastAsia="en-ZA"/>
              </w:rPr>
            </w:pPr>
            <w:r w:rsidRPr="00245C90">
              <w:rPr>
                <w:lang w:val="en-ZA" w:eastAsia="en-ZA"/>
              </w:rPr>
              <w:t>36% against a target of 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665D" w:rsidRPr="007949CD" w:rsidRDefault="0093665D" w:rsidP="00245C90">
            <w:pPr>
              <w:autoSpaceDE w:val="0"/>
              <w:autoSpaceDN w:val="0"/>
              <w:adjustRightInd w:val="0"/>
              <w:spacing w:line="360" w:lineRule="auto"/>
              <w:jc w:val="both"/>
              <w:rPr>
                <w:b/>
                <w:lang w:val="en-ZA" w:eastAsia="en-ZA"/>
              </w:rPr>
            </w:pPr>
            <w:r w:rsidRPr="007949CD">
              <w:rPr>
                <w:b/>
                <w:lang w:val="en-ZA" w:eastAsia="en-ZA"/>
              </w:rPr>
              <w:t>NOT ACHIEVED</w:t>
            </w:r>
          </w:p>
          <w:p w:rsidR="00A21AA0" w:rsidRPr="00245C90" w:rsidRDefault="0093665D" w:rsidP="00245C90">
            <w:pPr>
              <w:autoSpaceDE w:val="0"/>
              <w:autoSpaceDN w:val="0"/>
              <w:adjustRightInd w:val="0"/>
              <w:spacing w:line="360" w:lineRule="auto"/>
              <w:jc w:val="both"/>
              <w:rPr>
                <w:lang w:val="en-ZA" w:eastAsia="en-ZA"/>
              </w:rPr>
            </w:pPr>
            <w:r w:rsidRPr="00245C90">
              <w:rPr>
                <w:lang w:val="en-ZA" w:eastAsia="en-ZA"/>
              </w:rPr>
              <w:t>43% against an annual and quarterly target of 64%</w:t>
            </w:r>
          </w:p>
        </w:tc>
      </w:tr>
      <w:tr w:rsidR="008E1659" w:rsidRPr="00245C90" w:rsidTr="00B04F14">
        <w:trPr>
          <w:trHeight w:val="244"/>
        </w:trPr>
        <w:tc>
          <w:tcPr>
            <w:tcW w:w="0" w:type="auto"/>
            <w:tcBorders>
              <w:top w:val="single" w:sz="4" w:space="0" w:color="auto"/>
              <w:left w:val="single" w:sz="4" w:space="0" w:color="auto"/>
              <w:bottom w:val="single" w:sz="4" w:space="0" w:color="auto"/>
              <w:right w:val="single" w:sz="4" w:space="0" w:color="auto"/>
            </w:tcBorders>
          </w:tcPr>
          <w:p w:rsidR="009B26F9" w:rsidRPr="00245C90" w:rsidRDefault="009B26F9" w:rsidP="00245C90">
            <w:pPr>
              <w:autoSpaceDE w:val="0"/>
              <w:autoSpaceDN w:val="0"/>
              <w:adjustRightInd w:val="0"/>
              <w:spacing w:line="360" w:lineRule="auto"/>
              <w:jc w:val="both"/>
              <w:rPr>
                <w:lang w:val="en-ZA" w:eastAsia="en-ZA"/>
              </w:rPr>
            </w:pPr>
            <w:r w:rsidRPr="00245C90">
              <w:rPr>
                <w:lang w:val="en-ZA" w:eastAsia="en-ZA"/>
              </w:rPr>
              <w:t xml:space="preserve">No. criminal cases on the backlog roll </w:t>
            </w:r>
            <w:r w:rsidR="00215FA6" w:rsidRPr="00245C90">
              <w:rPr>
                <w:lang w:val="en-ZA" w:eastAsia="en-ZA"/>
              </w:rPr>
              <w:t>(</w:t>
            </w:r>
            <w:r w:rsidRPr="00245C90">
              <w:rPr>
                <w:lang w:val="en-ZA" w:eastAsia="en-ZA"/>
              </w:rPr>
              <w:t>High Courts</w:t>
            </w:r>
            <w:r w:rsidR="00215FA6" w:rsidRPr="00245C90">
              <w:rPr>
                <w:lang w:val="en-ZA" w:eastAsia="en-ZA"/>
              </w:rPr>
              <w:t>)</w:t>
            </w:r>
          </w:p>
        </w:tc>
        <w:tc>
          <w:tcPr>
            <w:tcW w:w="0" w:type="auto"/>
            <w:tcBorders>
              <w:top w:val="single" w:sz="4" w:space="0" w:color="auto"/>
              <w:left w:val="single" w:sz="4" w:space="0" w:color="auto"/>
              <w:bottom w:val="single" w:sz="4" w:space="0" w:color="auto"/>
              <w:right w:val="single" w:sz="4" w:space="0" w:color="auto"/>
            </w:tcBorders>
          </w:tcPr>
          <w:p w:rsidR="008E1659" w:rsidRPr="00245C90" w:rsidRDefault="008E1659" w:rsidP="00245C90">
            <w:pPr>
              <w:autoSpaceDE w:val="0"/>
              <w:autoSpaceDN w:val="0"/>
              <w:adjustRightInd w:val="0"/>
              <w:spacing w:line="360" w:lineRule="auto"/>
              <w:jc w:val="both"/>
              <w:rPr>
                <w:lang w:val="en-ZA" w:eastAsia="en-ZA"/>
              </w:rPr>
            </w:pPr>
            <w:r w:rsidRPr="007949CD">
              <w:rPr>
                <w:b/>
                <w:lang w:val="en-ZA" w:eastAsia="en-ZA"/>
              </w:rPr>
              <w:t>EXCEEDED</w:t>
            </w:r>
          </w:p>
          <w:p w:rsidR="009B26F9" w:rsidRPr="00245C90" w:rsidRDefault="009B26F9" w:rsidP="00245C90">
            <w:pPr>
              <w:autoSpaceDE w:val="0"/>
              <w:autoSpaceDN w:val="0"/>
              <w:adjustRightInd w:val="0"/>
              <w:spacing w:line="360" w:lineRule="auto"/>
              <w:jc w:val="both"/>
              <w:rPr>
                <w:lang w:val="en-ZA" w:eastAsia="en-ZA"/>
              </w:rPr>
            </w:pPr>
            <w:r w:rsidRPr="00245C90">
              <w:rPr>
                <w:lang w:val="en-ZA" w:eastAsia="en-ZA"/>
              </w:rPr>
              <w:t>137 against a target of 206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B26F9" w:rsidRPr="00245C90" w:rsidRDefault="0093665D" w:rsidP="00245C90">
            <w:pPr>
              <w:autoSpaceDE w:val="0"/>
              <w:autoSpaceDN w:val="0"/>
              <w:adjustRightInd w:val="0"/>
              <w:spacing w:line="360" w:lineRule="auto"/>
              <w:jc w:val="both"/>
              <w:rPr>
                <w:lang w:val="en-ZA" w:eastAsia="en-ZA"/>
              </w:rPr>
            </w:pPr>
            <w:r w:rsidRPr="00245C90">
              <w:rPr>
                <w:lang w:val="en-ZA" w:eastAsia="en-ZA"/>
              </w:rPr>
              <w:t>N/A</w:t>
            </w:r>
          </w:p>
        </w:tc>
      </w:tr>
      <w:tr w:rsidR="008E1659" w:rsidRPr="00245C90" w:rsidTr="00B04F14">
        <w:trPr>
          <w:trHeight w:val="244"/>
        </w:trPr>
        <w:tc>
          <w:tcPr>
            <w:tcW w:w="0" w:type="auto"/>
            <w:tcBorders>
              <w:top w:val="single" w:sz="4" w:space="0" w:color="auto"/>
              <w:left w:val="single" w:sz="4" w:space="0" w:color="auto"/>
              <w:bottom w:val="single" w:sz="4" w:space="0" w:color="auto"/>
              <w:right w:val="single" w:sz="4" w:space="0" w:color="auto"/>
            </w:tcBorders>
          </w:tcPr>
          <w:p w:rsidR="00A21AA0" w:rsidRPr="00245C90" w:rsidRDefault="00215FA6" w:rsidP="00245C90">
            <w:pPr>
              <w:autoSpaceDE w:val="0"/>
              <w:autoSpaceDN w:val="0"/>
              <w:adjustRightInd w:val="0"/>
              <w:spacing w:line="360" w:lineRule="auto"/>
              <w:jc w:val="both"/>
              <w:rPr>
                <w:lang w:val="en-ZA" w:eastAsia="en-ZA"/>
              </w:rPr>
            </w:pPr>
            <w:r w:rsidRPr="00245C90">
              <w:rPr>
                <w:lang w:val="en-ZA" w:eastAsia="en-ZA"/>
              </w:rPr>
              <w:t>%</w:t>
            </w:r>
            <w:r w:rsidR="00A21AA0" w:rsidRPr="00245C90">
              <w:rPr>
                <w:lang w:val="en-ZA" w:eastAsia="en-ZA"/>
              </w:rPr>
              <w:t xml:space="preserve"> of civil cases finalised</w:t>
            </w:r>
            <w:r w:rsidR="009B26F9" w:rsidRPr="00245C90">
              <w:rPr>
                <w:lang w:val="en-ZA" w:eastAsia="en-ZA"/>
              </w:rPr>
              <w:t xml:space="preserve"> </w:t>
            </w:r>
            <w:r w:rsidRPr="00245C90">
              <w:rPr>
                <w:lang w:val="en-ZA" w:eastAsia="en-ZA"/>
              </w:rPr>
              <w:t>(</w:t>
            </w:r>
            <w:r w:rsidR="009B26F9" w:rsidRPr="00245C90">
              <w:rPr>
                <w:lang w:val="en-ZA" w:eastAsia="en-ZA"/>
              </w:rPr>
              <w:t>High Courts</w:t>
            </w:r>
            <w:r w:rsidRPr="00245C90">
              <w:rPr>
                <w:lang w:val="en-ZA" w:eastAsia="en-ZA"/>
              </w:rPr>
              <w:t>)</w:t>
            </w:r>
          </w:p>
        </w:tc>
        <w:tc>
          <w:tcPr>
            <w:tcW w:w="0" w:type="auto"/>
            <w:tcBorders>
              <w:top w:val="single" w:sz="4" w:space="0" w:color="auto"/>
              <w:left w:val="single" w:sz="4" w:space="0" w:color="auto"/>
              <w:bottom w:val="single" w:sz="4" w:space="0" w:color="auto"/>
              <w:right w:val="single" w:sz="4" w:space="0" w:color="auto"/>
            </w:tcBorders>
          </w:tcPr>
          <w:p w:rsidR="008E1659" w:rsidRPr="007949CD" w:rsidRDefault="008E1659" w:rsidP="00245C90">
            <w:pPr>
              <w:autoSpaceDE w:val="0"/>
              <w:autoSpaceDN w:val="0"/>
              <w:adjustRightInd w:val="0"/>
              <w:spacing w:line="360" w:lineRule="auto"/>
              <w:jc w:val="both"/>
              <w:rPr>
                <w:b/>
                <w:lang w:val="en-ZA" w:eastAsia="en-ZA"/>
              </w:rPr>
            </w:pPr>
            <w:r w:rsidRPr="007949CD">
              <w:rPr>
                <w:b/>
                <w:lang w:val="en-ZA" w:eastAsia="en-ZA"/>
              </w:rPr>
              <w:t>EXCEEDED</w:t>
            </w:r>
          </w:p>
          <w:p w:rsidR="00A21AA0" w:rsidRPr="00245C90" w:rsidRDefault="009B26F9" w:rsidP="00245C90">
            <w:pPr>
              <w:autoSpaceDE w:val="0"/>
              <w:autoSpaceDN w:val="0"/>
              <w:adjustRightInd w:val="0"/>
              <w:spacing w:line="360" w:lineRule="auto"/>
              <w:jc w:val="both"/>
              <w:rPr>
                <w:lang w:val="en-ZA" w:eastAsia="en-ZA"/>
              </w:rPr>
            </w:pPr>
            <w:r w:rsidRPr="00245C90">
              <w:rPr>
                <w:lang w:val="en-ZA" w:eastAsia="en-ZA"/>
              </w:rPr>
              <w:t>63% against a target of 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659" w:rsidRPr="007949CD" w:rsidRDefault="008E1659" w:rsidP="00245C90">
            <w:pPr>
              <w:autoSpaceDE w:val="0"/>
              <w:autoSpaceDN w:val="0"/>
              <w:adjustRightInd w:val="0"/>
              <w:spacing w:line="360" w:lineRule="auto"/>
              <w:jc w:val="both"/>
              <w:rPr>
                <w:b/>
                <w:lang w:val="en-ZA" w:eastAsia="en-ZA"/>
              </w:rPr>
            </w:pPr>
            <w:r w:rsidRPr="007949CD">
              <w:rPr>
                <w:b/>
                <w:lang w:val="en-ZA" w:eastAsia="en-ZA"/>
              </w:rPr>
              <w:t>EXCEEDED</w:t>
            </w:r>
          </w:p>
          <w:p w:rsidR="00A21AA0" w:rsidRPr="00245C90" w:rsidRDefault="0093665D" w:rsidP="00245C90">
            <w:pPr>
              <w:autoSpaceDE w:val="0"/>
              <w:autoSpaceDN w:val="0"/>
              <w:adjustRightInd w:val="0"/>
              <w:spacing w:line="360" w:lineRule="auto"/>
              <w:jc w:val="both"/>
              <w:rPr>
                <w:lang w:val="en-ZA" w:eastAsia="en-ZA"/>
              </w:rPr>
            </w:pPr>
            <w:r w:rsidRPr="00245C90">
              <w:rPr>
                <w:lang w:val="en-ZA" w:eastAsia="en-ZA"/>
              </w:rPr>
              <w:t>66% against an annual and quarterly target of 54%</w:t>
            </w:r>
          </w:p>
        </w:tc>
      </w:tr>
      <w:tr w:rsidR="008E1659" w:rsidRPr="00245C90" w:rsidTr="00B04F14">
        <w:trPr>
          <w:trHeight w:val="244"/>
        </w:trPr>
        <w:tc>
          <w:tcPr>
            <w:tcW w:w="0" w:type="auto"/>
            <w:tcBorders>
              <w:top w:val="single" w:sz="4" w:space="0" w:color="auto"/>
              <w:left w:val="single" w:sz="4" w:space="0" w:color="auto"/>
              <w:bottom w:val="single" w:sz="4" w:space="0" w:color="auto"/>
              <w:right w:val="single" w:sz="4" w:space="0" w:color="auto"/>
            </w:tcBorders>
          </w:tcPr>
          <w:p w:rsidR="00A21AA0" w:rsidRPr="00245C90" w:rsidRDefault="00215FA6" w:rsidP="00245C90">
            <w:pPr>
              <w:autoSpaceDE w:val="0"/>
              <w:autoSpaceDN w:val="0"/>
              <w:adjustRightInd w:val="0"/>
              <w:spacing w:line="360" w:lineRule="auto"/>
              <w:jc w:val="both"/>
              <w:rPr>
                <w:lang w:val="en-ZA" w:eastAsia="en-ZA"/>
              </w:rPr>
            </w:pPr>
            <w:r w:rsidRPr="00245C90">
              <w:rPr>
                <w:lang w:val="en-ZA" w:eastAsia="en-ZA"/>
              </w:rPr>
              <w:t>%</w:t>
            </w:r>
            <w:r w:rsidR="00A21AA0" w:rsidRPr="00245C90">
              <w:rPr>
                <w:lang w:val="en-ZA" w:eastAsia="en-ZA"/>
              </w:rPr>
              <w:t xml:space="preserve"> of reserved judgments finalised </w:t>
            </w:r>
            <w:r w:rsidRPr="00245C90">
              <w:rPr>
                <w:lang w:val="en-ZA" w:eastAsia="en-ZA"/>
              </w:rPr>
              <w:t>(</w:t>
            </w:r>
            <w:r w:rsidR="00F7559A" w:rsidRPr="00245C90">
              <w:rPr>
                <w:lang w:val="en-ZA" w:eastAsia="en-ZA"/>
              </w:rPr>
              <w:t>High Courts</w:t>
            </w:r>
            <w:r w:rsidRPr="00245C90">
              <w:rPr>
                <w:lang w:val="en-ZA" w:eastAsia="en-ZA"/>
              </w:rPr>
              <w:t>)</w:t>
            </w:r>
          </w:p>
        </w:tc>
        <w:tc>
          <w:tcPr>
            <w:tcW w:w="0" w:type="auto"/>
            <w:tcBorders>
              <w:top w:val="single" w:sz="4" w:space="0" w:color="auto"/>
              <w:left w:val="single" w:sz="4" w:space="0" w:color="auto"/>
              <w:bottom w:val="single" w:sz="4" w:space="0" w:color="auto"/>
              <w:right w:val="single" w:sz="4" w:space="0" w:color="auto"/>
            </w:tcBorders>
          </w:tcPr>
          <w:p w:rsidR="008E1659" w:rsidRPr="007949CD" w:rsidRDefault="008E1659" w:rsidP="00245C90">
            <w:pPr>
              <w:autoSpaceDE w:val="0"/>
              <w:autoSpaceDN w:val="0"/>
              <w:adjustRightInd w:val="0"/>
              <w:spacing w:line="360" w:lineRule="auto"/>
              <w:jc w:val="both"/>
              <w:rPr>
                <w:b/>
                <w:lang w:val="en-ZA" w:eastAsia="en-ZA"/>
              </w:rPr>
            </w:pPr>
            <w:r w:rsidRPr="007949CD">
              <w:rPr>
                <w:b/>
                <w:lang w:val="en-ZA" w:eastAsia="en-ZA"/>
              </w:rPr>
              <w:t>EXCEEDED</w:t>
            </w:r>
          </w:p>
          <w:p w:rsidR="00A21AA0" w:rsidRPr="00245C90" w:rsidRDefault="009B26F9" w:rsidP="00245C90">
            <w:pPr>
              <w:autoSpaceDE w:val="0"/>
              <w:autoSpaceDN w:val="0"/>
              <w:adjustRightInd w:val="0"/>
              <w:spacing w:line="360" w:lineRule="auto"/>
              <w:jc w:val="both"/>
              <w:rPr>
                <w:lang w:val="en-ZA" w:eastAsia="en-ZA"/>
              </w:rPr>
            </w:pPr>
            <w:r w:rsidRPr="00245C90">
              <w:rPr>
                <w:lang w:val="en-ZA" w:eastAsia="en-ZA"/>
              </w:rPr>
              <w:t>72% (3 168 of 4 393) against a target of 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659" w:rsidRPr="007949CD" w:rsidRDefault="008E1659" w:rsidP="00245C90">
            <w:pPr>
              <w:autoSpaceDE w:val="0"/>
              <w:autoSpaceDN w:val="0"/>
              <w:adjustRightInd w:val="0"/>
              <w:spacing w:line="360" w:lineRule="auto"/>
              <w:jc w:val="both"/>
              <w:rPr>
                <w:b/>
                <w:lang w:val="en-ZA" w:eastAsia="en-ZA"/>
              </w:rPr>
            </w:pPr>
            <w:r w:rsidRPr="007949CD">
              <w:rPr>
                <w:b/>
                <w:lang w:val="en-ZA" w:eastAsia="en-ZA"/>
              </w:rPr>
              <w:t>EXCEEDED</w:t>
            </w:r>
          </w:p>
          <w:p w:rsidR="00A21AA0" w:rsidRPr="00245C90" w:rsidRDefault="0093665D" w:rsidP="00245C90">
            <w:pPr>
              <w:autoSpaceDE w:val="0"/>
              <w:autoSpaceDN w:val="0"/>
              <w:adjustRightInd w:val="0"/>
              <w:spacing w:line="360" w:lineRule="auto"/>
              <w:jc w:val="both"/>
              <w:rPr>
                <w:lang w:val="en-ZA" w:eastAsia="en-ZA"/>
              </w:rPr>
            </w:pPr>
            <w:r w:rsidRPr="00245C90">
              <w:rPr>
                <w:lang w:val="en-ZA" w:eastAsia="en-ZA"/>
              </w:rPr>
              <w:t>75% against a quarterly and annual target of 70%</w:t>
            </w:r>
          </w:p>
        </w:tc>
      </w:tr>
      <w:tr w:rsidR="008E1659" w:rsidRPr="00245C90" w:rsidTr="00B04F14">
        <w:trPr>
          <w:trHeight w:val="244"/>
        </w:trPr>
        <w:tc>
          <w:tcPr>
            <w:tcW w:w="0" w:type="auto"/>
            <w:tcBorders>
              <w:top w:val="single" w:sz="4" w:space="0" w:color="auto"/>
              <w:left w:val="single" w:sz="4" w:space="0" w:color="auto"/>
              <w:bottom w:val="single" w:sz="4" w:space="0" w:color="auto"/>
              <w:right w:val="single" w:sz="4" w:space="0" w:color="auto"/>
            </w:tcBorders>
          </w:tcPr>
          <w:p w:rsidR="00A21AA0" w:rsidRPr="00245C90" w:rsidRDefault="00215FA6" w:rsidP="00245C90">
            <w:pPr>
              <w:autoSpaceDE w:val="0"/>
              <w:autoSpaceDN w:val="0"/>
              <w:adjustRightInd w:val="0"/>
              <w:spacing w:line="360" w:lineRule="auto"/>
              <w:jc w:val="both"/>
              <w:rPr>
                <w:lang w:val="en-ZA" w:eastAsia="en-ZA"/>
              </w:rPr>
            </w:pPr>
            <w:r w:rsidRPr="00245C90">
              <w:rPr>
                <w:lang w:val="en-ZA" w:eastAsia="en-ZA"/>
              </w:rPr>
              <w:t>%</w:t>
            </w:r>
            <w:r w:rsidR="00A21AA0" w:rsidRPr="00245C90">
              <w:rPr>
                <w:lang w:val="en-ZA" w:eastAsia="en-ZA"/>
              </w:rPr>
              <w:t xml:space="preserve"> of land claim cases finalised</w:t>
            </w:r>
          </w:p>
        </w:tc>
        <w:tc>
          <w:tcPr>
            <w:tcW w:w="0" w:type="auto"/>
            <w:tcBorders>
              <w:top w:val="single" w:sz="4" w:space="0" w:color="auto"/>
              <w:left w:val="single" w:sz="4" w:space="0" w:color="auto"/>
              <w:bottom w:val="single" w:sz="4" w:space="0" w:color="auto"/>
              <w:right w:val="single" w:sz="4" w:space="0" w:color="auto"/>
            </w:tcBorders>
          </w:tcPr>
          <w:p w:rsidR="008E1659" w:rsidRPr="007949CD" w:rsidRDefault="008E1659" w:rsidP="00245C90">
            <w:pPr>
              <w:autoSpaceDE w:val="0"/>
              <w:autoSpaceDN w:val="0"/>
              <w:adjustRightInd w:val="0"/>
              <w:spacing w:line="360" w:lineRule="auto"/>
              <w:jc w:val="both"/>
              <w:rPr>
                <w:b/>
                <w:lang w:val="en-ZA" w:eastAsia="en-ZA"/>
              </w:rPr>
            </w:pPr>
            <w:r w:rsidRPr="007949CD">
              <w:rPr>
                <w:b/>
                <w:lang w:val="en-ZA" w:eastAsia="en-ZA"/>
              </w:rPr>
              <w:t>EXCEEDED</w:t>
            </w:r>
          </w:p>
          <w:p w:rsidR="00A21AA0" w:rsidRPr="00245C90" w:rsidRDefault="009B26F9" w:rsidP="00245C90">
            <w:pPr>
              <w:autoSpaceDE w:val="0"/>
              <w:autoSpaceDN w:val="0"/>
              <w:adjustRightInd w:val="0"/>
              <w:spacing w:line="360" w:lineRule="auto"/>
              <w:jc w:val="both"/>
              <w:rPr>
                <w:lang w:val="en-ZA" w:eastAsia="en-ZA"/>
              </w:rPr>
            </w:pPr>
            <w:r w:rsidRPr="00245C90">
              <w:rPr>
                <w:lang w:val="en-ZA" w:eastAsia="en-ZA"/>
              </w:rPr>
              <w:t>52% against a target of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659" w:rsidRPr="007949CD" w:rsidRDefault="008E1659" w:rsidP="00245C90">
            <w:pPr>
              <w:autoSpaceDE w:val="0"/>
              <w:autoSpaceDN w:val="0"/>
              <w:adjustRightInd w:val="0"/>
              <w:spacing w:line="360" w:lineRule="auto"/>
              <w:jc w:val="both"/>
              <w:rPr>
                <w:b/>
                <w:lang w:val="en-ZA" w:eastAsia="en-ZA"/>
              </w:rPr>
            </w:pPr>
            <w:r w:rsidRPr="007949CD">
              <w:rPr>
                <w:b/>
                <w:lang w:val="en-ZA" w:eastAsia="en-ZA"/>
              </w:rPr>
              <w:t>EXCEEDED</w:t>
            </w:r>
          </w:p>
          <w:p w:rsidR="00A21AA0" w:rsidRPr="00245C90" w:rsidRDefault="0093665D" w:rsidP="00245C90">
            <w:pPr>
              <w:autoSpaceDE w:val="0"/>
              <w:autoSpaceDN w:val="0"/>
              <w:adjustRightInd w:val="0"/>
              <w:spacing w:line="360" w:lineRule="auto"/>
              <w:jc w:val="both"/>
              <w:rPr>
                <w:lang w:val="en-ZA" w:eastAsia="en-ZA"/>
              </w:rPr>
            </w:pPr>
            <w:r w:rsidRPr="00245C90">
              <w:rPr>
                <w:lang w:val="en-ZA" w:eastAsia="en-ZA"/>
              </w:rPr>
              <w:t>67% against a quarterly and annual target of 54%</w:t>
            </w:r>
          </w:p>
        </w:tc>
      </w:tr>
    </w:tbl>
    <w:p w:rsidR="007D6B21" w:rsidRPr="00245C90" w:rsidRDefault="007D6B21" w:rsidP="00245C90">
      <w:pPr>
        <w:pStyle w:val="ListParagraph"/>
        <w:autoSpaceDE w:val="0"/>
        <w:autoSpaceDN w:val="0"/>
        <w:adjustRightInd w:val="0"/>
        <w:spacing w:line="360" w:lineRule="auto"/>
        <w:jc w:val="both"/>
        <w:rPr>
          <w:lang w:val="en-US" w:eastAsia="en-US"/>
        </w:rPr>
      </w:pPr>
    </w:p>
    <w:p w:rsidR="00220762" w:rsidRPr="00245C90" w:rsidRDefault="00220762" w:rsidP="00245C90">
      <w:pPr>
        <w:pStyle w:val="ListParagraph"/>
        <w:numPr>
          <w:ilvl w:val="2"/>
          <w:numId w:val="38"/>
        </w:numPr>
        <w:autoSpaceDE w:val="0"/>
        <w:autoSpaceDN w:val="0"/>
        <w:adjustRightInd w:val="0"/>
        <w:spacing w:line="360" w:lineRule="auto"/>
        <w:ind w:left="851" w:hanging="851"/>
        <w:jc w:val="both"/>
        <w:rPr>
          <w:lang w:val="en-US"/>
        </w:rPr>
      </w:pPr>
      <w:r w:rsidRPr="00245C90">
        <w:rPr>
          <w:lang w:val="en-US"/>
        </w:rPr>
        <w:t xml:space="preserve">Key issues </w:t>
      </w:r>
      <w:r w:rsidR="00AD29FA" w:rsidRPr="00245C90">
        <w:rPr>
          <w:lang w:val="en-US"/>
        </w:rPr>
        <w:t>emerging:</w:t>
      </w:r>
    </w:p>
    <w:p w:rsidR="007D6B21" w:rsidRPr="00245C90" w:rsidRDefault="00F7559A"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 xml:space="preserve">In the Constitutional Court, there </w:t>
      </w:r>
      <w:r w:rsidR="007D6B21" w:rsidRPr="00245C90">
        <w:rPr>
          <w:bCs/>
          <w:lang w:val="en-US" w:eastAsia="en-US"/>
        </w:rPr>
        <w:t xml:space="preserve">was a marked increase in the number of cases (almost double) </w:t>
      </w:r>
      <w:r w:rsidRPr="00245C90">
        <w:rPr>
          <w:bCs/>
          <w:lang w:val="en-US" w:eastAsia="en-US"/>
        </w:rPr>
        <w:t xml:space="preserve">for finalization, </w:t>
      </w:r>
      <w:r w:rsidR="007D6B21" w:rsidRPr="00245C90">
        <w:rPr>
          <w:bCs/>
          <w:lang w:val="en-US" w:eastAsia="en-US"/>
        </w:rPr>
        <w:t xml:space="preserve">as a result </w:t>
      </w:r>
      <w:r w:rsidR="00215FA6" w:rsidRPr="00245C90">
        <w:rPr>
          <w:bCs/>
          <w:lang w:val="en-US" w:eastAsia="en-US"/>
        </w:rPr>
        <w:t xml:space="preserve">of </w:t>
      </w:r>
      <w:r w:rsidR="007D6B21" w:rsidRPr="00245C90">
        <w:rPr>
          <w:bCs/>
          <w:lang w:val="en-US" w:eastAsia="en-US"/>
        </w:rPr>
        <w:t>its increased jurisdiction</w:t>
      </w:r>
      <w:r w:rsidR="00215FA6" w:rsidRPr="00245C90">
        <w:rPr>
          <w:bCs/>
          <w:lang w:val="en-US" w:eastAsia="en-US"/>
        </w:rPr>
        <w:t xml:space="preserve"> and that all 11 Justices must hear a matter</w:t>
      </w:r>
      <w:r w:rsidR="007D6B21" w:rsidRPr="00245C90">
        <w:rPr>
          <w:bCs/>
          <w:lang w:val="en-US" w:eastAsia="en-US"/>
        </w:rPr>
        <w:t>. This has adversely impacted on the</w:t>
      </w:r>
      <w:r w:rsidR="00215FA6" w:rsidRPr="00245C90">
        <w:rPr>
          <w:bCs/>
          <w:lang w:val="en-US" w:eastAsia="en-US"/>
        </w:rPr>
        <w:t xml:space="preserve"> rate of finalisation of cases</w:t>
      </w:r>
      <w:r w:rsidR="007D6B21" w:rsidRPr="00245C90">
        <w:rPr>
          <w:bCs/>
          <w:lang w:val="en-US" w:eastAsia="en-US"/>
        </w:rPr>
        <w:t xml:space="preserve">. </w:t>
      </w:r>
      <w:r w:rsidR="00260B56" w:rsidRPr="00245C90">
        <w:rPr>
          <w:bCs/>
          <w:lang w:val="en-US" w:eastAsia="en-US"/>
        </w:rPr>
        <w:t>This trend</w:t>
      </w:r>
      <w:r w:rsidR="00AD29FA" w:rsidRPr="00245C90">
        <w:rPr>
          <w:bCs/>
          <w:lang w:val="en-US" w:eastAsia="en-US"/>
        </w:rPr>
        <w:t xml:space="preserve"> continues in the F</w:t>
      </w:r>
      <w:r w:rsidRPr="00245C90">
        <w:rPr>
          <w:bCs/>
          <w:lang w:val="en-US" w:eastAsia="en-US"/>
        </w:rPr>
        <w:t>irst Quarter of 2016/17.</w:t>
      </w:r>
    </w:p>
    <w:p w:rsidR="00F7559A" w:rsidRPr="00245C90" w:rsidRDefault="007D6B21"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The High Court, in particular, underperformed in respect of reaching its target for the finalization of criminal cases</w:t>
      </w:r>
      <w:r w:rsidR="00641865" w:rsidRPr="00245C90">
        <w:rPr>
          <w:bCs/>
          <w:lang w:val="en-US" w:eastAsia="en-US"/>
        </w:rPr>
        <w:t xml:space="preserve"> with verdict</w:t>
      </w:r>
      <w:r w:rsidRPr="00245C90">
        <w:rPr>
          <w:bCs/>
          <w:lang w:val="en-US" w:eastAsia="en-US"/>
        </w:rPr>
        <w:t xml:space="preserve">. This </w:t>
      </w:r>
      <w:r w:rsidR="00220762" w:rsidRPr="00245C90">
        <w:rPr>
          <w:bCs/>
          <w:lang w:val="en-US" w:eastAsia="en-US"/>
        </w:rPr>
        <w:t>is</w:t>
      </w:r>
      <w:r w:rsidRPr="00245C90">
        <w:rPr>
          <w:bCs/>
          <w:lang w:val="en-US" w:eastAsia="en-US"/>
        </w:rPr>
        <w:t xml:space="preserve"> attributed to dependencies on other stakeholders that</w:t>
      </w:r>
      <w:r w:rsidR="00220762" w:rsidRPr="00245C90">
        <w:rPr>
          <w:bCs/>
          <w:lang w:val="en-US" w:eastAsia="en-US"/>
        </w:rPr>
        <w:t>,</w:t>
      </w:r>
      <w:r w:rsidRPr="00245C90">
        <w:rPr>
          <w:bCs/>
          <w:lang w:val="en-US" w:eastAsia="en-US"/>
        </w:rPr>
        <w:t xml:space="preserve"> in turn</w:t>
      </w:r>
      <w:r w:rsidR="00220762" w:rsidRPr="00245C90">
        <w:rPr>
          <w:bCs/>
          <w:lang w:val="en-US" w:eastAsia="en-US"/>
        </w:rPr>
        <w:t>,</w:t>
      </w:r>
      <w:r w:rsidR="00641865" w:rsidRPr="00245C90">
        <w:rPr>
          <w:bCs/>
          <w:lang w:val="en-US" w:eastAsia="en-US"/>
        </w:rPr>
        <w:t xml:space="preserve"> delays the finalisation of criminal</w:t>
      </w:r>
      <w:r w:rsidRPr="00245C90">
        <w:rPr>
          <w:bCs/>
          <w:lang w:val="en-US" w:eastAsia="en-US"/>
        </w:rPr>
        <w:t xml:space="preserve"> cases. The OCJ reports that the matter is </w:t>
      </w:r>
      <w:r w:rsidR="00F7559A" w:rsidRPr="00245C90">
        <w:rPr>
          <w:bCs/>
          <w:lang w:val="en-US" w:eastAsia="en-US"/>
        </w:rPr>
        <w:t xml:space="preserve">being </w:t>
      </w:r>
      <w:r w:rsidRPr="00245C90">
        <w:rPr>
          <w:bCs/>
          <w:lang w:val="en-US" w:eastAsia="en-US"/>
        </w:rPr>
        <w:t xml:space="preserve">dealt with </w:t>
      </w:r>
      <w:r w:rsidR="00A52900" w:rsidRPr="00245C90">
        <w:rPr>
          <w:bCs/>
          <w:lang w:val="en-US" w:eastAsia="en-US"/>
        </w:rPr>
        <w:t xml:space="preserve">by </w:t>
      </w:r>
      <w:r w:rsidRPr="00245C90">
        <w:rPr>
          <w:bCs/>
          <w:lang w:val="en-US" w:eastAsia="en-US"/>
        </w:rPr>
        <w:t>the P</w:t>
      </w:r>
      <w:r w:rsidR="00A52900" w:rsidRPr="00245C90">
        <w:rPr>
          <w:bCs/>
          <w:lang w:val="en-US" w:eastAsia="en-US"/>
        </w:rPr>
        <w:t>rovincial Efficiency Enhancement Committees (P</w:t>
      </w:r>
      <w:r w:rsidRPr="00245C90">
        <w:rPr>
          <w:bCs/>
          <w:lang w:val="en-US" w:eastAsia="en-US"/>
        </w:rPr>
        <w:t>EECs</w:t>
      </w:r>
      <w:r w:rsidR="00AD29FA" w:rsidRPr="00245C90">
        <w:rPr>
          <w:bCs/>
          <w:lang w:val="en-US" w:eastAsia="en-US"/>
        </w:rPr>
        <w:t>)</w:t>
      </w:r>
      <w:r w:rsidRPr="00245C90">
        <w:rPr>
          <w:bCs/>
          <w:lang w:val="en-US" w:eastAsia="en-US"/>
        </w:rPr>
        <w:t xml:space="preserve">. </w:t>
      </w:r>
    </w:p>
    <w:p w:rsidR="00260B56" w:rsidRPr="00245C90" w:rsidRDefault="00260B56" w:rsidP="00245C90">
      <w:pPr>
        <w:numPr>
          <w:ilvl w:val="0"/>
          <w:numId w:val="28"/>
        </w:numPr>
        <w:autoSpaceDE w:val="0"/>
        <w:autoSpaceDN w:val="0"/>
        <w:adjustRightInd w:val="0"/>
        <w:spacing w:line="360" w:lineRule="auto"/>
        <w:ind w:left="1276" w:hanging="425"/>
        <w:jc w:val="both"/>
        <w:rPr>
          <w:bCs/>
          <w:lang w:val="en-US" w:eastAsia="en-US"/>
        </w:rPr>
      </w:pPr>
      <w:r w:rsidRPr="00245C90">
        <w:rPr>
          <w:bCs/>
          <w:lang w:val="en-US" w:eastAsia="en-US"/>
        </w:rPr>
        <w:t>In the H</w:t>
      </w:r>
      <w:r w:rsidR="007D6B21" w:rsidRPr="00245C90">
        <w:rPr>
          <w:bCs/>
          <w:lang w:val="en-US" w:eastAsia="en-US"/>
        </w:rPr>
        <w:t xml:space="preserve">igh Court, the </w:t>
      </w:r>
      <w:r w:rsidR="00220762" w:rsidRPr="00245C90">
        <w:rPr>
          <w:bCs/>
          <w:lang w:val="en-US" w:eastAsia="en-US"/>
        </w:rPr>
        <w:t xml:space="preserve">target for the </w:t>
      </w:r>
      <w:r w:rsidR="007D6B21" w:rsidRPr="00245C90">
        <w:rPr>
          <w:bCs/>
          <w:lang w:val="en-US" w:eastAsia="en-US"/>
        </w:rPr>
        <w:t xml:space="preserve">percentage of reserved judgements </w:t>
      </w:r>
      <w:r w:rsidR="00220762" w:rsidRPr="00245C90">
        <w:rPr>
          <w:bCs/>
          <w:lang w:val="en-US" w:eastAsia="en-US"/>
        </w:rPr>
        <w:t xml:space="preserve">finalized was </w:t>
      </w:r>
      <w:r w:rsidR="00F7559A" w:rsidRPr="00245C90">
        <w:rPr>
          <w:bCs/>
          <w:lang w:val="en-US" w:eastAsia="en-US"/>
        </w:rPr>
        <w:t>exceed</w:t>
      </w:r>
      <w:r w:rsidRPr="00245C90">
        <w:rPr>
          <w:bCs/>
          <w:lang w:val="en-US" w:eastAsia="en-US"/>
        </w:rPr>
        <w:t xml:space="preserve">ed (72% against a target of 70%). This trend continues </w:t>
      </w:r>
      <w:r w:rsidR="00F7559A" w:rsidRPr="00245C90">
        <w:rPr>
          <w:bCs/>
          <w:lang w:val="en-US" w:eastAsia="en-US"/>
        </w:rPr>
        <w:t xml:space="preserve">in the First Quarter 2016/17. </w:t>
      </w:r>
      <w:r w:rsidRPr="00245C90">
        <w:rPr>
          <w:bCs/>
          <w:lang w:val="en-US" w:eastAsia="en-US"/>
        </w:rPr>
        <w:t xml:space="preserve">The recently established Judicial Performance Monitoring Committees chaired by the </w:t>
      </w:r>
      <w:r w:rsidR="00641865" w:rsidRPr="00245C90">
        <w:rPr>
          <w:bCs/>
          <w:lang w:val="en-US" w:eastAsia="en-US"/>
        </w:rPr>
        <w:t xml:space="preserve">responsible </w:t>
      </w:r>
      <w:r w:rsidRPr="00245C90">
        <w:rPr>
          <w:bCs/>
          <w:lang w:val="en-US" w:eastAsia="en-US"/>
        </w:rPr>
        <w:t>J</w:t>
      </w:r>
      <w:r w:rsidR="00641865" w:rsidRPr="00245C90">
        <w:rPr>
          <w:bCs/>
          <w:lang w:val="en-US" w:eastAsia="en-US"/>
        </w:rPr>
        <w:t xml:space="preserve">udge </w:t>
      </w:r>
      <w:r w:rsidRPr="00245C90">
        <w:rPr>
          <w:bCs/>
          <w:lang w:val="en-US" w:eastAsia="en-US"/>
        </w:rPr>
        <w:t>P</w:t>
      </w:r>
      <w:r w:rsidR="00641865" w:rsidRPr="00245C90">
        <w:rPr>
          <w:bCs/>
          <w:lang w:val="en-US" w:eastAsia="en-US"/>
        </w:rPr>
        <w:t>resident</w:t>
      </w:r>
      <w:r w:rsidRPr="00245C90">
        <w:rPr>
          <w:bCs/>
          <w:lang w:val="en-US" w:eastAsia="en-US"/>
        </w:rPr>
        <w:t xml:space="preserve"> will also assist </w:t>
      </w:r>
      <w:r w:rsidR="00641865" w:rsidRPr="00245C90">
        <w:rPr>
          <w:bCs/>
          <w:lang w:val="en-US" w:eastAsia="en-US"/>
        </w:rPr>
        <w:t>to improve performance.</w:t>
      </w:r>
      <w:r w:rsidRPr="00245C90">
        <w:rPr>
          <w:bCs/>
          <w:lang w:val="en-US" w:eastAsia="en-US"/>
        </w:rPr>
        <w:t xml:space="preserve"> </w:t>
      </w:r>
    </w:p>
    <w:p w:rsidR="007D6B21" w:rsidRPr="00245C90" w:rsidRDefault="007D6B21" w:rsidP="00245C90">
      <w:pPr>
        <w:numPr>
          <w:ilvl w:val="0"/>
          <w:numId w:val="28"/>
        </w:numPr>
        <w:autoSpaceDE w:val="0"/>
        <w:autoSpaceDN w:val="0"/>
        <w:adjustRightInd w:val="0"/>
        <w:spacing w:line="360" w:lineRule="auto"/>
        <w:ind w:left="1276" w:hanging="425"/>
        <w:jc w:val="both"/>
        <w:rPr>
          <w:bCs/>
          <w:lang w:val="en-US"/>
        </w:rPr>
      </w:pPr>
      <w:r w:rsidRPr="00245C90">
        <w:rPr>
          <w:bCs/>
          <w:lang w:val="en-US" w:eastAsia="en-US"/>
        </w:rPr>
        <w:t xml:space="preserve">In the Specialised Courts, the following can be noted: Performance relating to the finalisation of land claims cases improved in the </w:t>
      </w:r>
      <w:r w:rsidR="00641865" w:rsidRPr="00245C90">
        <w:rPr>
          <w:bCs/>
          <w:lang w:val="en-US" w:eastAsia="en-US"/>
        </w:rPr>
        <w:t>Fourth Quarter</w:t>
      </w:r>
      <w:r w:rsidRPr="00245C90">
        <w:rPr>
          <w:bCs/>
          <w:lang w:val="en-US" w:eastAsia="en-US"/>
        </w:rPr>
        <w:t>. The challenge</w:t>
      </w:r>
      <w:r w:rsidR="00220762" w:rsidRPr="00245C90">
        <w:rPr>
          <w:bCs/>
          <w:lang w:val="en-US" w:eastAsia="en-US"/>
        </w:rPr>
        <w:t>s</w:t>
      </w:r>
      <w:r w:rsidR="00AD29FA" w:rsidRPr="00245C90">
        <w:rPr>
          <w:bCs/>
          <w:lang w:val="en-US" w:eastAsia="en-US"/>
        </w:rPr>
        <w:t xml:space="preserve"> identified </w:t>
      </w:r>
      <w:r w:rsidR="00A9386F">
        <w:rPr>
          <w:bCs/>
          <w:lang w:val="en-US" w:eastAsia="en-US"/>
        </w:rPr>
        <w:t xml:space="preserve">in the Land Claims Court </w:t>
      </w:r>
      <w:r w:rsidR="00AD29FA" w:rsidRPr="00245C90">
        <w:rPr>
          <w:bCs/>
          <w:lang w:val="en-US" w:eastAsia="en-US"/>
        </w:rPr>
        <w:t>relate</w:t>
      </w:r>
      <w:r w:rsidRPr="00245C90">
        <w:rPr>
          <w:bCs/>
          <w:lang w:val="en-US" w:eastAsia="en-US"/>
        </w:rPr>
        <w:t xml:space="preserve"> to dependencies on other stakeholders</w:t>
      </w:r>
      <w:r w:rsidR="00220762" w:rsidRPr="00245C90">
        <w:rPr>
          <w:bCs/>
          <w:lang w:val="en-US" w:eastAsia="en-US"/>
        </w:rPr>
        <w:t xml:space="preserve">, </w:t>
      </w:r>
      <w:r w:rsidRPr="00245C90">
        <w:rPr>
          <w:bCs/>
          <w:lang w:val="en-US" w:eastAsia="en-US"/>
        </w:rPr>
        <w:t>the parties’ unpreparedness</w:t>
      </w:r>
      <w:r w:rsidR="00220762" w:rsidRPr="00245C90">
        <w:rPr>
          <w:bCs/>
          <w:lang w:val="en-US" w:eastAsia="en-US"/>
        </w:rPr>
        <w:t>;</w:t>
      </w:r>
      <w:r w:rsidRPr="00245C90">
        <w:rPr>
          <w:bCs/>
          <w:lang w:val="en-US" w:eastAsia="en-US"/>
        </w:rPr>
        <w:t xml:space="preserve"> and difficulties securing evidence and expert reports.</w:t>
      </w:r>
      <w:r w:rsidR="00F7559A" w:rsidRPr="00245C90">
        <w:rPr>
          <w:bCs/>
          <w:lang w:val="en-US" w:eastAsia="en-US"/>
        </w:rPr>
        <w:t xml:space="preserve"> Improved performance in the</w:t>
      </w:r>
      <w:r w:rsidR="00260B56" w:rsidRPr="00245C90">
        <w:rPr>
          <w:bCs/>
          <w:lang w:val="en-US" w:eastAsia="en-US"/>
        </w:rPr>
        <w:t xml:space="preserve"> </w:t>
      </w:r>
      <w:r w:rsidR="00A9386F">
        <w:rPr>
          <w:bCs/>
          <w:lang w:val="en-US" w:eastAsia="en-US"/>
        </w:rPr>
        <w:t>S</w:t>
      </w:r>
      <w:r w:rsidR="00260B56" w:rsidRPr="00245C90">
        <w:rPr>
          <w:bCs/>
          <w:lang w:val="en-US" w:eastAsia="en-US"/>
        </w:rPr>
        <w:t xml:space="preserve">pecialized </w:t>
      </w:r>
      <w:r w:rsidR="00A9386F">
        <w:rPr>
          <w:bCs/>
          <w:lang w:val="en-US" w:eastAsia="en-US"/>
        </w:rPr>
        <w:t>C</w:t>
      </w:r>
      <w:r w:rsidR="00F7559A" w:rsidRPr="00245C90">
        <w:rPr>
          <w:bCs/>
          <w:lang w:val="en-US" w:eastAsia="en-US"/>
        </w:rPr>
        <w:t xml:space="preserve">ourts is </w:t>
      </w:r>
      <w:r w:rsidR="00260B56" w:rsidRPr="00245C90">
        <w:rPr>
          <w:bCs/>
          <w:lang w:val="en-US" w:eastAsia="en-US"/>
        </w:rPr>
        <w:t xml:space="preserve">once more </w:t>
      </w:r>
      <w:r w:rsidR="00F7559A" w:rsidRPr="00245C90">
        <w:rPr>
          <w:bCs/>
          <w:lang w:val="en-US" w:eastAsia="en-US"/>
        </w:rPr>
        <w:t>observed in the</w:t>
      </w:r>
      <w:r w:rsidR="00F7559A" w:rsidRPr="00245C90">
        <w:rPr>
          <w:bCs/>
          <w:lang w:val="en-US"/>
        </w:rPr>
        <w:t xml:space="preserve"> First Quarter </w:t>
      </w:r>
      <w:r w:rsidR="00641865" w:rsidRPr="00245C90">
        <w:rPr>
          <w:bCs/>
          <w:lang w:val="en-US"/>
        </w:rPr>
        <w:t xml:space="preserve">of </w:t>
      </w:r>
      <w:r w:rsidR="00F7559A" w:rsidRPr="00245C90">
        <w:rPr>
          <w:bCs/>
          <w:lang w:val="en-US"/>
        </w:rPr>
        <w:t xml:space="preserve">2016/17. </w:t>
      </w:r>
    </w:p>
    <w:p w:rsidR="003D7013" w:rsidRPr="00245C90" w:rsidRDefault="003D7013" w:rsidP="00245C90">
      <w:pPr>
        <w:pStyle w:val="ListParagraph"/>
        <w:spacing w:line="360" w:lineRule="auto"/>
        <w:ind w:left="0"/>
        <w:jc w:val="both"/>
        <w:rPr>
          <w:bCs/>
          <w:lang w:val="en-US"/>
        </w:rPr>
      </w:pPr>
    </w:p>
    <w:p w:rsidR="003D7013" w:rsidRPr="00245C90" w:rsidRDefault="003D7013" w:rsidP="00245C90">
      <w:pPr>
        <w:pStyle w:val="ListParagraph"/>
        <w:numPr>
          <w:ilvl w:val="1"/>
          <w:numId w:val="2"/>
        </w:numPr>
        <w:tabs>
          <w:tab w:val="clear" w:pos="862"/>
          <w:tab w:val="num" w:pos="567"/>
        </w:tabs>
        <w:spacing w:line="360" w:lineRule="auto"/>
        <w:ind w:left="567" w:hanging="567"/>
        <w:jc w:val="both"/>
        <w:rPr>
          <w:b/>
          <w:lang w:val="en-US" w:eastAsia="en-US"/>
        </w:rPr>
      </w:pPr>
      <w:r w:rsidRPr="00245C90">
        <w:rPr>
          <w:b/>
          <w:lang w:val="en-US" w:eastAsia="en-US"/>
        </w:rPr>
        <w:t xml:space="preserve">Programme 3: Judicial Education and Support </w:t>
      </w:r>
    </w:p>
    <w:p w:rsidR="003D7013" w:rsidRPr="00245C90" w:rsidRDefault="003D7013" w:rsidP="00245C90">
      <w:pPr>
        <w:autoSpaceDE w:val="0"/>
        <w:autoSpaceDN w:val="0"/>
        <w:adjustRightInd w:val="0"/>
        <w:spacing w:line="360" w:lineRule="auto"/>
        <w:ind w:left="720"/>
        <w:jc w:val="both"/>
        <w:rPr>
          <w:b/>
          <w:lang w:val="en-US" w:eastAsia="en-US"/>
        </w:rPr>
      </w:pPr>
    </w:p>
    <w:p w:rsidR="003D7013" w:rsidRPr="00245C90" w:rsidRDefault="003D7013" w:rsidP="00245C90">
      <w:pPr>
        <w:pStyle w:val="ListParagraph"/>
        <w:numPr>
          <w:ilvl w:val="2"/>
          <w:numId w:val="39"/>
        </w:numPr>
        <w:autoSpaceDE w:val="0"/>
        <w:autoSpaceDN w:val="0"/>
        <w:adjustRightInd w:val="0"/>
        <w:spacing w:line="360" w:lineRule="auto"/>
        <w:jc w:val="both"/>
        <w:rPr>
          <w:bCs/>
          <w:lang w:val="en-US"/>
        </w:rPr>
      </w:pPr>
      <w:r w:rsidRPr="00245C90">
        <w:rPr>
          <w:bCs/>
          <w:lang w:val="en-US"/>
        </w:rPr>
        <w:t xml:space="preserve">Judicial Education and Support provides education programmes to Judicial Officers, including policy development and research services for the optimal administration of justice. </w:t>
      </w:r>
    </w:p>
    <w:p w:rsidR="003D7013" w:rsidRPr="00245C90" w:rsidRDefault="003D7013" w:rsidP="00245C90">
      <w:pPr>
        <w:spacing w:line="360" w:lineRule="auto"/>
        <w:ind w:left="720"/>
        <w:jc w:val="both"/>
        <w:rPr>
          <w:bCs/>
          <w:lang w:val="en-US"/>
        </w:rPr>
      </w:pPr>
    </w:p>
    <w:p w:rsidR="003D7013" w:rsidRPr="00245C90" w:rsidRDefault="003D7013" w:rsidP="00245C90">
      <w:pPr>
        <w:pStyle w:val="ListParagraph"/>
        <w:numPr>
          <w:ilvl w:val="2"/>
          <w:numId w:val="39"/>
        </w:numPr>
        <w:autoSpaceDE w:val="0"/>
        <w:autoSpaceDN w:val="0"/>
        <w:adjustRightInd w:val="0"/>
        <w:spacing w:line="360" w:lineRule="auto"/>
        <w:jc w:val="both"/>
        <w:rPr>
          <w:bCs/>
          <w:lang w:val="en-US"/>
        </w:rPr>
      </w:pPr>
      <w:r w:rsidRPr="00245C90">
        <w:rPr>
          <w:bCs/>
          <w:lang w:val="en-US"/>
        </w:rPr>
        <w:t>The programme has</w:t>
      </w:r>
      <w:r w:rsidR="00641865" w:rsidRPr="00245C90">
        <w:rPr>
          <w:bCs/>
          <w:lang w:val="en-US"/>
        </w:rPr>
        <w:t xml:space="preserve"> the following sub-programmes:</w:t>
      </w:r>
    </w:p>
    <w:p w:rsidR="003D7013" w:rsidRPr="00245C90" w:rsidRDefault="003D7013" w:rsidP="00245C90">
      <w:pPr>
        <w:numPr>
          <w:ilvl w:val="0"/>
          <w:numId w:val="29"/>
        </w:numPr>
        <w:spacing w:line="360" w:lineRule="auto"/>
        <w:jc w:val="both"/>
        <w:rPr>
          <w:bCs/>
          <w:lang w:val="en-US"/>
        </w:rPr>
      </w:pPr>
      <w:r w:rsidRPr="00245C90">
        <w:rPr>
          <w:bCs/>
        </w:rPr>
        <w:t>The South African Judicial Education Institute (SAJEI) provides judicial education for Judicial Officers and training of aspirant Judicial Officers.</w:t>
      </w:r>
    </w:p>
    <w:p w:rsidR="003D7013" w:rsidRPr="00245C90" w:rsidRDefault="003D7013" w:rsidP="00245C90">
      <w:pPr>
        <w:numPr>
          <w:ilvl w:val="0"/>
          <w:numId w:val="29"/>
        </w:numPr>
        <w:spacing w:line="360" w:lineRule="auto"/>
        <w:jc w:val="both"/>
        <w:rPr>
          <w:bCs/>
          <w:lang w:val="en-US"/>
        </w:rPr>
      </w:pPr>
      <w:r w:rsidRPr="00245C90">
        <w:rPr>
          <w:bCs/>
        </w:rPr>
        <w:t>The Judicial Policy and Research subprogramme provides advisory opinions on policy development, research and regulatory support services to enhance the functioning of the Judiciary.</w:t>
      </w:r>
    </w:p>
    <w:p w:rsidR="003D7013" w:rsidRPr="00245C90" w:rsidRDefault="003D7013" w:rsidP="00245C90">
      <w:pPr>
        <w:spacing w:line="360" w:lineRule="auto"/>
        <w:ind w:left="720"/>
        <w:jc w:val="both"/>
        <w:rPr>
          <w:b/>
          <w:bCs/>
          <w:lang w:val="en-US"/>
        </w:rPr>
      </w:pPr>
    </w:p>
    <w:p w:rsidR="003D7013" w:rsidRPr="00245C90" w:rsidRDefault="008E1659" w:rsidP="00245C90">
      <w:pPr>
        <w:pStyle w:val="ListParagraph"/>
        <w:numPr>
          <w:ilvl w:val="2"/>
          <w:numId w:val="39"/>
        </w:numPr>
        <w:autoSpaceDE w:val="0"/>
        <w:autoSpaceDN w:val="0"/>
        <w:adjustRightInd w:val="0"/>
        <w:spacing w:line="360" w:lineRule="auto"/>
        <w:jc w:val="both"/>
        <w:rPr>
          <w:bCs/>
          <w:lang w:val="en-US"/>
        </w:rPr>
      </w:pPr>
      <w:r w:rsidRPr="00245C90">
        <w:rPr>
          <w:bCs/>
          <w:lang w:val="en-US"/>
        </w:rPr>
        <w:t>The programme met 1 of 3 or 33% of its indicators for 2015/16</w:t>
      </w:r>
      <w:r w:rsidR="003D7013" w:rsidRPr="00245C90">
        <w:rPr>
          <w:bCs/>
          <w:lang w:val="en-US"/>
        </w:rPr>
        <w:t xml:space="preserve">: </w:t>
      </w:r>
    </w:p>
    <w:p w:rsidR="003D7013" w:rsidRPr="00245C90" w:rsidRDefault="003D7013" w:rsidP="00245C90">
      <w:pPr>
        <w:spacing w:line="360" w:lineRule="auto"/>
        <w:jc w:val="both"/>
        <w:rPr>
          <w:bCs/>
          <w:lang w:val="en-ZA"/>
        </w:rPr>
      </w:pPr>
    </w:p>
    <w:p w:rsidR="003D7013" w:rsidRPr="00245C90" w:rsidRDefault="003D7013" w:rsidP="00245C90">
      <w:pPr>
        <w:pStyle w:val="ListParagraph"/>
        <w:spacing w:line="360" w:lineRule="auto"/>
        <w:ind w:left="0"/>
        <w:jc w:val="both"/>
        <w:rPr>
          <w:b/>
          <w:bCs/>
          <w:iCs/>
          <w:lang w:val="en-ZA" w:eastAsia="en-ZA"/>
        </w:rPr>
      </w:pPr>
      <w:r w:rsidRPr="00245C90">
        <w:rPr>
          <w:b/>
          <w:bCs/>
          <w:lang w:val="en-ZA"/>
        </w:rPr>
        <w:t xml:space="preserve">Table </w:t>
      </w:r>
      <w:r w:rsidR="00641865" w:rsidRPr="00245C90">
        <w:rPr>
          <w:b/>
          <w:bCs/>
          <w:lang w:val="en-ZA"/>
        </w:rPr>
        <w:t>4</w:t>
      </w:r>
      <w:r w:rsidRPr="00245C90">
        <w:rPr>
          <w:b/>
          <w:bCs/>
          <w:lang w:val="en-ZA"/>
        </w:rPr>
        <w:t>:</w:t>
      </w:r>
      <w:r w:rsidRPr="00245C90">
        <w:rPr>
          <w:bCs/>
          <w:lang w:val="en-ZA"/>
        </w:rPr>
        <w:t xml:space="preserve"> </w:t>
      </w:r>
      <w:r w:rsidRPr="00245C90">
        <w:rPr>
          <w:b/>
          <w:lang w:val="en-US" w:eastAsia="en-US"/>
        </w:rPr>
        <w:t xml:space="preserve">Judicial Education and Support - </w:t>
      </w:r>
      <w:r w:rsidRPr="00245C90">
        <w:rPr>
          <w:b/>
          <w:bCs/>
          <w:iCs/>
          <w:lang w:val="en-ZA" w:eastAsia="en-ZA"/>
        </w:rPr>
        <w:t>Performance indicators and annual targets</w:t>
      </w:r>
    </w:p>
    <w:p w:rsidR="00641865" w:rsidRPr="00245C90" w:rsidRDefault="00641865" w:rsidP="00245C90">
      <w:pPr>
        <w:pStyle w:val="ListParagraph"/>
        <w:spacing w:line="360" w:lineRule="auto"/>
        <w:ind w:left="0"/>
        <w:jc w:val="both"/>
        <w:rPr>
          <w:bCs/>
          <w:lang w:val="en-US"/>
        </w:rPr>
      </w:pPr>
    </w:p>
    <w:tbl>
      <w:tblPr>
        <w:tblpPr w:leftFromText="180" w:rightFromText="180" w:vertAnchor="text" w:horzAnchor="margin" w:tblpY="113"/>
        <w:tblW w:w="0" w:type="auto"/>
        <w:tblBorders>
          <w:top w:val="nil"/>
          <w:left w:val="nil"/>
          <w:bottom w:val="nil"/>
          <w:right w:val="nil"/>
        </w:tblBorders>
        <w:tblLook w:val="0000" w:firstRow="0" w:lastRow="0" w:firstColumn="0" w:lastColumn="0" w:noHBand="0" w:noVBand="0"/>
      </w:tblPr>
      <w:tblGrid>
        <w:gridCol w:w="3908"/>
        <w:gridCol w:w="2159"/>
        <w:gridCol w:w="2365"/>
      </w:tblGrid>
      <w:tr w:rsidR="00636CC2" w:rsidRPr="00245C90" w:rsidTr="00641865">
        <w:trPr>
          <w:trHeight w:val="58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0365" w:rsidRPr="00245C90" w:rsidRDefault="00C40365" w:rsidP="00245C90">
            <w:pPr>
              <w:autoSpaceDE w:val="0"/>
              <w:autoSpaceDN w:val="0"/>
              <w:adjustRightInd w:val="0"/>
              <w:spacing w:line="360" w:lineRule="auto"/>
              <w:jc w:val="both"/>
              <w:rPr>
                <w:b/>
                <w:lang w:val="en-ZA" w:eastAsia="en-ZA"/>
              </w:rPr>
            </w:pPr>
            <w:r w:rsidRPr="00245C90">
              <w:rPr>
                <w:b/>
                <w:lang w:val="en-ZA" w:eastAsia="en-ZA"/>
              </w:rPr>
              <w:t>Performance indicators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1865" w:rsidRPr="00245C90" w:rsidRDefault="00641865" w:rsidP="00245C90">
            <w:pPr>
              <w:autoSpaceDE w:val="0"/>
              <w:autoSpaceDN w:val="0"/>
              <w:adjustRightInd w:val="0"/>
              <w:spacing w:line="360" w:lineRule="auto"/>
              <w:jc w:val="both"/>
              <w:rPr>
                <w:b/>
                <w:lang w:val="en-ZA" w:eastAsia="en-ZA"/>
              </w:rPr>
            </w:pPr>
            <w:r w:rsidRPr="00245C90">
              <w:rPr>
                <w:b/>
                <w:lang w:val="en-ZA" w:eastAsia="en-ZA"/>
              </w:rPr>
              <w:t>Performance</w:t>
            </w:r>
          </w:p>
          <w:p w:rsidR="00C40365" w:rsidRPr="00245C90" w:rsidRDefault="00C40365" w:rsidP="00245C90">
            <w:pPr>
              <w:autoSpaceDE w:val="0"/>
              <w:autoSpaceDN w:val="0"/>
              <w:adjustRightInd w:val="0"/>
              <w:spacing w:line="360" w:lineRule="auto"/>
              <w:jc w:val="both"/>
              <w:rPr>
                <w:b/>
                <w:lang w:val="en-ZA" w:eastAsia="en-ZA"/>
              </w:rPr>
            </w:pPr>
            <w:r w:rsidRPr="00245C90">
              <w:rPr>
                <w:b/>
                <w:lang w:val="en-ZA" w:eastAsia="en-ZA"/>
              </w:rPr>
              <w:t>2015/16</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1865" w:rsidRPr="00245C90" w:rsidRDefault="00641865" w:rsidP="00245C90">
            <w:pPr>
              <w:autoSpaceDE w:val="0"/>
              <w:autoSpaceDN w:val="0"/>
              <w:adjustRightInd w:val="0"/>
              <w:spacing w:line="360" w:lineRule="auto"/>
              <w:jc w:val="both"/>
              <w:rPr>
                <w:b/>
                <w:lang w:val="en-ZA" w:eastAsia="en-ZA"/>
              </w:rPr>
            </w:pPr>
            <w:r w:rsidRPr="00245C90">
              <w:rPr>
                <w:b/>
                <w:lang w:val="en-ZA" w:eastAsia="en-ZA"/>
              </w:rPr>
              <w:t xml:space="preserve">Performance </w:t>
            </w:r>
          </w:p>
          <w:p w:rsidR="00C40365" w:rsidRPr="00245C90" w:rsidRDefault="00C40365" w:rsidP="00245C90">
            <w:pPr>
              <w:autoSpaceDE w:val="0"/>
              <w:autoSpaceDN w:val="0"/>
              <w:adjustRightInd w:val="0"/>
              <w:spacing w:line="360" w:lineRule="auto"/>
              <w:jc w:val="both"/>
              <w:rPr>
                <w:b/>
                <w:lang w:val="en-ZA" w:eastAsia="en-ZA"/>
              </w:rPr>
            </w:pPr>
            <w:r w:rsidRPr="00245C90">
              <w:rPr>
                <w:b/>
                <w:lang w:val="en-ZA" w:eastAsia="en-ZA"/>
              </w:rPr>
              <w:t>First Quarter 2016/17</w:t>
            </w:r>
          </w:p>
        </w:tc>
      </w:tr>
      <w:tr w:rsidR="00636CC2" w:rsidRPr="00245C90" w:rsidTr="00641865">
        <w:trPr>
          <w:trHeight w:val="585"/>
        </w:trPr>
        <w:tc>
          <w:tcPr>
            <w:tcW w:w="0" w:type="auto"/>
            <w:tcBorders>
              <w:top w:val="single" w:sz="4" w:space="0" w:color="auto"/>
              <w:left w:val="single" w:sz="4" w:space="0" w:color="auto"/>
              <w:bottom w:val="single" w:sz="4" w:space="0" w:color="auto"/>
              <w:right w:val="single" w:sz="4" w:space="0" w:color="auto"/>
            </w:tcBorders>
          </w:tcPr>
          <w:p w:rsidR="00C40365" w:rsidRPr="00245C90" w:rsidRDefault="00C40365" w:rsidP="00245C90">
            <w:pPr>
              <w:autoSpaceDE w:val="0"/>
              <w:autoSpaceDN w:val="0"/>
              <w:adjustRightInd w:val="0"/>
              <w:spacing w:line="360" w:lineRule="auto"/>
              <w:jc w:val="both"/>
              <w:rPr>
                <w:lang w:val="en-ZA" w:eastAsia="en-ZA"/>
              </w:rPr>
            </w:pPr>
            <w:r w:rsidRPr="00245C90">
              <w:rPr>
                <w:lang w:val="en-ZA" w:eastAsia="en-ZA"/>
              </w:rPr>
              <w:t xml:space="preserve">No. judicial </w:t>
            </w:r>
            <w:r w:rsidR="00636CC2" w:rsidRPr="00245C90">
              <w:rPr>
                <w:lang w:val="en-ZA" w:eastAsia="en-ZA"/>
              </w:rPr>
              <w:t xml:space="preserve">education </w:t>
            </w:r>
            <w:r w:rsidRPr="00245C90">
              <w:rPr>
                <w:lang w:val="en-ZA" w:eastAsia="en-ZA"/>
              </w:rPr>
              <w:t>courses conducted</w:t>
            </w:r>
          </w:p>
        </w:tc>
        <w:tc>
          <w:tcPr>
            <w:tcW w:w="0" w:type="auto"/>
            <w:tcBorders>
              <w:top w:val="single" w:sz="4" w:space="0" w:color="auto"/>
              <w:left w:val="single" w:sz="4" w:space="0" w:color="auto"/>
              <w:bottom w:val="single" w:sz="4" w:space="0" w:color="auto"/>
              <w:right w:val="single" w:sz="4" w:space="0" w:color="auto"/>
            </w:tcBorders>
          </w:tcPr>
          <w:p w:rsidR="00636CC2" w:rsidRPr="007949CD" w:rsidRDefault="00636CC2" w:rsidP="00245C90">
            <w:pPr>
              <w:autoSpaceDE w:val="0"/>
              <w:autoSpaceDN w:val="0"/>
              <w:adjustRightInd w:val="0"/>
              <w:spacing w:line="360" w:lineRule="auto"/>
              <w:jc w:val="both"/>
              <w:rPr>
                <w:b/>
                <w:caps/>
                <w:lang w:val="en-ZA" w:eastAsia="en-ZA"/>
              </w:rPr>
            </w:pPr>
            <w:r w:rsidRPr="007949CD">
              <w:rPr>
                <w:b/>
                <w:caps/>
                <w:lang w:val="en-ZA" w:eastAsia="en-ZA"/>
              </w:rPr>
              <w:t>Not achieved</w:t>
            </w:r>
          </w:p>
          <w:p w:rsidR="00C40365" w:rsidRPr="00245C90" w:rsidRDefault="00636CC2" w:rsidP="00245C90">
            <w:pPr>
              <w:autoSpaceDE w:val="0"/>
              <w:autoSpaceDN w:val="0"/>
              <w:adjustRightInd w:val="0"/>
              <w:spacing w:line="360" w:lineRule="auto"/>
              <w:jc w:val="both"/>
              <w:rPr>
                <w:lang w:val="en-ZA" w:eastAsia="en-ZA"/>
              </w:rPr>
            </w:pPr>
            <w:r w:rsidRPr="00245C90">
              <w:rPr>
                <w:lang w:val="en-ZA" w:eastAsia="en-ZA"/>
              </w:rPr>
              <w:t>59 against a target of 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365" w:rsidRPr="007949CD" w:rsidRDefault="00636CC2" w:rsidP="00245C90">
            <w:pPr>
              <w:autoSpaceDE w:val="0"/>
              <w:autoSpaceDN w:val="0"/>
              <w:adjustRightInd w:val="0"/>
              <w:spacing w:line="360" w:lineRule="auto"/>
              <w:jc w:val="both"/>
              <w:rPr>
                <w:b/>
                <w:lang w:val="en-ZA" w:eastAsia="en-ZA"/>
              </w:rPr>
            </w:pPr>
            <w:r w:rsidRPr="007949CD">
              <w:rPr>
                <w:b/>
                <w:lang w:val="en-ZA" w:eastAsia="en-ZA"/>
              </w:rPr>
              <w:t>EXCEEDED</w:t>
            </w:r>
          </w:p>
          <w:p w:rsidR="00636CC2" w:rsidRPr="00245C90" w:rsidRDefault="00636CC2" w:rsidP="00245C90">
            <w:pPr>
              <w:autoSpaceDE w:val="0"/>
              <w:autoSpaceDN w:val="0"/>
              <w:adjustRightInd w:val="0"/>
              <w:spacing w:line="360" w:lineRule="auto"/>
              <w:jc w:val="both"/>
              <w:rPr>
                <w:lang w:val="en-ZA" w:eastAsia="en-ZA"/>
              </w:rPr>
            </w:pPr>
            <w:r w:rsidRPr="00245C90">
              <w:rPr>
                <w:lang w:val="en-ZA" w:eastAsia="en-ZA"/>
              </w:rPr>
              <w:t>9 against a quarterly target of 5 and annual target of 70</w:t>
            </w:r>
          </w:p>
        </w:tc>
      </w:tr>
      <w:tr w:rsidR="00636CC2" w:rsidRPr="00245C90" w:rsidTr="00641865">
        <w:trPr>
          <w:trHeight w:val="585"/>
        </w:trPr>
        <w:tc>
          <w:tcPr>
            <w:tcW w:w="0" w:type="auto"/>
            <w:tcBorders>
              <w:top w:val="single" w:sz="4" w:space="0" w:color="auto"/>
              <w:left w:val="single" w:sz="4" w:space="0" w:color="auto"/>
              <w:bottom w:val="single" w:sz="4" w:space="0" w:color="auto"/>
              <w:right w:val="single" w:sz="4" w:space="0" w:color="auto"/>
            </w:tcBorders>
          </w:tcPr>
          <w:p w:rsidR="00C40365" w:rsidRPr="00245C90" w:rsidRDefault="00C40365" w:rsidP="00245C90">
            <w:pPr>
              <w:autoSpaceDE w:val="0"/>
              <w:autoSpaceDN w:val="0"/>
              <w:adjustRightInd w:val="0"/>
              <w:spacing w:line="360" w:lineRule="auto"/>
              <w:jc w:val="both"/>
              <w:rPr>
                <w:lang w:val="en-ZA" w:eastAsia="en-ZA"/>
              </w:rPr>
            </w:pPr>
            <w:r w:rsidRPr="00245C90">
              <w:rPr>
                <w:lang w:val="en-ZA" w:eastAsia="en-ZA"/>
              </w:rPr>
              <w:t xml:space="preserve">% disclosure for Judges Registrable interest </w:t>
            </w:r>
          </w:p>
        </w:tc>
        <w:tc>
          <w:tcPr>
            <w:tcW w:w="0" w:type="auto"/>
            <w:tcBorders>
              <w:top w:val="single" w:sz="4" w:space="0" w:color="auto"/>
              <w:left w:val="single" w:sz="4" w:space="0" w:color="auto"/>
              <w:bottom w:val="single" w:sz="4" w:space="0" w:color="auto"/>
              <w:right w:val="single" w:sz="4" w:space="0" w:color="auto"/>
            </w:tcBorders>
          </w:tcPr>
          <w:p w:rsidR="00636CC2" w:rsidRPr="007949CD" w:rsidRDefault="00636CC2" w:rsidP="00245C90">
            <w:pPr>
              <w:autoSpaceDE w:val="0"/>
              <w:autoSpaceDN w:val="0"/>
              <w:adjustRightInd w:val="0"/>
              <w:spacing w:line="360" w:lineRule="auto"/>
              <w:jc w:val="both"/>
              <w:rPr>
                <w:b/>
                <w:lang w:val="en-ZA" w:eastAsia="en-ZA"/>
              </w:rPr>
            </w:pPr>
            <w:r w:rsidRPr="007949CD">
              <w:rPr>
                <w:b/>
                <w:lang w:val="en-ZA" w:eastAsia="en-ZA"/>
              </w:rPr>
              <w:t>NOT ACHIEVED</w:t>
            </w:r>
          </w:p>
          <w:p w:rsidR="00C40365" w:rsidRPr="00245C90" w:rsidRDefault="00C40365" w:rsidP="00245C90">
            <w:pPr>
              <w:autoSpaceDE w:val="0"/>
              <w:autoSpaceDN w:val="0"/>
              <w:adjustRightInd w:val="0"/>
              <w:spacing w:line="360" w:lineRule="auto"/>
              <w:jc w:val="both"/>
              <w:rPr>
                <w:lang w:val="en-ZA" w:eastAsia="en-ZA"/>
              </w:rPr>
            </w:pPr>
            <w:r w:rsidRPr="00245C90">
              <w:rPr>
                <w:lang w:val="en-ZA" w:eastAsia="en-ZA"/>
              </w:rPr>
              <w:t>99.6% (241 of 242) against a target of 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365" w:rsidRPr="00245C90" w:rsidRDefault="00636CC2" w:rsidP="00245C90">
            <w:pPr>
              <w:autoSpaceDE w:val="0"/>
              <w:autoSpaceDN w:val="0"/>
              <w:adjustRightInd w:val="0"/>
              <w:spacing w:line="360" w:lineRule="auto"/>
              <w:jc w:val="both"/>
              <w:rPr>
                <w:lang w:val="en-ZA" w:eastAsia="en-ZA"/>
              </w:rPr>
            </w:pPr>
            <w:r w:rsidRPr="00245C90">
              <w:rPr>
                <w:lang w:val="en-ZA" w:eastAsia="en-ZA"/>
              </w:rPr>
              <w:t>-</w:t>
            </w:r>
          </w:p>
        </w:tc>
      </w:tr>
      <w:tr w:rsidR="00636CC2" w:rsidRPr="00245C90" w:rsidTr="00641865">
        <w:trPr>
          <w:trHeight w:val="647"/>
        </w:trPr>
        <w:tc>
          <w:tcPr>
            <w:tcW w:w="0" w:type="auto"/>
            <w:tcBorders>
              <w:top w:val="single" w:sz="4" w:space="0" w:color="auto"/>
              <w:left w:val="single" w:sz="4" w:space="0" w:color="auto"/>
              <w:bottom w:val="single" w:sz="4" w:space="0" w:color="auto"/>
              <w:right w:val="single" w:sz="4" w:space="0" w:color="auto"/>
            </w:tcBorders>
          </w:tcPr>
          <w:p w:rsidR="00C40365" w:rsidRPr="00245C90" w:rsidRDefault="00C40365" w:rsidP="00245C90">
            <w:pPr>
              <w:pStyle w:val="Default"/>
              <w:spacing w:line="360" w:lineRule="auto"/>
              <w:jc w:val="both"/>
              <w:rPr>
                <w:rFonts w:ascii="Times New Roman" w:hAnsi="Times New Roman" w:cs="Times New Roman"/>
              </w:rPr>
            </w:pPr>
            <w:r w:rsidRPr="00245C90">
              <w:rPr>
                <w:rFonts w:ascii="Times New Roman" w:hAnsi="Times New Roman" w:cs="Times New Roman"/>
              </w:rPr>
              <w:t xml:space="preserve">No. of legal advisory opinions on policy development and regulatory services provided </w:t>
            </w:r>
            <w:r w:rsidR="00636CC2" w:rsidRPr="00245C90">
              <w:rPr>
                <w:rFonts w:ascii="Times New Roman" w:hAnsi="Times New Roman" w:cs="Times New Roman"/>
              </w:rPr>
              <w:t>(Revised 2016/17: within 15 days of receipt)</w:t>
            </w:r>
          </w:p>
        </w:tc>
        <w:tc>
          <w:tcPr>
            <w:tcW w:w="0" w:type="auto"/>
            <w:tcBorders>
              <w:top w:val="single" w:sz="4" w:space="0" w:color="auto"/>
              <w:left w:val="single" w:sz="4" w:space="0" w:color="auto"/>
              <w:bottom w:val="single" w:sz="4" w:space="0" w:color="auto"/>
              <w:right w:val="single" w:sz="4" w:space="0" w:color="auto"/>
            </w:tcBorders>
          </w:tcPr>
          <w:p w:rsidR="00C40365" w:rsidRPr="007949CD" w:rsidRDefault="00636CC2" w:rsidP="00245C90">
            <w:pPr>
              <w:autoSpaceDE w:val="0"/>
              <w:autoSpaceDN w:val="0"/>
              <w:adjustRightInd w:val="0"/>
              <w:spacing w:line="360" w:lineRule="auto"/>
              <w:jc w:val="both"/>
              <w:rPr>
                <w:b/>
                <w:lang w:val="en-ZA" w:eastAsia="en-ZA"/>
              </w:rPr>
            </w:pPr>
            <w:r w:rsidRPr="007949CD">
              <w:rPr>
                <w:b/>
                <w:lang w:val="en-ZA" w:eastAsia="en-ZA"/>
              </w:rPr>
              <w:t>EXCEEDED</w:t>
            </w:r>
          </w:p>
          <w:p w:rsidR="00636CC2" w:rsidRPr="00245C90" w:rsidRDefault="00636CC2" w:rsidP="00245C90">
            <w:pPr>
              <w:autoSpaceDE w:val="0"/>
              <w:autoSpaceDN w:val="0"/>
              <w:adjustRightInd w:val="0"/>
              <w:spacing w:line="360" w:lineRule="auto"/>
              <w:jc w:val="both"/>
              <w:rPr>
                <w:lang w:val="en-ZA" w:eastAsia="en-ZA"/>
              </w:rPr>
            </w:pPr>
            <w:r w:rsidRPr="00245C90">
              <w:rPr>
                <w:lang w:val="en-ZA" w:eastAsia="en-ZA"/>
              </w:rPr>
              <w:t>38 against a target of 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365" w:rsidRPr="007949CD" w:rsidRDefault="00636CC2" w:rsidP="00245C90">
            <w:pPr>
              <w:autoSpaceDE w:val="0"/>
              <w:autoSpaceDN w:val="0"/>
              <w:adjustRightInd w:val="0"/>
              <w:spacing w:line="360" w:lineRule="auto"/>
              <w:jc w:val="both"/>
              <w:rPr>
                <w:b/>
                <w:lang w:val="en-ZA" w:eastAsia="en-ZA"/>
              </w:rPr>
            </w:pPr>
            <w:r w:rsidRPr="007949CD">
              <w:rPr>
                <w:b/>
                <w:lang w:val="en-ZA" w:eastAsia="en-ZA"/>
              </w:rPr>
              <w:t>EXCEEDED</w:t>
            </w:r>
          </w:p>
          <w:p w:rsidR="00636CC2" w:rsidRPr="00245C90" w:rsidRDefault="00636CC2" w:rsidP="00245C90">
            <w:pPr>
              <w:autoSpaceDE w:val="0"/>
              <w:autoSpaceDN w:val="0"/>
              <w:adjustRightInd w:val="0"/>
              <w:spacing w:line="360" w:lineRule="auto"/>
              <w:jc w:val="both"/>
              <w:rPr>
                <w:lang w:val="en-ZA" w:eastAsia="en-ZA"/>
              </w:rPr>
            </w:pPr>
            <w:r w:rsidRPr="00245C90">
              <w:rPr>
                <w:lang w:val="en-ZA" w:eastAsia="en-ZA"/>
              </w:rPr>
              <w:t>100% against quarterly and annual target of 80%</w:t>
            </w:r>
          </w:p>
        </w:tc>
      </w:tr>
    </w:tbl>
    <w:p w:rsidR="003D7013" w:rsidRPr="00245C90" w:rsidRDefault="003D7013" w:rsidP="00245C90">
      <w:pPr>
        <w:spacing w:line="360" w:lineRule="auto"/>
        <w:jc w:val="both"/>
      </w:pPr>
    </w:p>
    <w:p w:rsidR="007D6B21" w:rsidRPr="00245C90" w:rsidRDefault="00220762" w:rsidP="00245C90">
      <w:pPr>
        <w:pStyle w:val="ListParagraph"/>
        <w:numPr>
          <w:ilvl w:val="2"/>
          <w:numId w:val="39"/>
        </w:numPr>
        <w:autoSpaceDE w:val="0"/>
        <w:autoSpaceDN w:val="0"/>
        <w:adjustRightInd w:val="0"/>
        <w:spacing w:line="360" w:lineRule="auto"/>
        <w:jc w:val="both"/>
        <w:rPr>
          <w:lang w:val="en-US"/>
        </w:rPr>
      </w:pPr>
      <w:r w:rsidRPr="00245C90">
        <w:rPr>
          <w:lang w:val="en-US"/>
        </w:rPr>
        <w:t>Key issues emerging</w:t>
      </w:r>
      <w:r w:rsidR="008125D0" w:rsidRPr="00245C90">
        <w:rPr>
          <w:lang w:val="en-US"/>
        </w:rPr>
        <w:t>:</w:t>
      </w:r>
    </w:p>
    <w:p w:rsidR="007D6B21" w:rsidRPr="00245C90" w:rsidRDefault="00641865" w:rsidP="00245C90">
      <w:pPr>
        <w:numPr>
          <w:ilvl w:val="0"/>
          <w:numId w:val="29"/>
        </w:numPr>
        <w:spacing w:line="360" w:lineRule="auto"/>
        <w:jc w:val="both"/>
        <w:rPr>
          <w:bCs/>
        </w:rPr>
      </w:pPr>
      <w:r w:rsidRPr="00245C90">
        <w:rPr>
          <w:bCs/>
        </w:rPr>
        <w:t>Although the target</w:t>
      </w:r>
      <w:r w:rsidR="00A9386F">
        <w:rPr>
          <w:bCs/>
        </w:rPr>
        <w:t>s</w:t>
      </w:r>
      <w:r w:rsidR="007D6B21" w:rsidRPr="00245C90">
        <w:rPr>
          <w:bCs/>
        </w:rPr>
        <w:t xml:space="preserve"> relating to judicial training were met, the planned training took place in the final Quarter of </w:t>
      </w:r>
      <w:r w:rsidRPr="00245C90">
        <w:rPr>
          <w:bCs/>
        </w:rPr>
        <w:t>2015/16</w:t>
      </w:r>
      <w:r w:rsidR="007D6B21" w:rsidRPr="00245C90">
        <w:rPr>
          <w:bCs/>
        </w:rPr>
        <w:t>. The reasons given for the underperformance during the year were</w:t>
      </w:r>
      <w:r w:rsidRPr="00245C90">
        <w:rPr>
          <w:bCs/>
        </w:rPr>
        <w:t xml:space="preserve">: </w:t>
      </w:r>
      <w:r w:rsidR="00A9386F">
        <w:rPr>
          <w:bCs/>
        </w:rPr>
        <w:t>l</w:t>
      </w:r>
      <w:r w:rsidR="007D6B21" w:rsidRPr="00245C90">
        <w:rPr>
          <w:bCs/>
        </w:rPr>
        <w:t xml:space="preserve">ate and insufficient RSVPs for some courses; late review of training </w:t>
      </w:r>
      <w:r w:rsidRPr="00245C90">
        <w:rPr>
          <w:bCs/>
        </w:rPr>
        <w:t>material</w:t>
      </w:r>
      <w:r w:rsidR="00245C90" w:rsidRPr="00245C90">
        <w:rPr>
          <w:bCs/>
        </w:rPr>
        <w:t xml:space="preserve">; </w:t>
      </w:r>
      <w:r w:rsidR="007D6B21" w:rsidRPr="00245C90">
        <w:rPr>
          <w:bCs/>
        </w:rPr>
        <w:t xml:space="preserve">and the </w:t>
      </w:r>
      <w:r w:rsidR="00245C90" w:rsidRPr="00245C90">
        <w:rPr>
          <w:bCs/>
        </w:rPr>
        <w:t>una</w:t>
      </w:r>
      <w:r w:rsidR="007D6B21" w:rsidRPr="00245C90">
        <w:rPr>
          <w:bCs/>
        </w:rPr>
        <w:t>vailability of facilitators.</w:t>
      </w:r>
    </w:p>
    <w:p w:rsidR="00C40365" w:rsidRPr="00245C90" w:rsidRDefault="00C40365" w:rsidP="00245C90">
      <w:pPr>
        <w:autoSpaceDE w:val="0"/>
        <w:autoSpaceDN w:val="0"/>
        <w:adjustRightInd w:val="0"/>
        <w:spacing w:line="360" w:lineRule="auto"/>
        <w:jc w:val="both"/>
        <w:rPr>
          <w:lang w:val="en-US" w:eastAsia="en-US"/>
        </w:rPr>
      </w:pPr>
    </w:p>
    <w:p w:rsidR="00114870" w:rsidRDefault="00114870" w:rsidP="00245C90">
      <w:pPr>
        <w:autoSpaceDE w:val="0"/>
        <w:autoSpaceDN w:val="0"/>
        <w:adjustRightInd w:val="0"/>
        <w:spacing w:line="360" w:lineRule="auto"/>
        <w:jc w:val="both"/>
        <w:rPr>
          <w:bCs/>
        </w:rPr>
      </w:pPr>
    </w:p>
    <w:p w:rsidR="009F6B0C" w:rsidRDefault="009F6B0C" w:rsidP="00245C90">
      <w:pPr>
        <w:autoSpaceDE w:val="0"/>
        <w:autoSpaceDN w:val="0"/>
        <w:adjustRightInd w:val="0"/>
        <w:spacing w:line="360" w:lineRule="auto"/>
        <w:jc w:val="both"/>
        <w:rPr>
          <w:bCs/>
        </w:rPr>
      </w:pPr>
    </w:p>
    <w:p w:rsidR="009F6B0C" w:rsidRDefault="009F6B0C" w:rsidP="00245C90">
      <w:pPr>
        <w:autoSpaceDE w:val="0"/>
        <w:autoSpaceDN w:val="0"/>
        <w:adjustRightInd w:val="0"/>
        <w:spacing w:line="360" w:lineRule="auto"/>
        <w:jc w:val="both"/>
        <w:rPr>
          <w:bCs/>
        </w:rPr>
      </w:pPr>
    </w:p>
    <w:p w:rsidR="009F6B0C" w:rsidRDefault="009F6B0C" w:rsidP="00245C90">
      <w:pPr>
        <w:autoSpaceDE w:val="0"/>
        <w:autoSpaceDN w:val="0"/>
        <w:adjustRightInd w:val="0"/>
        <w:spacing w:line="360" w:lineRule="auto"/>
        <w:jc w:val="both"/>
        <w:rPr>
          <w:bCs/>
        </w:rPr>
      </w:pPr>
    </w:p>
    <w:p w:rsidR="009F6B0C" w:rsidRPr="00245C90" w:rsidRDefault="009F6B0C" w:rsidP="00245C90">
      <w:pPr>
        <w:autoSpaceDE w:val="0"/>
        <w:autoSpaceDN w:val="0"/>
        <w:adjustRightInd w:val="0"/>
        <w:spacing w:line="360" w:lineRule="auto"/>
        <w:jc w:val="both"/>
        <w:rPr>
          <w:bCs/>
        </w:rPr>
      </w:pPr>
    </w:p>
    <w:p w:rsidR="00C05C71" w:rsidRPr="00245C90" w:rsidRDefault="00C05C71" w:rsidP="00245C90">
      <w:pPr>
        <w:numPr>
          <w:ilvl w:val="0"/>
          <w:numId w:val="37"/>
        </w:numPr>
        <w:spacing w:line="360" w:lineRule="auto"/>
        <w:jc w:val="both"/>
        <w:rPr>
          <w:b/>
          <w:lang w:val="en-ZA"/>
        </w:rPr>
      </w:pPr>
      <w:r w:rsidRPr="00245C90">
        <w:rPr>
          <w:b/>
          <w:lang w:val="en-ZA"/>
        </w:rPr>
        <w:t>Committee’s observations</w:t>
      </w:r>
    </w:p>
    <w:p w:rsidR="00C05C71" w:rsidRPr="00245C90" w:rsidRDefault="00C05C71" w:rsidP="00245C90">
      <w:pPr>
        <w:spacing w:line="360" w:lineRule="auto"/>
        <w:jc w:val="both"/>
      </w:pPr>
    </w:p>
    <w:p w:rsidR="00267EF1" w:rsidRPr="00245C90" w:rsidRDefault="006460DE" w:rsidP="00245C90">
      <w:pPr>
        <w:pStyle w:val="BodySingle"/>
        <w:spacing w:line="360" w:lineRule="auto"/>
        <w:ind w:left="0"/>
        <w:rPr>
          <w:rFonts w:ascii="Times New Roman" w:hAnsi="Times New Roman"/>
          <w:i w:val="0"/>
          <w:sz w:val="24"/>
          <w:szCs w:val="24"/>
        </w:rPr>
      </w:pPr>
      <w:r w:rsidRPr="00245C90">
        <w:rPr>
          <w:rFonts w:ascii="Times New Roman" w:hAnsi="Times New Roman"/>
          <w:i w:val="0"/>
          <w:sz w:val="24"/>
          <w:szCs w:val="24"/>
        </w:rPr>
        <w:t>T</w:t>
      </w:r>
      <w:r w:rsidR="0043520A" w:rsidRPr="00245C90">
        <w:rPr>
          <w:rFonts w:ascii="Times New Roman" w:hAnsi="Times New Roman"/>
          <w:i w:val="0"/>
          <w:sz w:val="24"/>
          <w:szCs w:val="24"/>
        </w:rPr>
        <w:t xml:space="preserve">he Committee makes the following observations: </w:t>
      </w:r>
    </w:p>
    <w:p w:rsidR="00267EF1" w:rsidRPr="00245C90" w:rsidRDefault="00267EF1" w:rsidP="00245C90">
      <w:pPr>
        <w:pStyle w:val="BodySingle"/>
        <w:spacing w:line="360" w:lineRule="auto"/>
        <w:ind w:left="0"/>
        <w:rPr>
          <w:rFonts w:ascii="Times New Roman" w:hAnsi="Times New Roman"/>
          <w:i w:val="0"/>
          <w:sz w:val="24"/>
          <w:szCs w:val="24"/>
        </w:rPr>
      </w:pPr>
    </w:p>
    <w:p w:rsidR="00441F83" w:rsidRPr="00245C90" w:rsidRDefault="00441F83" w:rsidP="00245C90">
      <w:pPr>
        <w:pStyle w:val="ListParagraph"/>
        <w:numPr>
          <w:ilvl w:val="1"/>
          <w:numId w:val="37"/>
        </w:numPr>
        <w:spacing w:line="360" w:lineRule="auto"/>
        <w:ind w:left="709" w:hanging="709"/>
        <w:contextualSpacing/>
        <w:jc w:val="both"/>
        <w:rPr>
          <w:noProof/>
        </w:rPr>
      </w:pPr>
      <w:r w:rsidRPr="00245C90">
        <w:rPr>
          <w:noProof/>
        </w:rPr>
        <w:t xml:space="preserve">The Committee has expressed itself previously on the need for rapid transformation of the legal system. </w:t>
      </w:r>
      <w:r w:rsidR="00641865" w:rsidRPr="00245C90">
        <w:rPr>
          <w:noProof/>
        </w:rPr>
        <w:t>In its view, a</w:t>
      </w:r>
      <w:r w:rsidRPr="00245C90">
        <w:rPr>
          <w:noProof/>
        </w:rPr>
        <w:t xml:space="preserve"> transformative agenda that focuses largely on redressing structural inequality does not go far enough</w:t>
      </w:r>
      <w:r w:rsidR="00641865" w:rsidRPr="00245C90">
        <w:rPr>
          <w:noProof/>
        </w:rPr>
        <w:t xml:space="preserve"> as </w:t>
      </w:r>
      <w:r w:rsidRPr="00245C90">
        <w:rPr>
          <w:noProof/>
        </w:rPr>
        <w:t xml:space="preserve">there is need to transform the substantive law as well. The </w:t>
      </w:r>
      <w:r w:rsidR="00641865" w:rsidRPr="00245C90">
        <w:rPr>
          <w:noProof/>
        </w:rPr>
        <w:t xml:space="preserve">Committee is </w:t>
      </w:r>
      <w:r w:rsidR="005F4D24" w:rsidRPr="00245C90">
        <w:rPr>
          <w:noProof/>
        </w:rPr>
        <w:t xml:space="preserve">aware that policy development lies with the Executive Authority and is </w:t>
      </w:r>
      <w:r w:rsidR="00641865" w:rsidRPr="00245C90">
        <w:rPr>
          <w:noProof/>
        </w:rPr>
        <w:t xml:space="preserve">pleased at the progress that is being made </w:t>
      </w:r>
      <w:r w:rsidR="005F4D24" w:rsidRPr="00245C90">
        <w:rPr>
          <w:noProof/>
        </w:rPr>
        <w:t xml:space="preserve">in this regard. However, the Committee believes that the </w:t>
      </w:r>
      <w:r w:rsidRPr="00245C90">
        <w:rPr>
          <w:noProof/>
        </w:rPr>
        <w:t xml:space="preserve">Judiciary </w:t>
      </w:r>
      <w:r w:rsidR="005F4D24" w:rsidRPr="00245C90">
        <w:rPr>
          <w:noProof/>
        </w:rPr>
        <w:t xml:space="preserve">has a vital role to play in transforming our legal system to ensure that </w:t>
      </w:r>
      <w:r w:rsidRPr="00245C90">
        <w:rPr>
          <w:noProof/>
        </w:rPr>
        <w:t>proper recogni</w:t>
      </w:r>
      <w:r w:rsidR="005F4D24" w:rsidRPr="00245C90">
        <w:rPr>
          <w:noProof/>
        </w:rPr>
        <w:t xml:space="preserve">tion is given to indigenous African law  and </w:t>
      </w:r>
      <w:r w:rsidRPr="00245C90">
        <w:rPr>
          <w:noProof/>
        </w:rPr>
        <w:t xml:space="preserve">that the opportunity to develop a </w:t>
      </w:r>
      <w:r w:rsidR="005F4D24" w:rsidRPr="00245C90">
        <w:rPr>
          <w:noProof/>
        </w:rPr>
        <w:t xml:space="preserve">legal </w:t>
      </w:r>
      <w:r w:rsidRPr="00245C90">
        <w:rPr>
          <w:noProof/>
        </w:rPr>
        <w:t>jurisprudence infused with the principles of Ubuntu is not lost.</w:t>
      </w:r>
    </w:p>
    <w:p w:rsidR="00441F83" w:rsidRPr="00245C90" w:rsidRDefault="00441F83" w:rsidP="00245C90">
      <w:pPr>
        <w:pStyle w:val="ListParagraph"/>
        <w:spacing w:line="360" w:lineRule="auto"/>
        <w:jc w:val="both"/>
        <w:rPr>
          <w:noProof/>
        </w:rPr>
      </w:pPr>
    </w:p>
    <w:p w:rsidR="00641865" w:rsidRPr="00245C90" w:rsidRDefault="00641865" w:rsidP="00245C90">
      <w:pPr>
        <w:pStyle w:val="ListParagraph"/>
        <w:numPr>
          <w:ilvl w:val="1"/>
          <w:numId w:val="37"/>
        </w:numPr>
        <w:spacing w:line="360" w:lineRule="auto"/>
        <w:ind w:left="709" w:hanging="709"/>
        <w:contextualSpacing/>
        <w:jc w:val="both"/>
        <w:rPr>
          <w:noProof/>
        </w:rPr>
      </w:pPr>
      <w:r w:rsidRPr="00245C90">
        <w:rPr>
          <w:noProof/>
        </w:rPr>
        <w:t>The Committee intends to arrange to meet with the Chief Justice and Heads of Court as soon as possible to confer on matters of mutual interest, including the advancement of broader transformative issues and court performance.</w:t>
      </w:r>
    </w:p>
    <w:p w:rsidR="00641865" w:rsidRPr="00245C90" w:rsidRDefault="00641865" w:rsidP="00245C90">
      <w:pPr>
        <w:pStyle w:val="ListParagraph"/>
        <w:spacing w:line="360" w:lineRule="auto"/>
        <w:ind w:left="709"/>
        <w:contextualSpacing/>
        <w:jc w:val="both"/>
        <w:rPr>
          <w:noProof/>
        </w:rPr>
      </w:pPr>
    </w:p>
    <w:p w:rsidR="00441F83" w:rsidRPr="00245C90" w:rsidRDefault="00441F83" w:rsidP="00245C90">
      <w:pPr>
        <w:pStyle w:val="ListParagraph"/>
        <w:numPr>
          <w:ilvl w:val="1"/>
          <w:numId w:val="37"/>
        </w:numPr>
        <w:spacing w:line="360" w:lineRule="auto"/>
        <w:ind w:left="709" w:hanging="709"/>
        <w:contextualSpacing/>
        <w:jc w:val="both"/>
        <w:rPr>
          <w:noProof/>
        </w:rPr>
      </w:pPr>
      <w:r w:rsidRPr="00245C90">
        <w:rPr>
          <w:noProof/>
        </w:rPr>
        <w:t xml:space="preserve">The Committee is extremely concerned at the lack of progress in resolving </w:t>
      </w:r>
      <w:r w:rsidR="005F4D24" w:rsidRPr="00245C90">
        <w:rPr>
          <w:noProof/>
        </w:rPr>
        <w:t xml:space="preserve">land claims </w:t>
      </w:r>
      <w:r w:rsidRPr="00245C90">
        <w:rPr>
          <w:noProof/>
        </w:rPr>
        <w:t>and</w:t>
      </w:r>
      <w:r w:rsidR="005F4D24" w:rsidRPr="00245C90">
        <w:rPr>
          <w:noProof/>
        </w:rPr>
        <w:t xml:space="preserve">, in particular, </w:t>
      </w:r>
      <w:r w:rsidRPr="00245C90">
        <w:rPr>
          <w:noProof/>
        </w:rPr>
        <w:t xml:space="preserve">the role of the Land Claims Court in this regard. </w:t>
      </w:r>
      <w:r w:rsidR="005F4D24" w:rsidRPr="00245C90">
        <w:rPr>
          <w:noProof/>
        </w:rPr>
        <w:t xml:space="preserve">Despite an </w:t>
      </w:r>
      <w:r w:rsidRPr="00245C90">
        <w:rPr>
          <w:noProof/>
        </w:rPr>
        <w:t xml:space="preserve">increase in the case finalisation rate, the Committee does not believe that </w:t>
      </w:r>
      <w:r w:rsidR="005F4D24" w:rsidRPr="00245C90">
        <w:rPr>
          <w:noProof/>
        </w:rPr>
        <w:t xml:space="preserve">the Court is doing </w:t>
      </w:r>
      <w:r w:rsidRPr="00245C90">
        <w:rPr>
          <w:noProof/>
        </w:rPr>
        <w:t>enough</w:t>
      </w:r>
      <w:r w:rsidR="006A170A">
        <w:rPr>
          <w:noProof/>
        </w:rPr>
        <w:t>. T</w:t>
      </w:r>
      <w:r w:rsidRPr="00245C90">
        <w:rPr>
          <w:noProof/>
        </w:rPr>
        <w:t>he land question is at the heart of poverty, unemployment and inequality</w:t>
      </w:r>
      <w:r w:rsidR="005F4D24" w:rsidRPr="00245C90">
        <w:rPr>
          <w:noProof/>
        </w:rPr>
        <w:t xml:space="preserve">: </w:t>
      </w:r>
      <w:r w:rsidR="006A170A">
        <w:rPr>
          <w:noProof/>
        </w:rPr>
        <w:t>t</w:t>
      </w:r>
      <w:r w:rsidR="00B04F14" w:rsidRPr="00245C90">
        <w:rPr>
          <w:noProof/>
        </w:rPr>
        <w:t xml:space="preserve">he </w:t>
      </w:r>
      <w:r w:rsidRPr="00245C90">
        <w:rPr>
          <w:noProof/>
        </w:rPr>
        <w:t xml:space="preserve">failure to settle land claims in a timely fashion may encourage people to take the law into their own hands. </w:t>
      </w:r>
      <w:r w:rsidR="00B04F14" w:rsidRPr="00245C90">
        <w:rPr>
          <w:noProof/>
        </w:rPr>
        <w:t>The Committee is planning a visit to the Land Claims Court as soon as its programme permits and has identified the need to convene a workshop with stakeholders.</w:t>
      </w:r>
    </w:p>
    <w:p w:rsidR="00441F83" w:rsidRPr="00245C90" w:rsidRDefault="00441F83" w:rsidP="00245C90">
      <w:pPr>
        <w:pStyle w:val="ListParagraph"/>
        <w:spacing w:line="360" w:lineRule="auto"/>
        <w:ind w:left="709"/>
        <w:contextualSpacing/>
        <w:jc w:val="both"/>
      </w:pPr>
    </w:p>
    <w:p w:rsidR="00CF799F" w:rsidRPr="00245C90" w:rsidRDefault="006935FB" w:rsidP="00245C90">
      <w:pPr>
        <w:pStyle w:val="ListParagraph"/>
        <w:numPr>
          <w:ilvl w:val="1"/>
          <w:numId w:val="37"/>
        </w:numPr>
        <w:spacing w:line="360" w:lineRule="auto"/>
        <w:ind w:left="709" w:hanging="709"/>
        <w:contextualSpacing/>
        <w:jc w:val="both"/>
        <w:rPr>
          <w:noProof/>
        </w:rPr>
      </w:pPr>
      <w:r w:rsidRPr="00245C90">
        <w:rPr>
          <w:noProof/>
        </w:rPr>
        <w:t xml:space="preserve">The Committee is generally pleased with the OCJ’s performance </w:t>
      </w:r>
      <w:r w:rsidR="002D583D" w:rsidRPr="00245C90">
        <w:rPr>
          <w:noProof/>
        </w:rPr>
        <w:t xml:space="preserve">and spending </w:t>
      </w:r>
      <w:r w:rsidRPr="00245C90">
        <w:rPr>
          <w:noProof/>
        </w:rPr>
        <w:t xml:space="preserve">to date. </w:t>
      </w:r>
      <w:r w:rsidR="002D583D" w:rsidRPr="00245C90">
        <w:rPr>
          <w:noProof/>
        </w:rPr>
        <w:t xml:space="preserve">The OCJ received </w:t>
      </w:r>
      <w:r w:rsidR="002D583D" w:rsidRPr="006A170A">
        <w:rPr>
          <w:noProof/>
          <w:color w:val="000000" w:themeColor="text1"/>
        </w:rPr>
        <w:t>a</w:t>
      </w:r>
      <w:r w:rsidR="00E01CCE" w:rsidRPr="006A170A">
        <w:rPr>
          <w:noProof/>
          <w:color w:val="000000" w:themeColor="text1"/>
        </w:rPr>
        <w:t>n</w:t>
      </w:r>
      <w:r w:rsidR="002D583D" w:rsidRPr="006A170A">
        <w:rPr>
          <w:noProof/>
          <w:color w:val="000000" w:themeColor="text1"/>
        </w:rPr>
        <w:t xml:space="preserve"> </w:t>
      </w:r>
      <w:r w:rsidR="00E01CCE" w:rsidRPr="006A170A">
        <w:rPr>
          <w:noProof/>
          <w:color w:val="000000" w:themeColor="text1"/>
        </w:rPr>
        <w:t>un</w:t>
      </w:r>
      <w:r w:rsidR="002D583D" w:rsidRPr="006A170A">
        <w:rPr>
          <w:noProof/>
          <w:color w:val="000000" w:themeColor="text1"/>
        </w:rPr>
        <w:t xml:space="preserve">qualified </w:t>
      </w:r>
      <w:r w:rsidR="002D583D" w:rsidRPr="00245C90">
        <w:rPr>
          <w:noProof/>
        </w:rPr>
        <w:t xml:space="preserve">audit opinion with findings. Although the Committee would have been better satisfied with a clean audit opinion, it is mindful that this </w:t>
      </w:r>
      <w:r w:rsidRPr="00245C90">
        <w:rPr>
          <w:noProof/>
        </w:rPr>
        <w:t xml:space="preserve">is a new </w:t>
      </w:r>
      <w:r w:rsidR="006A170A">
        <w:rPr>
          <w:noProof/>
        </w:rPr>
        <w:t>d</w:t>
      </w:r>
      <w:r w:rsidRPr="00245C90">
        <w:rPr>
          <w:noProof/>
        </w:rPr>
        <w:t xml:space="preserve">epartment and some challenges are to be expected. </w:t>
      </w:r>
      <w:r w:rsidR="006A170A">
        <w:rPr>
          <w:noProof/>
        </w:rPr>
        <w:t xml:space="preserve">The </w:t>
      </w:r>
      <w:r w:rsidR="00CF799F" w:rsidRPr="00245C90">
        <w:rPr>
          <w:noProof/>
        </w:rPr>
        <w:t>Committe</w:t>
      </w:r>
      <w:r w:rsidR="00BC00B9" w:rsidRPr="00245C90">
        <w:rPr>
          <w:noProof/>
        </w:rPr>
        <w:t>e agrees with the Auditor-</w:t>
      </w:r>
      <w:r w:rsidR="00CF799F" w:rsidRPr="00245C90">
        <w:rPr>
          <w:noProof/>
        </w:rPr>
        <w:t xml:space="preserve">General’s recommendations regarding the need for </w:t>
      </w:r>
      <w:r w:rsidR="00BC00B9" w:rsidRPr="00245C90">
        <w:rPr>
          <w:noProof/>
        </w:rPr>
        <w:t xml:space="preserve">regular </w:t>
      </w:r>
      <w:r w:rsidR="00CF799F" w:rsidRPr="00245C90">
        <w:rPr>
          <w:noProof/>
        </w:rPr>
        <w:t xml:space="preserve">oversight of progress made against the audit action plan. The Committee, therefore, requests that </w:t>
      </w:r>
      <w:r w:rsidR="00BC00B9" w:rsidRPr="00245C90">
        <w:rPr>
          <w:noProof/>
        </w:rPr>
        <w:t>the OCJ provide m</w:t>
      </w:r>
      <w:r w:rsidR="008049A3" w:rsidRPr="00245C90">
        <w:rPr>
          <w:noProof/>
        </w:rPr>
        <w:t xml:space="preserve">ore details of its audit action plan and </w:t>
      </w:r>
      <w:r w:rsidR="00BC00B9" w:rsidRPr="00245C90">
        <w:rPr>
          <w:noProof/>
        </w:rPr>
        <w:t xml:space="preserve">give </w:t>
      </w:r>
      <w:r w:rsidR="00E01CCE">
        <w:rPr>
          <w:noProof/>
        </w:rPr>
        <w:t>quarterly reports  on</w:t>
      </w:r>
      <w:r w:rsidR="00CF799F" w:rsidRPr="00245C90">
        <w:rPr>
          <w:noProof/>
        </w:rPr>
        <w:t xml:space="preserve">: </w:t>
      </w:r>
    </w:p>
    <w:p w:rsidR="006935FB" w:rsidRPr="00245C90" w:rsidRDefault="00CF799F" w:rsidP="00245C90">
      <w:pPr>
        <w:numPr>
          <w:ilvl w:val="0"/>
          <w:numId w:val="29"/>
        </w:numPr>
        <w:spacing w:line="360" w:lineRule="auto"/>
        <w:jc w:val="both"/>
        <w:rPr>
          <w:bCs/>
        </w:rPr>
      </w:pPr>
      <w:r w:rsidRPr="00245C90">
        <w:rPr>
          <w:bCs/>
        </w:rPr>
        <w:t>The implementation and progress of the action plan.</w:t>
      </w:r>
    </w:p>
    <w:p w:rsidR="00CF799F" w:rsidRPr="00245C90" w:rsidRDefault="00CF799F" w:rsidP="00245C90">
      <w:pPr>
        <w:numPr>
          <w:ilvl w:val="0"/>
          <w:numId w:val="29"/>
        </w:numPr>
        <w:spacing w:line="360" w:lineRule="auto"/>
        <w:jc w:val="both"/>
        <w:rPr>
          <w:bCs/>
        </w:rPr>
      </w:pPr>
      <w:r w:rsidRPr="00245C90">
        <w:rPr>
          <w:bCs/>
        </w:rPr>
        <w:t>The status of key controls.</w:t>
      </w:r>
    </w:p>
    <w:p w:rsidR="00CF799F" w:rsidRPr="00245C90" w:rsidRDefault="00CF799F" w:rsidP="00245C90">
      <w:pPr>
        <w:numPr>
          <w:ilvl w:val="0"/>
          <w:numId w:val="29"/>
        </w:numPr>
        <w:spacing w:line="360" w:lineRule="auto"/>
        <w:jc w:val="both"/>
        <w:rPr>
          <w:bCs/>
        </w:rPr>
      </w:pPr>
      <w:r w:rsidRPr="00245C90">
        <w:rPr>
          <w:bCs/>
        </w:rPr>
        <w:t xml:space="preserve">The filling of </w:t>
      </w:r>
      <w:r w:rsidR="00AD29FA" w:rsidRPr="00245C90">
        <w:rPr>
          <w:bCs/>
        </w:rPr>
        <w:t>vacancies</w:t>
      </w:r>
      <w:r w:rsidRPr="00245C90">
        <w:rPr>
          <w:bCs/>
        </w:rPr>
        <w:t>.</w:t>
      </w:r>
    </w:p>
    <w:p w:rsidR="006935FB" w:rsidRPr="00245C90" w:rsidRDefault="006935FB" w:rsidP="00245C90">
      <w:pPr>
        <w:pStyle w:val="ListParagraph"/>
        <w:spacing w:line="360" w:lineRule="auto"/>
        <w:ind w:left="709"/>
        <w:contextualSpacing/>
        <w:jc w:val="both"/>
        <w:rPr>
          <w:i/>
          <w:noProof/>
        </w:rPr>
      </w:pPr>
    </w:p>
    <w:p w:rsidR="00B6674B" w:rsidRPr="00245C90" w:rsidRDefault="00BC00B9" w:rsidP="00245C90">
      <w:pPr>
        <w:pStyle w:val="ListParagraph"/>
        <w:numPr>
          <w:ilvl w:val="1"/>
          <w:numId w:val="37"/>
        </w:numPr>
        <w:spacing w:line="360" w:lineRule="auto"/>
        <w:ind w:left="709" w:hanging="709"/>
        <w:contextualSpacing/>
        <w:jc w:val="both"/>
        <w:rPr>
          <w:i/>
        </w:rPr>
      </w:pPr>
      <w:r w:rsidRPr="00245C90">
        <w:rPr>
          <w:noProof/>
        </w:rPr>
        <w:t>The</w:t>
      </w:r>
      <w:r w:rsidRPr="00245C90">
        <w:rPr>
          <w:lang w:val="en-US" w:eastAsia="en-US"/>
        </w:rPr>
        <w:t xml:space="preserve"> Committee </w:t>
      </w:r>
      <w:r w:rsidR="00743F9A" w:rsidRPr="00245C90">
        <w:rPr>
          <w:lang w:val="en-US" w:eastAsia="en-US"/>
        </w:rPr>
        <w:t xml:space="preserve">is disappointed </w:t>
      </w:r>
      <w:r w:rsidR="0015553B" w:rsidRPr="00245C90">
        <w:rPr>
          <w:lang w:val="en-US" w:eastAsia="en-US"/>
        </w:rPr>
        <w:t xml:space="preserve">that capacity constraints prevented the OCJ from compiling all of its intended </w:t>
      </w:r>
      <w:r w:rsidR="00743F9A" w:rsidRPr="00245C90">
        <w:rPr>
          <w:lang w:val="en-US" w:eastAsia="en-US"/>
        </w:rPr>
        <w:t xml:space="preserve">monitoring </w:t>
      </w:r>
      <w:r w:rsidR="0015553B" w:rsidRPr="00245C90">
        <w:rPr>
          <w:lang w:val="en-US" w:eastAsia="en-US"/>
        </w:rPr>
        <w:t>reports</w:t>
      </w:r>
      <w:r w:rsidR="00D52F30" w:rsidRPr="00245C90">
        <w:rPr>
          <w:lang w:val="en-US" w:eastAsia="en-US"/>
        </w:rPr>
        <w:t xml:space="preserve"> of</w:t>
      </w:r>
      <w:r w:rsidR="00743F9A" w:rsidRPr="00245C90">
        <w:rPr>
          <w:lang w:val="en-US" w:eastAsia="en-US"/>
        </w:rPr>
        <w:t xml:space="preserve"> the </w:t>
      </w:r>
      <w:r w:rsidR="00D52F30" w:rsidRPr="00245C90">
        <w:rPr>
          <w:lang w:val="en-US" w:eastAsia="en-US"/>
        </w:rPr>
        <w:t xml:space="preserve">norms and standards on the </w:t>
      </w:r>
      <w:r w:rsidR="00743F9A" w:rsidRPr="00245C90">
        <w:rPr>
          <w:lang w:val="en-US" w:eastAsia="en-US"/>
        </w:rPr>
        <w:t>performance of the Superior Courts</w:t>
      </w:r>
      <w:r w:rsidR="00B6674B" w:rsidRPr="00245C90">
        <w:rPr>
          <w:lang w:val="en-US" w:eastAsia="en-US"/>
        </w:rPr>
        <w:t xml:space="preserve">. The Committee believes that these </w:t>
      </w:r>
      <w:r w:rsidR="00743F9A" w:rsidRPr="00245C90">
        <w:rPr>
          <w:lang w:val="en-US" w:eastAsia="en-US"/>
        </w:rPr>
        <w:t>are very important analytical tools</w:t>
      </w:r>
      <w:r w:rsidR="00B6674B" w:rsidRPr="00245C90">
        <w:rPr>
          <w:lang w:val="en-US" w:eastAsia="en-US"/>
        </w:rPr>
        <w:t xml:space="preserve">. The </w:t>
      </w:r>
      <w:r w:rsidR="00D52F30" w:rsidRPr="00245C90">
        <w:rPr>
          <w:lang w:val="en-US" w:eastAsia="en-US"/>
        </w:rPr>
        <w:t xml:space="preserve">Committee </w:t>
      </w:r>
      <w:r w:rsidR="00B6674B" w:rsidRPr="00245C90">
        <w:rPr>
          <w:lang w:val="en-US" w:eastAsia="en-US"/>
        </w:rPr>
        <w:t xml:space="preserve">observes, however, that </w:t>
      </w:r>
      <w:r w:rsidR="00D52F30" w:rsidRPr="00245C90">
        <w:rPr>
          <w:lang w:val="en-US" w:eastAsia="en-US"/>
        </w:rPr>
        <w:t xml:space="preserve">that there do not appear to be similar reports for the Lower Courts and asks that the OCJ clarify whether this is so. </w:t>
      </w:r>
    </w:p>
    <w:p w:rsidR="00B6674B" w:rsidRPr="00245C90" w:rsidRDefault="00B6674B" w:rsidP="00245C90">
      <w:pPr>
        <w:pStyle w:val="ListParagraph"/>
        <w:spacing w:line="360" w:lineRule="auto"/>
        <w:ind w:left="709"/>
        <w:contextualSpacing/>
        <w:jc w:val="both"/>
      </w:pPr>
    </w:p>
    <w:p w:rsidR="00E00987" w:rsidRPr="00245C90" w:rsidRDefault="00743F9A" w:rsidP="00245C90">
      <w:pPr>
        <w:pStyle w:val="ListParagraph"/>
        <w:numPr>
          <w:ilvl w:val="1"/>
          <w:numId w:val="37"/>
        </w:numPr>
        <w:spacing w:line="360" w:lineRule="auto"/>
        <w:ind w:left="709" w:hanging="709"/>
        <w:contextualSpacing/>
        <w:jc w:val="both"/>
        <w:rPr>
          <w:i/>
        </w:rPr>
      </w:pPr>
      <w:r w:rsidRPr="00245C90">
        <w:rPr>
          <w:lang w:val="en-US" w:eastAsia="en-US"/>
        </w:rPr>
        <w:t xml:space="preserve">The Committee notes that there has been </w:t>
      </w:r>
      <w:r w:rsidR="00BC00B9" w:rsidRPr="00245C90">
        <w:rPr>
          <w:lang w:val="en-US" w:eastAsia="en-US"/>
        </w:rPr>
        <w:t>a decline in several indicators for court performance</w:t>
      </w:r>
      <w:r w:rsidRPr="00245C90">
        <w:rPr>
          <w:lang w:val="en-US" w:eastAsia="en-US"/>
        </w:rPr>
        <w:t xml:space="preserve"> for both the Superior and Lower Courts</w:t>
      </w:r>
      <w:r w:rsidR="00BC00B9" w:rsidRPr="00245C90">
        <w:rPr>
          <w:lang w:val="en-US" w:eastAsia="en-US"/>
        </w:rPr>
        <w:t xml:space="preserve">, including a significant drop in the number of courts hours sat and a reduction in the number of cases finalized with verdict. The </w:t>
      </w:r>
      <w:r w:rsidRPr="00245C90">
        <w:rPr>
          <w:lang w:val="en-US" w:eastAsia="en-US"/>
        </w:rPr>
        <w:t>re</w:t>
      </w:r>
      <w:r w:rsidR="00B6674B" w:rsidRPr="00245C90">
        <w:rPr>
          <w:lang w:val="en-US" w:eastAsia="en-US"/>
        </w:rPr>
        <w:t xml:space="preserve">sponses from </w:t>
      </w:r>
      <w:r w:rsidR="00BC00B9" w:rsidRPr="00245C90">
        <w:rPr>
          <w:lang w:val="en-US" w:eastAsia="en-US"/>
        </w:rPr>
        <w:t xml:space="preserve">various </w:t>
      </w:r>
      <w:r w:rsidR="00245C90" w:rsidRPr="00245C90">
        <w:rPr>
          <w:lang w:val="en-US" w:eastAsia="en-US"/>
        </w:rPr>
        <w:t>role-players</w:t>
      </w:r>
      <w:r w:rsidR="00BC00B9" w:rsidRPr="00245C90">
        <w:rPr>
          <w:lang w:val="en-US" w:eastAsia="en-US"/>
        </w:rPr>
        <w:t xml:space="preserve"> </w:t>
      </w:r>
      <w:r w:rsidRPr="00245C90">
        <w:rPr>
          <w:lang w:val="en-US" w:eastAsia="en-US"/>
        </w:rPr>
        <w:t>to the Committee</w:t>
      </w:r>
      <w:r w:rsidR="00B6674B" w:rsidRPr="00245C90">
        <w:rPr>
          <w:lang w:val="en-US" w:eastAsia="en-US"/>
        </w:rPr>
        <w:t xml:space="preserve">’s questions in this regard tend to </w:t>
      </w:r>
      <w:r w:rsidR="00BC00B9" w:rsidRPr="00245C90">
        <w:rPr>
          <w:lang w:val="en-US" w:eastAsia="en-US"/>
        </w:rPr>
        <w:t xml:space="preserve">highlight dependencies on others. </w:t>
      </w:r>
      <w:r w:rsidRPr="00245C90">
        <w:rPr>
          <w:lang w:val="en-US" w:eastAsia="en-US"/>
        </w:rPr>
        <w:t>At this stage, however, t</w:t>
      </w:r>
      <w:r w:rsidR="00E00987" w:rsidRPr="00245C90">
        <w:t xml:space="preserve">he Committee </w:t>
      </w:r>
      <w:r w:rsidR="00D52F30" w:rsidRPr="00245C90">
        <w:t xml:space="preserve">finds itself unable to say much more, </w:t>
      </w:r>
      <w:r w:rsidRPr="00245C90">
        <w:t xml:space="preserve">as it does not have enough information regarding </w:t>
      </w:r>
      <w:r w:rsidR="00D52F30" w:rsidRPr="00245C90">
        <w:t xml:space="preserve">the </w:t>
      </w:r>
      <w:r w:rsidRPr="00245C90">
        <w:t xml:space="preserve">specific </w:t>
      </w:r>
      <w:r w:rsidR="00D52F30" w:rsidRPr="00245C90">
        <w:t>challenges</w:t>
      </w:r>
      <w:r w:rsidRPr="00245C90">
        <w:t xml:space="preserve"> being experienced</w:t>
      </w:r>
      <w:r w:rsidR="00D52F30" w:rsidRPr="00245C90">
        <w:t xml:space="preserve"> or whether the interventions introduced by the Judiciary are having the desired impact. </w:t>
      </w:r>
      <w:r w:rsidR="00D52F30" w:rsidRPr="00245C90">
        <w:rPr>
          <w:lang w:val="en-US" w:eastAsia="en-US"/>
        </w:rPr>
        <w:t xml:space="preserve">The Committee, therefore, requests that </w:t>
      </w:r>
      <w:r w:rsidR="00B6674B" w:rsidRPr="00245C90">
        <w:rPr>
          <w:lang w:val="en-US" w:eastAsia="en-US"/>
        </w:rPr>
        <w:t xml:space="preserve">the OCJ provide </w:t>
      </w:r>
      <w:r w:rsidR="00D52F30" w:rsidRPr="00245C90">
        <w:rPr>
          <w:lang w:val="en-US" w:eastAsia="en-US"/>
        </w:rPr>
        <w:t xml:space="preserve">a written report </w:t>
      </w:r>
      <w:r w:rsidR="00B6674B" w:rsidRPr="00245C90">
        <w:rPr>
          <w:lang w:val="en-US" w:eastAsia="en-US"/>
        </w:rPr>
        <w:t xml:space="preserve">setting out the root causes of the decline that is observed and </w:t>
      </w:r>
      <w:r w:rsidR="00BC00B9" w:rsidRPr="00245C90">
        <w:rPr>
          <w:lang w:val="en-US" w:eastAsia="en-US"/>
        </w:rPr>
        <w:t xml:space="preserve">what concrete </w:t>
      </w:r>
      <w:r w:rsidR="00E00987" w:rsidRPr="00245C90">
        <w:rPr>
          <w:lang w:val="en-US" w:eastAsia="en-US"/>
        </w:rPr>
        <w:t xml:space="preserve">measures </w:t>
      </w:r>
      <w:r w:rsidR="00BC00B9" w:rsidRPr="00245C90">
        <w:rPr>
          <w:lang w:val="en-US" w:eastAsia="en-US"/>
        </w:rPr>
        <w:t xml:space="preserve">have </w:t>
      </w:r>
      <w:r w:rsidR="00E00987" w:rsidRPr="00245C90">
        <w:rPr>
          <w:lang w:val="en-US" w:eastAsia="en-US"/>
        </w:rPr>
        <w:t>put in place</w:t>
      </w:r>
      <w:r w:rsidR="00BC00B9" w:rsidRPr="00245C90">
        <w:rPr>
          <w:lang w:val="en-US" w:eastAsia="en-US"/>
        </w:rPr>
        <w:t xml:space="preserve"> to address these</w:t>
      </w:r>
      <w:r w:rsidR="00E00987" w:rsidRPr="00245C90">
        <w:rPr>
          <w:lang w:val="en-US" w:eastAsia="en-US"/>
        </w:rPr>
        <w:t>.</w:t>
      </w:r>
    </w:p>
    <w:p w:rsidR="00E00987" w:rsidRPr="00245C90" w:rsidRDefault="00E00987" w:rsidP="00245C90">
      <w:pPr>
        <w:pStyle w:val="ListParagraph"/>
        <w:spacing w:line="360" w:lineRule="auto"/>
        <w:ind w:left="709"/>
        <w:contextualSpacing/>
        <w:jc w:val="both"/>
        <w:rPr>
          <w:i/>
        </w:rPr>
      </w:pPr>
    </w:p>
    <w:p w:rsidR="00441F83" w:rsidRPr="00245C90" w:rsidRDefault="00AD29FA" w:rsidP="00245C90">
      <w:pPr>
        <w:pStyle w:val="ListParagraph"/>
        <w:numPr>
          <w:ilvl w:val="1"/>
          <w:numId w:val="37"/>
        </w:numPr>
        <w:spacing w:line="360" w:lineRule="auto"/>
        <w:ind w:left="709" w:hanging="709"/>
        <w:contextualSpacing/>
        <w:jc w:val="both"/>
      </w:pPr>
      <w:r w:rsidRPr="00245C90">
        <w:t xml:space="preserve">The Committee is concerned about the </w:t>
      </w:r>
      <w:r w:rsidR="00BC00B9" w:rsidRPr="00245C90">
        <w:t>Constitutional</w:t>
      </w:r>
      <w:r w:rsidRPr="00245C90">
        <w:t xml:space="preserve"> Court’s low case finalisation rate. The Committee accepts the explanation</w:t>
      </w:r>
      <w:r w:rsidR="00441F83" w:rsidRPr="00245C90">
        <w:t>. However, the C</w:t>
      </w:r>
      <w:r w:rsidR="00BB1B31" w:rsidRPr="00245C90">
        <w:t xml:space="preserve">ourt is </w:t>
      </w:r>
      <w:r w:rsidR="00441F83" w:rsidRPr="00245C90">
        <w:t>not required to hear every matter that is referred to it</w:t>
      </w:r>
      <w:r w:rsidR="00BB1B31" w:rsidRPr="00245C90">
        <w:t xml:space="preserve"> and the Committee questions whether t</w:t>
      </w:r>
      <w:r w:rsidR="00441F83" w:rsidRPr="00245C90">
        <w:t xml:space="preserve">he test provided for in section 167(3)((b)(ii) </w:t>
      </w:r>
      <w:r w:rsidR="0096353C" w:rsidRPr="00245C90">
        <w:t xml:space="preserve">adequately </w:t>
      </w:r>
      <w:r w:rsidR="00441F83" w:rsidRPr="00245C90">
        <w:t>assist</w:t>
      </w:r>
      <w:r w:rsidR="00BB1B31" w:rsidRPr="00245C90">
        <w:t>s</w:t>
      </w:r>
      <w:r w:rsidR="00441F83" w:rsidRPr="00245C90">
        <w:t xml:space="preserve"> the Court</w:t>
      </w:r>
      <w:r w:rsidR="0096353C" w:rsidRPr="00245C90">
        <w:t xml:space="preserve"> to</w:t>
      </w:r>
      <w:r w:rsidR="00441F83" w:rsidRPr="00245C90">
        <w:t xml:space="preserve"> </w:t>
      </w:r>
      <w:r w:rsidR="00BB1B31" w:rsidRPr="00245C90">
        <w:t>manag</w:t>
      </w:r>
      <w:r w:rsidR="0096353C" w:rsidRPr="00245C90">
        <w:t>e</w:t>
      </w:r>
      <w:r w:rsidR="00BB1B31" w:rsidRPr="00245C90">
        <w:t xml:space="preserve"> its case load</w:t>
      </w:r>
      <w:r w:rsidR="0096353C" w:rsidRPr="00245C90">
        <w:t xml:space="preserve">. </w:t>
      </w:r>
      <w:r w:rsidR="00B6674B" w:rsidRPr="00245C90">
        <w:t xml:space="preserve">In addition, the </w:t>
      </w:r>
      <w:r w:rsidR="0096353C" w:rsidRPr="00245C90">
        <w:t xml:space="preserve">Committee </w:t>
      </w:r>
      <w:r w:rsidR="0015553B" w:rsidRPr="00245C90">
        <w:t xml:space="preserve">wonders </w:t>
      </w:r>
      <w:r w:rsidR="00441F83" w:rsidRPr="00245C90">
        <w:t>what additional measures have/are being put into place to assist the C</w:t>
      </w:r>
      <w:r w:rsidR="00BB1B31" w:rsidRPr="00245C90">
        <w:t xml:space="preserve">ourt </w:t>
      </w:r>
      <w:r w:rsidR="00441F83" w:rsidRPr="00245C90">
        <w:t>to deal with the increased jurisdiction.</w:t>
      </w:r>
    </w:p>
    <w:p w:rsidR="003D7013" w:rsidRPr="00245C90" w:rsidRDefault="00267EF1" w:rsidP="00245C90">
      <w:pPr>
        <w:pStyle w:val="ListParagraph"/>
        <w:numPr>
          <w:ilvl w:val="1"/>
          <w:numId w:val="37"/>
        </w:numPr>
        <w:spacing w:line="360" w:lineRule="auto"/>
        <w:ind w:left="709" w:hanging="709"/>
        <w:contextualSpacing/>
        <w:jc w:val="both"/>
      </w:pPr>
      <w:r w:rsidRPr="00245C90">
        <w:t xml:space="preserve">The Committee </w:t>
      </w:r>
      <w:r w:rsidR="00E00987" w:rsidRPr="00245C90">
        <w:t xml:space="preserve">remains </w:t>
      </w:r>
      <w:r w:rsidRPr="00245C90">
        <w:t>concerned that the allocation for judicial education and training is inadequate</w:t>
      </w:r>
      <w:r w:rsidR="00B6674B" w:rsidRPr="00245C90">
        <w:t xml:space="preserve"> to drive a transformative agenda</w:t>
      </w:r>
      <w:r w:rsidR="00245C90" w:rsidRPr="00245C90">
        <w:t xml:space="preserve"> although the budget does increase over the medium term</w:t>
      </w:r>
      <w:r w:rsidRPr="00245C90">
        <w:t>. In the Committee’s view, the SAJEI performs a vital role in supporting transformation initiatives and should be properly resourced</w:t>
      </w:r>
      <w:r w:rsidR="00245C90" w:rsidRPr="00245C90">
        <w:t xml:space="preserve"> if it is to play its intended role</w:t>
      </w:r>
      <w:r w:rsidRPr="00245C90">
        <w:t>.</w:t>
      </w:r>
      <w:r w:rsidR="00E00987" w:rsidRPr="00245C90">
        <w:t xml:space="preserve"> </w:t>
      </w:r>
      <w:r w:rsidR="00245C90" w:rsidRPr="00245C90">
        <w:t xml:space="preserve">The Committee is interested in its training programme and asks that it is provided with more information in writing. </w:t>
      </w:r>
      <w:r w:rsidR="00E00987" w:rsidRPr="00245C90">
        <w:t xml:space="preserve">The Committee suggests too that SAJEI look at ensuring that judicial officers are provided with training in indigenous African law and languages. </w:t>
      </w:r>
    </w:p>
    <w:p w:rsidR="00BF5603" w:rsidRPr="00245C90" w:rsidRDefault="00BF5603" w:rsidP="00245C90">
      <w:pPr>
        <w:pStyle w:val="ListParagraph"/>
        <w:spacing w:line="360" w:lineRule="auto"/>
        <w:jc w:val="both"/>
      </w:pPr>
    </w:p>
    <w:p w:rsidR="00BF5603" w:rsidRPr="00245C90" w:rsidRDefault="00BB1B31" w:rsidP="00245C90">
      <w:pPr>
        <w:pStyle w:val="ListParagraph"/>
        <w:numPr>
          <w:ilvl w:val="1"/>
          <w:numId w:val="37"/>
        </w:numPr>
        <w:spacing w:line="360" w:lineRule="auto"/>
        <w:ind w:left="709" w:hanging="709"/>
        <w:contextualSpacing/>
        <w:jc w:val="both"/>
      </w:pPr>
      <w:r w:rsidRPr="00245C90">
        <w:t xml:space="preserve">The Committee requests more information on whether the </w:t>
      </w:r>
      <w:r w:rsidR="00BF5603" w:rsidRPr="00245C90">
        <w:t>aspirant women judges training programme still exist</w:t>
      </w:r>
      <w:r w:rsidRPr="00245C90">
        <w:t>s</w:t>
      </w:r>
      <w:r w:rsidR="00BF5603" w:rsidRPr="00245C90">
        <w:t xml:space="preserve">? If so, </w:t>
      </w:r>
      <w:r w:rsidR="00245C90" w:rsidRPr="00245C90">
        <w:t xml:space="preserve">could the OCJ inform the Committee </w:t>
      </w:r>
      <w:r w:rsidR="00BF5603" w:rsidRPr="00245C90">
        <w:t>how many aspirant women judges have been trained and been taken up to the judiciary?</w:t>
      </w:r>
      <w:r w:rsidRPr="00245C90">
        <w:t xml:space="preserve"> </w:t>
      </w:r>
    </w:p>
    <w:p w:rsidR="00BF5603" w:rsidRPr="00245C90" w:rsidRDefault="00BF5603" w:rsidP="00245C90">
      <w:pPr>
        <w:autoSpaceDE w:val="0"/>
        <w:autoSpaceDN w:val="0"/>
        <w:adjustRightInd w:val="0"/>
        <w:spacing w:line="360" w:lineRule="auto"/>
        <w:jc w:val="both"/>
        <w:rPr>
          <w:b/>
        </w:rPr>
      </w:pPr>
    </w:p>
    <w:p w:rsidR="005058FF" w:rsidRPr="00245C90" w:rsidRDefault="005058FF" w:rsidP="00245C90">
      <w:pPr>
        <w:spacing w:line="360" w:lineRule="auto"/>
        <w:jc w:val="both"/>
        <w:rPr>
          <w:b/>
        </w:rPr>
      </w:pPr>
    </w:p>
    <w:p w:rsidR="00C05C71" w:rsidRPr="00245C90" w:rsidRDefault="00D406A6" w:rsidP="00245C90">
      <w:pPr>
        <w:numPr>
          <w:ilvl w:val="0"/>
          <w:numId w:val="37"/>
        </w:numPr>
        <w:spacing w:line="360" w:lineRule="auto"/>
        <w:jc w:val="both"/>
        <w:rPr>
          <w:b/>
        </w:rPr>
      </w:pPr>
      <w:r w:rsidRPr="00245C90">
        <w:rPr>
          <w:b/>
        </w:rPr>
        <w:t>R</w:t>
      </w:r>
      <w:r w:rsidR="00C05C71" w:rsidRPr="00245C90">
        <w:rPr>
          <w:b/>
        </w:rPr>
        <w:t>ecommendation</w:t>
      </w:r>
    </w:p>
    <w:p w:rsidR="007949CD" w:rsidRDefault="007949CD" w:rsidP="00245C90">
      <w:pPr>
        <w:spacing w:line="360" w:lineRule="auto"/>
        <w:ind w:left="480"/>
        <w:jc w:val="both"/>
      </w:pPr>
    </w:p>
    <w:p w:rsidR="00452038" w:rsidRPr="007949CD" w:rsidRDefault="006A170A" w:rsidP="00245C90">
      <w:pPr>
        <w:spacing w:line="360" w:lineRule="auto"/>
        <w:ind w:left="480"/>
        <w:jc w:val="both"/>
      </w:pPr>
      <w:r w:rsidRPr="007949CD">
        <w:t xml:space="preserve">The Committee makes the following recommendation with the Democratic Alliance reserving </w:t>
      </w:r>
      <w:r w:rsidR="00773E0E">
        <w:t xml:space="preserve">its </w:t>
      </w:r>
      <w:r w:rsidR="00C37387">
        <w:t>position</w:t>
      </w:r>
      <w:r w:rsidRPr="007949CD">
        <w:t>:</w:t>
      </w:r>
    </w:p>
    <w:p w:rsidR="006A170A" w:rsidRPr="00245C90" w:rsidRDefault="006A170A" w:rsidP="00245C90">
      <w:pPr>
        <w:spacing w:line="360" w:lineRule="auto"/>
        <w:ind w:left="480"/>
        <w:jc w:val="both"/>
        <w:rPr>
          <w:b/>
        </w:rPr>
      </w:pPr>
    </w:p>
    <w:p w:rsidR="00E01CCE" w:rsidRDefault="006A170A" w:rsidP="007949CD">
      <w:pPr>
        <w:pStyle w:val="ListParagraph"/>
        <w:numPr>
          <w:ilvl w:val="1"/>
          <w:numId w:val="37"/>
        </w:numPr>
        <w:spacing w:line="360" w:lineRule="auto"/>
        <w:contextualSpacing/>
        <w:jc w:val="both"/>
      </w:pPr>
      <w:r>
        <w:t xml:space="preserve">The </w:t>
      </w:r>
      <w:r w:rsidR="00E01CCE" w:rsidRPr="00245C90">
        <w:t>SAJEI ensur</w:t>
      </w:r>
      <w:r w:rsidR="00E01CCE">
        <w:t xml:space="preserve">e </w:t>
      </w:r>
      <w:r w:rsidR="00E01CCE" w:rsidRPr="00245C90">
        <w:t xml:space="preserve">that judicial officers are provided with training in indigenous African law and languages. </w:t>
      </w:r>
    </w:p>
    <w:p w:rsidR="007949CD" w:rsidRPr="00245C90" w:rsidRDefault="007949CD" w:rsidP="007949CD">
      <w:pPr>
        <w:pStyle w:val="ListParagraph"/>
        <w:spacing w:line="360" w:lineRule="auto"/>
        <w:contextualSpacing/>
        <w:jc w:val="both"/>
      </w:pPr>
    </w:p>
    <w:p w:rsidR="00C05C71" w:rsidRPr="00245C90" w:rsidRDefault="00C05C71" w:rsidP="00245C90">
      <w:pPr>
        <w:numPr>
          <w:ilvl w:val="0"/>
          <w:numId w:val="37"/>
        </w:numPr>
        <w:spacing w:line="360" w:lineRule="auto"/>
        <w:jc w:val="both"/>
        <w:rPr>
          <w:b/>
        </w:rPr>
      </w:pPr>
      <w:r w:rsidRPr="00245C90">
        <w:rPr>
          <w:b/>
        </w:rPr>
        <w:t>Appreciation</w:t>
      </w:r>
    </w:p>
    <w:p w:rsidR="00C05C71" w:rsidRPr="00245C90" w:rsidRDefault="00C05C71" w:rsidP="00245C90">
      <w:pPr>
        <w:spacing w:line="360" w:lineRule="auto"/>
        <w:jc w:val="both"/>
        <w:rPr>
          <w:b/>
        </w:rPr>
      </w:pPr>
    </w:p>
    <w:p w:rsidR="003D7013" w:rsidRPr="00245C90" w:rsidRDefault="003D7013" w:rsidP="00245C90">
      <w:pPr>
        <w:pStyle w:val="ListParagraph"/>
        <w:numPr>
          <w:ilvl w:val="1"/>
          <w:numId w:val="37"/>
        </w:numPr>
        <w:spacing w:line="360" w:lineRule="auto"/>
        <w:ind w:left="709" w:hanging="709"/>
        <w:contextualSpacing/>
        <w:jc w:val="both"/>
      </w:pPr>
      <w:r w:rsidRPr="00245C90">
        <w:t xml:space="preserve">The Committee </w:t>
      </w:r>
      <w:r w:rsidR="00441F83" w:rsidRPr="00245C90">
        <w:t>wishes to thank</w:t>
      </w:r>
      <w:r w:rsidRPr="00245C90">
        <w:t xml:space="preserve"> </w:t>
      </w:r>
      <w:r w:rsidR="00441F83" w:rsidRPr="00245C90">
        <w:t xml:space="preserve">the Minister </w:t>
      </w:r>
      <w:r w:rsidR="006A170A">
        <w:t>and Deputy Minister of Justice and Correctional Services</w:t>
      </w:r>
      <w:r w:rsidR="00441F83" w:rsidRPr="00245C90">
        <w:t xml:space="preserve">; and </w:t>
      </w:r>
      <w:r w:rsidRPr="00245C90">
        <w:t>the Secretary-General: Office of the Chief Justice</w:t>
      </w:r>
      <w:r w:rsidR="00441F83" w:rsidRPr="00245C90">
        <w:t xml:space="preserve"> and her </w:t>
      </w:r>
      <w:r w:rsidRPr="00245C90">
        <w:t>team for appearing before the Committee.</w:t>
      </w:r>
    </w:p>
    <w:p w:rsidR="00441F83" w:rsidRPr="00245C90" w:rsidRDefault="00441F83" w:rsidP="00245C90">
      <w:pPr>
        <w:autoSpaceDE w:val="0"/>
        <w:autoSpaceDN w:val="0"/>
        <w:adjustRightInd w:val="0"/>
        <w:spacing w:line="360" w:lineRule="auto"/>
        <w:ind w:left="720"/>
        <w:jc w:val="both"/>
      </w:pPr>
    </w:p>
    <w:p w:rsidR="00C05C71" w:rsidRPr="00245C90" w:rsidRDefault="00F55FBB" w:rsidP="00245C90">
      <w:pPr>
        <w:pStyle w:val="ListParagraph"/>
        <w:numPr>
          <w:ilvl w:val="1"/>
          <w:numId w:val="37"/>
        </w:numPr>
        <w:spacing w:line="360" w:lineRule="auto"/>
        <w:ind w:left="709" w:hanging="709"/>
        <w:contextualSpacing/>
        <w:jc w:val="both"/>
      </w:pPr>
      <w:r w:rsidRPr="00245C90">
        <w:t>The Committee</w:t>
      </w:r>
      <w:r w:rsidR="00441F83" w:rsidRPr="00245C90">
        <w:t xml:space="preserve"> also wishe</w:t>
      </w:r>
      <w:r w:rsidR="006F7343">
        <w:t>s</w:t>
      </w:r>
      <w:r w:rsidR="00441F83" w:rsidRPr="00245C90">
        <w:t xml:space="preserve"> to</w:t>
      </w:r>
      <w:r w:rsidRPr="00245C90">
        <w:t xml:space="preserve"> thanks the </w:t>
      </w:r>
      <w:r w:rsidR="00441F83" w:rsidRPr="00245C90">
        <w:t xml:space="preserve">Auditor-General </w:t>
      </w:r>
      <w:r w:rsidR="001A6DD9" w:rsidRPr="00245C90">
        <w:t xml:space="preserve">SA for </w:t>
      </w:r>
      <w:r w:rsidR="00441F83" w:rsidRPr="00245C90">
        <w:t xml:space="preserve">briefing the Committee on the </w:t>
      </w:r>
      <w:r w:rsidR="00267EF1" w:rsidRPr="00245C90">
        <w:t xml:space="preserve">OCJ’s </w:t>
      </w:r>
      <w:r w:rsidR="00441F83" w:rsidRPr="00245C90">
        <w:t>audit outcomes for 2015/16.</w:t>
      </w:r>
    </w:p>
    <w:p w:rsidR="00F55FBB" w:rsidRPr="00245C90" w:rsidRDefault="00F55FBB" w:rsidP="00245C90">
      <w:pPr>
        <w:autoSpaceDE w:val="0"/>
        <w:autoSpaceDN w:val="0"/>
        <w:adjustRightInd w:val="0"/>
        <w:spacing w:line="360" w:lineRule="auto"/>
        <w:ind w:left="720"/>
        <w:jc w:val="both"/>
      </w:pPr>
    </w:p>
    <w:p w:rsidR="00267EF1" w:rsidRPr="00245C90" w:rsidRDefault="00267EF1" w:rsidP="00245C90">
      <w:pPr>
        <w:autoSpaceDE w:val="0"/>
        <w:autoSpaceDN w:val="0"/>
        <w:adjustRightInd w:val="0"/>
        <w:spacing w:line="360" w:lineRule="auto"/>
        <w:ind w:left="720"/>
        <w:jc w:val="both"/>
      </w:pPr>
    </w:p>
    <w:p w:rsidR="00C05C71" w:rsidRPr="00245C90" w:rsidRDefault="00C05C71" w:rsidP="00245C90">
      <w:pPr>
        <w:autoSpaceDE w:val="0"/>
        <w:autoSpaceDN w:val="0"/>
        <w:adjustRightInd w:val="0"/>
        <w:spacing w:line="360" w:lineRule="auto"/>
        <w:jc w:val="both"/>
        <w:rPr>
          <w:b/>
        </w:rPr>
      </w:pPr>
      <w:r w:rsidRPr="00245C90">
        <w:rPr>
          <w:b/>
        </w:rPr>
        <w:t>Report to be considered</w:t>
      </w:r>
    </w:p>
    <w:sectPr w:rsidR="00C05C71" w:rsidRPr="00245C90" w:rsidSect="00F804CA">
      <w:footerReference w:type="even" r:id="rId9"/>
      <w:footerReference w:type="default" r:id="rId10"/>
      <w:pgSz w:w="11906" w:h="16838"/>
      <w:pgMar w:top="1440" w:right="1800" w:bottom="1440"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D6" w:rsidRDefault="002E50D6">
      <w:r>
        <w:separator/>
      </w:r>
    </w:p>
  </w:endnote>
  <w:endnote w:type="continuationSeparator" w:id="0">
    <w:p w:rsidR="002E50D6" w:rsidRDefault="002E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24" w:rsidRDefault="005F4D24" w:rsidP="00F804CA">
    <w:pPr>
      <w:pStyle w:val="Footer"/>
      <w:framePr w:wrap="around" w:vAnchor="text" w:hAnchor="margin" w:xAlign="right"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rsidR="005F4D24" w:rsidRDefault="005F4D24" w:rsidP="00F804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5498"/>
      <w:docPartObj>
        <w:docPartGallery w:val="Page Numbers (Bottom of Page)"/>
        <w:docPartUnique/>
      </w:docPartObj>
    </w:sdtPr>
    <w:sdtEndPr>
      <w:rPr>
        <w:rFonts w:ascii="Arial" w:hAnsi="Arial" w:cs="Arial"/>
        <w:sz w:val="18"/>
        <w:szCs w:val="18"/>
      </w:rPr>
    </w:sdtEndPr>
    <w:sdtContent>
      <w:p w:rsidR="005F4D24" w:rsidRPr="00CF233F" w:rsidRDefault="005F4D24">
        <w:pPr>
          <w:pStyle w:val="Footer"/>
          <w:jc w:val="right"/>
          <w:rPr>
            <w:rFonts w:ascii="Arial" w:hAnsi="Arial" w:cs="Arial"/>
            <w:sz w:val="18"/>
            <w:szCs w:val="18"/>
          </w:rPr>
        </w:pPr>
        <w:r w:rsidRPr="00CF233F">
          <w:rPr>
            <w:rFonts w:ascii="Arial" w:hAnsi="Arial" w:cs="Arial"/>
            <w:sz w:val="18"/>
            <w:szCs w:val="18"/>
          </w:rPr>
          <w:fldChar w:fldCharType="begin"/>
        </w:r>
        <w:r w:rsidRPr="00CF233F">
          <w:rPr>
            <w:rFonts w:ascii="Arial" w:hAnsi="Arial" w:cs="Arial"/>
            <w:sz w:val="18"/>
            <w:szCs w:val="18"/>
          </w:rPr>
          <w:instrText xml:space="preserve"> PAGE   \* MERGEFORMAT </w:instrText>
        </w:r>
        <w:r w:rsidRPr="00CF233F">
          <w:rPr>
            <w:rFonts w:ascii="Arial" w:hAnsi="Arial" w:cs="Arial"/>
            <w:sz w:val="18"/>
            <w:szCs w:val="18"/>
          </w:rPr>
          <w:fldChar w:fldCharType="separate"/>
        </w:r>
        <w:r w:rsidR="00832292">
          <w:rPr>
            <w:rFonts w:ascii="Arial" w:hAnsi="Arial" w:cs="Arial"/>
            <w:noProof/>
            <w:sz w:val="18"/>
            <w:szCs w:val="18"/>
          </w:rPr>
          <w:t>1</w:t>
        </w:r>
        <w:r w:rsidRPr="00CF233F">
          <w:rPr>
            <w:rFonts w:ascii="Arial" w:hAnsi="Arial" w:cs="Arial"/>
            <w:sz w:val="18"/>
            <w:szCs w:val="18"/>
          </w:rPr>
          <w:fldChar w:fldCharType="end"/>
        </w:r>
      </w:p>
    </w:sdtContent>
  </w:sdt>
  <w:p w:rsidR="005F4D24" w:rsidRDefault="005F4D24" w:rsidP="00F804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D6" w:rsidRDefault="002E50D6">
      <w:r>
        <w:separator/>
      </w:r>
    </w:p>
  </w:footnote>
  <w:footnote w:type="continuationSeparator" w:id="0">
    <w:p w:rsidR="002E50D6" w:rsidRDefault="002E5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pStyle w:val="Heading3"/>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00347665"/>
    <w:multiLevelType w:val="hybridMultilevel"/>
    <w:tmpl w:val="02BAD1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DBD32B1"/>
    <w:multiLevelType w:val="multilevel"/>
    <w:tmpl w:val="B7221E70"/>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ascii="Arial" w:hAnsi="Arial" w:cs="Arial" w:hint="default"/>
        <w:b w:val="0"/>
        <w:i w:val="0"/>
        <w:sz w:val="22"/>
        <w:szCs w:val="22"/>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804AD9"/>
    <w:multiLevelType w:val="multilevel"/>
    <w:tmpl w:val="52142286"/>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341DA7"/>
    <w:multiLevelType w:val="multilevel"/>
    <w:tmpl w:val="F4224C1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62"/>
        </w:tabs>
        <w:ind w:left="862" w:hanging="720"/>
      </w:pPr>
      <w:rPr>
        <w:rFonts w:ascii="Times New Roman" w:hAnsi="Times New Roman" w:cs="Times New Roman" w:hint="default"/>
        <w:b w:val="0"/>
        <w:i w:val="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5D601B"/>
    <w:multiLevelType w:val="hybridMultilevel"/>
    <w:tmpl w:val="52FC083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40B2700"/>
    <w:multiLevelType w:val="multilevel"/>
    <w:tmpl w:val="AE0EF814"/>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2264EB"/>
    <w:multiLevelType w:val="multilevel"/>
    <w:tmpl w:val="2C88E37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97478C"/>
    <w:multiLevelType w:val="multilevel"/>
    <w:tmpl w:val="2BA48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17248A"/>
    <w:multiLevelType w:val="multilevel"/>
    <w:tmpl w:val="0D4467A6"/>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A16591"/>
    <w:multiLevelType w:val="hybridMultilevel"/>
    <w:tmpl w:val="78FCECAE"/>
    <w:lvl w:ilvl="0" w:tplc="95322804">
      <w:start w:val="1"/>
      <w:numFmt w:val="bullet"/>
      <w:lvlText w:val=""/>
      <w:lvlJc w:val="left"/>
      <w:pPr>
        <w:tabs>
          <w:tab w:val="num" w:pos="720"/>
        </w:tabs>
        <w:ind w:left="720" w:hanging="360"/>
      </w:pPr>
      <w:rPr>
        <w:rFonts w:ascii="Symbol" w:hAnsi="Symbol"/>
        <w:b w:val="0"/>
      </w:rPr>
    </w:lvl>
    <w:lvl w:ilvl="1" w:tplc="08090001">
      <w:start w:val="1"/>
      <w:numFmt w:val="bullet"/>
      <w:lvlText w:val=""/>
      <w:lvlJc w:val="left"/>
      <w:pPr>
        <w:tabs>
          <w:tab w:val="num" w:pos="1440"/>
        </w:tabs>
        <w:ind w:left="1440" w:hanging="360"/>
      </w:pPr>
      <w:rPr>
        <w:rFonts w:ascii="Symbol" w:hAnsi="Symbol" w:hint="default"/>
        <w:b w:val="0"/>
      </w:rPr>
    </w:lvl>
    <w:lvl w:ilvl="2" w:tplc="27CADCDC">
      <w:start w:val="13"/>
      <w:numFmt w:val="decimal"/>
      <w:lvlText w:val="%3."/>
      <w:lvlJc w:val="left"/>
      <w:pPr>
        <w:tabs>
          <w:tab w:val="num" w:pos="2340"/>
        </w:tabs>
        <w:ind w:left="2340" w:hanging="360"/>
      </w:pPr>
      <w:rPr>
        <w:rFonts w:hint="default"/>
      </w:r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nsid w:val="27CD1F31"/>
    <w:multiLevelType w:val="multilevel"/>
    <w:tmpl w:val="A8EE6580"/>
    <w:lvl w:ilvl="0">
      <w:start w:val="1"/>
      <w:numFmt w:val="bullet"/>
      <w:lvlText w:val=""/>
      <w:lvlJc w:val="left"/>
      <w:pPr>
        <w:ind w:left="1080" w:hanging="360"/>
      </w:pPr>
      <w:rPr>
        <w:rFonts w:ascii="Symbol" w:hAnsi="Symbol" w:hint="default"/>
        <w:i w:val="0"/>
      </w:rPr>
    </w:lvl>
    <w:lvl w:ilvl="1">
      <w:start w:val="1"/>
      <w:numFmt w:val="bullet"/>
      <w:lvlText w:val=""/>
      <w:lvlJc w:val="left"/>
      <w:pPr>
        <w:ind w:left="1440" w:hanging="720"/>
      </w:pPr>
      <w:rPr>
        <w:rFonts w:ascii="Symbol" w:hAnsi="Symbol" w:hint="default"/>
        <w:i w:val="0"/>
      </w:rPr>
    </w:lvl>
    <w:lvl w:ilvl="2">
      <w:start w:val="1"/>
      <w:numFmt w:val="decimal"/>
      <w:lvlText w:val="%1.%2.%3."/>
      <w:lvlJc w:val="left"/>
      <w:pPr>
        <w:ind w:left="1440" w:hanging="720"/>
      </w:pPr>
      <w:rPr>
        <w:rFonts w:ascii="Arial" w:hAnsi="Arial" w:cs="Arial"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2">
    <w:nsid w:val="2947346A"/>
    <w:multiLevelType w:val="multilevel"/>
    <w:tmpl w:val="DD86150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817011"/>
    <w:multiLevelType w:val="multilevel"/>
    <w:tmpl w:val="08B2F60E"/>
    <w:lvl w:ilvl="0">
      <w:start w:val="1"/>
      <w:numFmt w:val="bullet"/>
      <w:lvlText w:val=""/>
      <w:lvlJc w:val="left"/>
      <w:pPr>
        <w:tabs>
          <w:tab w:val="num" w:pos="1713"/>
        </w:tabs>
        <w:ind w:left="1713" w:hanging="360"/>
      </w:pPr>
      <w:rPr>
        <w:rFonts w:ascii="Wingdings" w:hAnsi="Wingdings" w:hint="default"/>
        <w:b w:val="0"/>
        <w:i w:val="0"/>
      </w:rPr>
    </w:lvl>
    <w:lvl w:ilvl="1">
      <w:start w:val="1"/>
      <w:numFmt w:val="decimal"/>
      <w:lvlText w:val="%1.%2."/>
      <w:lvlJc w:val="left"/>
      <w:pPr>
        <w:tabs>
          <w:tab w:val="num" w:pos="1287"/>
        </w:tabs>
        <w:ind w:left="1287" w:hanging="720"/>
      </w:pPr>
      <w:rPr>
        <w:rFonts w:ascii="Arial" w:hAnsi="Arial" w:cs="Arial" w:hint="default"/>
        <w:b w:val="0"/>
        <w:i w:val="0"/>
      </w:rPr>
    </w:lvl>
    <w:lvl w:ilvl="2">
      <w:start w:val="1"/>
      <w:numFmt w:val="bullet"/>
      <w:lvlText w:val=""/>
      <w:lvlJc w:val="left"/>
      <w:pPr>
        <w:tabs>
          <w:tab w:val="num" w:pos="927"/>
        </w:tabs>
        <w:ind w:left="927" w:hanging="360"/>
      </w:pPr>
      <w:rPr>
        <w:rFonts w:ascii="Symbol" w:hAnsi="Symbol" w:hint="default"/>
        <w:b w:val="0"/>
        <w:i w:val="0"/>
      </w:rPr>
    </w:lvl>
    <w:lvl w:ilvl="3">
      <w:start w:val="1"/>
      <w:numFmt w:val="decimal"/>
      <w:lvlText w:val="%1.%2.%3.%4."/>
      <w:lvlJc w:val="left"/>
      <w:pPr>
        <w:tabs>
          <w:tab w:val="num" w:pos="1647"/>
        </w:tabs>
        <w:ind w:left="1647" w:hanging="108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2007"/>
        </w:tabs>
        <w:ind w:left="2007" w:hanging="144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367"/>
        </w:tabs>
        <w:ind w:left="2367" w:hanging="1800"/>
      </w:pPr>
      <w:rPr>
        <w:rFonts w:hint="default"/>
      </w:rPr>
    </w:lvl>
    <w:lvl w:ilvl="8">
      <w:start w:val="1"/>
      <w:numFmt w:val="decimal"/>
      <w:lvlText w:val="%1.%2.%3.%4.%5.%6.%7.%8.%9."/>
      <w:lvlJc w:val="left"/>
      <w:pPr>
        <w:tabs>
          <w:tab w:val="num" w:pos="2367"/>
        </w:tabs>
        <w:ind w:left="2367" w:hanging="1800"/>
      </w:pPr>
      <w:rPr>
        <w:rFonts w:hint="default"/>
      </w:rPr>
    </w:lvl>
  </w:abstractNum>
  <w:abstractNum w:abstractNumId="14">
    <w:nsid w:val="2FA22827"/>
    <w:multiLevelType w:val="multilevel"/>
    <w:tmpl w:val="2878E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195B25"/>
    <w:multiLevelType w:val="multilevel"/>
    <w:tmpl w:val="BC72FC3E"/>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D44B89"/>
    <w:multiLevelType w:val="multilevel"/>
    <w:tmpl w:val="D1006CDE"/>
    <w:lvl w:ilvl="0">
      <w:start w:val="7"/>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9F709D2"/>
    <w:multiLevelType w:val="multilevel"/>
    <w:tmpl w:val="DD86150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2E69B0"/>
    <w:multiLevelType w:val="hybridMultilevel"/>
    <w:tmpl w:val="940E72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06806A6"/>
    <w:multiLevelType w:val="multilevel"/>
    <w:tmpl w:val="64A8018C"/>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720"/>
        </w:tabs>
        <w:ind w:left="720" w:hanging="720"/>
      </w:pPr>
      <w:rPr>
        <w:rFonts w:ascii="Arial" w:hAnsi="Arial" w:cs="Arial" w:hint="default"/>
        <w:b w:val="0"/>
        <w:i w:val="0"/>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3B7D8D"/>
    <w:multiLevelType w:val="hybridMultilevel"/>
    <w:tmpl w:val="CF2C69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7746F4"/>
    <w:multiLevelType w:val="hybridMultilevel"/>
    <w:tmpl w:val="7F6CE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DC37970"/>
    <w:multiLevelType w:val="multilevel"/>
    <w:tmpl w:val="3D2E97C6"/>
    <w:lvl w:ilvl="0">
      <w:start w:val="1"/>
      <w:numFmt w:val="bullet"/>
      <w:lvlText w:val=""/>
      <w:lvlJc w:val="left"/>
      <w:pPr>
        <w:tabs>
          <w:tab w:val="num" w:pos="750"/>
        </w:tabs>
        <w:ind w:left="750" w:hanging="375"/>
      </w:pPr>
      <w:rPr>
        <w:rFonts w:ascii="Symbol" w:hAnsi="Symbol" w:hint="default"/>
        <w:b w:val="0"/>
      </w:rPr>
    </w:lvl>
    <w:lvl w:ilvl="1">
      <w:start w:val="1"/>
      <w:numFmt w:val="decimal"/>
      <w:lvlText w:val="%1.%2."/>
      <w:lvlJc w:val="left"/>
      <w:pPr>
        <w:tabs>
          <w:tab w:val="num" w:pos="1095"/>
        </w:tabs>
        <w:ind w:left="1095" w:hanging="720"/>
      </w:pPr>
      <w:rPr>
        <w:rFonts w:ascii="Arial" w:hAnsi="Arial" w:cs="Arial" w:hint="default"/>
        <w:b w:val="0"/>
        <w:i w:val="0"/>
        <w:sz w:val="22"/>
        <w:szCs w:val="22"/>
      </w:rPr>
    </w:lvl>
    <w:lvl w:ilvl="2">
      <w:start w:val="1"/>
      <w:numFmt w:val="decimal"/>
      <w:lvlText w:val="%1.%2.%3."/>
      <w:lvlJc w:val="left"/>
      <w:pPr>
        <w:tabs>
          <w:tab w:val="num" w:pos="1095"/>
        </w:tabs>
        <w:ind w:left="1095" w:hanging="720"/>
      </w:pPr>
      <w:rPr>
        <w:rFonts w:hint="default"/>
        <w:b w:val="0"/>
        <w:sz w:val="22"/>
        <w:szCs w:val="22"/>
      </w:rPr>
    </w:lvl>
    <w:lvl w:ilvl="3">
      <w:start w:val="1"/>
      <w:numFmt w:val="decimal"/>
      <w:lvlText w:val="%1.%2.%3.%4."/>
      <w:lvlJc w:val="left"/>
      <w:pPr>
        <w:tabs>
          <w:tab w:val="num" w:pos="1455"/>
        </w:tabs>
        <w:ind w:left="1455" w:hanging="1080"/>
      </w:pPr>
      <w:rPr>
        <w:rFonts w:hint="default"/>
      </w:rPr>
    </w:lvl>
    <w:lvl w:ilvl="4">
      <w:start w:val="1"/>
      <w:numFmt w:val="decimal"/>
      <w:lvlText w:val="%1.%2.%3.%4.%5."/>
      <w:lvlJc w:val="left"/>
      <w:pPr>
        <w:tabs>
          <w:tab w:val="num" w:pos="1455"/>
        </w:tabs>
        <w:ind w:left="1455"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15"/>
        </w:tabs>
        <w:ind w:left="1815" w:hanging="1440"/>
      </w:pPr>
      <w:rPr>
        <w:rFonts w:hint="default"/>
      </w:rPr>
    </w:lvl>
    <w:lvl w:ilvl="7">
      <w:start w:val="1"/>
      <w:numFmt w:val="decimal"/>
      <w:lvlText w:val="%1.%2.%3.%4.%5.%6.%7.%8."/>
      <w:lvlJc w:val="left"/>
      <w:pPr>
        <w:tabs>
          <w:tab w:val="num" w:pos="2175"/>
        </w:tabs>
        <w:ind w:left="2175" w:hanging="1800"/>
      </w:pPr>
      <w:rPr>
        <w:rFonts w:hint="default"/>
      </w:rPr>
    </w:lvl>
    <w:lvl w:ilvl="8">
      <w:start w:val="1"/>
      <w:numFmt w:val="decimal"/>
      <w:lvlText w:val="%1.%2.%3.%4.%5.%6.%7.%8.%9."/>
      <w:lvlJc w:val="left"/>
      <w:pPr>
        <w:tabs>
          <w:tab w:val="num" w:pos="2175"/>
        </w:tabs>
        <w:ind w:left="2175" w:hanging="1800"/>
      </w:pPr>
      <w:rPr>
        <w:rFonts w:hint="default"/>
      </w:rPr>
    </w:lvl>
  </w:abstractNum>
  <w:abstractNum w:abstractNumId="23">
    <w:nsid w:val="4E1007FD"/>
    <w:multiLevelType w:val="multilevel"/>
    <w:tmpl w:val="34F6448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1004"/>
        </w:tabs>
        <w:ind w:left="1004" w:hanging="720"/>
      </w:pPr>
      <w:rPr>
        <w:rFonts w:ascii="Arial" w:hAnsi="Arial" w:cs="Arial" w:hint="default"/>
        <w:b w:val="0"/>
        <w:i w:val="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72220A"/>
    <w:multiLevelType w:val="hybridMultilevel"/>
    <w:tmpl w:val="37E485C6"/>
    <w:lvl w:ilvl="0" w:tplc="1C090001">
      <w:start w:val="1"/>
      <w:numFmt w:val="bullet"/>
      <w:lvlText w:val=""/>
      <w:lvlJc w:val="left"/>
      <w:pPr>
        <w:ind w:left="928"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5">
    <w:nsid w:val="4FE53B72"/>
    <w:multiLevelType w:val="multilevel"/>
    <w:tmpl w:val="C478E27E"/>
    <w:lvl w:ilvl="0">
      <w:start w:val="11"/>
      <w:numFmt w:val="decimal"/>
      <w:lvlText w:val="%1."/>
      <w:lvlJc w:val="left"/>
      <w:pPr>
        <w:ind w:left="600" w:hanging="600"/>
      </w:pPr>
      <w:rPr>
        <w:rFonts w:hint="default"/>
        <w:b w:val="0"/>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09229C4"/>
    <w:multiLevelType w:val="hybridMultilevel"/>
    <w:tmpl w:val="05F01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C3B1028"/>
    <w:multiLevelType w:val="multilevel"/>
    <w:tmpl w:val="F7A4D4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E800B2"/>
    <w:multiLevelType w:val="hybridMultilevel"/>
    <w:tmpl w:val="A56E12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2C852C9"/>
    <w:multiLevelType w:val="hybridMultilevel"/>
    <w:tmpl w:val="5C661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F93DC5"/>
    <w:multiLevelType w:val="multilevel"/>
    <w:tmpl w:val="34F6448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1004"/>
        </w:tabs>
        <w:ind w:left="1004" w:hanging="720"/>
      </w:pPr>
      <w:rPr>
        <w:rFonts w:ascii="Arial" w:hAnsi="Arial" w:cs="Arial" w:hint="default"/>
        <w:b w:val="0"/>
        <w:i w:val="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3A20FF9"/>
    <w:multiLevelType w:val="multilevel"/>
    <w:tmpl w:val="E426142C"/>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65E634D"/>
    <w:multiLevelType w:val="hybridMultilevel"/>
    <w:tmpl w:val="BD088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715577"/>
    <w:multiLevelType w:val="hybridMultilevel"/>
    <w:tmpl w:val="171AC974"/>
    <w:lvl w:ilvl="0" w:tplc="A9A4A5C2">
      <w:start w:val="1"/>
      <w:numFmt w:val="bullet"/>
      <w:lvlText w:val=""/>
      <w:lvlJc w:val="left"/>
      <w:pPr>
        <w:tabs>
          <w:tab w:val="num" w:pos="720"/>
        </w:tabs>
        <w:ind w:left="720" w:hanging="360"/>
      </w:pPr>
      <w:rPr>
        <w:rFonts w:ascii="Symbol" w:hAnsi="Symbol" w:hint="default"/>
        <w:b w:val="0"/>
        <w:u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CC6E3A"/>
    <w:multiLevelType w:val="hybridMultilevel"/>
    <w:tmpl w:val="F7AAF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9C87862"/>
    <w:multiLevelType w:val="hybridMultilevel"/>
    <w:tmpl w:val="E4E264E6"/>
    <w:lvl w:ilvl="0" w:tplc="08090001">
      <w:start w:val="1"/>
      <w:numFmt w:val="bullet"/>
      <w:lvlText w:val=""/>
      <w:lvlJc w:val="left"/>
      <w:pPr>
        <w:tabs>
          <w:tab w:val="num" w:pos="720"/>
        </w:tabs>
        <w:ind w:left="720" w:hanging="360"/>
      </w:pPr>
      <w:rPr>
        <w:rFonts w:ascii="Symbol" w:hAnsi="Symbol" w:hint="default"/>
        <w:b w:val="0"/>
      </w:rPr>
    </w:lvl>
    <w:lvl w:ilvl="1" w:tplc="0409000B">
      <w:start w:val="1"/>
      <w:numFmt w:val="bullet"/>
      <w:lvlText w:val=""/>
      <w:lvlJc w:val="left"/>
      <w:pPr>
        <w:tabs>
          <w:tab w:val="num" w:pos="1350"/>
        </w:tabs>
        <w:ind w:left="1350" w:hanging="360"/>
      </w:pPr>
      <w:rPr>
        <w:rFonts w:ascii="Wingdings" w:hAnsi="Wingdings" w:hint="default"/>
        <w:b w:val="0"/>
      </w:rPr>
    </w:lvl>
    <w:lvl w:ilvl="2" w:tplc="27CADCDC">
      <w:start w:val="13"/>
      <w:numFmt w:val="decimal"/>
      <w:lvlText w:val="%3."/>
      <w:lvlJc w:val="left"/>
      <w:pPr>
        <w:tabs>
          <w:tab w:val="num" w:pos="2340"/>
        </w:tabs>
        <w:ind w:left="2340" w:hanging="360"/>
      </w:pPr>
      <w:rPr>
        <w:rFonts w:hint="default"/>
      </w:rPr>
    </w:lvl>
    <w:lvl w:ilvl="3" w:tplc="EA74F82A">
      <w:start w:val="3"/>
      <w:numFmt w:val="bullet"/>
      <w:lvlText w:val="-"/>
      <w:lvlJc w:val="left"/>
      <w:pPr>
        <w:ind w:left="2880" w:hanging="360"/>
      </w:pPr>
      <w:rPr>
        <w:rFonts w:ascii="Arial" w:eastAsia="Times New Roman" w:hAnsi="Arial" w:cs="Arial" w:hint="default"/>
      </w:rPr>
    </w:lvl>
    <w:lvl w:ilvl="4" w:tplc="35AC7D64">
      <w:start w:val="10"/>
      <w:numFmt w:val="decimal"/>
      <w:lvlText w:val="%5"/>
      <w:lvlJc w:val="left"/>
      <w:pPr>
        <w:ind w:left="3600" w:hanging="360"/>
      </w:pPr>
      <w:rPr>
        <w:rFonts w:hint="default"/>
      </w:r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6">
    <w:nsid w:val="6BF742CD"/>
    <w:multiLevelType w:val="hybridMultilevel"/>
    <w:tmpl w:val="F7C4A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8705FF"/>
    <w:multiLevelType w:val="multilevel"/>
    <w:tmpl w:val="D56080CE"/>
    <w:lvl w:ilvl="0">
      <w:start w:val="1"/>
      <w:numFmt w:val="decimal"/>
      <w:lvlText w:val="%1."/>
      <w:lvlJc w:val="left"/>
      <w:pPr>
        <w:ind w:left="720" w:hanging="360"/>
      </w:pPr>
      <w:rPr>
        <w:b w:val="0"/>
      </w:rPr>
    </w:lvl>
    <w:lvl w:ilvl="1">
      <w:start w:val="1"/>
      <w:numFmt w:val="decimal"/>
      <w:isLgl/>
      <w:lvlText w:val="%1.%2."/>
      <w:lvlJc w:val="left"/>
      <w:pPr>
        <w:ind w:left="720" w:hanging="360"/>
      </w:pPr>
      <w:rPr>
        <w:rFonts w:ascii="Arial" w:hAnsi="Arial" w:cs="Arial" w:hint="default"/>
        <w:b w:val="0"/>
        <w:sz w:val="22"/>
        <w:szCs w:val="22"/>
      </w:rPr>
    </w:lvl>
    <w:lvl w:ilvl="2">
      <w:start w:val="1"/>
      <w:numFmt w:val="decimal"/>
      <w:isLgl/>
      <w:lvlText w:val="%1.%2.%3."/>
      <w:lvlJc w:val="left"/>
      <w:pPr>
        <w:ind w:left="2989"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FC826CC"/>
    <w:multiLevelType w:val="multilevel"/>
    <w:tmpl w:val="3D5C8746"/>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13C66AE"/>
    <w:multiLevelType w:val="hybridMultilevel"/>
    <w:tmpl w:val="005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9006A"/>
    <w:multiLevelType w:val="hybridMultilevel"/>
    <w:tmpl w:val="09F695D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74750970"/>
    <w:multiLevelType w:val="multilevel"/>
    <w:tmpl w:val="18501208"/>
    <w:lvl w:ilvl="0">
      <w:start w:val="3"/>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ascii="Arial" w:hAnsi="Arial" w:cs="Arial"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9C96600"/>
    <w:multiLevelType w:val="hybridMultilevel"/>
    <w:tmpl w:val="D7463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375E9D"/>
    <w:multiLevelType w:val="multilevel"/>
    <w:tmpl w:val="C1A8C01E"/>
    <w:lvl w:ilvl="0">
      <w:start w:val="11"/>
      <w:numFmt w:val="decimal"/>
      <w:lvlText w:val="%1."/>
      <w:lvlJc w:val="left"/>
      <w:pPr>
        <w:ind w:left="480" w:hanging="480"/>
      </w:pPr>
      <w:rPr>
        <w:rFonts w:hint="default"/>
        <w:b w:val="0"/>
        <w:color w:val="auto"/>
      </w:rPr>
    </w:lvl>
    <w:lvl w:ilvl="1">
      <w:start w:val="1"/>
      <w:numFmt w:val="decimal"/>
      <w:lvlText w:val="%1.%2."/>
      <w:lvlJc w:val="left"/>
      <w:pPr>
        <w:ind w:left="720" w:hanging="720"/>
      </w:pPr>
      <w:rPr>
        <w:rFonts w:ascii="Arial" w:hAnsi="Arial" w:cs="Arial" w:hint="default"/>
        <w:b w:val="0"/>
        <w:i w:val="0"/>
        <w:color w:val="auto"/>
      </w:rPr>
    </w:lvl>
    <w:lvl w:ilvl="2">
      <w:start w:val="1"/>
      <w:numFmt w:val="decimal"/>
      <w:lvlText w:val="%1.%2.%3."/>
      <w:lvlJc w:val="left"/>
      <w:pPr>
        <w:ind w:left="720" w:hanging="720"/>
      </w:pPr>
      <w:rPr>
        <w:rFonts w:ascii="Arial" w:hAnsi="Arial" w:cs="Arial" w:hint="default"/>
        <w:b w:val="0"/>
        <w:i w:val="0"/>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4">
    <w:nsid w:val="7AB37BD9"/>
    <w:multiLevelType w:val="multilevel"/>
    <w:tmpl w:val="CCAC99A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04"/>
        </w:tabs>
        <w:ind w:left="1004" w:hanging="720"/>
      </w:pPr>
      <w:rPr>
        <w:rFonts w:ascii="Arial" w:hAnsi="Arial" w:cs="Arial" w:hint="default"/>
        <w:b w:val="0"/>
        <w:i w:val="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C0364D0"/>
    <w:multiLevelType w:val="multilevel"/>
    <w:tmpl w:val="977AB1B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0"/>
  </w:num>
  <w:num w:numId="4">
    <w:abstractNumId w:val="19"/>
  </w:num>
  <w:num w:numId="5">
    <w:abstractNumId w:val="33"/>
  </w:num>
  <w:num w:numId="6">
    <w:abstractNumId w:val="5"/>
  </w:num>
  <w:num w:numId="7">
    <w:abstractNumId w:val="11"/>
  </w:num>
  <w:num w:numId="8">
    <w:abstractNumId w:val="14"/>
  </w:num>
  <w:num w:numId="9">
    <w:abstractNumId w:val="35"/>
  </w:num>
  <w:num w:numId="10">
    <w:abstractNumId w:val="25"/>
  </w:num>
  <w:num w:numId="11">
    <w:abstractNumId w:val="41"/>
  </w:num>
  <w:num w:numId="12">
    <w:abstractNumId w:val="8"/>
  </w:num>
  <w:num w:numId="13">
    <w:abstractNumId w:val="43"/>
  </w:num>
  <w:num w:numId="14">
    <w:abstractNumId w:val="21"/>
  </w:num>
  <w:num w:numId="15">
    <w:abstractNumId w:val="24"/>
  </w:num>
  <w:num w:numId="16">
    <w:abstractNumId w:val="13"/>
  </w:num>
  <w:num w:numId="17">
    <w:abstractNumId w:val="26"/>
  </w:num>
  <w:num w:numId="18">
    <w:abstractNumId w:val="18"/>
  </w:num>
  <w:num w:numId="19">
    <w:abstractNumId w:val="31"/>
  </w:num>
  <w:num w:numId="20">
    <w:abstractNumId w:val="38"/>
  </w:num>
  <w:num w:numId="21">
    <w:abstractNumId w:val="17"/>
  </w:num>
  <w:num w:numId="22">
    <w:abstractNumId w:val="12"/>
  </w:num>
  <w:num w:numId="23">
    <w:abstractNumId w:val="37"/>
  </w:num>
  <w:num w:numId="24">
    <w:abstractNumId w:val="34"/>
  </w:num>
  <w:num w:numId="25">
    <w:abstractNumId w:val="2"/>
  </w:num>
  <w:num w:numId="26">
    <w:abstractNumId w:val="36"/>
  </w:num>
  <w:num w:numId="27">
    <w:abstractNumId w:val="39"/>
  </w:num>
  <w:num w:numId="28">
    <w:abstractNumId w:val="29"/>
  </w:num>
  <w:num w:numId="29">
    <w:abstractNumId w:val="42"/>
  </w:num>
  <w:num w:numId="30">
    <w:abstractNumId w:val="7"/>
  </w:num>
  <w:num w:numId="31">
    <w:abstractNumId w:val="1"/>
  </w:num>
  <w:num w:numId="32">
    <w:abstractNumId w:val="40"/>
  </w:num>
  <w:num w:numId="33">
    <w:abstractNumId w:val="27"/>
  </w:num>
  <w:num w:numId="34">
    <w:abstractNumId w:val="20"/>
  </w:num>
  <w:num w:numId="35">
    <w:abstractNumId w:val="15"/>
  </w:num>
  <w:num w:numId="36">
    <w:abstractNumId w:val="9"/>
  </w:num>
  <w:num w:numId="37">
    <w:abstractNumId w:val="16"/>
  </w:num>
  <w:num w:numId="38">
    <w:abstractNumId w:val="45"/>
  </w:num>
  <w:num w:numId="39">
    <w:abstractNumId w:val="3"/>
  </w:num>
  <w:num w:numId="40">
    <w:abstractNumId w:val="44"/>
  </w:num>
  <w:num w:numId="41">
    <w:abstractNumId w:val="22"/>
  </w:num>
  <w:num w:numId="42">
    <w:abstractNumId w:val="6"/>
  </w:num>
  <w:num w:numId="43">
    <w:abstractNumId w:val="23"/>
  </w:num>
  <w:num w:numId="44">
    <w:abstractNumId w:val="30"/>
  </w:num>
  <w:num w:numId="45">
    <w:abstractNumId w:val="28"/>
  </w:num>
  <w:num w:numId="46">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71"/>
    <w:rsid w:val="000009F6"/>
    <w:rsid w:val="0000224A"/>
    <w:rsid w:val="000062EA"/>
    <w:rsid w:val="000069DC"/>
    <w:rsid w:val="0001400E"/>
    <w:rsid w:val="00014448"/>
    <w:rsid w:val="00016E73"/>
    <w:rsid w:val="000202BA"/>
    <w:rsid w:val="00020B91"/>
    <w:rsid w:val="00023EED"/>
    <w:rsid w:val="000269DB"/>
    <w:rsid w:val="0003426D"/>
    <w:rsid w:val="000373FF"/>
    <w:rsid w:val="0004144D"/>
    <w:rsid w:val="00042CCC"/>
    <w:rsid w:val="00043395"/>
    <w:rsid w:val="000447CB"/>
    <w:rsid w:val="000447D4"/>
    <w:rsid w:val="00045AB7"/>
    <w:rsid w:val="00047B13"/>
    <w:rsid w:val="000538C8"/>
    <w:rsid w:val="0006122A"/>
    <w:rsid w:val="00063587"/>
    <w:rsid w:val="00065233"/>
    <w:rsid w:val="000662D4"/>
    <w:rsid w:val="0007265D"/>
    <w:rsid w:val="00076002"/>
    <w:rsid w:val="00076247"/>
    <w:rsid w:val="00080295"/>
    <w:rsid w:val="000864C9"/>
    <w:rsid w:val="0008733A"/>
    <w:rsid w:val="00096E1F"/>
    <w:rsid w:val="000A0DC8"/>
    <w:rsid w:val="000A6DDC"/>
    <w:rsid w:val="000B5EE4"/>
    <w:rsid w:val="000B6426"/>
    <w:rsid w:val="000B6969"/>
    <w:rsid w:val="000D1AFC"/>
    <w:rsid w:val="000D4D23"/>
    <w:rsid w:val="000D562C"/>
    <w:rsid w:val="000E3CAF"/>
    <w:rsid w:val="000E79AC"/>
    <w:rsid w:val="000E7C2C"/>
    <w:rsid w:val="000F1A95"/>
    <w:rsid w:val="000F3FE7"/>
    <w:rsid w:val="000F733B"/>
    <w:rsid w:val="000F73CD"/>
    <w:rsid w:val="000F73FD"/>
    <w:rsid w:val="000F77F3"/>
    <w:rsid w:val="00100AF7"/>
    <w:rsid w:val="0010190B"/>
    <w:rsid w:val="00104AC8"/>
    <w:rsid w:val="0010609A"/>
    <w:rsid w:val="00106623"/>
    <w:rsid w:val="00106BD2"/>
    <w:rsid w:val="00113A34"/>
    <w:rsid w:val="00114870"/>
    <w:rsid w:val="00115036"/>
    <w:rsid w:val="00116ED2"/>
    <w:rsid w:val="00117BD6"/>
    <w:rsid w:val="00122583"/>
    <w:rsid w:val="00124DA2"/>
    <w:rsid w:val="00125D48"/>
    <w:rsid w:val="00126EC6"/>
    <w:rsid w:val="001276C6"/>
    <w:rsid w:val="001322B5"/>
    <w:rsid w:val="00136612"/>
    <w:rsid w:val="00137125"/>
    <w:rsid w:val="0014066F"/>
    <w:rsid w:val="00144F8B"/>
    <w:rsid w:val="00145084"/>
    <w:rsid w:val="00146846"/>
    <w:rsid w:val="00147AC6"/>
    <w:rsid w:val="00150156"/>
    <w:rsid w:val="0015553B"/>
    <w:rsid w:val="00157E9A"/>
    <w:rsid w:val="00160ABF"/>
    <w:rsid w:val="00160D5E"/>
    <w:rsid w:val="00163DE4"/>
    <w:rsid w:val="001653DF"/>
    <w:rsid w:val="00166193"/>
    <w:rsid w:val="00166572"/>
    <w:rsid w:val="0017020C"/>
    <w:rsid w:val="001704AF"/>
    <w:rsid w:val="00171A0F"/>
    <w:rsid w:val="00173B82"/>
    <w:rsid w:val="00175927"/>
    <w:rsid w:val="00176904"/>
    <w:rsid w:val="001801F9"/>
    <w:rsid w:val="00180630"/>
    <w:rsid w:val="001901CC"/>
    <w:rsid w:val="00191722"/>
    <w:rsid w:val="00197254"/>
    <w:rsid w:val="001A33E1"/>
    <w:rsid w:val="001A4337"/>
    <w:rsid w:val="001A6055"/>
    <w:rsid w:val="001A6DD9"/>
    <w:rsid w:val="001B20FF"/>
    <w:rsid w:val="001B2524"/>
    <w:rsid w:val="001B2EA8"/>
    <w:rsid w:val="001B2EBA"/>
    <w:rsid w:val="001B4F22"/>
    <w:rsid w:val="001C0AA1"/>
    <w:rsid w:val="001C6D01"/>
    <w:rsid w:val="001E3083"/>
    <w:rsid w:val="001E3C8D"/>
    <w:rsid w:val="001E5117"/>
    <w:rsid w:val="001F00BC"/>
    <w:rsid w:val="001F14AD"/>
    <w:rsid w:val="001F2922"/>
    <w:rsid w:val="00200335"/>
    <w:rsid w:val="00202928"/>
    <w:rsid w:val="00206707"/>
    <w:rsid w:val="002111BE"/>
    <w:rsid w:val="00215FA6"/>
    <w:rsid w:val="00220480"/>
    <w:rsid w:val="002204C4"/>
    <w:rsid w:val="00220762"/>
    <w:rsid w:val="00224CFC"/>
    <w:rsid w:val="00227332"/>
    <w:rsid w:val="00230F95"/>
    <w:rsid w:val="002311B4"/>
    <w:rsid w:val="00233C8D"/>
    <w:rsid w:val="00236552"/>
    <w:rsid w:val="00245C90"/>
    <w:rsid w:val="0025115C"/>
    <w:rsid w:val="00251D68"/>
    <w:rsid w:val="00253004"/>
    <w:rsid w:val="00255C31"/>
    <w:rsid w:val="0025679E"/>
    <w:rsid w:val="00260B56"/>
    <w:rsid w:val="00264BA3"/>
    <w:rsid w:val="00264DA2"/>
    <w:rsid w:val="002652AE"/>
    <w:rsid w:val="00267EF1"/>
    <w:rsid w:val="002730BD"/>
    <w:rsid w:val="00276510"/>
    <w:rsid w:val="002819AF"/>
    <w:rsid w:val="00282EC8"/>
    <w:rsid w:val="002952D5"/>
    <w:rsid w:val="00297919"/>
    <w:rsid w:val="002A7375"/>
    <w:rsid w:val="002B04F8"/>
    <w:rsid w:val="002B3E59"/>
    <w:rsid w:val="002B4D7B"/>
    <w:rsid w:val="002B4E95"/>
    <w:rsid w:val="002B578D"/>
    <w:rsid w:val="002B6E4D"/>
    <w:rsid w:val="002C1874"/>
    <w:rsid w:val="002C490B"/>
    <w:rsid w:val="002C5EE8"/>
    <w:rsid w:val="002C5FD1"/>
    <w:rsid w:val="002C64E9"/>
    <w:rsid w:val="002C7DA7"/>
    <w:rsid w:val="002D3155"/>
    <w:rsid w:val="002D583D"/>
    <w:rsid w:val="002E0B56"/>
    <w:rsid w:val="002E1B03"/>
    <w:rsid w:val="002E2277"/>
    <w:rsid w:val="002E4375"/>
    <w:rsid w:val="002E4768"/>
    <w:rsid w:val="002E50D6"/>
    <w:rsid w:val="002E58EB"/>
    <w:rsid w:val="002E6F78"/>
    <w:rsid w:val="002F3AE7"/>
    <w:rsid w:val="002F4BD6"/>
    <w:rsid w:val="002F76D8"/>
    <w:rsid w:val="00300C69"/>
    <w:rsid w:val="00304C54"/>
    <w:rsid w:val="0031044F"/>
    <w:rsid w:val="00310646"/>
    <w:rsid w:val="00312DF0"/>
    <w:rsid w:val="003148D2"/>
    <w:rsid w:val="00314DF9"/>
    <w:rsid w:val="003177D0"/>
    <w:rsid w:val="00321AE1"/>
    <w:rsid w:val="00323373"/>
    <w:rsid w:val="00324A09"/>
    <w:rsid w:val="00337E36"/>
    <w:rsid w:val="00340137"/>
    <w:rsid w:val="00340429"/>
    <w:rsid w:val="00340956"/>
    <w:rsid w:val="003422BD"/>
    <w:rsid w:val="00343415"/>
    <w:rsid w:val="00345C75"/>
    <w:rsid w:val="00351F6E"/>
    <w:rsid w:val="00352524"/>
    <w:rsid w:val="00367BFE"/>
    <w:rsid w:val="003729D5"/>
    <w:rsid w:val="003744FC"/>
    <w:rsid w:val="003753AD"/>
    <w:rsid w:val="00376223"/>
    <w:rsid w:val="00386511"/>
    <w:rsid w:val="00390AF5"/>
    <w:rsid w:val="003912E1"/>
    <w:rsid w:val="00392F4E"/>
    <w:rsid w:val="00393ECF"/>
    <w:rsid w:val="00395219"/>
    <w:rsid w:val="003A2545"/>
    <w:rsid w:val="003A25B6"/>
    <w:rsid w:val="003A398D"/>
    <w:rsid w:val="003A407B"/>
    <w:rsid w:val="003A5D83"/>
    <w:rsid w:val="003B20E8"/>
    <w:rsid w:val="003B442D"/>
    <w:rsid w:val="003B5DC1"/>
    <w:rsid w:val="003B62E2"/>
    <w:rsid w:val="003C34C6"/>
    <w:rsid w:val="003C6F12"/>
    <w:rsid w:val="003D4122"/>
    <w:rsid w:val="003D5B84"/>
    <w:rsid w:val="003D7013"/>
    <w:rsid w:val="003E252A"/>
    <w:rsid w:val="003E330E"/>
    <w:rsid w:val="003E502B"/>
    <w:rsid w:val="003E5715"/>
    <w:rsid w:val="003F366F"/>
    <w:rsid w:val="003F59F5"/>
    <w:rsid w:val="00401E19"/>
    <w:rsid w:val="004064DB"/>
    <w:rsid w:val="00416035"/>
    <w:rsid w:val="004234D4"/>
    <w:rsid w:val="00423A9D"/>
    <w:rsid w:val="00425763"/>
    <w:rsid w:val="00430134"/>
    <w:rsid w:val="0043115B"/>
    <w:rsid w:val="0043520A"/>
    <w:rsid w:val="0044061A"/>
    <w:rsid w:val="00440F98"/>
    <w:rsid w:val="00441F83"/>
    <w:rsid w:val="00442F5F"/>
    <w:rsid w:val="00443432"/>
    <w:rsid w:val="00443561"/>
    <w:rsid w:val="0044498D"/>
    <w:rsid w:val="00446CFF"/>
    <w:rsid w:val="00447B4B"/>
    <w:rsid w:val="00452038"/>
    <w:rsid w:val="00456599"/>
    <w:rsid w:val="00464726"/>
    <w:rsid w:val="00464AED"/>
    <w:rsid w:val="00465426"/>
    <w:rsid w:val="00467307"/>
    <w:rsid w:val="004674F9"/>
    <w:rsid w:val="0046751C"/>
    <w:rsid w:val="00472EC2"/>
    <w:rsid w:val="004735D3"/>
    <w:rsid w:val="00476F8A"/>
    <w:rsid w:val="00481447"/>
    <w:rsid w:val="00483CB8"/>
    <w:rsid w:val="00485CF7"/>
    <w:rsid w:val="00486F1A"/>
    <w:rsid w:val="0048742D"/>
    <w:rsid w:val="0049091A"/>
    <w:rsid w:val="004909D8"/>
    <w:rsid w:val="004964DA"/>
    <w:rsid w:val="004A063B"/>
    <w:rsid w:val="004A507F"/>
    <w:rsid w:val="004B0E92"/>
    <w:rsid w:val="004B11D1"/>
    <w:rsid w:val="004B3649"/>
    <w:rsid w:val="004B498B"/>
    <w:rsid w:val="004B5240"/>
    <w:rsid w:val="004C2EE6"/>
    <w:rsid w:val="004C37FD"/>
    <w:rsid w:val="004C613B"/>
    <w:rsid w:val="004C6D89"/>
    <w:rsid w:val="004D2AFC"/>
    <w:rsid w:val="004D68F7"/>
    <w:rsid w:val="004D7E1B"/>
    <w:rsid w:val="004E15FF"/>
    <w:rsid w:val="004E1F9A"/>
    <w:rsid w:val="004E3042"/>
    <w:rsid w:val="004E401F"/>
    <w:rsid w:val="004F0ACC"/>
    <w:rsid w:val="004F0BEB"/>
    <w:rsid w:val="004F2BA0"/>
    <w:rsid w:val="004F3588"/>
    <w:rsid w:val="00501292"/>
    <w:rsid w:val="00504252"/>
    <w:rsid w:val="005058FF"/>
    <w:rsid w:val="005113B9"/>
    <w:rsid w:val="00511404"/>
    <w:rsid w:val="00511825"/>
    <w:rsid w:val="0051228E"/>
    <w:rsid w:val="00513BD0"/>
    <w:rsid w:val="00522182"/>
    <w:rsid w:val="005346A3"/>
    <w:rsid w:val="00550557"/>
    <w:rsid w:val="005534B8"/>
    <w:rsid w:val="00556F01"/>
    <w:rsid w:val="00561735"/>
    <w:rsid w:val="00562FA2"/>
    <w:rsid w:val="00570286"/>
    <w:rsid w:val="00571B8B"/>
    <w:rsid w:val="00573D0B"/>
    <w:rsid w:val="005761BD"/>
    <w:rsid w:val="00577F71"/>
    <w:rsid w:val="00581E76"/>
    <w:rsid w:val="00582B81"/>
    <w:rsid w:val="005864FF"/>
    <w:rsid w:val="00590C05"/>
    <w:rsid w:val="00591B66"/>
    <w:rsid w:val="0059245E"/>
    <w:rsid w:val="005A200B"/>
    <w:rsid w:val="005A3D4B"/>
    <w:rsid w:val="005A3E41"/>
    <w:rsid w:val="005A5717"/>
    <w:rsid w:val="005A5F2A"/>
    <w:rsid w:val="005A7CB6"/>
    <w:rsid w:val="005B364A"/>
    <w:rsid w:val="005B3B35"/>
    <w:rsid w:val="005B4827"/>
    <w:rsid w:val="005B5540"/>
    <w:rsid w:val="005B7CF5"/>
    <w:rsid w:val="005C1396"/>
    <w:rsid w:val="005C6769"/>
    <w:rsid w:val="005D2795"/>
    <w:rsid w:val="005D2D6A"/>
    <w:rsid w:val="005D3359"/>
    <w:rsid w:val="005D3CC8"/>
    <w:rsid w:val="005D639D"/>
    <w:rsid w:val="005D77AA"/>
    <w:rsid w:val="005E1374"/>
    <w:rsid w:val="005E1E64"/>
    <w:rsid w:val="005E59AC"/>
    <w:rsid w:val="005F4742"/>
    <w:rsid w:val="005F4BAB"/>
    <w:rsid w:val="005F4D24"/>
    <w:rsid w:val="005F582C"/>
    <w:rsid w:val="005F6CF7"/>
    <w:rsid w:val="006060DD"/>
    <w:rsid w:val="006144D7"/>
    <w:rsid w:val="00616009"/>
    <w:rsid w:val="0062146A"/>
    <w:rsid w:val="0062183E"/>
    <w:rsid w:val="006232B5"/>
    <w:rsid w:val="00623314"/>
    <w:rsid w:val="006272F1"/>
    <w:rsid w:val="00630BBE"/>
    <w:rsid w:val="0063129A"/>
    <w:rsid w:val="00631839"/>
    <w:rsid w:val="00632573"/>
    <w:rsid w:val="00632E98"/>
    <w:rsid w:val="00633356"/>
    <w:rsid w:val="00634F8A"/>
    <w:rsid w:val="00636CC2"/>
    <w:rsid w:val="00641865"/>
    <w:rsid w:val="00642745"/>
    <w:rsid w:val="00643EA6"/>
    <w:rsid w:val="00645E94"/>
    <w:rsid w:val="006460DE"/>
    <w:rsid w:val="006501ED"/>
    <w:rsid w:val="006513EC"/>
    <w:rsid w:val="00656D93"/>
    <w:rsid w:val="00656F52"/>
    <w:rsid w:val="00660D8E"/>
    <w:rsid w:val="00665046"/>
    <w:rsid w:val="006652CA"/>
    <w:rsid w:val="006722D4"/>
    <w:rsid w:val="006724FD"/>
    <w:rsid w:val="00674759"/>
    <w:rsid w:val="0067720C"/>
    <w:rsid w:val="006777AB"/>
    <w:rsid w:val="00683A03"/>
    <w:rsid w:val="006935FB"/>
    <w:rsid w:val="006948CA"/>
    <w:rsid w:val="006A1670"/>
    <w:rsid w:val="006A170A"/>
    <w:rsid w:val="006A5BB5"/>
    <w:rsid w:val="006B27BA"/>
    <w:rsid w:val="006B2D6A"/>
    <w:rsid w:val="006B2FFA"/>
    <w:rsid w:val="006B4500"/>
    <w:rsid w:val="006B5CCE"/>
    <w:rsid w:val="006B7C71"/>
    <w:rsid w:val="006C250D"/>
    <w:rsid w:val="006C4D70"/>
    <w:rsid w:val="006D175F"/>
    <w:rsid w:val="006D2E53"/>
    <w:rsid w:val="006E0EF1"/>
    <w:rsid w:val="006E0F7E"/>
    <w:rsid w:val="006E12E7"/>
    <w:rsid w:val="006E1359"/>
    <w:rsid w:val="006E26C5"/>
    <w:rsid w:val="006E4D4F"/>
    <w:rsid w:val="006E6580"/>
    <w:rsid w:val="006F3E34"/>
    <w:rsid w:val="006F3EB2"/>
    <w:rsid w:val="006F4CF8"/>
    <w:rsid w:val="006F6A75"/>
    <w:rsid w:val="006F7343"/>
    <w:rsid w:val="00700AF3"/>
    <w:rsid w:val="00702290"/>
    <w:rsid w:val="00705009"/>
    <w:rsid w:val="00705CD0"/>
    <w:rsid w:val="0070786E"/>
    <w:rsid w:val="00707D3F"/>
    <w:rsid w:val="0071237C"/>
    <w:rsid w:val="007216BD"/>
    <w:rsid w:val="0072176B"/>
    <w:rsid w:val="00722F7F"/>
    <w:rsid w:val="00726398"/>
    <w:rsid w:val="00726662"/>
    <w:rsid w:val="00730DFC"/>
    <w:rsid w:val="007314BB"/>
    <w:rsid w:val="00733286"/>
    <w:rsid w:val="00733CC3"/>
    <w:rsid w:val="00735505"/>
    <w:rsid w:val="00736C5D"/>
    <w:rsid w:val="00740361"/>
    <w:rsid w:val="007403E9"/>
    <w:rsid w:val="00740BA4"/>
    <w:rsid w:val="00740D8A"/>
    <w:rsid w:val="007425AF"/>
    <w:rsid w:val="00743F9A"/>
    <w:rsid w:val="0074504D"/>
    <w:rsid w:val="007517B2"/>
    <w:rsid w:val="00755AC6"/>
    <w:rsid w:val="00755B3F"/>
    <w:rsid w:val="007578F0"/>
    <w:rsid w:val="00763F28"/>
    <w:rsid w:val="007641EA"/>
    <w:rsid w:val="00773E0E"/>
    <w:rsid w:val="007745B1"/>
    <w:rsid w:val="007767AF"/>
    <w:rsid w:val="007767EB"/>
    <w:rsid w:val="00776BF0"/>
    <w:rsid w:val="00780EE9"/>
    <w:rsid w:val="0078211F"/>
    <w:rsid w:val="007844DA"/>
    <w:rsid w:val="007949CD"/>
    <w:rsid w:val="007A5125"/>
    <w:rsid w:val="007A77E9"/>
    <w:rsid w:val="007B4702"/>
    <w:rsid w:val="007B48A3"/>
    <w:rsid w:val="007B79A3"/>
    <w:rsid w:val="007C33DE"/>
    <w:rsid w:val="007C4959"/>
    <w:rsid w:val="007D4EF0"/>
    <w:rsid w:val="007D6B21"/>
    <w:rsid w:val="007E2CD2"/>
    <w:rsid w:val="007E551F"/>
    <w:rsid w:val="007E60BB"/>
    <w:rsid w:val="007F0043"/>
    <w:rsid w:val="007F1C5A"/>
    <w:rsid w:val="007F25E5"/>
    <w:rsid w:val="007F6F99"/>
    <w:rsid w:val="00801B78"/>
    <w:rsid w:val="008049A3"/>
    <w:rsid w:val="00805313"/>
    <w:rsid w:val="008077D9"/>
    <w:rsid w:val="00810CE5"/>
    <w:rsid w:val="008125D0"/>
    <w:rsid w:val="00814DAA"/>
    <w:rsid w:val="008156EC"/>
    <w:rsid w:val="00820627"/>
    <w:rsid w:val="00820DEA"/>
    <w:rsid w:val="0082323B"/>
    <w:rsid w:val="00826194"/>
    <w:rsid w:val="00826D44"/>
    <w:rsid w:val="00831484"/>
    <w:rsid w:val="00832292"/>
    <w:rsid w:val="00832A0E"/>
    <w:rsid w:val="00832AE3"/>
    <w:rsid w:val="00834C12"/>
    <w:rsid w:val="00840A93"/>
    <w:rsid w:val="00843988"/>
    <w:rsid w:val="008519EB"/>
    <w:rsid w:val="0085259D"/>
    <w:rsid w:val="00856216"/>
    <w:rsid w:val="00856A87"/>
    <w:rsid w:val="00857A94"/>
    <w:rsid w:val="008606D9"/>
    <w:rsid w:val="00867A0B"/>
    <w:rsid w:val="008769AE"/>
    <w:rsid w:val="00883782"/>
    <w:rsid w:val="00885F8F"/>
    <w:rsid w:val="00890C6B"/>
    <w:rsid w:val="008A38E0"/>
    <w:rsid w:val="008A4A40"/>
    <w:rsid w:val="008A4AB0"/>
    <w:rsid w:val="008A7957"/>
    <w:rsid w:val="008B315F"/>
    <w:rsid w:val="008C357A"/>
    <w:rsid w:val="008C3A53"/>
    <w:rsid w:val="008C3FE6"/>
    <w:rsid w:val="008C53FA"/>
    <w:rsid w:val="008C6F52"/>
    <w:rsid w:val="008D3BDE"/>
    <w:rsid w:val="008D4132"/>
    <w:rsid w:val="008D4D60"/>
    <w:rsid w:val="008D6BE1"/>
    <w:rsid w:val="008E1659"/>
    <w:rsid w:val="008E24A4"/>
    <w:rsid w:val="008E5737"/>
    <w:rsid w:val="008E75B2"/>
    <w:rsid w:val="008F075E"/>
    <w:rsid w:val="008F2B79"/>
    <w:rsid w:val="008F348E"/>
    <w:rsid w:val="008F4DDC"/>
    <w:rsid w:val="009002AB"/>
    <w:rsid w:val="00900311"/>
    <w:rsid w:val="009007EC"/>
    <w:rsid w:val="009031B6"/>
    <w:rsid w:val="00907AC3"/>
    <w:rsid w:val="00911255"/>
    <w:rsid w:val="00913ACC"/>
    <w:rsid w:val="00914574"/>
    <w:rsid w:val="009162C5"/>
    <w:rsid w:val="0091713E"/>
    <w:rsid w:val="009202F6"/>
    <w:rsid w:val="00920D25"/>
    <w:rsid w:val="00930511"/>
    <w:rsid w:val="00935BE8"/>
    <w:rsid w:val="0093665D"/>
    <w:rsid w:val="00940FCE"/>
    <w:rsid w:val="009411AA"/>
    <w:rsid w:val="00943035"/>
    <w:rsid w:val="00946978"/>
    <w:rsid w:val="00947C30"/>
    <w:rsid w:val="00950725"/>
    <w:rsid w:val="00951AB2"/>
    <w:rsid w:val="0096353C"/>
    <w:rsid w:val="009635F9"/>
    <w:rsid w:val="0096641F"/>
    <w:rsid w:val="00967E68"/>
    <w:rsid w:val="00971605"/>
    <w:rsid w:val="00973183"/>
    <w:rsid w:val="009761B2"/>
    <w:rsid w:val="00982F18"/>
    <w:rsid w:val="00985A38"/>
    <w:rsid w:val="00992DDA"/>
    <w:rsid w:val="00994394"/>
    <w:rsid w:val="0099679C"/>
    <w:rsid w:val="00996EFB"/>
    <w:rsid w:val="009A5552"/>
    <w:rsid w:val="009A6E84"/>
    <w:rsid w:val="009B26F9"/>
    <w:rsid w:val="009B277E"/>
    <w:rsid w:val="009B2893"/>
    <w:rsid w:val="009B7198"/>
    <w:rsid w:val="009B7BD7"/>
    <w:rsid w:val="009C09E7"/>
    <w:rsid w:val="009C1744"/>
    <w:rsid w:val="009C311F"/>
    <w:rsid w:val="009C66AB"/>
    <w:rsid w:val="009C6A6B"/>
    <w:rsid w:val="009C7FD3"/>
    <w:rsid w:val="009D0E68"/>
    <w:rsid w:val="009D44D0"/>
    <w:rsid w:val="009D4CA4"/>
    <w:rsid w:val="009E1F45"/>
    <w:rsid w:val="009E2EB9"/>
    <w:rsid w:val="009E3E1F"/>
    <w:rsid w:val="009E6625"/>
    <w:rsid w:val="009E687D"/>
    <w:rsid w:val="009F2366"/>
    <w:rsid w:val="009F2387"/>
    <w:rsid w:val="009F2435"/>
    <w:rsid w:val="009F380D"/>
    <w:rsid w:val="009F48A3"/>
    <w:rsid w:val="009F4D21"/>
    <w:rsid w:val="009F592E"/>
    <w:rsid w:val="009F6A4A"/>
    <w:rsid w:val="009F6B0C"/>
    <w:rsid w:val="00A018D3"/>
    <w:rsid w:val="00A01E85"/>
    <w:rsid w:val="00A05873"/>
    <w:rsid w:val="00A064F7"/>
    <w:rsid w:val="00A10D99"/>
    <w:rsid w:val="00A14460"/>
    <w:rsid w:val="00A2009B"/>
    <w:rsid w:val="00A208FD"/>
    <w:rsid w:val="00A21AA0"/>
    <w:rsid w:val="00A2242E"/>
    <w:rsid w:val="00A3360D"/>
    <w:rsid w:val="00A4030B"/>
    <w:rsid w:val="00A41CE8"/>
    <w:rsid w:val="00A426CF"/>
    <w:rsid w:val="00A45352"/>
    <w:rsid w:val="00A45C19"/>
    <w:rsid w:val="00A468EE"/>
    <w:rsid w:val="00A509B3"/>
    <w:rsid w:val="00A52900"/>
    <w:rsid w:val="00A55D58"/>
    <w:rsid w:val="00A56EA1"/>
    <w:rsid w:val="00A57FEF"/>
    <w:rsid w:val="00A60AB7"/>
    <w:rsid w:val="00A620E4"/>
    <w:rsid w:val="00A6230A"/>
    <w:rsid w:val="00A65D42"/>
    <w:rsid w:val="00A670ED"/>
    <w:rsid w:val="00A734E6"/>
    <w:rsid w:val="00A83A85"/>
    <w:rsid w:val="00A84BB5"/>
    <w:rsid w:val="00A87E7E"/>
    <w:rsid w:val="00A921CD"/>
    <w:rsid w:val="00A9386F"/>
    <w:rsid w:val="00A96599"/>
    <w:rsid w:val="00A974CC"/>
    <w:rsid w:val="00A97A36"/>
    <w:rsid w:val="00AA3926"/>
    <w:rsid w:val="00AA6148"/>
    <w:rsid w:val="00AA6FFF"/>
    <w:rsid w:val="00AB116D"/>
    <w:rsid w:val="00AC12D1"/>
    <w:rsid w:val="00AC1EBB"/>
    <w:rsid w:val="00AC5A08"/>
    <w:rsid w:val="00AC6854"/>
    <w:rsid w:val="00AC6AC5"/>
    <w:rsid w:val="00AC7E22"/>
    <w:rsid w:val="00AD21C1"/>
    <w:rsid w:val="00AD29FA"/>
    <w:rsid w:val="00AD51F8"/>
    <w:rsid w:val="00AD6BBA"/>
    <w:rsid w:val="00AE16F9"/>
    <w:rsid w:val="00AF51BB"/>
    <w:rsid w:val="00AF785B"/>
    <w:rsid w:val="00B04212"/>
    <w:rsid w:val="00B04F14"/>
    <w:rsid w:val="00B10333"/>
    <w:rsid w:val="00B10CA1"/>
    <w:rsid w:val="00B11541"/>
    <w:rsid w:val="00B13107"/>
    <w:rsid w:val="00B13618"/>
    <w:rsid w:val="00B20295"/>
    <w:rsid w:val="00B21278"/>
    <w:rsid w:val="00B23900"/>
    <w:rsid w:val="00B25013"/>
    <w:rsid w:val="00B253BF"/>
    <w:rsid w:val="00B30286"/>
    <w:rsid w:val="00B34D8C"/>
    <w:rsid w:val="00B35FC1"/>
    <w:rsid w:val="00B36368"/>
    <w:rsid w:val="00B403D6"/>
    <w:rsid w:val="00B41828"/>
    <w:rsid w:val="00B44BF3"/>
    <w:rsid w:val="00B4555B"/>
    <w:rsid w:val="00B45D51"/>
    <w:rsid w:val="00B47317"/>
    <w:rsid w:val="00B54D37"/>
    <w:rsid w:val="00B612AC"/>
    <w:rsid w:val="00B61AD7"/>
    <w:rsid w:val="00B61C4F"/>
    <w:rsid w:val="00B63B53"/>
    <w:rsid w:val="00B64ED8"/>
    <w:rsid w:val="00B6621A"/>
    <w:rsid w:val="00B66668"/>
    <w:rsid w:val="00B6674B"/>
    <w:rsid w:val="00B7033A"/>
    <w:rsid w:val="00B747C3"/>
    <w:rsid w:val="00B75A02"/>
    <w:rsid w:val="00B75D83"/>
    <w:rsid w:val="00B77AC9"/>
    <w:rsid w:val="00B81312"/>
    <w:rsid w:val="00B8154F"/>
    <w:rsid w:val="00B81C0D"/>
    <w:rsid w:val="00B8600F"/>
    <w:rsid w:val="00B867F3"/>
    <w:rsid w:val="00B96B40"/>
    <w:rsid w:val="00B97830"/>
    <w:rsid w:val="00B97F89"/>
    <w:rsid w:val="00B97FE2"/>
    <w:rsid w:val="00BA11EA"/>
    <w:rsid w:val="00BA5761"/>
    <w:rsid w:val="00BA728B"/>
    <w:rsid w:val="00BB1B31"/>
    <w:rsid w:val="00BB7876"/>
    <w:rsid w:val="00BC00B9"/>
    <w:rsid w:val="00BC2CF9"/>
    <w:rsid w:val="00BC3932"/>
    <w:rsid w:val="00BC51E5"/>
    <w:rsid w:val="00BD01AA"/>
    <w:rsid w:val="00BD13A2"/>
    <w:rsid w:val="00BD5CC2"/>
    <w:rsid w:val="00BE09E5"/>
    <w:rsid w:val="00BE136F"/>
    <w:rsid w:val="00BE31E2"/>
    <w:rsid w:val="00BE558A"/>
    <w:rsid w:val="00BE563B"/>
    <w:rsid w:val="00BE5ED6"/>
    <w:rsid w:val="00BE7A23"/>
    <w:rsid w:val="00BF1872"/>
    <w:rsid w:val="00BF263A"/>
    <w:rsid w:val="00BF4747"/>
    <w:rsid w:val="00BF5603"/>
    <w:rsid w:val="00C0031F"/>
    <w:rsid w:val="00C03013"/>
    <w:rsid w:val="00C04F56"/>
    <w:rsid w:val="00C05C71"/>
    <w:rsid w:val="00C06213"/>
    <w:rsid w:val="00C070AA"/>
    <w:rsid w:val="00C11F64"/>
    <w:rsid w:val="00C141E9"/>
    <w:rsid w:val="00C179B3"/>
    <w:rsid w:val="00C2000A"/>
    <w:rsid w:val="00C20FA3"/>
    <w:rsid w:val="00C21387"/>
    <w:rsid w:val="00C22C28"/>
    <w:rsid w:val="00C235DB"/>
    <w:rsid w:val="00C2402E"/>
    <w:rsid w:val="00C24C11"/>
    <w:rsid w:val="00C30632"/>
    <w:rsid w:val="00C326DA"/>
    <w:rsid w:val="00C35356"/>
    <w:rsid w:val="00C35666"/>
    <w:rsid w:val="00C35AE9"/>
    <w:rsid w:val="00C36758"/>
    <w:rsid w:val="00C37387"/>
    <w:rsid w:val="00C37AD6"/>
    <w:rsid w:val="00C4009A"/>
    <w:rsid w:val="00C40365"/>
    <w:rsid w:val="00C42ABF"/>
    <w:rsid w:val="00C46376"/>
    <w:rsid w:val="00C466B5"/>
    <w:rsid w:val="00C57963"/>
    <w:rsid w:val="00C62195"/>
    <w:rsid w:val="00C6246D"/>
    <w:rsid w:val="00C642CF"/>
    <w:rsid w:val="00C65427"/>
    <w:rsid w:val="00C66544"/>
    <w:rsid w:val="00C70AC1"/>
    <w:rsid w:val="00C7413B"/>
    <w:rsid w:val="00C76973"/>
    <w:rsid w:val="00C8028A"/>
    <w:rsid w:val="00C82500"/>
    <w:rsid w:val="00C841AB"/>
    <w:rsid w:val="00C92579"/>
    <w:rsid w:val="00C96D7C"/>
    <w:rsid w:val="00CA00DF"/>
    <w:rsid w:val="00CA20DD"/>
    <w:rsid w:val="00CA3F72"/>
    <w:rsid w:val="00CA7BBC"/>
    <w:rsid w:val="00CB13B1"/>
    <w:rsid w:val="00CB2F9E"/>
    <w:rsid w:val="00CB4CB2"/>
    <w:rsid w:val="00CB4E97"/>
    <w:rsid w:val="00CB6077"/>
    <w:rsid w:val="00CB7B45"/>
    <w:rsid w:val="00CC2018"/>
    <w:rsid w:val="00CC2595"/>
    <w:rsid w:val="00CC3F51"/>
    <w:rsid w:val="00CC7A0F"/>
    <w:rsid w:val="00CD1A37"/>
    <w:rsid w:val="00CD35CC"/>
    <w:rsid w:val="00CD3C4A"/>
    <w:rsid w:val="00CD6BB4"/>
    <w:rsid w:val="00CD6E5B"/>
    <w:rsid w:val="00CD7B56"/>
    <w:rsid w:val="00CE31DF"/>
    <w:rsid w:val="00CE5BE2"/>
    <w:rsid w:val="00CE6B2B"/>
    <w:rsid w:val="00CF228C"/>
    <w:rsid w:val="00CF2CE3"/>
    <w:rsid w:val="00CF54C1"/>
    <w:rsid w:val="00CF6572"/>
    <w:rsid w:val="00CF7126"/>
    <w:rsid w:val="00CF799F"/>
    <w:rsid w:val="00CF7D13"/>
    <w:rsid w:val="00D0291D"/>
    <w:rsid w:val="00D05C36"/>
    <w:rsid w:val="00D1106B"/>
    <w:rsid w:val="00D11899"/>
    <w:rsid w:val="00D12F58"/>
    <w:rsid w:val="00D13393"/>
    <w:rsid w:val="00D1496E"/>
    <w:rsid w:val="00D14AC5"/>
    <w:rsid w:val="00D14C2F"/>
    <w:rsid w:val="00D20DE0"/>
    <w:rsid w:val="00D21F39"/>
    <w:rsid w:val="00D229FC"/>
    <w:rsid w:val="00D23350"/>
    <w:rsid w:val="00D23728"/>
    <w:rsid w:val="00D30288"/>
    <w:rsid w:val="00D30EDD"/>
    <w:rsid w:val="00D3399C"/>
    <w:rsid w:val="00D3469F"/>
    <w:rsid w:val="00D35358"/>
    <w:rsid w:val="00D406A6"/>
    <w:rsid w:val="00D42E7D"/>
    <w:rsid w:val="00D50823"/>
    <w:rsid w:val="00D51030"/>
    <w:rsid w:val="00D5269A"/>
    <w:rsid w:val="00D52F30"/>
    <w:rsid w:val="00D533A8"/>
    <w:rsid w:val="00D62432"/>
    <w:rsid w:val="00D62D1D"/>
    <w:rsid w:val="00D636D2"/>
    <w:rsid w:val="00D63D78"/>
    <w:rsid w:val="00D64B5F"/>
    <w:rsid w:val="00D664ED"/>
    <w:rsid w:val="00D667DE"/>
    <w:rsid w:val="00D71E20"/>
    <w:rsid w:val="00D81829"/>
    <w:rsid w:val="00D83973"/>
    <w:rsid w:val="00D87916"/>
    <w:rsid w:val="00D927CF"/>
    <w:rsid w:val="00D9519E"/>
    <w:rsid w:val="00D96B89"/>
    <w:rsid w:val="00D96EA3"/>
    <w:rsid w:val="00D96F25"/>
    <w:rsid w:val="00DA00A6"/>
    <w:rsid w:val="00DA0F3F"/>
    <w:rsid w:val="00DA425D"/>
    <w:rsid w:val="00DA6D94"/>
    <w:rsid w:val="00DA7AA1"/>
    <w:rsid w:val="00DA7AAC"/>
    <w:rsid w:val="00DA7C64"/>
    <w:rsid w:val="00DB0E00"/>
    <w:rsid w:val="00DB61AD"/>
    <w:rsid w:val="00DB655D"/>
    <w:rsid w:val="00DB6DED"/>
    <w:rsid w:val="00DB6FE2"/>
    <w:rsid w:val="00DB75B0"/>
    <w:rsid w:val="00DB766D"/>
    <w:rsid w:val="00DD1DA0"/>
    <w:rsid w:val="00DD7128"/>
    <w:rsid w:val="00DE27D7"/>
    <w:rsid w:val="00DE34BE"/>
    <w:rsid w:val="00DE5BD8"/>
    <w:rsid w:val="00DE5C97"/>
    <w:rsid w:val="00DF14FF"/>
    <w:rsid w:val="00DF1A75"/>
    <w:rsid w:val="00DF3D9C"/>
    <w:rsid w:val="00DF47ED"/>
    <w:rsid w:val="00E00438"/>
    <w:rsid w:val="00E00987"/>
    <w:rsid w:val="00E00FDC"/>
    <w:rsid w:val="00E01CCE"/>
    <w:rsid w:val="00E0214A"/>
    <w:rsid w:val="00E0655E"/>
    <w:rsid w:val="00E07FCC"/>
    <w:rsid w:val="00E16DB8"/>
    <w:rsid w:val="00E207BD"/>
    <w:rsid w:val="00E21336"/>
    <w:rsid w:val="00E22044"/>
    <w:rsid w:val="00E23112"/>
    <w:rsid w:val="00E25D35"/>
    <w:rsid w:val="00E26E6A"/>
    <w:rsid w:val="00E3035E"/>
    <w:rsid w:val="00E321B1"/>
    <w:rsid w:val="00E32702"/>
    <w:rsid w:val="00E34482"/>
    <w:rsid w:val="00E35F84"/>
    <w:rsid w:val="00E4083C"/>
    <w:rsid w:val="00E4126E"/>
    <w:rsid w:val="00E46F3D"/>
    <w:rsid w:val="00E5309B"/>
    <w:rsid w:val="00E54BB9"/>
    <w:rsid w:val="00E56289"/>
    <w:rsid w:val="00E64096"/>
    <w:rsid w:val="00E71D18"/>
    <w:rsid w:val="00E728DE"/>
    <w:rsid w:val="00E748AE"/>
    <w:rsid w:val="00E84A6A"/>
    <w:rsid w:val="00E96973"/>
    <w:rsid w:val="00EA36C4"/>
    <w:rsid w:val="00EA3D25"/>
    <w:rsid w:val="00EA629A"/>
    <w:rsid w:val="00EB2E78"/>
    <w:rsid w:val="00EB6B7C"/>
    <w:rsid w:val="00EC15BE"/>
    <w:rsid w:val="00EC482C"/>
    <w:rsid w:val="00EC51E9"/>
    <w:rsid w:val="00EC6E95"/>
    <w:rsid w:val="00EC7185"/>
    <w:rsid w:val="00EC795B"/>
    <w:rsid w:val="00ED0E63"/>
    <w:rsid w:val="00ED2629"/>
    <w:rsid w:val="00ED2F1E"/>
    <w:rsid w:val="00ED3651"/>
    <w:rsid w:val="00ED46EE"/>
    <w:rsid w:val="00ED5979"/>
    <w:rsid w:val="00ED66BB"/>
    <w:rsid w:val="00EE0EFA"/>
    <w:rsid w:val="00EE5F47"/>
    <w:rsid w:val="00EE6696"/>
    <w:rsid w:val="00EE6DBE"/>
    <w:rsid w:val="00EF0DD6"/>
    <w:rsid w:val="00EF3E9B"/>
    <w:rsid w:val="00EF4891"/>
    <w:rsid w:val="00F01966"/>
    <w:rsid w:val="00F03591"/>
    <w:rsid w:val="00F03910"/>
    <w:rsid w:val="00F045F1"/>
    <w:rsid w:val="00F072B0"/>
    <w:rsid w:val="00F10CB3"/>
    <w:rsid w:val="00F10FBC"/>
    <w:rsid w:val="00F1102A"/>
    <w:rsid w:val="00F14949"/>
    <w:rsid w:val="00F21995"/>
    <w:rsid w:val="00F22EE3"/>
    <w:rsid w:val="00F30C24"/>
    <w:rsid w:val="00F31601"/>
    <w:rsid w:val="00F33B0C"/>
    <w:rsid w:val="00F34197"/>
    <w:rsid w:val="00F41478"/>
    <w:rsid w:val="00F42813"/>
    <w:rsid w:val="00F441E0"/>
    <w:rsid w:val="00F465CD"/>
    <w:rsid w:val="00F50F37"/>
    <w:rsid w:val="00F55FBB"/>
    <w:rsid w:val="00F6226E"/>
    <w:rsid w:val="00F627F8"/>
    <w:rsid w:val="00F72087"/>
    <w:rsid w:val="00F7217D"/>
    <w:rsid w:val="00F7559A"/>
    <w:rsid w:val="00F76C03"/>
    <w:rsid w:val="00F77E9D"/>
    <w:rsid w:val="00F804CA"/>
    <w:rsid w:val="00F83CCA"/>
    <w:rsid w:val="00F84A24"/>
    <w:rsid w:val="00F871F1"/>
    <w:rsid w:val="00F91552"/>
    <w:rsid w:val="00F91D08"/>
    <w:rsid w:val="00F952E5"/>
    <w:rsid w:val="00F97B69"/>
    <w:rsid w:val="00FA08A3"/>
    <w:rsid w:val="00FA20EC"/>
    <w:rsid w:val="00FA2472"/>
    <w:rsid w:val="00FA2AC3"/>
    <w:rsid w:val="00FA2D79"/>
    <w:rsid w:val="00FA3374"/>
    <w:rsid w:val="00FA3C41"/>
    <w:rsid w:val="00FA5455"/>
    <w:rsid w:val="00FA70E1"/>
    <w:rsid w:val="00FB0090"/>
    <w:rsid w:val="00FB1E1C"/>
    <w:rsid w:val="00FB22D6"/>
    <w:rsid w:val="00FB25EE"/>
    <w:rsid w:val="00FB323D"/>
    <w:rsid w:val="00FB4F10"/>
    <w:rsid w:val="00FB79AF"/>
    <w:rsid w:val="00FC0D7D"/>
    <w:rsid w:val="00FC0EE2"/>
    <w:rsid w:val="00FC4482"/>
    <w:rsid w:val="00FC46EE"/>
    <w:rsid w:val="00FC69B7"/>
    <w:rsid w:val="00FD6878"/>
    <w:rsid w:val="00FD76AA"/>
    <w:rsid w:val="00FE0238"/>
    <w:rsid w:val="00FE09AD"/>
    <w:rsid w:val="00FE1BE4"/>
    <w:rsid w:val="00FE24A8"/>
    <w:rsid w:val="00FE2B67"/>
    <w:rsid w:val="00FE5F8C"/>
    <w:rsid w:val="00FF000E"/>
    <w:rsid w:val="00FF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71"/>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eading 11"/>
    <w:basedOn w:val="Normal"/>
    <w:next w:val="Heading2"/>
    <w:link w:val="Heading1Char"/>
    <w:qFormat/>
    <w:rsid w:val="00C05C71"/>
    <w:pPr>
      <w:keepNext/>
      <w:keepLines/>
      <w:numPr>
        <w:numId w:val="3"/>
      </w:numPr>
      <w:spacing w:after="240"/>
      <w:jc w:val="both"/>
      <w:outlineLvl w:val="0"/>
    </w:pPr>
    <w:rPr>
      <w:rFonts w:ascii="Arial" w:eastAsia="Batang" w:hAnsi="Arial"/>
      <w:b/>
      <w:caps/>
      <w:spacing w:val="20"/>
      <w:sz w:val="26"/>
      <w:szCs w:val="20"/>
      <w:u w:val="single"/>
      <w:lang w:val="en-ZA" w:eastAsia="en-US"/>
    </w:rPr>
  </w:style>
  <w:style w:type="paragraph" w:styleId="Heading2">
    <w:name w:val="heading 2"/>
    <w:aliases w:val="Heading 21"/>
    <w:basedOn w:val="Normal"/>
    <w:next w:val="Normal"/>
    <w:link w:val="Heading2Char"/>
    <w:qFormat/>
    <w:rsid w:val="00C05C71"/>
    <w:pPr>
      <w:keepNext/>
      <w:keepLines/>
      <w:numPr>
        <w:ilvl w:val="1"/>
        <w:numId w:val="3"/>
      </w:numPr>
      <w:spacing w:after="240"/>
      <w:jc w:val="both"/>
      <w:outlineLvl w:val="1"/>
    </w:pPr>
    <w:rPr>
      <w:rFonts w:ascii="Arial" w:eastAsia="Batang" w:hAnsi="Arial"/>
      <w:b/>
      <w:caps/>
      <w:szCs w:val="20"/>
      <w:lang w:val="en-ZA" w:eastAsia="en-US"/>
    </w:rPr>
  </w:style>
  <w:style w:type="paragraph" w:styleId="Heading3">
    <w:name w:val="heading 3"/>
    <w:basedOn w:val="Normal"/>
    <w:next w:val="Normal"/>
    <w:link w:val="Heading3Char"/>
    <w:qFormat/>
    <w:rsid w:val="00C05C71"/>
    <w:pPr>
      <w:keepNext/>
      <w:keepLines/>
      <w:numPr>
        <w:ilvl w:val="2"/>
        <w:numId w:val="3"/>
      </w:numPr>
      <w:spacing w:after="240"/>
      <w:jc w:val="both"/>
      <w:outlineLvl w:val="2"/>
    </w:pPr>
    <w:rPr>
      <w:rFonts w:ascii="Arial" w:eastAsia="Batang" w:hAnsi="Arial"/>
      <w:b/>
      <w:szCs w:val="20"/>
      <w:u w:val="single"/>
      <w:lang w:val="en-ZA" w:eastAsia="en-US"/>
    </w:rPr>
  </w:style>
  <w:style w:type="paragraph" w:styleId="Heading4">
    <w:name w:val="heading 4"/>
    <w:basedOn w:val="Normal"/>
    <w:next w:val="Normal"/>
    <w:link w:val="Heading4Char"/>
    <w:qFormat/>
    <w:rsid w:val="00C05C71"/>
    <w:pPr>
      <w:keepNext/>
      <w:numPr>
        <w:ilvl w:val="3"/>
        <w:numId w:val="3"/>
      </w:numPr>
      <w:spacing w:before="240" w:after="60"/>
      <w:jc w:val="both"/>
      <w:outlineLvl w:val="3"/>
    </w:pPr>
    <w:rPr>
      <w:rFonts w:eastAsia="Batang"/>
      <w:b/>
      <w:i/>
      <w:szCs w:val="20"/>
      <w:lang w:val="en-ZA" w:eastAsia="en-US"/>
    </w:rPr>
  </w:style>
  <w:style w:type="paragraph" w:styleId="Heading5">
    <w:name w:val="heading 5"/>
    <w:basedOn w:val="Normal"/>
    <w:next w:val="Normal"/>
    <w:link w:val="Heading5Char"/>
    <w:qFormat/>
    <w:rsid w:val="00C05C71"/>
    <w:pPr>
      <w:numPr>
        <w:ilvl w:val="4"/>
        <w:numId w:val="3"/>
      </w:numPr>
      <w:spacing w:before="240" w:after="60"/>
      <w:jc w:val="both"/>
      <w:outlineLvl w:val="4"/>
    </w:pPr>
    <w:rPr>
      <w:rFonts w:ascii="Arial" w:eastAsia="Batang" w:hAnsi="Arial"/>
      <w:sz w:val="22"/>
      <w:szCs w:val="20"/>
      <w:lang w:val="en-ZA" w:eastAsia="en-US"/>
    </w:rPr>
  </w:style>
  <w:style w:type="paragraph" w:styleId="Heading6">
    <w:name w:val="heading 6"/>
    <w:basedOn w:val="Normal"/>
    <w:next w:val="Normal"/>
    <w:link w:val="Heading6Char"/>
    <w:qFormat/>
    <w:rsid w:val="00C05C71"/>
    <w:pPr>
      <w:numPr>
        <w:ilvl w:val="5"/>
        <w:numId w:val="3"/>
      </w:numPr>
      <w:spacing w:before="240" w:after="60"/>
      <w:jc w:val="both"/>
      <w:outlineLvl w:val="5"/>
    </w:pPr>
    <w:rPr>
      <w:rFonts w:ascii="Arial" w:eastAsia="Batang" w:hAnsi="Arial"/>
      <w:i/>
      <w:sz w:val="22"/>
      <w:szCs w:val="20"/>
      <w:lang w:val="en-ZA" w:eastAsia="en-US"/>
    </w:rPr>
  </w:style>
  <w:style w:type="paragraph" w:styleId="Heading7">
    <w:name w:val="heading 7"/>
    <w:basedOn w:val="Normal"/>
    <w:next w:val="Normal"/>
    <w:link w:val="Heading7Char"/>
    <w:qFormat/>
    <w:rsid w:val="00C05C71"/>
    <w:pPr>
      <w:numPr>
        <w:ilvl w:val="6"/>
        <w:numId w:val="3"/>
      </w:numPr>
      <w:spacing w:before="240" w:after="60"/>
      <w:jc w:val="both"/>
      <w:outlineLvl w:val="6"/>
    </w:pPr>
    <w:rPr>
      <w:rFonts w:ascii="Arial" w:eastAsia="Batang" w:hAnsi="Arial"/>
      <w:sz w:val="20"/>
      <w:szCs w:val="20"/>
      <w:lang w:val="en-ZA" w:eastAsia="en-US"/>
    </w:rPr>
  </w:style>
  <w:style w:type="paragraph" w:styleId="Heading8">
    <w:name w:val="heading 8"/>
    <w:basedOn w:val="Normal"/>
    <w:next w:val="Normal"/>
    <w:link w:val="Heading8Char"/>
    <w:qFormat/>
    <w:rsid w:val="00C05C71"/>
    <w:pPr>
      <w:numPr>
        <w:ilvl w:val="7"/>
        <w:numId w:val="3"/>
      </w:numPr>
      <w:spacing w:before="240" w:after="60"/>
      <w:jc w:val="both"/>
      <w:outlineLvl w:val="7"/>
    </w:pPr>
    <w:rPr>
      <w:rFonts w:ascii="Arial" w:eastAsia="Batang" w:hAnsi="Arial"/>
      <w:i/>
      <w:sz w:val="20"/>
      <w:szCs w:val="20"/>
      <w:lang w:val="en-ZA" w:eastAsia="en-US"/>
    </w:rPr>
  </w:style>
  <w:style w:type="paragraph" w:styleId="Heading9">
    <w:name w:val="heading 9"/>
    <w:basedOn w:val="Normal"/>
    <w:next w:val="Normal"/>
    <w:link w:val="Heading9Char"/>
    <w:qFormat/>
    <w:rsid w:val="00C05C71"/>
    <w:pPr>
      <w:numPr>
        <w:ilvl w:val="8"/>
        <w:numId w:val="3"/>
      </w:numPr>
      <w:spacing w:before="240" w:after="60"/>
      <w:jc w:val="both"/>
      <w:outlineLvl w:val="8"/>
    </w:pPr>
    <w:rPr>
      <w:rFonts w:ascii="Arial" w:eastAsia="Batang" w:hAnsi="Arial"/>
      <w:i/>
      <w:sz w:val="18"/>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C05C71"/>
    <w:rPr>
      <w:rFonts w:ascii="Arial" w:eastAsia="Batang" w:hAnsi="Arial" w:cs="Times New Roman"/>
      <w:b/>
      <w:caps/>
      <w:spacing w:val="20"/>
      <w:sz w:val="26"/>
      <w:szCs w:val="20"/>
      <w:u w:val="single"/>
    </w:rPr>
  </w:style>
  <w:style w:type="character" w:customStyle="1" w:styleId="Heading2Char">
    <w:name w:val="Heading 2 Char"/>
    <w:aliases w:val="Heading 21 Char"/>
    <w:basedOn w:val="DefaultParagraphFont"/>
    <w:link w:val="Heading2"/>
    <w:rsid w:val="00C05C71"/>
    <w:rPr>
      <w:rFonts w:ascii="Arial" w:eastAsia="Batang" w:hAnsi="Arial" w:cs="Times New Roman"/>
      <w:b/>
      <w:caps/>
      <w:sz w:val="24"/>
      <w:szCs w:val="20"/>
    </w:rPr>
  </w:style>
  <w:style w:type="character" w:customStyle="1" w:styleId="Heading3Char">
    <w:name w:val="Heading 3 Char"/>
    <w:basedOn w:val="DefaultParagraphFont"/>
    <w:link w:val="Heading3"/>
    <w:rsid w:val="00C05C71"/>
    <w:rPr>
      <w:rFonts w:ascii="Arial" w:eastAsia="Batang" w:hAnsi="Arial" w:cs="Times New Roman"/>
      <w:b/>
      <w:sz w:val="24"/>
      <w:szCs w:val="20"/>
      <w:u w:val="single"/>
    </w:rPr>
  </w:style>
  <w:style w:type="character" w:customStyle="1" w:styleId="Heading4Char">
    <w:name w:val="Heading 4 Char"/>
    <w:basedOn w:val="DefaultParagraphFont"/>
    <w:link w:val="Heading4"/>
    <w:rsid w:val="00C05C71"/>
    <w:rPr>
      <w:rFonts w:ascii="Times New Roman" w:eastAsia="Batang" w:hAnsi="Times New Roman" w:cs="Times New Roman"/>
      <w:b/>
      <w:i/>
      <w:sz w:val="24"/>
      <w:szCs w:val="20"/>
    </w:rPr>
  </w:style>
  <w:style w:type="character" w:customStyle="1" w:styleId="Heading5Char">
    <w:name w:val="Heading 5 Char"/>
    <w:basedOn w:val="DefaultParagraphFont"/>
    <w:link w:val="Heading5"/>
    <w:rsid w:val="00C05C71"/>
    <w:rPr>
      <w:rFonts w:ascii="Arial" w:eastAsia="Batang" w:hAnsi="Arial" w:cs="Times New Roman"/>
      <w:szCs w:val="20"/>
    </w:rPr>
  </w:style>
  <w:style w:type="character" w:customStyle="1" w:styleId="Heading6Char">
    <w:name w:val="Heading 6 Char"/>
    <w:basedOn w:val="DefaultParagraphFont"/>
    <w:link w:val="Heading6"/>
    <w:rsid w:val="00C05C71"/>
    <w:rPr>
      <w:rFonts w:ascii="Arial" w:eastAsia="Batang" w:hAnsi="Arial" w:cs="Times New Roman"/>
      <w:i/>
      <w:szCs w:val="20"/>
    </w:rPr>
  </w:style>
  <w:style w:type="character" w:customStyle="1" w:styleId="Heading7Char">
    <w:name w:val="Heading 7 Char"/>
    <w:basedOn w:val="DefaultParagraphFont"/>
    <w:link w:val="Heading7"/>
    <w:rsid w:val="00C05C71"/>
    <w:rPr>
      <w:rFonts w:ascii="Arial" w:eastAsia="Batang" w:hAnsi="Arial" w:cs="Times New Roman"/>
      <w:sz w:val="20"/>
      <w:szCs w:val="20"/>
    </w:rPr>
  </w:style>
  <w:style w:type="character" w:customStyle="1" w:styleId="Heading8Char">
    <w:name w:val="Heading 8 Char"/>
    <w:basedOn w:val="DefaultParagraphFont"/>
    <w:link w:val="Heading8"/>
    <w:rsid w:val="00C05C71"/>
    <w:rPr>
      <w:rFonts w:ascii="Arial" w:eastAsia="Batang" w:hAnsi="Arial" w:cs="Times New Roman"/>
      <w:i/>
      <w:sz w:val="20"/>
      <w:szCs w:val="20"/>
    </w:rPr>
  </w:style>
  <w:style w:type="character" w:customStyle="1" w:styleId="Heading9Char">
    <w:name w:val="Heading 9 Char"/>
    <w:basedOn w:val="DefaultParagraphFont"/>
    <w:link w:val="Heading9"/>
    <w:rsid w:val="00C05C71"/>
    <w:rPr>
      <w:rFonts w:ascii="Arial" w:eastAsia="Batang" w:hAnsi="Arial" w:cs="Times New Roman"/>
      <w:i/>
      <w:sz w:val="18"/>
      <w:szCs w:val="20"/>
    </w:rPr>
  </w:style>
  <w:style w:type="paragraph" w:customStyle="1" w:styleId="NumberedListing">
    <w:name w:val="Numbered Listing"/>
    <w:basedOn w:val="Normal"/>
    <w:autoRedefine/>
    <w:rsid w:val="00C05C71"/>
    <w:pPr>
      <w:spacing w:line="280" w:lineRule="exact"/>
      <w:jc w:val="both"/>
    </w:pPr>
    <w:rPr>
      <w:rFonts w:ascii="Arial" w:hAnsi="Arial" w:cs="Arial"/>
      <w:b/>
      <w:sz w:val="22"/>
      <w:szCs w:val="22"/>
      <w:lang w:val="en-ZA"/>
    </w:rPr>
  </w:style>
  <w:style w:type="paragraph" w:customStyle="1" w:styleId="BodySingle">
    <w:name w:val="Body Single"/>
    <w:rsid w:val="00C05C71"/>
    <w:pPr>
      <w:spacing w:after="0" w:line="240" w:lineRule="auto"/>
      <w:ind w:left="720"/>
      <w:jc w:val="both"/>
    </w:pPr>
    <w:rPr>
      <w:rFonts w:ascii="Arial" w:eastAsia="Times New Roman" w:hAnsi="Arial" w:cs="Times New Roman"/>
      <w:i/>
      <w:noProof/>
      <w:sz w:val="20"/>
      <w:szCs w:val="20"/>
      <w:lang w:val="en-US"/>
    </w:rPr>
  </w:style>
  <w:style w:type="paragraph" w:customStyle="1" w:styleId="AGHeading1blue">
    <w:name w:val="AG Heading 1 blue"/>
    <w:basedOn w:val="Normal"/>
    <w:link w:val="AGHeading1blueCharChar"/>
    <w:rsid w:val="00C05C71"/>
    <w:pPr>
      <w:spacing w:after="400"/>
    </w:pPr>
    <w:rPr>
      <w:rFonts w:ascii="Arial Black" w:hAnsi="Arial Black"/>
      <w:caps/>
      <w:color w:val="022B69"/>
      <w:sz w:val="30"/>
      <w:szCs w:val="30"/>
      <w:lang w:val="en-ZA"/>
    </w:rPr>
  </w:style>
  <w:style w:type="character" w:customStyle="1" w:styleId="AGHeading1blueCharChar">
    <w:name w:val="AG Heading 1 blue Char Char"/>
    <w:basedOn w:val="DefaultParagraphFont"/>
    <w:link w:val="AGHeading1blue"/>
    <w:rsid w:val="00C05C71"/>
    <w:rPr>
      <w:rFonts w:ascii="Arial Black" w:eastAsia="Times New Roman" w:hAnsi="Arial Black" w:cs="Times New Roman"/>
      <w:caps/>
      <w:color w:val="022B69"/>
      <w:sz w:val="30"/>
      <w:szCs w:val="30"/>
      <w:lang w:eastAsia="en-GB"/>
    </w:rPr>
  </w:style>
  <w:style w:type="table" w:styleId="TableGrid">
    <w:name w:val="Table Grid"/>
    <w:basedOn w:val="TableNormal"/>
    <w:uiPriority w:val="39"/>
    <w:rsid w:val="00C05C7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5C71"/>
    <w:pPr>
      <w:tabs>
        <w:tab w:val="center" w:pos="4153"/>
        <w:tab w:val="right" w:pos="8306"/>
      </w:tabs>
    </w:pPr>
  </w:style>
  <w:style w:type="character" w:customStyle="1" w:styleId="FooterChar">
    <w:name w:val="Footer Char"/>
    <w:basedOn w:val="DefaultParagraphFont"/>
    <w:link w:val="Footer"/>
    <w:uiPriority w:val="99"/>
    <w:rsid w:val="00C05C71"/>
    <w:rPr>
      <w:rFonts w:ascii="Times New Roman" w:eastAsia="Times New Roman" w:hAnsi="Times New Roman" w:cs="Times New Roman"/>
      <w:sz w:val="24"/>
      <w:szCs w:val="24"/>
      <w:lang w:val="en-GB" w:eastAsia="en-GB"/>
    </w:rPr>
  </w:style>
  <w:style w:type="character" w:styleId="PageNumber">
    <w:name w:val="page number"/>
    <w:basedOn w:val="DefaultParagraphFont"/>
    <w:rsid w:val="00C05C71"/>
  </w:style>
  <w:style w:type="paragraph" w:styleId="Header">
    <w:name w:val="header"/>
    <w:basedOn w:val="Normal"/>
    <w:link w:val="HeaderChar"/>
    <w:rsid w:val="00C05C71"/>
    <w:pPr>
      <w:tabs>
        <w:tab w:val="center" w:pos="4153"/>
        <w:tab w:val="right" w:pos="8306"/>
      </w:tabs>
    </w:pPr>
  </w:style>
  <w:style w:type="character" w:customStyle="1" w:styleId="HeaderChar">
    <w:name w:val="Header Char"/>
    <w:basedOn w:val="DefaultParagraphFont"/>
    <w:link w:val="Header"/>
    <w:rsid w:val="00C05C71"/>
    <w:rPr>
      <w:rFonts w:ascii="Times New Roman" w:eastAsia="Times New Roman" w:hAnsi="Times New Roman" w:cs="Times New Roman"/>
      <w:sz w:val="24"/>
      <w:szCs w:val="24"/>
      <w:lang w:val="en-GB" w:eastAsia="en-GB"/>
    </w:rPr>
  </w:style>
  <w:style w:type="paragraph" w:styleId="ListParagraph">
    <w:name w:val="List Paragraph"/>
    <w:aliases w:val="List Paragraph 1,Bullets"/>
    <w:basedOn w:val="Normal"/>
    <w:link w:val="ListParagraphChar"/>
    <w:qFormat/>
    <w:rsid w:val="00C05C71"/>
    <w:pPr>
      <w:ind w:left="720"/>
    </w:pPr>
  </w:style>
  <w:style w:type="character" w:customStyle="1" w:styleId="ListParagraphChar">
    <w:name w:val="List Paragraph Char"/>
    <w:aliases w:val="List Paragraph 1 Char,Bullets Char"/>
    <w:basedOn w:val="DefaultParagraphFont"/>
    <w:link w:val="ListParagraph"/>
    <w:uiPriority w:val="34"/>
    <w:locked/>
    <w:rsid w:val="00C05C71"/>
    <w:rPr>
      <w:rFonts w:ascii="Times New Roman" w:eastAsia="Times New Roman" w:hAnsi="Times New Roman" w:cs="Times New Roman"/>
      <w:sz w:val="24"/>
      <w:szCs w:val="24"/>
      <w:lang w:val="en-GB" w:eastAsia="en-GB"/>
    </w:rPr>
  </w:style>
  <w:style w:type="character" w:styleId="Hyperlink">
    <w:name w:val="Hyperlink"/>
    <w:basedOn w:val="DefaultParagraphFont"/>
    <w:rsid w:val="00C05C71"/>
    <w:rPr>
      <w:rFonts w:cs="Times New Roman"/>
      <w:color w:val="0000FF"/>
      <w:u w:val="single"/>
    </w:rPr>
  </w:style>
  <w:style w:type="paragraph" w:styleId="FootnoteText">
    <w:name w:val="footnote text"/>
    <w:aliases w:val="Footnote Text Char1,Footnote Text Char Char,fn Char,ft"/>
    <w:basedOn w:val="Normal"/>
    <w:link w:val="FootnoteTextChar"/>
    <w:uiPriority w:val="99"/>
    <w:rsid w:val="00C05C71"/>
    <w:rPr>
      <w:rFonts w:ascii="Arial" w:eastAsia="Calibri" w:hAnsi="Arial"/>
      <w:color w:val="000000"/>
      <w:spacing w:val="6"/>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C05C71"/>
    <w:rPr>
      <w:rFonts w:ascii="Arial" w:eastAsia="Calibri"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rsid w:val="00C05C71"/>
    <w:rPr>
      <w:rFonts w:cs="Times New Roman"/>
      <w:vertAlign w:val="superscript"/>
    </w:rPr>
  </w:style>
  <w:style w:type="paragraph" w:customStyle="1" w:styleId="Default">
    <w:name w:val="Default"/>
    <w:rsid w:val="00C05C71"/>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C05C71"/>
    <w:pPr>
      <w:jc w:val="both"/>
    </w:pPr>
    <w:rPr>
      <w:rFonts w:ascii="Arial" w:hAnsi="Arial" w:cs="Arial"/>
      <w:lang w:val="en-ZA" w:eastAsia="en-US"/>
    </w:rPr>
  </w:style>
  <w:style w:type="character" w:customStyle="1" w:styleId="BodyTextChar">
    <w:name w:val="Body Text Char"/>
    <w:basedOn w:val="DefaultParagraphFont"/>
    <w:link w:val="BodyText"/>
    <w:rsid w:val="00C05C71"/>
    <w:rPr>
      <w:rFonts w:ascii="Arial" w:eastAsia="Times New Roman" w:hAnsi="Arial" w:cs="Arial"/>
      <w:sz w:val="24"/>
      <w:szCs w:val="24"/>
    </w:rPr>
  </w:style>
  <w:style w:type="paragraph" w:styleId="NormalWeb">
    <w:name w:val="Normal (Web)"/>
    <w:basedOn w:val="Normal"/>
    <w:uiPriority w:val="99"/>
    <w:rsid w:val="00C05C71"/>
    <w:pPr>
      <w:spacing w:before="120" w:after="216"/>
    </w:pPr>
  </w:style>
  <w:style w:type="character" w:styleId="Strong">
    <w:name w:val="Strong"/>
    <w:basedOn w:val="DefaultParagraphFont"/>
    <w:qFormat/>
    <w:rsid w:val="00C05C71"/>
    <w:rPr>
      <w:b/>
      <w:bCs/>
    </w:rPr>
  </w:style>
  <w:style w:type="paragraph" w:customStyle="1" w:styleId="ColorfulList-Accent11">
    <w:name w:val="Colorful List - Accent 11"/>
    <w:basedOn w:val="Normal"/>
    <w:qFormat/>
    <w:rsid w:val="00C05C71"/>
    <w:pPr>
      <w:spacing w:after="200" w:line="276" w:lineRule="auto"/>
      <w:ind w:left="720"/>
      <w:contextualSpacing/>
    </w:pPr>
    <w:rPr>
      <w:rFonts w:ascii="Calibri" w:eastAsia="Calibri" w:hAnsi="Calibri"/>
      <w:sz w:val="22"/>
      <w:szCs w:val="22"/>
      <w:lang w:val="en-ZA" w:eastAsia="en-US"/>
    </w:rPr>
  </w:style>
  <w:style w:type="paragraph" w:customStyle="1" w:styleId="Style0">
    <w:name w:val="Style0"/>
    <w:rsid w:val="00C05C71"/>
    <w:pPr>
      <w:autoSpaceDE w:val="0"/>
      <w:autoSpaceDN w:val="0"/>
      <w:adjustRightInd w:val="0"/>
      <w:spacing w:after="0" w:line="240" w:lineRule="auto"/>
    </w:pPr>
    <w:rPr>
      <w:rFonts w:ascii="Arial" w:eastAsia="Times New Roman" w:hAnsi="Arial" w:cs="Times New Roman"/>
      <w:sz w:val="24"/>
      <w:szCs w:val="24"/>
      <w:lang w:val="en-GB" w:eastAsia="en-GB"/>
    </w:rPr>
  </w:style>
  <w:style w:type="character" w:customStyle="1" w:styleId="st">
    <w:name w:val="st"/>
    <w:basedOn w:val="DefaultParagraphFont"/>
    <w:rsid w:val="00C05C71"/>
  </w:style>
  <w:style w:type="character" w:styleId="Emphasis">
    <w:name w:val="Emphasis"/>
    <w:basedOn w:val="DefaultParagraphFont"/>
    <w:qFormat/>
    <w:rsid w:val="00C05C71"/>
    <w:rPr>
      <w:i/>
      <w:iCs/>
    </w:rPr>
  </w:style>
  <w:style w:type="character" w:customStyle="1" w:styleId="apple-converted-space">
    <w:name w:val="apple-converted-space"/>
    <w:basedOn w:val="DefaultParagraphFont"/>
    <w:rsid w:val="00C05C71"/>
  </w:style>
  <w:style w:type="paragraph" w:styleId="BalloonText">
    <w:name w:val="Balloon Text"/>
    <w:basedOn w:val="Normal"/>
    <w:link w:val="BalloonTextChar"/>
    <w:rsid w:val="00C05C71"/>
    <w:rPr>
      <w:rFonts w:ascii="Tahoma" w:hAnsi="Tahoma" w:cs="Tahoma"/>
      <w:sz w:val="16"/>
      <w:szCs w:val="16"/>
    </w:rPr>
  </w:style>
  <w:style w:type="character" w:customStyle="1" w:styleId="BalloonTextChar">
    <w:name w:val="Balloon Text Char"/>
    <w:basedOn w:val="DefaultParagraphFont"/>
    <w:link w:val="BalloonText"/>
    <w:rsid w:val="00C05C71"/>
    <w:rPr>
      <w:rFonts w:ascii="Tahoma" w:eastAsia="Times New Roman" w:hAnsi="Tahoma" w:cs="Tahoma"/>
      <w:sz w:val="16"/>
      <w:szCs w:val="16"/>
      <w:lang w:val="en-GB" w:eastAsia="en-GB"/>
    </w:rPr>
  </w:style>
  <w:style w:type="character" w:styleId="CommentReference">
    <w:name w:val="annotation reference"/>
    <w:basedOn w:val="DefaultParagraphFont"/>
    <w:semiHidden/>
    <w:unhideWhenUsed/>
    <w:rsid w:val="00202928"/>
    <w:rPr>
      <w:sz w:val="16"/>
      <w:szCs w:val="16"/>
    </w:rPr>
  </w:style>
  <w:style w:type="paragraph" w:styleId="CommentText">
    <w:name w:val="annotation text"/>
    <w:basedOn w:val="Normal"/>
    <w:link w:val="CommentTextChar"/>
    <w:uiPriority w:val="99"/>
    <w:semiHidden/>
    <w:unhideWhenUsed/>
    <w:rsid w:val="003422BD"/>
    <w:pPr>
      <w:spacing w:after="160"/>
    </w:pPr>
    <w:rPr>
      <w:rFonts w:asciiTheme="minorHAnsi" w:eastAsiaTheme="minorHAnsi" w:hAnsiTheme="minorHAnsi" w:cstheme="minorBidi"/>
      <w:sz w:val="20"/>
      <w:szCs w:val="20"/>
      <w:lang w:val="en-ZA" w:eastAsia="en-US"/>
    </w:rPr>
  </w:style>
  <w:style w:type="character" w:customStyle="1" w:styleId="CommentTextChar">
    <w:name w:val="Comment Text Char"/>
    <w:basedOn w:val="DefaultParagraphFont"/>
    <w:link w:val="CommentText"/>
    <w:uiPriority w:val="99"/>
    <w:semiHidden/>
    <w:rsid w:val="003422BD"/>
    <w:rPr>
      <w:sz w:val="20"/>
      <w:szCs w:val="20"/>
    </w:rPr>
  </w:style>
  <w:style w:type="table" w:customStyle="1" w:styleId="TableGrid2">
    <w:name w:val="Table Grid2"/>
    <w:basedOn w:val="TableNormal"/>
    <w:next w:val="TableGrid"/>
    <w:uiPriority w:val="39"/>
    <w:rsid w:val="008C6F52"/>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E7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71"/>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eading 11"/>
    <w:basedOn w:val="Normal"/>
    <w:next w:val="Heading2"/>
    <w:link w:val="Heading1Char"/>
    <w:qFormat/>
    <w:rsid w:val="00C05C71"/>
    <w:pPr>
      <w:keepNext/>
      <w:keepLines/>
      <w:numPr>
        <w:numId w:val="3"/>
      </w:numPr>
      <w:spacing w:after="240"/>
      <w:jc w:val="both"/>
      <w:outlineLvl w:val="0"/>
    </w:pPr>
    <w:rPr>
      <w:rFonts w:ascii="Arial" w:eastAsia="Batang" w:hAnsi="Arial"/>
      <w:b/>
      <w:caps/>
      <w:spacing w:val="20"/>
      <w:sz w:val="26"/>
      <w:szCs w:val="20"/>
      <w:u w:val="single"/>
      <w:lang w:val="en-ZA" w:eastAsia="en-US"/>
    </w:rPr>
  </w:style>
  <w:style w:type="paragraph" w:styleId="Heading2">
    <w:name w:val="heading 2"/>
    <w:aliases w:val="Heading 21"/>
    <w:basedOn w:val="Normal"/>
    <w:next w:val="Normal"/>
    <w:link w:val="Heading2Char"/>
    <w:qFormat/>
    <w:rsid w:val="00C05C71"/>
    <w:pPr>
      <w:keepNext/>
      <w:keepLines/>
      <w:numPr>
        <w:ilvl w:val="1"/>
        <w:numId w:val="3"/>
      </w:numPr>
      <w:spacing w:after="240"/>
      <w:jc w:val="both"/>
      <w:outlineLvl w:val="1"/>
    </w:pPr>
    <w:rPr>
      <w:rFonts w:ascii="Arial" w:eastAsia="Batang" w:hAnsi="Arial"/>
      <w:b/>
      <w:caps/>
      <w:szCs w:val="20"/>
      <w:lang w:val="en-ZA" w:eastAsia="en-US"/>
    </w:rPr>
  </w:style>
  <w:style w:type="paragraph" w:styleId="Heading3">
    <w:name w:val="heading 3"/>
    <w:basedOn w:val="Normal"/>
    <w:next w:val="Normal"/>
    <w:link w:val="Heading3Char"/>
    <w:qFormat/>
    <w:rsid w:val="00C05C71"/>
    <w:pPr>
      <w:keepNext/>
      <w:keepLines/>
      <w:numPr>
        <w:ilvl w:val="2"/>
        <w:numId w:val="3"/>
      </w:numPr>
      <w:spacing w:after="240"/>
      <w:jc w:val="both"/>
      <w:outlineLvl w:val="2"/>
    </w:pPr>
    <w:rPr>
      <w:rFonts w:ascii="Arial" w:eastAsia="Batang" w:hAnsi="Arial"/>
      <w:b/>
      <w:szCs w:val="20"/>
      <w:u w:val="single"/>
      <w:lang w:val="en-ZA" w:eastAsia="en-US"/>
    </w:rPr>
  </w:style>
  <w:style w:type="paragraph" w:styleId="Heading4">
    <w:name w:val="heading 4"/>
    <w:basedOn w:val="Normal"/>
    <w:next w:val="Normal"/>
    <w:link w:val="Heading4Char"/>
    <w:qFormat/>
    <w:rsid w:val="00C05C71"/>
    <w:pPr>
      <w:keepNext/>
      <w:numPr>
        <w:ilvl w:val="3"/>
        <w:numId w:val="3"/>
      </w:numPr>
      <w:spacing w:before="240" w:after="60"/>
      <w:jc w:val="both"/>
      <w:outlineLvl w:val="3"/>
    </w:pPr>
    <w:rPr>
      <w:rFonts w:eastAsia="Batang"/>
      <w:b/>
      <w:i/>
      <w:szCs w:val="20"/>
      <w:lang w:val="en-ZA" w:eastAsia="en-US"/>
    </w:rPr>
  </w:style>
  <w:style w:type="paragraph" w:styleId="Heading5">
    <w:name w:val="heading 5"/>
    <w:basedOn w:val="Normal"/>
    <w:next w:val="Normal"/>
    <w:link w:val="Heading5Char"/>
    <w:qFormat/>
    <w:rsid w:val="00C05C71"/>
    <w:pPr>
      <w:numPr>
        <w:ilvl w:val="4"/>
        <w:numId w:val="3"/>
      </w:numPr>
      <w:spacing w:before="240" w:after="60"/>
      <w:jc w:val="both"/>
      <w:outlineLvl w:val="4"/>
    </w:pPr>
    <w:rPr>
      <w:rFonts w:ascii="Arial" w:eastAsia="Batang" w:hAnsi="Arial"/>
      <w:sz w:val="22"/>
      <w:szCs w:val="20"/>
      <w:lang w:val="en-ZA" w:eastAsia="en-US"/>
    </w:rPr>
  </w:style>
  <w:style w:type="paragraph" w:styleId="Heading6">
    <w:name w:val="heading 6"/>
    <w:basedOn w:val="Normal"/>
    <w:next w:val="Normal"/>
    <w:link w:val="Heading6Char"/>
    <w:qFormat/>
    <w:rsid w:val="00C05C71"/>
    <w:pPr>
      <w:numPr>
        <w:ilvl w:val="5"/>
        <w:numId w:val="3"/>
      </w:numPr>
      <w:spacing w:before="240" w:after="60"/>
      <w:jc w:val="both"/>
      <w:outlineLvl w:val="5"/>
    </w:pPr>
    <w:rPr>
      <w:rFonts w:ascii="Arial" w:eastAsia="Batang" w:hAnsi="Arial"/>
      <w:i/>
      <w:sz w:val="22"/>
      <w:szCs w:val="20"/>
      <w:lang w:val="en-ZA" w:eastAsia="en-US"/>
    </w:rPr>
  </w:style>
  <w:style w:type="paragraph" w:styleId="Heading7">
    <w:name w:val="heading 7"/>
    <w:basedOn w:val="Normal"/>
    <w:next w:val="Normal"/>
    <w:link w:val="Heading7Char"/>
    <w:qFormat/>
    <w:rsid w:val="00C05C71"/>
    <w:pPr>
      <w:numPr>
        <w:ilvl w:val="6"/>
        <w:numId w:val="3"/>
      </w:numPr>
      <w:spacing w:before="240" w:after="60"/>
      <w:jc w:val="both"/>
      <w:outlineLvl w:val="6"/>
    </w:pPr>
    <w:rPr>
      <w:rFonts w:ascii="Arial" w:eastAsia="Batang" w:hAnsi="Arial"/>
      <w:sz w:val="20"/>
      <w:szCs w:val="20"/>
      <w:lang w:val="en-ZA" w:eastAsia="en-US"/>
    </w:rPr>
  </w:style>
  <w:style w:type="paragraph" w:styleId="Heading8">
    <w:name w:val="heading 8"/>
    <w:basedOn w:val="Normal"/>
    <w:next w:val="Normal"/>
    <w:link w:val="Heading8Char"/>
    <w:qFormat/>
    <w:rsid w:val="00C05C71"/>
    <w:pPr>
      <w:numPr>
        <w:ilvl w:val="7"/>
        <w:numId w:val="3"/>
      </w:numPr>
      <w:spacing w:before="240" w:after="60"/>
      <w:jc w:val="both"/>
      <w:outlineLvl w:val="7"/>
    </w:pPr>
    <w:rPr>
      <w:rFonts w:ascii="Arial" w:eastAsia="Batang" w:hAnsi="Arial"/>
      <w:i/>
      <w:sz w:val="20"/>
      <w:szCs w:val="20"/>
      <w:lang w:val="en-ZA" w:eastAsia="en-US"/>
    </w:rPr>
  </w:style>
  <w:style w:type="paragraph" w:styleId="Heading9">
    <w:name w:val="heading 9"/>
    <w:basedOn w:val="Normal"/>
    <w:next w:val="Normal"/>
    <w:link w:val="Heading9Char"/>
    <w:qFormat/>
    <w:rsid w:val="00C05C71"/>
    <w:pPr>
      <w:numPr>
        <w:ilvl w:val="8"/>
        <w:numId w:val="3"/>
      </w:numPr>
      <w:spacing w:before="240" w:after="60"/>
      <w:jc w:val="both"/>
      <w:outlineLvl w:val="8"/>
    </w:pPr>
    <w:rPr>
      <w:rFonts w:ascii="Arial" w:eastAsia="Batang" w:hAnsi="Arial"/>
      <w:i/>
      <w:sz w:val="18"/>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C05C71"/>
    <w:rPr>
      <w:rFonts w:ascii="Arial" w:eastAsia="Batang" w:hAnsi="Arial" w:cs="Times New Roman"/>
      <w:b/>
      <w:caps/>
      <w:spacing w:val="20"/>
      <w:sz w:val="26"/>
      <w:szCs w:val="20"/>
      <w:u w:val="single"/>
    </w:rPr>
  </w:style>
  <w:style w:type="character" w:customStyle="1" w:styleId="Heading2Char">
    <w:name w:val="Heading 2 Char"/>
    <w:aliases w:val="Heading 21 Char"/>
    <w:basedOn w:val="DefaultParagraphFont"/>
    <w:link w:val="Heading2"/>
    <w:rsid w:val="00C05C71"/>
    <w:rPr>
      <w:rFonts w:ascii="Arial" w:eastAsia="Batang" w:hAnsi="Arial" w:cs="Times New Roman"/>
      <w:b/>
      <w:caps/>
      <w:sz w:val="24"/>
      <w:szCs w:val="20"/>
    </w:rPr>
  </w:style>
  <w:style w:type="character" w:customStyle="1" w:styleId="Heading3Char">
    <w:name w:val="Heading 3 Char"/>
    <w:basedOn w:val="DefaultParagraphFont"/>
    <w:link w:val="Heading3"/>
    <w:rsid w:val="00C05C71"/>
    <w:rPr>
      <w:rFonts w:ascii="Arial" w:eastAsia="Batang" w:hAnsi="Arial" w:cs="Times New Roman"/>
      <w:b/>
      <w:sz w:val="24"/>
      <w:szCs w:val="20"/>
      <w:u w:val="single"/>
    </w:rPr>
  </w:style>
  <w:style w:type="character" w:customStyle="1" w:styleId="Heading4Char">
    <w:name w:val="Heading 4 Char"/>
    <w:basedOn w:val="DefaultParagraphFont"/>
    <w:link w:val="Heading4"/>
    <w:rsid w:val="00C05C71"/>
    <w:rPr>
      <w:rFonts w:ascii="Times New Roman" w:eastAsia="Batang" w:hAnsi="Times New Roman" w:cs="Times New Roman"/>
      <w:b/>
      <w:i/>
      <w:sz w:val="24"/>
      <w:szCs w:val="20"/>
    </w:rPr>
  </w:style>
  <w:style w:type="character" w:customStyle="1" w:styleId="Heading5Char">
    <w:name w:val="Heading 5 Char"/>
    <w:basedOn w:val="DefaultParagraphFont"/>
    <w:link w:val="Heading5"/>
    <w:rsid w:val="00C05C71"/>
    <w:rPr>
      <w:rFonts w:ascii="Arial" w:eastAsia="Batang" w:hAnsi="Arial" w:cs="Times New Roman"/>
      <w:szCs w:val="20"/>
    </w:rPr>
  </w:style>
  <w:style w:type="character" w:customStyle="1" w:styleId="Heading6Char">
    <w:name w:val="Heading 6 Char"/>
    <w:basedOn w:val="DefaultParagraphFont"/>
    <w:link w:val="Heading6"/>
    <w:rsid w:val="00C05C71"/>
    <w:rPr>
      <w:rFonts w:ascii="Arial" w:eastAsia="Batang" w:hAnsi="Arial" w:cs="Times New Roman"/>
      <w:i/>
      <w:szCs w:val="20"/>
    </w:rPr>
  </w:style>
  <w:style w:type="character" w:customStyle="1" w:styleId="Heading7Char">
    <w:name w:val="Heading 7 Char"/>
    <w:basedOn w:val="DefaultParagraphFont"/>
    <w:link w:val="Heading7"/>
    <w:rsid w:val="00C05C71"/>
    <w:rPr>
      <w:rFonts w:ascii="Arial" w:eastAsia="Batang" w:hAnsi="Arial" w:cs="Times New Roman"/>
      <w:sz w:val="20"/>
      <w:szCs w:val="20"/>
    </w:rPr>
  </w:style>
  <w:style w:type="character" w:customStyle="1" w:styleId="Heading8Char">
    <w:name w:val="Heading 8 Char"/>
    <w:basedOn w:val="DefaultParagraphFont"/>
    <w:link w:val="Heading8"/>
    <w:rsid w:val="00C05C71"/>
    <w:rPr>
      <w:rFonts w:ascii="Arial" w:eastAsia="Batang" w:hAnsi="Arial" w:cs="Times New Roman"/>
      <w:i/>
      <w:sz w:val="20"/>
      <w:szCs w:val="20"/>
    </w:rPr>
  </w:style>
  <w:style w:type="character" w:customStyle="1" w:styleId="Heading9Char">
    <w:name w:val="Heading 9 Char"/>
    <w:basedOn w:val="DefaultParagraphFont"/>
    <w:link w:val="Heading9"/>
    <w:rsid w:val="00C05C71"/>
    <w:rPr>
      <w:rFonts w:ascii="Arial" w:eastAsia="Batang" w:hAnsi="Arial" w:cs="Times New Roman"/>
      <w:i/>
      <w:sz w:val="18"/>
      <w:szCs w:val="20"/>
    </w:rPr>
  </w:style>
  <w:style w:type="paragraph" w:customStyle="1" w:styleId="NumberedListing">
    <w:name w:val="Numbered Listing"/>
    <w:basedOn w:val="Normal"/>
    <w:autoRedefine/>
    <w:rsid w:val="00C05C71"/>
    <w:pPr>
      <w:spacing w:line="280" w:lineRule="exact"/>
      <w:jc w:val="both"/>
    </w:pPr>
    <w:rPr>
      <w:rFonts w:ascii="Arial" w:hAnsi="Arial" w:cs="Arial"/>
      <w:b/>
      <w:sz w:val="22"/>
      <w:szCs w:val="22"/>
      <w:lang w:val="en-ZA"/>
    </w:rPr>
  </w:style>
  <w:style w:type="paragraph" w:customStyle="1" w:styleId="BodySingle">
    <w:name w:val="Body Single"/>
    <w:rsid w:val="00C05C71"/>
    <w:pPr>
      <w:spacing w:after="0" w:line="240" w:lineRule="auto"/>
      <w:ind w:left="720"/>
      <w:jc w:val="both"/>
    </w:pPr>
    <w:rPr>
      <w:rFonts w:ascii="Arial" w:eastAsia="Times New Roman" w:hAnsi="Arial" w:cs="Times New Roman"/>
      <w:i/>
      <w:noProof/>
      <w:sz w:val="20"/>
      <w:szCs w:val="20"/>
      <w:lang w:val="en-US"/>
    </w:rPr>
  </w:style>
  <w:style w:type="paragraph" w:customStyle="1" w:styleId="AGHeading1blue">
    <w:name w:val="AG Heading 1 blue"/>
    <w:basedOn w:val="Normal"/>
    <w:link w:val="AGHeading1blueCharChar"/>
    <w:rsid w:val="00C05C71"/>
    <w:pPr>
      <w:spacing w:after="400"/>
    </w:pPr>
    <w:rPr>
      <w:rFonts w:ascii="Arial Black" w:hAnsi="Arial Black"/>
      <w:caps/>
      <w:color w:val="022B69"/>
      <w:sz w:val="30"/>
      <w:szCs w:val="30"/>
      <w:lang w:val="en-ZA"/>
    </w:rPr>
  </w:style>
  <w:style w:type="character" w:customStyle="1" w:styleId="AGHeading1blueCharChar">
    <w:name w:val="AG Heading 1 blue Char Char"/>
    <w:basedOn w:val="DefaultParagraphFont"/>
    <w:link w:val="AGHeading1blue"/>
    <w:rsid w:val="00C05C71"/>
    <w:rPr>
      <w:rFonts w:ascii="Arial Black" w:eastAsia="Times New Roman" w:hAnsi="Arial Black" w:cs="Times New Roman"/>
      <w:caps/>
      <w:color w:val="022B69"/>
      <w:sz w:val="30"/>
      <w:szCs w:val="30"/>
      <w:lang w:eastAsia="en-GB"/>
    </w:rPr>
  </w:style>
  <w:style w:type="table" w:styleId="TableGrid">
    <w:name w:val="Table Grid"/>
    <w:basedOn w:val="TableNormal"/>
    <w:uiPriority w:val="39"/>
    <w:rsid w:val="00C05C7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5C71"/>
    <w:pPr>
      <w:tabs>
        <w:tab w:val="center" w:pos="4153"/>
        <w:tab w:val="right" w:pos="8306"/>
      </w:tabs>
    </w:pPr>
  </w:style>
  <w:style w:type="character" w:customStyle="1" w:styleId="FooterChar">
    <w:name w:val="Footer Char"/>
    <w:basedOn w:val="DefaultParagraphFont"/>
    <w:link w:val="Footer"/>
    <w:uiPriority w:val="99"/>
    <w:rsid w:val="00C05C71"/>
    <w:rPr>
      <w:rFonts w:ascii="Times New Roman" w:eastAsia="Times New Roman" w:hAnsi="Times New Roman" w:cs="Times New Roman"/>
      <w:sz w:val="24"/>
      <w:szCs w:val="24"/>
      <w:lang w:val="en-GB" w:eastAsia="en-GB"/>
    </w:rPr>
  </w:style>
  <w:style w:type="character" w:styleId="PageNumber">
    <w:name w:val="page number"/>
    <w:basedOn w:val="DefaultParagraphFont"/>
    <w:rsid w:val="00C05C71"/>
  </w:style>
  <w:style w:type="paragraph" w:styleId="Header">
    <w:name w:val="header"/>
    <w:basedOn w:val="Normal"/>
    <w:link w:val="HeaderChar"/>
    <w:rsid w:val="00C05C71"/>
    <w:pPr>
      <w:tabs>
        <w:tab w:val="center" w:pos="4153"/>
        <w:tab w:val="right" w:pos="8306"/>
      </w:tabs>
    </w:pPr>
  </w:style>
  <w:style w:type="character" w:customStyle="1" w:styleId="HeaderChar">
    <w:name w:val="Header Char"/>
    <w:basedOn w:val="DefaultParagraphFont"/>
    <w:link w:val="Header"/>
    <w:rsid w:val="00C05C71"/>
    <w:rPr>
      <w:rFonts w:ascii="Times New Roman" w:eastAsia="Times New Roman" w:hAnsi="Times New Roman" w:cs="Times New Roman"/>
      <w:sz w:val="24"/>
      <w:szCs w:val="24"/>
      <w:lang w:val="en-GB" w:eastAsia="en-GB"/>
    </w:rPr>
  </w:style>
  <w:style w:type="paragraph" w:styleId="ListParagraph">
    <w:name w:val="List Paragraph"/>
    <w:aliases w:val="List Paragraph 1,Bullets"/>
    <w:basedOn w:val="Normal"/>
    <w:link w:val="ListParagraphChar"/>
    <w:qFormat/>
    <w:rsid w:val="00C05C71"/>
    <w:pPr>
      <w:ind w:left="720"/>
    </w:pPr>
  </w:style>
  <w:style w:type="character" w:customStyle="1" w:styleId="ListParagraphChar">
    <w:name w:val="List Paragraph Char"/>
    <w:aliases w:val="List Paragraph 1 Char,Bullets Char"/>
    <w:basedOn w:val="DefaultParagraphFont"/>
    <w:link w:val="ListParagraph"/>
    <w:uiPriority w:val="34"/>
    <w:locked/>
    <w:rsid w:val="00C05C71"/>
    <w:rPr>
      <w:rFonts w:ascii="Times New Roman" w:eastAsia="Times New Roman" w:hAnsi="Times New Roman" w:cs="Times New Roman"/>
      <w:sz w:val="24"/>
      <w:szCs w:val="24"/>
      <w:lang w:val="en-GB" w:eastAsia="en-GB"/>
    </w:rPr>
  </w:style>
  <w:style w:type="character" w:styleId="Hyperlink">
    <w:name w:val="Hyperlink"/>
    <w:basedOn w:val="DefaultParagraphFont"/>
    <w:rsid w:val="00C05C71"/>
    <w:rPr>
      <w:rFonts w:cs="Times New Roman"/>
      <w:color w:val="0000FF"/>
      <w:u w:val="single"/>
    </w:rPr>
  </w:style>
  <w:style w:type="paragraph" w:styleId="FootnoteText">
    <w:name w:val="footnote text"/>
    <w:aliases w:val="Footnote Text Char1,Footnote Text Char Char,fn Char,ft"/>
    <w:basedOn w:val="Normal"/>
    <w:link w:val="FootnoteTextChar"/>
    <w:uiPriority w:val="99"/>
    <w:rsid w:val="00C05C71"/>
    <w:rPr>
      <w:rFonts w:ascii="Arial" w:eastAsia="Calibri" w:hAnsi="Arial"/>
      <w:color w:val="000000"/>
      <w:spacing w:val="6"/>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C05C71"/>
    <w:rPr>
      <w:rFonts w:ascii="Arial" w:eastAsia="Calibri"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rsid w:val="00C05C71"/>
    <w:rPr>
      <w:rFonts w:cs="Times New Roman"/>
      <w:vertAlign w:val="superscript"/>
    </w:rPr>
  </w:style>
  <w:style w:type="paragraph" w:customStyle="1" w:styleId="Default">
    <w:name w:val="Default"/>
    <w:rsid w:val="00C05C71"/>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C05C71"/>
    <w:pPr>
      <w:jc w:val="both"/>
    </w:pPr>
    <w:rPr>
      <w:rFonts w:ascii="Arial" w:hAnsi="Arial" w:cs="Arial"/>
      <w:lang w:val="en-ZA" w:eastAsia="en-US"/>
    </w:rPr>
  </w:style>
  <w:style w:type="character" w:customStyle="1" w:styleId="BodyTextChar">
    <w:name w:val="Body Text Char"/>
    <w:basedOn w:val="DefaultParagraphFont"/>
    <w:link w:val="BodyText"/>
    <w:rsid w:val="00C05C71"/>
    <w:rPr>
      <w:rFonts w:ascii="Arial" w:eastAsia="Times New Roman" w:hAnsi="Arial" w:cs="Arial"/>
      <w:sz w:val="24"/>
      <w:szCs w:val="24"/>
    </w:rPr>
  </w:style>
  <w:style w:type="paragraph" w:styleId="NormalWeb">
    <w:name w:val="Normal (Web)"/>
    <w:basedOn w:val="Normal"/>
    <w:uiPriority w:val="99"/>
    <w:rsid w:val="00C05C71"/>
    <w:pPr>
      <w:spacing w:before="120" w:after="216"/>
    </w:pPr>
  </w:style>
  <w:style w:type="character" w:styleId="Strong">
    <w:name w:val="Strong"/>
    <w:basedOn w:val="DefaultParagraphFont"/>
    <w:qFormat/>
    <w:rsid w:val="00C05C71"/>
    <w:rPr>
      <w:b/>
      <w:bCs/>
    </w:rPr>
  </w:style>
  <w:style w:type="paragraph" w:customStyle="1" w:styleId="ColorfulList-Accent11">
    <w:name w:val="Colorful List - Accent 11"/>
    <w:basedOn w:val="Normal"/>
    <w:qFormat/>
    <w:rsid w:val="00C05C71"/>
    <w:pPr>
      <w:spacing w:after="200" w:line="276" w:lineRule="auto"/>
      <w:ind w:left="720"/>
      <w:contextualSpacing/>
    </w:pPr>
    <w:rPr>
      <w:rFonts w:ascii="Calibri" w:eastAsia="Calibri" w:hAnsi="Calibri"/>
      <w:sz w:val="22"/>
      <w:szCs w:val="22"/>
      <w:lang w:val="en-ZA" w:eastAsia="en-US"/>
    </w:rPr>
  </w:style>
  <w:style w:type="paragraph" w:customStyle="1" w:styleId="Style0">
    <w:name w:val="Style0"/>
    <w:rsid w:val="00C05C71"/>
    <w:pPr>
      <w:autoSpaceDE w:val="0"/>
      <w:autoSpaceDN w:val="0"/>
      <w:adjustRightInd w:val="0"/>
      <w:spacing w:after="0" w:line="240" w:lineRule="auto"/>
    </w:pPr>
    <w:rPr>
      <w:rFonts w:ascii="Arial" w:eastAsia="Times New Roman" w:hAnsi="Arial" w:cs="Times New Roman"/>
      <w:sz w:val="24"/>
      <w:szCs w:val="24"/>
      <w:lang w:val="en-GB" w:eastAsia="en-GB"/>
    </w:rPr>
  </w:style>
  <w:style w:type="character" w:customStyle="1" w:styleId="st">
    <w:name w:val="st"/>
    <w:basedOn w:val="DefaultParagraphFont"/>
    <w:rsid w:val="00C05C71"/>
  </w:style>
  <w:style w:type="character" w:styleId="Emphasis">
    <w:name w:val="Emphasis"/>
    <w:basedOn w:val="DefaultParagraphFont"/>
    <w:qFormat/>
    <w:rsid w:val="00C05C71"/>
    <w:rPr>
      <w:i/>
      <w:iCs/>
    </w:rPr>
  </w:style>
  <w:style w:type="character" w:customStyle="1" w:styleId="apple-converted-space">
    <w:name w:val="apple-converted-space"/>
    <w:basedOn w:val="DefaultParagraphFont"/>
    <w:rsid w:val="00C05C71"/>
  </w:style>
  <w:style w:type="paragraph" w:styleId="BalloonText">
    <w:name w:val="Balloon Text"/>
    <w:basedOn w:val="Normal"/>
    <w:link w:val="BalloonTextChar"/>
    <w:rsid w:val="00C05C71"/>
    <w:rPr>
      <w:rFonts w:ascii="Tahoma" w:hAnsi="Tahoma" w:cs="Tahoma"/>
      <w:sz w:val="16"/>
      <w:szCs w:val="16"/>
    </w:rPr>
  </w:style>
  <w:style w:type="character" w:customStyle="1" w:styleId="BalloonTextChar">
    <w:name w:val="Balloon Text Char"/>
    <w:basedOn w:val="DefaultParagraphFont"/>
    <w:link w:val="BalloonText"/>
    <w:rsid w:val="00C05C71"/>
    <w:rPr>
      <w:rFonts w:ascii="Tahoma" w:eastAsia="Times New Roman" w:hAnsi="Tahoma" w:cs="Tahoma"/>
      <w:sz w:val="16"/>
      <w:szCs w:val="16"/>
      <w:lang w:val="en-GB" w:eastAsia="en-GB"/>
    </w:rPr>
  </w:style>
  <w:style w:type="character" w:styleId="CommentReference">
    <w:name w:val="annotation reference"/>
    <w:basedOn w:val="DefaultParagraphFont"/>
    <w:semiHidden/>
    <w:unhideWhenUsed/>
    <w:rsid w:val="00202928"/>
    <w:rPr>
      <w:sz w:val="16"/>
      <w:szCs w:val="16"/>
    </w:rPr>
  </w:style>
  <w:style w:type="paragraph" w:styleId="CommentText">
    <w:name w:val="annotation text"/>
    <w:basedOn w:val="Normal"/>
    <w:link w:val="CommentTextChar"/>
    <w:uiPriority w:val="99"/>
    <w:semiHidden/>
    <w:unhideWhenUsed/>
    <w:rsid w:val="003422BD"/>
    <w:pPr>
      <w:spacing w:after="160"/>
    </w:pPr>
    <w:rPr>
      <w:rFonts w:asciiTheme="minorHAnsi" w:eastAsiaTheme="minorHAnsi" w:hAnsiTheme="minorHAnsi" w:cstheme="minorBidi"/>
      <w:sz w:val="20"/>
      <w:szCs w:val="20"/>
      <w:lang w:val="en-ZA" w:eastAsia="en-US"/>
    </w:rPr>
  </w:style>
  <w:style w:type="character" w:customStyle="1" w:styleId="CommentTextChar">
    <w:name w:val="Comment Text Char"/>
    <w:basedOn w:val="DefaultParagraphFont"/>
    <w:link w:val="CommentText"/>
    <w:uiPriority w:val="99"/>
    <w:semiHidden/>
    <w:rsid w:val="003422BD"/>
    <w:rPr>
      <w:sz w:val="20"/>
      <w:szCs w:val="20"/>
    </w:rPr>
  </w:style>
  <w:style w:type="table" w:customStyle="1" w:styleId="TableGrid2">
    <w:name w:val="Table Grid2"/>
    <w:basedOn w:val="TableNormal"/>
    <w:next w:val="TableGrid"/>
    <w:uiPriority w:val="39"/>
    <w:rsid w:val="008C6F52"/>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E7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2395">
      <w:bodyDiv w:val="1"/>
      <w:marLeft w:val="0"/>
      <w:marRight w:val="0"/>
      <w:marTop w:val="0"/>
      <w:marBottom w:val="0"/>
      <w:divBdr>
        <w:top w:val="none" w:sz="0" w:space="0" w:color="auto"/>
        <w:left w:val="none" w:sz="0" w:space="0" w:color="auto"/>
        <w:bottom w:val="none" w:sz="0" w:space="0" w:color="auto"/>
        <w:right w:val="none" w:sz="0" w:space="0" w:color="auto"/>
      </w:divBdr>
      <w:divsChild>
        <w:div w:id="1881699223">
          <w:marLeft w:val="547"/>
          <w:marRight w:val="0"/>
          <w:marTop w:val="0"/>
          <w:marBottom w:val="0"/>
          <w:divBdr>
            <w:top w:val="none" w:sz="0" w:space="0" w:color="auto"/>
            <w:left w:val="none" w:sz="0" w:space="0" w:color="auto"/>
            <w:bottom w:val="none" w:sz="0" w:space="0" w:color="auto"/>
            <w:right w:val="none" w:sz="0" w:space="0" w:color="auto"/>
          </w:divBdr>
        </w:div>
        <w:div w:id="747310872">
          <w:marLeft w:val="547"/>
          <w:marRight w:val="0"/>
          <w:marTop w:val="0"/>
          <w:marBottom w:val="0"/>
          <w:divBdr>
            <w:top w:val="none" w:sz="0" w:space="0" w:color="auto"/>
            <w:left w:val="none" w:sz="0" w:space="0" w:color="auto"/>
            <w:bottom w:val="none" w:sz="0" w:space="0" w:color="auto"/>
            <w:right w:val="none" w:sz="0" w:space="0" w:color="auto"/>
          </w:divBdr>
        </w:div>
        <w:div w:id="1491746520">
          <w:marLeft w:val="547"/>
          <w:marRight w:val="0"/>
          <w:marTop w:val="0"/>
          <w:marBottom w:val="0"/>
          <w:divBdr>
            <w:top w:val="none" w:sz="0" w:space="0" w:color="auto"/>
            <w:left w:val="none" w:sz="0" w:space="0" w:color="auto"/>
            <w:bottom w:val="none" w:sz="0" w:space="0" w:color="auto"/>
            <w:right w:val="none" w:sz="0" w:space="0" w:color="auto"/>
          </w:divBdr>
        </w:div>
        <w:div w:id="1671641436">
          <w:marLeft w:val="547"/>
          <w:marRight w:val="0"/>
          <w:marTop w:val="0"/>
          <w:marBottom w:val="0"/>
          <w:divBdr>
            <w:top w:val="none" w:sz="0" w:space="0" w:color="auto"/>
            <w:left w:val="none" w:sz="0" w:space="0" w:color="auto"/>
            <w:bottom w:val="none" w:sz="0" w:space="0" w:color="auto"/>
            <w:right w:val="none" w:sz="0" w:space="0" w:color="auto"/>
          </w:divBdr>
        </w:div>
      </w:divsChild>
    </w:div>
    <w:div w:id="672299767">
      <w:bodyDiv w:val="1"/>
      <w:marLeft w:val="0"/>
      <w:marRight w:val="0"/>
      <w:marTop w:val="0"/>
      <w:marBottom w:val="0"/>
      <w:divBdr>
        <w:top w:val="none" w:sz="0" w:space="0" w:color="auto"/>
        <w:left w:val="none" w:sz="0" w:space="0" w:color="auto"/>
        <w:bottom w:val="none" w:sz="0" w:space="0" w:color="auto"/>
        <w:right w:val="none" w:sz="0" w:space="0" w:color="auto"/>
      </w:divBdr>
      <w:divsChild>
        <w:div w:id="838303355">
          <w:marLeft w:val="677"/>
          <w:marRight w:val="0"/>
          <w:marTop w:val="0"/>
          <w:marBottom w:val="0"/>
          <w:divBdr>
            <w:top w:val="none" w:sz="0" w:space="0" w:color="auto"/>
            <w:left w:val="none" w:sz="0" w:space="0" w:color="auto"/>
            <w:bottom w:val="none" w:sz="0" w:space="0" w:color="auto"/>
            <w:right w:val="none" w:sz="0" w:space="0" w:color="auto"/>
          </w:divBdr>
        </w:div>
        <w:div w:id="1670988392">
          <w:marLeft w:val="677"/>
          <w:marRight w:val="0"/>
          <w:marTop w:val="0"/>
          <w:marBottom w:val="0"/>
          <w:divBdr>
            <w:top w:val="none" w:sz="0" w:space="0" w:color="auto"/>
            <w:left w:val="none" w:sz="0" w:space="0" w:color="auto"/>
            <w:bottom w:val="none" w:sz="0" w:space="0" w:color="auto"/>
            <w:right w:val="none" w:sz="0" w:space="0" w:color="auto"/>
          </w:divBdr>
        </w:div>
        <w:div w:id="1028408434">
          <w:marLeft w:val="677"/>
          <w:marRight w:val="0"/>
          <w:marTop w:val="0"/>
          <w:marBottom w:val="0"/>
          <w:divBdr>
            <w:top w:val="none" w:sz="0" w:space="0" w:color="auto"/>
            <w:left w:val="none" w:sz="0" w:space="0" w:color="auto"/>
            <w:bottom w:val="none" w:sz="0" w:space="0" w:color="auto"/>
            <w:right w:val="none" w:sz="0" w:space="0" w:color="auto"/>
          </w:divBdr>
        </w:div>
        <w:div w:id="1167282425">
          <w:marLeft w:val="677"/>
          <w:marRight w:val="0"/>
          <w:marTop w:val="0"/>
          <w:marBottom w:val="0"/>
          <w:divBdr>
            <w:top w:val="none" w:sz="0" w:space="0" w:color="auto"/>
            <w:left w:val="none" w:sz="0" w:space="0" w:color="auto"/>
            <w:bottom w:val="none" w:sz="0" w:space="0" w:color="auto"/>
            <w:right w:val="none" w:sz="0" w:space="0" w:color="auto"/>
          </w:divBdr>
        </w:div>
        <w:div w:id="1120225989">
          <w:marLeft w:val="677"/>
          <w:marRight w:val="0"/>
          <w:marTop w:val="0"/>
          <w:marBottom w:val="0"/>
          <w:divBdr>
            <w:top w:val="none" w:sz="0" w:space="0" w:color="auto"/>
            <w:left w:val="none" w:sz="0" w:space="0" w:color="auto"/>
            <w:bottom w:val="none" w:sz="0" w:space="0" w:color="auto"/>
            <w:right w:val="none" w:sz="0" w:space="0" w:color="auto"/>
          </w:divBdr>
        </w:div>
        <w:div w:id="2005552273">
          <w:marLeft w:val="677"/>
          <w:marRight w:val="0"/>
          <w:marTop w:val="0"/>
          <w:marBottom w:val="0"/>
          <w:divBdr>
            <w:top w:val="none" w:sz="0" w:space="0" w:color="auto"/>
            <w:left w:val="none" w:sz="0" w:space="0" w:color="auto"/>
            <w:bottom w:val="none" w:sz="0" w:space="0" w:color="auto"/>
            <w:right w:val="none" w:sz="0" w:space="0" w:color="auto"/>
          </w:divBdr>
        </w:div>
        <w:div w:id="291714386">
          <w:marLeft w:val="677"/>
          <w:marRight w:val="0"/>
          <w:marTop w:val="0"/>
          <w:marBottom w:val="0"/>
          <w:divBdr>
            <w:top w:val="none" w:sz="0" w:space="0" w:color="auto"/>
            <w:left w:val="none" w:sz="0" w:space="0" w:color="auto"/>
            <w:bottom w:val="none" w:sz="0" w:space="0" w:color="auto"/>
            <w:right w:val="none" w:sz="0" w:space="0" w:color="auto"/>
          </w:divBdr>
        </w:div>
      </w:divsChild>
    </w:div>
    <w:div w:id="946473770">
      <w:bodyDiv w:val="1"/>
      <w:marLeft w:val="0"/>
      <w:marRight w:val="0"/>
      <w:marTop w:val="0"/>
      <w:marBottom w:val="0"/>
      <w:divBdr>
        <w:top w:val="none" w:sz="0" w:space="0" w:color="auto"/>
        <w:left w:val="none" w:sz="0" w:space="0" w:color="auto"/>
        <w:bottom w:val="none" w:sz="0" w:space="0" w:color="auto"/>
        <w:right w:val="none" w:sz="0" w:space="0" w:color="auto"/>
      </w:divBdr>
    </w:div>
    <w:div w:id="1803233398">
      <w:bodyDiv w:val="1"/>
      <w:marLeft w:val="0"/>
      <w:marRight w:val="0"/>
      <w:marTop w:val="0"/>
      <w:marBottom w:val="0"/>
      <w:divBdr>
        <w:top w:val="none" w:sz="0" w:space="0" w:color="auto"/>
        <w:left w:val="none" w:sz="0" w:space="0" w:color="auto"/>
        <w:bottom w:val="none" w:sz="0" w:space="0" w:color="auto"/>
        <w:right w:val="none" w:sz="0" w:space="0" w:color="auto"/>
      </w:divBdr>
      <w:divsChild>
        <w:div w:id="1327784607">
          <w:marLeft w:val="547"/>
          <w:marRight w:val="0"/>
          <w:marTop w:val="0"/>
          <w:marBottom w:val="0"/>
          <w:divBdr>
            <w:top w:val="none" w:sz="0" w:space="0" w:color="auto"/>
            <w:left w:val="none" w:sz="0" w:space="0" w:color="auto"/>
            <w:bottom w:val="none" w:sz="0" w:space="0" w:color="auto"/>
            <w:right w:val="none" w:sz="0" w:space="0" w:color="auto"/>
          </w:divBdr>
        </w:div>
        <w:div w:id="311102665">
          <w:marLeft w:val="677"/>
          <w:marRight w:val="0"/>
          <w:marTop w:val="0"/>
          <w:marBottom w:val="120"/>
          <w:divBdr>
            <w:top w:val="none" w:sz="0" w:space="0" w:color="auto"/>
            <w:left w:val="none" w:sz="0" w:space="0" w:color="auto"/>
            <w:bottom w:val="none" w:sz="0" w:space="0" w:color="auto"/>
            <w:right w:val="none" w:sz="0" w:space="0" w:color="auto"/>
          </w:divBdr>
        </w:div>
        <w:div w:id="1923105824">
          <w:marLeft w:val="677"/>
          <w:marRight w:val="0"/>
          <w:marTop w:val="0"/>
          <w:marBottom w:val="120"/>
          <w:divBdr>
            <w:top w:val="none" w:sz="0" w:space="0" w:color="auto"/>
            <w:left w:val="none" w:sz="0" w:space="0" w:color="auto"/>
            <w:bottom w:val="none" w:sz="0" w:space="0" w:color="auto"/>
            <w:right w:val="none" w:sz="0" w:space="0" w:color="auto"/>
          </w:divBdr>
        </w:div>
        <w:div w:id="1833834791">
          <w:marLeft w:val="677"/>
          <w:marRight w:val="0"/>
          <w:marTop w:val="0"/>
          <w:marBottom w:val="120"/>
          <w:divBdr>
            <w:top w:val="none" w:sz="0" w:space="0" w:color="auto"/>
            <w:left w:val="none" w:sz="0" w:space="0" w:color="auto"/>
            <w:bottom w:val="none" w:sz="0" w:space="0" w:color="auto"/>
            <w:right w:val="none" w:sz="0" w:space="0" w:color="auto"/>
          </w:divBdr>
        </w:div>
      </w:divsChild>
    </w:div>
    <w:div w:id="1974745412">
      <w:bodyDiv w:val="1"/>
      <w:marLeft w:val="0"/>
      <w:marRight w:val="0"/>
      <w:marTop w:val="0"/>
      <w:marBottom w:val="0"/>
      <w:divBdr>
        <w:top w:val="none" w:sz="0" w:space="0" w:color="auto"/>
        <w:left w:val="none" w:sz="0" w:space="0" w:color="auto"/>
        <w:bottom w:val="none" w:sz="0" w:space="0" w:color="auto"/>
        <w:right w:val="none" w:sz="0" w:space="0" w:color="auto"/>
      </w:divBdr>
    </w:div>
    <w:div w:id="20031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0493-AFCC-48FC-A799-B912E433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3870</Words>
  <Characters>22063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csilkstone</dc:creator>
  <cp:lastModifiedBy>Asanda</cp:lastModifiedBy>
  <cp:revision>2</cp:revision>
  <cp:lastPrinted>2016-10-27T11:45:00Z</cp:lastPrinted>
  <dcterms:created xsi:type="dcterms:W3CDTF">2016-10-27T15:09:00Z</dcterms:created>
  <dcterms:modified xsi:type="dcterms:W3CDTF">2016-10-27T15:09:00Z</dcterms:modified>
</cp:coreProperties>
</file>