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29" w:rsidRPr="00831A68" w:rsidRDefault="001003C4" w:rsidP="00CE0629">
      <w:pPr>
        <w:spacing w:line="360" w:lineRule="auto"/>
        <w:contextualSpacing/>
        <w:jc w:val="both"/>
        <w:rPr>
          <w:rFonts w:ascii="Times New Roman" w:hAnsi="Times New Roman"/>
          <w:b/>
          <w:sz w:val="24"/>
          <w:szCs w:val="24"/>
        </w:rPr>
      </w:pPr>
      <w:bookmarkStart w:id="0" w:name="_GoBack"/>
      <w:bookmarkEnd w:id="0"/>
      <w:r>
        <w:rPr>
          <w:rFonts w:ascii="Times New Roman" w:hAnsi="Times New Roman"/>
          <w:b/>
          <w:color w:val="auto"/>
          <w:spacing w:val="-10"/>
          <w:kern w:val="28"/>
          <w:sz w:val="24"/>
          <w:szCs w:val="24"/>
        </w:rPr>
        <w:t xml:space="preserve">9. </w:t>
      </w:r>
      <w:r w:rsidR="00CE0629" w:rsidRPr="00831A68">
        <w:rPr>
          <w:rFonts w:ascii="Times New Roman" w:hAnsi="Times New Roman"/>
          <w:b/>
          <w:color w:val="auto"/>
          <w:spacing w:val="-10"/>
          <w:kern w:val="28"/>
          <w:sz w:val="24"/>
          <w:szCs w:val="24"/>
        </w:rPr>
        <w:t>BUDGETARY REVIEW AND RECOMME</w:t>
      </w:r>
      <w:r w:rsidR="005F688D" w:rsidRPr="00831A68">
        <w:rPr>
          <w:rFonts w:ascii="Times New Roman" w:hAnsi="Times New Roman"/>
          <w:b/>
          <w:color w:val="auto"/>
          <w:spacing w:val="-10"/>
          <w:kern w:val="28"/>
          <w:sz w:val="24"/>
          <w:szCs w:val="24"/>
        </w:rPr>
        <w:t xml:space="preserve">NDATIONS REPORT (BRRR) </w:t>
      </w:r>
      <w:r w:rsidR="00827404" w:rsidRPr="00831A68">
        <w:rPr>
          <w:rFonts w:ascii="Times New Roman" w:hAnsi="Times New Roman"/>
          <w:b/>
          <w:color w:val="auto"/>
          <w:spacing w:val="-10"/>
          <w:kern w:val="28"/>
          <w:sz w:val="24"/>
          <w:szCs w:val="24"/>
        </w:rPr>
        <w:t>O</w:t>
      </w:r>
      <w:r w:rsidR="005F688D" w:rsidRPr="00831A68">
        <w:rPr>
          <w:rFonts w:ascii="Times New Roman" w:hAnsi="Times New Roman"/>
          <w:b/>
          <w:color w:val="auto"/>
          <w:spacing w:val="-10"/>
          <w:kern w:val="28"/>
          <w:sz w:val="24"/>
          <w:szCs w:val="24"/>
        </w:rPr>
        <w:t>F THE</w:t>
      </w:r>
      <w:r w:rsidR="00827404" w:rsidRPr="00831A68">
        <w:rPr>
          <w:rFonts w:ascii="Times New Roman" w:hAnsi="Times New Roman"/>
          <w:b/>
          <w:color w:val="auto"/>
          <w:spacing w:val="-10"/>
          <w:kern w:val="28"/>
          <w:sz w:val="24"/>
          <w:szCs w:val="24"/>
        </w:rPr>
        <w:t xml:space="preserve"> PORTFOLIO COMMITTEE ON PUBLIC SERVICE AND ADMINISTRATION AS WELL AS PERFORMANCE MONITORING AND EVALUATION ON THE</w:t>
      </w:r>
      <w:r w:rsidR="005F688D" w:rsidRPr="00831A68">
        <w:rPr>
          <w:rFonts w:ascii="Times New Roman" w:hAnsi="Times New Roman"/>
          <w:b/>
          <w:color w:val="auto"/>
          <w:spacing w:val="-10"/>
          <w:kern w:val="28"/>
          <w:sz w:val="24"/>
          <w:szCs w:val="24"/>
        </w:rPr>
        <w:t xml:space="preserve"> DEPARTMENT </w:t>
      </w:r>
      <w:r w:rsidR="00CE0629" w:rsidRPr="00831A68">
        <w:rPr>
          <w:rFonts w:ascii="Times New Roman" w:hAnsi="Times New Roman"/>
          <w:b/>
          <w:color w:val="auto"/>
          <w:spacing w:val="-10"/>
          <w:kern w:val="28"/>
          <w:sz w:val="24"/>
          <w:szCs w:val="24"/>
        </w:rPr>
        <w:t>OF PUBLIC SERVICE AND ADMINISTRATION (DPSA), PUBLIC SERVICE COMMISSION (PSC), NATIONAL SCHOOL OF GOVERNMENT (NSG</w:t>
      </w:r>
      <w:r w:rsidR="00E94BCD" w:rsidRPr="00831A68">
        <w:rPr>
          <w:rFonts w:ascii="Times New Roman" w:hAnsi="Times New Roman"/>
          <w:b/>
          <w:color w:val="auto"/>
          <w:spacing w:val="-10"/>
          <w:kern w:val="28"/>
          <w:sz w:val="24"/>
          <w:szCs w:val="24"/>
        </w:rPr>
        <w:t>) AND THE</w:t>
      </w:r>
      <w:r w:rsidR="00DF7423" w:rsidRPr="00831A68">
        <w:rPr>
          <w:rFonts w:ascii="Times New Roman" w:hAnsi="Times New Roman"/>
          <w:b/>
          <w:color w:val="auto"/>
          <w:spacing w:val="-10"/>
          <w:kern w:val="28"/>
          <w:sz w:val="24"/>
          <w:szCs w:val="24"/>
        </w:rPr>
        <w:t xml:space="preserve"> </w:t>
      </w:r>
      <w:r w:rsidR="005F688D" w:rsidRPr="00831A68">
        <w:rPr>
          <w:rFonts w:ascii="Times New Roman" w:hAnsi="Times New Roman"/>
          <w:b/>
          <w:color w:val="auto"/>
          <w:spacing w:val="-10"/>
          <w:kern w:val="28"/>
          <w:sz w:val="24"/>
          <w:szCs w:val="24"/>
        </w:rPr>
        <w:t xml:space="preserve">CENTRE FOR PUBLIC SERVICE </w:t>
      </w:r>
      <w:r w:rsidR="00CE0629" w:rsidRPr="00831A68">
        <w:rPr>
          <w:rFonts w:ascii="Times New Roman" w:hAnsi="Times New Roman"/>
          <w:b/>
          <w:color w:val="auto"/>
          <w:spacing w:val="-10"/>
          <w:kern w:val="28"/>
          <w:sz w:val="24"/>
          <w:szCs w:val="24"/>
        </w:rPr>
        <w:t>INNOVATION (CPSI)</w:t>
      </w:r>
      <w:r w:rsidR="00827404" w:rsidRPr="00831A68">
        <w:rPr>
          <w:rFonts w:ascii="Times New Roman" w:hAnsi="Times New Roman"/>
          <w:b/>
          <w:color w:val="auto"/>
          <w:spacing w:val="-10"/>
          <w:kern w:val="28"/>
          <w:sz w:val="24"/>
          <w:szCs w:val="24"/>
        </w:rPr>
        <w:t xml:space="preserve">, DATED </w:t>
      </w:r>
      <w:r w:rsidR="009E02AF">
        <w:rPr>
          <w:rFonts w:ascii="Times New Roman" w:hAnsi="Times New Roman"/>
          <w:b/>
          <w:color w:val="auto"/>
          <w:spacing w:val="-10"/>
          <w:kern w:val="28"/>
          <w:sz w:val="24"/>
          <w:szCs w:val="24"/>
        </w:rPr>
        <w:t>20</w:t>
      </w:r>
      <w:r w:rsidR="00DF7423" w:rsidRPr="00831A68">
        <w:rPr>
          <w:rFonts w:ascii="Times New Roman" w:hAnsi="Times New Roman"/>
          <w:b/>
          <w:sz w:val="24"/>
          <w:szCs w:val="24"/>
        </w:rPr>
        <w:t xml:space="preserve"> O</w:t>
      </w:r>
      <w:r w:rsidR="00827404" w:rsidRPr="00831A68">
        <w:rPr>
          <w:rFonts w:ascii="Times New Roman" w:hAnsi="Times New Roman"/>
          <w:b/>
          <w:sz w:val="24"/>
          <w:szCs w:val="24"/>
        </w:rPr>
        <w:t>CTOBER</w:t>
      </w:r>
      <w:r w:rsidR="00A663DE" w:rsidRPr="00831A68">
        <w:rPr>
          <w:rFonts w:ascii="Times New Roman" w:hAnsi="Times New Roman"/>
          <w:b/>
          <w:sz w:val="24"/>
          <w:szCs w:val="24"/>
        </w:rPr>
        <w:t xml:space="preserve"> 2016</w:t>
      </w:r>
    </w:p>
    <w:p w:rsidR="00541458" w:rsidRPr="00831A68" w:rsidRDefault="00541458" w:rsidP="00570FF8">
      <w:pPr>
        <w:spacing w:line="360" w:lineRule="auto"/>
        <w:jc w:val="both"/>
        <w:rPr>
          <w:rFonts w:ascii="Times New Roman" w:eastAsia="Calibri" w:hAnsi="Times New Roman"/>
          <w:sz w:val="24"/>
          <w:szCs w:val="24"/>
          <w:lang w:val="en-US"/>
        </w:rPr>
      </w:pPr>
    </w:p>
    <w:p w:rsidR="00DF7423" w:rsidRPr="00831A68" w:rsidRDefault="00DF7423"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BACKGROUND</w:t>
      </w:r>
    </w:p>
    <w:p w:rsidR="00DF7423" w:rsidRPr="00831A68" w:rsidRDefault="00DF7423" w:rsidP="00DF7423">
      <w:pPr>
        <w:spacing w:line="360" w:lineRule="auto"/>
        <w:jc w:val="both"/>
        <w:rPr>
          <w:rFonts w:ascii="Times New Roman" w:eastAsia="Calibri" w:hAnsi="Times New Roman"/>
          <w:sz w:val="24"/>
          <w:szCs w:val="24"/>
          <w:lang w:val="en-US"/>
        </w:rPr>
      </w:pPr>
      <w:r w:rsidRPr="00831A68">
        <w:rPr>
          <w:rFonts w:ascii="Times New Roman" w:eastAsia="Calibri" w:hAnsi="Times New Roman"/>
          <w:sz w:val="24"/>
          <w:szCs w:val="24"/>
          <w:lang w:val="en-US"/>
        </w:rPr>
        <w:t>The Portfolio Committee on Public Service as well as Planning, Monitoring and Evaluation (hereinafter referred to as the Portfolio Committee) having considered the directive of the National Assembly</w:t>
      </w:r>
      <w:r w:rsidR="00B029E5" w:rsidRPr="00831A68">
        <w:rPr>
          <w:rFonts w:ascii="Times New Roman" w:eastAsia="Calibri" w:hAnsi="Times New Roman"/>
          <w:sz w:val="24"/>
          <w:szCs w:val="24"/>
          <w:lang w:val="en-US"/>
        </w:rPr>
        <w:t>,</w:t>
      </w:r>
      <w:r w:rsidRPr="00831A68">
        <w:rPr>
          <w:rFonts w:ascii="Times New Roman" w:eastAsia="Calibri" w:hAnsi="Times New Roman"/>
          <w:sz w:val="24"/>
          <w:szCs w:val="24"/>
          <w:lang w:val="en-US"/>
        </w:rPr>
        <w:t xml:space="preserve"> which is in line with</w:t>
      </w:r>
      <w:r w:rsidRPr="00831A68">
        <w:rPr>
          <w:rFonts w:ascii="Times New Roman" w:hAnsi="Times New Roman"/>
          <w:sz w:val="24"/>
          <w:szCs w:val="24"/>
          <w:lang w:val="en-US"/>
        </w:rPr>
        <w:t xml:space="preserve"> Section 5 of the</w:t>
      </w:r>
      <w:r w:rsidRPr="00831A68">
        <w:rPr>
          <w:rFonts w:ascii="Times New Roman" w:hAnsi="Times New Roman"/>
          <w:b/>
          <w:sz w:val="24"/>
          <w:szCs w:val="24"/>
          <w:lang w:val="en-US"/>
        </w:rPr>
        <w:t xml:space="preserve"> </w:t>
      </w:r>
      <w:r w:rsidRPr="00831A68">
        <w:rPr>
          <w:rFonts w:ascii="Times New Roman" w:hAnsi="Times New Roman"/>
          <w:sz w:val="24"/>
          <w:szCs w:val="24"/>
          <w:lang w:val="en-US"/>
        </w:rPr>
        <w:t xml:space="preserve">Money Bills Amendment Procedures and Related Matters Act, No. 9 of 2009 to consider and report on the Annual Reports of the </w:t>
      </w:r>
      <w:r w:rsidRPr="00831A68">
        <w:rPr>
          <w:rFonts w:ascii="Times New Roman" w:eastAsia="Calibri" w:hAnsi="Times New Roman"/>
          <w:sz w:val="24"/>
          <w:szCs w:val="24"/>
          <w:lang w:val="en-US"/>
        </w:rPr>
        <w:t>Department of Public Service and Administration, Public Service Commission and its entities, report</w:t>
      </w:r>
      <w:r w:rsidR="00B029E5" w:rsidRPr="00831A68">
        <w:rPr>
          <w:rFonts w:ascii="Times New Roman" w:eastAsia="Calibri" w:hAnsi="Times New Roman"/>
          <w:sz w:val="24"/>
          <w:szCs w:val="24"/>
          <w:lang w:val="en-US"/>
        </w:rPr>
        <w:t>s</w:t>
      </w:r>
      <w:r w:rsidRPr="00831A68">
        <w:rPr>
          <w:rFonts w:ascii="Times New Roman" w:eastAsia="Calibri" w:hAnsi="Times New Roman"/>
          <w:sz w:val="24"/>
          <w:szCs w:val="24"/>
          <w:lang w:val="en-US"/>
        </w:rPr>
        <w:t xml:space="preserve"> as follows:</w:t>
      </w:r>
    </w:p>
    <w:p w:rsidR="00DF7423" w:rsidRPr="00831A68" w:rsidRDefault="00DF7423" w:rsidP="00DF7423">
      <w:pPr>
        <w:spacing w:line="360" w:lineRule="auto"/>
        <w:jc w:val="both"/>
        <w:rPr>
          <w:rFonts w:ascii="Times New Roman" w:eastAsia="Calibri" w:hAnsi="Times New Roman"/>
          <w:b/>
          <w:sz w:val="24"/>
          <w:szCs w:val="24"/>
          <w:lang w:val="en-US"/>
        </w:rPr>
      </w:pPr>
    </w:p>
    <w:p w:rsidR="00570FF8" w:rsidRPr="00831A68" w:rsidRDefault="002F085B"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INTRODUCTION</w:t>
      </w:r>
    </w:p>
    <w:p w:rsidR="00541458" w:rsidRPr="00831A68" w:rsidRDefault="00541458" w:rsidP="00541458">
      <w:pPr>
        <w:spacing w:line="360" w:lineRule="auto"/>
        <w:jc w:val="both"/>
        <w:rPr>
          <w:rFonts w:ascii="Times New Roman" w:hAnsi="Times New Roman"/>
          <w:sz w:val="24"/>
          <w:szCs w:val="24"/>
        </w:rPr>
      </w:pPr>
      <w:r w:rsidRPr="00831A68">
        <w:rPr>
          <w:rFonts w:ascii="Times New Roman" w:hAnsi="Times New Roman"/>
          <w:sz w:val="24"/>
          <w:szCs w:val="24"/>
        </w:rPr>
        <w:t xml:space="preserve">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 </w:t>
      </w:r>
    </w:p>
    <w:p w:rsidR="00541458" w:rsidRPr="00831A68" w:rsidRDefault="00B029E5"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P</w:t>
      </w:r>
      <w:r w:rsidR="00541458" w:rsidRPr="00831A68">
        <w:rPr>
          <w:rFonts w:ascii="Times New Roman" w:hAnsi="Times New Roman"/>
          <w:sz w:val="24"/>
          <w:szCs w:val="24"/>
        </w:rPr>
        <w:t>articipat</w:t>
      </w:r>
      <w:r w:rsidRPr="00831A68">
        <w:rPr>
          <w:rFonts w:ascii="Times New Roman" w:hAnsi="Times New Roman"/>
          <w:sz w:val="24"/>
          <w:szCs w:val="24"/>
        </w:rPr>
        <w:t>ing</w:t>
      </w:r>
      <w:r w:rsidR="00541458" w:rsidRPr="00831A68">
        <w:rPr>
          <w:rFonts w:ascii="Times New Roman" w:hAnsi="Times New Roman"/>
          <w:sz w:val="24"/>
          <w:szCs w:val="24"/>
        </w:rPr>
        <w:t xml:space="preserve"> and provid</w:t>
      </w:r>
      <w:r w:rsidRPr="00831A68">
        <w:rPr>
          <w:rFonts w:ascii="Times New Roman" w:hAnsi="Times New Roman"/>
          <w:sz w:val="24"/>
          <w:szCs w:val="24"/>
        </w:rPr>
        <w:t>ing</w:t>
      </w:r>
      <w:r w:rsidR="00541458" w:rsidRPr="00831A68">
        <w:rPr>
          <w:rFonts w:ascii="Times New Roman" w:hAnsi="Times New Roman"/>
          <w:sz w:val="24"/>
          <w:szCs w:val="24"/>
        </w:rPr>
        <w:t xml:space="preserve"> strategic direction in the development of the legislation and thereafter pass</w:t>
      </w:r>
      <w:r w:rsidRPr="00831A68">
        <w:rPr>
          <w:rFonts w:ascii="Times New Roman" w:hAnsi="Times New Roman"/>
          <w:sz w:val="24"/>
          <w:szCs w:val="24"/>
        </w:rPr>
        <w:t>ing the laws,</w:t>
      </w:r>
      <w:r w:rsidR="00541458" w:rsidRPr="00831A68">
        <w:rPr>
          <w:rFonts w:ascii="Times New Roman" w:hAnsi="Times New Roman"/>
          <w:sz w:val="24"/>
          <w:szCs w:val="24"/>
        </w:rPr>
        <w:t xml:space="preserve"> </w:t>
      </w:r>
    </w:p>
    <w:p w:rsidR="00541458" w:rsidRPr="00831A68" w:rsidRDefault="00541458" w:rsidP="008D3C1B">
      <w:pPr>
        <w:pStyle w:val="ListParagraph"/>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Conduct</w:t>
      </w:r>
      <w:r w:rsidR="00B029E5" w:rsidRPr="00831A68">
        <w:rPr>
          <w:rFonts w:ascii="Times New Roman" w:hAnsi="Times New Roman"/>
          <w:sz w:val="24"/>
          <w:szCs w:val="24"/>
        </w:rPr>
        <w:t>ing</w:t>
      </w:r>
      <w:r w:rsidRPr="00831A68">
        <w:rPr>
          <w:rFonts w:ascii="Times New Roman" w:hAnsi="Times New Roman"/>
          <w:sz w:val="24"/>
          <w:szCs w:val="24"/>
        </w:rPr>
        <w:t xml:space="preserve"> oversight over the Executive to ensure accountability to Portfolio Committee towards achieving</w:t>
      </w:r>
      <w:r w:rsidR="004B3B34" w:rsidRPr="00831A68">
        <w:rPr>
          <w:rFonts w:ascii="Times New Roman" w:hAnsi="Times New Roman"/>
          <w:sz w:val="24"/>
          <w:szCs w:val="24"/>
        </w:rPr>
        <w:t xml:space="preserve"> an</w:t>
      </w:r>
      <w:r w:rsidRPr="00831A68">
        <w:rPr>
          <w:rFonts w:ascii="Times New Roman" w:hAnsi="Times New Roman"/>
          <w:sz w:val="24"/>
          <w:szCs w:val="24"/>
        </w:rPr>
        <w:t xml:space="preserve"> effective, efficient, developmental and professional</w:t>
      </w:r>
      <w:r w:rsidR="00B029E5" w:rsidRPr="00831A68">
        <w:rPr>
          <w:rFonts w:ascii="Times New Roman" w:hAnsi="Times New Roman"/>
          <w:sz w:val="24"/>
          <w:szCs w:val="24"/>
        </w:rPr>
        <w:t xml:space="preserve"> public service,</w:t>
      </w:r>
      <w:r w:rsidRPr="00831A68">
        <w:rPr>
          <w:rFonts w:ascii="Times New Roman" w:hAnsi="Times New Roman"/>
          <w:sz w:val="24"/>
          <w:szCs w:val="24"/>
        </w:rPr>
        <w:t xml:space="preserve"> </w:t>
      </w:r>
    </w:p>
    <w:p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Conduct</w:t>
      </w:r>
      <w:r w:rsidR="00B029E5" w:rsidRPr="00831A68">
        <w:rPr>
          <w:rFonts w:ascii="Times New Roman" w:hAnsi="Times New Roman"/>
          <w:sz w:val="24"/>
          <w:szCs w:val="24"/>
        </w:rPr>
        <w:t>ing</w:t>
      </w:r>
      <w:r w:rsidRPr="00831A68">
        <w:rPr>
          <w:rFonts w:ascii="Times New Roman" w:hAnsi="Times New Roman"/>
          <w:sz w:val="24"/>
          <w:szCs w:val="24"/>
        </w:rPr>
        <w:t xml:space="preserve"> public participation and engag</w:t>
      </w:r>
      <w:r w:rsidR="00B029E5" w:rsidRPr="00831A68">
        <w:rPr>
          <w:rFonts w:ascii="Times New Roman" w:hAnsi="Times New Roman"/>
          <w:sz w:val="24"/>
          <w:szCs w:val="24"/>
        </w:rPr>
        <w:t>ing</w:t>
      </w:r>
      <w:r w:rsidRPr="00831A68">
        <w:rPr>
          <w:rFonts w:ascii="Times New Roman" w:hAnsi="Times New Roman"/>
          <w:sz w:val="24"/>
          <w:szCs w:val="24"/>
        </w:rPr>
        <w:t xml:space="preserve"> citizens regularly with the aim to strengthen service delivery; oversee and review all matters of public interest r</w:t>
      </w:r>
      <w:r w:rsidR="00B029E5" w:rsidRPr="00831A68">
        <w:rPr>
          <w:rFonts w:ascii="Times New Roman" w:hAnsi="Times New Roman"/>
          <w:sz w:val="24"/>
          <w:szCs w:val="24"/>
        </w:rPr>
        <w:t>elating to the public sector,</w:t>
      </w:r>
      <w:r w:rsidRPr="00831A68">
        <w:rPr>
          <w:rFonts w:ascii="Times New Roman" w:hAnsi="Times New Roman"/>
          <w:sz w:val="24"/>
          <w:szCs w:val="24"/>
        </w:rPr>
        <w:t xml:space="preserve"> </w:t>
      </w:r>
    </w:p>
    <w:p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Monitor</w:t>
      </w:r>
      <w:r w:rsidR="00B029E5" w:rsidRPr="00831A68">
        <w:rPr>
          <w:rFonts w:ascii="Times New Roman" w:hAnsi="Times New Roman"/>
          <w:sz w:val="24"/>
          <w:szCs w:val="24"/>
        </w:rPr>
        <w:t>ing</w:t>
      </w:r>
      <w:r w:rsidRPr="00831A68">
        <w:rPr>
          <w:rFonts w:ascii="Times New Roman" w:hAnsi="Times New Roman"/>
          <w:sz w:val="24"/>
          <w:szCs w:val="24"/>
        </w:rPr>
        <w:t xml:space="preserve"> the financial and non-financial aspects of departments and its entities and ensur</w:t>
      </w:r>
      <w:r w:rsidR="00B029E5" w:rsidRPr="00831A68">
        <w:rPr>
          <w:rFonts w:ascii="Times New Roman" w:hAnsi="Times New Roman"/>
          <w:sz w:val="24"/>
          <w:szCs w:val="24"/>
        </w:rPr>
        <w:t>ing</w:t>
      </w:r>
      <w:r w:rsidRPr="00831A68">
        <w:rPr>
          <w:rFonts w:ascii="Times New Roman" w:hAnsi="Times New Roman"/>
          <w:sz w:val="24"/>
          <w:szCs w:val="24"/>
        </w:rPr>
        <w:t xml:space="preserve"> regular reporting to the Committee, within the scope of accountability and transparency</w:t>
      </w:r>
      <w:r w:rsidR="00B029E5" w:rsidRPr="00831A68">
        <w:rPr>
          <w:rFonts w:ascii="Times New Roman" w:hAnsi="Times New Roman"/>
          <w:sz w:val="24"/>
          <w:szCs w:val="24"/>
        </w:rPr>
        <w:t>,</w:t>
      </w:r>
      <w:r w:rsidRPr="00831A68">
        <w:rPr>
          <w:rFonts w:ascii="Times New Roman" w:hAnsi="Times New Roman"/>
          <w:sz w:val="24"/>
          <w:szCs w:val="24"/>
        </w:rPr>
        <w:t xml:space="preserve"> </w:t>
      </w:r>
    </w:p>
    <w:p w:rsidR="00541458" w:rsidRPr="00831A68" w:rsidRDefault="00541458" w:rsidP="008D3C1B">
      <w:pPr>
        <w:numPr>
          <w:ilvl w:val="0"/>
          <w:numId w:val="2"/>
        </w:numPr>
        <w:spacing w:line="360" w:lineRule="auto"/>
        <w:jc w:val="both"/>
        <w:rPr>
          <w:rFonts w:ascii="Times New Roman" w:hAnsi="Times New Roman"/>
          <w:sz w:val="24"/>
          <w:szCs w:val="24"/>
          <w:lang w:val="en-ZA"/>
        </w:rPr>
      </w:pPr>
      <w:r w:rsidRPr="00831A68">
        <w:rPr>
          <w:rFonts w:ascii="Times New Roman" w:hAnsi="Times New Roman"/>
          <w:sz w:val="24"/>
          <w:szCs w:val="24"/>
          <w:lang w:val="en-ZA"/>
        </w:rPr>
        <w:t>Support</w:t>
      </w:r>
      <w:r w:rsidR="00B029E5" w:rsidRPr="00831A68">
        <w:rPr>
          <w:rFonts w:ascii="Times New Roman" w:hAnsi="Times New Roman"/>
          <w:sz w:val="24"/>
          <w:szCs w:val="24"/>
          <w:lang w:val="en-ZA"/>
        </w:rPr>
        <w:t>ing</w:t>
      </w:r>
      <w:r w:rsidRPr="00831A68">
        <w:rPr>
          <w:rFonts w:ascii="Times New Roman" w:hAnsi="Times New Roman"/>
          <w:sz w:val="24"/>
          <w:szCs w:val="24"/>
          <w:lang w:val="en-ZA"/>
        </w:rPr>
        <w:t xml:space="preserve"> and ensur</w:t>
      </w:r>
      <w:r w:rsidR="00B029E5" w:rsidRPr="00831A68">
        <w:rPr>
          <w:rFonts w:ascii="Times New Roman" w:hAnsi="Times New Roman"/>
          <w:sz w:val="24"/>
          <w:szCs w:val="24"/>
          <w:lang w:val="en-ZA"/>
        </w:rPr>
        <w:t>ing the</w:t>
      </w:r>
      <w:r w:rsidRPr="00831A68">
        <w:rPr>
          <w:rFonts w:ascii="Times New Roman" w:hAnsi="Times New Roman"/>
          <w:sz w:val="24"/>
          <w:szCs w:val="24"/>
          <w:lang w:val="en-ZA"/>
        </w:rPr>
        <w:t xml:space="preserve"> implementation of the PSC recommendations in the entire public service</w:t>
      </w:r>
    </w:p>
    <w:p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lastRenderedPageBreak/>
        <w:t>Participat</w:t>
      </w:r>
      <w:r w:rsidR="00B029E5" w:rsidRPr="00831A68">
        <w:rPr>
          <w:rFonts w:ascii="Times New Roman" w:hAnsi="Times New Roman"/>
          <w:sz w:val="24"/>
          <w:szCs w:val="24"/>
        </w:rPr>
        <w:t>ing</w:t>
      </w:r>
      <w:r w:rsidRPr="00831A68">
        <w:rPr>
          <w:rFonts w:ascii="Times New Roman" w:hAnsi="Times New Roman"/>
          <w:sz w:val="24"/>
          <w:szCs w:val="24"/>
        </w:rPr>
        <w:t xml:space="preserve"> in the international treaties which impact on the work of the Committee. </w:t>
      </w:r>
    </w:p>
    <w:p w:rsidR="00CB37EA" w:rsidRPr="00831A68" w:rsidRDefault="00CB37EA" w:rsidP="00CB37EA">
      <w:pPr>
        <w:spacing w:line="360" w:lineRule="auto"/>
        <w:ind w:left="720"/>
        <w:jc w:val="both"/>
        <w:rPr>
          <w:rFonts w:ascii="Times New Roman" w:hAnsi="Times New Roman"/>
          <w:sz w:val="24"/>
          <w:szCs w:val="24"/>
        </w:rPr>
      </w:pPr>
    </w:p>
    <w:p w:rsidR="00541458" w:rsidRPr="00831A68" w:rsidRDefault="00541458" w:rsidP="0054145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P</w:t>
      </w:r>
      <w:r w:rsidR="002F085B" w:rsidRPr="00831A68">
        <w:rPr>
          <w:rFonts w:ascii="Times New Roman" w:eastAsia="Calibri" w:hAnsi="Times New Roman"/>
          <w:b/>
          <w:sz w:val="24"/>
          <w:szCs w:val="24"/>
          <w:lang w:val="en-US"/>
        </w:rPr>
        <w:t>URPOSE</w:t>
      </w:r>
      <w:r w:rsidRPr="00831A68">
        <w:rPr>
          <w:rFonts w:ascii="Times New Roman" w:eastAsia="Calibri" w:hAnsi="Times New Roman"/>
          <w:b/>
          <w:sz w:val="24"/>
          <w:szCs w:val="24"/>
          <w:lang w:val="en-US"/>
        </w:rPr>
        <w:t xml:space="preserve"> </w:t>
      </w:r>
      <w:r w:rsidR="002F085B" w:rsidRPr="00831A68">
        <w:rPr>
          <w:rFonts w:ascii="Times New Roman" w:eastAsia="Calibri" w:hAnsi="Times New Roman"/>
          <w:b/>
          <w:sz w:val="24"/>
          <w:szCs w:val="24"/>
          <w:lang w:val="en-US"/>
        </w:rPr>
        <w:t>OF THE BUDGETARY REVIEW AND RECOMMENDATIONS REPORT</w:t>
      </w:r>
    </w:p>
    <w:p w:rsidR="00DF7423" w:rsidRPr="00831A68" w:rsidRDefault="00DF7423" w:rsidP="00DF7423">
      <w:p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In terms of Section 5 of the</w:t>
      </w:r>
      <w:r w:rsidRPr="00831A68">
        <w:rPr>
          <w:rFonts w:ascii="Times New Roman" w:hAnsi="Times New Roman"/>
          <w:b/>
          <w:sz w:val="24"/>
          <w:szCs w:val="24"/>
          <w:lang w:val="en-US"/>
        </w:rPr>
        <w:t xml:space="preserve"> </w:t>
      </w:r>
      <w:r w:rsidRPr="00831A68">
        <w:rPr>
          <w:rFonts w:ascii="Times New Roman" w:hAnsi="Times New Roman"/>
          <w:sz w:val="24"/>
          <w:szCs w:val="24"/>
          <w:lang w:val="en-US"/>
        </w:rPr>
        <w:t>Money Bills Amendment Procedures and Related Matters Act, No. 9 of 2009 the National Assembly, through its Committees, must annually compile Budgetary Review and Recommendation</w:t>
      </w:r>
      <w:r w:rsidR="00B029E5" w:rsidRPr="00831A68">
        <w:rPr>
          <w:rFonts w:ascii="Times New Roman" w:hAnsi="Times New Roman"/>
          <w:sz w:val="24"/>
          <w:szCs w:val="24"/>
          <w:lang w:val="en-US"/>
        </w:rPr>
        <w:t>s</w:t>
      </w:r>
      <w:r w:rsidRPr="00831A68">
        <w:rPr>
          <w:rFonts w:ascii="Times New Roman" w:hAnsi="Times New Roman"/>
          <w:sz w:val="24"/>
          <w:szCs w:val="24"/>
          <w:lang w:val="en-US"/>
        </w:rPr>
        <w:t xml:space="preserve"> reports (BRRR) that assess</w:t>
      </w:r>
      <w:r w:rsidR="00B029E5" w:rsidRPr="00831A68">
        <w:rPr>
          <w:rFonts w:ascii="Times New Roman" w:hAnsi="Times New Roman"/>
          <w:sz w:val="24"/>
          <w:szCs w:val="24"/>
          <w:lang w:val="en-US"/>
        </w:rPr>
        <w:t>es</w:t>
      </w:r>
      <w:r w:rsidRPr="00831A68">
        <w:rPr>
          <w:rFonts w:ascii="Times New Roman" w:hAnsi="Times New Roman"/>
          <w:sz w:val="24"/>
          <w:szCs w:val="24"/>
          <w:lang w:val="en-US"/>
        </w:rPr>
        <w:t xml:space="preserve"> service delivery and financial performance of departments and may make recommendations on forward use of resources. The BRRR is also a source document for the Committees on Appropriations when considering and making recommendations on the Medium Term.</w:t>
      </w:r>
    </w:p>
    <w:p w:rsidR="00DF7423" w:rsidRPr="00831A68" w:rsidRDefault="00CA1E4F" w:rsidP="00DF7423">
      <w:p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T</w:t>
      </w:r>
      <w:r w:rsidR="00DF7423" w:rsidRPr="00831A68">
        <w:rPr>
          <w:rFonts w:ascii="Times New Roman" w:hAnsi="Times New Roman"/>
          <w:sz w:val="24"/>
          <w:szCs w:val="24"/>
          <w:lang w:val="en-US"/>
        </w:rPr>
        <w:t>he Money Bills Amendment Procedures and Related Matters Act, section 5 (3) highlight</w:t>
      </w:r>
      <w:r w:rsidR="00B029E5" w:rsidRPr="00831A68">
        <w:rPr>
          <w:rFonts w:ascii="Times New Roman" w:hAnsi="Times New Roman"/>
          <w:sz w:val="24"/>
          <w:szCs w:val="24"/>
          <w:lang w:val="en-US"/>
        </w:rPr>
        <w:t>s</w:t>
      </w:r>
      <w:r w:rsidR="00DF7423" w:rsidRPr="00831A68">
        <w:rPr>
          <w:rFonts w:ascii="Times New Roman" w:hAnsi="Times New Roman"/>
          <w:sz w:val="24"/>
          <w:szCs w:val="24"/>
          <w:lang w:val="en-US"/>
        </w:rPr>
        <w:t xml:space="preserve"> focus area</w:t>
      </w:r>
      <w:r w:rsidR="00B029E5" w:rsidRPr="00831A68">
        <w:rPr>
          <w:rFonts w:ascii="Times New Roman" w:hAnsi="Times New Roman"/>
          <w:sz w:val="24"/>
          <w:szCs w:val="24"/>
          <w:lang w:val="en-US"/>
        </w:rPr>
        <w:t>s</w:t>
      </w:r>
      <w:r w:rsidR="00DF7423" w:rsidRPr="00831A68">
        <w:rPr>
          <w:rFonts w:ascii="Times New Roman" w:hAnsi="Times New Roman"/>
          <w:sz w:val="24"/>
          <w:szCs w:val="24"/>
          <w:lang w:val="en-US"/>
        </w:rPr>
        <w:t xml:space="preserve"> on the budgetary review and recommendation report</w:t>
      </w:r>
      <w:r w:rsidR="00B029E5" w:rsidRPr="00831A68">
        <w:rPr>
          <w:rFonts w:ascii="Times New Roman" w:hAnsi="Times New Roman"/>
          <w:sz w:val="24"/>
          <w:szCs w:val="24"/>
          <w:lang w:val="en-US"/>
        </w:rPr>
        <w:t xml:space="preserve"> as</w:t>
      </w:r>
      <w:r w:rsidR="00DF7423" w:rsidRPr="00831A68">
        <w:rPr>
          <w:rFonts w:ascii="Times New Roman" w:hAnsi="Times New Roman"/>
          <w:sz w:val="24"/>
          <w:szCs w:val="24"/>
          <w:lang w:val="en-US"/>
        </w:rPr>
        <w:t xml:space="preserve">: </w:t>
      </w:r>
    </w:p>
    <w:p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P</w:t>
      </w:r>
      <w:r w:rsidR="00DF7423" w:rsidRPr="00831A68">
        <w:rPr>
          <w:rFonts w:ascii="Times New Roman" w:hAnsi="Times New Roman"/>
          <w:sz w:val="24"/>
          <w:szCs w:val="24"/>
          <w:lang w:val="en-US"/>
        </w:rPr>
        <w:t>rovid</w:t>
      </w:r>
      <w:r w:rsidRPr="00831A68">
        <w:rPr>
          <w:rFonts w:ascii="Times New Roman" w:hAnsi="Times New Roman"/>
          <w:sz w:val="24"/>
          <w:szCs w:val="24"/>
          <w:lang w:val="en-US"/>
        </w:rPr>
        <w:t>ing</w:t>
      </w:r>
      <w:r w:rsidR="00DF7423" w:rsidRPr="00831A68">
        <w:rPr>
          <w:rFonts w:ascii="Times New Roman" w:hAnsi="Times New Roman"/>
          <w:sz w:val="24"/>
          <w:szCs w:val="24"/>
          <w:lang w:val="en-US"/>
        </w:rPr>
        <w:t xml:space="preserve"> an assessment of the department’s service delivery performance given available resources;</w:t>
      </w:r>
    </w:p>
    <w:p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Providing</w:t>
      </w:r>
      <w:r w:rsidR="00DF7423" w:rsidRPr="00831A68">
        <w:rPr>
          <w:rFonts w:ascii="Times New Roman" w:hAnsi="Times New Roman"/>
          <w:sz w:val="24"/>
          <w:szCs w:val="24"/>
          <w:lang w:val="en-US"/>
        </w:rPr>
        <w:t xml:space="preserve"> an assessment of the effectiveness and efficiency of the departments use and forward allocation of available resources; and </w:t>
      </w:r>
    </w:p>
    <w:p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I</w:t>
      </w:r>
      <w:r w:rsidR="00DF7423" w:rsidRPr="00831A68">
        <w:rPr>
          <w:rFonts w:ascii="Times New Roman" w:hAnsi="Times New Roman"/>
          <w:sz w:val="24"/>
          <w:szCs w:val="24"/>
          <w:lang w:val="en-US"/>
        </w:rPr>
        <w:t>nclude recommendations on the forward use of resources</w:t>
      </w:r>
      <w:r w:rsidRPr="00831A68">
        <w:rPr>
          <w:rFonts w:ascii="Times New Roman" w:hAnsi="Times New Roman"/>
          <w:sz w:val="24"/>
          <w:szCs w:val="24"/>
          <w:lang w:val="en-US"/>
        </w:rPr>
        <w:t>.</w:t>
      </w:r>
      <w:r w:rsidR="00DF7423" w:rsidRPr="00831A68">
        <w:rPr>
          <w:rFonts w:ascii="Times New Roman" w:hAnsi="Times New Roman"/>
          <w:sz w:val="24"/>
          <w:szCs w:val="24"/>
          <w:lang w:val="en-US"/>
        </w:rPr>
        <w:t xml:space="preserve"> </w:t>
      </w:r>
    </w:p>
    <w:p w:rsidR="00831A68" w:rsidRDefault="00831A68" w:rsidP="00541458">
      <w:pPr>
        <w:autoSpaceDE w:val="0"/>
        <w:autoSpaceDN w:val="0"/>
        <w:adjustRightInd w:val="0"/>
        <w:spacing w:line="360" w:lineRule="auto"/>
        <w:jc w:val="both"/>
        <w:rPr>
          <w:rFonts w:ascii="Times New Roman" w:eastAsia="Calibri" w:hAnsi="Times New Roman"/>
          <w:b/>
          <w:sz w:val="24"/>
          <w:szCs w:val="24"/>
          <w:lang w:val="en-US"/>
        </w:rPr>
      </w:pPr>
    </w:p>
    <w:p w:rsidR="00541458" w:rsidRPr="00831A68" w:rsidRDefault="00A663DE" w:rsidP="00541458">
      <w:pPr>
        <w:autoSpaceDE w:val="0"/>
        <w:autoSpaceDN w:val="0"/>
        <w:adjustRightInd w:val="0"/>
        <w:spacing w:line="360" w:lineRule="auto"/>
        <w:jc w:val="both"/>
        <w:rPr>
          <w:rFonts w:ascii="Times New Roman" w:eastAsiaTheme="minorHAnsi" w:hAnsi="Times New Roman"/>
          <w:b/>
          <w:spacing w:val="0"/>
          <w:sz w:val="24"/>
          <w:szCs w:val="24"/>
          <w:lang w:val="en-ZA" w:eastAsia="en-US"/>
        </w:rPr>
      </w:pPr>
      <w:r w:rsidRPr="00831A68">
        <w:rPr>
          <w:rFonts w:ascii="Times New Roman" w:eastAsia="Calibri" w:hAnsi="Times New Roman"/>
          <w:b/>
          <w:sz w:val="24"/>
          <w:szCs w:val="24"/>
          <w:lang w:val="en-US"/>
        </w:rPr>
        <w:t>3</w:t>
      </w:r>
      <w:r w:rsidR="00541458" w:rsidRPr="00831A68">
        <w:rPr>
          <w:rFonts w:ascii="Times New Roman" w:eastAsia="Calibri" w:hAnsi="Times New Roman"/>
          <w:b/>
          <w:sz w:val="24"/>
          <w:szCs w:val="24"/>
          <w:lang w:val="en-US"/>
        </w:rPr>
        <w:t>.1</w:t>
      </w:r>
      <w:r w:rsidR="00541458" w:rsidRPr="00831A68">
        <w:rPr>
          <w:rFonts w:ascii="Times New Roman" w:eastAsia="Calibri" w:hAnsi="Times New Roman"/>
          <w:sz w:val="24"/>
          <w:szCs w:val="24"/>
          <w:lang w:val="en-US"/>
        </w:rPr>
        <w:t xml:space="preserve"> </w:t>
      </w:r>
      <w:r w:rsidR="00541458" w:rsidRPr="00831A68">
        <w:rPr>
          <w:rFonts w:ascii="Times New Roman" w:eastAsiaTheme="minorHAnsi" w:hAnsi="Times New Roman"/>
          <w:b/>
          <w:spacing w:val="0"/>
          <w:sz w:val="24"/>
          <w:szCs w:val="24"/>
          <w:lang w:val="en-ZA" w:eastAsia="en-US"/>
        </w:rPr>
        <w:t xml:space="preserve">Method </w:t>
      </w:r>
    </w:p>
    <w:p w:rsidR="00541458" w:rsidRPr="00831A68" w:rsidRDefault="00541458" w:rsidP="00541458">
      <w:pPr>
        <w:pStyle w:val="ListParagraph"/>
        <w:spacing w:line="360" w:lineRule="auto"/>
        <w:ind w:left="0"/>
        <w:jc w:val="both"/>
        <w:rPr>
          <w:rFonts w:ascii="Times New Roman" w:hAnsi="Times New Roman"/>
          <w:sz w:val="24"/>
          <w:szCs w:val="24"/>
        </w:rPr>
      </w:pPr>
      <w:r w:rsidRPr="00831A68">
        <w:rPr>
          <w:rFonts w:ascii="Times New Roman" w:hAnsi="Times New Roman"/>
          <w:sz w:val="24"/>
          <w:szCs w:val="24"/>
        </w:rPr>
        <w:t>The Portfolio Committee on Public Service and Administration as well as Monitoring and Evaluation compiled the 201</w:t>
      </w:r>
      <w:r w:rsidR="00A663DE" w:rsidRPr="00831A68">
        <w:rPr>
          <w:rFonts w:ascii="Times New Roman" w:hAnsi="Times New Roman"/>
          <w:sz w:val="24"/>
          <w:szCs w:val="24"/>
        </w:rPr>
        <w:t>5</w:t>
      </w:r>
      <w:r w:rsidRPr="00831A68">
        <w:rPr>
          <w:rFonts w:ascii="Times New Roman" w:hAnsi="Times New Roman"/>
          <w:sz w:val="24"/>
          <w:szCs w:val="24"/>
        </w:rPr>
        <w:t>/1</w:t>
      </w:r>
      <w:r w:rsidR="00A663DE" w:rsidRPr="00831A68">
        <w:rPr>
          <w:rFonts w:ascii="Times New Roman" w:hAnsi="Times New Roman"/>
          <w:sz w:val="24"/>
          <w:szCs w:val="24"/>
        </w:rPr>
        <w:t>6</w:t>
      </w:r>
      <w:r w:rsidRPr="00831A68">
        <w:rPr>
          <w:rFonts w:ascii="Times New Roman" w:hAnsi="Times New Roman"/>
          <w:sz w:val="24"/>
          <w:szCs w:val="24"/>
        </w:rPr>
        <w:t xml:space="preserve"> BRRR using the following documents:</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The National Development Plan: Vision for 2030.</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Medium Term Strategic Framework</w:t>
      </w:r>
      <w:r w:rsidR="00DF7423" w:rsidRPr="00831A68">
        <w:rPr>
          <w:rFonts w:ascii="Times New Roman" w:hAnsi="Times New Roman"/>
          <w:sz w:val="24"/>
          <w:szCs w:val="24"/>
        </w:rPr>
        <w:t xml:space="preserve"> 2015 - 2020</w:t>
      </w:r>
      <w:r w:rsidRPr="00831A68">
        <w:rPr>
          <w:rFonts w:ascii="Times New Roman" w:hAnsi="Times New Roman"/>
          <w:sz w:val="24"/>
          <w:szCs w:val="24"/>
        </w:rPr>
        <w:t>.</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State of the Nation Address</w:t>
      </w:r>
      <w:r w:rsidR="00A663DE" w:rsidRPr="00831A68">
        <w:rPr>
          <w:rFonts w:ascii="Times New Roman" w:hAnsi="Times New Roman"/>
          <w:sz w:val="24"/>
          <w:szCs w:val="24"/>
        </w:rPr>
        <w:t xml:space="preserve"> 2015 and 2016</w:t>
      </w:r>
      <w:r w:rsidRPr="00831A68">
        <w:rPr>
          <w:rFonts w:ascii="Times New Roman" w:hAnsi="Times New Roman"/>
          <w:sz w:val="24"/>
          <w:szCs w:val="24"/>
        </w:rPr>
        <w:t>.</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Management Performance Assessment Tool 201</w:t>
      </w:r>
      <w:r w:rsidR="00A663DE" w:rsidRPr="00831A68">
        <w:rPr>
          <w:rFonts w:ascii="Times New Roman" w:hAnsi="Times New Roman"/>
          <w:sz w:val="24"/>
          <w:szCs w:val="24"/>
        </w:rPr>
        <w:t>5</w:t>
      </w:r>
      <w:r w:rsidRPr="00831A68">
        <w:rPr>
          <w:rFonts w:ascii="Times New Roman" w:hAnsi="Times New Roman"/>
          <w:sz w:val="24"/>
          <w:szCs w:val="24"/>
        </w:rPr>
        <w:t xml:space="preserve"> </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 xml:space="preserve">Strategic Plans of the </w:t>
      </w:r>
      <w:r w:rsidR="00B029E5" w:rsidRPr="00831A68">
        <w:rPr>
          <w:rFonts w:ascii="Times New Roman" w:hAnsi="Times New Roman"/>
          <w:sz w:val="24"/>
          <w:szCs w:val="24"/>
        </w:rPr>
        <w:t xml:space="preserve">PSC, the </w:t>
      </w:r>
      <w:r w:rsidRPr="00831A68">
        <w:rPr>
          <w:rFonts w:ascii="Times New Roman" w:hAnsi="Times New Roman"/>
          <w:sz w:val="24"/>
          <w:szCs w:val="24"/>
        </w:rPr>
        <w:t>Department and its entities.</w:t>
      </w:r>
    </w:p>
    <w:p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 xml:space="preserve">Annual Performance Plans of the </w:t>
      </w:r>
      <w:r w:rsidR="00B029E5" w:rsidRPr="00831A68">
        <w:rPr>
          <w:rFonts w:ascii="Times New Roman" w:hAnsi="Times New Roman"/>
          <w:sz w:val="24"/>
          <w:szCs w:val="24"/>
        </w:rPr>
        <w:t xml:space="preserve">PSC, the </w:t>
      </w:r>
      <w:r w:rsidRPr="00831A68">
        <w:rPr>
          <w:rFonts w:ascii="Times New Roman" w:hAnsi="Times New Roman"/>
          <w:sz w:val="24"/>
          <w:szCs w:val="24"/>
        </w:rPr>
        <w:t xml:space="preserve">Department </w:t>
      </w:r>
      <w:r w:rsidR="00B029E5" w:rsidRPr="00831A68">
        <w:rPr>
          <w:rFonts w:ascii="Times New Roman" w:hAnsi="Times New Roman"/>
          <w:sz w:val="24"/>
          <w:szCs w:val="24"/>
        </w:rPr>
        <w:t>and its entities</w:t>
      </w:r>
      <w:r w:rsidRPr="00831A68">
        <w:rPr>
          <w:rFonts w:ascii="Times New Roman" w:hAnsi="Times New Roman"/>
          <w:sz w:val="24"/>
          <w:szCs w:val="24"/>
        </w:rPr>
        <w:t>.</w:t>
      </w:r>
    </w:p>
    <w:p w:rsidR="00B029E5"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Annual Report</w:t>
      </w:r>
      <w:r w:rsidR="00A663DE" w:rsidRPr="00831A68">
        <w:rPr>
          <w:rFonts w:ascii="Times New Roman" w:hAnsi="Times New Roman"/>
          <w:sz w:val="24"/>
          <w:szCs w:val="24"/>
        </w:rPr>
        <w:t>s 2015</w:t>
      </w:r>
      <w:r w:rsidR="00B029E5" w:rsidRPr="00831A68">
        <w:rPr>
          <w:rFonts w:ascii="Times New Roman" w:hAnsi="Times New Roman"/>
          <w:sz w:val="24"/>
          <w:szCs w:val="24"/>
        </w:rPr>
        <w:t>/1</w:t>
      </w:r>
      <w:r w:rsidR="00A663DE" w:rsidRPr="00831A68">
        <w:rPr>
          <w:rFonts w:ascii="Times New Roman" w:hAnsi="Times New Roman"/>
          <w:sz w:val="24"/>
          <w:szCs w:val="24"/>
        </w:rPr>
        <w:t>6</w:t>
      </w:r>
      <w:r w:rsidR="00B029E5" w:rsidRPr="00831A68">
        <w:rPr>
          <w:rFonts w:ascii="Times New Roman" w:hAnsi="Times New Roman"/>
          <w:sz w:val="24"/>
          <w:szCs w:val="24"/>
        </w:rPr>
        <w:t xml:space="preserve"> </w:t>
      </w:r>
      <w:r w:rsidRPr="00831A68">
        <w:rPr>
          <w:rFonts w:ascii="Times New Roman" w:hAnsi="Times New Roman"/>
          <w:sz w:val="24"/>
          <w:szCs w:val="24"/>
        </w:rPr>
        <w:t xml:space="preserve">of the </w:t>
      </w:r>
      <w:r w:rsidR="00B029E5" w:rsidRPr="00831A68">
        <w:rPr>
          <w:rFonts w:ascii="Times New Roman" w:hAnsi="Times New Roman"/>
          <w:sz w:val="24"/>
          <w:szCs w:val="24"/>
        </w:rPr>
        <w:t xml:space="preserve">PSC, the </w:t>
      </w:r>
      <w:r w:rsidRPr="00831A68">
        <w:rPr>
          <w:rFonts w:ascii="Times New Roman" w:hAnsi="Times New Roman"/>
          <w:sz w:val="24"/>
          <w:szCs w:val="24"/>
        </w:rPr>
        <w:t xml:space="preserve">Department </w:t>
      </w:r>
      <w:r w:rsidR="00B832C4" w:rsidRPr="00831A68">
        <w:rPr>
          <w:rFonts w:ascii="Times New Roman" w:hAnsi="Times New Roman"/>
          <w:sz w:val="24"/>
          <w:szCs w:val="24"/>
        </w:rPr>
        <w:t>and its entities</w:t>
      </w:r>
      <w:r w:rsidR="00417FA7" w:rsidRPr="00831A68">
        <w:rPr>
          <w:rFonts w:ascii="Times New Roman" w:hAnsi="Times New Roman"/>
          <w:sz w:val="24"/>
          <w:szCs w:val="24"/>
        </w:rPr>
        <w:t xml:space="preserve"> </w:t>
      </w:r>
    </w:p>
    <w:p w:rsidR="00541458" w:rsidRPr="00EB3DD2"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Auditor-General South Africa</w:t>
      </w:r>
      <w:r w:rsidR="00B029E5" w:rsidRPr="00831A68">
        <w:rPr>
          <w:rFonts w:ascii="Times New Roman" w:hAnsi="Times New Roman"/>
          <w:sz w:val="24"/>
          <w:szCs w:val="24"/>
        </w:rPr>
        <w:t>’s</w:t>
      </w:r>
      <w:r w:rsidRPr="00831A68">
        <w:rPr>
          <w:rFonts w:ascii="Times New Roman" w:hAnsi="Times New Roman"/>
          <w:sz w:val="24"/>
          <w:szCs w:val="24"/>
        </w:rPr>
        <w:t xml:space="preserve"> outcomes of audit findings</w:t>
      </w:r>
      <w:r w:rsidR="00A663DE" w:rsidRPr="00831A68">
        <w:rPr>
          <w:rFonts w:ascii="Times New Roman" w:hAnsi="Times New Roman"/>
          <w:sz w:val="24"/>
          <w:szCs w:val="24"/>
        </w:rPr>
        <w:t xml:space="preserve"> 2015/16</w:t>
      </w:r>
      <w:r w:rsidRPr="00831A68">
        <w:rPr>
          <w:rFonts w:ascii="Times New Roman" w:hAnsi="Times New Roman"/>
          <w:sz w:val="24"/>
          <w:szCs w:val="24"/>
        </w:rPr>
        <w:t xml:space="preserve">. </w:t>
      </w:r>
    </w:p>
    <w:p w:rsidR="00EB3DD2" w:rsidRPr="00831A68" w:rsidRDefault="00EB3DD2"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Pr>
          <w:rFonts w:ascii="Times New Roman" w:hAnsi="Times New Roman"/>
          <w:sz w:val="24"/>
          <w:szCs w:val="24"/>
        </w:rPr>
        <w:t xml:space="preserve">The Portfolio Committee also met with the leadership of the department and the entities included under its budget vote. </w:t>
      </w:r>
    </w:p>
    <w:p w:rsidR="00541458" w:rsidRPr="00831A68" w:rsidRDefault="00541458" w:rsidP="00817297">
      <w:pPr>
        <w:autoSpaceDE w:val="0"/>
        <w:autoSpaceDN w:val="0"/>
        <w:adjustRightInd w:val="0"/>
        <w:spacing w:line="360" w:lineRule="auto"/>
        <w:jc w:val="both"/>
        <w:rPr>
          <w:rFonts w:ascii="Times New Roman" w:eastAsiaTheme="minorHAnsi" w:hAnsi="Times New Roman"/>
          <w:spacing w:val="0"/>
          <w:sz w:val="24"/>
          <w:szCs w:val="24"/>
          <w:lang w:val="en-ZA" w:eastAsia="en-US"/>
        </w:rPr>
      </w:pPr>
    </w:p>
    <w:p w:rsidR="009C4F01" w:rsidRPr="00831A68" w:rsidRDefault="009C4F01" w:rsidP="009C4F01">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N</w:t>
      </w:r>
      <w:r w:rsidR="002F085B" w:rsidRPr="00831A68">
        <w:rPr>
          <w:rFonts w:ascii="Times New Roman" w:eastAsia="Calibri" w:hAnsi="Times New Roman"/>
          <w:b/>
          <w:sz w:val="24"/>
          <w:szCs w:val="24"/>
          <w:lang w:val="en-US"/>
        </w:rPr>
        <w:t>ATIONAL DEVELOPMENT PLAN VISION</w:t>
      </w:r>
      <w:r w:rsidRPr="00831A68">
        <w:rPr>
          <w:rFonts w:ascii="Times New Roman" w:eastAsia="Calibri" w:hAnsi="Times New Roman"/>
          <w:b/>
          <w:sz w:val="24"/>
          <w:szCs w:val="24"/>
          <w:lang w:val="en-US"/>
        </w:rPr>
        <w:t xml:space="preserve"> 2030</w:t>
      </w:r>
    </w:p>
    <w:p w:rsidR="009C4F01" w:rsidRPr="00831A68" w:rsidRDefault="00BE1A9D" w:rsidP="009C4F01">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Department of Public Service and Administration is required to implement and coordinate interventions aimed at achieving an efficient, effective and development oriented public service</w:t>
      </w:r>
      <w:r w:rsidR="00B029E5" w:rsidRPr="00831A68">
        <w:rPr>
          <w:rFonts w:ascii="Times New Roman" w:hAnsi="Times New Roman"/>
          <w:sz w:val="24"/>
          <w:szCs w:val="24"/>
          <w:lang w:val="en-US"/>
        </w:rPr>
        <w:t>,</w:t>
      </w:r>
      <w:r w:rsidRPr="00831A68">
        <w:rPr>
          <w:rFonts w:ascii="Times New Roman" w:hAnsi="Times New Roman"/>
          <w:sz w:val="24"/>
          <w:szCs w:val="24"/>
          <w:lang w:val="en-US"/>
        </w:rPr>
        <w:t xml:space="preserve"> which is an essential element of a capable and developmental state as envisioned in the National Development Plan (NDP) 2030. </w:t>
      </w:r>
      <w:r w:rsidR="009C4F01" w:rsidRPr="00831A68">
        <w:rPr>
          <w:rFonts w:ascii="Times New Roman" w:hAnsi="Times New Roman"/>
          <w:sz w:val="24"/>
          <w:szCs w:val="24"/>
          <w:lang w:val="en-US"/>
        </w:rPr>
        <w:t>In relation to the National Development Plan 2030, the Department has the following strategic priorities:</w:t>
      </w:r>
    </w:p>
    <w:p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Measures to advance women’s equality.</w:t>
      </w:r>
    </w:p>
    <w:p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Graduate recruitment scheme for the public service to attract highly skilled people.</w:t>
      </w:r>
    </w:p>
    <w:p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rPr>
        <w:t>Realising</w:t>
      </w:r>
      <w:r w:rsidRPr="00831A68">
        <w:rPr>
          <w:rFonts w:ascii="Times New Roman" w:hAnsi="Times New Roman"/>
          <w:sz w:val="24"/>
          <w:szCs w:val="24"/>
          <w:lang w:val="en-US"/>
        </w:rPr>
        <w:t xml:space="preserve"> a developmental, capable and ethical state to ensure a dignified treatment of citizens.</w:t>
      </w:r>
    </w:p>
    <w:p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Addressing unevenness in state capacity to deal with uneven performance in local, provincial and national government.</w:t>
      </w:r>
    </w:p>
    <w:p w:rsidR="009C4F01" w:rsidRPr="00831A68" w:rsidRDefault="009C4F01" w:rsidP="008D3C1B">
      <w:pPr>
        <w:numPr>
          <w:ilvl w:val="0"/>
          <w:numId w:val="4"/>
        </w:numPr>
        <w:jc w:val="both"/>
        <w:rPr>
          <w:rFonts w:ascii="Times New Roman" w:hAnsi="Times New Roman"/>
          <w:sz w:val="24"/>
          <w:szCs w:val="24"/>
          <w:lang w:val="en-US"/>
        </w:rPr>
      </w:pPr>
      <w:r w:rsidRPr="00831A68">
        <w:rPr>
          <w:rFonts w:ascii="Times New Roman" w:hAnsi="Times New Roman"/>
          <w:sz w:val="24"/>
          <w:szCs w:val="24"/>
          <w:lang w:val="en-US"/>
        </w:rPr>
        <w:t>Professionalisation of the public service in order to:</w:t>
      </w:r>
    </w:p>
    <w:p w:rsidR="009C4F01" w:rsidRPr="00831A68" w:rsidRDefault="009C4F01" w:rsidP="009C4F01">
      <w:pPr>
        <w:pStyle w:val="ListParagraph"/>
        <w:rPr>
          <w:rFonts w:ascii="Times New Roman" w:hAnsi="Times New Roman"/>
          <w:sz w:val="24"/>
          <w:szCs w:val="24"/>
          <w:lang w:val="en-US"/>
        </w:rPr>
      </w:pP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Put in place the Administrative Head of the Public Service.</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Introduce a hybrid system for the appointment of Heads of Department (HoDs).</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Establish delegations of authority and principles on human resource matters.</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Address the shortage of scarce skills.</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Solve skills shortage at technical and managerial levels.</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Improve intergovernmental relations.</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Fight and eliminate corruption in the public service.</w:t>
      </w:r>
    </w:p>
    <w:p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Foster leadership and inculcate responsibility throughout society.</w:t>
      </w:r>
    </w:p>
    <w:p w:rsidR="009C4F01"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Put responsibility for human resource matters on the shoulders of the HoDs.</w:t>
      </w:r>
    </w:p>
    <w:p w:rsidR="00831A68" w:rsidRDefault="00831A68" w:rsidP="00831A68">
      <w:pPr>
        <w:spacing w:line="360" w:lineRule="auto"/>
        <w:jc w:val="both"/>
        <w:rPr>
          <w:rFonts w:ascii="Times New Roman" w:hAnsi="Times New Roman"/>
          <w:sz w:val="24"/>
          <w:szCs w:val="24"/>
          <w:lang w:val="en-US"/>
        </w:rPr>
      </w:pPr>
    </w:p>
    <w:p w:rsidR="00831A68" w:rsidRPr="00831A68" w:rsidRDefault="00831A68" w:rsidP="00831A68">
      <w:pPr>
        <w:spacing w:line="360" w:lineRule="auto"/>
        <w:jc w:val="both"/>
        <w:rPr>
          <w:rFonts w:ascii="Times New Roman" w:hAnsi="Times New Roman"/>
          <w:sz w:val="24"/>
          <w:szCs w:val="24"/>
          <w:lang w:val="en-US"/>
        </w:rPr>
      </w:pPr>
    </w:p>
    <w:p w:rsidR="00570FF8" w:rsidRPr="00831A68" w:rsidRDefault="00541458"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M</w:t>
      </w:r>
      <w:r w:rsidR="002F085B" w:rsidRPr="00831A68">
        <w:rPr>
          <w:rFonts w:ascii="Times New Roman" w:eastAsia="Calibri" w:hAnsi="Times New Roman"/>
          <w:b/>
          <w:sz w:val="24"/>
          <w:szCs w:val="24"/>
          <w:lang w:val="en-US"/>
        </w:rPr>
        <w:t>ANDATE OF THE DEPARTMENT OF PUBLIC SERVICE AND ADMINISTRATION</w:t>
      </w:r>
    </w:p>
    <w:p w:rsidR="008B6DF0" w:rsidRPr="00831A68" w:rsidRDefault="002461CA" w:rsidP="008B6DF0">
      <w:p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lang w:val="en-US"/>
        </w:rPr>
        <w:t xml:space="preserve">The mandate of the Department of Public Service and Administration </w:t>
      </w:r>
      <w:r w:rsidR="00BE1A9D" w:rsidRPr="00831A68">
        <w:rPr>
          <w:rFonts w:ascii="Times New Roman" w:hAnsi="Times New Roman"/>
          <w:sz w:val="24"/>
          <w:szCs w:val="24"/>
          <w:lang w:val="en-US"/>
        </w:rPr>
        <w:t xml:space="preserve">derive from Section 195(1) of the Constitution </w:t>
      </w:r>
      <w:r w:rsidRPr="00831A68">
        <w:rPr>
          <w:rFonts w:ascii="Times New Roman" w:hAnsi="Times New Roman"/>
          <w:sz w:val="24"/>
          <w:szCs w:val="24"/>
          <w:lang w:val="en-US"/>
        </w:rPr>
        <w:t xml:space="preserve">to implement basic values and principles </w:t>
      </w:r>
      <w:r w:rsidR="00BE1A9D" w:rsidRPr="00831A68">
        <w:rPr>
          <w:rFonts w:ascii="Times New Roman" w:hAnsi="Times New Roman"/>
          <w:sz w:val="24"/>
          <w:szCs w:val="24"/>
          <w:lang w:val="en-US"/>
        </w:rPr>
        <w:t xml:space="preserve">that the </w:t>
      </w:r>
      <w:r w:rsidR="00BE1A9D" w:rsidRPr="00831A68">
        <w:rPr>
          <w:rFonts w:ascii="Times New Roman" w:hAnsi="Times New Roman"/>
          <w:sz w:val="24"/>
          <w:szCs w:val="24"/>
          <w:lang w:val="en-US"/>
        </w:rPr>
        <w:lastRenderedPageBreak/>
        <w:t>public service should adhere to, and the</w:t>
      </w:r>
      <w:r w:rsidRPr="00831A68">
        <w:rPr>
          <w:rFonts w:ascii="Times New Roman" w:hAnsi="Times New Roman"/>
          <w:sz w:val="24"/>
          <w:szCs w:val="24"/>
          <w:lang w:val="en-US"/>
        </w:rPr>
        <w:t xml:space="preserve"> Public Service Act </w:t>
      </w:r>
      <w:r w:rsidR="00B029E5" w:rsidRPr="00831A68">
        <w:rPr>
          <w:rFonts w:ascii="Times New Roman" w:hAnsi="Times New Roman"/>
          <w:sz w:val="24"/>
          <w:szCs w:val="24"/>
          <w:lang w:val="en-US"/>
        </w:rPr>
        <w:t xml:space="preserve">(PSA) </w:t>
      </w:r>
      <w:r w:rsidRPr="00831A68">
        <w:rPr>
          <w:rFonts w:ascii="Times New Roman" w:hAnsi="Times New Roman"/>
          <w:sz w:val="24"/>
          <w:szCs w:val="24"/>
          <w:lang w:val="en-US"/>
        </w:rPr>
        <w:t>of 1994</w:t>
      </w:r>
      <w:r w:rsidR="00BE1A9D" w:rsidRPr="00831A68">
        <w:rPr>
          <w:rFonts w:ascii="Times New Roman" w:hAnsi="Times New Roman"/>
          <w:sz w:val="24"/>
          <w:szCs w:val="24"/>
          <w:lang w:val="en-US"/>
        </w:rPr>
        <w:t>, as amended</w:t>
      </w:r>
      <w:r w:rsidRPr="00831A68">
        <w:rPr>
          <w:rFonts w:ascii="Times New Roman" w:hAnsi="Times New Roman"/>
          <w:sz w:val="24"/>
          <w:szCs w:val="24"/>
          <w:lang w:val="en-US"/>
        </w:rPr>
        <w:t xml:space="preserve">. </w:t>
      </w:r>
      <w:r w:rsidR="008B6DF0" w:rsidRPr="00831A68">
        <w:rPr>
          <w:rFonts w:ascii="Times New Roman" w:hAnsi="Times New Roman"/>
          <w:sz w:val="24"/>
          <w:szCs w:val="24"/>
        </w:rPr>
        <w:t xml:space="preserve">In terms of the PSA, the Minister for the Public Service and Administration is responsible for establishing norms and standards relating to: </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 xml:space="preserve">The </w:t>
      </w:r>
      <w:r w:rsidR="00B029E5" w:rsidRPr="00831A68">
        <w:rPr>
          <w:rFonts w:ascii="Times New Roman" w:hAnsi="Times New Roman"/>
          <w:sz w:val="24"/>
          <w:szCs w:val="24"/>
        </w:rPr>
        <w:t>functions of the public service,</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Organisational structures and establishment of departments and other organisational and governance arrangements in the public service</w:t>
      </w:r>
      <w:r w:rsidR="00B029E5" w:rsidRPr="00831A68">
        <w:rPr>
          <w:rFonts w:ascii="Times New Roman" w:hAnsi="Times New Roman"/>
          <w:sz w:val="24"/>
          <w:szCs w:val="24"/>
        </w:rPr>
        <w:t>,</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Labour relations, conditions of service and other employment</w:t>
      </w:r>
      <w:r w:rsidR="007828AA" w:rsidRPr="00831A68">
        <w:rPr>
          <w:rFonts w:ascii="Times New Roman" w:hAnsi="Times New Roman"/>
          <w:sz w:val="24"/>
          <w:szCs w:val="24"/>
        </w:rPr>
        <w:t xml:space="preserve"> practices for employees,</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The H</w:t>
      </w:r>
      <w:r w:rsidR="007828AA" w:rsidRPr="00831A68">
        <w:rPr>
          <w:rFonts w:ascii="Times New Roman" w:hAnsi="Times New Roman"/>
          <w:sz w:val="24"/>
          <w:szCs w:val="24"/>
        </w:rPr>
        <w:t>ealth and wellness of employees,</w:t>
      </w:r>
    </w:p>
    <w:p w:rsidR="008B6DF0" w:rsidRPr="00831A68" w:rsidRDefault="007828AA"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Information management,</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Electronic g</w:t>
      </w:r>
      <w:r w:rsidR="007828AA" w:rsidRPr="00831A68">
        <w:rPr>
          <w:rFonts w:ascii="Times New Roman" w:hAnsi="Times New Roman"/>
          <w:sz w:val="24"/>
          <w:szCs w:val="24"/>
        </w:rPr>
        <w:t>overnment in the public service,</w:t>
      </w:r>
      <w:r w:rsidRPr="00831A68">
        <w:rPr>
          <w:rFonts w:ascii="Times New Roman" w:hAnsi="Times New Roman"/>
          <w:sz w:val="24"/>
          <w:szCs w:val="24"/>
        </w:rPr>
        <w:t xml:space="preserve"> </w:t>
      </w:r>
    </w:p>
    <w:p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Integrity, ethi</w:t>
      </w:r>
      <w:r w:rsidR="007828AA" w:rsidRPr="00831A68">
        <w:rPr>
          <w:rFonts w:ascii="Times New Roman" w:hAnsi="Times New Roman"/>
          <w:sz w:val="24"/>
          <w:szCs w:val="24"/>
        </w:rPr>
        <w:t>cs, conduct and anti-corruption;</w:t>
      </w:r>
      <w:r w:rsidRPr="00831A68">
        <w:rPr>
          <w:rFonts w:ascii="Times New Roman" w:hAnsi="Times New Roman"/>
          <w:sz w:val="24"/>
          <w:szCs w:val="24"/>
        </w:rPr>
        <w:t xml:space="preserve"> and</w:t>
      </w:r>
    </w:p>
    <w:p w:rsidR="008B6DF0" w:rsidRPr="00831A68" w:rsidRDefault="008B6DF0" w:rsidP="008D3C1B">
      <w:pPr>
        <w:pStyle w:val="ListParagraph"/>
        <w:numPr>
          <w:ilvl w:val="0"/>
          <w:numId w:val="9"/>
        </w:num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rPr>
        <w:t xml:space="preserve">Transformation, reform, innovation and any other matter to improve the effectiveness and efficiency of the public service and its service delivery to the public. </w:t>
      </w:r>
    </w:p>
    <w:p w:rsidR="008B6DF0" w:rsidRPr="00831A68" w:rsidRDefault="008B6DF0" w:rsidP="00541458">
      <w:pPr>
        <w:spacing w:line="360" w:lineRule="auto"/>
        <w:jc w:val="both"/>
        <w:rPr>
          <w:rFonts w:ascii="Times New Roman" w:hAnsi="Times New Roman"/>
          <w:sz w:val="24"/>
          <w:szCs w:val="24"/>
          <w:lang w:val="en-US"/>
        </w:rPr>
      </w:pPr>
    </w:p>
    <w:p w:rsidR="00B832C4" w:rsidRPr="00831A68" w:rsidRDefault="00EE074F" w:rsidP="00B832C4">
      <w:pPr>
        <w:spacing w:line="360" w:lineRule="auto"/>
        <w:jc w:val="both"/>
        <w:rPr>
          <w:rStyle w:val="A6"/>
          <w:rFonts w:ascii="Times New Roman" w:hAnsi="Times New Roman"/>
          <w:sz w:val="24"/>
          <w:szCs w:val="24"/>
        </w:rPr>
      </w:pPr>
      <w:r w:rsidRPr="00831A68">
        <w:rPr>
          <w:rStyle w:val="A6"/>
          <w:rFonts w:ascii="Times New Roman" w:hAnsi="Times New Roman"/>
          <w:sz w:val="24"/>
          <w:szCs w:val="24"/>
        </w:rPr>
        <w:t>5</w:t>
      </w:r>
      <w:r w:rsidR="00B832C4" w:rsidRPr="00831A68">
        <w:rPr>
          <w:rStyle w:val="A6"/>
          <w:rFonts w:ascii="Times New Roman" w:hAnsi="Times New Roman"/>
          <w:sz w:val="24"/>
          <w:szCs w:val="24"/>
        </w:rPr>
        <w:t>.1 Strategic Outcome Oriented Goals</w:t>
      </w:r>
    </w:p>
    <w:p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The priorities for the Department of Public Service and Administration over the medium term period are informed by the National Development Plan objectives which are therefore translated into the Medium Term Strategic Framework (MTSF) 2015-2020. The Department highlighted the following priorities to the Portfolio Committee:</w:t>
      </w:r>
    </w:p>
    <w:p w:rsidR="00831A68" w:rsidRDefault="00831A68" w:rsidP="00831A68">
      <w:pPr>
        <w:spacing w:after="200" w:line="360" w:lineRule="auto"/>
        <w:jc w:val="both"/>
        <w:rPr>
          <w:rFonts w:ascii="Times New Roman" w:hAnsi="Times New Roman"/>
          <w:b/>
          <w:sz w:val="24"/>
          <w:szCs w:val="24"/>
        </w:rPr>
      </w:pPr>
    </w:p>
    <w:p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A stable political-administrative interface </w:t>
      </w:r>
    </w:p>
    <w:p w:rsidR="00107C87"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Promoting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 </w:t>
      </w:r>
    </w:p>
    <w:p w:rsidR="00831A68" w:rsidRPr="00831A68" w:rsidRDefault="00831A68" w:rsidP="00107C87">
      <w:pPr>
        <w:spacing w:line="360" w:lineRule="auto"/>
        <w:jc w:val="both"/>
        <w:rPr>
          <w:rFonts w:ascii="Times New Roman" w:hAnsi="Times New Roman"/>
          <w:sz w:val="24"/>
          <w:szCs w:val="24"/>
        </w:rPr>
      </w:pPr>
    </w:p>
    <w:p w:rsidR="00817297" w:rsidRPr="00831A68" w:rsidRDefault="00817297" w:rsidP="00107C87">
      <w:pPr>
        <w:spacing w:line="360" w:lineRule="auto"/>
        <w:jc w:val="both"/>
        <w:rPr>
          <w:rFonts w:ascii="Times New Roman" w:hAnsi="Times New Roman"/>
          <w:sz w:val="24"/>
          <w:szCs w:val="24"/>
        </w:rPr>
      </w:pPr>
    </w:p>
    <w:p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A public service that is </w:t>
      </w:r>
      <w:r w:rsidR="00EB3DD2">
        <w:rPr>
          <w:rFonts w:ascii="Times New Roman" w:hAnsi="Times New Roman"/>
          <w:b/>
          <w:sz w:val="24"/>
          <w:szCs w:val="24"/>
        </w:rPr>
        <w:t xml:space="preserve">a </w:t>
      </w:r>
      <w:r w:rsidRPr="00831A68">
        <w:rPr>
          <w:rFonts w:ascii="Times New Roman" w:hAnsi="Times New Roman"/>
          <w:b/>
          <w:sz w:val="24"/>
          <w:szCs w:val="24"/>
        </w:rPr>
        <w:t>career of choice</w:t>
      </w:r>
    </w:p>
    <w:p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Promoting the public service as a career of choice by adopting a more long term approach to developing the skills and professional ethos that underpin a development </w:t>
      </w:r>
      <w:r w:rsidRPr="00831A68">
        <w:rPr>
          <w:rFonts w:ascii="Times New Roman" w:hAnsi="Times New Roman"/>
          <w:sz w:val="24"/>
          <w:szCs w:val="24"/>
        </w:rPr>
        <w:lastRenderedPageBreak/>
        <w:t xml:space="preserve">oriented public service, recruiting young professional into the public service, ensuring that the work environment is conducive for learning to take place on the job and by adhering to the Constitutional principles that guide personnel practices. </w:t>
      </w:r>
    </w:p>
    <w:p w:rsidR="00107C87" w:rsidRPr="00831A68" w:rsidRDefault="00107C87" w:rsidP="00107C87">
      <w:pPr>
        <w:spacing w:line="360" w:lineRule="auto"/>
        <w:jc w:val="both"/>
        <w:rPr>
          <w:rFonts w:ascii="Times New Roman" w:hAnsi="Times New Roman"/>
          <w:sz w:val="24"/>
          <w:szCs w:val="24"/>
        </w:rPr>
      </w:pPr>
    </w:p>
    <w:p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Efficient and effective management and operations systems</w:t>
      </w:r>
    </w:p>
    <w:p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day to day problems. </w:t>
      </w:r>
    </w:p>
    <w:p w:rsidR="00817297" w:rsidRPr="00831A68" w:rsidRDefault="00817297" w:rsidP="00107C87">
      <w:pPr>
        <w:spacing w:line="360" w:lineRule="auto"/>
        <w:jc w:val="both"/>
        <w:rPr>
          <w:rFonts w:ascii="Times New Roman" w:hAnsi="Times New Roman"/>
          <w:sz w:val="24"/>
          <w:szCs w:val="24"/>
        </w:rPr>
      </w:pPr>
    </w:p>
    <w:p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Increased responsiveness of public servants and accountability to citizens</w:t>
      </w:r>
    </w:p>
    <w:p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accountability as set out in the Batho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 </w:t>
      </w:r>
    </w:p>
    <w:p w:rsidR="00CA1E4F" w:rsidRPr="00831A68" w:rsidRDefault="00CA1E4F" w:rsidP="00107C87">
      <w:pPr>
        <w:spacing w:line="360" w:lineRule="auto"/>
        <w:jc w:val="both"/>
        <w:rPr>
          <w:rFonts w:ascii="Times New Roman" w:hAnsi="Times New Roman"/>
          <w:sz w:val="24"/>
          <w:szCs w:val="24"/>
        </w:rPr>
      </w:pPr>
    </w:p>
    <w:p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Improved mechanisms to promote ethical behaviour in the public </w:t>
      </w:r>
    </w:p>
    <w:p w:rsidR="00107C87"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implement disciplinary actions on cases where there is a possible or actual conflict of interest. </w:t>
      </w:r>
    </w:p>
    <w:p w:rsidR="00B832C4" w:rsidRPr="00831A68" w:rsidRDefault="00B832C4" w:rsidP="00541458">
      <w:pPr>
        <w:spacing w:line="360" w:lineRule="auto"/>
        <w:jc w:val="both"/>
        <w:rPr>
          <w:rFonts w:ascii="Times New Roman" w:eastAsia="Calibri" w:hAnsi="Times New Roman"/>
          <w:sz w:val="24"/>
          <w:szCs w:val="24"/>
          <w:lang w:val="en-US"/>
        </w:rPr>
      </w:pPr>
    </w:p>
    <w:p w:rsidR="00217C4F" w:rsidRPr="00831A68" w:rsidRDefault="00217C4F"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831A68">
        <w:rPr>
          <w:rFonts w:ascii="Times New Roman" w:eastAsia="Calibri" w:hAnsi="Times New Roman"/>
          <w:b/>
          <w:color w:val="auto"/>
          <w:sz w:val="24"/>
          <w:szCs w:val="24"/>
          <w:lang w:val="en-US"/>
        </w:rPr>
        <w:t>STATE OF THE NATION ADDRESS</w:t>
      </w:r>
    </w:p>
    <w:p w:rsidR="00217C4F" w:rsidRPr="00831A68" w:rsidRDefault="009A71E5" w:rsidP="00217C4F">
      <w:pPr>
        <w:spacing w:line="360" w:lineRule="auto"/>
        <w:jc w:val="both"/>
        <w:rPr>
          <w:rFonts w:ascii="Times New Roman" w:eastAsia="Calibri" w:hAnsi="Times New Roman"/>
          <w:color w:val="auto"/>
          <w:sz w:val="24"/>
          <w:szCs w:val="24"/>
          <w:lang w:val="en-US"/>
        </w:rPr>
      </w:pPr>
      <w:r w:rsidRPr="00831A68">
        <w:rPr>
          <w:rFonts w:ascii="Times New Roman" w:eastAsia="Calibri" w:hAnsi="Times New Roman"/>
          <w:color w:val="auto"/>
          <w:sz w:val="24"/>
          <w:szCs w:val="24"/>
          <w:lang w:val="en-US"/>
        </w:rPr>
        <w:t>The key priorit</w:t>
      </w:r>
      <w:r w:rsidR="00EB3DD2">
        <w:rPr>
          <w:rFonts w:ascii="Times New Roman" w:eastAsia="Calibri" w:hAnsi="Times New Roman"/>
          <w:color w:val="auto"/>
          <w:sz w:val="24"/>
          <w:szCs w:val="24"/>
          <w:lang w:val="en-US"/>
        </w:rPr>
        <w:t>ies</w:t>
      </w:r>
      <w:r w:rsidRPr="00831A68">
        <w:rPr>
          <w:rFonts w:ascii="Times New Roman" w:eastAsia="Calibri" w:hAnsi="Times New Roman"/>
          <w:color w:val="auto"/>
          <w:sz w:val="24"/>
          <w:szCs w:val="24"/>
          <w:lang w:val="en-US"/>
        </w:rPr>
        <w:t xml:space="preserve"> identified in the SONA 2015 were to </w:t>
      </w:r>
      <w:r w:rsidR="00217C4F" w:rsidRPr="00831A68">
        <w:rPr>
          <w:rFonts w:ascii="Times New Roman" w:eastAsia="Calibri" w:hAnsi="Times New Roman"/>
          <w:color w:val="auto"/>
          <w:sz w:val="24"/>
          <w:szCs w:val="24"/>
          <w:lang w:val="en-US"/>
        </w:rPr>
        <w:t>prevent</w:t>
      </w:r>
      <w:r w:rsidRPr="00831A68">
        <w:rPr>
          <w:rFonts w:ascii="Times New Roman" w:eastAsia="Calibri" w:hAnsi="Times New Roman"/>
          <w:color w:val="auto"/>
          <w:sz w:val="24"/>
          <w:szCs w:val="24"/>
          <w:lang w:val="en-US"/>
        </w:rPr>
        <w:t xml:space="preserve"> corruption and promoting ethical governance. The Department has drafted the Draft Public Service Regulations to ease the implementation of the said Act in Parliament. Submission on the Regulations were solicited from the public and in August 2016, the final draft of these Regulations were tabled in Parliament.  </w:t>
      </w:r>
    </w:p>
    <w:p w:rsidR="00217C4F" w:rsidRPr="00831A68" w:rsidRDefault="00217C4F" w:rsidP="00217C4F">
      <w:pPr>
        <w:spacing w:line="360" w:lineRule="auto"/>
        <w:jc w:val="both"/>
        <w:rPr>
          <w:rFonts w:ascii="Times New Roman" w:eastAsia="Calibri" w:hAnsi="Times New Roman"/>
          <w:color w:val="auto"/>
          <w:sz w:val="24"/>
          <w:szCs w:val="24"/>
          <w:lang w:val="en-US"/>
        </w:rPr>
      </w:pPr>
    </w:p>
    <w:p w:rsidR="00570FF8" w:rsidRPr="00831A68" w:rsidRDefault="00AF42AE"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lastRenderedPageBreak/>
        <w:t>D</w:t>
      </w:r>
      <w:r w:rsidR="002F085B" w:rsidRPr="00831A68">
        <w:rPr>
          <w:rFonts w:ascii="Times New Roman" w:eastAsia="Calibri" w:hAnsi="Times New Roman"/>
          <w:b/>
          <w:sz w:val="24"/>
          <w:szCs w:val="24"/>
          <w:lang w:val="en-US"/>
        </w:rPr>
        <w:t>EPARTMENT AND ENTITIES</w:t>
      </w:r>
      <w:r w:rsidR="007828AA" w:rsidRPr="00831A68">
        <w:rPr>
          <w:rFonts w:ascii="Times New Roman" w:eastAsia="Calibri" w:hAnsi="Times New Roman"/>
          <w:b/>
          <w:sz w:val="24"/>
          <w:szCs w:val="24"/>
          <w:lang w:val="en-US"/>
        </w:rPr>
        <w:t>’</w:t>
      </w:r>
      <w:r w:rsidRPr="00831A68">
        <w:rPr>
          <w:rFonts w:ascii="Times New Roman" w:eastAsia="Calibri" w:hAnsi="Times New Roman"/>
          <w:b/>
          <w:sz w:val="24"/>
          <w:szCs w:val="24"/>
          <w:lang w:val="en-US"/>
        </w:rPr>
        <w:t xml:space="preserve"> P</w:t>
      </w:r>
      <w:r w:rsidR="002F085B" w:rsidRPr="00831A68">
        <w:rPr>
          <w:rFonts w:ascii="Times New Roman" w:eastAsia="Calibri" w:hAnsi="Times New Roman"/>
          <w:b/>
          <w:sz w:val="24"/>
          <w:szCs w:val="24"/>
          <w:lang w:val="en-US"/>
        </w:rPr>
        <w:t xml:space="preserve">ROGRAMME PERFORMANCE </w:t>
      </w:r>
      <w:r w:rsidR="00570FF8" w:rsidRPr="00831A68">
        <w:rPr>
          <w:rFonts w:ascii="Times New Roman" w:eastAsia="Calibri" w:hAnsi="Times New Roman"/>
          <w:b/>
          <w:sz w:val="24"/>
          <w:szCs w:val="24"/>
          <w:lang w:val="en-US"/>
        </w:rPr>
        <w:t xml:space="preserve"> </w:t>
      </w:r>
    </w:p>
    <w:p w:rsidR="00EB4231" w:rsidRPr="00831A68" w:rsidRDefault="00570FF8" w:rsidP="002A319D">
      <w:pPr>
        <w:pStyle w:val="ListParagraph"/>
        <w:numPr>
          <w:ilvl w:val="1"/>
          <w:numId w:val="1"/>
        </w:numPr>
        <w:spacing w:line="360" w:lineRule="auto"/>
        <w:ind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D</w:t>
      </w:r>
      <w:r w:rsidR="00EB4231" w:rsidRPr="00831A68">
        <w:rPr>
          <w:rFonts w:ascii="Times New Roman" w:eastAsia="Calibri" w:hAnsi="Times New Roman"/>
          <w:b/>
          <w:sz w:val="24"/>
          <w:szCs w:val="24"/>
          <w:lang w:val="en-US"/>
        </w:rPr>
        <w:t>EPARTMENT OF PUBLIC SERVICE AND ADMINISTRATION</w:t>
      </w:r>
    </w:p>
    <w:p w:rsidR="00FF4605" w:rsidRPr="00831A68" w:rsidRDefault="00721453" w:rsidP="00EB4231">
      <w:pPr>
        <w:spacing w:line="360" w:lineRule="auto"/>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7</w:t>
      </w:r>
      <w:r w:rsidR="00210D10" w:rsidRPr="00831A68">
        <w:rPr>
          <w:rFonts w:ascii="Times New Roman" w:eastAsia="Calibri" w:hAnsi="Times New Roman"/>
          <w:b/>
          <w:sz w:val="24"/>
          <w:szCs w:val="24"/>
          <w:lang w:val="en-US"/>
        </w:rPr>
        <w:t>.1.1</w:t>
      </w:r>
      <w:r w:rsidR="00210D10" w:rsidRPr="00831A68">
        <w:rPr>
          <w:rFonts w:ascii="Times New Roman" w:eastAsia="Calibri" w:hAnsi="Times New Roman"/>
          <w:b/>
          <w:sz w:val="24"/>
          <w:szCs w:val="24"/>
          <w:lang w:val="en-US"/>
        </w:rPr>
        <w:tab/>
      </w:r>
      <w:r w:rsidR="00A318A6" w:rsidRPr="00831A68">
        <w:rPr>
          <w:rFonts w:ascii="Times New Roman" w:eastAsiaTheme="minorHAnsi" w:hAnsi="Times New Roman"/>
          <w:b/>
          <w:color w:val="auto"/>
          <w:spacing w:val="0"/>
          <w:sz w:val="24"/>
          <w:szCs w:val="24"/>
          <w:lang w:val="en-ZA" w:eastAsia="en-US"/>
        </w:rPr>
        <w:t>Budge</w:t>
      </w:r>
      <w:r w:rsidR="002D61CC" w:rsidRPr="00831A68">
        <w:rPr>
          <w:rFonts w:ascii="Times New Roman" w:eastAsiaTheme="minorHAnsi" w:hAnsi="Times New Roman"/>
          <w:b/>
          <w:color w:val="auto"/>
          <w:spacing w:val="0"/>
          <w:sz w:val="24"/>
          <w:szCs w:val="24"/>
          <w:lang w:val="en-ZA" w:eastAsia="en-US"/>
        </w:rPr>
        <w:t>t Allocated and Expenditure 2015</w:t>
      </w:r>
      <w:r w:rsidR="00A318A6" w:rsidRPr="00831A68">
        <w:rPr>
          <w:rFonts w:ascii="Times New Roman" w:eastAsiaTheme="minorHAnsi" w:hAnsi="Times New Roman"/>
          <w:b/>
          <w:color w:val="auto"/>
          <w:spacing w:val="0"/>
          <w:sz w:val="24"/>
          <w:szCs w:val="24"/>
          <w:lang w:val="en-ZA" w:eastAsia="en-US"/>
        </w:rPr>
        <w:t>/1</w:t>
      </w:r>
      <w:r w:rsidR="002D61CC" w:rsidRPr="00831A68">
        <w:rPr>
          <w:rFonts w:ascii="Times New Roman" w:eastAsiaTheme="minorHAnsi" w:hAnsi="Times New Roman"/>
          <w:b/>
          <w:color w:val="auto"/>
          <w:spacing w:val="0"/>
          <w:sz w:val="24"/>
          <w:szCs w:val="24"/>
          <w:lang w:val="en-ZA" w:eastAsia="en-US"/>
        </w:rPr>
        <w:t>6</w:t>
      </w:r>
    </w:p>
    <w:p w:rsidR="002D61CC" w:rsidRPr="00831A68" w:rsidRDefault="002D61CC" w:rsidP="002D61CC">
      <w:pPr>
        <w:pStyle w:val="Default"/>
        <w:spacing w:line="360" w:lineRule="auto"/>
        <w:jc w:val="both"/>
        <w:rPr>
          <w:rFonts w:ascii="Times New Roman" w:hAnsi="Times New Roman" w:cs="Times New Roman"/>
        </w:rPr>
      </w:pPr>
      <w:r w:rsidRPr="00831A68">
        <w:rPr>
          <w:rFonts w:ascii="Times New Roman" w:hAnsi="Times New Roman" w:cs="Times New Roman"/>
        </w:rPr>
        <w:t>In 2015/16, the Department of Public Service and Administration received an appropriation of R941.5 million which represents a nominal increase of R66.4 million, or 7.6 per cent, from 2014/15. Transfers and Subsidies account for R498.1 million of the available budget and of this amount the Department had transferred R498.1 million, or 101.9 per cent, mainly to departmental agencies and accounts. This means the Department had an available budget of R452.5 million for operations. Of this, the Department spent R436.6 million, or 96.5 per cent, the majority of which has been used on compensation of employees and goods and services.</w:t>
      </w:r>
    </w:p>
    <w:p w:rsidR="002D61CC" w:rsidRPr="00831A68" w:rsidRDefault="002D61CC" w:rsidP="002D61CC">
      <w:pPr>
        <w:pStyle w:val="Default"/>
        <w:spacing w:line="360" w:lineRule="auto"/>
        <w:jc w:val="both"/>
        <w:rPr>
          <w:rFonts w:ascii="Times New Roman" w:hAnsi="Times New Roman" w:cs="Times New Roman"/>
        </w:rPr>
      </w:pPr>
    </w:p>
    <w:p w:rsidR="002D61CC" w:rsidRPr="00831A68" w:rsidRDefault="002D61CC" w:rsidP="002D61CC">
      <w:pPr>
        <w:pStyle w:val="Default"/>
        <w:spacing w:line="360" w:lineRule="auto"/>
        <w:jc w:val="both"/>
        <w:rPr>
          <w:rFonts w:ascii="Times New Roman" w:hAnsi="Times New Roman" w:cs="Times New Roman"/>
        </w:rPr>
      </w:pPr>
      <w:r w:rsidRPr="00831A68">
        <w:rPr>
          <w:rFonts w:ascii="Times New Roman" w:hAnsi="Times New Roman" w:cs="Times New Roman"/>
        </w:rPr>
        <w:t xml:space="preserve">The Department spent R934.8 million of its R941.5 million to the end of the 2015/16 financial year, leaving funds unspent to the tune of R6.7 million. This is mainly due to funded vacant positions.  The Department reported a monthly average vacancy rate of 12 per cent throughout the year. </w:t>
      </w:r>
    </w:p>
    <w:p w:rsidR="00831A68" w:rsidRDefault="00831A68" w:rsidP="00EB4231">
      <w:pPr>
        <w:spacing w:line="360" w:lineRule="auto"/>
        <w:jc w:val="both"/>
        <w:rPr>
          <w:rFonts w:ascii="Times New Roman" w:eastAsiaTheme="minorHAnsi" w:hAnsi="Times New Roman"/>
          <w:b/>
          <w:color w:val="auto"/>
          <w:spacing w:val="0"/>
          <w:lang w:val="en-ZA" w:eastAsia="en-US"/>
        </w:rPr>
      </w:pPr>
    </w:p>
    <w:p w:rsidR="00EB3DD2" w:rsidRPr="00831A68" w:rsidRDefault="00EB3DD2" w:rsidP="00EB3DD2">
      <w:pPr>
        <w:spacing w:line="360" w:lineRule="auto"/>
        <w:jc w:val="both"/>
        <w:rPr>
          <w:rFonts w:ascii="Times New Roman" w:eastAsiaTheme="minorHAnsi" w:hAnsi="Times New Roman"/>
          <w:b/>
          <w:color w:val="auto"/>
          <w:spacing w:val="0"/>
          <w:lang w:val="en-ZA" w:eastAsia="en-US"/>
        </w:rPr>
      </w:pPr>
      <w:r w:rsidRPr="00831A68">
        <w:rPr>
          <w:rFonts w:ascii="Times New Roman" w:eastAsiaTheme="minorHAnsi" w:hAnsi="Times New Roman"/>
          <w:b/>
          <w:color w:val="auto"/>
          <w:spacing w:val="0"/>
          <w:lang w:val="en-ZA" w:eastAsia="en-US"/>
        </w:rPr>
        <w:t>Appropriation per programme (R’000)</w:t>
      </w:r>
    </w:p>
    <w:tbl>
      <w:tblPr>
        <w:tblStyle w:val="TableGrid"/>
        <w:tblW w:w="9498" w:type="dxa"/>
        <w:tblInd w:w="-289" w:type="dxa"/>
        <w:tblLayout w:type="fixed"/>
        <w:tblLook w:val="04A0" w:firstRow="1" w:lastRow="0" w:firstColumn="1" w:lastColumn="0" w:noHBand="0" w:noVBand="1"/>
      </w:tblPr>
      <w:tblGrid>
        <w:gridCol w:w="3119"/>
        <w:gridCol w:w="1701"/>
        <w:gridCol w:w="1701"/>
        <w:gridCol w:w="1560"/>
        <w:gridCol w:w="1417"/>
      </w:tblGrid>
      <w:tr w:rsidR="00EB3DD2" w:rsidRPr="00831A68" w:rsidTr="00CC0033">
        <w:tc>
          <w:tcPr>
            <w:tcW w:w="3119" w:type="dxa"/>
            <w:shd w:val="clear" w:color="auto" w:fill="E7E6E6" w:themeFill="background2"/>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Programme R’000</w:t>
            </w:r>
          </w:p>
        </w:tc>
        <w:tc>
          <w:tcPr>
            <w:tcW w:w="1701" w:type="dxa"/>
            <w:shd w:val="clear" w:color="auto" w:fill="E7E6E6" w:themeFill="background2"/>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Final appropriation</w:t>
            </w:r>
          </w:p>
        </w:tc>
        <w:tc>
          <w:tcPr>
            <w:tcW w:w="1701" w:type="dxa"/>
            <w:shd w:val="clear" w:color="auto" w:fill="E7E6E6" w:themeFill="background2"/>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Expenditure</w:t>
            </w:r>
          </w:p>
        </w:tc>
        <w:tc>
          <w:tcPr>
            <w:tcW w:w="1560" w:type="dxa"/>
            <w:shd w:val="clear" w:color="auto" w:fill="E7E6E6" w:themeFill="background2"/>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Variance</w:t>
            </w:r>
          </w:p>
        </w:tc>
        <w:tc>
          <w:tcPr>
            <w:tcW w:w="1417" w:type="dxa"/>
            <w:shd w:val="clear" w:color="auto" w:fill="E7E6E6" w:themeFill="background2"/>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 spent on Budget</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 xml:space="preserve"> Administration</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216 125</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215 765</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360</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99.8%</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Policy Development, Research and Analysis</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35 518</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32 325</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3 193</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91.0%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 xml:space="preserve">Labour Relations  and Human Resource Management </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70 410</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67 552</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2 858</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95.9%</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Government Chief Information Officer</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20 308</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20 208</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100</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99.5%</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Service Delivery support</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61 809</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61 719</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90</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99.9%</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Governance of Public Administration</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288 768</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281 499</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7 269</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99.9%</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Total (DPSA)</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448 445</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441 755</w:t>
            </w:r>
          </w:p>
        </w:tc>
        <w:tc>
          <w:tcPr>
            <w:tcW w:w="1560"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6 690</w:t>
            </w:r>
          </w:p>
        </w:tc>
        <w:tc>
          <w:tcPr>
            <w:tcW w:w="1417"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99.8%</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Centre for Public Service Innovation</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29 003</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29 003</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100.0%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National School of Government</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140 439</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140 439</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100.0%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Public Sector Education Training Authority</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93 843</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93 843</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100.0%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Public Service Commission</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 xml:space="preserve">229 752 </w:t>
            </w:r>
          </w:p>
        </w:tc>
        <w:tc>
          <w:tcPr>
            <w:tcW w:w="1701"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229 752</w:t>
            </w:r>
          </w:p>
        </w:tc>
        <w:tc>
          <w:tcPr>
            <w:tcW w:w="1560"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w:t>
            </w:r>
          </w:p>
        </w:tc>
        <w:tc>
          <w:tcPr>
            <w:tcW w:w="1417" w:type="dxa"/>
          </w:tcPr>
          <w:p w:rsidR="00EB3DD2" w:rsidRPr="00831A68" w:rsidRDefault="00EB3DD2" w:rsidP="00CC0033">
            <w:pPr>
              <w:pStyle w:val="Default"/>
              <w:spacing w:line="360" w:lineRule="auto"/>
              <w:jc w:val="right"/>
              <w:rPr>
                <w:rFonts w:ascii="Times New Roman" w:hAnsi="Times New Roman" w:cs="Times New Roman"/>
                <w:sz w:val="22"/>
                <w:szCs w:val="22"/>
              </w:rPr>
            </w:pPr>
            <w:r w:rsidRPr="00831A68">
              <w:rPr>
                <w:rFonts w:ascii="Times New Roman" w:hAnsi="Times New Roman" w:cs="Times New Roman"/>
                <w:sz w:val="22"/>
                <w:szCs w:val="22"/>
              </w:rPr>
              <w:t>100.0%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Total (Transfers)</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493 037</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493 037</w:t>
            </w:r>
          </w:p>
        </w:tc>
        <w:tc>
          <w:tcPr>
            <w:tcW w:w="1560"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w:t>
            </w:r>
          </w:p>
        </w:tc>
        <w:tc>
          <w:tcPr>
            <w:tcW w:w="1417"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100.0%</w:t>
            </w:r>
          </w:p>
        </w:tc>
      </w:tr>
      <w:tr w:rsidR="00EB3DD2" w:rsidRPr="00831A68" w:rsidTr="00CC0033">
        <w:tc>
          <w:tcPr>
            <w:tcW w:w="3119" w:type="dxa"/>
          </w:tcPr>
          <w:p w:rsidR="00EB3DD2" w:rsidRPr="00831A68" w:rsidRDefault="00EB3DD2" w:rsidP="00CC0033">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OVERALL TOTAL</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941 482</w:t>
            </w:r>
          </w:p>
        </w:tc>
        <w:tc>
          <w:tcPr>
            <w:tcW w:w="1701"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934 792</w:t>
            </w:r>
          </w:p>
        </w:tc>
        <w:tc>
          <w:tcPr>
            <w:tcW w:w="1560"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6 690</w:t>
            </w:r>
          </w:p>
        </w:tc>
        <w:tc>
          <w:tcPr>
            <w:tcW w:w="1417" w:type="dxa"/>
          </w:tcPr>
          <w:p w:rsidR="00EB3DD2" w:rsidRPr="00831A68" w:rsidRDefault="00EB3DD2" w:rsidP="00CC0033">
            <w:pPr>
              <w:pStyle w:val="Default"/>
              <w:spacing w:line="360" w:lineRule="auto"/>
              <w:jc w:val="right"/>
              <w:rPr>
                <w:rFonts w:ascii="Times New Roman" w:hAnsi="Times New Roman" w:cs="Times New Roman"/>
                <w:b/>
                <w:sz w:val="22"/>
                <w:szCs w:val="22"/>
              </w:rPr>
            </w:pPr>
            <w:r w:rsidRPr="00831A68">
              <w:rPr>
                <w:rFonts w:ascii="Times New Roman" w:hAnsi="Times New Roman" w:cs="Times New Roman"/>
                <w:b/>
                <w:sz w:val="22"/>
                <w:szCs w:val="22"/>
              </w:rPr>
              <w:t>99.3%</w:t>
            </w:r>
          </w:p>
        </w:tc>
      </w:tr>
    </w:tbl>
    <w:p w:rsidR="00EB3DD2" w:rsidRDefault="00EB3DD2" w:rsidP="00EB4231">
      <w:pPr>
        <w:spacing w:line="360" w:lineRule="auto"/>
        <w:jc w:val="both"/>
        <w:rPr>
          <w:rFonts w:ascii="Times New Roman" w:eastAsiaTheme="minorHAnsi" w:hAnsi="Times New Roman"/>
          <w:b/>
          <w:color w:val="auto"/>
          <w:spacing w:val="0"/>
          <w:lang w:val="en-ZA" w:eastAsia="en-US"/>
        </w:rPr>
      </w:pPr>
    </w:p>
    <w:p w:rsidR="00A318A6" w:rsidRPr="00831A68" w:rsidRDefault="00A318A6" w:rsidP="00A318A6">
      <w:pPr>
        <w:pStyle w:val="Default"/>
        <w:spacing w:line="360" w:lineRule="auto"/>
        <w:jc w:val="both"/>
        <w:rPr>
          <w:rFonts w:ascii="Times New Roman" w:hAnsi="Times New Roman" w:cs="Times New Roman"/>
          <w:sz w:val="22"/>
          <w:szCs w:val="22"/>
        </w:rPr>
      </w:pPr>
    </w:p>
    <w:p w:rsidR="00FF4605" w:rsidRPr="00831A68" w:rsidRDefault="00721453" w:rsidP="00AF42AE">
      <w:pPr>
        <w:pStyle w:val="ListParagraph"/>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2"/>
          <w:szCs w:val="22"/>
          <w:lang w:val="en-US"/>
        </w:rPr>
        <w:t>7</w:t>
      </w:r>
      <w:r w:rsidR="00FF4605" w:rsidRPr="00831A68">
        <w:rPr>
          <w:rFonts w:ascii="Times New Roman" w:eastAsia="Calibri" w:hAnsi="Times New Roman"/>
          <w:b/>
          <w:sz w:val="22"/>
          <w:szCs w:val="22"/>
          <w:lang w:val="en-US"/>
        </w:rPr>
        <w:t xml:space="preserve">.1.2 </w:t>
      </w:r>
      <w:r w:rsidR="00AF42AE" w:rsidRPr="00831A68">
        <w:rPr>
          <w:rFonts w:ascii="Times New Roman" w:eastAsia="Calibri" w:hAnsi="Times New Roman"/>
          <w:b/>
          <w:sz w:val="24"/>
          <w:szCs w:val="24"/>
          <w:lang w:val="en-US"/>
        </w:rPr>
        <w:t>Programme Performance</w:t>
      </w:r>
    </w:p>
    <w:p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(a) </w:t>
      </w:r>
      <w:r w:rsidR="00AF42AE" w:rsidRPr="00831A68">
        <w:rPr>
          <w:rFonts w:ascii="Times New Roman" w:eastAsia="Calibri" w:hAnsi="Times New Roman"/>
          <w:b/>
          <w:sz w:val="24"/>
          <w:szCs w:val="24"/>
          <w:lang w:val="en-US"/>
        </w:rPr>
        <w:t>Programme 1: Administration</w:t>
      </w:r>
    </w:p>
    <w:p w:rsidR="00054939" w:rsidRPr="00831A68" w:rsidRDefault="006C54FD" w:rsidP="006C54FD">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The purpose of the programme is to</w:t>
      </w:r>
      <w:r w:rsidRPr="00831A68">
        <w:rPr>
          <w:rFonts w:ascii="Times New Roman" w:hAnsi="Times New Roman"/>
          <w:color w:val="auto"/>
          <w:spacing w:val="0"/>
          <w:sz w:val="24"/>
          <w:szCs w:val="24"/>
          <w:lang w:val="en-ZA" w:eastAsia="en-ZA"/>
        </w:rPr>
        <w:t xml:space="preserve"> </w:t>
      </w:r>
      <w:r w:rsidR="00054939" w:rsidRPr="00831A68">
        <w:rPr>
          <w:rFonts w:ascii="Times New Roman" w:hAnsi="Times New Roman"/>
          <w:color w:val="auto"/>
          <w:spacing w:val="0"/>
          <w:sz w:val="24"/>
          <w:szCs w:val="24"/>
          <w:lang w:val="en-ZA" w:eastAsia="en-ZA"/>
        </w:rPr>
        <w:t>manage overall strategic an</w:t>
      </w:r>
      <w:r w:rsidR="003171C8" w:rsidRPr="00831A68">
        <w:rPr>
          <w:rFonts w:ascii="Times New Roman" w:hAnsi="Times New Roman"/>
          <w:color w:val="auto"/>
          <w:spacing w:val="0"/>
          <w:sz w:val="24"/>
          <w:szCs w:val="24"/>
          <w:lang w:val="en-ZA" w:eastAsia="en-ZA"/>
        </w:rPr>
        <w:t>d operational functions of the D</w:t>
      </w:r>
      <w:r w:rsidR="00054939" w:rsidRPr="00831A68">
        <w:rPr>
          <w:rFonts w:ascii="Times New Roman" w:hAnsi="Times New Roman"/>
          <w:color w:val="auto"/>
          <w:spacing w:val="0"/>
          <w:sz w:val="24"/>
          <w:szCs w:val="24"/>
          <w:lang w:val="en-ZA" w:eastAsia="en-ZA"/>
        </w:rPr>
        <w:t xml:space="preserve">epartment which include policy direction; strategic leadership; coordination and facilitation of multilateral and bilateral programmes; integrated planning and programme support; provisioning of financial and human resource management services; security and facilities management; communication and ICT management; coordination of the provisioning of internal legal advice services, as well as , and audit and risk management oversight. </w:t>
      </w:r>
    </w:p>
    <w:p w:rsidR="00054939" w:rsidRPr="00831A68" w:rsidRDefault="00054939" w:rsidP="006C54FD">
      <w:pPr>
        <w:spacing w:line="360" w:lineRule="auto"/>
        <w:jc w:val="both"/>
        <w:rPr>
          <w:rFonts w:ascii="Times New Roman" w:hAnsi="Times New Roman"/>
          <w:color w:val="auto"/>
          <w:spacing w:val="0"/>
          <w:sz w:val="24"/>
          <w:szCs w:val="24"/>
          <w:lang w:val="en-ZA" w:eastAsia="en-ZA"/>
        </w:rPr>
      </w:pPr>
    </w:p>
    <w:p w:rsidR="00714D5F" w:rsidRPr="00831A68" w:rsidRDefault="00AB433D" w:rsidP="006C54FD">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p</w:t>
      </w:r>
      <w:r w:rsidR="006C54FD" w:rsidRPr="00831A68">
        <w:rPr>
          <w:rFonts w:ascii="Times New Roman" w:hAnsi="Times New Roman"/>
          <w:sz w:val="24"/>
          <w:szCs w:val="24"/>
          <w:lang w:val="en-US"/>
        </w:rPr>
        <w:t xml:space="preserve">rogramme was allocated </w:t>
      </w:r>
      <w:r w:rsidR="00D64C2C" w:rsidRPr="00831A68">
        <w:rPr>
          <w:rFonts w:ascii="Times New Roman" w:hAnsi="Times New Roman"/>
          <w:sz w:val="24"/>
          <w:szCs w:val="24"/>
          <w:lang w:val="en-US"/>
        </w:rPr>
        <w:t>a final appropriation of R216</w:t>
      </w:r>
      <w:r w:rsidR="003171C8" w:rsidRPr="00831A68">
        <w:rPr>
          <w:rFonts w:ascii="Times New Roman" w:hAnsi="Times New Roman"/>
          <w:sz w:val="24"/>
          <w:szCs w:val="24"/>
          <w:lang w:val="en-US"/>
        </w:rPr>
        <w:t>.</w:t>
      </w:r>
      <w:r w:rsidR="00F1767F" w:rsidRPr="00831A68">
        <w:rPr>
          <w:rFonts w:ascii="Times New Roman" w:hAnsi="Times New Roman"/>
          <w:sz w:val="24"/>
          <w:szCs w:val="24"/>
          <w:lang w:val="en-US"/>
        </w:rPr>
        <w:t>125 million and spent R215 765</w:t>
      </w:r>
      <w:r w:rsidR="006C54FD" w:rsidRPr="00831A68">
        <w:rPr>
          <w:rFonts w:ascii="Times New Roman" w:hAnsi="Times New Roman"/>
          <w:sz w:val="24"/>
          <w:szCs w:val="24"/>
          <w:lang w:val="en-US"/>
        </w:rPr>
        <w:t xml:space="preserve"> million</w:t>
      </w:r>
      <w:r w:rsidR="005A5E1F" w:rsidRPr="00831A68">
        <w:rPr>
          <w:rFonts w:ascii="Times New Roman" w:hAnsi="Times New Roman"/>
          <w:sz w:val="24"/>
          <w:szCs w:val="24"/>
          <w:lang w:val="en-US"/>
        </w:rPr>
        <w:t xml:space="preserve">. </w:t>
      </w:r>
      <w:r w:rsidR="00F1767F" w:rsidRPr="00831A68">
        <w:rPr>
          <w:rFonts w:ascii="Times New Roman" w:hAnsi="Times New Roman"/>
          <w:sz w:val="24"/>
          <w:szCs w:val="24"/>
          <w:lang w:val="en-US"/>
        </w:rPr>
        <w:t xml:space="preserve">The Department has achieved all 12 planned targets. It is worth noting that the Department of Public Service and Administration has received a clean audit in 2015/16 financial year. The </w:t>
      </w:r>
      <w:r w:rsidR="00714D5F" w:rsidRPr="00831A68">
        <w:rPr>
          <w:rFonts w:ascii="Times New Roman" w:hAnsi="Times New Roman"/>
          <w:sz w:val="24"/>
          <w:szCs w:val="24"/>
          <w:lang w:val="en-US"/>
        </w:rPr>
        <w:t xml:space="preserve">Department is leading by example in terms of compliance with legislations in the public service more particularly the Treasury Regulations and the Public Finance Management Act. </w:t>
      </w:r>
    </w:p>
    <w:p w:rsidR="00714D5F" w:rsidRPr="00831A68" w:rsidRDefault="00714D5F" w:rsidP="00714D5F">
      <w:pPr>
        <w:autoSpaceDE w:val="0"/>
        <w:autoSpaceDN w:val="0"/>
        <w:adjustRightInd w:val="0"/>
        <w:spacing w:line="240" w:lineRule="auto"/>
        <w:rPr>
          <w:rFonts w:ascii="Times New Roman" w:eastAsiaTheme="minorHAnsi" w:hAnsi="Times New Roman"/>
          <w:color w:val="auto"/>
          <w:spacing w:val="0"/>
          <w:sz w:val="24"/>
          <w:szCs w:val="24"/>
          <w:lang w:val="en-ZA" w:eastAsia="en-US"/>
        </w:rPr>
      </w:pPr>
    </w:p>
    <w:p w:rsidR="00714D5F" w:rsidRPr="00831A68" w:rsidRDefault="00714D5F" w:rsidP="00714D5F">
      <w:p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831A68">
        <w:rPr>
          <w:rFonts w:ascii="Times New Roman" w:eastAsiaTheme="minorHAnsi" w:hAnsi="Times New Roman"/>
          <w:color w:val="auto"/>
          <w:spacing w:val="0"/>
          <w:sz w:val="24"/>
          <w:szCs w:val="24"/>
          <w:lang w:val="en-ZA" w:eastAsia="en-US"/>
        </w:rPr>
        <w:t xml:space="preserve">The Department complied with section 38 (1)(f) of the Public Finance Management Act (PFMA), 1999, which requires accounting officers (AOs) to settle all contractual obligations and pay all money owing, including intergovernmental claims, within the prescribed or agreed period. Treasury Regulation 8.2.3 clarifies the“prescribed period” by determining that “all payments due to creditors must be settled </w:t>
      </w:r>
      <w:r w:rsidRPr="00831A68">
        <w:rPr>
          <w:rFonts w:ascii="Times New Roman" w:eastAsiaTheme="minorHAnsi" w:hAnsi="Times New Roman"/>
          <w:iCs/>
          <w:color w:val="auto"/>
          <w:spacing w:val="0"/>
          <w:sz w:val="24"/>
          <w:szCs w:val="24"/>
          <w:lang w:val="en-ZA" w:eastAsia="en-US"/>
        </w:rPr>
        <w:t>within 30 days from</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receipt of an invoice or, in the case of civil</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claims, from the date of settlement or</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court judgment</w:t>
      </w:r>
      <w:r w:rsidRPr="00831A68">
        <w:rPr>
          <w:rFonts w:ascii="Times New Roman" w:eastAsiaTheme="minorHAnsi" w:hAnsi="Times New Roman"/>
          <w:color w:val="auto"/>
          <w:spacing w:val="0"/>
          <w:sz w:val="24"/>
          <w:szCs w:val="24"/>
          <w:lang w:val="en-ZA" w:eastAsia="en-US"/>
        </w:rPr>
        <w:t>”. All the departmental suppliers were paid within 30 days duri</w:t>
      </w:r>
      <w:r w:rsidR="00817297" w:rsidRPr="00831A68">
        <w:rPr>
          <w:rFonts w:ascii="Times New Roman" w:eastAsiaTheme="minorHAnsi" w:hAnsi="Times New Roman"/>
          <w:color w:val="auto"/>
          <w:spacing w:val="0"/>
          <w:sz w:val="24"/>
          <w:szCs w:val="24"/>
          <w:lang w:val="en-ZA" w:eastAsia="en-US"/>
        </w:rPr>
        <w:t>ng the 2015/16 financial year.  T</w:t>
      </w:r>
      <w:r w:rsidRPr="00831A68">
        <w:rPr>
          <w:rFonts w:ascii="Times New Roman" w:eastAsiaTheme="minorHAnsi" w:hAnsi="Times New Roman"/>
          <w:color w:val="auto"/>
          <w:spacing w:val="0"/>
          <w:sz w:val="24"/>
          <w:szCs w:val="24"/>
          <w:lang w:val="en-ZA" w:eastAsia="en-US"/>
        </w:rPr>
        <w:t>he Minister approved the</w:t>
      </w:r>
      <w:r w:rsidR="009A26A9" w:rsidRPr="00831A68">
        <w:rPr>
          <w:rFonts w:ascii="Times New Roman" w:eastAsiaTheme="minorHAnsi" w:hAnsi="Times New Roman"/>
          <w:color w:val="auto"/>
          <w:spacing w:val="0"/>
          <w:sz w:val="24"/>
          <w:szCs w:val="24"/>
          <w:lang w:val="en-ZA" w:eastAsia="en-US"/>
        </w:rPr>
        <w:t xml:space="preserve"> draft Public Service Regulations and the first phase Public Administration Management Regulations. The PAM regulations were published for the consultatio</w:t>
      </w:r>
      <w:r w:rsidR="00EB3DD2">
        <w:rPr>
          <w:rFonts w:ascii="Times New Roman" w:eastAsiaTheme="minorHAnsi" w:hAnsi="Times New Roman"/>
          <w:color w:val="auto"/>
          <w:spacing w:val="0"/>
          <w:sz w:val="24"/>
          <w:szCs w:val="24"/>
          <w:lang w:val="en-ZA" w:eastAsia="en-US"/>
        </w:rPr>
        <w:t xml:space="preserve">ns with various stakeholders. </w:t>
      </w:r>
      <w:r w:rsidR="00DE0FBF">
        <w:rPr>
          <w:rFonts w:ascii="Times New Roman" w:eastAsiaTheme="minorHAnsi" w:hAnsi="Times New Roman"/>
          <w:color w:val="auto"/>
          <w:spacing w:val="0"/>
          <w:sz w:val="24"/>
          <w:szCs w:val="24"/>
          <w:lang w:val="en-ZA" w:eastAsia="en-US"/>
        </w:rPr>
        <w:t>The Portfolio Committee made inputs during the process of public participation. The Regulations will be implemented once they have been presented to the Portfolio Committee as courtesy to present the incorporated inputs by the Committee</w:t>
      </w:r>
    </w:p>
    <w:p w:rsidR="00F1767F" w:rsidRPr="00831A68" w:rsidRDefault="00F1767F" w:rsidP="006C54FD">
      <w:pPr>
        <w:spacing w:line="360" w:lineRule="auto"/>
        <w:jc w:val="both"/>
        <w:rPr>
          <w:rFonts w:ascii="Times New Roman" w:hAnsi="Times New Roman"/>
          <w:sz w:val="24"/>
          <w:szCs w:val="24"/>
          <w:lang w:val="en-US"/>
        </w:rPr>
      </w:pPr>
    </w:p>
    <w:p w:rsidR="009A26A9" w:rsidRPr="00831A68" w:rsidRDefault="00061830" w:rsidP="009A26A9">
      <w:pPr>
        <w:rPr>
          <w:rFonts w:ascii="Times New Roman" w:hAnsi="Times New Roman"/>
          <w:b/>
          <w:i/>
          <w:sz w:val="24"/>
          <w:szCs w:val="24"/>
          <w:lang w:val="en-US"/>
        </w:rPr>
      </w:pPr>
      <w:r w:rsidRPr="00831A68">
        <w:rPr>
          <w:rFonts w:ascii="Times New Roman" w:eastAsia="Calibri" w:hAnsi="Times New Roman"/>
          <w:b/>
          <w:sz w:val="24"/>
          <w:szCs w:val="24"/>
          <w:lang w:val="en-US"/>
        </w:rPr>
        <w:t>(b)</w:t>
      </w:r>
      <w:r w:rsidR="00AF42AE" w:rsidRPr="00831A68">
        <w:rPr>
          <w:rFonts w:ascii="Times New Roman" w:eastAsia="Calibri" w:hAnsi="Times New Roman"/>
          <w:b/>
          <w:sz w:val="24"/>
          <w:szCs w:val="24"/>
          <w:lang w:val="en-US"/>
        </w:rPr>
        <w:t xml:space="preserve"> Programme 2: </w:t>
      </w:r>
      <w:r w:rsidR="009A26A9" w:rsidRPr="00831A68">
        <w:rPr>
          <w:rFonts w:ascii="Times New Roman" w:hAnsi="Times New Roman"/>
          <w:b/>
          <w:sz w:val="24"/>
          <w:szCs w:val="24"/>
          <w:lang w:val="en-US"/>
        </w:rPr>
        <w:t>Policy, Research and Analysis</w:t>
      </w:r>
    </w:p>
    <w:p w:rsidR="009A26A9" w:rsidRPr="00831A68" w:rsidRDefault="009A26A9" w:rsidP="009A26A9">
      <w:pPr>
        <w:rPr>
          <w:rFonts w:ascii="Times New Roman" w:hAnsi="Times New Roman"/>
          <w:b/>
          <w:i/>
          <w:sz w:val="24"/>
          <w:szCs w:val="24"/>
          <w:lang w:val="en-US"/>
        </w:rPr>
      </w:pPr>
    </w:p>
    <w:p w:rsidR="009A26A9" w:rsidRPr="00831A68" w:rsidRDefault="009A26A9" w:rsidP="009A26A9">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p</w:t>
      </w:r>
      <w:r w:rsidR="00831A68">
        <w:rPr>
          <w:rFonts w:ascii="Times New Roman" w:hAnsi="Times New Roman"/>
          <w:sz w:val="24"/>
          <w:szCs w:val="24"/>
          <w:lang w:val="en-US"/>
        </w:rPr>
        <w:t>urpose of this programme is to r</w:t>
      </w:r>
      <w:r w:rsidRPr="00831A68">
        <w:rPr>
          <w:rFonts w:ascii="Times New Roman" w:hAnsi="Times New Roman"/>
          <w:sz w:val="24"/>
          <w:szCs w:val="24"/>
          <w:lang w:val="en-US"/>
        </w:rPr>
        <w:t>esearch, analyse, monitor and evaluate the formulation, development and review of policies and policy reform through a cogent policy and research agenda and strategy for public administration discourse and reforms, based on both national and international trends, using capacity and functionality assessments; providing Public Service productivity measurement instruments; investigating appropriate and alternative pubic administration delivery models through knowledge management and best practices; managing and evaluating transformation programmes; in order to enhance access to public services through feasibility and continuity studies.</w:t>
      </w:r>
    </w:p>
    <w:p w:rsidR="00AF42AE" w:rsidRPr="00831A68" w:rsidRDefault="00AF42AE" w:rsidP="00AF42AE">
      <w:pPr>
        <w:pStyle w:val="ListParagraph"/>
        <w:spacing w:line="360" w:lineRule="auto"/>
        <w:ind w:left="750" w:hanging="750"/>
        <w:jc w:val="both"/>
        <w:rPr>
          <w:rFonts w:ascii="Times New Roman" w:eastAsia="Calibri" w:hAnsi="Times New Roman"/>
          <w:b/>
          <w:sz w:val="24"/>
          <w:szCs w:val="24"/>
          <w:lang w:val="en-US"/>
        </w:rPr>
      </w:pPr>
    </w:p>
    <w:p w:rsidR="007F7CD8" w:rsidRPr="00831A68" w:rsidRDefault="00DD1796" w:rsidP="005A5E1F">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P</w:t>
      </w:r>
      <w:r w:rsidR="007F7CD8" w:rsidRPr="00831A68">
        <w:rPr>
          <w:rFonts w:ascii="Times New Roman" w:hAnsi="Times New Roman"/>
          <w:color w:val="auto"/>
          <w:spacing w:val="0"/>
          <w:sz w:val="24"/>
          <w:szCs w:val="24"/>
          <w:lang w:val="en-ZA" w:eastAsia="en-ZA"/>
        </w:rPr>
        <w:t xml:space="preserve">rogramme </w:t>
      </w:r>
      <w:r w:rsidRPr="00831A68">
        <w:rPr>
          <w:rFonts w:ascii="Times New Roman" w:hAnsi="Times New Roman"/>
          <w:color w:val="auto"/>
          <w:spacing w:val="0"/>
          <w:sz w:val="24"/>
          <w:szCs w:val="24"/>
          <w:lang w:val="en-ZA" w:eastAsia="en-ZA"/>
        </w:rPr>
        <w:t xml:space="preserve">2 </w:t>
      </w:r>
      <w:r w:rsidR="007F7CD8" w:rsidRPr="00831A68">
        <w:rPr>
          <w:rFonts w:ascii="Times New Roman" w:hAnsi="Times New Roman"/>
          <w:color w:val="auto"/>
          <w:spacing w:val="0"/>
          <w:sz w:val="24"/>
          <w:szCs w:val="24"/>
          <w:lang w:val="en-ZA" w:eastAsia="en-ZA"/>
        </w:rPr>
        <w:t xml:space="preserve">was </w:t>
      </w:r>
      <w:r w:rsidR="00817297" w:rsidRPr="00831A68">
        <w:rPr>
          <w:rFonts w:ascii="Times New Roman" w:hAnsi="Times New Roman"/>
          <w:color w:val="auto"/>
          <w:spacing w:val="0"/>
          <w:sz w:val="24"/>
          <w:szCs w:val="24"/>
          <w:lang w:val="en-ZA" w:eastAsia="en-ZA"/>
        </w:rPr>
        <w:t xml:space="preserve">allocated </w:t>
      </w:r>
      <w:r w:rsidR="00EB3DD2">
        <w:rPr>
          <w:rFonts w:ascii="Times New Roman" w:hAnsi="Times New Roman"/>
          <w:color w:val="auto"/>
          <w:spacing w:val="0"/>
          <w:sz w:val="24"/>
          <w:szCs w:val="24"/>
          <w:lang w:val="en-ZA" w:eastAsia="en-ZA"/>
        </w:rPr>
        <w:t xml:space="preserve">a </w:t>
      </w:r>
      <w:r w:rsidR="00817297" w:rsidRPr="00831A68">
        <w:rPr>
          <w:rFonts w:ascii="Times New Roman" w:hAnsi="Times New Roman"/>
          <w:color w:val="auto"/>
          <w:spacing w:val="0"/>
          <w:sz w:val="24"/>
          <w:szCs w:val="24"/>
          <w:lang w:val="en-ZA" w:eastAsia="en-ZA"/>
        </w:rPr>
        <w:t xml:space="preserve">budget </w:t>
      </w:r>
      <w:r w:rsidR="009A26A9" w:rsidRPr="00831A68">
        <w:rPr>
          <w:rFonts w:ascii="Times New Roman" w:hAnsi="Times New Roman"/>
          <w:color w:val="auto"/>
          <w:spacing w:val="0"/>
          <w:sz w:val="24"/>
          <w:szCs w:val="24"/>
          <w:lang w:val="en-ZA" w:eastAsia="en-ZA"/>
        </w:rPr>
        <w:t xml:space="preserve">of R35 518 million and spent R32 </w:t>
      </w:r>
      <w:r w:rsidR="00994161" w:rsidRPr="00831A68">
        <w:rPr>
          <w:rFonts w:ascii="Times New Roman" w:hAnsi="Times New Roman"/>
          <w:color w:val="auto"/>
          <w:spacing w:val="0"/>
          <w:sz w:val="24"/>
          <w:szCs w:val="24"/>
          <w:lang w:val="en-ZA" w:eastAsia="en-ZA"/>
        </w:rPr>
        <w:t>0</w:t>
      </w:r>
      <w:r w:rsidR="007F7CD8" w:rsidRPr="00831A68">
        <w:rPr>
          <w:rFonts w:ascii="Times New Roman" w:hAnsi="Times New Roman"/>
          <w:color w:val="auto"/>
          <w:spacing w:val="0"/>
          <w:sz w:val="24"/>
          <w:szCs w:val="24"/>
          <w:lang w:val="en-ZA" w:eastAsia="en-ZA"/>
        </w:rPr>
        <w:t>6</w:t>
      </w:r>
      <w:r w:rsidR="00994161" w:rsidRPr="00831A68">
        <w:rPr>
          <w:rFonts w:ascii="Times New Roman" w:hAnsi="Times New Roman"/>
          <w:color w:val="auto"/>
          <w:spacing w:val="0"/>
          <w:sz w:val="24"/>
          <w:szCs w:val="24"/>
          <w:lang w:val="en-ZA" w:eastAsia="en-ZA"/>
        </w:rPr>
        <w:t>9</w:t>
      </w:r>
      <w:r w:rsidR="007A1DEC" w:rsidRPr="00831A68">
        <w:rPr>
          <w:rFonts w:ascii="Times New Roman" w:hAnsi="Times New Roman"/>
          <w:color w:val="auto"/>
          <w:spacing w:val="0"/>
          <w:sz w:val="24"/>
          <w:szCs w:val="24"/>
          <w:lang w:val="en-ZA" w:eastAsia="en-ZA"/>
        </w:rPr>
        <w:t xml:space="preserve"> million, which is an estimated</w:t>
      </w:r>
      <w:r w:rsidR="00994161"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99</w:t>
      </w:r>
      <w:r w:rsidR="009A26A9" w:rsidRPr="00831A68">
        <w:rPr>
          <w:rFonts w:ascii="Times New Roman" w:hAnsi="Times New Roman"/>
          <w:color w:val="auto"/>
          <w:spacing w:val="0"/>
          <w:sz w:val="24"/>
          <w:szCs w:val="24"/>
          <w:lang w:val="en-ZA" w:eastAsia="en-ZA"/>
        </w:rPr>
        <w:t>.8</w:t>
      </w:r>
      <w:r w:rsidRPr="00831A68">
        <w:rPr>
          <w:rFonts w:ascii="Times New Roman" w:hAnsi="Times New Roman"/>
          <w:color w:val="auto"/>
          <w:spacing w:val="0"/>
          <w:sz w:val="24"/>
          <w:szCs w:val="24"/>
          <w:lang w:val="en-ZA" w:eastAsia="en-ZA"/>
        </w:rPr>
        <w:t xml:space="preserve">%. </w:t>
      </w:r>
      <w:r w:rsidR="009E14F1" w:rsidRPr="00831A68">
        <w:rPr>
          <w:rFonts w:ascii="Times New Roman" w:hAnsi="Times New Roman"/>
          <w:color w:val="auto"/>
          <w:spacing w:val="0"/>
          <w:sz w:val="24"/>
          <w:szCs w:val="24"/>
          <w:lang w:val="en-ZA" w:eastAsia="en-ZA"/>
        </w:rPr>
        <w:t xml:space="preserve">The Department had achieved </w:t>
      </w:r>
      <w:r w:rsidR="007E3D66" w:rsidRPr="00831A68">
        <w:rPr>
          <w:rFonts w:ascii="Times New Roman" w:hAnsi="Times New Roman"/>
          <w:color w:val="auto"/>
          <w:spacing w:val="0"/>
          <w:sz w:val="24"/>
          <w:szCs w:val="24"/>
          <w:lang w:val="en-ZA" w:eastAsia="en-ZA"/>
        </w:rPr>
        <w:t>86% of planned targets and 14% partially achieved.</w:t>
      </w:r>
      <w:r w:rsidR="009E14F1"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The programme contribute</w:t>
      </w:r>
      <w:r w:rsidR="007A1DEC" w:rsidRPr="00831A68">
        <w:rPr>
          <w:rFonts w:ascii="Times New Roman" w:hAnsi="Times New Roman"/>
          <w:color w:val="auto"/>
          <w:spacing w:val="0"/>
          <w:sz w:val="24"/>
          <w:szCs w:val="24"/>
          <w:lang w:val="en-ZA" w:eastAsia="en-ZA"/>
        </w:rPr>
        <w:t>s</w:t>
      </w:r>
      <w:r w:rsidRPr="00831A68">
        <w:rPr>
          <w:rFonts w:ascii="Times New Roman" w:hAnsi="Times New Roman"/>
          <w:color w:val="auto"/>
          <w:spacing w:val="0"/>
          <w:sz w:val="24"/>
          <w:szCs w:val="24"/>
          <w:lang w:val="en-ZA" w:eastAsia="en-ZA"/>
        </w:rPr>
        <w:t xml:space="preserve"> to the National Development Plan objectives of </w:t>
      </w:r>
      <w:r w:rsidR="009A26A9" w:rsidRPr="00831A68">
        <w:rPr>
          <w:rFonts w:ascii="Times New Roman" w:hAnsi="Times New Roman"/>
          <w:color w:val="auto"/>
          <w:spacing w:val="0"/>
          <w:sz w:val="24"/>
          <w:szCs w:val="24"/>
          <w:lang w:val="en-ZA" w:eastAsia="en-ZA"/>
        </w:rPr>
        <w:t xml:space="preserve">an efficient, capable and productive public service; and </w:t>
      </w:r>
      <w:r w:rsidRPr="00831A68">
        <w:rPr>
          <w:rFonts w:ascii="Times New Roman" w:hAnsi="Times New Roman"/>
          <w:color w:val="auto"/>
          <w:spacing w:val="0"/>
          <w:sz w:val="24"/>
          <w:szCs w:val="24"/>
          <w:lang w:val="en-ZA" w:eastAsia="en-ZA"/>
        </w:rPr>
        <w:t xml:space="preserve">building a capable public service. </w:t>
      </w:r>
    </w:p>
    <w:p w:rsidR="007069F7" w:rsidRPr="00831A68" w:rsidRDefault="007069F7" w:rsidP="005A5E1F">
      <w:pPr>
        <w:spacing w:line="360" w:lineRule="auto"/>
        <w:jc w:val="both"/>
        <w:rPr>
          <w:rFonts w:ascii="Times New Roman" w:hAnsi="Times New Roman"/>
          <w:color w:val="auto"/>
          <w:spacing w:val="0"/>
          <w:sz w:val="24"/>
          <w:szCs w:val="24"/>
          <w:lang w:val="en-ZA" w:eastAsia="en-ZA"/>
        </w:rPr>
      </w:pPr>
    </w:p>
    <w:p w:rsidR="007069F7" w:rsidRPr="00831A68" w:rsidRDefault="007069F7" w:rsidP="005A5E1F">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In an effort to enhance productivity, the Department is in the process of designing a Productivity Management Framework for the </w:t>
      </w:r>
      <w:r w:rsidR="00060E49" w:rsidRPr="00831A68">
        <w:rPr>
          <w:rFonts w:ascii="Times New Roman" w:hAnsi="Times New Roman"/>
          <w:color w:val="auto"/>
          <w:spacing w:val="0"/>
          <w:sz w:val="24"/>
          <w:szCs w:val="24"/>
          <w:lang w:val="en-ZA" w:eastAsia="en-ZA"/>
        </w:rPr>
        <w:t xml:space="preserve">public service. As part of the refinement of the draft framework and tool, the department conducted pilot productivity measurements in the North West Province’s Department of Health, the Mpumalanga Province’s Department of Basic Education and the Limpopo Province’s Departments of Cooperative Governance Human Settlements and Traditional Affairs.  </w:t>
      </w:r>
    </w:p>
    <w:p w:rsidR="00060E49" w:rsidRPr="00831A68" w:rsidRDefault="00060E49" w:rsidP="005A5E1F">
      <w:pPr>
        <w:spacing w:line="360" w:lineRule="auto"/>
        <w:jc w:val="both"/>
        <w:rPr>
          <w:rFonts w:ascii="Times New Roman" w:hAnsi="Times New Roman"/>
          <w:color w:val="auto"/>
          <w:spacing w:val="0"/>
          <w:sz w:val="24"/>
          <w:szCs w:val="24"/>
          <w:lang w:val="en-ZA" w:eastAsia="en-ZA"/>
        </w:rPr>
      </w:pPr>
    </w:p>
    <w:p w:rsidR="007E2A03" w:rsidRPr="00831A68" w:rsidRDefault="00060E49" w:rsidP="005A5E1F">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Public Administration Management Act (PAMA) was signed into law by the President in 2014. The Act seeks to provide a legal framework across the three spheres of government for bringing some degrees of uniformity in the public administration pillars, transversal institutions, Human Resource, Information Communication Technology and systems. Regulation are drafted which will bring into effect the Act. The Department is rigorously </w:t>
      </w:r>
      <w:r w:rsidR="007E2A03" w:rsidRPr="00831A68">
        <w:rPr>
          <w:rFonts w:ascii="Times New Roman" w:hAnsi="Times New Roman"/>
          <w:color w:val="auto"/>
          <w:spacing w:val="0"/>
          <w:sz w:val="24"/>
          <w:szCs w:val="24"/>
          <w:lang w:val="en-ZA" w:eastAsia="en-ZA"/>
        </w:rPr>
        <w:t>consulting various stakeholders in key national departments, provincial structures and SALGA. The Department has developed draft PAMA regulations on the Prohibition of Public Servants from doing business with the State.</w:t>
      </w:r>
    </w:p>
    <w:p w:rsidR="007E2A03" w:rsidRPr="00831A68" w:rsidRDefault="007E2A03" w:rsidP="005A5E1F">
      <w:pPr>
        <w:spacing w:line="360" w:lineRule="auto"/>
        <w:jc w:val="both"/>
        <w:rPr>
          <w:rFonts w:ascii="Times New Roman" w:hAnsi="Times New Roman"/>
          <w:color w:val="auto"/>
          <w:spacing w:val="0"/>
          <w:sz w:val="24"/>
          <w:szCs w:val="24"/>
          <w:lang w:val="en-ZA" w:eastAsia="en-ZA"/>
        </w:rPr>
      </w:pPr>
    </w:p>
    <w:p w:rsidR="003C53C4" w:rsidRPr="00831A68" w:rsidRDefault="007E2A03" w:rsidP="003C53C4">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Department engaged with the National Treasury to take the lead together with GTAC on developing funding options and a recommended funding model for Thusong Programme and the Centres. The Department conducted an Accessibility Study of Thusong Cluster Programme of Home Affairs, Labour, SASSA and the SAPS in eight provinces. The study was conducted in collaboration with the Government Communication and Information Service (GCIS) which coordinates the Thusong Service Centre Programme. Accessibility study assisted in determining a set </w:t>
      </w:r>
      <w:r w:rsidR="00D0648D">
        <w:rPr>
          <w:rFonts w:ascii="Times New Roman" w:hAnsi="Times New Roman"/>
          <w:color w:val="auto"/>
          <w:spacing w:val="0"/>
          <w:sz w:val="24"/>
          <w:szCs w:val="24"/>
          <w:lang w:val="en-ZA" w:eastAsia="en-ZA"/>
        </w:rPr>
        <w:t>of benchmarked standards that is</w:t>
      </w:r>
      <w:r w:rsidRPr="00831A68">
        <w:rPr>
          <w:rFonts w:ascii="Times New Roman" w:hAnsi="Times New Roman"/>
          <w:color w:val="auto"/>
          <w:spacing w:val="0"/>
          <w:sz w:val="24"/>
          <w:szCs w:val="24"/>
          <w:lang w:val="en-ZA" w:eastAsia="en-ZA"/>
        </w:rPr>
        <w:t xml:space="preserve"> used to determine the optimum provisioning and geographic location of different types and sizes of Thusong Service Centres</w:t>
      </w:r>
      <w:r w:rsidR="003C53C4" w:rsidRPr="00831A68">
        <w:rPr>
          <w:rFonts w:ascii="Times New Roman" w:hAnsi="Times New Roman"/>
          <w:color w:val="auto"/>
          <w:spacing w:val="0"/>
          <w:sz w:val="24"/>
          <w:szCs w:val="24"/>
          <w:lang w:val="en-ZA" w:eastAsia="en-ZA"/>
        </w:rPr>
        <w:t xml:space="preserve">. The Department has developed Guidelines with relevant toolkits to support Research within the public service. Toolkit will assist government to improve research on Public Administration and create the research capacity to support the evidence based policy development. </w:t>
      </w:r>
    </w:p>
    <w:p w:rsidR="003C53C4" w:rsidRPr="00831A68" w:rsidRDefault="003C53C4" w:rsidP="003C53C4">
      <w:pPr>
        <w:spacing w:line="360" w:lineRule="auto"/>
        <w:jc w:val="both"/>
        <w:rPr>
          <w:rFonts w:ascii="Times New Roman" w:hAnsi="Times New Roman"/>
          <w:color w:val="auto"/>
          <w:spacing w:val="0"/>
          <w:sz w:val="24"/>
          <w:szCs w:val="24"/>
          <w:lang w:val="en-ZA" w:eastAsia="en-ZA"/>
        </w:rPr>
      </w:pPr>
    </w:p>
    <w:p w:rsidR="004E734F" w:rsidRPr="00831A68" w:rsidRDefault="004F2CF6" w:rsidP="003C53C4">
      <w:pPr>
        <w:spacing w:line="360" w:lineRule="auto"/>
        <w:jc w:val="both"/>
        <w:rPr>
          <w:rFonts w:ascii="Times New Roman" w:hAnsi="Times New Roman"/>
          <w:sz w:val="24"/>
          <w:szCs w:val="24"/>
        </w:rPr>
      </w:pPr>
      <w:r w:rsidRPr="00831A68">
        <w:rPr>
          <w:rFonts w:ascii="Times New Roman" w:hAnsi="Times New Roman"/>
          <w:color w:val="auto"/>
          <w:spacing w:val="0"/>
          <w:sz w:val="24"/>
          <w:szCs w:val="24"/>
          <w:lang w:val="en-ZA" w:eastAsia="en-ZA"/>
        </w:rPr>
        <w:t>The Policy on the Provisioning of Reasonable Accommodation and Assistive Devices was approved by the Minister for Public Service and Administration in December 2014 and seeks to ensure that the public service is conducive to persons with disabilities by ensuring that employees with disabilities are provided with the appropriate working environment and the required devices to effectively perform their duties and functions.</w:t>
      </w:r>
      <w:r w:rsidR="003C53C4" w:rsidRPr="00831A68">
        <w:rPr>
          <w:rFonts w:ascii="Times New Roman" w:hAnsi="Times New Roman"/>
          <w:sz w:val="24"/>
          <w:szCs w:val="24"/>
        </w:rPr>
        <w:t xml:space="preserve"> </w:t>
      </w:r>
      <w:r w:rsidRPr="00831A68">
        <w:rPr>
          <w:rFonts w:ascii="Times New Roman" w:hAnsi="Times New Roman"/>
          <w:color w:val="auto"/>
          <w:spacing w:val="0"/>
          <w:sz w:val="24"/>
          <w:szCs w:val="24"/>
          <w:lang w:val="en-ZA" w:eastAsia="en-ZA"/>
        </w:rPr>
        <w:t>As at 31 December 2015, the Public Service had a workforce of 1 320 759 of which 9 091 is employees with disabilities yet only 1.19% of the employees with disabilities have been provided with reasonable accommodation and assistive devices.</w:t>
      </w:r>
      <w:r w:rsidR="003C53C4" w:rsidRPr="00831A68">
        <w:rPr>
          <w:rFonts w:ascii="Times New Roman" w:hAnsi="Times New Roman"/>
          <w:sz w:val="24"/>
          <w:szCs w:val="24"/>
        </w:rPr>
        <w:t xml:space="preserve"> </w:t>
      </w:r>
      <w:r w:rsidRPr="00831A68">
        <w:rPr>
          <w:rFonts w:ascii="Times New Roman" w:hAnsi="Times New Roman"/>
          <w:color w:val="auto"/>
          <w:spacing w:val="0"/>
          <w:sz w:val="24"/>
          <w:szCs w:val="24"/>
          <w:lang w:val="en-ZA" w:eastAsia="en-ZA"/>
        </w:rPr>
        <w:t>The total number of public servants (national and provincial) with disabilities who have received Reasonable Accommodation and Assistive Devices (RAAD) is 108 out of 9 091. The total cost for providing these services is R2 694 540.29.</w:t>
      </w:r>
    </w:p>
    <w:p w:rsidR="003C53C4" w:rsidRPr="00831A68" w:rsidRDefault="003C53C4" w:rsidP="007F7CD8">
      <w:pPr>
        <w:pStyle w:val="ListParagraph"/>
        <w:spacing w:line="360" w:lineRule="auto"/>
        <w:ind w:left="0"/>
        <w:jc w:val="both"/>
        <w:rPr>
          <w:rFonts w:ascii="Times New Roman" w:hAnsi="Times New Roman"/>
          <w:color w:val="auto"/>
          <w:spacing w:val="0"/>
          <w:sz w:val="24"/>
          <w:szCs w:val="24"/>
          <w:lang w:val="en-ZA" w:eastAsia="en-ZA"/>
        </w:rPr>
      </w:pPr>
    </w:p>
    <w:p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(c) </w:t>
      </w:r>
      <w:r w:rsidR="00AF42AE" w:rsidRPr="00831A68">
        <w:rPr>
          <w:rFonts w:ascii="Times New Roman" w:eastAsia="Calibri" w:hAnsi="Times New Roman"/>
          <w:b/>
          <w:sz w:val="24"/>
          <w:szCs w:val="24"/>
          <w:lang w:val="en-US"/>
        </w:rPr>
        <w:t xml:space="preserve"> Programme 3: Labour Relations and </w:t>
      </w:r>
      <w:r w:rsidR="003C53C4" w:rsidRPr="00831A68">
        <w:rPr>
          <w:rFonts w:ascii="Times New Roman" w:eastAsia="Calibri" w:hAnsi="Times New Roman"/>
          <w:b/>
          <w:sz w:val="24"/>
          <w:szCs w:val="24"/>
          <w:lang w:val="en-US"/>
        </w:rPr>
        <w:t>Human Resource</w:t>
      </w:r>
      <w:r w:rsidR="008762E7" w:rsidRPr="00831A68">
        <w:rPr>
          <w:rFonts w:ascii="Times New Roman" w:eastAsia="Calibri" w:hAnsi="Times New Roman"/>
          <w:b/>
          <w:sz w:val="24"/>
          <w:szCs w:val="24"/>
          <w:lang w:val="en-US"/>
        </w:rPr>
        <w:t xml:space="preserve"> Management</w:t>
      </w:r>
    </w:p>
    <w:p w:rsidR="00FE6BC5" w:rsidRPr="00831A68"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the programme is to develop, implement and </w:t>
      </w:r>
      <w:r w:rsidRPr="00831A68">
        <w:rPr>
          <w:rFonts w:ascii="Times New Roman" w:hAnsi="Times New Roman"/>
          <w:color w:val="auto"/>
          <w:spacing w:val="0"/>
          <w:sz w:val="24"/>
          <w:szCs w:val="24"/>
          <w:lang w:val="en-ZA" w:eastAsia="en-ZA"/>
        </w:rPr>
        <w:t xml:space="preserve">monitor human resources policies and functions, by managing labour relations negotiations, employee relations, discipline and work environment management, designing remuneration and job grading policy frameworks; as well as, support the implementation of human resource development and planning strategies, systems and practices. </w:t>
      </w:r>
      <w:r w:rsidR="007F7CD8" w:rsidRPr="00831A68">
        <w:rPr>
          <w:rFonts w:ascii="Times New Roman" w:hAnsi="Times New Roman"/>
          <w:color w:val="auto"/>
          <w:spacing w:val="0"/>
          <w:sz w:val="24"/>
          <w:szCs w:val="24"/>
          <w:lang w:val="en-ZA" w:eastAsia="en-ZA"/>
        </w:rPr>
        <w:t>The programme was alloca</w:t>
      </w:r>
      <w:r w:rsidR="003C53C4" w:rsidRPr="00831A68">
        <w:rPr>
          <w:rFonts w:ascii="Times New Roman" w:hAnsi="Times New Roman"/>
          <w:color w:val="auto"/>
          <w:spacing w:val="0"/>
          <w:sz w:val="24"/>
          <w:szCs w:val="24"/>
          <w:lang w:val="en-ZA" w:eastAsia="en-ZA"/>
        </w:rPr>
        <w:t>ted a final appropriation of R7</w:t>
      </w:r>
      <w:r w:rsidR="008762E7" w:rsidRPr="00831A68">
        <w:rPr>
          <w:rFonts w:ascii="Times New Roman" w:hAnsi="Times New Roman"/>
          <w:color w:val="auto"/>
          <w:spacing w:val="0"/>
          <w:sz w:val="24"/>
          <w:szCs w:val="24"/>
          <w:lang w:val="en-ZA" w:eastAsia="en-ZA"/>
        </w:rPr>
        <w:t>0</w:t>
      </w:r>
      <w:r w:rsidR="00913ECD" w:rsidRPr="00831A68">
        <w:rPr>
          <w:rFonts w:ascii="Times New Roman" w:hAnsi="Times New Roman"/>
          <w:color w:val="auto"/>
          <w:spacing w:val="0"/>
          <w:sz w:val="24"/>
          <w:szCs w:val="24"/>
          <w:lang w:val="en-ZA" w:eastAsia="en-ZA"/>
        </w:rPr>
        <w:t>.</w:t>
      </w:r>
      <w:r w:rsidR="003C53C4" w:rsidRPr="00831A68">
        <w:rPr>
          <w:rFonts w:ascii="Times New Roman" w:hAnsi="Times New Roman"/>
          <w:color w:val="auto"/>
          <w:spacing w:val="0"/>
          <w:sz w:val="24"/>
          <w:szCs w:val="24"/>
          <w:lang w:val="en-ZA" w:eastAsia="en-ZA"/>
        </w:rPr>
        <w:t>410</w:t>
      </w:r>
      <w:r w:rsidR="008762E7" w:rsidRPr="00831A68">
        <w:rPr>
          <w:rFonts w:ascii="Times New Roman" w:hAnsi="Times New Roman"/>
          <w:color w:val="auto"/>
          <w:spacing w:val="0"/>
          <w:sz w:val="24"/>
          <w:szCs w:val="24"/>
          <w:lang w:val="en-ZA" w:eastAsia="en-ZA"/>
        </w:rPr>
        <w:t xml:space="preserve"> million and</w:t>
      </w:r>
      <w:r w:rsidR="007F7CD8" w:rsidRPr="00831A68">
        <w:rPr>
          <w:rFonts w:ascii="Times New Roman" w:hAnsi="Times New Roman"/>
          <w:color w:val="auto"/>
          <w:spacing w:val="0"/>
          <w:sz w:val="24"/>
          <w:szCs w:val="24"/>
          <w:lang w:val="en-ZA" w:eastAsia="en-ZA"/>
        </w:rPr>
        <w:t xml:space="preserve"> spent R</w:t>
      </w:r>
      <w:r w:rsidR="003C53C4" w:rsidRPr="00831A68">
        <w:rPr>
          <w:rFonts w:ascii="Times New Roman" w:hAnsi="Times New Roman"/>
          <w:color w:val="auto"/>
          <w:spacing w:val="0"/>
          <w:sz w:val="24"/>
          <w:szCs w:val="24"/>
          <w:lang w:val="en-ZA" w:eastAsia="en-ZA"/>
        </w:rPr>
        <w:t>67</w:t>
      </w:r>
      <w:r w:rsidR="00913ECD" w:rsidRPr="00831A68">
        <w:rPr>
          <w:rFonts w:ascii="Times New Roman" w:hAnsi="Times New Roman"/>
          <w:color w:val="auto"/>
          <w:spacing w:val="0"/>
          <w:sz w:val="24"/>
          <w:szCs w:val="24"/>
          <w:lang w:val="en-ZA" w:eastAsia="en-ZA"/>
        </w:rPr>
        <w:t>.</w:t>
      </w:r>
      <w:r w:rsidR="003C53C4" w:rsidRPr="00831A68">
        <w:rPr>
          <w:rFonts w:ascii="Times New Roman" w:hAnsi="Times New Roman"/>
          <w:color w:val="auto"/>
          <w:spacing w:val="0"/>
          <w:sz w:val="24"/>
          <w:szCs w:val="24"/>
          <w:lang w:val="en-ZA" w:eastAsia="en-ZA"/>
        </w:rPr>
        <w:t>552</w:t>
      </w:r>
      <w:r w:rsidR="007F7CD8" w:rsidRPr="00831A68">
        <w:rPr>
          <w:rFonts w:ascii="Times New Roman" w:hAnsi="Times New Roman"/>
          <w:color w:val="auto"/>
          <w:spacing w:val="0"/>
          <w:sz w:val="24"/>
          <w:szCs w:val="24"/>
          <w:lang w:val="en-ZA" w:eastAsia="en-ZA"/>
        </w:rPr>
        <w:t xml:space="preserve"> </w:t>
      </w:r>
      <w:r w:rsidR="009718D7" w:rsidRPr="00831A68">
        <w:rPr>
          <w:rFonts w:ascii="Times New Roman" w:hAnsi="Times New Roman"/>
          <w:color w:val="auto"/>
          <w:spacing w:val="0"/>
          <w:sz w:val="24"/>
          <w:szCs w:val="24"/>
          <w:lang w:val="en-ZA" w:eastAsia="en-ZA"/>
        </w:rPr>
        <w:t xml:space="preserve">million, which is an estimated </w:t>
      </w:r>
      <w:r w:rsidR="003C53C4" w:rsidRPr="00831A68">
        <w:rPr>
          <w:rFonts w:ascii="Times New Roman" w:hAnsi="Times New Roman"/>
          <w:color w:val="auto"/>
          <w:spacing w:val="0"/>
          <w:sz w:val="24"/>
          <w:szCs w:val="24"/>
          <w:lang w:val="en-ZA" w:eastAsia="en-ZA"/>
        </w:rPr>
        <w:t>95</w:t>
      </w:r>
      <w:r w:rsidR="007F7CD8" w:rsidRPr="00831A68">
        <w:rPr>
          <w:rFonts w:ascii="Times New Roman" w:hAnsi="Times New Roman"/>
          <w:color w:val="auto"/>
          <w:spacing w:val="0"/>
          <w:sz w:val="24"/>
          <w:szCs w:val="24"/>
          <w:lang w:val="en-ZA" w:eastAsia="en-ZA"/>
        </w:rPr>
        <w:t>.</w:t>
      </w:r>
      <w:r w:rsidR="003C53C4" w:rsidRPr="00831A68">
        <w:rPr>
          <w:rFonts w:ascii="Times New Roman" w:hAnsi="Times New Roman"/>
          <w:color w:val="auto"/>
          <w:spacing w:val="0"/>
          <w:sz w:val="24"/>
          <w:szCs w:val="24"/>
          <w:lang w:val="en-ZA" w:eastAsia="en-ZA"/>
        </w:rPr>
        <w:t>9</w:t>
      </w:r>
      <w:r w:rsidR="007F7CD8" w:rsidRPr="00831A68">
        <w:rPr>
          <w:rFonts w:ascii="Times New Roman" w:hAnsi="Times New Roman"/>
          <w:color w:val="auto"/>
          <w:spacing w:val="0"/>
          <w:sz w:val="24"/>
          <w:szCs w:val="24"/>
          <w:lang w:val="en-ZA" w:eastAsia="en-ZA"/>
        </w:rPr>
        <w:t xml:space="preserve">%. </w:t>
      </w:r>
      <w:r w:rsidR="00913ECD" w:rsidRPr="00831A68">
        <w:rPr>
          <w:rFonts w:ascii="Times New Roman" w:hAnsi="Times New Roman"/>
          <w:color w:val="auto"/>
          <w:spacing w:val="0"/>
          <w:sz w:val="24"/>
          <w:szCs w:val="24"/>
          <w:lang w:val="en-ZA" w:eastAsia="en-ZA"/>
        </w:rPr>
        <w:t>There was variance of R</w:t>
      </w:r>
      <w:r w:rsidR="003C53C4" w:rsidRPr="00831A68">
        <w:rPr>
          <w:rFonts w:ascii="Times New Roman" w:hAnsi="Times New Roman"/>
          <w:color w:val="auto"/>
          <w:spacing w:val="0"/>
          <w:sz w:val="24"/>
          <w:szCs w:val="24"/>
          <w:lang w:val="en-ZA" w:eastAsia="en-ZA"/>
        </w:rPr>
        <w:t>2</w:t>
      </w:r>
      <w:r w:rsidR="00913ECD" w:rsidRPr="00831A68">
        <w:rPr>
          <w:rFonts w:ascii="Times New Roman" w:hAnsi="Times New Roman"/>
          <w:color w:val="auto"/>
          <w:spacing w:val="0"/>
          <w:sz w:val="24"/>
          <w:szCs w:val="24"/>
          <w:lang w:val="en-ZA" w:eastAsia="en-ZA"/>
        </w:rPr>
        <w:t>.</w:t>
      </w:r>
      <w:r w:rsidR="003C53C4" w:rsidRPr="00831A68">
        <w:rPr>
          <w:rFonts w:ascii="Times New Roman" w:hAnsi="Times New Roman"/>
          <w:color w:val="auto"/>
          <w:spacing w:val="0"/>
          <w:sz w:val="24"/>
          <w:szCs w:val="24"/>
          <w:lang w:val="en-ZA" w:eastAsia="en-ZA"/>
        </w:rPr>
        <w:t>858</w:t>
      </w:r>
      <w:r w:rsidR="009718D7" w:rsidRPr="00831A68">
        <w:rPr>
          <w:rFonts w:ascii="Times New Roman" w:hAnsi="Times New Roman"/>
          <w:color w:val="auto"/>
          <w:spacing w:val="0"/>
          <w:sz w:val="24"/>
          <w:szCs w:val="24"/>
          <w:lang w:val="en-ZA" w:eastAsia="en-ZA"/>
        </w:rPr>
        <w:t xml:space="preserve"> million. </w:t>
      </w:r>
      <w:r w:rsidRPr="00831A68">
        <w:rPr>
          <w:rFonts w:ascii="Times New Roman" w:hAnsi="Times New Roman"/>
          <w:color w:val="auto"/>
          <w:spacing w:val="0"/>
          <w:sz w:val="24"/>
          <w:szCs w:val="24"/>
          <w:lang w:val="en-ZA" w:eastAsia="en-ZA"/>
        </w:rPr>
        <w:t>All seven targets on the programme were achieved.</w:t>
      </w:r>
    </w:p>
    <w:p w:rsidR="00FE6BC5" w:rsidRPr="00831A68"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rsidR="00FE6BC5" w:rsidRPr="00831A68"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A public service that is career of the choice is among the objectives of the National Development Plan (NDP). The NDP proposes a number of interventions aimed at ensuring that the public service becomes a career of choice and that attracts and retains appropriate skills and expertise necessary to deliver on the goals and mandate of government. The Department developed a draft model for the Public Service Graduate Recruitment Scheme. The Scheme was consulted with National and Provincial Departments as well as other strategic </w:t>
      </w:r>
      <w:r w:rsidR="00580781" w:rsidRPr="00831A68">
        <w:rPr>
          <w:rFonts w:ascii="Times New Roman" w:hAnsi="Times New Roman"/>
          <w:color w:val="auto"/>
          <w:spacing w:val="0"/>
          <w:sz w:val="24"/>
          <w:szCs w:val="24"/>
          <w:lang w:val="en-ZA" w:eastAsia="en-ZA"/>
        </w:rPr>
        <w:t xml:space="preserve">structures critical to implementation of the Scheme. The Department will in 2016/17 seek approval of the model after the Scheme has been piloted. </w:t>
      </w:r>
    </w:p>
    <w:p w:rsidR="00580781" w:rsidRPr="00831A68" w:rsidRDefault="00580781"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rsidR="003D5EA5" w:rsidRPr="00831A68" w:rsidRDefault="00580781"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In terms of 2015/2020 Medium Term Strategic Framework (MTSF) a total of 100 000 youths have to be appointed into Learnership, Internship, and Artisan programmes by 2019. The Department has worked closely with departments to ensure 20 000 target is met. Circulars clarifying the targets, scope and funding sources, applicable legislation and implementation mechanisms were also issued. As at end of March 2016, 26 055 youths were appointed of which 6687 were absorbed as permanent employees by national departments and 19 368 appointed by all nine provinces combined into all programmes.</w:t>
      </w:r>
    </w:p>
    <w:p w:rsidR="003D5EA5" w:rsidRPr="00831A68" w:rsidRDefault="003D5EA5"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rsidR="003D5EA5" w:rsidRPr="00831A68" w:rsidRDefault="003D5EA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Government and Organised Labour concluded a collective agreement in 2015, signed in PSCBC, to establish a Government Employee Housing Scheme (GEHS). According to clause 4.1.3 of the Resolutions7 of 2015 the employer is responsible to operate, administer and manage the GEHS with consideration of Labour as a key partner in the governance of the Scheme. The Department has on an interim measure, established a Project Management Office for the GEHS.  Progress on the implementation of the services of the GEHS is as follows as March 2016 is as follows: Housing Allowance Administration</w:t>
      </w:r>
    </w:p>
    <w:p w:rsidR="003D5EA5" w:rsidRPr="00831A68" w:rsidRDefault="003D5EA5"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housing allowance of R1200 is paid as a monthly contribution to qualifying employees to assist with their costs of their accommodation </w:t>
      </w:r>
    </w:p>
    <w:p w:rsidR="003D5EA5" w:rsidRDefault="003D5EA5"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R300 of the housing allowance for </w:t>
      </w:r>
      <w:r w:rsidR="0008499A" w:rsidRPr="00831A68">
        <w:rPr>
          <w:rFonts w:ascii="Times New Roman" w:hAnsi="Times New Roman"/>
          <w:color w:val="auto"/>
          <w:spacing w:val="0"/>
          <w:sz w:val="24"/>
          <w:szCs w:val="24"/>
          <w:lang w:val="en-ZA" w:eastAsia="en-ZA"/>
        </w:rPr>
        <w:t>Tenants will be saved in the GEHS Saving facility in order to assist employees accumulate a deposit required for buying houses</w:t>
      </w:r>
    </w:p>
    <w:p w:rsidR="00EB3DD2" w:rsidRDefault="00EB3DD2" w:rsidP="00EB3DD2">
      <w:pPr>
        <w:pStyle w:val="ListParagraph"/>
        <w:autoSpaceDE w:val="0"/>
        <w:autoSpaceDN w:val="0"/>
        <w:adjustRightInd w:val="0"/>
        <w:spacing w:line="360" w:lineRule="auto"/>
        <w:jc w:val="both"/>
        <w:rPr>
          <w:rFonts w:ascii="Times New Roman" w:hAnsi="Times New Roman"/>
          <w:color w:val="auto"/>
          <w:spacing w:val="0"/>
          <w:sz w:val="24"/>
          <w:szCs w:val="24"/>
          <w:lang w:val="en-ZA" w:eastAsia="en-ZA"/>
        </w:rPr>
      </w:pPr>
    </w:p>
    <w:p w:rsidR="00873E81" w:rsidRPr="00831A68" w:rsidRDefault="00873E81" w:rsidP="00EB3DD2">
      <w:pPr>
        <w:pStyle w:val="ListParagraph"/>
        <w:autoSpaceDE w:val="0"/>
        <w:autoSpaceDN w:val="0"/>
        <w:adjustRightInd w:val="0"/>
        <w:spacing w:line="360" w:lineRule="auto"/>
        <w:jc w:val="both"/>
        <w:rPr>
          <w:rFonts w:ascii="Times New Roman" w:hAnsi="Times New Roman"/>
          <w:color w:val="auto"/>
          <w:spacing w:val="0"/>
          <w:sz w:val="24"/>
          <w:szCs w:val="24"/>
          <w:lang w:val="en-ZA" w:eastAsia="en-ZA"/>
        </w:rPr>
      </w:pPr>
    </w:p>
    <w:p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(d)</w:t>
      </w:r>
      <w:r w:rsidR="00AF42AE" w:rsidRPr="00831A68">
        <w:rPr>
          <w:rFonts w:ascii="Times New Roman" w:eastAsia="Calibri" w:hAnsi="Times New Roman"/>
          <w:b/>
          <w:sz w:val="24"/>
          <w:szCs w:val="24"/>
          <w:lang w:val="en-US"/>
        </w:rPr>
        <w:t xml:space="preserve"> Programme 4: </w:t>
      </w:r>
      <w:r w:rsidR="0008499A" w:rsidRPr="00831A68">
        <w:rPr>
          <w:rFonts w:ascii="Times New Roman" w:eastAsia="Calibri" w:hAnsi="Times New Roman"/>
          <w:b/>
          <w:sz w:val="24"/>
          <w:szCs w:val="24"/>
          <w:lang w:val="en-US"/>
        </w:rPr>
        <w:t>Government’s Chief Information Officer</w:t>
      </w:r>
    </w:p>
    <w:p w:rsidR="0008499A" w:rsidRPr="00831A68" w:rsidRDefault="0008499A"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this programme is to </w:t>
      </w:r>
      <w:r w:rsidRPr="00831A68">
        <w:rPr>
          <w:rFonts w:ascii="Times New Roman" w:hAnsi="Times New Roman"/>
          <w:color w:val="auto"/>
          <w:spacing w:val="0"/>
          <w:sz w:val="24"/>
          <w:szCs w:val="24"/>
          <w:lang w:val="en-ZA" w:eastAsia="en-ZA"/>
        </w:rPr>
        <w:t>promote and manage the use of ICT’s as a strategic tool in the design and delivery of citizen-centred services within government, by coordinating and consolidating public service ICT policies, strategies, costs, risk assessments, as well as ICT Governance matters.</w:t>
      </w:r>
    </w:p>
    <w:p w:rsidR="00441D0F" w:rsidRPr="00831A68" w:rsidRDefault="00441D0F"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rsidR="0008499A" w:rsidRDefault="00344352"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programme was alloca</w:t>
      </w:r>
      <w:r w:rsidR="0008499A" w:rsidRPr="00831A68">
        <w:rPr>
          <w:rFonts w:ascii="Times New Roman" w:hAnsi="Times New Roman"/>
          <w:color w:val="auto"/>
          <w:spacing w:val="0"/>
          <w:sz w:val="24"/>
          <w:szCs w:val="24"/>
          <w:lang w:val="en-ZA" w:eastAsia="en-ZA"/>
        </w:rPr>
        <w:t xml:space="preserve">ted a final appropriation of R 20 308 </w:t>
      </w:r>
      <w:r w:rsidRPr="00831A68">
        <w:rPr>
          <w:rFonts w:ascii="Times New Roman" w:hAnsi="Times New Roman"/>
          <w:color w:val="auto"/>
          <w:spacing w:val="0"/>
          <w:sz w:val="24"/>
          <w:szCs w:val="24"/>
          <w:lang w:val="en-ZA" w:eastAsia="en-ZA"/>
        </w:rPr>
        <w:t>million and spent R</w:t>
      </w:r>
      <w:r w:rsidR="0008499A" w:rsidRPr="00831A68">
        <w:rPr>
          <w:rFonts w:ascii="Times New Roman" w:hAnsi="Times New Roman"/>
          <w:color w:val="auto"/>
          <w:spacing w:val="0"/>
          <w:sz w:val="24"/>
          <w:szCs w:val="24"/>
          <w:lang w:val="en-ZA" w:eastAsia="en-ZA"/>
        </w:rPr>
        <w:t>20</w:t>
      </w:r>
      <w:r w:rsidR="00913ECD" w:rsidRPr="00831A68">
        <w:rPr>
          <w:rFonts w:ascii="Times New Roman" w:hAnsi="Times New Roman"/>
          <w:color w:val="auto"/>
          <w:spacing w:val="0"/>
          <w:sz w:val="24"/>
          <w:szCs w:val="24"/>
          <w:lang w:val="en-ZA" w:eastAsia="en-ZA"/>
        </w:rPr>
        <w:t>.</w:t>
      </w:r>
      <w:r w:rsidR="00441D0F" w:rsidRPr="00831A68">
        <w:rPr>
          <w:rFonts w:ascii="Times New Roman" w:hAnsi="Times New Roman"/>
          <w:color w:val="auto"/>
          <w:spacing w:val="0"/>
          <w:sz w:val="24"/>
          <w:szCs w:val="24"/>
          <w:lang w:val="en-ZA" w:eastAsia="en-ZA"/>
        </w:rPr>
        <w:t>20</w:t>
      </w:r>
      <w:r w:rsidR="0008499A" w:rsidRPr="00831A68">
        <w:rPr>
          <w:rFonts w:ascii="Times New Roman" w:hAnsi="Times New Roman"/>
          <w:color w:val="auto"/>
          <w:spacing w:val="0"/>
          <w:sz w:val="24"/>
          <w:szCs w:val="24"/>
          <w:lang w:val="en-ZA" w:eastAsia="en-ZA"/>
        </w:rPr>
        <w:t>8</w:t>
      </w:r>
      <w:r w:rsidRPr="00831A68">
        <w:rPr>
          <w:rFonts w:ascii="Times New Roman" w:hAnsi="Times New Roman"/>
          <w:color w:val="auto"/>
          <w:spacing w:val="0"/>
          <w:sz w:val="24"/>
          <w:szCs w:val="24"/>
          <w:lang w:val="en-ZA" w:eastAsia="en-ZA"/>
        </w:rPr>
        <w:t xml:space="preserve"> m</w:t>
      </w:r>
      <w:r w:rsidR="00832DBD" w:rsidRPr="00831A68">
        <w:rPr>
          <w:rFonts w:ascii="Times New Roman" w:hAnsi="Times New Roman"/>
          <w:color w:val="auto"/>
          <w:spacing w:val="0"/>
          <w:sz w:val="24"/>
          <w:szCs w:val="24"/>
          <w:lang w:val="en-ZA" w:eastAsia="en-ZA"/>
        </w:rPr>
        <w:t>illion.</w:t>
      </w:r>
      <w:r w:rsidR="00441D0F" w:rsidRPr="00831A68">
        <w:rPr>
          <w:rFonts w:ascii="Times New Roman" w:hAnsi="Times New Roman"/>
          <w:color w:val="auto"/>
          <w:spacing w:val="0"/>
          <w:sz w:val="24"/>
          <w:szCs w:val="24"/>
          <w:lang w:val="en-ZA" w:eastAsia="en-ZA"/>
        </w:rPr>
        <w:t xml:space="preserve"> </w:t>
      </w:r>
      <w:r w:rsidR="0008499A" w:rsidRPr="00831A68">
        <w:rPr>
          <w:rFonts w:ascii="Times New Roman" w:hAnsi="Times New Roman"/>
          <w:sz w:val="24"/>
          <w:szCs w:val="24"/>
        </w:rPr>
        <w:t xml:space="preserve">Targets were all achieved under this programme. In </w:t>
      </w:r>
      <w:r w:rsidR="004F2CF6" w:rsidRPr="00831A68">
        <w:rPr>
          <w:rFonts w:ascii="Times New Roman" w:hAnsi="Times New Roman"/>
          <w:color w:val="auto"/>
          <w:spacing w:val="0"/>
          <w:sz w:val="24"/>
          <w:szCs w:val="24"/>
          <w:lang w:val="en-ZA" w:eastAsia="en-ZA"/>
        </w:rPr>
        <w:t>address</w:t>
      </w:r>
      <w:r w:rsidR="0008499A" w:rsidRPr="00831A68">
        <w:rPr>
          <w:rFonts w:ascii="Times New Roman" w:hAnsi="Times New Roman"/>
          <w:color w:val="auto"/>
          <w:spacing w:val="0"/>
          <w:sz w:val="24"/>
          <w:szCs w:val="24"/>
          <w:lang w:val="en-ZA" w:eastAsia="en-ZA"/>
        </w:rPr>
        <w:t>ing</w:t>
      </w:r>
      <w:r w:rsidR="004F2CF6" w:rsidRPr="00831A68">
        <w:rPr>
          <w:rFonts w:ascii="Times New Roman" w:hAnsi="Times New Roman"/>
          <w:color w:val="auto"/>
          <w:spacing w:val="0"/>
          <w:sz w:val="24"/>
          <w:szCs w:val="24"/>
          <w:lang w:val="en-ZA" w:eastAsia="en-ZA"/>
        </w:rPr>
        <w:t xml:space="preserve"> the weakness identified by the Auditor General with respect to the of security of ICT systems within departments, the DPSA has developed e-Enablement Security Guideline which seeks to, amongst others, make the management of the government departments aware of the different areas that impact on ICT (electronic information) security and what means and mechanisms are required to successfully secure their electronic information.</w:t>
      </w:r>
      <w:r w:rsidR="0008499A" w:rsidRPr="00831A68">
        <w:rPr>
          <w:rFonts w:ascii="Times New Roman" w:hAnsi="Times New Roman"/>
          <w:sz w:val="24"/>
          <w:szCs w:val="24"/>
        </w:rPr>
        <w:t xml:space="preserve"> </w:t>
      </w:r>
      <w:r w:rsidR="0008499A" w:rsidRPr="00831A68">
        <w:rPr>
          <w:rFonts w:ascii="Times New Roman" w:hAnsi="Times New Roman"/>
          <w:color w:val="auto"/>
          <w:spacing w:val="0"/>
          <w:sz w:val="24"/>
          <w:szCs w:val="24"/>
          <w:lang w:val="en-ZA" w:eastAsia="en-ZA"/>
        </w:rPr>
        <w:t xml:space="preserve">The Guidelines were endorsed by the GITOC on the 9th of February 2016. </w:t>
      </w:r>
    </w:p>
    <w:p w:rsidR="00831A68" w:rsidRPr="00831A68" w:rsidRDefault="00831A68" w:rsidP="0008499A">
      <w:pPr>
        <w:autoSpaceDE w:val="0"/>
        <w:autoSpaceDN w:val="0"/>
        <w:adjustRightInd w:val="0"/>
        <w:spacing w:line="360" w:lineRule="auto"/>
        <w:jc w:val="both"/>
        <w:rPr>
          <w:rFonts w:ascii="Times New Roman" w:hAnsi="Times New Roman"/>
          <w:color w:val="auto"/>
          <w:spacing w:val="0"/>
          <w:sz w:val="24"/>
          <w:szCs w:val="24"/>
          <w:lang w:val="en-ZA" w:eastAsia="en-ZA"/>
        </w:rPr>
      </w:pPr>
    </w:p>
    <w:p w:rsidR="0008499A" w:rsidRPr="00831A68" w:rsidRDefault="004F2CF6" w:rsidP="0008499A">
      <w:pPr>
        <w:autoSpaceDE w:val="0"/>
        <w:autoSpaceDN w:val="0"/>
        <w:adjustRightInd w:val="0"/>
        <w:spacing w:line="360" w:lineRule="auto"/>
        <w:jc w:val="both"/>
        <w:rPr>
          <w:rFonts w:ascii="Times New Roman" w:hAnsi="Times New Roman"/>
          <w:sz w:val="24"/>
          <w:szCs w:val="24"/>
          <w:lang w:val="en-ZA"/>
        </w:rPr>
      </w:pPr>
      <w:r w:rsidRPr="00831A68">
        <w:rPr>
          <w:rFonts w:ascii="Times New Roman" w:hAnsi="Times New Roman"/>
          <w:sz w:val="24"/>
          <w:szCs w:val="24"/>
          <w:lang w:val="en-ZA"/>
        </w:rPr>
        <w:t xml:space="preserve">To reduce the high costs at which government is currently procuring ICT products and services, the DPSA has developed Policy Guidelines on Leveraging government’s ICT buying muscle which are aimed at enabling government to procure ICT products and services at more competitive and cost effective prices by using the collective purchasing power of departments and public bodies, at the same time promoting competitive bidding. </w:t>
      </w:r>
    </w:p>
    <w:p w:rsidR="00397E99" w:rsidRPr="00831A68" w:rsidRDefault="00397E99" w:rsidP="0008499A">
      <w:pPr>
        <w:autoSpaceDE w:val="0"/>
        <w:autoSpaceDN w:val="0"/>
        <w:adjustRightInd w:val="0"/>
        <w:spacing w:line="360" w:lineRule="auto"/>
        <w:jc w:val="both"/>
        <w:rPr>
          <w:rFonts w:ascii="Times New Roman" w:hAnsi="Times New Roman"/>
          <w:sz w:val="24"/>
          <w:szCs w:val="24"/>
        </w:rPr>
      </w:pPr>
    </w:p>
    <w:p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(e)</w:t>
      </w:r>
      <w:r w:rsidR="00AF42AE" w:rsidRPr="00831A68">
        <w:rPr>
          <w:rFonts w:ascii="Times New Roman" w:eastAsia="Calibri" w:hAnsi="Times New Roman"/>
          <w:b/>
          <w:sz w:val="24"/>
          <w:szCs w:val="24"/>
          <w:lang w:val="en-US"/>
        </w:rPr>
        <w:t xml:space="preserve"> Programme 5: Service Delivery </w:t>
      </w:r>
      <w:r w:rsidR="00397E99" w:rsidRPr="00831A68">
        <w:rPr>
          <w:rFonts w:ascii="Times New Roman" w:eastAsia="Calibri" w:hAnsi="Times New Roman"/>
          <w:b/>
          <w:sz w:val="24"/>
          <w:szCs w:val="24"/>
          <w:lang w:val="en-US"/>
        </w:rPr>
        <w:t>Support</w:t>
      </w:r>
    </w:p>
    <w:p w:rsidR="00344352" w:rsidRPr="00831A68"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this programme is to </w:t>
      </w:r>
      <w:r w:rsidRPr="00831A68">
        <w:rPr>
          <w:rFonts w:ascii="Times New Roman" w:hAnsi="Times New Roman"/>
          <w:color w:val="auto"/>
          <w:spacing w:val="0"/>
          <w:sz w:val="24"/>
          <w:szCs w:val="24"/>
          <w:lang w:val="en-ZA" w:eastAsia="en-ZA"/>
        </w:rPr>
        <w:t>manage and facilitate the improvement of service delivery in government by supporting and monitoring Operations Management and Service Delivery Planning; Front;-line service delivery, including Service centre oversight; integrated citizen participation through African Peer Review Mechanism (APRM), the Open Government Partnership (OGP), as well as the implementation of community development programme.</w:t>
      </w:r>
      <w:r w:rsidR="004C5331" w:rsidRPr="00831A68">
        <w:rPr>
          <w:rFonts w:ascii="Times New Roman" w:hAnsi="Times New Roman"/>
          <w:color w:val="auto"/>
          <w:spacing w:val="0"/>
          <w:sz w:val="24"/>
          <w:szCs w:val="24"/>
          <w:lang w:val="en-ZA" w:eastAsia="en-ZA"/>
        </w:rPr>
        <w:t xml:space="preserve"> </w:t>
      </w:r>
      <w:r w:rsidR="00344352" w:rsidRPr="00831A68">
        <w:rPr>
          <w:rFonts w:ascii="Times New Roman" w:hAnsi="Times New Roman"/>
          <w:color w:val="auto"/>
          <w:spacing w:val="0"/>
          <w:sz w:val="24"/>
          <w:szCs w:val="24"/>
          <w:lang w:val="en-ZA" w:eastAsia="en-ZA"/>
        </w:rPr>
        <w:t>The programme was allocated a final appropriatio</w:t>
      </w:r>
      <w:r w:rsidR="00441D0F" w:rsidRPr="00831A68">
        <w:rPr>
          <w:rFonts w:ascii="Times New Roman" w:hAnsi="Times New Roman"/>
          <w:color w:val="auto"/>
          <w:spacing w:val="0"/>
          <w:sz w:val="24"/>
          <w:szCs w:val="24"/>
          <w:lang w:val="en-ZA" w:eastAsia="en-ZA"/>
        </w:rPr>
        <w:t>n of</w:t>
      </w:r>
      <w:r w:rsidRPr="00831A68">
        <w:rPr>
          <w:rFonts w:ascii="Times New Roman" w:hAnsi="Times New Roman"/>
          <w:color w:val="auto"/>
          <w:spacing w:val="0"/>
          <w:sz w:val="24"/>
          <w:szCs w:val="24"/>
          <w:lang w:val="en-ZA" w:eastAsia="en-ZA"/>
        </w:rPr>
        <w:t xml:space="preserve"> R61</w:t>
      </w:r>
      <w:r w:rsidR="00913ECD" w:rsidRPr="00831A68">
        <w:rPr>
          <w:rFonts w:ascii="Times New Roman" w:hAnsi="Times New Roman"/>
          <w:color w:val="auto"/>
          <w:spacing w:val="0"/>
          <w:sz w:val="24"/>
          <w:szCs w:val="24"/>
          <w:lang w:val="en-ZA" w:eastAsia="en-ZA"/>
        </w:rPr>
        <w:t>.</w:t>
      </w:r>
      <w:r w:rsidRPr="00831A68">
        <w:rPr>
          <w:rFonts w:ascii="Times New Roman" w:hAnsi="Times New Roman"/>
          <w:color w:val="auto"/>
          <w:spacing w:val="0"/>
          <w:sz w:val="24"/>
          <w:szCs w:val="24"/>
          <w:lang w:val="en-ZA" w:eastAsia="en-ZA"/>
        </w:rPr>
        <w:t>809</w:t>
      </w:r>
      <w:r w:rsidR="00441D0F" w:rsidRPr="00831A68">
        <w:rPr>
          <w:rFonts w:ascii="Times New Roman" w:hAnsi="Times New Roman"/>
          <w:color w:val="auto"/>
          <w:spacing w:val="0"/>
          <w:sz w:val="24"/>
          <w:szCs w:val="24"/>
          <w:lang w:val="en-ZA" w:eastAsia="en-ZA"/>
        </w:rPr>
        <w:t xml:space="preserve"> million and spent R</w:t>
      </w:r>
      <w:r w:rsidRPr="00831A68">
        <w:rPr>
          <w:rFonts w:ascii="Times New Roman" w:hAnsi="Times New Roman"/>
          <w:color w:val="auto"/>
          <w:spacing w:val="0"/>
          <w:sz w:val="24"/>
          <w:szCs w:val="24"/>
          <w:lang w:val="en-ZA" w:eastAsia="en-ZA"/>
        </w:rPr>
        <w:t>61</w:t>
      </w:r>
      <w:r w:rsidR="00913ECD" w:rsidRPr="00831A68">
        <w:rPr>
          <w:rFonts w:ascii="Times New Roman" w:hAnsi="Times New Roman"/>
          <w:color w:val="auto"/>
          <w:spacing w:val="0"/>
          <w:sz w:val="24"/>
          <w:szCs w:val="24"/>
          <w:lang w:val="en-ZA" w:eastAsia="en-ZA"/>
        </w:rPr>
        <w:t>.</w:t>
      </w:r>
      <w:r w:rsidRPr="00831A68">
        <w:rPr>
          <w:rFonts w:ascii="Times New Roman" w:hAnsi="Times New Roman"/>
          <w:color w:val="auto"/>
          <w:spacing w:val="0"/>
          <w:sz w:val="24"/>
          <w:szCs w:val="24"/>
          <w:lang w:val="en-ZA" w:eastAsia="en-ZA"/>
        </w:rPr>
        <w:t>719</w:t>
      </w:r>
      <w:r w:rsidR="00344352" w:rsidRPr="00831A68">
        <w:rPr>
          <w:rFonts w:ascii="Times New Roman" w:hAnsi="Times New Roman"/>
          <w:color w:val="auto"/>
          <w:spacing w:val="0"/>
          <w:sz w:val="24"/>
          <w:szCs w:val="24"/>
          <w:lang w:val="en-ZA" w:eastAsia="en-ZA"/>
        </w:rPr>
        <w:t xml:space="preserve"> million, which is an estimated </w:t>
      </w:r>
      <w:r w:rsidR="00302A18" w:rsidRPr="00831A68">
        <w:rPr>
          <w:rFonts w:ascii="Times New Roman" w:hAnsi="Times New Roman"/>
          <w:color w:val="auto"/>
          <w:spacing w:val="0"/>
          <w:sz w:val="24"/>
          <w:szCs w:val="24"/>
          <w:lang w:val="en-ZA" w:eastAsia="en-ZA"/>
        </w:rPr>
        <w:t xml:space="preserve">as </w:t>
      </w:r>
      <w:r w:rsidR="00344352" w:rsidRPr="00831A68">
        <w:rPr>
          <w:rFonts w:ascii="Times New Roman" w:hAnsi="Times New Roman"/>
          <w:color w:val="auto"/>
          <w:spacing w:val="0"/>
          <w:sz w:val="24"/>
          <w:szCs w:val="24"/>
          <w:lang w:val="en-ZA" w:eastAsia="en-ZA"/>
        </w:rPr>
        <w:t>99.</w:t>
      </w:r>
      <w:r w:rsidRPr="00831A68">
        <w:rPr>
          <w:rFonts w:ascii="Times New Roman" w:hAnsi="Times New Roman"/>
          <w:color w:val="auto"/>
          <w:spacing w:val="0"/>
          <w:sz w:val="24"/>
          <w:szCs w:val="24"/>
          <w:lang w:val="en-ZA" w:eastAsia="en-ZA"/>
        </w:rPr>
        <w:t>9</w:t>
      </w:r>
      <w:r w:rsidR="00344352"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 xml:space="preserve">Targets were 100% met.  </w:t>
      </w:r>
    </w:p>
    <w:p w:rsidR="00397E99" w:rsidRPr="00831A68"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rsidR="004E734F" w:rsidRPr="00831A68" w:rsidRDefault="00397E99" w:rsidP="007152F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Department is required to provide technical support through workshops to prioritised departments in the mapping of business process and development of Standard Operating Procedures. </w:t>
      </w:r>
      <w:r w:rsidR="007466A0" w:rsidRPr="00831A68">
        <w:rPr>
          <w:rFonts w:ascii="Times New Roman" w:hAnsi="Times New Roman"/>
          <w:color w:val="auto"/>
          <w:spacing w:val="0"/>
          <w:sz w:val="24"/>
          <w:szCs w:val="24"/>
          <w:lang w:val="en-ZA" w:eastAsia="en-ZA"/>
        </w:rPr>
        <w:t>The department supported to develop Business Processes, Standard Operating Procedures for t</w:t>
      </w:r>
      <w:r w:rsidR="004F2CF6" w:rsidRPr="00831A68">
        <w:rPr>
          <w:rFonts w:ascii="Times New Roman" w:hAnsi="Times New Roman"/>
          <w:color w:val="auto"/>
          <w:spacing w:val="0"/>
          <w:sz w:val="24"/>
          <w:szCs w:val="24"/>
          <w:lang w:val="en-ZA" w:eastAsia="en-ZA"/>
        </w:rPr>
        <w:t xml:space="preserve">he department of Labour and its entities, Provincial departments of Social Development in the Eastern Cape, Free State and North West; and Provincial departments of Transport in the Eastern Cape and KwaZulu-Natal </w:t>
      </w:r>
      <w:r w:rsidR="007152F9" w:rsidRPr="00831A68">
        <w:rPr>
          <w:rFonts w:ascii="Times New Roman" w:hAnsi="Times New Roman"/>
          <w:color w:val="auto"/>
          <w:spacing w:val="0"/>
          <w:sz w:val="24"/>
          <w:szCs w:val="24"/>
          <w:lang w:val="en-ZA" w:eastAsia="en-ZA"/>
        </w:rPr>
        <w:t>provinces. In 2016/17 financial year, the Department</w:t>
      </w:r>
      <w:r w:rsidR="004F2CF6" w:rsidRPr="00831A68">
        <w:rPr>
          <w:rFonts w:ascii="Times New Roman" w:hAnsi="Times New Roman"/>
          <w:color w:val="auto"/>
          <w:spacing w:val="0"/>
          <w:sz w:val="24"/>
          <w:szCs w:val="24"/>
          <w:lang w:val="en-ZA" w:eastAsia="en-ZA"/>
        </w:rPr>
        <w:t xml:space="preserve"> will commence with the monitoring of improvements made in the delivery of services as a result of the implementation of the above mentioned department’s business processes.</w:t>
      </w:r>
    </w:p>
    <w:p w:rsidR="00397E99" w:rsidRPr="00831A68" w:rsidRDefault="00397E99"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p>
    <w:p w:rsidR="004E734F" w:rsidRPr="00831A68" w:rsidRDefault="004F2CF6"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During the 2015/16 Financial Year, the DPSA requested all 162 departments to provide progress on the development and implementation Business Processes and Standard Operating Procedures to as Guided by the Operations Management Framework.</w:t>
      </w:r>
      <w:r w:rsidR="00397E99" w:rsidRPr="00831A68">
        <w:rPr>
          <w:rFonts w:ascii="Times New Roman" w:hAnsi="Times New Roman"/>
          <w:color w:val="auto"/>
          <w:spacing w:val="0"/>
          <w:sz w:val="24"/>
          <w:szCs w:val="24"/>
          <w:lang w:val="en-ZA" w:eastAsia="en-ZA"/>
        </w:rPr>
        <w:t xml:space="preserve"> 100 departments (</w:t>
      </w:r>
      <w:r w:rsidRPr="00831A68">
        <w:rPr>
          <w:rFonts w:ascii="Times New Roman" w:hAnsi="Times New Roman"/>
          <w:color w:val="auto"/>
          <w:spacing w:val="0"/>
          <w:sz w:val="24"/>
          <w:szCs w:val="24"/>
          <w:lang w:val="en-ZA" w:eastAsia="en-ZA"/>
        </w:rPr>
        <w:t>and improvement of 21% from the 2014/15 financial year) submitted reports which indicate that;</w:t>
      </w:r>
      <w:r w:rsidR="00397E99" w:rsidRPr="00831A68">
        <w:rPr>
          <w:rFonts w:ascii="Times New Roman" w:hAnsi="Times New Roman"/>
          <w:color w:val="auto"/>
          <w:spacing w:val="0"/>
          <w:sz w:val="24"/>
          <w:szCs w:val="24"/>
          <w:lang w:val="en-ZA" w:eastAsia="en-ZA"/>
        </w:rPr>
        <w:t xml:space="preserve"> d</w:t>
      </w:r>
      <w:r w:rsidRPr="00831A68">
        <w:rPr>
          <w:rFonts w:ascii="Times New Roman" w:hAnsi="Times New Roman"/>
          <w:color w:val="auto"/>
          <w:spacing w:val="0"/>
          <w:sz w:val="24"/>
          <w:szCs w:val="24"/>
          <w:lang w:val="en-ZA" w:eastAsia="en-ZA"/>
        </w:rPr>
        <w:t>epartments do have the capacity to implemented Operations Management;</w:t>
      </w:r>
      <w:r w:rsidR="00397E99" w:rsidRPr="00831A68">
        <w:rPr>
          <w:rFonts w:ascii="Times New Roman" w:hAnsi="Times New Roman"/>
          <w:color w:val="auto"/>
          <w:spacing w:val="0"/>
          <w:sz w:val="24"/>
          <w:szCs w:val="24"/>
          <w:lang w:val="en-ZA" w:eastAsia="en-ZA"/>
        </w:rPr>
        <w:t xml:space="preserve"> d</w:t>
      </w:r>
      <w:r w:rsidRPr="00831A68">
        <w:rPr>
          <w:rFonts w:ascii="Times New Roman" w:hAnsi="Times New Roman"/>
          <w:color w:val="auto"/>
          <w:spacing w:val="0"/>
          <w:sz w:val="24"/>
          <w:szCs w:val="24"/>
          <w:lang w:val="en-ZA" w:eastAsia="en-ZA"/>
        </w:rPr>
        <w:t xml:space="preserve">epartments have aligned their respective policies, toolkits and implementation plans to the Operations Framework, and </w:t>
      </w:r>
      <w:r w:rsidR="00397E99" w:rsidRPr="00831A68">
        <w:rPr>
          <w:rFonts w:ascii="Times New Roman" w:hAnsi="Times New Roman"/>
          <w:color w:val="auto"/>
          <w:spacing w:val="0"/>
          <w:sz w:val="24"/>
          <w:szCs w:val="24"/>
          <w:lang w:val="en-ZA" w:eastAsia="en-ZA"/>
        </w:rPr>
        <w:t>p</w:t>
      </w:r>
      <w:r w:rsidRPr="00831A68">
        <w:rPr>
          <w:rFonts w:ascii="Times New Roman" w:hAnsi="Times New Roman"/>
          <w:color w:val="auto"/>
          <w:spacing w:val="0"/>
          <w:sz w:val="24"/>
          <w:szCs w:val="24"/>
          <w:lang w:val="en-ZA" w:eastAsia="en-ZA"/>
        </w:rPr>
        <w:t>ockets of excellence with regards to the complete and effective implementation exists in the Eastern Cape, Kwa Zulu Natal, Mpumalanga and the Western</w:t>
      </w:r>
      <w:r w:rsidR="00D0648D">
        <w:rPr>
          <w:rFonts w:ascii="Times New Roman" w:hAnsi="Times New Roman"/>
          <w:color w:val="auto"/>
          <w:spacing w:val="0"/>
          <w:sz w:val="24"/>
          <w:szCs w:val="24"/>
          <w:lang w:val="en-ZA" w:eastAsia="en-ZA"/>
        </w:rPr>
        <w:t xml:space="preserve"> Cape Provinces</w:t>
      </w:r>
      <w:r w:rsidR="00397E99" w:rsidRPr="00831A68">
        <w:rPr>
          <w:rFonts w:ascii="Times New Roman" w:hAnsi="Times New Roman"/>
          <w:color w:val="auto"/>
          <w:spacing w:val="0"/>
          <w:sz w:val="24"/>
          <w:szCs w:val="24"/>
          <w:lang w:val="en-ZA" w:eastAsia="en-ZA"/>
        </w:rPr>
        <w:t xml:space="preserve">. </w:t>
      </w:r>
    </w:p>
    <w:p w:rsidR="00397E99" w:rsidRPr="00831A68"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rsidR="007152F9" w:rsidRPr="00831A68" w:rsidRDefault="00061830" w:rsidP="007152F9">
      <w:pPr>
        <w:spacing w:line="360" w:lineRule="auto"/>
        <w:jc w:val="both"/>
        <w:rPr>
          <w:rFonts w:ascii="Times New Roman" w:hAnsi="Times New Roman"/>
          <w:b/>
          <w:sz w:val="24"/>
          <w:szCs w:val="24"/>
          <w:lang w:val="en-US"/>
        </w:rPr>
      </w:pPr>
      <w:r w:rsidRPr="00831A68">
        <w:rPr>
          <w:rFonts w:ascii="Times New Roman" w:eastAsia="Calibri" w:hAnsi="Times New Roman"/>
          <w:b/>
          <w:sz w:val="24"/>
          <w:szCs w:val="24"/>
          <w:lang w:val="en-US"/>
        </w:rPr>
        <w:t>(f)</w:t>
      </w:r>
      <w:r w:rsidR="00AF42AE" w:rsidRPr="00831A68">
        <w:rPr>
          <w:rFonts w:ascii="Times New Roman" w:eastAsia="Calibri" w:hAnsi="Times New Roman"/>
          <w:b/>
          <w:sz w:val="24"/>
          <w:szCs w:val="24"/>
          <w:lang w:val="en-US"/>
        </w:rPr>
        <w:t xml:space="preserve"> Programme 6: </w:t>
      </w:r>
      <w:r w:rsidR="007152F9" w:rsidRPr="00831A68">
        <w:rPr>
          <w:rFonts w:ascii="Times New Roman" w:hAnsi="Times New Roman"/>
          <w:b/>
          <w:sz w:val="24"/>
          <w:szCs w:val="24"/>
          <w:lang w:val="en-US"/>
        </w:rPr>
        <w:t>Governance for Public Administration</w:t>
      </w:r>
    </w:p>
    <w:p w:rsidR="00E066F4" w:rsidRPr="00831A68" w:rsidRDefault="007152F9" w:rsidP="007152F9">
      <w:p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lang w:val="en-US"/>
        </w:rPr>
        <w:t xml:space="preserve">The Department drives this programme to manage and develop policies, strategies and programmes on Public Service ethics, integrity and leadership; intergovernmental relations; macro organization of the state, including organisational design; strategic planning frameworks; as well as, monitor government intervention programmes and Human Resource information systems. </w:t>
      </w:r>
      <w:r w:rsidR="00FB2BDD" w:rsidRPr="00831A68">
        <w:rPr>
          <w:rFonts w:ascii="Times New Roman" w:hAnsi="Times New Roman"/>
          <w:color w:val="auto"/>
          <w:spacing w:val="0"/>
          <w:sz w:val="24"/>
          <w:szCs w:val="24"/>
          <w:lang w:val="en-ZA" w:eastAsia="en-ZA"/>
        </w:rPr>
        <w:t>The programme was alloc</w:t>
      </w:r>
      <w:r w:rsidRPr="00831A68">
        <w:rPr>
          <w:rFonts w:ascii="Times New Roman" w:hAnsi="Times New Roman"/>
          <w:color w:val="auto"/>
          <w:spacing w:val="0"/>
          <w:sz w:val="24"/>
          <w:szCs w:val="24"/>
          <w:lang w:val="en-ZA" w:eastAsia="en-ZA"/>
        </w:rPr>
        <w:t>ated a final appropriation of R44</w:t>
      </w:r>
      <w:r w:rsidR="002F4583" w:rsidRPr="00831A68">
        <w:rPr>
          <w:rFonts w:ascii="Times New Roman" w:hAnsi="Times New Roman"/>
          <w:color w:val="auto"/>
          <w:spacing w:val="0"/>
          <w:sz w:val="24"/>
          <w:szCs w:val="24"/>
          <w:lang w:val="en-ZA" w:eastAsia="en-ZA"/>
        </w:rPr>
        <w:t>.</w:t>
      </w:r>
      <w:r w:rsidR="00FB2BDD"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275</w:t>
      </w:r>
      <w:r w:rsidR="00DA242C" w:rsidRPr="00831A68">
        <w:rPr>
          <w:rFonts w:ascii="Times New Roman" w:hAnsi="Times New Roman"/>
          <w:color w:val="auto"/>
          <w:spacing w:val="0"/>
          <w:sz w:val="24"/>
          <w:szCs w:val="24"/>
          <w:lang w:val="en-ZA" w:eastAsia="en-ZA"/>
        </w:rPr>
        <w:t xml:space="preserve"> million and </w:t>
      </w:r>
      <w:r w:rsidR="00FB2BDD" w:rsidRPr="00831A68">
        <w:rPr>
          <w:rFonts w:ascii="Times New Roman" w:hAnsi="Times New Roman"/>
          <w:color w:val="auto"/>
          <w:spacing w:val="0"/>
          <w:sz w:val="24"/>
          <w:szCs w:val="24"/>
          <w:lang w:val="en-ZA" w:eastAsia="en-ZA"/>
        </w:rPr>
        <w:t>spent</w:t>
      </w:r>
      <w:r w:rsidR="00FB2BDD" w:rsidRPr="00831A68">
        <w:rPr>
          <w:rFonts w:ascii="Times New Roman" w:hAnsi="Times New Roman"/>
          <w:sz w:val="24"/>
          <w:szCs w:val="24"/>
        </w:rPr>
        <w:t xml:space="preserve"> </w:t>
      </w:r>
      <w:r w:rsidRPr="00831A68">
        <w:rPr>
          <w:rFonts w:ascii="Times New Roman" w:hAnsi="Times New Roman"/>
          <w:sz w:val="24"/>
          <w:szCs w:val="24"/>
        </w:rPr>
        <w:t>R44</w:t>
      </w:r>
      <w:r w:rsidR="002F4583" w:rsidRPr="00831A68">
        <w:rPr>
          <w:rFonts w:ascii="Times New Roman" w:hAnsi="Times New Roman"/>
          <w:sz w:val="24"/>
          <w:szCs w:val="24"/>
        </w:rPr>
        <w:t>.</w:t>
      </w:r>
      <w:r w:rsidRPr="00831A68">
        <w:rPr>
          <w:rFonts w:ascii="Times New Roman" w:hAnsi="Times New Roman"/>
          <w:sz w:val="24"/>
          <w:szCs w:val="24"/>
        </w:rPr>
        <w:t>186</w:t>
      </w:r>
      <w:r w:rsidR="0046074A" w:rsidRPr="00831A68">
        <w:rPr>
          <w:rFonts w:ascii="Times New Roman" w:hAnsi="Times New Roman"/>
          <w:sz w:val="24"/>
          <w:szCs w:val="24"/>
        </w:rPr>
        <w:t xml:space="preserve"> million</w:t>
      </w:r>
      <w:r w:rsidR="002F4583" w:rsidRPr="00831A68">
        <w:rPr>
          <w:rFonts w:ascii="Times New Roman" w:hAnsi="Times New Roman"/>
          <w:sz w:val="24"/>
          <w:szCs w:val="24"/>
        </w:rPr>
        <w:t>, which is estimated at</w:t>
      </w:r>
      <w:r w:rsidRPr="00831A68">
        <w:rPr>
          <w:rFonts w:ascii="Times New Roman" w:hAnsi="Times New Roman"/>
          <w:sz w:val="24"/>
          <w:szCs w:val="24"/>
        </w:rPr>
        <w:t xml:space="preserve"> 89</w:t>
      </w:r>
      <w:r w:rsidR="00DA242C" w:rsidRPr="00831A68">
        <w:rPr>
          <w:rFonts w:ascii="Times New Roman" w:hAnsi="Times New Roman"/>
          <w:sz w:val="24"/>
          <w:szCs w:val="24"/>
        </w:rPr>
        <w:t xml:space="preserve">%. </w:t>
      </w:r>
      <w:r w:rsidR="00E066F4" w:rsidRPr="00831A68">
        <w:rPr>
          <w:rFonts w:ascii="Times New Roman" w:hAnsi="Times New Roman"/>
          <w:sz w:val="24"/>
          <w:szCs w:val="24"/>
        </w:rPr>
        <w:t xml:space="preserve">There was </w:t>
      </w:r>
      <w:r w:rsidR="002F4583" w:rsidRPr="00831A68">
        <w:rPr>
          <w:rFonts w:ascii="Times New Roman" w:hAnsi="Times New Roman"/>
          <w:sz w:val="24"/>
          <w:szCs w:val="24"/>
        </w:rPr>
        <w:t>a variance of R</w:t>
      </w:r>
      <w:r w:rsidRPr="00831A68">
        <w:rPr>
          <w:rFonts w:ascii="Times New Roman" w:hAnsi="Times New Roman"/>
          <w:sz w:val="24"/>
          <w:szCs w:val="24"/>
        </w:rPr>
        <w:t xml:space="preserve">89 000. </w:t>
      </w:r>
    </w:p>
    <w:p w:rsidR="007152F9" w:rsidRPr="00831A68" w:rsidRDefault="007152F9" w:rsidP="007152F9">
      <w:pPr>
        <w:autoSpaceDE w:val="0"/>
        <w:autoSpaceDN w:val="0"/>
        <w:adjustRightInd w:val="0"/>
        <w:spacing w:line="360" w:lineRule="auto"/>
        <w:jc w:val="both"/>
        <w:rPr>
          <w:rFonts w:ascii="Times New Roman" w:hAnsi="Times New Roman"/>
          <w:sz w:val="24"/>
          <w:szCs w:val="24"/>
        </w:rPr>
      </w:pPr>
    </w:p>
    <w:p w:rsidR="004E734F" w:rsidRPr="00831A68" w:rsidRDefault="004F2CF6" w:rsidP="007152F9">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Minister for Public Service and Administration issued a Directive on Public Administration and Management Delegations in August 2014. The directive on standardized delegation principles and templates was issued and workshops were held with nationally and the provinces of Limpopo, Northern Cape: Mpumalanga </w:t>
      </w:r>
      <w:r w:rsidR="007152F9" w:rsidRPr="00831A68">
        <w:rPr>
          <w:rFonts w:ascii="Times New Roman" w:hAnsi="Times New Roman"/>
          <w:color w:val="auto"/>
          <w:spacing w:val="0"/>
          <w:sz w:val="24"/>
          <w:szCs w:val="24"/>
          <w:lang w:val="en-ZA" w:eastAsia="en-ZA"/>
        </w:rPr>
        <w:t xml:space="preserve">and </w:t>
      </w:r>
      <w:r w:rsidRPr="00831A68">
        <w:rPr>
          <w:rFonts w:ascii="Times New Roman" w:hAnsi="Times New Roman"/>
          <w:color w:val="auto"/>
          <w:spacing w:val="0"/>
          <w:sz w:val="24"/>
          <w:szCs w:val="24"/>
          <w:lang w:val="en-ZA" w:eastAsia="en-ZA"/>
        </w:rPr>
        <w:t>Eastern Cape.</w:t>
      </w:r>
      <w:r w:rsidR="007152F9"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However, despite support provided by the DPSA, the overall compliance by departments, in the first year of implementing the Directive, is at 44%. Of the 154 Departments assessed; 68 departments (21 National and 47 Provincial departments) complied with delegations. The department is committed to continuing with the provision of support and advice to department to ensure the required improvements in compliance.</w:t>
      </w:r>
    </w:p>
    <w:p w:rsidR="007152F9" w:rsidRPr="00831A68" w:rsidRDefault="007152F9" w:rsidP="007152F9">
      <w:pPr>
        <w:autoSpaceDE w:val="0"/>
        <w:autoSpaceDN w:val="0"/>
        <w:adjustRightInd w:val="0"/>
        <w:spacing w:line="360" w:lineRule="auto"/>
        <w:jc w:val="both"/>
        <w:rPr>
          <w:rFonts w:ascii="Times New Roman" w:hAnsi="Times New Roman"/>
          <w:color w:val="auto"/>
          <w:spacing w:val="0"/>
          <w:sz w:val="24"/>
          <w:szCs w:val="24"/>
          <w:lang w:val="en-ZA" w:eastAsia="en-ZA"/>
        </w:rPr>
      </w:pPr>
    </w:p>
    <w:p w:rsidR="004E734F" w:rsidRPr="00831A68" w:rsidRDefault="007152F9" w:rsidP="007152F9">
      <w:pPr>
        <w:tabs>
          <w:tab w:val="num" w:pos="720"/>
        </w:tabs>
        <w:autoSpaceDE w:val="0"/>
        <w:autoSpaceDN w:val="0"/>
        <w:adjustRightInd w:val="0"/>
        <w:spacing w:line="360" w:lineRule="auto"/>
        <w:jc w:val="both"/>
        <w:rPr>
          <w:rFonts w:ascii="Times New Roman" w:hAnsi="Times New Roman"/>
          <w:sz w:val="24"/>
          <w:szCs w:val="24"/>
          <w:lang w:val="en-ZA"/>
        </w:rPr>
      </w:pPr>
      <w:r w:rsidRPr="00831A68">
        <w:rPr>
          <w:rFonts w:ascii="Times New Roman" w:hAnsi="Times New Roman"/>
          <w:sz w:val="24"/>
          <w:szCs w:val="24"/>
          <w:lang w:val="en-ZA"/>
        </w:rPr>
        <w:t xml:space="preserve">The Department expected to monitor the implementation of the competency assessments practice for the senior management services. As from </w:t>
      </w:r>
      <w:r w:rsidR="004F2CF6" w:rsidRPr="00831A68">
        <w:rPr>
          <w:rFonts w:ascii="Times New Roman" w:hAnsi="Times New Roman"/>
          <w:sz w:val="24"/>
          <w:szCs w:val="24"/>
          <w:lang w:val="en-ZA"/>
        </w:rPr>
        <w:t>1 January 2015 and 31 December 2015, a 100% compliance rate was achieved in both National and Provincial Departments with regards to the implementation of competency assessments for senior managers.</w:t>
      </w:r>
      <w:r w:rsidRPr="00831A68">
        <w:rPr>
          <w:rFonts w:ascii="Times New Roman" w:hAnsi="Times New Roman"/>
          <w:sz w:val="24"/>
          <w:szCs w:val="24"/>
          <w:lang w:val="en-ZA"/>
        </w:rPr>
        <w:t xml:space="preserve"> </w:t>
      </w:r>
      <w:r w:rsidR="004F2CF6" w:rsidRPr="00831A68">
        <w:rPr>
          <w:rFonts w:ascii="Times New Roman" w:hAnsi="Times New Roman"/>
          <w:sz w:val="24"/>
          <w:szCs w:val="24"/>
          <w:lang w:val="en-ZA"/>
        </w:rPr>
        <w:t>The statistics provide</w:t>
      </w:r>
      <w:r w:rsidRPr="00831A68">
        <w:rPr>
          <w:rFonts w:ascii="Times New Roman" w:hAnsi="Times New Roman"/>
          <w:sz w:val="24"/>
          <w:szCs w:val="24"/>
          <w:lang w:val="en-ZA"/>
        </w:rPr>
        <w:t>d</w:t>
      </w:r>
      <w:r w:rsidR="004F2CF6" w:rsidRPr="00831A68">
        <w:rPr>
          <w:rFonts w:ascii="Times New Roman" w:hAnsi="Times New Roman"/>
          <w:sz w:val="24"/>
          <w:szCs w:val="24"/>
          <w:lang w:val="en-ZA"/>
        </w:rPr>
        <w:t xml:space="preserve"> an indication that the level of competence measured has improved between 2014 and 2015 specifically at entry levels into the SMS. The gender distribution has also improved between 2014 and 2015, as the percentage for females assessed increased by 2%.The analysis of the data indicates that Financial Management and People Management and Empowerment competencies pose a challenge to most candidates at all levels. Targeted training on these areas needs to be provided to the SMS.</w:t>
      </w:r>
    </w:p>
    <w:p w:rsidR="0057086A" w:rsidRPr="00831A68" w:rsidRDefault="0057086A" w:rsidP="007152F9">
      <w:pPr>
        <w:tabs>
          <w:tab w:val="num" w:pos="720"/>
        </w:tabs>
        <w:autoSpaceDE w:val="0"/>
        <w:autoSpaceDN w:val="0"/>
        <w:adjustRightInd w:val="0"/>
        <w:spacing w:line="360" w:lineRule="auto"/>
        <w:jc w:val="both"/>
        <w:rPr>
          <w:rFonts w:ascii="Times New Roman" w:hAnsi="Times New Roman"/>
          <w:sz w:val="24"/>
          <w:szCs w:val="24"/>
          <w:lang w:val="en-ZA"/>
        </w:rPr>
      </w:pPr>
    </w:p>
    <w:p w:rsidR="00097BF2" w:rsidRPr="00831A68" w:rsidRDefault="0057086A" w:rsidP="007152F9">
      <w:pPr>
        <w:tabs>
          <w:tab w:val="num" w:pos="720"/>
        </w:tabs>
        <w:autoSpaceDE w:val="0"/>
        <w:autoSpaceDN w:val="0"/>
        <w:adjustRightInd w:val="0"/>
        <w:spacing w:line="360" w:lineRule="auto"/>
        <w:jc w:val="both"/>
        <w:rPr>
          <w:rFonts w:ascii="Times New Roman" w:hAnsi="Times New Roman"/>
          <w:sz w:val="24"/>
          <w:szCs w:val="24"/>
          <w:lang w:val="en-ZA"/>
        </w:rPr>
      </w:pPr>
      <w:r w:rsidRPr="00831A68">
        <w:rPr>
          <w:rFonts w:ascii="Times New Roman" w:hAnsi="Times New Roman"/>
          <w:sz w:val="24"/>
          <w:szCs w:val="24"/>
          <w:lang w:val="en-ZA"/>
        </w:rPr>
        <w:t xml:space="preserve">Chapter 3 of the Public Service Regulations which provides for the revised and electronic submission of disclosure of financial interests has been revised. A revised determination was drafted to address conflict of interest arising from public servants doing business with the State. The Public Service Regulations have been amended to prohibit public servants from doing business with the State, which also aligned it with the Public Administration Management Act. </w:t>
      </w:r>
    </w:p>
    <w:p w:rsidR="00097BF2" w:rsidRPr="00831A68" w:rsidRDefault="00097BF2" w:rsidP="007152F9">
      <w:pPr>
        <w:tabs>
          <w:tab w:val="num" w:pos="720"/>
        </w:tabs>
        <w:autoSpaceDE w:val="0"/>
        <w:autoSpaceDN w:val="0"/>
        <w:adjustRightInd w:val="0"/>
        <w:spacing w:line="360" w:lineRule="auto"/>
        <w:jc w:val="both"/>
        <w:rPr>
          <w:rFonts w:ascii="Times New Roman" w:hAnsi="Times New Roman"/>
          <w:sz w:val="24"/>
          <w:szCs w:val="24"/>
          <w:lang w:val="en-ZA"/>
        </w:rPr>
      </w:pPr>
    </w:p>
    <w:p w:rsidR="00270CCC" w:rsidRPr="00831A68" w:rsidRDefault="00A16FE2"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THE </w:t>
      </w:r>
      <w:r w:rsidR="00570FF8" w:rsidRPr="00831A68">
        <w:rPr>
          <w:rFonts w:ascii="Times New Roman" w:eastAsia="Calibri" w:hAnsi="Times New Roman"/>
          <w:b/>
          <w:sz w:val="24"/>
          <w:szCs w:val="24"/>
          <w:lang w:val="en-US"/>
        </w:rPr>
        <w:t>P</w:t>
      </w:r>
      <w:r w:rsidR="00EB4231" w:rsidRPr="00831A68">
        <w:rPr>
          <w:rFonts w:ascii="Times New Roman" w:eastAsia="Calibri" w:hAnsi="Times New Roman"/>
          <w:b/>
          <w:sz w:val="24"/>
          <w:szCs w:val="24"/>
          <w:lang w:val="en-US"/>
        </w:rPr>
        <w:t>UBLIC</w:t>
      </w:r>
      <w:r w:rsidR="00570FF8" w:rsidRPr="00831A68">
        <w:rPr>
          <w:rFonts w:ascii="Times New Roman" w:eastAsia="Calibri" w:hAnsi="Times New Roman"/>
          <w:b/>
          <w:sz w:val="24"/>
          <w:szCs w:val="24"/>
          <w:lang w:val="en-US"/>
        </w:rPr>
        <w:t xml:space="preserve"> S</w:t>
      </w:r>
      <w:r w:rsidR="00EB4231" w:rsidRPr="00831A68">
        <w:rPr>
          <w:rFonts w:ascii="Times New Roman" w:eastAsia="Calibri" w:hAnsi="Times New Roman"/>
          <w:b/>
          <w:sz w:val="24"/>
          <w:szCs w:val="24"/>
          <w:lang w:val="en-US"/>
        </w:rPr>
        <w:t>ERVICE</w:t>
      </w:r>
      <w:r w:rsidR="00570FF8" w:rsidRPr="00831A68">
        <w:rPr>
          <w:rFonts w:ascii="Times New Roman" w:eastAsia="Calibri" w:hAnsi="Times New Roman"/>
          <w:b/>
          <w:sz w:val="24"/>
          <w:szCs w:val="24"/>
          <w:lang w:val="en-US"/>
        </w:rPr>
        <w:t xml:space="preserve"> C</w:t>
      </w:r>
      <w:r w:rsidR="00EB4231" w:rsidRPr="00831A68">
        <w:rPr>
          <w:rFonts w:ascii="Times New Roman" w:eastAsia="Calibri" w:hAnsi="Times New Roman"/>
          <w:b/>
          <w:sz w:val="24"/>
          <w:szCs w:val="24"/>
          <w:lang w:val="en-US"/>
        </w:rPr>
        <w:t>OMMISSION</w:t>
      </w:r>
      <w:r w:rsidR="002F4583" w:rsidRPr="00831A68">
        <w:rPr>
          <w:rFonts w:ascii="Times New Roman" w:eastAsia="Calibri" w:hAnsi="Times New Roman"/>
          <w:b/>
          <w:sz w:val="24"/>
          <w:szCs w:val="24"/>
          <w:lang w:val="en-US"/>
        </w:rPr>
        <w:t xml:space="preserve"> (PSC)</w:t>
      </w:r>
    </w:p>
    <w:p w:rsidR="00176F5C" w:rsidRPr="00831A68" w:rsidRDefault="00270CCC" w:rsidP="00270CCC">
      <w:pPr>
        <w:spacing w:line="360" w:lineRule="auto"/>
        <w:jc w:val="both"/>
        <w:rPr>
          <w:rFonts w:ascii="Times New Roman" w:hAnsi="Times New Roman"/>
          <w:sz w:val="24"/>
          <w:szCs w:val="24"/>
        </w:rPr>
      </w:pPr>
      <w:r w:rsidRPr="00831A68">
        <w:rPr>
          <w:rFonts w:ascii="Times New Roman" w:hAnsi="Times New Roman"/>
          <w:sz w:val="24"/>
          <w:szCs w:val="24"/>
        </w:rPr>
        <w:t>The PSC derives its mandate from Sections 195 and 196 of the Constitution, 1996. Section 195 sets out the values and principles governing public administration, which should be promoted by the PSC</w:t>
      </w:r>
      <w:r w:rsidR="00176F5C" w:rsidRPr="00831A68">
        <w:rPr>
          <w:rFonts w:ascii="Times New Roman" w:hAnsi="Times New Roman"/>
          <w:sz w:val="24"/>
          <w:szCs w:val="24"/>
        </w:rPr>
        <w:t>, as well as powers and functions</w:t>
      </w:r>
      <w:r w:rsidRPr="00831A68">
        <w:rPr>
          <w:rFonts w:ascii="Times New Roman" w:hAnsi="Times New Roman"/>
          <w:sz w:val="24"/>
          <w:szCs w:val="24"/>
        </w:rPr>
        <w:t xml:space="preserve">. </w:t>
      </w:r>
      <w:r w:rsidR="00176F5C" w:rsidRPr="00831A68">
        <w:rPr>
          <w:rFonts w:ascii="Times New Roman" w:hAnsi="Times New Roman"/>
          <w:sz w:val="24"/>
          <w:szCs w:val="24"/>
        </w:rPr>
        <w:t xml:space="preserve">The PSC is required by the Constitution to exercise its powers and to perform its functions without fear, favour or prejudice. The Constitution links the PSC’s independence firmly with its impartiality and no organ of state may interfere with the functioning of the PSC. </w:t>
      </w:r>
      <w:r w:rsidRPr="00831A68">
        <w:rPr>
          <w:rFonts w:ascii="Times New Roman" w:hAnsi="Times New Roman"/>
          <w:sz w:val="24"/>
          <w:szCs w:val="24"/>
        </w:rPr>
        <w:t>The Public Service Commission</w:t>
      </w:r>
      <w:r w:rsidR="002F4583" w:rsidRPr="00831A68">
        <w:rPr>
          <w:rFonts w:ascii="Times New Roman" w:hAnsi="Times New Roman"/>
          <w:sz w:val="24"/>
          <w:szCs w:val="24"/>
        </w:rPr>
        <w:t xml:space="preserve"> </w:t>
      </w:r>
      <w:r w:rsidRPr="00831A68">
        <w:rPr>
          <w:rFonts w:ascii="Times New Roman" w:hAnsi="Times New Roman"/>
          <w:sz w:val="24"/>
          <w:szCs w:val="24"/>
        </w:rPr>
        <w:t>gets its budget through</w:t>
      </w:r>
      <w:r w:rsidR="002F4583" w:rsidRPr="00831A68">
        <w:rPr>
          <w:rFonts w:ascii="Times New Roman" w:hAnsi="Times New Roman"/>
          <w:sz w:val="24"/>
          <w:szCs w:val="24"/>
        </w:rPr>
        <w:t xml:space="preserve"> a</w:t>
      </w:r>
      <w:r w:rsidR="00E5173F" w:rsidRPr="00831A68">
        <w:rPr>
          <w:rFonts w:ascii="Times New Roman" w:hAnsi="Times New Roman"/>
          <w:sz w:val="24"/>
          <w:szCs w:val="24"/>
        </w:rPr>
        <w:t xml:space="preserve"> transfer from the</w:t>
      </w:r>
      <w:r w:rsidRPr="00831A68">
        <w:rPr>
          <w:rFonts w:ascii="Times New Roman" w:hAnsi="Times New Roman"/>
          <w:sz w:val="24"/>
          <w:szCs w:val="24"/>
        </w:rPr>
        <w:t xml:space="preserve"> </w:t>
      </w:r>
      <w:r w:rsidR="008D6E42" w:rsidRPr="00831A68">
        <w:rPr>
          <w:rFonts w:ascii="Times New Roman" w:hAnsi="Times New Roman"/>
          <w:sz w:val="24"/>
          <w:szCs w:val="24"/>
        </w:rPr>
        <w:t>budget vote</w:t>
      </w:r>
      <w:r w:rsidR="00FD2B42" w:rsidRPr="00831A68">
        <w:rPr>
          <w:rFonts w:ascii="Times New Roman" w:hAnsi="Times New Roman"/>
          <w:sz w:val="24"/>
          <w:szCs w:val="24"/>
        </w:rPr>
        <w:t xml:space="preserve"> of the Department of Public Service and Administration. </w:t>
      </w:r>
    </w:p>
    <w:p w:rsidR="00176F5C" w:rsidRPr="00831A68" w:rsidRDefault="00176F5C" w:rsidP="00270CCC">
      <w:pPr>
        <w:spacing w:line="360" w:lineRule="auto"/>
        <w:jc w:val="both"/>
        <w:rPr>
          <w:rFonts w:ascii="Times New Roman" w:hAnsi="Times New Roman"/>
          <w:sz w:val="24"/>
          <w:szCs w:val="24"/>
        </w:rPr>
      </w:pPr>
    </w:p>
    <w:p w:rsidR="00270CCC" w:rsidRDefault="00FD2B42" w:rsidP="00270CCC">
      <w:pPr>
        <w:spacing w:line="360" w:lineRule="auto"/>
        <w:jc w:val="both"/>
        <w:rPr>
          <w:rFonts w:ascii="Times New Roman" w:hAnsi="Times New Roman"/>
          <w:sz w:val="24"/>
          <w:szCs w:val="24"/>
        </w:rPr>
      </w:pPr>
      <w:r w:rsidRPr="00831A68">
        <w:rPr>
          <w:rFonts w:ascii="Times New Roman" w:hAnsi="Times New Roman"/>
          <w:sz w:val="24"/>
          <w:szCs w:val="24"/>
        </w:rPr>
        <w:t xml:space="preserve">The </w:t>
      </w:r>
      <w:r w:rsidR="002F4583" w:rsidRPr="00831A68">
        <w:rPr>
          <w:rFonts w:ascii="Times New Roman" w:hAnsi="Times New Roman"/>
          <w:sz w:val="24"/>
          <w:szCs w:val="24"/>
        </w:rPr>
        <w:t xml:space="preserve">budget </w:t>
      </w:r>
      <w:r w:rsidR="00176F5C" w:rsidRPr="00831A68">
        <w:rPr>
          <w:rFonts w:ascii="Times New Roman" w:hAnsi="Times New Roman"/>
          <w:sz w:val="24"/>
          <w:szCs w:val="24"/>
        </w:rPr>
        <w:t>allocated for 2015/16 financial year w</w:t>
      </w:r>
      <w:r w:rsidR="002F4583" w:rsidRPr="00831A68">
        <w:rPr>
          <w:rFonts w:ascii="Times New Roman" w:hAnsi="Times New Roman"/>
          <w:sz w:val="24"/>
          <w:szCs w:val="24"/>
        </w:rPr>
        <w:t xml:space="preserve">as </w:t>
      </w:r>
      <w:r w:rsidR="001579D4" w:rsidRPr="00831A68">
        <w:rPr>
          <w:rFonts w:ascii="Times New Roman" w:hAnsi="Times New Roman"/>
          <w:sz w:val="24"/>
          <w:szCs w:val="24"/>
        </w:rPr>
        <w:t xml:space="preserve">R229 752 </w:t>
      </w:r>
      <w:r w:rsidR="002F4583" w:rsidRPr="00831A68">
        <w:rPr>
          <w:rFonts w:ascii="Times New Roman" w:hAnsi="Times New Roman"/>
          <w:sz w:val="24"/>
          <w:szCs w:val="24"/>
        </w:rPr>
        <w:t>million and</w:t>
      </w:r>
      <w:r w:rsidR="001579D4" w:rsidRPr="00831A68">
        <w:rPr>
          <w:rFonts w:ascii="Times New Roman" w:hAnsi="Times New Roman"/>
          <w:sz w:val="24"/>
          <w:szCs w:val="24"/>
        </w:rPr>
        <w:t xml:space="preserve"> all monies were</w:t>
      </w:r>
      <w:r w:rsidR="002F4583" w:rsidRPr="00831A68">
        <w:rPr>
          <w:rFonts w:ascii="Times New Roman" w:hAnsi="Times New Roman"/>
          <w:sz w:val="24"/>
          <w:szCs w:val="24"/>
        </w:rPr>
        <w:t xml:space="preserve"> spent</w:t>
      </w:r>
      <w:r w:rsidR="00097BF2" w:rsidRPr="00831A68">
        <w:rPr>
          <w:rFonts w:ascii="Times New Roman" w:hAnsi="Times New Roman"/>
          <w:sz w:val="24"/>
          <w:szCs w:val="24"/>
        </w:rPr>
        <w:t>,</w:t>
      </w:r>
      <w:r w:rsidR="002F4583" w:rsidRPr="00831A68">
        <w:rPr>
          <w:rFonts w:ascii="Times New Roman" w:hAnsi="Times New Roman"/>
          <w:sz w:val="24"/>
          <w:szCs w:val="24"/>
        </w:rPr>
        <w:t xml:space="preserve"> </w:t>
      </w:r>
      <w:r w:rsidR="00097BF2" w:rsidRPr="00831A68">
        <w:rPr>
          <w:rFonts w:ascii="Times New Roman" w:hAnsi="Times New Roman"/>
          <w:sz w:val="24"/>
          <w:szCs w:val="24"/>
        </w:rPr>
        <w:t>which is an estimated of</w:t>
      </w:r>
      <w:r w:rsidR="001579D4" w:rsidRPr="00831A68">
        <w:rPr>
          <w:rFonts w:ascii="Times New Roman" w:hAnsi="Times New Roman"/>
          <w:sz w:val="24"/>
          <w:szCs w:val="24"/>
        </w:rPr>
        <w:t xml:space="preserve"> 100</w:t>
      </w:r>
      <w:r w:rsidRPr="00831A68">
        <w:rPr>
          <w:rFonts w:ascii="Times New Roman" w:hAnsi="Times New Roman"/>
          <w:sz w:val="24"/>
          <w:szCs w:val="24"/>
        </w:rPr>
        <w:t xml:space="preserve">%. </w:t>
      </w:r>
    </w:p>
    <w:p w:rsidR="00EB3DD2" w:rsidRDefault="00EB3DD2" w:rsidP="00270CCC">
      <w:pPr>
        <w:spacing w:line="360" w:lineRule="auto"/>
        <w:jc w:val="both"/>
        <w:rPr>
          <w:rFonts w:ascii="Times New Roman" w:hAnsi="Times New Roman"/>
          <w:sz w:val="24"/>
          <w:szCs w:val="24"/>
        </w:rPr>
      </w:pPr>
    </w:p>
    <w:p w:rsidR="00EB3DD2" w:rsidRDefault="00EB3DD2" w:rsidP="00270CCC">
      <w:pPr>
        <w:spacing w:line="360" w:lineRule="auto"/>
        <w:jc w:val="both"/>
        <w:rPr>
          <w:rFonts w:ascii="Times New Roman" w:hAnsi="Times New Roman"/>
          <w:sz w:val="24"/>
          <w:szCs w:val="24"/>
        </w:rPr>
      </w:pPr>
    </w:p>
    <w:p w:rsidR="00EB3DD2" w:rsidRPr="00831A68" w:rsidRDefault="00EB3DD2" w:rsidP="00270CCC">
      <w:pPr>
        <w:spacing w:line="360" w:lineRule="auto"/>
        <w:jc w:val="both"/>
        <w:rPr>
          <w:rFonts w:ascii="Times New Roman" w:hAnsi="Times New Roman"/>
          <w:sz w:val="24"/>
          <w:szCs w:val="24"/>
        </w:rPr>
      </w:pPr>
    </w:p>
    <w:p w:rsidR="00FD2B42" w:rsidRPr="00831A68" w:rsidRDefault="00FD2B42" w:rsidP="00270CCC">
      <w:pPr>
        <w:spacing w:line="360" w:lineRule="auto"/>
        <w:jc w:val="both"/>
        <w:rPr>
          <w:rFonts w:ascii="Times New Roman" w:hAnsi="Times New Roman"/>
          <w:sz w:val="24"/>
          <w:szCs w:val="24"/>
        </w:rPr>
      </w:pPr>
    </w:p>
    <w:p w:rsidR="00061830" w:rsidRPr="00831A68" w:rsidRDefault="00061830" w:rsidP="00061830">
      <w:pPr>
        <w:pStyle w:val="ListParagraph"/>
        <w:numPr>
          <w:ilvl w:val="2"/>
          <w:numId w:val="1"/>
        </w:numPr>
        <w:spacing w:line="360" w:lineRule="auto"/>
        <w:ind w:left="709" w:hanging="709"/>
        <w:jc w:val="both"/>
        <w:rPr>
          <w:rFonts w:ascii="Times New Roman" w:hAnsi="Times New Roman"/>
          <w:b/>
          <w:sz w:val="24"/>
          <w:szCs w:val="24"/>
        </w:rPr>
      </w:pPr>
      <w:r w:rsidRPr="00831A68">
        <w:rPr>
          <w:rFonts w:ascii="Times New Roman" w:hAnsi="Times New Roman"/>
          <w:b/>
          <w:sz w:val="24"/>
          <w:szCs w:val="24"/>
        </w:rPr>
        <w:t>Programme Performance</w:t>
      </w:r>
    </w:p>
    <w:p w:rsidR="00061830" w:rsidRPr="00831A68" w:rsidRDefault="00061830" w:rsidP="008D3C1B">
      <w:pPr>
        <w:pStyle w:val="ListParagraph"/>
        <w:numPr>
          <w:ilvl w:val="0"/>
          <w:numId w:val="6"/>
        </w:numPr>
        <w:spacing w:line="360" w:lineRule="auto"/>
        <w:ind w:hanging="720"/>
        <w:jc w:val="both"/>
        <w:rPr>
          <w:rFonts w:ascii="Times New Roman" w:hAnsi="Times New Roman"/>
          <w:b/>
          <w:sz w:val="24"/>
          <w:szCs w:val="24"/>
        </w:rPr>
      </w:pPr>
      <w:r w:rsidRPr="00831A68">
        <w:rPr>
          <w:rFonts w:ascii="Times New Roman" w:hAnsi="Times New Roman"/>
          <w:b/>
          <w:sz w:val="24"/>
          <w:szCs w:val="24"/>
        </w:rPr>
        <w:t>Programme 1: Administration</w:t>
      </w:r>
    </w:p>
    <w:p w:rsidR="00061830" w:rsidRPr="00831A68" w:rsidRDefault="00061830" w:rsidP="00061830">
      <w:pPr>
        <w:spacing w:line="360" w:lineRule="auto"/>
        <w:jc w:val="both"/>
        <w:rPr>
          <w:rFonts w:ascii="Times New Roman" w:hAnsi="Times New Roman"/>
          <w:sz w:val="24"/>
          <w:szCs w:val="24"/>
        </w:rPr>
      </w:pPr>
      <w:r w:rsidRPr="00831A68">
        <w:rPr>
          <w:rFonts w:ascii="Times New Roman" w:hAnsi="Times New Roman"/>
          <w:sz w:val="24"/>
          <w:szCs w:val="24"/>
        </w:rPr>
        <w:t>The main aim of this sub-programme is to provide overall management of the PSC and its Office. The activities of this sub-programme are structured to meet the following objectives</w:t>
      </w:r>
      <w:r w:rsidR="00E5173F" w:rsidRPr="00831A68">
        <w:rPr>
          <w:rFonts w:ascii="Times New Roman" w:hAnsi="Times New Roman"/>
          <w:sz w:val="24"/>
          <w:szCs w:val="24"/>
        </w:rPr>
        <w:t>:</w:t>
      </w:r>
      <w:r w:rsidRPr="00831A68">
        <w:rPr>
          <w:rFonts w:ascii="Times New Roman" w:hAnsi="Times New Roman"/>
          <w:sz w:val="24"/>
          <w:szCs w:val="24"/>
        </w:rPr>
        <w:t xml:space="preserve"> assisting the Head of Department with the delivery of functions and responsibilities assigned</w:t>
      </w:r>
      <w:r w:rsidR="00E5173F" w:rsidRPr="00831A68">
        <w:rPr>
          <w:rFonts w:ascii="Times New Roman" w:hAnsi="Times New Roman"/>
          <w:sz w:val="24"/>
          <w:szCs w:val="24"/>
        </w:rPr>
        <w:t xml:space="preserve"> either by legislation, providing</w:t>
      </w:r>
      <w:r w:rsidRPr="00831A68">
        <w:rPr>
          <w:rFonts w:ascii="Times New Roman" w:hAnsi="Times New Roman"/>
          <w:sz w:val="24"/>
          <w:szCs w:val="24"/>
        </w:rPr>
        <w:t xml:space="preserve"> strategic support and a</w:t>
      </w:r>
      <w:r w:rsidR="00E5173F" w:rsidRPr="00831A68">
        <w:rPr>
          <w:rFonts w:ascii="Times New Roman" w:hAnsi="Times New Roman"/>
          <w:sz w:val="24"/>
          <w:szCs w:val="24"/>
        </w:rPr>
        <w:t>dministrative services, providing</w:t>
      </w:r>
      <w:r w:rsidRPr="00831A68">
        <w:rPr>
          <w:rFonts w:ascii="Times New Roman" w:hAnsi="Times New Roman"/>
          <w:sz w:val="24"/>
          <w:szCs w:val="24"/>
        </w:rPr>
        <w:t xml:space="preserve"> continuous and adequate support service to the PSC and its Office towards achieving its strategic and operational objectives.</w:t>
      </w:r>
    </w:p>
    <w:p w:rsidR="00061830" w:rsidRPr="00831A68" w:rsidRDefault="00061830" w:rsidP="00061830">
      <w:pPr>
        <w:spacing w:line="360" w:lineRule="auto"/>
        <w:jc w:val="both"/>
        <w:rPr>
          <w:rFonts w:ascii="Times New Roman" w:hAnsi="Times New Roman"/>
          <w:sz w:val="24"/>
          <w:szCs w:val="24"/>
        </w:rPr>
      </w:pPr>
    </w:p>
    <w:p w:rsidR="008738DF" w:rsidRPr="00831A68" w:rsidRDefault="006A2014" w:rsidP="008738DF">
      <w:pPr>
        <w:kinsoku w:val="0"/>
        <w:overflowPunct w:val="0"/>
        <w:spacing w:line="360" w:lineRule="auto"/>
        <w:jc w:val="both"/>
        <w:textAlignment w:val="baseline"/>
        <w:rPr>
          <w:rFonts w:ascii="Times New Roman" w:hAnsi="Times New Roman"/>
          <w:color w:val="auto"/>
          <w:spacing w:val="0"/>
          <w:sz w:val="24"/>
          <w:szCs w:val="24"/>
          <w:lang w:val="en-ZA" w:eastAsia="en-ZA"/>
        </w:rPr>
      </w:pPr>
      <w:r w:rsidRPr="00831A68">
        <w:rPr>
          <w:rFonts w:ascii="Times New Roman" w:hAnsi="Times New Roman"/>
          <w:sz w:val="24"/>
          <w:szCs w:val="24"/>
        </w:rPr>
        <w:t>The p</w:t>
      </w:r>
      <w:r w:rsidR="00E5173F" w:rsidRPr="00831A68">
        <w:rPr>
          <w:rFonts w:ascii="Times New Roman" w:hAnsi="Times New Roman"/>
          <w:sz w:val="24"/>
          <w:szCs w:val="24"/>
        </w:rPr>
        <w:t>rogramme was allocated R10</w:t>
      </w:r>
      <w:r w:rsidR="008738DF" w:rsidRPr="00831A68">
        <w:rPr>
          <w:rFonts w:ascii="Times New Roman" w:hAnsi="Times New Roman"/>
          <w:sz w:val="24"/>
          <w:szCs w:val="24"/>
        </w:rPr>
        <w:t>8.167</w:t>
      </w:r>
      <w:r w:rsidR="00E5173F" w:rsidRPr="00831A68">
        <w:rPr>
          <w:rFonts w:ascii="Times New Roman" w:hAnsi="Times New Roman"/>
          <w:sz w:val="24"/>
          <w:szCs w:val="24"/>
        </w:rPr>
        <w:t xml:space="preserve"> million and spent R107.</w:t>
      </w:r>
      <w:r w:rsidR="008738DF" w:rsidRPr="00831A68">
        <w:rPr>
          <w:rFonts w:ascii="Times New Roman" w:hAnsi="Times New Roman"/>
          <w:sz w:val="24"/>
          <w:szCs w:val="24"/>
        </w:rPr>
        <w:t>947</w:t>
      </w:r>
      <w:r w:rsidR="008D6E42" w:rsidRPr="00831A68">
        <w:rPr>
          <w:rFonts w:ascii="Times New Roman" w:hAnsi="Times New Roman"/>
          <w:sz w:val="24"/>
          <w:szCs w:val="24"/>
        </w:rPr>
        <w:t xml:space="preserve"> million, which was 99.8% </w:t>
      </w:r>
      <w:r w:rsidR="006B72EF" w:rsidRPr="00831A68">
        <w:rPr>
          <w:rFonts w:ascii="Times New Roman" w:hAnsi="Times New Roman"/>
          <w:sz w:val="24"/>
          <w:szCs w:val="24"/>
        </w:rPr>
        <w:t>expenditure</w:t>
      </w:r>
      <w:r w:rsidR="00061830" w:rsidRPr="00831A68">
        <w:rPr>
          <w:rFonts w:ascii="Times New Roman" w:hAnsi="Times New Roman"/>
          <w:sz w:val="24"/>
          <w:szCs w:val="24"/>
        </w:rPr>
        <w:t xml:space="preserve">. </w:t>
      </w:r>
      <w:r w:rsidR="008738DF" w:rsidRPr="00831A68">
        <w:rPr>
          <w:rFonts w:ascii="Times New Roman" w:hAnsi="Times New Roman"/>
          <w:color w:val="000000" w:themeColor="text1"/>
          <w:spacing w:val="0"/>
          <w:kern w:val="24"/>
          <w:sz w:val="24"/>
          <w:szCs w:val="24"/>
          <w:lang w:val="en-ZA" w:eastAsia="en-ZA"/>
        </w:rPr>
        <w:t>Due to financial constraints and the reduction on its budget, the PSC implemented a limited number of projects. Furthermore, the PSC took a decision to delay the filling of certain posts as well as to abolish certain posts in order to generate savings for its operations</w:t>
      </w:r>
      <w:r w:rsidR="008738DF" w:rsidRPr="00831A68">
        <w:rPr>
          <w:rFonts w:ascii="Times New Roman" w:hAnsi="Times New Roman"/>
          <w:color w:val="auto"/>
          <w:spacing w:val="0"/>
          <w:sz w:val="24"/>
          <w:szCs w:val="24"/>
          <w:lang w:val="en-ZA" w:eastAsia="en-ZA"/>
        </w:rPr>
        <w:t xml:space="preserve">. </w:t>
      </w:r>
      <w:r w:rsidR="008738DF" w:rsidRPr="00831A68">
        <w:rPr>
          <w:rFonts w:ascii="Times New Roman" w:hAnsi="Times New Roman"/>
          <w:color w:val="000000" w:themeColor="text1"/>
          <w:spacing w:val="0"/>
          <w:kern w:val="24"/>
          <w:sz w:val="24"/>
          <w:szCs w:val="24"/>
          <w:lang w:val="en-ZA" w:eastAsia="en-ZA"/>
        </w:rPr>
        <w:t xml:space="preserve">The PSC also introduced further cost containment measures in areas such as travelling, which has for example generated savings of an estimated amount of R3 million as compared to the 2014/15 financial year. </w:t>
      </w:r>
    </w:p>
    <w:p w:rsidR="008738DF" w:rsidRPr="00831A68" w:rsidRDefault="008738DF" w:rsidP="009213D0">
      <w:pPr>
        <w:spacing w:line="360" w:lineRule="auto"/>
        <w:jc w:val="both"/>
        <w:rPr>
          <w:rFonts w:ascii="Times New Roman" w:hAnsi="Times New Roman"/>
          <w:sz w:val="24"/>
          <w:szCs w:val="24"/>
        </w:rPr>
      </w:pPr>
    </w:p>
    <w:p w:rsidR="004640E2" w:rsidRDefault="008D6E42" w:rsidP="00613A56">
      <w:pPr>
        <w:spacing w:line="360" w:lineRule="auto"/>
        <w:jc w:val="both"/>
        <w:rPr>
          <w:rFonts w:ascii="Times New Roman" w:hAnsi="Times New Roman"/>
          <w:sz w:val="24"/>
          <w:szCs w:val="24"/>
          <w:lang w:val="en-US"/>
        </w:rPr>
      </w:pPr>
      <w:r w:rsidRPr="00831A68">
        <w:rPr>
          <w:rFonts w:ascii="Times New Roman" w:hAnsi="Times New Roman"/>
          <w:sz w:val="24"/>
          <w:szCs w:val="24"/>
        </w:rPr>
        <w:t>The PSC</w:t>
      </w:r>
      <w:r w:rsidR="009213D0" w:rsidRPr="00831A68">
        <w:rPr>
          <w:rFonts w:ascii="Times New Roman" w:hAnsi="Times New Roman"/>
          <w:sz w:val="24"/>
          <w:szCs w:val="24"/>
        </w:rPr>
        <w:t xml:space="preserve"> develop</w:t>
      </w:r>
      <w:r w:rsidR="006B72EF" w:rsidRPr="00831A68">
        <w:rPr>
          <w:rFonts w:ascii="Times New Roman" w:hAnsi="Times New Roman"/>
          <w:sz w:val="24"/>
          <w:szCs w:val="24"/>
        </w:rPr>
        <w:t xml:space="preserve">ed </w:t>
      </w:r>
      <w:r w:rsidR="00E5173F" w:rsidRPr="00831A68">
        <w:rPr>
          <w:rFonts w:ascii="Times New Roman" w:hAnsi="Times New Roman"/>
          <w:sz w:val="24"/>
          <w:szCs w:val="24"/>
        </w:rPr>
        <w:t xml:space="preserve">a </w:t>
      </w:r>
      <w:r w:rsidR="006B72EF" w:rsidRPr="00831A68">
        <w:rPr>
          <w:rFonts w:ascii="Times New Roman" w:hAnsi="Times New Roman"/>
          <w:sz w:val="24"/>
          <w:szCs w:val="24"/>
        </w:rPr>
        <w:t>three year audit plan</w:t>
      </w:r>
      <w:r w:rsidR="00E94BCD" w:rsidRPr="00831A68">
        <w:rPr>
          <w:rFonts w:ascii="Times New Roman" w:hAnsi="Times New Roman"/>
          <w:sz w:val="24"/>
          <w:szCs w:val="24"/>
        </w:rPr>
        <w:t>, which</w:t>
      </w:r>
      <w:r w:rsidR="006B72EF" w:rsidRPr="00831A68">
        <w:rPr>
          <w:rFonts w:ascii="Times New Roman" w:hAnsi="Times New Roman"/>
          <w:sz w:val="24"/>
          <w:szCs w:val="24"/>
        </w:rPr>
        <w:t xml:space="preserve"> </w:t>
      </w:r>
      <w:r w:rsidR="00E5173F" w:rsidRPr="00831A68">
        <w:rPr>
          <w:rFonts w:ascii="Times New Roman" w:hAnsi="Times New Roman"/>
          <w:sz w:val="24"/>
          <w:szCs w:val="24"/>
        </w:rPr>
        <w:t xml:space="preserve">was reviewed </w:t>
      </w:r>
      <w:r w:rsidR="006B72EF" w:rsidRPr="00831A68">
        <w:rPr>
          <w:rFonts w:ascii="Times New Roman" w:hAnsi="Times New Roman"/>
          <w:sz w:val="24"/>
          <w:szCs w:val="24"/>
        </w:rPr>
        <w:t>and top ten strategic risk</w:t>
      </w:r>
      <w:r w:rsidR="00E94BCD" w:rsidRPr="00831A68">
        <w:rPr>
          <w:rFonts w:ascii="Times New Roman" w:hAnsi="Times New Roman"/>
          <w:sz w:val="24"/>
          <w:szCs w:val="24"/>
        </w:rPr>
        <w:t>s were</w:t>
      </w:r>
      <w:r w:rsidR="00E5173F" w:rsidRPr="00831A68">
        <w:rPr>
          <w:rFonts w:ascii="Times New Roman" w:hAnsi="Times New Roman"/>
          <w:sz w:val="24"/>
          <w:szCs w:val="24"/>
        </w:rPr>
        <w:t xml:space="preserve"> identifi</w:t>
      </w:r>
      <w:r w:rsidR="006B72EF" w:rsidRPr="00831A68">
        <w:rPr>
          <w:rFonts w:ascii="Times New Roman" w:hAnsi="Times New Roman"/>
          <w:sz w:val="24"/>
          <w:szCs w:val="24"/>
        </w:rPr>
        <w:t>ed on a regular basis.</w:t>
      </w:r>
      <w:r w:rsidR="009213D0" w:rsidRPr="00831A68">
        <w:rPr>
          <w:rFonts w:ascii="Times New Roman" w:hAnsi="Times New Roman"/>
          <w:sz w:val="24"/>
          <w:szCs w:val="24"/>
        </w:rPr>
        <w:t xml:space="preserve"> </w:t>
      </w:r>
      <w:r w:rsidR="008738DF" w:rsidRPr="00831A68">
        <w:rPr>
          <w:rFonts w:ascii="Times New Roman" w:hAnsi="Times New Roman"/>
          <w:sz w:val="24"/>
          <w:szCs w:val="24"/>
        </w:rPr>
        <w:t>Internal Audit Coverage Plan was im</w:t>
      </w:r>
      <w:r w:rsidR="00613A56" w:rsidRPr="00831A68">
        <w:rPr>
          <w:rFonts w:ascii="Times New Roman" w:hAnsi="Times New Roman"/>
          <w:sz w:val="24"/>
          <w:szCs w:val="24"/>
        </w:rPr>
        <w:t xml:space="preserve">plemented on an ongoing basis. </w:t>
      </w:r>
      <w:r w:rsidR="004640E2" w:rsidRPr="00831A68">
        <w:rPr>
          <w:rFonts w:ascii="Times New Roman" w:hAnsi="Times New Roman"/>
          <w:sz w:val="24"/>
          <w:szCs w:val="24"/>
          <w:lang w:val="en-US"/>
        </w:rPr>
        <w:t>A successful Joint Public Lecture between the PSC and UNISA on Building a Capable, Career-Oriented and Professional Public Service for a Developmental State as stated in the National Development Plan Vision 2030 was held</w:t>
      </w:r>
      <w:r w:rsidR="00613A56" w:rsidRPr="00831A68">
        <w:rPr>
          <w:rFonts w:ascii="Times New Roman" w:hAnsi="Times New Roman"/>
          <w:sz w:val="24"/>
          <w:szCs w:val="24"/>
          <w:lang w:val="en-US"/>
        </w:rPr>
        <w:t xml:space="preserve">. </w:t>
      </w:r>
      <w:r w:rsidR="004640E2" w:rsidRPr="00831A68">
        <w:rPr>
          <w:rFonts w:ascii="Times New Roman" w:hAnsi="Times New Roman"/>
          <w:sz w:val="24"/>
          <w:szCs w:val="24"/>
          <w:lang w:val="en-US"/>
        </w:rPr>
        <w:t xml:space="preserve">With regards to internal communications, a communiqué by the Director-General, </w:t>
      </w:r>
      <w:r w:rsidR="004640E2" w:rsidRPr="00831A68">
        <w:rPr>
          <w:rFonts w:ascii="Times New Roman" w:hAnsi="Times New Roman"/>
          <w:i/>
          <w:iCs/>
          <w:sz w:val="24"/>
          <w:szCs w:val="24"/>
          <w:lang w:val="en-US"/>
        </w:rPr>
        <w:t>Mafhungo</w:t>
      </w:r>
      <w:r w:rsidR="004640E2" w:rsidRPr="00831A68">
        <w:rPr>
          <w:rFonts w:ascii="Times New Roman" w:hAnsi="Times New Roman"/>
          <w:sz w:val="24"/>
          <w:szCs w:val="24"/>
          <w:lang w:val="en-US"/>
        </w:rPr>
        <w:t xml:space="preserve"> which is aimed at keeping officials abreast of developments in the organisation was issued on a monthly basis. Likewise, bi-annual newsletter</w:t>
      </w:r>
      <w:r w:rsidR="004640E2" w:rsidRPr="00831A68">
        <w:rPr>
          <w:rFonts w:ascii="Times New Roman" w:hAnsi="Times New Roman"/>
          <w:i/>
          <w:iCs/>
          <w:sz w:val="24"/>
          <w:szCs w:val="24"/>
          <w:lang w:val="en-US"/>
        </w:rPr>
        <w:t xml:space="preserve">, Izwi lase </w:t>
      </w:r>
      <w:r w:rsidR="004640E2" w:rsidRPr="00831A68">
        <w:rPr>
          <w:rFonts w:ascii="Times New Roman" w:hAnsi="Times New Roman"/>
          <w:sz w:val="24"/>
          <w:szCs w:val="24"/>
          <w:lang w:val="en-US"/>
        </w:rPr>
        <w:t>OPSC was also issued every second month</w:t>
      </w:r>
      <w:r w:rsidR="00613A56" w:rsidRPr="00831A68">
        <w:rPr>
          <w:rFonts w:ascii="Times New Roman" w:hAnsi="Times New Roman"/>
          <w:sz w:val="24"/>
          <w:szCs w:val="24"/>
          <w:lang w:val="en-US"/>
        </w:rPr>
        <w:t xml:space="preserve">. In order to enhance productivity and the effective utilization of network resources, a network monitoring tool was implemented. </w:t>
      </w:r>
    </w:p>
    <w:p w:rsidR="00D0648D" w:rsidRPr="00831A68" w:rsidRDefault="00D0648D" w:rsidP="00613A56">
      <w:pPr>
        <w:spacing w:line="360" w:lineRule="auto"/>
        <w:jc w:val="both"/>
        <w:rPr>
          <w:rFonts w:ascii="Times New Roman" w:hAnsi="Times New Roman"/>
          <w:sz w:val="24"/>
          <w:szCs w:val="24"/>
          <w:lang w:val="en-US"/>
        </w:rPr>
      </w:pPr>
    </w:p>
    <w:p w:rsidR="009213D0" w:rsidRPr="00831A68" w:rsidRDefault="00061830" w:rsidP="008D3C1B">
      <w:pPr>
        <w:pStyle w:val="ListParagraph"/>
        <w:numPr>
          <w:ilvl w:val="0"/>
          <w:numId w:val="6"/>
        </w:numPr>
        <w:spacing w:line="360" w:lineRule="auto"/>
        <w:ind w:hanging="720"/>
        <w:jc w:val="both"/>
        <w:rPr>
          <w:rFonts w:ascii="Times New Roman" w:hAnsi="Times New Roman"/>
          <w:b/>
          <w:sz w:val="24"/>
          <w:szCs w:val="24"/>
        </w:rPr>
      </w:pPr>
      <w:r w:rsidRPr="00831A68">
        <w:rPr>
          <w:rFonts w:ascii="Times New Roman" w:hAnsi="Times New Roman"/>
          <w:b/>
          <w:sz w:val="24"/>
          <w:szCs w:val="24"/>
        </w:rPr>
        <w:t xml:space="preserve">Programme 2: </w:t>
      </w:r>
      <w:r w:rsidR="009213D0" w:rsidRPr="00831A68">
        <w:rPr>
          <w:rFonts w:ascii="Times New Roman" w:hAnsi="Times New Roman"/>
          <w:b/>
          <w:sz w:val="24"/>
          <w:szCs w:val="24"/>
        </w:rPr>
        <w:t>Leadership and Management Practices</w:t>
      </w:r>
    </w:p>
    <w:p w:rsidR="009213D0" w:rsidRPr="00831A68" w:rsidRDefault="009213D0" w:rsidP="009213D0">
      <w:pPr>
        <w:spacing w:line="360" w:lineRule="auto"/>
        <w:jc w:val="both"/>
        <w:rPr>
          <w:rFonts w:ascii="Times New Roman" w:hAnsi="Times New Roman"/>
          <w:sz w:val="24"/>
          <w:szCs w:val="24"/>
        </w:rPr>
      </w:pPr>
      <w:r w:rsidRPr="00831A68">
        <w:rPr>
          <w:rFonts w:ascii="Times New Roman" w:hAnsi="Times New Roman"/>
          <w:sz w:val="24"/>
          <w:szCs w:val="24"/>
        </w:rPr>
        <w:t xml:space="preserve">The purpose of the Programme is to promote sound public service leadership, human resource management, labour relations and labour practices. The </w:t>
      </w:r>
      <w:r w:rsidR="006B72EF" w:rsidRPr="00831A68">
        <w:rPr>
          <w:rFonts w:ascii="Times New Roman" w:hAnsi="Times New Roman"/>
          <w:sz w:val="24"/>
          <w:szCs w:val="24"/>
        </w:rPr>
        <w:t>budget all</w:t>
      </w:r>
      <w:r w:rsidR="00613A56" w:rsidRPr="00831A68">
        <w:rPr>
          <w:rFonts w:ascii="Times New Roman" w:hAnsi="Times New Roman"/>
          <w:sz w:val="24"/>
          <w:szCs w:val="24"/>
        </w:rPr>
        <w:t>ocated for the programme was R38.308</w:t>
      </w:r>
      <w:r w:rsidR="00E5173F" w:rsidRPr="00831A68">
        <w:rPr>
          <w:rFonts w:ascii="Times New Roman" w:hAnsi="Times New Roman"/>
          <w:sz w:val="24"/>
          <w:szCs w:val="24"/>
        </w:rPr>
        <w:t xml:space="preserve"> mil</w:t>
      </w:r>
      <w:r w:rsidR="00613A56" w:rsidRPr="00831A68">
        <w:rPr>
          <w:rFonts w:ascii="Times New Roman" w:hAnsi="Times New Roman"/>
          <w:sz w:val="24"/>
          <w:szCs w:val="24"/>
        </w:rPr>
        <w:t>lion and the programme spent R38</w:t>
      </w:r>
      <w:r w:rsidR="00E5173F" w:rsidRPr="00831A68">
        <w:rPr>
          <w:rFonts w:ascii="Times New Roman" w:hAnsi="Times New Roman"/>
          <w:sz w:val="24"/>
          <w:szCs w:val="24"/>
        </w:rPr>
        <w:t>.</w:t>
      </w:r>
      <w:r w:rsidR="00613A56" w:rsidRPr="00831A68">
        <w:rPr>
          <w:rFonts w:ascii="Times New Roman" w:hAnsi="Times New Roman"/>
          <w:sz w:val="24"/>
          <w:szCs w:val="24"/>
        </w:rPr>
        <w:t>164</w:t>
      </w:r>
      <w:r w:rsidR="00A540B3" w:rsidRPr="00831A68">
        <w:rPr>
          <w:rFonts w:ascii="Times New Roman" w:hAnsi="Times New Roman"/>
          <w:sz w:val="24"/>
          <w:szCs w:val="24"/>
        </w:rPr>
        <w:t xml:space="preserve"> million. </w:t>
      </w:r>
      <w:r w:rsidRPr="00831A68">
        <w:rPr>
          <w:rFonts w:ascii="Times New Roman" w:hAnsi="Times New Roman"/>
          <w:sz w:val="24"/>
          <w:szCs w:val="24"/>
        </w:rPr>
        <w:t xml:space="preserve"> </w:t>
      </w:r>
    </w:p>
    <w:p w:rsidR="00A540B3" w:rsidRPr="00831A68" w:rsidRDefault="00A540B3" w:rsidP="009213D0">
      <w:pPr>
        <w:spacing w:line="360" w:lineRule="auto"/>
        <w:jc w:val="both"/>
        <w:rPr>
          <w:rFonts w:ascii="Times New Roman" w:hAnsi="Times New Roman"/>
          <w:sz w:val="24"/>
          <w:szCs w:val="24"/>
        </w:rPr>
      </w:pPr>
    </w:p>
    <w:p w:rsidR="00B43AAC" w:rsidRPr="00831A68" w:rsidRDefault="00613A56" w:rsidP="00E807CD">
      <w:pPr>
        <w:spacing w:line="360" w:lineRule="auto"/>
        <w:jc w:val="both"/>
        <w:rPr>
          <w:rFonts w:ascii="Times New Roman" w:hAnsi="Times New Roman"/>
          <w:sz w:val="24"/>
          <w:szCs w:val="24"/>
          <w:lang w:val="en-US"/>
        </w:rPr>
      </w:pPr>
      <w:r w:rsidRPr="00831A68">
        <w:rPr>
          <w:rFonts w:ascii="Times New Roman" w:hAnsi="Times New Roman"/>
          <w:sz w:val="24"/>
          <w:szCs w:val="24"/>
        </w:rPr>
        <w:t xml:space="preserve">Commission received a total of 682 cases on the database of which </w:t>
      </w:r>
      <w:r w:rsidR="00B43AAC" w:rsidRPr="00831A68">
        <w:rPr>
          <w:rFonts w:ascii="Times New Roman" w:hAnsi="Times New Roman"/>
          <w:sz w:val="24"/>
          <w:szCs w:val="24"/>
        </w:rPr>
        <w:t xml:space="preserve">484 grievances were properly lodged and additional 198 received grievances were not properly referred. Of 682 cases received, 605 grievances were finalised. </w:t>
      </w:r>
      <w:r w:rsidR="00B43AAC" w:rsidRPr="00831A68">
        <w:rPr>
          <w:rFonts w:ascii="Times New Roman" w:hAnsi="Times New Roman"/>
          <w:sz w:val="24"/>
          <w:szCs w:val="24"/>
          <w:lang w:val="en-US"/>
        </w:rPr>
        <w:t>The PSC conducted two studies with a specific focus on critical functions that are located within the Department of Justice and Constitutional Development (DoJCD). The studies were designed to assess the effectiveness and efficiency of the Office of the State Attorney and the Office of the Chief State Law Advisor. The two reports were submitted to the Minister for Justice and Correctional Services and the DG for the DoJCD.</w:t>
      </w:r>
    </w:p>
    <w:p w:rsidR="00B43AAC" w:rsidRPr="00831A68" w:rsidRDefault="00B43AAC" w:rsidP="00E807CD">
      <w:pPr>
        <w:spacing w:line="360" w:lineRule="auto"/>
        <w:jc w:val="both"/>
        <w:rPr>
          <w:rFonts w:ascii="Times New Roman" w:hAnsi="Times New Roman"/>
          <w:sz w:val="24"/>
          <w:szCs w:val="24"/>
          <w:lang w:val="en-US"/>
        </w:rPr>
      </w:pPr>
    </w:p>
    <w:p w:rsidR="003B2711" w:rsidRPr="00831A68" w:rsidRDefault="00B43AAC" w:rsidP="003B2711">
      <w:pPr>
        <w:spacing w:line="360" w:lineRule="auto"/>
        <w:jc w:val="both"/>
        <w:rPr>
          <w:rFonts w:ascii="Times New Roman" w:eastAsia="MS Mincho" w:hAnsi="Times New Roman"/>
          <w:color w:val="000000" w:themeColor="text1"/>
          <w:spacing w:val="0"/>
          <w:kern w:val="24"/>
          <w:sz w:val="24"/>
          <w:szCs w:val="24"/>
          <w:lang w:val="en-ZA" w:eastAsia="en-ZA"/>
        </w:rPr>
      </w:pPr>
      <w:r w:rsidRPr="00831A68">
        <w:rPr>
          <w:rFonts w:ascii="Times New Roman" w:hAnsi="Times New Roman"/>
          <w:sz w:val="24"/>
          <w:szCs w:val="24"/>
        </w:rPr>
        <w:t xml:space="preserve">As part of its oversight and monitoring function, </w:t>
      </w:r>
      <w:r w:rsidRPr="00831A68">
        <w:rPr>
          <w:rFonts w:ascii="Times New Roman" w:eastAsia="MS PGothic" w:hAnsi="Times New Roman"/>
          <w:color w:val="000000" w:themeColor="text1"/>
          <w:spacing w:val="0"/>
          <w:kern w:val="24"/>
          <w:sz w:val="24"/>
          <w:szCs w:val="24"/>
          <w:lang w:val="en-US" w:eastAsia="en-ZA"/>
        </w:rPr>
        <w:t xml:space="preserve">the PSC produced a Factsheet on Grievance Resolution in the Public Service for the 2014/15 financial year. </w:t>
      </w:r>
      <w:r w:rsidR="003B2711" w:rsidRPr="00831A68">
        <w:rPr>
          <w:rFonts w:ascii="Times New Roman" w:eastAsia="MS PGothic" w:hAnsi="Times New Roman"/>
          <w:color w:val="000000" w:themeColor="text1"/>
          <w:spacing w:val="0"/>
          <w:kern w:val="24"/>
          <w:sz w:val="24"/>
          <w:szCs w:val="24"/>
          <w:lang w:val="en-US" w:eastAsia="en-ZA"/>
        </w:rPr>
        <w:t xml:space="preserve">In promoting </w:t>
      </w:r>
      <w:r w:rsidR="003B2711" w:rsidRPr="00831A68">
        <w:rPr>
          <w:rFonts w:ascii="Times New Roman" w:eastAsia="MS PGothic" w:hAnsi="Times New Roman"/>
          <w:color w:val="000000" w:themeColor="text1"/>
          <w:kern w:val="24"/>
          <w:sz w:val="24"/>
          <w:szCs w:val="24"/>
          <w:lang w:val="en-US"/>
        </w:rPr>
        <w:t xml:space="preserve">sound labour relations in the Public Service and information sharing with labour relations practitioners and employees in general, the PSC published a Grievance Management Communiqué. </w:t>
      </w:r>
      <w:r w:rsidR="003B2711" w:rsidRPr="00831A68">
        <w:rPr>
          <w:rFonts w:ascii="Times New Roman" w:eastAsia="MS Mincho" w:hAnsi="Times New Roman"/>
          <w:color w:val="000000" w:themeColor="text1"/>
          <w:spacing w:val="0"/>
          <w:kern w:val="24"/>
          <w:sz w:val="24"/>
          <w:szCs w:val="24"/>
          <w:lang w:val="en-ZA" w:eastAsia="en-ZA"/>
        </w:rPr>
        <w:t xml:space="preserve">The PSC continued to monitor compliance with the signing and filing of performance agreements by Heads of Departments (HoDs) and conducted an inquiry into the implementation of the HoD evaluation deviation that was issued by the MPSA. </w:t>
      </w:r>
    </w:p>
    <w:p w:rsidR="003B2711" w:rsidRPr="00831A68" w:rsidRDefault="003B2711" w:rsidP="003B2711">
      <w:pPr>
        <w:spacing w:line="360" w:lineRule="auto"/>
        <w:jc w:val="both"/>
        <w:rPr>
          <w:rFonts w:ascii="Times New Roman" w:eastAsia="MS Mincho" w:hAnsi="Times New Roman"/>
          <w:color w:val="000000" w:themeColor="text1"/>
          <w:spacing w:val="0"/>
          <w:kern w:val="24"/>
          <w:sz w:val="24"/>
          <w:szCs w:val="24"/>
          <w:lang w:val="en-ZA" w:eastAsia="en-ZA"/>
        </w:rPr>
      </w:pPr>
    </w:p>
    <w:p w:rsidR="004640E2" w:rsidRPr="00831A68" w:rsidRDefault="004640E2" w:rsidP="003B2711">
      <w:pPr>
        <w:spacing w:line="360" w:lineRule="auto"/>
        <w:jc w:val="both"/>
        <w:rPr>
          <w:rFonts w:ascii="Times New Roman" w:eastAsia="MS PGothic" w:hAnsi="Times New Roman"/>
          <w:color w:val="000000" w:themeColor="text1"/>
          <w:kern w:val="24"/>
          <w:sz w:val="24"/>
          <w:szCs w:val="24"/>
          <w:lang w:val="en-ZA"/>
        </w:rPr>
      </w:pPr>
      <w:r w:rsidRPr="00831A68">
        <w:rPr>
          <w:rFonts w:ascii="Times New Roman" w:eastAsia="MS PGothic" w:hAnsi="Times New Roman"/>
          <w:color w:val="000000" w:themeColor="text1"/>
          <w:kern w:val="24"/>
          <w:sz w:val="24"/>
          <w:szCs w:val="24"/>
          <w:lang w:val="en-US"/>
        </w:rPr>
        <w:t>An audit was conducted on recruitment and selection processes in the Gauteng Department of Finance and a s</w:t>
      </w:r>
      <w:r w:rsidRPr="00831A68">
        <w:rPr>
          <w:rFonts w:ascii="Times New Roman" w:eastAsia="MS PGothic" w:hAnsi="Times New Roman"/>
          <w:color w:val="000000" w:themeColor="text1"/>
          <w:kern w:val="24"/>
          <w:sz w:val="24"/>
          <w:szCs w:val="24"/>
          <w:lang w:val="en-ZA"/>
        </w:rPr>
        <w:t>kills and competency audit of human resource and financial management senior managers wa</w:t>
      </w:r>
      <w:r w:rsidR="003B2711" w:rsidRPr="00831A68">
        <w:rPr>
          <w:rFonts w:ascii="Times New Roman" w:eastAsia="MS PGothic" w:hAnsi="Times New Roman"/>
          <w:color w:val="000000" w:themeColor="text1"/>
          <w:kern w:val="24"/>
          <w:sz w:val="24"/>
          <w:szCs w:val="24"/>
          <w:lang w:val="en-ZA"/>
        </w:rPr>
        <w:t xml:space="preserve">s conducted in the Western Cape. </w:t>
      </w:r>
      <w:r w:rsidRPr="00831A68">
        <w:rPr>
          <w:rFonts w:ascii="Times New Roman" w:eastAsia="MS PGothic" w:hAnsi="Times New Roman"/>
          <w:color w:val="000000" w:themeColor="text1"/>
          <w:kern w:val="24"/>
          <w:sz w:val="24"/>
          <w:szCs w:val="24"/>
          <w:lang w:val="en-ZA"/>
        </w:rPr>
        <w:t>The PSC also provided extensive inputs to the Presidential Remuneration Review Commission following their call for submissions</w:t>
      </w:r>
      <w:r w:rsidR="003B2711" w:rsidRPr="00831A68">
        <w:rPr>
          <w:rFonts w:ascii="Times New Roman" w:eastAsia="MS PGothic" w:hAnsi="Times New Roman"/>
          <w:color w:val="000000" w:themeColor="text1"/>
          <w:kern w:val="24"/>
          <w:sz w:val="24"/>
          <w:szCs w:val="24"/>
          <w:lang w:val="en-ZA"/>
        </w:rPr>
        <w:t xml:space="preserve">. </w:t>
      </w:r>
    </w:p>
    <w:p w:rsidR="003B2711" w:rsidRPr="00831A68" w:rsidRDefault="003B2711" w:rsidP="00E807CD">
      <w:pPr>
        <w:spacing w:line="360" w:lineRule="auto"/>
        <w:jc w:val="both"/>
        <w:rPr>
          <w:rFonts w:ascii="Times New Roman" w:hAnsi="Times New Roman"/>
          <w:sz w:val="24"/>
          <w:szCs w:val="24"/>
        </w:rPr>
      </w:pPr>
    </w:p>
    <w:p w:rsidR="009213D0" w:rsidRPr="00831A68" w:rsidRDefault="009213D0" w:rsidP="008D3C1B">
      <w:pPr>
        <w:pStyle w:val="ListParagraph"/>
        <w:numPr>
          <w:ilvl w:val="0"/>
          <w:numId w:val="6"/>
        </w:numPr>
        <w:spacing w:line="360" w:lineRule="auto"/>
        <w:ind w:hanging="720"/>
        <w:jc w:val="both"/>
        <w:rPr>
          <w:rFonts w:ascii="Times New Roman" w:hAnsi="Times New Roman"/>
          <w:sz w:val="24"/>
          <w:szCs w:val="24"/>
        </w:rPr>
      </w:pPr>
      <w:r w:rsidRPr="00831A68">
        <w:rPr>
          <w:rFonts w:ascii="Times New Roman" w:hAnsi="Times New Roman"/>
          <w:b/>
          <w:sz w:val="24"/>
          <w:szCs w:val="24"/>
        </w:rPr>
        <w:t>Programme 3</w:t>
      </w:r>
      <w:r w:rsidRPr="00831A68">
        <w:rPr>
          <w:rFonts w:ascii="Times New Roman" w:hAnsi="Times New Roman"/>
          <w:sz w:val="24"/>
          <w:szCs w:val="24"/>
        </w:rPr>
        <w:t xml:space="preserve">: </w:t>
      </w:r>
      <w:r w:rsidRPr="00831A68">
        <w:rPr>
          <w:rFonts w:ascii="Times New Roman" w:hAnsi="Times New Roman"/>
          <w:b/>
          <w:sz w:val="24"/>
          <w:szCs w:val="24"/>
        </w:rPr>
        <w:t>Monitoring and Evaluation</w:t>
      </w:r>
    </w:p>
    <w:p w:rsidR="00E807CD" w:rsidRPr="00831A68" w:rsidRDefault="009213D0" w:rsidP="00E807CD">
      <w:pPr>
        <w:spacing w:line="360" w:lineRule="auto"/>
        <w:jc w:val="both"/>
        <w:rPr>
          <w:rFonts w:ascii="Times New Roman" w:hAnsi="Times New Roman"/>
          <w:sz w:val="24"/>
          <w:szCs w:val="24"/>
        </w:rPr>
      </w:pPr>
      <w:r w:rsidRPr="00831A68">
        <w:rPr>
          <w:rFonts w:ascii="Times New Roman" w:hAnsi="Times New Roman"/>
          <w:color w:val="auto"/>
          <w:spacing w:val="0"/>
          <w:sz w:val="24"/>
          <w:szCs w:val="24"/>
          <w:lang w:val="en-ZA" w:eastAsia="en-ZA"/>
        </w:rPr>
        <w:t xml:space="preserve">The programme is responsible for establishing a high standard of service delivery, monitoring and good governance in the Public Service. </w:t>
      </w:r>
      <w:r w:rsidR="00E807CD" w:rsidRPr="00831A68">
        <w:rPr>
          <w:rFonts w:ascii="Times New Roman" w:hAnsi="Times New Roman"/>
          <w:color w:val="auto"/>
          <w:spacing w:val="0"/>
          <w:sz w:val="24"/>
          <w:szCs w:val="24"/>
          <w:lang w:val="en-ZA" w:eastAsia="en-ZA"/>
        </w:rPr>
        <w:t xml:space="preserve">There are two sub-programmes under the programme which is Governance Monitoring and Service Delivery and Compliance Evaluations. </w:t>
      </w:r>
      <w:r w:rsidR="00E807CD" w:rsidRPr="00831A68">
        <w:rPr>
          <w:rFonts w:ascii="Times New Roman" w:hAnsi="Times New Roman"/>
          <w:sz w:val="24"/>
          <w:szCs w:val="24"/>
        </w:rPr>
        <w:t xml:space="preserve">The </w:t>
      </w:r>
      <w:r w:rsidR="00E75730" w:rsidRPr="00831A68">
        <w:rPr>
          <w:rFonts w:ascii="Times New Roman" w:hAnsi="Times New Roman"/>
          <w:sz w:val="24"/>
          <w:szCs w:val="24"/>
        </w:rPr>
        <w:t>budget allocated</w:t>
      </w:r>
      <w:r w:rsidR="00115769" w:rsidRPr="00831A68">
        <w:rPr>
          <w:rFonts w:ascii="Times New Roman" w:hAnsi="Times New Roman"/>
          <w:sz w:val="24"/>
          <w:szCs w:val="24"/>
        </w:rPr>
        <w:t xml:space="preserve"> for the programme was R36</w:t>
      </w:r>
      <w:r w:rsidR="00B34C6D" w:rsidRPr="00831A68">
        <w:rPr>
          <w:rFonts w:ascii="Times New Roman" w:hAnsi="Times New Roman"/>
          <w:sz w:val="24"/>
          <w:szCs w:val="24"/>
        </w:rPr>
        <w:t>.</w:t>
      </w:r>
      <w:r w:rsidR="00115769" w:rsidRPr="00831A68">
        <w:rPr>
          <w:rFonts w:ascii="Times New Roman" w:hAnsi="Times New Roman"/>
          <w:sz w:val="24"/>
          <w:szCs w:val="24"/>
        </w:rPr>
        <w:t>184</w:t>
      </w:r>
      <w:r w:rsidR="00E75730" w:rsidRPr="00831A68">
        <w:rPr>
          <w:rFonts w:ascii="Times New Roman" w:hAnsi="Times New Roman"/>
          <w:sz w:val="24"/>
          <w:szCs w:val="24"/>
        </w:rPr>
        <w:t xml:space="preserve"> </w:t>
      </w:r>
      <w:r w:rsidR="00B34C6D" w:rsidRPr="00831A68">
        <w:rPr>
          <w:rFonts w:ascii="Times New Roman" w:hAnsi="Times New Roman"/>
          <w:sz w:val="24"/>
          <w:szCs w:val="24"/>
        </w:rPr>
        <w:t>mil</w:t>
      </w:r>
      <w:r w:rsidR="00115769" w:rsidRPr="00831A68">
        <w:rPr>
          <w:rFonts w:ascii="Times New Roman" w:hAnsi="Times New Roman"/>
          <w:sz w:val="24"/>
          <w:szCs w:val="24"/>
        </w:rPr>
        <w:t>lion and the expenditure was R36</w:t>
      </w:r>
      <w:r w:rsidR="00B34C6D" w:rsidRPr="00831A68">
        <w:rPr>
          <w:rFonts w:ascii="Times New Roman" w:hAnsi="Times New Roman"/>
          <w:sz w:val="24"/>
          <w:szCs w:val="24"/>
        </w:rPr>
        <w:t>.</w:t>
      </w:r>
      <w:r w:rsidR="00115769" w:rsidRPr="00831A68">
        <w:rPr>
          <w:rFonts w:ascii="Times New Roman" w:hAnsi="Times New Roman"/>
          <w:sz w:val="24"/>
          <w:szCs w:val="24"/>
        </w:rPr>
        <w:t>155</w:t>
      </w:r>
      <w:r w:rsidR="00E75730" w:rsidRPr="00831A68">
        <w:rPr>
          <w:rFonts w:ascii="Times New Roman" w:hAnsi="Times New Roman"/>
          <w:sz w:val="24"/>
          <w:szCs w:val="24"/>
        </w:rPr>
        <w:t xml:space="preserve"> million. </w:t>
      </w:r>
    </w:p>
    <w:p w:rsidR="009213D0" w:rsidRPr="00831A68" w:rsidRDefault="009213D0" w:rsidP="009213D0">
      <w:pPr>
        <w:spacing w:line="360" w:lineRule="auto"/>
        <w:jc w:val="both"/>
        <w:rPr>
          <w:rFonts w:ascii="Times New Roman" w:hAnsi="Times New Roman"/>
          <w:color w:val="auto"/>
          <w:spacing w:val="0"/>
          <w:sz w:val="24"/>
          <w:szCs w:val="24"/>
          <w:lang w:val="en-ZA" w:eastAsia="en-ZA"/>
        </w:rPr>
      </w:pPr>
    </w:p>
    <w:p w:rsidR="00115769" w:rsidRPr="00831A68" w:rsidRDefault="00115769" w:rsidP="00115769">
      <w:pPr>
        <w:spacing w:line="360" w:lineRule="auto"/>
        <w:contextualSpacing/>
        <w:jc w:val="both"/>
        <w:textAlignment w:val="baseline"/>
        <w:rPr>
          <w:rFonts w:ascii="Times New Roman" w:eastAsia="MS Mincho" w:hAnsi="Times New Roman"/>
          <w:color w:val="000000" w:themeColor="text1"/>
          <w:spacing w:val="0"/>
          <w:kern w:val="24"/>
          <w:sz w:val="24"/>
          <w:szCs w:val="24"/>
          <w:lang w:val="en-ZA" w:eastAsia="en-ZA"/>
        </w:rPr>
      </w:pPr>
      <w:r w:rsidRPr="00831A68">
        <w:rPr>
          <w:rFonts w:ascii="Times New Roman" w:eastAsia="MS Mincho" w:hAnsi="Times New Roman"/>
          <w:color w:val="000000" w:themeColor="text1"/>
          <w:spacing w:val="0"/>
          <w:kern w:val="24"/>
          <w:sz w:val="24"/>
          <w:szCs w:val="24"/>
          <w:lang w:val="en-ZA" w:eastAsia="en-ZA"/>
        </w:rPr>
        <w:t>The main focus was to prepare material for the promotion of the nine values and principles in Section 195 of the Constitution and a framework for the evaluation of departments against the values. The framework defines each of the values, spells out the scope and content of each of the values and proposes a number of indicators that will be used for the evaluation of departments. The concept design of a data warehouse that will store the data to be used in evaluations was completed. Such data will provide the evidence for any evaluative comment of the PSC about the Public Service.</w:t>
      </w:r>
    </w:p>
    <w:p w:rsidR="00115769" w:rsidRPr="00831A68" w:rsidRDefault="00115769" w:rsidP="00115769">
      <w:pPr>
        <w:spacing w:line="264" w:lineRule="auto"/>
        <w:contextualSpacing/>
        <w:jc w:val="both"/>
        <w:textAlignment w:val="baseline"/>
        <w:rPr>
          <w:rFonts w:ascii="Times New Roman" w:eastAsia="MS Mincho" w:hAnsi="Times New Roman"/>
          <w:color w:val="000000" w:themeColor="text1"/>
          <w:spacing w:val="0"/>
          <w:kern w:val="24"/>
          <w:sz w:val="24"/>
          <w:szCs w:val="24"/>
          <w:lang w:val="en-ZA" w:eastAsia="en-ZA"/>
        </w:rPr>
      </w:pPr>
    </w:p>
    <w:p w:rsidR="00115769" w:rsidRPr="00831A68" w:rsidRDefault="00115769" w:rsidP="00115769">
      <w:pPr>
        <w:spacing w:line="360" w:lineRule="auto"/>
        <w:contextualSpacing/>
        <w:jc w:val="both"/>
        <w:textAlignment w:val="baseline"/>
        <w:rPr>
          <w:rFonts w:ascii="Times New Roman" w:hAnsi="Times New Roman"/>
          <w:color w:val="auto"/>
          <w:spacing w:val="0"/>
          <w:sz w:val="24"/>
          <w:szCs w:val="24"/>
          <w:lang w:val="en-ZA" w:eastAsia="en-ZA"/>
        </w:rPr>
      </w:pPr>
      <w:r w:rsidRPr="00831A68">
        <w:rPr>
          <w:rFonts w:ascii="Times New Roman" w:eastAsia="MS Mincho" w:hAnsi="Times New Roman"/>
          <w:color w:val="000000" w:themeColor="text1"/>
          <w:spacing w:val="0"/>
          <w:kern w:val="24"/>
          <w:sz w:val="24"/>
          <w:szCs w:val="24"/>
          <w:lang w:val="en-ZA" w:eastAsia="en-ZA"/>
        </w:rPr>
        <w:t xml:space="preserve">Since annual reports are a valuable source of information on the performance of departments, the PSC has developed guidelines on analysing strategic plans and annual reports. As the PSC cannot only evaluate departments but must also propose measures to improve performance, it has strengthened its methodology for diagnosing the underlying causes of problems and developing implementable solutions. </w:t>
      </w:r>
    </w:p>
    <w:p w:rsidR="00115769" w:rsidRPr="00831A68" w:rsidRDefault="00115769" w:rsidP="00115769">
      <w:pPr>
        <w:spacing w:line="360" w:lineRule="auto"/>
        <w:contextualSpacing/>
        <w:jc w:val="both"/>
        <w:textAlignment w:val="baseline"/>
        <w:rPr>
          <w:rFonts w:ascii="Times New Roman" w:eastAsia="MS Mincho" w:hAnsi="Times New Roman"/>
          <w:color w:val="000000" w:themeColor="text1"/>
          <w:spacing w:val="0"/>
          <w:kern w:val="24"/>
          <w:sz w:val="24"/>
          <w:szCs w:val="24"/>
          <w:lang w:val="en-ZA" w:eastAsia="en-ZA"/>
        </w:rPr>
      </w:pPr>
    </w:p>
    <w:p w:rsidR="009213D0" w:rsidRPr="00831A68" w:rsidRDefault="009213D0" w:rsidP="008D3C1B">
      <w:pPr>
        <w:pStyle w:val="ListParagraph"/>
        <w:numPr>
          <w:ilvl w:val="0"/>
          <w:numId w:val="6"/>
        </w:numPr>
        <w:spacing w:line="360" w:lineRule="auto"/>
        <w:ind w:hanging="720"/>
        <w:jc w:val="both"/>
        <w:rPr>
          <w:rFonts w:ascii="Times New Roman" w:hAnsi="Times New Roman"/>
          <w:sz w:val="24"/>
          <w:szCs w:val="24"/>
        </w:rPr>
      </w:pPr>
      <w:r w:rsidRPr="00831A68">
        <w:rPr>
          <w:rFonts w:ascii="Times New Roman" w:hAnsi="Times New Roman"/>
          <w:b/>
          <w:sz w:val="24"/>
          <w:szCs w:val="24"/>
        </w:rPr>
        <w:t>Programme 4:</w:t>
      </w:r>
      <w:r w:rsidRPr="00831A68">
        <w:rPr>
          <w:rFonts w:ascii="Times New Roman" w:hAnsi="Times New Roman"/>
          <w:sz w:val="24"/>
          <w:szCs w:val="24"/>
        </w:rPr>
        <w:t xml:space="preserve"> </w:t>
      </w:r>
      <w:r w:rsidR="00FD5B87" w:rsidRPr="00831A68">
        <w:rPr>
          <w:rFonts w:ascii="Times New Roman" w:hAnsi="Times New Roman"/>
          <w:b/>
          <w:sz w:val="24"/>
          <w:szCs w:val="24"/>
        </w:rPr>
        <w:t xml:space="preserve">Integrity and Anti-corruption  </w:t>
      </w:r>
    </w:p>
    <w:p w:rsidR="00FB0707" w:rsidRPr="00831A68" w:rsidRDefault="00FD5B87" w:rsidP="00FD5B87">
      <w:pPr>
        <w:spacing w:line="360" w:lineRule="auto"/>
        <w:jc w:val="both"/>
        <w:rPr>
          <w:rStyle w:val="Emphasis"/>
          <w:rFonts w:ascii="Times New Roman" w:hAnsi="Times New Roman"/>
          <w:i w:val="0"/>
          <w:sz w:val="24"/>
          <w:szCs w:val="24"/>
        </w:rPr>
      </w:pPr>
      <w:r w:rsidRPr="00831A68">
        <w:rPr>
          <w:rFonts w:ascii="Times New Roman" w:hAnsi="Times New Roman"/>
          <w:color w:val="auto"/>
          <w:spacing w:val="0"/>
          <w:sz w:val="24"/>
          <w:szCs w:val="24"/>
          <w:lang w:val="en-ZA" w:eastAsia="en-ZA"/>
        </w:rPr>
        <w:t xml:space="preserve">The programme is responsible for undertaking public administration investigations, promoting a high standard of professional ethical conduct amongst public servants and contributing to the prevention and combating of corruption. </w:t>
      </w:r>
      <w:r w:rsidR="009C4A93" w:rsidRPr="00831A68">
        <w:rPr>
          <w:rFonts w:ascii="Times New Roman" w:hAnsi="Times New Roman"/>
          <w:color w:val="auto"/>
          <w:spacing w:val="0"/>
          <w:sz w:val="24"/>
          <w:szCs w:val="24"/>
          <w:lang w:val="en-ZA" w:eastAsia="en-ZA"/>
        </w:rPr>
        <w:t>There are</w:t>
      </w:r>
      <w:r w:rsidR="00FB0707" w:rsidRPr="00831A68">
        <w:rPr>
          <w:rFonts w:ascii="Times New Roman" w:hAnsi="Times New Roman"/>
          <w:color w:val="auto"/>
          <w:spacing w:val="0"/>
          <w:sz w:val="24"/>
          <w:szCs w:val="24"/>
          <w:lang w:val="en-ZA" w:eastAsia="en-ZA"/>
        </w:rPr>
        <w:t xml:space="preserve"> two sub-programmes</w:t>
      </w:r>
      <w:r w:rsidR="00B34C6D" w:rsidRPr="00831A68">
        <w:rPr>
          <w:rFonts w:ascii="Times New Roman" w:hAnsi="Times New Roman"/>
          <w:color w:val="auto"/>
          <w:spacing w:val="0"/>
          <w:sz w:val="24"/>
          <w:szCs w:val="24"/>
          <w:lang w:val="en-ZA" w:eastAsia="en-ZA"/>
        </w:rPr>
        <w:t>; which are Public Administration Investigations and Professional E</w:t>
      </w:r>
      <w:r w:rsidR="00FB0707" w:rsidRPr="00831A68">
        <w:rPr>
          <w:rFonts w:ascii="Times New Roman" w:hAnsi="Times New Roman"/>
          <w:color w:val="auto"/>
          <w:spacing w:val="0"/>
          <w:sz w:val="24"/>
          <w:szCs w:val="24"/>
          <w:lang w:val="en-ZA" w:eastAsia="en-ZA"/>
        </w:rPr>
        <w:t xml:space="preserve">thics. </w:t>
      </w:r>
      <w:r w:rsidR="006A2014" w:rsidRPr="00831A68">
        <w:rPr>
          <w:rStyle w:val="Emphasis"/>
          <w:rFonts w:ascii="Times New Roman" w:hAnsi="Times New Roman"/>
          <w:i w:val="0"/>
          <w:sz w:val="24"/>
          <w:szCs w:val="24"/>
        </w:rPr>
        <w:t>The p</w:t>
      </w:r>
      <w:r w:rsidR="00115769" w:rsidRPr="00831A68">
        <w:rPr>
          <w:rStyle w:val="Emphasis"/>
          <w:rFonts w:ascii="Times New Roman" w:hAnsi="Times New Roman"/>
          <w:i w:val="0"/>
          <w:sz w:val="24"/>
          <w:szCs w:val="24"/>
        </w:rPr>
        <w:t>rogramme was allocated R47</w:t>
      </w:r>
      <w:r w:rsidR="00B34C6D" w:rsidRPr="00831A68">
        <w:rPr>
          <w:rStyle w:val="Emphasis"/>
          <w:rFonts w:ascii="Times New Roman" w:hAnsi="Times New Roman"/>
          <w:i w:val="0"/>
          <w:sz w:val="24"/>
          <w:szCs w:val="24"/>
        </w:rPr>
        <w:t>.</w:t>
      </w:r>
      <w:r w:rsidR="00115769" w:rsidRPr="00831A68">
        <w:rPr>
          <w:rStyle w:val="Emphasis"/>
          <w:rFonts w:ascii="Times New Roman" w:hAnsi="Times New Roman"/>
          <w:i w:val="0"/>
          <w:sz w:val="24"/>
          <w:szCs w:val="24"/>
        </w:rPr>
        <w:t>093</w:t>
      </w:r>
      <w:r w:rsidR="009C4A93" w:rsidRPr="00831A68">
        <w:rPr>
          <w:rStyle w:val="Emphasis"/>
          <w:rFonts w:ascii="Times New Roman" w:hAnsi="Times New Roman"/>
          <w:i w:val="0"/>
          <w:sz w:val="24"/>
          <w:szCs w:val="24"/>
        </w:rPr>
        <w:t xml:space="preserve"> million and </w:t>
      </w:r>
      <w:r w:rsidR="00115769" w:rsidRPr="00831A68">
        <w:rPr>
          <w:rStyle w:val="Emphasis"/>
          <w:rFonts w:ascii="Times New Roman" w:hAnsi="Times New Roman"/>
          <w:i w:val="0"/>
          <w:sz w:val="24"/>
          <w:szCs w:val="24"/>
        </w:rPr>
        <w:t>it spent R47</w:t>
      </w:r>
      <w:r w:rsidR="00641E18" w:rsidRPr="00831A68">
        <w:rPr>
          <w:rStyle w:val="Emphasis"/>
          <w:rFonts w:ascii="Times New Roman" w:hAnsi="Times New Roman"/>
          <w:i w:val="0"/>
          <w:sz w:val="24"/>
          <w:szCs w:val="24"/>
        </w:rPr>
        <w:t>.</w:t>
      </w:r>
      <w:r w:rsidR="00115769" w:rsidRPr="00831A68">
        <w:rPr>
          <w:rStyle w:val="Emphasis"/>
          <w:rFonts w:ascii="Times New Roman" w:hAnsi="Times New Roman"/>
          <w:i w:val="0"/>
          <w:sz w:val="24"/>
          <w:szCs w:val="24"/>
        </w:rPr>
        <w:t>053</w:t>
      </w:r>
      <w:r w:rsidR="009C4A93" w:rsidRPr="00831A68">
        <w:rPr>
          <w:rStyle w:val="Emphasis"/>
          <w:rFonts w:ascii="Times New Roman" w:hAnsi="Times New Roman"/>
          <w:i w:val="0"/>
          <w:sz w:val="24"/>
          <w:szCs w:val="24"/>
        </w:rPr>
        <w:t xml:space="preserve"> million.</w:t>
      </w:r>
    </w:p>
    <w:p w:rsidR="00793DBC" w:rsidRPr="00831A68" w:rsidRDefault="00793DBC" w:rsidP="00FD5B87">
      <w:pPr>
        <w:spacing w:line="360" w:lineRule="auto"/>
        <w:jc w:val="both"/>
        <w:rPr>
          <w:rStyle w:val="Emphasis"/>
          <w:rFonts w:ascii="Times New Roman" w:hAnsi="Times New Roman"/>
          <w:i w:val="0"/>
          <w:sz w:val="24"/>
          <w:szCs w:val="24"/>
        </w:rPr>
      </w:pPr>
    </w:p>
    <w:p w:rsidR="004640E2" w:rsidRPr="00831A68" w:rsidRDefault="00115769" w:rsidP="00115769">
      <w:pPr>
        <w:spacing w:line="360" w:lineRule="auto"/>
        <w:jc w:val="both"/>
        <w:rPr>
          <w:rFonts w:ascii="Times New Roman" w:hAnsi="Times New Roman"/>
          <w:iCs/>
          <w:sz w:val="24"/>
          <w:szCs w:val="24"/>
          <w:lang w:val="en-US"/>
        </w:rPr>
      </w:pPr>
      <w:r w:rsidRPr="00831A68">
        <w:rPr>
          <w:rStyle w:val="Emphasis"/>
          <w:rFonts w:ascii="Times New Roman" w:hAnsi="Times New Roman"/>
          <w:i w:val="0"/>
          <w:sz w:val="24"/>
          <w:szCs w:val="24"/>
        </w:rPr>
        <w:t xml:space="preserve">Factsheet on completed disciplinary proceeding for the 2014/15 financial year was compiled. </w:t>
      </w:r>
      <w:r w:rsidR="004640E2" w:rsidRPr="00831A68">
        <w:rPr>
          <w:rFonts w:ascii="Times New Roman" w:hAnsi="Times New Roman"/>
          <w:iCs/>
          <w:sz w:val="24"/>
          <w:szCs w:val="24"/>
          <w:lang w:val="en-US"/>
        </w:rPr>
        <w:t>The Complaints Rules and Guidelines were reviewed to improve efficiency</w:t>
      </w:r>
      <w:r w:rsidRPr="00831A68">
        <w:rPr>
          <w:rFonts w:ascii="Times New Roman" w:hAnsi="Times New Roman"/>
          <w:iCs/>
          <w:sz w:val="24"/>
          <w:szCs w:val="24"/>
        </w:rPr>
        <w:t xml:space="preserve">. </w:t>
      </w:r>
      <w:r w:rsidR="007E613A" w:rsidRPr="00831A68">
        <w:rPr>
          <w:rStyle w:val="Emphasis"/>
          <w:rFonts w:ascii="Times New Roman" w:hAnsi="Times New Roman"/>
          <w:i w:val="0"/>
          <w:sz w:val="24"/>
          <w:szCs w:val="24"/>
        </w:rPr>
        <w:t xml:space="preserve">In relation to the complaints lodged with the PSC in terms of the Complaints Rules, as at 31 March 2016, a total of 510 complaints, the PSC were carried over from 2014/15 and 245 were lodged during the 2015/16 financial year. A total of 371 complaints were finalised and 139 are pending. </w:t>
      </w:r>
      <w:r w:rsidR="004640E2" w:rsidRPr="00831A68">
        <w:rPr>
          <w:rFonts w:ascii="Times New Roman" w:hAnsi="Times New Roman"/>
          <w:iCs/>
          <w:sz w:val="24"/>
          <w:szCs w:val="24"/>
          <w:lang w:val="en-US"/>
        </w:rPr>
        <w:t>The PSC also conducted investigations and assessments of the awarding of higher salaries on appointment and counter offers in the national Departments of Transport and Labour</w:t>
      </w:r>
      <w:r w:rsidR="007E613A" w:rsidRPr="00831A68">
        <w:rPr>
          <w:rFonts w:ascii="Times New Roman" w:hAnsi="Times New Roman"/>
          <w:iCs/>
          <w:sz w:val="24"/>
          <w:szCs w:val="24"/>
          <w:lang w:val="en-US"/>
        </w:rPr>
        <w:t xml:space="preserve">. </w:t>
      </w:r>
      <w:r w:rsidR="004640E2" w:rsidRPr="00831A68">
        <w:rPr>
          <w:rFonts w:ascii="Times New Roman" w:hAnsi="Times New Roman"/>
          <w:iCs/>
          <w:sz w:val="24"/>
          <w:szCs w:val="24"/>
          <w:lang w:val="en-US"/>
        </w:rPr>
        <w:t xml:space="preserve"> </w:t>
      </w:r>
    </w:p>
    <w:p w:rsidR="007E613A" w:rsidRPr="00831A68" w:rsidRDefault="007E613A" w:rsidP="00115769">
      <w:pPr>
        <w:spacing w:line="360" w:lineRule="auto"/>
        <w:jc w:val="both"/>
        <w:rPr>
          <w:rFonts w:ascii="Times New Roman" w:hAnsi="Times New Roman"/>
          <w:iCs/>
          <w:sz w:val="24"/>
          <w:szCs w:val="24"/>
          <w:lang w:val="en-US"/>
        </w:rPr>
      </w:pPr>
    </w:p>
    <w:p w:rsidR="007E613A" w:rsidRPr="00831A68" w:rsidRDefault="004640E2" w:rsidP="007E613A">
      <w:pPr>
        <w:spacing w:line="360" w:lineRule="auto"/>
        <w:jc w:val="both"/>
        <w:rPr>
          <w:rFonts w:ascii="Times New Roman" w:hAnsi="Times New Roman"/>
          <w:iCs/>
          <w:sz w:val="24"/>
          <w:szCs w:val="24"/>
          <w:lang w:val="en-ZA"/>
        </w:rPr>
      </w:pPr>
      <w:r w:rsidRPr="00831A68">
        <w:rPr>
          <w:rFonts w:ascii="Times New Roman" w:hAnsi="Times New Roman"/>
          <w:iCs/>
          <w:sz w:val="24"/>
          <w:szCs w:val="24"/>
          <w:lang w:val="en-US"/>
        </w:rPr>
        <w:t>The PSC developed a three year strategy in promoting professional ethics in the public service. Following on this, the PSC hosted various workshops with a particular focus on selected departments in the Western Cape and North West provinces as well as with the Departments of International Relations and Cooperation and Labour. This included workshops relating to the management of conflicts of interests, the Code of Conduct and financial misconduct</w:t>
      </w:r>
      <w:r w:rsidR="007E613A" w:rsidRPr="00831A68">
        <w:rPr>
          <w:rFonts w:ascii="Times New Roman" w:hAnsi="Times New Roman"/>
          <w:iCs/>
          <w:sz w:val="24"/>
          <w:szCs w:val="24"/>
          <w:lang w:val="en-US"/>
        </w:rPr>
        <w:t xml:space="preserve">. </w:t>
      </w:r>
      <w:r w:rsidR="007E613A" w:rsidRPr="00831A68">
        <w:rPr>
          <w:rFonts w:ascii="Times New Roman" w:eastAsia="MS PGothic" w:hAnsi="Times New Roman"/>
          <w:color w:val="000000" w:themeColor="text1"/>
          <w:spacing w:val="0"/>
          <w:kern w:val="24"/>
          <w:sz w:val="24"/>
          <w:szCs w:val="24"/>
          <w:lang w:val="en-US" w:eastAsia="en-ZA"/>
        </w:rPr>
        <w:t xml:space="preserve">During the 2015/16 financial year, the PSC received 48 424 calls on the National Anti-Corruption Hotline. Out of 48 424 calls, a total of </w:t>
      </w:r>
      <w:r w:rsidR="007E613A" w:rsidRPr="00831A68">
        <w:rPr>
          <w:rFonts w:ascii="Times New Roman" w:eastAsia="MS PGothic" w:hAnsi="Times New Roman"/>
          <w:bCs/>
          <w:color w:val="auto"/>
          <w:spacing w:val="0"/>
          <w:kern w:val="24"/>
          <w:sz w:val="24"/>
          <w:szCs w:val="24"/>
          <w:lang w:val="en-US" w:eastAsia="en-ZA"/>
        </w:rPr>
        <w:t>2 499</w:t>
      </w:r>
      <w:r w:rsidR="007E613A" w:rsidRPr="00831A68">
        <w:rPr>
          <w:rFonts w:ascii="Times New Roman" w:eastAsia="MS PGothic" w:hAnsi="Times New Roman"/>
          <w:b/>
          <w:bCs/>
          <w:color w:val="auto"/>
          <w:spacing w:val="0"/>
          <w:kern w:val="24"/>
          <w:sz w:val="24"/>
          <w:szCs w:val="24"/>
          <w:lang w:val="en-US" w:eastAsia="en-ZA"/>
        </w:rPr>
        <w:t xml:space="preserve"> </w:t>
      </w:r>
      <w:r w:rsidR="007E613A" w:rsidRPr="00831A68">
        <w:rPr>
          <w:rFonts w:ascii="Times New Roman" w:eastAsia="MS PGothic" w:hAnsi="Times New Roman"/>
          <w:color w:val="000000" w:themeColor="text1"/>
          <w:spacing w:val="0"/>
          <w:kern w:val="24"/>
          <w:sz w:val="24"/>
          <w:szCs w:val="24"/>
          <w:lang w:val="en-US" w:eastAsia="en-ZA"/>
        </w:rPr>
        <w:t xml:space="preserve">case reports were generated. </w:t>
      </w:r>
    </w:p>
    <w:p w:rsidR="007E613A" w:rsidRPr="00831A68" w:rsidRDefault="007E613A" w:rsidP="00115769">
      <w:pPr>
        <w:spacing w:line="360" w:lineRule="auto"/>
        <w:jc w:val="both"/>
        <w:rPr>
          <w:rFonts w:ascii="Times New Roman" w:hAnsi="Times New Roman"/>
          <w:iCs/>
          <w:sz w:val="24"/>
          <w:szCs w:val="24"/>
        </w:rPr>
      </w:pPr>
    </w:p>
    <w:p w:rsidR="007E613A" w:rsidRPr="00831A68" w:rsidRDefault="007E613A" w:rsidP="007E613A">
      <w:pPr>
        <w:spacing w:line="360" w:lineRule="auto"/>
        <w:contextualSpacing/>
        <w:jc w:val="both"/>
        <w:textAlignment w:val="baseline"/>
        <w:rPr>
          <w:rFonts w:ascii="Times New Roman" w:hAnsi="Times New Roman"/>
          <w:color w:val="auto"/>
          <w:spacing w:val="0"/>
          <w:sz w:val="24"/>
          <w:szCs w:val="24"/>
          <w:lang w:val="en-ZA" w:eastAsia="en-ZA"/>
        </w:rPr>
      </w:pPr>
      <w:r w:rsidRPr="00831A68">
        <w:rPr>
          <w:rFonts w:ascii="Times New Roman" w:hAnsi="Times New Roman"/>
          <w:color w:val="000000" w:themeColor="text1"/>
          <w:spacing w:val="0"/>
          <w:kern w:val="24"/>
          <w:sz w:val="24"/>
          <w:szCs w:val="24"/>
          <w:lang w:val="en-ZA" w:eastAsia="en-ZA"/>
        </w:rPr>
        <w:t xml:space="preserve">The PSC scrutinised 100% (8 986) of the financial disclosure forms received </w:t>
      </w:r>
      <w:r w:rsidRPr="00831A68">
        <w:rPr>
          <w:rFonts w:ascii="Times New Roman" w:eastAsia="MS PGothic" w:hAnsi="Times New Roman"/>
          <w:color w:val="000000" w:themeColor="text1"/>
          <w:spacing w:val="0"/>
          <w:kern w:val="24"/>
          <w:sz w:val="24"/>
          <w:szCs w:val="24"/>
          <w:lang w:val="en-ZA" w:eastAsia="en-ZA"/>
        </w:rPr>
        <w:t>to assess compliance and whether the involvement of officials in any activities of the companies could lead to potential and/or actual conflicts of interest. The financial interests of SMS members who did not submit their financial disclosure forms were also scrutinised to assess their involvement in any activities of the companies that could lead to potential and/or actual conflicts of interest.</w:t>
      </w:r>
      <w:r w:rsidRPr="00831A68">
        <w:rPr>
          <w:rFonts w:ascii="Times New Roman" w:hAnsi="Times New Roman"/>
          <w:color w:val="auto"/>
          <w:spacing w:val="0"/>
          <w:sz w:val="24"/>
          <w:szCs w:val="24"/>
          <w:lang w:val="en-ZA" w:eastAsia="en-ZA"/>
        </w:rPr>
        <w:t xml:space="preserve"> </w:t>
      </w:r>
      <w:r w:rsidRPr="00831A68">
        <w:rPr>
          <w:rFonts w:ascii="Times New Roman" w:eastAsia="MS PGothic" w:hAnsi="Times New Roman"/>
          <w:color w:val="000000" w:themeColor="text1"/>
          <w:spacing w:val="0"/>
          <w:kern w:val="24"/>
          <w:sz w:val="24"/>
          <w:szCs w:val="24"/>
          <w:lang w:val="en-US" w:eastAsia="en-ZA"/>
        </w:rPr>
        <w:t xml:space="preserve">Where applicable, the PSC conducted consultations with SMS members who were found to be involved in activities that could be construed as posing conflicts of interest. </w:t>
      </w:r>
    </w:p>
    <w:p w:rsidR="00115769" w:rsidRPr="00831A68" w:rsidRDefault="00115769" w:rsidP="00FD5B87">
      <w:pPr>
        <w:spacing w:line="360" w:lineRule="auto"/>
        <w:jc w:val="both"/>
        <w:rPr>
          <w:rStyle w:val="Emphasis"/>
          <w:rFonts w:ascii="Times New Roman" w:hAnsi="Times New Roman"/>
          <w:i w:val="0"/>
          <w:sz w:val="24"/>
          <w:szCs w:val="24"/>
        </w:rPr>
      </w:pPr>
    </w:p>
    <w:p w:rsidR="00270CCC" w:rsidRPr="00831A68" w:rsidRDefault="00282D52"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NATIONAL SCHOOL OF GOVERNMENT</w:t>
      </w:r>
    </w:p>
    <w:p w:rsidR="00547CFA" w:rsidRPr="00831A68" w:rsidRDefault="00547CFA" w:rsidP="00547CFA">
      <w:pPr>
        <w:spacing w:line="360" w:lineRule="auto"/>
        <w:jc w:val="both"/>
        <w:rPr>
          <w:rFonts w:ascii="Times New Roman" w:hAnsi="Times New Roman"/>
          <w:sz w:val="24"/>
          <w:szCs w:val="24"/>
        </w:rPr>
      </w:pPr>
      <w:r w:rsidRPr="00831A68">
        <w:rPr>
          <w:rFonts w:ascii="Times New Roman" w:hAnsi="Times New Roman"/>
          <w:sz w:val="24"/>
          <w:szCs w:val="24"/>
        </w:rPr>
        <w:t>The National School of Government received its budget appropriation through budget vote 12 of the Department of Public Service and Administration. The</w:t>
      </w:r>
      <w:r w:rsidR="004640E2" w:rsidRPr="00831A68">
        <w:rPr>
          <w:rFonts w:ascii="Times New Roman" w:hAnsi="Times New Roman"/>
          <w:sz w:val="24"/>
          <w:szCs w:val="24"/>
        </w:rPr>
        <w:t xml:space="preserve"> appropriated funds for the 2015</w:t>
      </w:r>
      <w:r w:rsidRPr="00831A68">
        <w:rPr>
          <w:rFonts w:ascii="Times New Roman" w:hAnsi="Times New Roman"/>
          <w:sz w:val="24"/>
          <w:szCs w:val="24"/>
        </w:rPr>
        <w:t>/1</w:t>
      </w:r>
      <w:r w:rsidR="004640E2" w:rsidRPr="00831A68">
        <w:rPr>
          <w:rFonts w:ascii="Times New Roman" w:hAnsi="Times New Roman"/>
          <w:sz w:val="24"/>
          <w:szCs w:val="24"/>
        </w:rPr>
        <w:t>6 financial year was R140</w:t>
      </w:r>
      <w:r w:rsidR="00641E18" w:rsidRPr="00831A68">
        <w:rPr>
          <w:rFonts w:ascii="Times New Roman" w:hAnsi="Times New Roman"/>
          <w:sz w:val="24"/>
          <w:szCs w:val="24"/>
        </w:rPr>
        <w:t>.</w:t>
      </w:r>
      <w:r w:rsidR="004640E2" w:rsidRPr="00831A68">
        <w:rPr>
          <w:rFonts w:ascii="Times New Roman" w:hAnsi="Times New Roman"/>
          <w:sz w:val="24"/>
          <w:szCs w:val="24"/>
        </w:rPr>
        <w:t>439</w:t>
      </w:r>
      <w:r w:rsidRPr="00831A68">
        <w:rPr>
          <w:rFonts w:ascii="Times New Roman" w:hAnsi="Times New Roman"/>
          <w:sz w:val="24"/>
          <w:szCs w:val="24"/>
        </w:rPr>
        <w:t xml:space="preserve"> mill</w:t>
      </w:r>
      <w:r w:rsidR="00673324" w:rsidRPr="00831A68">
        <w:rPr>
          <w:rFonts w:ascii="Times New Roman" w:hAnsi="Times New Roman"/>
          <w:sz w:val="24"/>
          <w:szCs w:val="24"/>
        </w:rPr>
        <w:t>i</w:t>
      </w:r>
      <w:r w:rsidR="00641E18" w:rsidRPr="00831A68">
        <w:rPr>
          <w:rFonts w:ascii="Times New Roman" w:hAnsi="Times New Roman"/>
          <w:sz w:val="24"/>
          <w:szCs w:val="24"/>
        </w:rPr>
        <w:t>on with the expenditure of R13</w:t>
      </w:r>
      <w:r w:rsidR="004640E2" w:rsidRPr="00831A68">
        <w:rPr>
          <w:rFonts w:ascii="Times New Roman" w:hAnsi="Times New Roman"/>
          <w:sz w:val="24"/>
          <w:szCs w:val="24"/>
        </w:rPr>
        <w:t>7</w:t>
      </w:r>
      <w:r w:rsidR="00641E18" w:rsidRPr="00831A68">
        <w:rPr>
          <w:rFonts w:ascii="Times New Roman" w:hAnsi="Times New Roman"/>
          <w:sz w:val="24"/>
          <w:szCs w:val="24"/>
        </w:rPr>
        <w:t>.</w:t>
      </w:r>
      <w:r w:rsidR="004640E2" w:rsidRPr="00831A68">
        <w:rPr>
          <w:rFonts w:ascii="Times New Roman" w:hAnsi="Times New Roman"/>
          <w:sz w:val="24"/>
          <w:szCs w:val="24"/>
        </w:rPr>
        <w:t>638</w:t>
      </w:r>
      <w:r w:rsidR="00673324" w:rsidRPr="00831A68">
        <w:rPr>
          <w:rFonts w:ascii="Times New Roman" w:hAnsi="Times New Roman"/>
          <w:sz w:val="24"/>
          <w:szCs w:val="24"/>
        </w:rPr>
        <w:t xml:space="preserve"> million. </w:t>
      </w:r>
    </w:p>
    <w:p w:rsidR="00D35410" w:rsidRPr="00831A68" w:rsidRDefault="00D35410" w:rsidP="00547CFA">
      <w:pPr>
        <w:spacing w:line="360" w:lineRule="auto"/>
        <w:jc w:val="both"/>
        <w:rPr>
          <w:rFonts w:ascii="Times New Roman" w:hAnsi="Times New Roman"/>
          <w:sz w:val="24"/>
          <w:szCs w:val="24"/>
        </w:rPr>
      </w:pPr>
    </w:p>
    <w:p w:rsidR="00D35410" w:rsidRPr="00831A68" w:rsidRDefault="00D35410" w:rsidP="00547CFA">
      <w:pPr>
        <w:spacing w:line="360" w:lineRule="auto"/>
        <w:jc w:val="both"/>
        <w:rPr>
          <w:rFonts w:ascii="Times New Roman" w:hAnsi="Times New Roman"/>
          <w:sz w:val="24"/>
          <w:szCs w:val="24"/>
        </w:rPr>
      </w:pPr>
      <w:r w:rsidRPr="00831A68">
        <w:rPr>
          <w:rFonts w:ascii="Times New Roman" w:hAnsi="Times New Roman"/>
          <w:sz w:val="24"/>
          <w:szCs w:val="24"/>
        </w:rPr>
        <w:t xml:space="preserve">The School of Government operates a Trading Account for its training operations. Total revenue decreased by R32.8 million from R149.0 million (2014/15) to R116.2 million (2015/16), a decrease of 22%. Income from course fees decreased by 30.6% from R86.6 million (2014/15) to R59.3 million (2015/16). Transfer funds from Vote to Trade Account decreased by R7.7 million from R55.5 million in 2014/15 to R47.8 million in 2015/16. </w:t>
      </w:r>
    </w:p>
    <w:p w:rsidR="00CE11F3" w:rsidRPr="00831A68" w:rsidRDefault="00CE11F3" w:rsidP="00547CFA">
      <w:pPr>
        <w:spacing w:line="360" w:lineRule="auto"/>
        <w:jc w:val="both"/>
        <w:rPr>
          <w:rFonts w:ascii="Times New Roman" w:hAnsi="Times New Roman"/>
          <w:sz w:val="24"/>
          <w:szCs w:val="24"/>
        </w:rPr>
      </w:pPr>
    </w:p>
    <w:p w:rsidR="00282D52" w:rsidRPr="00831A68" w:rsidRDefault="00282D52" w:rsidP="00282D52">
      <w:pPr>
        <w:pStyle w:val="ListParagraph"/>
        <w:numPr>
          <w:ilvl w:val="2"/>
          <w:numId w:val="1"/>
        </w:numPr>
        <w:spacing w:line="360" w:lineRule="auto"/>
        <w:ind w:left="567" w:hanging="567"/>
        <w:jc w:val="both"/>
        <w:rPr>
          <w:rFonts w:ascii="Times New Roman" w:hAnsi="Times New Roman"/>
          <w:b/>
          <w:sz w:val="24"/>
          <w:szCs w:val="24"/>
        </w:rPr>
      </w:pPr>
      <w:r w:rsidRPr="00831A68">
        <w:rPr>
          <w:rFonts w:ascii="Times New Roman" w:hAnsi="Times New Roman"/>
          <w:b/>
          <w:sz w:val="24"/>
          <w:szCs w:val="24"/>
        </w:rPr>
        <w:t>Programme Performance</w:t>
      </w:r>
    </w:p>
    <w:p w:rsidR="00282D52" w:rsidRPr="00831A68" w:rsidRDefault="00282D52" w:rsidP="008D3C1B">
      <w:pPr>
        <w:pStyle w:val="ListParagraph"/>
        <w:numPr>
          <w:ilvl w:val="0"/>
          <w:numId w:val="7"/>
        </w:numPr>
        <w:spacing w:line="360" w:lineRule="auto"/>
        <w:ind w:hanging="720"/>
        <w:jc w:val="both"/>
        <w:rPr>
          <w:rFonts w:ascii="Times New Roman" w:hAnsi="Times New Roman"/>
          <w:b/>
          <w:sz w:val="24"/>
          <w:szCs w:val="24"/>
        </w:rPr>
      </w:pPr>
      <w:r w:rsidRPr="00831A68">
        <w:rPr>
          <w:rFonts w:ascii="Times New Roman" w:hAnsi="Times New Roman"/>
          <w:b/>
          <w:sz w:val="24"/>
          <w:szCs w:val="24"/>
        </w:rPr>
        <w:t>Programme 1: Administration</w:t>
      </w:r>
    </w:p>
    <w:p w:rsidR="00282D52" w:rsidRPr="00831A68" w:rsidRDefault="00282D52" w:rsidP="00282D52">
      <w:pPr>
        <w:spacing w:line="360" w:lineRule="auto"/>
        <w:jc w:val="both"/>
        <w:rPr>
          <w:rFonts w:ascii="Times New Roman" w:hAnsi="Times New Roman"/>
          <w:sz w:val="24"/>
          <w:szCs w:val="24"/>
        </w:rPr>
      </w:pPr>
      <w:r w:rsidRPr="00831A68">
        <w:rPr>
          <w:rFonts w:ascii="Times New Roman" w:hAnsi="Times New Roman"/>
          <w:sz w:val="24"/>
          <w:szCs w:val="24"/>
        </w:rPr>
        <w:t xml:space="preserve">The programme governs the overall management of the School and provides for organisational support services enabling the Director-General/Principal, Branch Heads and all employees in </w:t>
      </w:r>
      <w:r w:rsidR="00CE11F3" w:rsidRPr="00831A68">
        <w:rPr>
          <w:rFonts w:ascii="Times New Roman" w:hAnsi="Times New Roman"/>
          <w:sz w:val="24"/>
          <w:szCs w:val="24"/>
        </w:rPr>
        <w:t>the N</w:t>
      </w:r>
      <w:r w:rsidRPr="00831A68">
        <w:rPr>
          <w:rFonts w:ascii="Times New Roman" w:hAnsi="Times New Roman"/>
          <w:sz w:val="24"/>
          <w:szCs w:val="24"/>
        </w:rPr>
        <w:t>S</w:t>
      </w:r>
      <w:r w:rsidR="00CE11F3" w:rsidRPr="00831A68">
        <w:rPr>
          <w:rFonts w:ascii="Times New Roman" w:hAnsi="Times New Roman"/>
          <w:sz w:val="24"/>
          <w:szCs w:val="24"/>
        </w:rPr>
        <w:t>G</w:t>
      </w:r>
      <w:r w:rsidRPr="00831A68">
        <w:rPr>
          <w:rFonts w:ascii="Times New Roman" w:hAnsi="Times New Roman"/>
          <w:sz w:val="24"/>
          <w:szCs w:val="24"/>
        </w:rPr>
        <w:t xml:space="preserve"> to carry out their responsibilities within an effective governance system</w:t>
      </w:r>
      <w:r w:rsidR="006A2014" w:rsidRPr="00831A68">
        <w:rPr>
          <w:rFonts w:ascii="Times New Roman" w:hAnsi="Times New Roman"/>
          <w:sz w:val="24"/>
          <w:szCs w:val="24"/>
        </w:rPr>
        <w:t>. The responsibilities of this p</w:t>
      </w:r>
      <w:r w:rsidRPr="00831A68">
        <w:rPr>
          <w:rFonts w:ascii="Times New Roman" w:hAnsi="Times New Roman"/>
          <w:sz w:val="24"/>
          <w:szCs w:val="24"/>
        </w:rPr>
        <w:t>rogramme include providing administrative, legal, human resource and fi</w:t>
      </w:r>
      <w:r w:rsidR="00CE11F3" w:rsidRPr="00831A68">
        <w:rPr>
          <w:rFonts w:ascii="Times New Roman" w:hAnsi="Times New Roman"/>
          <w:sz w:val="24"/>
          <w:szCs w:val="24"/>
        </w:rPr>
        <w:t>nancial management, across the D</w:t>
      </w:r>
      <w:r w:rsidRPr="00831A68">
        <w:rPr>
          <w:rFonts w:ascii="Times New Roman" w:hAnsi="Times New Roman"/>
          <w:sz w:val="24"/>
          <w:szCs w:val="24"/>
        </w:rPr>
        <w:t xml:space="preserve">epartment. </w:t>
      </w:r>
      <w:r w:rsidR="002A319D" w:rsidRPr="00831A68">
        <w:rPr>
          <w:rFonts w:ascii="Times New Roman" w:hAnsi="Times New Roman"/>
          <w:sz w:val="24"/>
          <w:szCs w:val="24"/>
        </w:rPr>
        <w:t>The programme comprises of the following sub-programmes: Office of the Principal and Corporate Management</w:t>
      </w:r>
      <w:r w:rsidR="004640E2" w:rsidRPr="00831A68">
        <w:rPr>
          <w:rFonts w:ascii="Times New Roman" w:hAnsi="Times New Roman"/>
          <w:sz w:val="24"/>
          <w:szCs w:val="24"/>
        </w:rPr>
        <w:t xml:space="preserve">. </w:t>
      </w:r>
      <w:r w:rsidR="00673324" w:rsidRPr="00831A68">
        <w:rPr>
          <w:rFonts w:ascii="Times New Roman" w:hAnsi="Times New Roman"/>
          <w:sz w:val="24"/>
          <w:szCs w:val="24"/>
        </w:rPr>
        <w:t>The p</w:t>
      </w:r>
      <w:r w:rsidRPr="00831A68">
        <w:rPr>
          <w:rFonts w:ascii="Times New Roman" w:hAnsi="Times New Roman"/>
          <w:sz w:val="24"/>
          <w:szCs w:val="24"/>
        </w:rPr>
        <w:t>rogramme was allocated</w:t>
      </w:r>
      <w:r w:rsidR="004640E2" w:rsidRPr="00831A68">
        <w:rPr>
          <w:rFonts w:ascii="Times New Roman" w:hAnsi="Times New Roman"/>
          <w:sz w:val="24"/>
          <w:szCs w:val="24"/>
        </w:rPr>
        <w:t xml:space="preserve"> R92</w:t>
      </w:r>
      <w:r w:rsidR="00641E18" w:rsidRPr="00831A68">
        <w:rPr>
          <w:rFonts w:ascii="Times New Roman" w:hAnsi="Times New Roman"/>
          <w:sz w:val="24"/>
          <w:szCs w:val="24"/>
        </w:rPr>
        <w:t>.</w:t>
      </w:r>
      <w:r w:rsidR="004640E2" w:rsidRPr="00831A68">
        <w:rPr>
          <w:rFonts w:ascii="Times New Roman" w:hAnsi="Times New Roman"/>
          <w:sz w:val="24"/>
          <w:szCs w:val="24"/>
        </w:rPr>
        <w:t>644</w:t>
      </w:r>
      <w:r w:rsidRPr="00831A68">
        <w:rPr>
          <w:rFonts w:ascii="Times New Roman" w:hAnsi="Times New Roman"/>
          <w:sz w:val="24"/>
          <w:szCs w:val="24"/>
        </w:rPr>
        <w:t xml:space="preserve"> million a</w:t>
      </w:r>
      <w:r w:rsidR="00673324" w:rsidRPr="00831A68">
        <w:rPr>
          <w:rFonts w:ascii="Times New Roman" w:hAnsi="Times New Roman"/>
          <w:sz w:val="24"/>
          <w:szCs w:val="24"/>
        </w:rPr>
        <w:t>nd the actual expenditure was R</w:t>
      </w:r>
      <w:r w:rsidR="009D5186" w:rsidRPr="00831A68">
        <w:rPr>
          <w:rFonts w:ascii="Times New Roman" w:hAnsi="Times New Roman"/>
          <w:sz w:val="24"/>
          <w:szCs w:val="24"/>
        </w:rPr>
        <w:t>8</w:t>
      </w:r>
      <w:r w:rsidR="004640E2" w:rsidRPr="00831A68">
        <w:rPr>
          <w:rFonts w:ascii="Times New Roman" w:hAnsi="Times New Roman"/>
          <w:sz w:val="24"/>
          <w:szCs w:val="24"/>
        </w:rPr>
        <w:t>9</w:t>
      </w:r>
      <w:r w:rsidR="00641E18" w:rsidRPr="00831A68">
        <w:rPr>
          <w:rFonts w:ascii="Times New Roman" w:hAnsi="Times New Roman"/>
          <w:sz w:val="24"/>
          <w:szCs w:val="24"/>
        </w:rPr>
        <w:t>.</w:t>
      </w:r>
      <w:r w:rsidR="004640E2" w:rsidRPr="00831A68">
        <w:rPr>
          <w:rFonts w:ascii="Times New Roman" w:hAnsi="Times New Roman"/>
          <w:sz w:val="24"/>
          <w:szCs w:val="24"/>
        </w:rPr>
        <w:t>843</w:t>
      </w:r>
      <w:r w:rsidRPr="00831A68">
        <w:rPr>
          <w:rFonts w:ascii="Times New Roman" w:hAnsi="Times New Roman"/>
          <w:sz w:val="24"/>
          <w:szCs w:val="24"/>
        </w:rPr>
        <w:t xml:space="preserve"> million</w:t>
      </w:r>
      <w:r w:rsidR="00CE11F3" w:rsidRPr="00831A68">
        <w:rPr>
          <w:rFonts w:ascii="Times New Roman" w:hAnsi="Times New Roman"/>
          <w:sz w:val="24"/>
          <w:szCs w:val="24"/>
        </w:rPr>
        <w:t>,</w:t>
      </w:r>
      <w:r w:rsidR="009D5186" w:rsidRPr="00831A68">
        <w:rPr>
          <w:rFonts w:ascii="Times New Roman" w:hAnsi="Times New Roman"/>
          <w:sz w:val="24"/>
          <w:szCs w:val="24"/>
        </w:rPr>
        <w:t xml:space="preserve"> which amount</w:t>
      </w:r>
      <w:r w:rsidR="00CE11F3" w:rsidRPr="00831A68">
        <w:rPr>
          <w:rFonts w:ascii="Times New Roman" w:hAnsi="Times New Roman"/>
          <w:sz w:val="24"/>
          <w:szCs w:val="24"/>
        </w:rPr>
        <w:t>s</w:t>
      </w:r>
      <w:r w:rsidR="009D5186" w:rsidRPr="00831A68">
        <w:rPr>
          <w:rFonts w:ascii="Times New Roman" w:hAnsi="Times New Roman"/>
          <w:sz w:val="24"/>
          <w:szCs w:val="24"/>
        </w:rPr>
        <w:t xml:space="preserve"> to 9</w:t>
      </w:r>
      <w:r w:rsidR="004640E2" w:rsidRPr="00831A68">
        <w:rPr>
          <w:rFonts w:ascii="Times New Roman" w:hAnsi="Times New Roman"/>
          <w:sz w:val="24"/>
          <w:szCs w:val="24"/>
        </w:rPr>
        <w:t>7</w:t>
      </w:r>
      <w:r w:rsidR="009D5186" w:rsidRPr="00831A68">
        <w:rPr>
          <w:rFonts w:ascii="Times New Roman" w:hAnsi="Times New Roman"/>
          <w:sz w:val="24"/>
          <w:szCs w:val="24"/>
        </w:rPr>
        <w:t>.</w:t>
      </w:r>
      <w:r w:rsidR="004640E2" w:rsidRPr="00831A68">
        <w:rPr>
          <w:rFonts w:ascii="Times New Roman" w:hAnsi="Times New Roman"/>
          <w:sz w:val="24"/>
          <w:szCs w:val="24"/>
        </w:rPr>
        <w:t>0</w:t>
      </w:r>
      <w:r w:rsidR="009D5186" w:rsidRPr="00831A68">
        <w:rPr>
          <w:rFonts w:ascii="Times New Roman" w:hAnsi="Times New Roman"/>
          <w:sz w:val="24"/>
          <w:szCs w:val="24"/>
        </w:rPr>
        <w:t>%</w:t>
      </w:r>
      <w:r w:rsidRPr="00831A68">
        <w:rPr>
          <w:rFonts w:ascii="Times New Roman" w:hAnsi="Times New Roman"/>
          <w:sz w:val="24"/>
          <w:szCs w:val="24"/>
        </w:rPr>
        <w:t xml:space="preserve">. </w:t>
      </w:r>
    </w:p>
    <w:p w:rsidR="009D5186" w:rsidRPr="00831A68" w:rsidRDefault="009D5186" w:rsidP="00282D52">
      <w:pPr>
        <w:spacing w:line="360" w:lineRule="auto"/>
        <w:jc w:val="both"/>
        <w:rPr>
          <w:rFonts w:ascii="Times New Roman" w:hAnsi="Times New Roman"/>
          <w:sz w:val="24"/>
          <w:szCs w:val="24"/>
        </w:rPr>
      </w:pPr>
    </w:p>
    <w:p w:rsidR="003F0CFC" w:rsidRPr="00831A68" w:rsidRDefault="009D5186" w:rsidP="000E055C">
      <w:pPr>
        <w:spacing w:line="360" w:lineRule="auto"/>
        <w:jc w:val="both"/>
        <w:rPr>
          <w:rFonts w:ascii="Times New Roman" w:hAnsi="Times New Roman"/>
          <w:sz w:val="24"/>
          <w:szCs w:val="24"/>
        </w:rPr>
      </w:pPr>
      <w:r w:rsidRPr="00831A68">
        <w:rPr>
          <w:rFonts w:ascii="Times New Roman" w:hAnsi="Times New Roman"/>
          <w:sz w:val="24"/>
          <w:szCs w:val="24"/>
        </w:rPr>
        <w:t>The NSG developed and reviewed 2</w:t>
      </w:r>
      <w:r w:rsidR="003F0CFC" w:rsidRPr="00831A68">
        <w:rPr>
          <w:rFonts w:ascii="Times New Roman" w:hAnsi="Times New Roman"/>
          <w:sz w:val="24"/>
          <w:szCs w:val="24"/>
        </w:rPr>
        <w:t>2</w:t>
      </w:r>
      <w:r w:rsidRPr="00831A68">
        <w:rPr>
          <w:rFonts w:ascii="Times New Roman" w:hAnsi="Times New Roman"/>
          <w:sz w:val="24"/>
          <w:szCs w:val="24"/>
        </w:rPr>
        <w:t xml:space="preserve"> policies to ensure effective organisational management and compliance with legislation and good governance framework. </w:t>
      </w:r>
      <w:r w:rsidR="003F0CFC" w:rsidRPr="00831A68">
        <w:rPr>
          <w:rFonts w:ascii="Times New Roman" w:hAnsi="Times New Roman"/>
          <w:sz w:val="24"/>
          <w:szCs w:val="24"/>
        </w:rPr>
        <w:t xml:space="preserve">The vacancy rate was reduced to 10.5% by March 2016 from 15.4% in the last financial year. The debt recovery book value was reduced from R34 786 million in 20914/15 to R16 506 million in 2015/16 financial year. Debt recovery still remains a challenge for the School with an average of 72 days taken to collect payments due. The ICT Disaster Recovery Solution was successfully implemented and approval obtained for SITA to fully manage the Virtual Private Network and BAS back-up.  </w:t>
      </w:r>
    </w:p>
    <w:p w:rsidR="003F0CFC" w:rsidRPr="00831A68" w:rsidRDefault="003F0CFC" w:rsidP="000E055C">
      <w:pPr>
        <w:spacing w:line="360" w:lineRule="auto"/>
        <w:jc w:val="both"/>
        <w:rPr>
          <w:rFonts w:ascii="Times New Roman" w:hAnsi="Times New Roman"/>
          <w:sz w:val="24"/>
          <w:szCs w:val="24"/>
        </w:rPr>
      </w:pPr>
    </w:p>
    <w:p w:rsidR="006A3F9A" w:rsidRPr="00831A68" w:rsidRDefault="003F0CFC" w:rsidP="000E055C">
      <w:pPr>
        <w:spacing w:line="360" w:lineRule="auto"/>
        <w:jc w:val="both"/>
        <w:rPr>
          <w:rFonts w:ascii="Times New Roman" w:hAnsi="Times New Roman"/>
          <w:sz w:val="24"/>
          <w:szCs w:val="24"/>
        </w:rPr>
      </w:pPr>
      <w:r w:rsidRPr="00831A68">
        <w:rPr>
          <w:rFonts w:ascii="Times New Roman" w:hAnsi="Times New Roman"/>
          <w:sz w:val="24"/>
          <w:szCs w:val="24"/>
        </w:rPr>
        <w:t>T</w:t>
      </w:r>
      <w:r w:rsidR="006A3F9A" w:rsidRPr="00831A68">
        <w:rPr>
          <w:rFonts w:ascii="Times New Roman" w:hAnsi="Times New Roman"/>
          <w:sz w:val="24"/>
          <w:szCs w:val="24"/>
        </w:rPr>
        <w:t xml:space="preserve">he School developed </w:t>
      </w:r>
      <w:r w:rsidR="00CE11F3" w:rsidRPr="00831A68">
        <w:rPr>
          <w:rFonts w:ascii="Times New Roman" w:hAnsi="Times New Roman"/>
          <w:sz w:val="24"/>
          <w:szCs w:val="24"/>
        </w:rPr>
        <w:t xml:space="preserve">a </w:t>
      </w:r>
      <w:r w:rsidR="008A4F05" w:rsidRPr="00831A68">
        <w:rPr>
          <w:rFonts w:ascii="Times New Roman" w:hAnsi="Times New Roman"/>
          <w:sz w:val="24"/>
          <w:szCs w:val="24"/>
        </w:rPr>
        <w:t>five-</w:t>
      </w:r>
      <w:r w:rsidR="00641E18" w:rsidRPr="00831A68">
        <w:rPr>
          <w:rFonts w:ascii="Times New Roman" w:hAnsi="Times New Roman"/>
          <w:sz w:val="24"/>
          <w:szCs w:val="24"/>
        </w:rPr>
        <w:t>year Strategic and Annual Performance P</w:t>
      </w:r>
      <w:r w:rsidR="006A3F9A" w:rsidRPr="00831A68">
        <w:rPr>
          <w:rFonts w:ascii="Times New Roman" w:hAnsi="Times New Roman"/>
          <w:sz w:val="24"/>
          <w:szCs w:val="24"/>
        </w:rPr>
        <w:t xml:space="preserve">lan which </w:t>
      </w:r>
      <w:r w:rsidR="00CE11F3" w:rsidRPr="00831A68">
        <w:rPr>
          <w:rFonts w:ascii="Times New Roman" w:hAnsi="Times New Roman"/>
          <w:sz w:val="24"/>
          <w:szCs w:val="24"/>
        </w:rPr>
        <w:t xml:space="preserve">was </w:t>
      </w:r>
      <w:r w:rsidR="00550BA2" w:rsidRPr="00831A68">
        <w:rPr>
          <w:rFonts w:ascii="Times New Roman" w:hAnsi="Times New Roman"/>
          <w:sz w:val="24"/>
          <w:szCs w:val="24"/>
        </w:rPr>
        <w:t>tabled on time in Parliament. All employees signed Performance Agreements in the School. Furthermore</w:t>
      </w:r>
      <w:r w:rsidR="006A3F9A" w:rsidRPr="00831A68">
        <w:rPr>
          <w:rFonts w:ascii="Times New Roman" w:hAnsi="Times New Roman"/>
          <w:sz w:val="24"/>
          <w:szCs w:val="24"/>
        </w:rPr>
        <w:t xml:space="preserve">, </w:t>
      </w:r>
      <w:r w:rsidR="00CE11F3" w:rsidRPr="00831A68">
        <w:rPr>
          <w:rFonts w:ascii="Times New Roman" w:hAnsi="Times New Roman"/>
          <w:sz w:val="24"/>
          <w:szCs w:val="24"/>
        </w:rPr>
        <w:t xml:space="preserve">the NSG </w:t>
      </w:r>
      <w:r w:rsidR="006A3F9A" w:rsidRPr="00831A68">
        <w:rPr>
          <w:rFonts w:ascii="Times New Roman" w:hAnsi="Times New Roman"/>
          <w:sz w:val="24"/>
          <w:szCs w:val="24"/>
        </w:rPr>
        <w:t xml:space="preserve">aligned the Service Delivery Improvement Plan </w:t>
      </w:r>
      <w:r w:rsidR="00CE11F3" w:rsidRPr="00831A68">
        <w:rPr>
          <w:rFonts w:ascii="Times New Roman" w:hAnsi="Times New Roman"/>
          <w:sz w:val="24"/>
          <w:szCs w:val="24"/>
        </w:rPr>
        <w:t xml:space="preserve">(SDIP) </w:t>
      </w:r>
      <w:r w:rsidR="006A3F9A" w:rsidRPr="00831A68">
        <w:rPr>
          <w:rFonts w:ascii="Times New Roman" w:hAnsi="Times New Roman"/>
          <w:sz w:val="24"/>
          <w:szCs w:val="24"/>
        </w:rPr>
        <w:t xml:space="preserve">with </w:t>
      </w:r>
      <w:r w:rsidR="00641E18" w:rsidRPr="00831A68">
        <w:rPr>
          <w:rFonts w:ascii="Times New Roman" w:hAnsi="Times New Roman"/>
          <w:sz w:val="24"/>
          <w:szCs w:val="24"/>
        </w:rPr>
        <w:t xml:space="preserve">the </w:t>
      </w:r>
      <w:r w:rsidR="006A3F9A" w:rsidRPr="00831A68">
        <w:rPr>
          <w:rFonts w:ascii="Times New Roman" w:hAnsi="Times New Roman"/>
          <w:sz w:val="24"/>
          <w:szCs w:val="24"/>
        </w:rPr>
        <w:t>M</w:t>
      </w:r>
      <w:r w:rsidR="00CE11F3" w:rsidRPr="00831A68">
        <w:rPr>
          <w:rFonts w:ascii="Times New Roman" w:hAnsi="Times New Roman"/>
          <w:sz w:val="24"/>
          <w:szCs w:val="24"/>
        </w:rPr>
        <w:t xml:space="preserve">edium </w:t>
      </w:r>
      <w:r w:rsidR="006A3F9A" w:rsidRPr="00831A68">
        <w:rPr>
          <w:rFonts w:ascii="Times New Roman" w:hAnsi="Times New Roman"/>
          <w:sz w:val="24"/>
          <w:szCs w:val="24"/>
        </w:rPr>
        <w:t>T</w:t>
      </w:r>
      <w:r w:rsidR="00CE11F3" w:rsidRPr="00831A68">
        <w:rPr>
          <w:rFonts w:ascii="Times New Roman" w:hAnsi="Times New Roman"/>
          <w:sz w:val="24"/>
          <w:szCs w:val="24"/>
        </w:rPr>
        <w:t xml:space="preserve">erm </w:t>
      </w:r>
      <w:r w:rsidR="006A3F9A" w:rsidRPr="00831A68">
        <w:rPr>
          <w:rFonts w:ascii="Times New Roman" w:hAnsi="Times New Roman"/>
          <w:sz w:val="24"/>
          <w:szCs w:val="24"/>
        </w:rPr>
        <w:t>S</w:t>
      </w:r>
      <w:r w:rsidR="00CE11F3" w:rsidRPr="00831A68">
        <w:rPr>
          <w:rFonts w:ascii="Times New Roman" w:hAnsi="Times New Roman"/>
          <w:sz w:val="24"/>
          <w:szCs w:val="24"/>
        </w:rPr>
        <w:t xml:space="preserve">trategic </w:t>
      </w:r>
      <w:r w:rsidR="006A3F9A" w:rsidRPr="00831A68">
        <w:rPr>
          <w:rFonts w:ascii="Times New Roman" w:hAnsi="Times New Roman"/>
          <w:sz w:val="24"/>
          <w:szCs w:val="24"/>
        </w:rPr>
        <w:t>F</w:t>
      </w:r>
      <w:r w:rsidR="00CE11F3" w:rsidRPr="00831A68">
        <w:rPr>
          <w:rFonts w:ascii="Times New Roman" w:hAnsi="Times New Roman"/>
          <w:sz w:val="24"/>
          <w:szCs w:val="24"/>
        </w:rPr>
        <w:t>ramework (MTSF)</w:t>
      </w:r>
      <w:r w:rsidR="006A3F9A" w:rsidRPr="00831A68">
        <w:rPr>
          <w:rFonts w:ascii="Times New Roman" w:hAnsi="Times New Roman"/>
          <w:sz w:val="24"/>
          <w:szCs w:val="24"/>
        </w:rPr>
        <w:t xml:space="preserve"> and </w:t>
      </w:r>
      <w:r w:rsidR="00CE11F3" w:rsidRPr="00831A68">
        <w:rPr>
          <w:rFonts w:ascii="Times New Roman" w:hAnsi="Times New Roman"/>
          <w:sz w:val="24"/>
          <w:szCs w:val="24"/>
        </w:rPr>
        <w:t>the S</w:t>
      </w:r>
      <w:r w:rsidR="006A3F9A" w:rsidRPr="00831A68">
        <w:rPr>
          <w:rFonts w:ascii="Times New Roman" w:hAnsi="Times New Roman"/>
          <w:sz w:val="24"/>
          <w:szCs w:val="24"/>
        </w:rPr>
        <w:t xml:space="preserve">trategic </w:t>
      </w:r>
      <w:r w:rsidR="00CE11F3" w:rsidRPr="00831A68">
        <w:rPr>
          <w:rFonts w:ascii="Times New Roman" w:hAnsi="Times New Roman"/>
          <w:sz w:val="24"/>
          <w:szCs w:val="24"/>
        </w:rPr>
        <w:t>P</w:t>
      </w:r>
      <w:r w:rsidR="006A3F9A" w:rsidRPr="00831A68">
        <w:rPr>
          <w:rFonts w:ascii="Times New Roman" w:hAnsi="Times New Roman"/>
          <w:sz w:val="24"/>
          <w:szCs w:val="24"/>
        </w:rPr>
        <w:t xml:space="preserve">lan for 2015-2020. </w:t>
      </w:r>
      <w:r w:rsidR="00550BA2" w:rsidRPr="00831A68">
        <w:rPr>
          <w:rFonts w:ascii="Times New Roman" w:hAnsi="Times New Roman"/>
          <w:sz w:val="24"/>
          <w:szCs w:val="24"/>
        </w:rPr>
        <w:t xml:space="preserve">The average time taken to collect payments was 72 days arising from learning and development interventions. Average time taken to collect debts is gradually been reduced as compared to 90 days taken in 2014/15. All payments were processed within the required period of 30 days as per the Treasury Regulations.  </w:t>
      </w:r>
    </w:p>
    <w:p w:rsidR="006A3F9A" w:rsidRPr="00831A68" w:rsidRDefault="006A3F9A" w:rsidP="000E055C">
      <w:pPr>
        <w:spacing w:line="360" w:lineRule="auto"/>
        <w:jc w:val="both"/>
        <w:rPr>
          <w:rFonts w:ascii="Times New Roman" w:hAnsi="Times New Roman"/>
          <w:sz w:val="24"/>
          <w:szCs w:val="24"/>
        </w:rPr>
      </w:pPr>
    </w:p>
    <w:p w:rsidR="000E055C" w:rsidRPr="00831A68" w:rsidRDefault="00282D52" w:rsidP="008D3C1B">
      <w:pPr>
        <w:pStyle w:val="ListParagraph"/>
        <w:numPr>
          <w:ilvl w:val="0"/>
          <w:numId w:val="7"/>
        </w:numPr>
        <w:spacing w:line="360" w:lineRule="auto"/>
        <w:ind w:hanging="720"/>
        <w:jc w:val="both"/>
        <w:rPr>
          <w:rFonts w:ascii="Times New Roman" w:hAnsi="Times New Roman"/>
          <w:b/>
          <w:sz w:val="24"/>
          <w:szCs w:val="24"/>
        </w:rPr>
      </w:pPr>
      <w:r w:rsidRPr="00831A68">
        <w:rPr>
          <w:rFonts w:ascii="Times New Roman" w:hAnsi="Times New Roman"/>
          <w:b/>
          <w:sz w:val="24"/>
          <w:szCs w:val="24"/>
        </w:rPr>
        <w:t xml:space="preserve">Programme 2: </w:t>
      </w:r>
      <w:r w:rsidR="000E055C" w:rsidRPr="00831A68">
        <w:rPr>
          <w:rFonts w:ascii="Times New Roman" w:hAnsi="Times New Roman"/>
          <w:b/>
          <w:sz w:val="24"/>
          <w:szCs w:val="24"/>
        </w:rPr>
        <w:t>Public Sector Organisational and Staff Development</w:t>
      </w:r>
    </w:p>
    <w:p w:rsidR="00282D52" w:rsidRPr="00831A68" w:rsidRDefault="000E055C"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main aim of the Public Sector Organisational and Staff Development Programme is to facilitate transfer </w:t>
      </w:r>
      <w:r w:rsidR="008A4F05" w:rsidRPr="00831A68">
        <w:rPr>
          <w:rFonts w:ascii="Times New Roman" w:hAnsi="Times New Roman"/>
          <w:sz w:val="24"/>
          <w:szCs w:val="24"/>
        </w:rPr>
        <w:t xml:space="preserve">of </w:t>
      </w:r>
      <w:r w:rsidRPr="00831A68">
        <w:rPr>
          <w:rFonts w:ascii="Times New Roman" w:hAnsi="Times New Roman"/>
          <w:sz w:val="24"/>
          <w:szCs w:val="24"/>
        </w:rPr>
        <w:t>payments to the Training Trading Account for management development and the training of public sector em</w:t>
      </w:r>
      <w:r w:rsidR="009F7CB4" w:rsidRPr="00831A68">
        <w:rPr>
          <w:rFonts w:ascii="Times New Roman" w:hAnsi="Times New Roman"/>
          <w:sz w:val="24"/>
          <w:szCs w:val="24"/>
        </w:rPr>
        <w:t>ployees. The programme caters for the</w:t>
      </w:r>
      <w:r w:rsidRPr="00831A68">
        <w:rPr>
          <w:rFonts w:ascii="Times New Roman" w:hAnsi="Times New Roman"/>
          <w:sz w:val="24"/>
          <w:szCs w:val="24"/>
        </w:rPr>
        <w:t xml:space="preserve"> School Training Trading Account which compr</w:t>
      </w:r>
      <w:r w:rsidR="009F7CB4" w:rsidRPr="00831A68">
        <w:rPr>
          <w:rFonts w:ascii="Times New Roman" w:hAnsi="Times New Roman"/>
          <w:sz w:val="24"/>
          <w:szCs w:val="24"/>
        </w:rPr>
        <w:t>ises of the following three sub-</w:t>
      </w:r>
      <w:r w:rsidRPr="00831A68">
        <w:rPr>
          <w:rFonts w:ascii="Times New Roman" w:hAnsi="Times New Roman"/>
          <w:sz w:val="24"/>
          <w:szCs w:val="24"/>
        </w:rPr>
        <w:t>components</w:t>
      </w:r>
      <w:r w:rsidR="009F7CB4" w:rsidRPr="00831A68">
        <w:rPr>
          <w:rFonts w:ascii="Times New Roman" w:hAnsi="Times New Roman"/>
          <w:sz w:val="24"/>
          <w:szCs w:val="24"/>
        </w:rPr>
        <w:t xml:space="preserve">: the </w:t>
      </w:r>
      <w:r w:rsidRPr="00831A68">
        <w:rPr>
          <w:rFonts w:ascii="Times New Roman" w:hAnsi="Times New Roman"/>
          <w:sz w:val="24"/>
          <w:szCs w:val="24"/>
        </w:rPr>
        <w:t>Training Poli</w:t>
      </w:r>
      <w:r w:rsidR="009F7CB4" w:rsidRPr="00831A68">
        <w:rPr>
          <w:rFonts w:ascii="Times New Roman" w:hAnsi="Times New Roman"/>
          <w:sz w:val="24"/>
          <w:szCs w:val="24"/>
        </w:rPr>
        <w:t>cy and Planning;</w:t>
      </w:r>
      <w:r w:rsidRPr="00831A68">
        <w:rPr>
          <w:rFonts w:ascii="Times New Roman" w:hAnsi="Times New Roman"/>
          <w:sz w:val="24"/>
          <w:szCs w:val="24"/>
        </w:rPr>
        <w:t xml:space="preserve"> Training Management and Delivery</w:t>
      </w:r>
      <w:r w:rsidR="00C74FB5" w:rsidRPr="00831A68">
        <w:rPr>
          <w:rFonts w:ascii="Times New Roman" w:hAnsi="Times New Roman"/>
          <w:sz w:val="24"/>
          <w:szCs w:val="24"/>
        </w:rPr>
        <w:t>;</w:t>
      </w:r>
      <w:r w:rsidRPr="00831A68">
        <w:rPr>
          <w:rFonts w:ascii="Times New Roman" w:hAnsi="Times New Roman"/>
          <w:sz w:val="24"/>
          <w:szCs w:val="24"/>
        </w:rPr>
        <w:t xml:space="preserve"> and Specialised Services. </w:t>
      </w:r>
      <w:r w:rsidR="00FA62A1" w:rsidRPr="00831A68">
        <w:rPr>
          <w:rFonts w:ascii="Times New Roman" w:hAnsi="Times New Roman"/>
          <w:sz w:val="24"/>
          <w:szCs w:val="24"/>
        </w:rPr>
        <w:t>Programme 2 was allocat</w:t>
      </w:r>
      <w:r w:rsidR="004640E2" w:rsidRPr="00831A68">
        <w:rPr>
          <w:rFonts w:ascii="Times New Roman" w:hAnsi="Times New Roman"/>
          <w:sz w:val="24"/>
          <w:szCs w:val="24"/>
        </w:rPr>
        <w:t>ed a final appropriation of R47</w:t>
      </w:r>
      <w:r w:rsidR="009F7CB4" w:rsidRPr="00831A68">
        <w:rPr>
          <w:rFonts w:ascii="Times New Roman" w:hAnsi="Times New Roman"/>
          <w:sz w:val="24"/>
          <w:szCs w:val="24"/>
        </w:rPr>
        <w:t>.</w:t>
      </w:r>
      <w:r w:rsidR="004640E2" w:rsidRPr="00831A68">
        <w:rPr>
          <w:rFonts w:ascii="Times New Roman" w:hAnsi="Times New Roman"/>
          <w:sz w:val="24"/>
          <w:szCs w:val="24"/>
        </w:rPr>
        <w:t>79</w:t>
      </w:r>
      <w:r w:rsidR="00FA62A1" w:rsidRPr="00831A68">
        <w:rPr>
          <w:rFonts w:ascii="Times New Roman" w:hAnsi="Times New Roman"/>
          <w:sz w:val="24"/>
          <w:szCs w:val="24"/>
        </w:rPr>
        <w:t xml:space="preserve">7 million and </w:t>
      </w:r>
      <w:r w:rsidR="004640E2" w:rsidRPr="00831A68">
        <w:rPr>
          <w:rFonts w:ascii="Times New Roman" w:hAnsi="Times New Roman"/>
          <w:sz w:val="24"/>
          <w:szCs w:val="24"/>
        </w:rPr>
        <w:t>the expenditure of R47</w:t>
      </w:r>
      <w:r w:rsidR="009F7CB4" w:rsidRPr="00831A68">
        <w:rPr>
          <w:rFonts w:ascii="Times New Roman" w:hAnsi="Times New Roman"/>
          <w:sz w:val="24"/>
          <w:szCs w:val="24"/>
        </w:rPr>
        <w:t>.</w:t>
      </w:r>
      <w:r w:rsidR="004640E2" w:rsidRPr="00831A68">
        <w:rPr>
          <w:rFonts w:ascii="Times New Roman" w:hAnsi="Times New Roman"/>
          <w:sz w:val="24"/>
          <w:szCs w:val="24"/>
        </w:rPr>
        <w:t>7</w:t>
      </w:r>
      <w:r w:rsidR="00FA62A1" w:rsidRPr="00831A68">
        <w:rPr>
          <w:rFonts w:ascii="Times New Roman" w:hAnsi="Times New Roman"/>
          <w:sz w:val="24"/>
          <w:szCs w:val="24"/>
        </w:rPr>
        <w:t>9</w:t>
      </w:r>
      <w:r w:rsidR="004640E2" w:rsidRPr="00831A68">
        <w:rPr>
          <w:rFonts w:ascii="Times New Roman" w:hAnsi="Times New Roman"/>
          <w:sz w:val="24"/>
          <w:szCs w:val="24"/>
        </w:rPr>
        <w:t>5</w:t>
      </w:r>
      <w:r w:rsidR="00FA62A1" w:rsidRPr="00831A68">
        <w:rPr>
          <w:rFonts w:ascii="Times New Roman" w:hAnsi="Times New Roman"/>
          <w:sz w:val="24"/>
          <w:szCs w:val="24"/>
        </w:rPr>
        <w:t xml:space="preserve"> million </w:t>
      </w:r>
      <w:r w:rsidR="008A4F05" w:rsidRPr="00831A68">
        <w:rPr>
          <w:rFonts w:ascii="Times New Roman" w:hAnsi="Times New Roman"/>
          <w:sz w:val="24"/>
          <w:szCs w:val="24"/>
        </w:rPr>
        <w:t>was realised</w:t>
      </w:r>
      <w:r w:rsidR="009F7CB4" w:rsidRPr="00831A68">
        <w:rPr>
          <w:rFonts w:ascii="Times New Roman" w:hAnsi="Times New Roman"/>
          <w:sz w:val="24"/>
          <w:szCs w:val="24"/>
        </w:rPr>
        <w:t>,</w:t>
      </w:r>
      <w:r w:rsidR="008A4F05" w:rsidRPr="00831A68">
        <w:rPr>
          <w:rFonts w:ascii="Times New Roman" w:hAnsi="Times New Roman"/>
          <w:sz w:val="24"/>
          <w:szCs w:val="24"/>
        </w:rPr>
        <w:t xml:space="preserve"> which is</w:t>
      </w:r>
      <w:r w:rsidR="00FA62A1" w:rsidRPr="00831A68">
        <w:rPr>
          <w:rFonts w:ascii="Times New Roman" w:hAnsi="Times New Roman"/>
          <w:sz w:val="24"/>
          <w:szCs w:val="24"/>
        </w:rPr>
        <w:t xml:space="preserve"> </w:t>
      </w:r>
      <w:r w:rsidR="009F7CB4" w:rsidRPr="00831A68">
        <w:rPr>
          <w:rFonts w:ascii="Times New Roman" w:hAnsi="Times New Roman"/>
          <w:sz w:val="24"/>
          <w:szCs w:val="24"/>
        </w:rPr>
        <w:t xml:space="preserve">at </w:t>
      </w:r>
      <w:r w:rsidR="00FA62A1" w:rsidRPr="00831A68">
        <w:rPr>
          <w:rFonts w:ascii="Times New Roman" w:hAnsi="Times New Roman"/>
          <w:sz w:val="24"/>
          <w:szCs w:val="24"/>
        </w:rPr>
        <w:t xml:space="preserve">100%. </w:t>
      </w:r>
    </w:p>
    <w:p w:rsidR="00701DE2" w:rsidRPr="00831A68" w:rsidRDefault="00701DE2" w:rsidP="000E055C">
      <w:pPr>
        <w:spacing w:line="360" w:lineRule="auto"/>
        <w:jc w:val="both"/>
        <w:rPr>
          <w:rFonts w:ascii="Times New Roman" w:hAnsi="Times New Roman"/>
          <w:b/>
          <w:sz w:val="24"/>
          <w:szCs w:val="24"/>
        </w:rPr>
      </w:pPr>
    </w:p>
    <w:p w:rsidR="002D26A4" w:rsidRPr="00831A68" w:rsidRDefault="002D26A4" w:rsidP="000E055C">
      <w:pPr>
        <w:spacing w:line="360" w:lineRule="auto"/>
        <w:jc w:val="both"/>
        <w:rPr>
          <w:rFonts w:ascii="Times New Roman" w:hAnsi="Times New Roman"/>
          <w:sz w:val="24"/>
          <w:szCs w:val="24"/>
          <w:lang w:val="en-ZA" w:eastAsia="en-ZA"/>
        </w:rPr>
      </w:pPr>
      <w:r w:rsidRPr="00831A68">
        <w:rPr>
          <w:rFonts w:ascii="Times New Roman" w:hAnsi="Times New Roman"/>
          <w:sz w:val="24"/>
          <w:szCs w:val="24"/>
          <w:lang w:val="en-ZA" w:eastAsia="en-ZA"/>
        </w:rPr>
        <w:t>The Sub-programme: Training Policy and Planning commissioned and published several research projects. The School held seven roundtable discussions on various topics. Approximately seven research papers were presented in different conferences and eight papers articles/journals published. A total of 661 learning and development facilitators, moderators and assessors were contracted</w:t>
      </w:r>
      <w:r w:rsidR="00FE1FCF" w:rsidRPr="00831A68">
        <w:rPr>
          <w:rFonts w:ascii="Times New Roman" w:hAnsi="Times New Roman"/>
          <w:sz w:val="24"/>
          <w:szCs w:val="24"/>
          <w:lang w:val="en-ZA" w:eastAsia="en-ZA"/>
        </w:rPr>
        <w:t>. Out of 153 IICs were re-contracted.</w:t>
      </w:r>
      <w:r w:rsidR="00774B9A" w:rsidRPr="00831A68">
        <w:rPr>
          <w:rFonts w:ascii="Times New Roman" w:hAnsi="Times New Roman"/>
          <w:sz w:val="24"/>
          <w:szCs w:val="24"/>
          <w:lang w:val="en-ZA" w:eastAsia="en-ZA"/>
        </w:rPr>
        <w:t xml:space="preserve"> </w:t>
      </w:r>
      <w:r w:rsidR="00FE1FCF" w:rsidRPr="00831A68">
        <w:rPr>
          <w:rFonts w:ascii="Times New Roman" w:hAnsi="Times New Roman"/>
          <w:sz w:val="24"/>
          <w:szCs w:val="24"/>
          <w:lang w:val="en-ZA" w:eastAsia="en-ZA"/>
        </w:rPr>
        <w:t xml:space="preserve"> </w:t>
      </w:r>
    </w:p>
    <w:p w:rsidR="002D26A4" w:rsidRPr="00831A68" w:rsidRDefault="002D26A4" w:rsidP="000E055C">
      <w:pPr>
        <w:spacing w:line="360" w:lineRule="auto"/>
        <w:jc w:val="both"/>
        <w:rPr>
          <w:rFonts w:ascii="Times New Roman" w:hAnsi="Times New Roman"/>
          <w:sz w:val="24"/>
          <w:szCs w:val="24"/>
          <w:lang w:val="en-ZA" w:eastAsia="en-ZA"/>
        </w:rPr>
      </w:pPr>
    </w:p>
    <w:p w:rsidR="00774B9A" w:rsidRPr="00831A68" w:rsidRDefault="00774B9A" w:rsidP="000E055C">
      <w:pPr>
        <w:spacing w:line="360" w:lineRule="auto"/>
        <w:jc w:val="both"/>
        <w:rPr>
          <w:rFonts w:ascii="Times New Roman" w:hAnsi="Times New Roman"/>
          <w:sz w:val="24"/>
          <w:szCs w:val="24"/>
          <w:lang w:val="en-ZA" w:eastAsia="en-ZA"/>
        </w:rPr>
      </w:pPr>
      <w:r w:rsidRPr="00831A68">
        <w:rPr>
          <w:rFonts w:ascii="Times New Roman" w:hAnsi="Times New Roman"/>
          <w:sz w:val="24"/>
          <w:szCs w:val="24"/>
          <w:lang w:val="en-ZA" w:eastAsia="en-ZA"/>
        </w:rPr>
        <w:t>A target of 29 350 of</w:t>
      </w:r>
      <w:r w:rsidR="00883941" w:rsidRPr="00831A68">
        <w:rPr>
          <w:rFonts w:ascii="Times New Roman" w:hAnsi="Times New Roman"/>
          <w:sz w:val="24"/>
          <w:szCs w:val="24"/>
          <w:lang w:val="en-ZA" w:eastAsia="en-ZA"/>
        </w:rPr>
        <w:t xml:space="preserve"> new public servants </w:t>
      </w:r>
      <w:r w:rsidRPr="00831A68">
        <w:rPr>
          <w:rFonts w:ascii="Times New Roman" w:hAnsi="Times New Roman"/>
          <w:sz w:val="24"/>
          <w:szCs w:val="24"/>
          <w:lang w:val="en-ZA" w:eastAsia="en-ZA"/>
        </w:rPr>
        <w:t xml:space="preserve">to undergo through </w:t>
      </w:r>
      <w:r w:rsidR="00883941" w:rsidRPr="00831A68">
        <w:rPr>
          <w:rFonts w:ascii="Times New Roman" w:hAnsi="Times New Roman"/>
          <w:sz w:val="24"/>
          <w:szCs w:val="24"/>
          <w:lang w:val="en-ZA" w:eastAsia="en-ZA"/>
        </w:rPr>
        <w:t>C</w:t>
      </w:r>
      <w:r w:rsidRPr="00831A68">
        <w:rPr>
          <w:rFonts w:ascii="Times New Roman" w:hAnsi="Times New Roman"/>
          <w:sz w:val="24"/>
          <w:szCs w:val="24"/>
          <w:lang w:val="en-ZA" w:eastAsia="en-ZA"/>
        </w:rPr>
        <w:t xml:space="preserve">ompulsory </w:t>
      </w:r>
      <w:r w:rsidR="00883941" w:rsidRPr="00831A68">
        <w:rPr>
          <w:rFonts w:ascii="Times New Roman" w:hAnsi="Times New Roman"/>
          <w:sz w:val="24"/>
          <w:szCs w:val="24"/>
          <w:lang w:val="en-ZA" w:eastAsia="en-ZA"/>
        </w:rPr>
        <w:t>I</w:t>
      </w:r>
      <w:r w:rsidRPr="00831A68">
        <w:rPr>
          <w:rFonts w:ascii="Times New Roman" w:hAnsi="Times New Roman"/>
          <w:sz w:val="24"/>
          <w:szCs w:val="24"/>
          <w:lang w:val="en-ZA" w:eastAsia="en-ZA"/>
        </w:rPr>
        <w:t xml:space="preserve">nduction </w:t>
      </w:r>
      <w:r w:rsidR="00883941" w:rsidRPr="00831A68">
        <w:rPr>
          <w:rFonts w:ascii="Times New Roman" w:hAnsi="Times New Roman"/>
          <w:sz w:val="24"/>
          <w:szCs w:val="24"/>
          <w:lang w:val="en-ZA" w:eastAsia="en-ZA"/>
        </w:rPr>
        <w:t>P</w:t>
      </w:r>
      <w:r w:rsidRPr="00831A68">
        <w:rPr>
          <w:rFonts w:ascii="Times New Roman" w:hAnsi="Times New Roman"/>
          <w:sz w:val="24"/>
          <w:szCs w:val="24"/>
          <w:lang w:val="en-ZA" w:eastAsia="en-ZA"/>
        </w:rPr>
        <w:t>rogramme</w:t>
      </w:r>
      <w:r w:rsidR="00883941" w:rsidRPr="00831A68">
        <w:rPr>
          <w:rFonts w:ascii="Times New Roman" w:hAnsi="Times New Roman"/>
          <w:sz w:val="24"/>
          <w:szCs w:val="24"/>
          <w:lang w:val="en-ZA" w:eastAsia="en-ZA"/>
        </w:rPr>
        <w:t xml:space="preserve"> </w:t>
      </w:r>
      <w:r w:rsidR="008A4F05" w:rsidRPr="00831A68">
        <w:rPr>
          <w:rFonts w:ascii="Times New Roman" w:hAnsi="Times New Roman"/>
          <w:sz w:val="24"/>
          <w:szCs w:val="24"/>
          <w:lang w:val="en-ZA" w:eastAsia="en-ZA"/>
        </w:rPr>
        <w:t xml:space="preserve">was </w:t>
      </w:r>
      <w:r w:rsidR="00883941" w:rsidRPr="00831A68">
        <w:rPr>
          <w:rFonts w:ascii="Times New Roman" w:hAnsi="Times New Roman"/>
          <w:sz w:val="24"/>
          <w:szCs w:val="24"/>
          <w:lang w:val="en-ZA" w:eastAsia="en-ZA"/>
        </w:rPr>
        <w:t>n</w:t>
      </w:r>
      <w:r w:rsidR="008A4F05" w:rsidRPr="00831A68">
        <w:rPr>
          <w:rFonts w:ascii="Times New Roman" w:hAnsi="Times New Roman"/>
          <w:sz w:val="24"/>
          <w:szCs w:val="24"/>
          <w:lang w:val="en-ZA" w:eastAsia="en-ZA"/>
        </w:rPr>
        <w:t>ot achieved due to low uptake on</w:t>
      </w:r>
      <w:r w:rsidR="00883941" w:rsidRPr="00831A68">
        <w:rPr>
          <w:rFonts w:ascii="Times New Roman" w:hAnsi="Times New Roman"/>
          <w:sz w:val="24"/>
          <w:szCs w:val="24"/>
          <w:lang w:val="en-ZA" w:eastAsia="en-ZA"/>
        </w:rPr>
        <w:t xml:space="preserve"> training programme.</w:t>
      </w:r>
      <w:r w:rsidRPr="00831A68">
        <w:rPr>
          <w:rFonts w:ascii="Times New Roman" w:hAnsi="Times New Roman"/>
          <w:sz w:val="24"/>
          <w:szCs w:val="24"/>
          <w:lang w:val="en-ZA" w:eastAsia="en-ZA"/>
        </w:rPr>
        <w:t xml:space="preserve"> Of targeted number, 14 619 new public servants went through CIP, resulting to 50% achievement.</w:t>
      </w:r>
      <w:r w:rsidR="00A50BF5" w:rsidRPr="00831A68">
        <w:rPr>
          <w:rFonts w:ascii="Times New Roman" w:hAnsi="Times New Roman"/>
          <w:sz w:val="24"/>
          <w:szCs w:val="24"/>
          <w:lang w:val="en-ZA" w:eastAsia="en-ZA"/>
        </w:rPr>
        <w:t xml:space="preserve"> All four quarterly reports have been produced on the rollout of CIP.</w:t>
      </w:r>
      <w:r w:rsidRPr="00831A68">
        <w:rPr>
          <w:rFonts w:ascii="Times New Roman" w:hAnsi="Times New Roman"/>
          <w:sz w:val="24"/>
          <w:szCs w:val="24"/>
          <w:lang w:val="en-ZA" w:eastAsia="en-ZA"/>
        </w:rPr>
        <w:t xml:space="preserve"> A total of 1 784 unemployed youth graduates orientated through the Breaking Barriers to Entry (BB2E) programme and measured through attendance of formal training.</w:t>
      </w:r>
      <w:r w:rsidR="00A50BF5" w:rsidRPr="00831A68">
        <w:rPr>
          <w:rFonts w:ascii="Times New Roman" w:hAnsi="Times New Roman"/>
          <w:sz w:val="24"/>
          <w:szCs w:val="24"/>
          <w:lang w:val="en-ZA" w:eastAsia="en-ZA"/>
        </w:rPr>
        <w:t xml:space="preserve"> Policy for on-board capacity being drafted and not finalised for approval. Cabinet approved the utilisation of public servants for public service training. </w:t>
      </w:r>
    </w:p>
    <w:p w:rsidR="00A50BF5" w:rsidRPr="00831A68" w:rsidRDefault="00A50BF5" w:rsidP="000E055C">
      <w:pPr>
        <w:spacing w:line="360" w:lineRule="auto"/>
        <w:jc w:val="both"/>
        <w:rPr>
          <w:rFonts w:ascii="Times New Roman" w:hAnsi="Times New Roman"/>
          <w:sz w:val="24"/>
          <w:szCs w:val="24"/>
          <w:lang w:val="en-ZA" w:eastAsia="en-ZA"/>
        </w:rPr>
      </w:pPr>
    </w:p>
    <w:p w:rsidR="00883941" w:rsidRPr="00831A68" w:rsidRDefault="00A16FE2" w:rsidP="000E055C">
      <w:pPr>
        <w:spacing w:line="360" w:lineRule="auto"/>
        <w:jc w:val="both"/>
        <w:rPr>
          <w:rFonts w:ascii="Times New Roman" w:hAnsi="Times New Roman"/>
          <w:sz w:val="24"/>
          <w:szCs w:val="24"/>
          <w:lang w:val="en-ZA" w:eastAsia="en-ZA"/>
        </w:rPr>
      </w:pPr>
      <w:r w:rsidRPr="00831A68">
        <w:rPr>
          <w:rFonts w:ascii="Times New Roman" w:hAnsi="Times New Roman"/>
          <w:sz w:val="24"/>
          <w:szCs w:val="24"/>
          <w:lang w:val="en-ZA" w:eastAsia="en-ZA"/>
        </w:rPr>
        <w:t>IN</w:t>
      </w:r>
      <w:r w:rsidR="00C83D60" w:rsidRPr="00831A68">
        <w:rPr>
          <w:rFonts w:ascii="Times New Roman" w:hAnsi="Times New Roman"/>
          <w:sz w:val="24"/>
          <w:szCs w:val="24"/>
          <w:lang w:val="en-ZA" w:eastAsia="en-ZA"/>
        </w:rPr>
        <w:t xml:space="preserve"> 2014/15, the School</w:t>
      </w:r>
      <w:r w:rsidR="00883941" w:rsidRPr="00831A68">
        <w:rPr>
          <w:rFonts w:ascii="Times New Roman" w:hAnsi="Times New Roman"/>
          <w:sz w:val="24"/>
          <w:szCs w:val="24"/>
          <w:lang w:val="en-ZA" w:eastAsia="en-ZA"/>
        </w:rPr>
        <w:t xml:space="preserve"> developed a formal graduate (</w:t>
      </w:r>
      <w:r w:rsidR="00FD2BE6" w:rsidRPr="00831A68">
        <w:rPr>
          <w:rFonts w:ascii="Times New Roman" w:hAnsi="Times New Roman"/>
          <w:sz w:val="24"/>
          <w:szCs w:val="24"/>
          <w:lang w:val="en-ZA" w:eastAsia="en-ZA"/>
        </w:rPr>
        <w:t>internship</w:t>
      </w:r>
      <w:r w:rsidR="00883941" w:rsidRPr="00831A68">
        <w:rPr>
          <w:rFonts w:ascii="Times New Roman" w:hAnsi="Times New Roman"/>
          <w:sz w:val="24"/>
          <w:szCs w:val="24"/>
          <w:lang w:val="en-ZA" w:eastAsia="en-ZA"/>
        </w:rPr>
        <w:t xml:space="preserve">) and cadet (learnership) </w:t>
      </w:r>
      <w:r w:rsidR="00CE28FB" w:rsidRPr="00831A68">
        <w:rPr>
          <w:rFonts w:ascii="Times New Roman" w:hAnsi="Times New Roman"/>
          <w:sz w:val="24"/>
          <w:szCs w:val="24"/>
          <w:lang w:val="en-ZA" w:eastAsia="en-ZA"/>
        </w:rPr>
        <w:t xml:space="preserve">recruitment scheme </w:t>
      </w:r>
      <w:r w:rsidR="00FD2BE6" w:rsidRPr="00831A68">
        <w:rPr>
          <w:rFonts w:ascii="Times New Roman" w:hAnsi="Times New Roman"/>
          <w:sz w:val="24"/>
          <w:szCs w:val="24"/>
          <w:lang w:val="en-ZA" w:eastAsia="en-ZA"/>
        </w:rPr>
        <w:t xml:space="preserve">to be implemented by departments in attracting and nurturing young talent. </w:t>
      </w:r>
      <w:r w:rsidR="00C83D60" w:rsidRPr="00831A68">
        <w:rPr>
          <w:rFonts w:ascii="Times New Roman" w:hAnsi="Times New Roman"/>
          <w:sz w:val="24"/>
          <w:szCs w:val="24"/>
          <w:lang w:val="en-ZA" w:eastAsia="en-ZA"/>
        </w:rPr>
        <w:t xml:space="preserve">In 2015/16, recruitment scheme was not approved according to initial plan. The project is led by the Department of Public Service and Administration. </w:t>
      </w:r>
      <w:r w:rsidR="00A6785E" w:rsidRPr="00831A68">
        <w:rPr>
          <w:rFonts w:ascii="Times New Roman" w:hAnsi="Times New Roman"/>
          <w:sz w:val="24"/>
          <w:szCs w:val="24"/>
          <w:lang w:val="en-ZA" w:eastAsia="en-ZA"/>
        </w:rPr>
        <w:t>The establishment of the Learner Enrolment Centre has been completed and it is fully operational. T</w:t>
      </w:r>
      <w:r w:rsidR="00FD2BE6" w:rsidRPr="00831A68">
        <w:rPr>
          <w:rFonts w:ascii="Times New Roman" w:hAnsi="Times New Roman"/>
          <w:sz w:val="24"/>
          <w:szCs w:val="24"/>
          <w:lang w:val="en-ZA" w:eastAsia="en-ZA"/>
        </w:rPr>
        <w:t xml:space="preserve">he School developed and published </w:t>
      </w:r>
      <w:r w:rsidR="008A4F05" w:rsidRPr="00831A68">
        <w:rPr>
          <w:rFonts w:ascii="Times New Roman" w:hAnsi="Times New Roman"/>
          <w:sz w:val="24"/>
          <w:szCs w:val="24"/>
          <w:lang w:val="en-ZA" w:eastAsia="en-ZA"/>
        </w:rPr>
        <w:t xml:space="preserve">a </w:t>
      </w:r>
      <w:r w:rsidR="00FD2BE6" w:rsidRPr="00831A68">
        <w:rPr>
          <w:rFonts w:ascii="Times New Roman" w:hAnsi="Times New Roman"/>
          <w:sz w:val="24"/>
          <w:szCs w:val="24"/>
          <w:lang w:val="en-ZA" w:eastAsia="en-ZA"/>
        </w:rPr>
        <w:t xml:space="preserve">prospectus on the website to be accessible by the public servants. </w:t>
      </w:r>
      <w:r w:rsidR="008A4F05" w:rsidRPr="00831A68">
        <w:rPr>
          <w:rFonts w:ascii="Times New Roman" w:hAnsi="Times New Roman"/>
          <w:sz w:val="24"/>
          <w:szCs w:val="24"/>
          <w:lang w:val="en-ZA" w:eastAsia="en-ZA"/>
        </w:rPr>
        <w:t>The s</w:t>
      </w:r>
      <w:r w:rsidR="00FD2BE6" w:rsidRPr="00831A68">
        <w:rPr>
          <w:rFonts w:ascii="Times New Roman" w:hAnsi="Times New Roman"/>
          <w:sz w:val="24"/>
          <w:szCs w:val="24"/>
          <w:lang w:val="en-ZA" w:eastAsia="en-ZA"/>
        </w:rPr>
        <w:t xml:space="preserve">tatus of the NSG as an accredited training provider as well as accreditation of training </w:t>
      </w:r>
      <w:r w:rsidR="00CE72FF" w:rsidRPr="00831A68">
        <w:rPr>
          <w:rFonts w:ascii="Times New Roman" w:hAnsi="Times New Roman"/>
          <w:sz w:val="24"/>
          <w:szCs w:val="24"/>
          <w:lang w:val="en-ZA" w:eastAsia="en-ZA"/>
        </w:rPr>
        <w:t xml:space="preserve">programmes are monitored on </w:t>
      </w:r>
      <w:r w:rsidR="00CE28FB" w:rsidRPr="00831A68">
        <w:rPr>
          <w:rFonts w:ascii="Times New Roman" w:hAnsi="Times New Roman"/>
          <w:sz w:val="24"/>
          <w:szCs w:val="24"/>
          <w:lang w:val="en-ZA" w:eastAsia="en-ZA"/>
        </w:rPr>
        <w:t xml:space="preserve">a </w:t>
      </w:r>
      <w:r w:rsidR="00CE72FF" w:rsidRPr="00831A68">
        <w:rPr>
          <w:rFonts w:ascii="Times New Roman" w:hAnsi="Times New Roman"/>
          <w:sz w:val="24"/>
          <w:szCs w:val="24"/>
          <w:lang w:val="en-ZA" w:eastAsia="en-ZA"/>
        </w:rPr>
        <w:t>quarterly basis. The</w:t>
      </w:r>
      <w:r w:rsidR="00A6785E" w:rsidRPr="00831A68">
        <w:rPr>
          <w:rFonts w:ascii="Times New Roman" w:hAnsi="Times New Roman"/>
          <w:sz w:val="24"/>
          <w:szCs w:val="24"/>
          <w:lang w:val="en-ZA" w:eastAsia="en-ZA"/>
        </w:rPr>
        <w:t xml:space="preserve"> School of Government has been granted accreditation for the period 1 February 2016 to 31 March 2018 by the PSETA.</w:t>
      </w:r>
      <w:r w:rsidR="00CE72FF" w:rsidRPr="00831A68">
        <w:rPr>
          <w:rFonts w:ascii="Times New Roman" w:hAnsi="Times New Roman"/>
          <w:sz w:val="24"/>
          <w:szCs w:val="24"/>
          <w:lang w:val="en-ZA" w:eastAsia="en-ZA"/>
        </w:rPr>
        <w:t xml:space="preserve"> </w:t>
      </w:r>
    </w:p>
    <w:p w:rsidR="00883941" w:rsidRPr="00831A68" w:rsidRDefault="00883941" w:rsidP="000E055C">
      <w:pPr>
        <w:spacing w:line="360" w:lineRule="auto"/>
        <w:jc w:val="both"/>
        <w:rPr>
          <w:rFonts w:ascii="Times New Roman" w:hAnsi="Times New Roman"/>
          <w:sz w:val="24"/>
          <w:szCs w:val="24"/>
          <w:lang w:val="en-ZA" w:eastAsia="en-ZA"/>
        </w:rPr>
      </w:pPr>
    </w:p>
    <w:p w:rsidR="00570FF8" w:rsidRPr="00831A68" w:rsidRDefault="00570FF8"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Centre for Public Service Innovation</w:t>
      </w:r>
    </w:p>
    <w:p w:rsidR="008B3293" w:rsidRPr="00831A68" w:rsidRDefault="0047712E"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Centre for Public Service Innovation (CPSI) is an entity of the Ministry for the Public Service and Administration established to entrench and drive service delivery innovation across all sectors. </w:t>
      </w:r>
      <w:r w:rsidR="008B3293" w:rsidRPr="00831A68">
        <w:rPr>
          <w:rFonts w:ascii="Times New Roman" w:hAnsi="Times New Roman"/>
          <w:sz w:val="24"/>
          <w:szCs w:val="24"/>
        </w:rPr>
        <w:t xml:space="preserve">Chapter 3 of the National Development Plan (NDP) states that “Innovation across state, business and social sectors should start to become pervasive”. The NDP stipulates that innovation should also focus on improved public service delivery and on goods and services aimed at low-income sectors. </w:t>
      </w:r>
    </w:p>
    <w:p w:rsidR="008B3293" w:rsidRPr="00831A68" w:rsidRDefault="008B3293" w:rsidP="000E055C">
      <w:pPr>
        <w:spacing w:line="360" w:lineRule="auto"/>
        <w:jc w:val="both"/>
        <w:rPr>
          <w:rFonts w:ascii="Times New Roman" w:hAnsi="Times New Roman"/>
          <w:sz w:val="24"/>
          <w:szCs w:val="24"/>
        </w:rPr>
      </w:pPr>
    </w:p>
    <w:p w:rsidR="000E055C" w:rsidRPr="00831A68" w:rsidRDefault="008B3293" w:rsidP="000E055C">
      <w:pPr>
        <w:spacing w:line="360" w:lineRule="auto"/>
        <w:jc w:val="both"/>
        <w:rPr>
          <w:rFonts w:ascii="Times New Roman" w:hAnsi="Times New Roman"/>
          <w:sz w:val="24"/>
          <w:szCs w:val="24"/>
        </w:rPr>
      </w:pPr>
      <w:r w:rsidRPr="00831A68">
        <w:rPr>
          <w:rFonts w:ascii="Times New Roman" w:hAnsi="Times New Roman"/>
          <w:sz w:val="24"/>
          <w:szCs w:val="24"/>
        </w:rPr>
        <w:t>The CPSI is bridging</w:t>
      </w:r>
      <w:r w:rsidR="0047712E" w:rsidRPr="00831A68">
        <w:rPr>
          <w:rFonts w:ascii="Times New Roman" w:hAnsi="Times New Roman"/>
          <w:sz w:val="24"/>
          <w:szCs w:val="24"/>
        </w:rPr>
        <w:t xml:space="preserve"> the gap between the world of science and technology driven by the National System of Innovation led by the Department of Science and Technology. The National System of Innovation includes entities such as National Advisory Council on Innovation (NACI), the Innovation Hub and the Technology Innov</w:t>
      </w:r>
      <w:r w:rsidR="008A4F05" w:rsidRPr="00831A68">
        <w:rPr>
          <w:rFonts w:ascii="Times New Roman" w:hAnsi="Times New Roman"/>
          <w:sz w:val="24"/>
          <w:szCs w:val="24"/>
        </w:rPr>
        <w:t>ation Agency (TIA). The CPSI’s Strategic Plan is aligned to the G</w:t>
      </w:r>
      <w:r w:rsidR="0047712E" w:rsidRPr="00831A68">
        <w:rPr>
          <w:rFonts w:ascii="Times New Roman" w:hAnsi="Times New Roman"/>
          <w:sz w:val="24"/>
          <w:szCs w:val="24"/>
        </w:rPr>
        <w:t>overnment priority outcomes.</w:t>
      </w:r>
    </w:p>
    <w:p w:rsidR="0047712E" w:rsidRPr="00831A68" w:rsidRDefault="0047712E" w:rsidP="000E055C">
      <w:pPr>
        <w:spacing w:line="360" w:lineRule="auto"/>
        <w:jc w:val="both"/>
        <w:rPr>
          <w:rFonts w:ascii="Times New Roman" w:hAnsi="Times New Roman"/>
          <w:sz w:val="24"/>
          <w:szCs w:val="24"/>
        </w:rPr>
      </w:pPr>
    </w:p>
    <w:p w:rsidR="0047712E" w:rsidRDefault="0047712E"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budget of the CPSI is </w:t>
      </w:r>
      <w:r w:rsidR="00A01424" w:rsidRPr="00831A68">
        <w:rPr>
          <w:rFonts w:ascii="Times New Roman" w:hAnsi="Times New Roman"/>
          <w:sz w:val="24"/>
          <w:szCs w:val="24"/>
        </w:rPr>
        <w:t xml:space="preserve">transferred through </w:t>
      </w:r>
      <w:r w:rsidR="008A4F05" w:rsidRPr="00831A68">
        <w:rPr>
          <w:rFonts w:ascii="Times New Roman" w:hAnsi="Times New Roman"/>
          <w:sz w:val="24"/>
          <w:szCs w:val="24"/>
        </w:rPr>
        <w:t xml:space="preserve">the </w:t>
      </w:r>
      <w:r w:rsidR="00A01424" w:rsidRPr="00831A68">
        <w:rPr>
          <w:rFonts w:ascii="Times New Roman" w:hAnsi="Times New Roman"/>
          <w:sz w:val="24"/>
          <w:szCs w:val="24"/>
        </w:rPr>
        <w:t>budget vote</w:t>
      </w:r>
      <w:r w:rsidRPr="00831A68">
        <w:rPr>
          <w:rFonts w:ascii="Times New Roman" w:hAnsi="Times New Roman"/>
          <w:sz w:val="24"/>
          <w:szCs w:val="24"/>
        </w:rPr>
        <w:t xml:space="preserve"> of the Department of Public Service and Administration. </w:t>
      </w:r>
      <w:r w:rsidR="004F0E02" w:rsidRPr="00831A68">
        <w:rPr>
          <w:rFonts w:ascii="Times New Roman" w:hAnsi="Times New Roman"/>
          <w:sz w:val="24"/>
          <w:szCs w:val="24"/>
        </w:rPr>
        <w:t xml:space="preserve">In </w:t>
      </w:r>
      <w:r w:rsidR="00CE28FB" w:rsidRPr="00831A68">
        <w:rPr>
          <w:rFonts w:ascii="Times New Roman" w:hAnsi="Times New Roman"/>
          <w:sz w:val="24"/>
          <w:szCs w:val="24"/>
        </w:rPr>
        <w:t xml:space="preserve">the </w:t>
      </w:r>
      <w:r w:rsidR="000118EE" w:rsidRPr="00831A68">
        <w:rPr>
          <w:rFonts w:ascii="Times New Roman" w:hAnsi="Times New Roman"/>
          <w:sz w:val="24"/>
          <w:szCs w:val="24"/>
        </w:rPr>
        <w:t>2015</w:t>
      </w:r>
      <w:r w:rsidRPr="00831A68">
        <w:rPr>
          <w:rFonts w:ascii="Times New Roman" w:hAnsi="Times New Roman"/>
          <w:sz w:val="24"/>
          <w:szCs w:val="24"/>
        </w:rPr>
        <w:t>/1</w:t>
      </w:r>
      <w:r w:rsidR="000118EE" w:rsidRPr="00831A68">
        <w:rPr>
          <w:rFonts w:ascii="Times New Roman" w:hAnsi="Times New Roman"/>
          <w:sz w:val="24"/>
          <w:szCs w:val="24"/>
        </w:rPr>
        <w:t>6</w:t>
      </w:r>
      <w:r w:rsidRPr="00831A68">
        <w:rPr>
          <w:rFonts w:ascii="Times New Roman" w:hAnsi="Times New Roman"/>
          <w:sz w:val="24"/>
          <w:szCs w:val="24"/>
        </w:rPr>
        <w:t xml:space="preserve"> financial year, </w:t>
      </w:r>
      <w:r w:rsidR="004F0E02" w:rsidRPr="00831A68">
        <w:rPr>
          <w:rFonts w:ascii="Times New Roman" w:hAnsi="Times New Roman"/>
          <w:sz w:val="24"/>
          <w:szCs w:val="24"/>
        </w:rPr>
        <w:t xml:space="preserve">the final appropriation was </w:t>
      </w:r>
      <w:r w:rsidR="00A6785E" w:rsidRPr="00831A68">
        <w:rPr>
          <w:rFonts w:ascii="Times New Roman" w:hAnsi="Times New Roman"/>
          <w:sz w:val="24"/>
          <w:szCs w:val="24"/>
        </w:rPr>
        <w:t>R29</w:t>
      </w:r>
      <w:r w:rsidR="00CE28FB" w:rsidRPr="00831A68">
        <w:rPr>
          <w:rFonts w:ascii="Times New Roman" w:hAnsi="Times New Roman"/>
          <w:sz w:val="24"/>
          <w:szCs w:val="24"/>
        </w:rPr>
        <w:t>.</w:t>
      </w:r>
      <w:r w:rsidR="00A6785E" w:rsidRPr="00831A68">
        <w:rPr>
          <w:rFonts w:ascii="Times New Roman" w:hAnsi="Times New Roman"/>
          <w:sz w:val="24"/>
          <w:szCs w:val="24"/>
        </w:rPr>
        <w:t>00</w:t>
      </w:r>
      <w:r w:rsidR="004F0E02" w:rsidRPr="00831A68">
        <w:rPr>
          <w:rFonts w:ascii="Times New Roman" w:hAnsi="Times New Roman"/>
          <w:sz w:val="24"/>
          <w:szCs w:val="24"/>
        </w:rPr>
        <w:t>3</w:t>
      </w:r>
      <w:r w:rsidRPr="00831A68">
        <w:rPr>
          <w:rFonts w:ascii="Times New Roman" w:hAnsi="Times New Roman"/>
          <w:sz w:val="24"/>
          <w:szCs w:val="24"/>
        </w:rPr>
        <w:t xml:space="preserve"> million wit</w:t>
      </w:r>
      <w:r w:rsidR="00A6785E" w:rsidRPr="00831A68">
        <w:rPr>
          <w:rFonts w:ascii="Times New Roman" w:hAnsi="Times New Roman"/>
          <w:sz w:val="24"/>
          <w:szCs w:val="24"/>
        </w:rPr>
        <w:t>h the actual expenditure of R28</w:t>
      </w:r>
      <w:r w:rsidR="00CE28FB" w:rsidRPr="00831A68">
        <w:rPr>
          <w:rFonts w:ascii="Times New Roman" w:hAnsi="Times New Roman"/>
          <w:sz w:val="24"/>
          <w:szCs w:val="24"/>
        </w:rPr>
        <w:t>.</w:t>
      </w:r>
      <w:r w:rsidR="00A6785E" w:rsidRPr="00831A68">
        <w:rPr>
          <w:rFonts w:ascii="Times New Roman" w:hAnsi="Times New Roman"/>
          <w:sz w:val="24"/>
          <w:szCs w:val="24"/>
        </w:rPr>
        <w:t>055 million which represents 96.7</w:t>
      </w:r>
      <w:r w:rsidRPr="00831A68">
        <w:rPr>
          <w:rFonts w:ascii="Times New Roman" w:hAnsi="Times New Roman"/>
          <w:sz w:val="24"/>
          <w:szCs w:val="24"/>
        </w:rPr>
        <w:t xml:space="preserve">% of budget well spent. </w:t>
      </w:r>
      <w:r w:rsidR="008A4F05" w:rsidRPr="00831A68">
        <w:rPr>
          <w:rFonts w:ascii="Times New Roman" w:hAnsi="Times New Roman"/>
          <w:sz w:val="24"/>
          <w:szCs w:val="24"/>
        </w:rPr>
        <w:t xml:space="preserve">The </w:t>
      </w:r>
      <w:r w:rsidR="00B668FD" w:rsidRPr="00831A68">
        <w:rPr>
          <w:rFonts w:ascii="Times New Roman" w:hAnsi="Times New Roman"/>
          <w:sz w:val="24"/>
          <w:szCs w:val="24"/>
        </w:rPr>
        <w:t xml:space="preserve">CPSI was audited by the Auditor-General of South Africa. </w:t>
      </w:r>
    </w:p>
    <w:p w:rsidR="00831A68" w:rsidRPr="00831A68" w:rsidRDefault="00831A68" w:rsidP="000E055C">
      <w:pPr>
        <w:spacing w:line="360" w:lineRule="auto"/>
        <w:jc w:val="both"/>
        <w:rPr>
          <w:rFonts w:ascii="Times New Roman" w:hAnsi="Times New Roman"/>
          <w:sz w:val="24"/>
          <w:szCs w:val="24"/>
        </w:rPr>
      </w:pPr>
    </w:p>
    <w:p w:rsidR="00570FF8" w:rsidRPr="00831A68" w:rsidRDefault="00570FF8"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A</w:t>
      </w:r>
      <w:r w:rsidR="00B668FD" w:rsidRPr="00831A68">
        <w:rPr>
          <w:rFonts w:ascii="Times New Roman" w:eastAsia="Calibri" w:hAnsi="Times New Roman"/>
          <w:b/>
          <w:sz w:val="24"/>
          <w:szCs w:val="24"/>
          <w:lang w:val="en-US"/>
        </w:rPr>
        <w:t>UDITOR-GENERAL OUTCOMES</w:t>
      </w:r>
    </w:p>
    <w:p w:rsidR="00B668FD" w:rsidRPr="00831A68" w:rsidRDefault="00B668FD" w:rsidP="00B668FD">
      <w:pPr>
        <w:spacing w:line="360" w:lineRule="auto"/>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The following are matters raised pertaining </w:t>
      </w:r>
      <w:r w:rsidR="008A4F05" w:rsidRPr="00831A68">
        <w:rPr>
          <w:rFonts w:ascii="Times New Roman" w:eastAsia="Calibri" w:hAnsi="Times New Roman"/>
          <w:b/>
          <w:sz w:val="24"/>
          <w:szCs w:val="24"/>
          <w:lang w:val="en-US"/>
        </w:rPr>
        <w:t xml:space="preserve">to </w:t>
      </w:r>
      <w:r w:rsidRPr="00831A68">
        <w:rPr>
          <w:rFonts w:ascii="Times New Roman" w:eastAsia="Calibri" w:hAnsi="Times New Roman"/>
          <w:b/>
          <w:sz w:val="24"/>
          <w:szCs w:val="24"/>
          <w:lang w:val="en-US"/>
        </w:rPr>
        <w:t>the DPSA:</w:t>
      </w:r>
    </w:p>
    <w:p w:rsidR="00701DE2" w:rsidRPr="00831A68" w:rsidRDefault="00540839" w:rsidP="00097BF2">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Auditor-General has reported that financial statements present fairly in all material respects the financial position of the Department as at 31 March 201</w:t>
      </w:r>
      <w:r w:rsidR="008B3293" w:rsidRPr="00831A68">
        <w:rPr>
          <w:rFonts w:ascii="Times New Roman" w:hAnsi="Times New Roman"/>
          <w:sz w:val="24"/>
          <w:szCs w:val="24"/>
          <w:lang w:val="en-US"/>
        </w:rPr>
        <w:t>6</w:t>
      </w:r>
      <w:r w:rsidRPr="00831A68">
        <w:rPr>
          <w:rFonts w:ascii="Times New Roman" w:hAnsi="Times New Roman"/>
          <w:sz w:val="24"/>
          <w:szCs w:val="24"/>
          <w:lang w:val="en-US"/>
        </w:rPr>
        <w:t xml:space="preserve">. </w:t>
      </w:r>
      <w:r w:rsidR="00A16FE2" w:rsidRPr="00831A68">
        <w:rPr>
          <w:rFonts w:ascii="Times New Roman" w:hAnsi="Times New Roman"/>
          <w:sz w:val="24"/>
          <w:szCs w:val="24"/>
          <w:lang w:val="en-US"/>
        </w:rPr>
        <w:t xml:space="preserve">The Department’s financial performance and cash flows for the 2015/16 were in accordance with the Modified Cash Standard prescribed by the National Treasury and the requirements of the Public </w:t>
      </w:r>
      <w:r w:rsidR="00097BF2" w:rsidRPr="00831A68">
        <w:rPr>
          <w:rFonts w:ascii="Times New Roman" w:hAnsi="Times New Roman"/>
          <w:sz w:val="24"/>
          <w:szCs w:val="24"/>
          <w:lang w:val="en-US"/>
        </w:rPr>
        <w:t xml:space="preserve">Finance Management Act (PFMA). </w:t>
      </w:r>
      <w:r w:rsidR="00701DE2" w:rsidRPr="00831A68">
        <w:rPr>
          <w:rFonts w:ascii="Times New Roman" w:hAnsi="Times New Roman"/>
          <w:sz w:val="24"/>
          <w:szCs w:val="24"/>
          <w:lang w:val="en-US"/>
        </w:rPr>
        <w:t>The Auditor-General’s Report has the following matters of emphasis:</w:t>
      </w:r>
    </w:p>
    <w:p w:rsidR="00701DE2" w:rsidRPr="00831A68" w:rsidRDefault="00701DE2" w:rsidP="00701DE2">
      <w:pPr>
        <w:jc w:val="both"/>
        <w:rPr>
          <w:rFonts w:ascii="Times New Roman" w:hAnsi="Times New Roman"/>
          <w:sz w:val="24"/>
          <w:szCs w:val="24"/>
          <w:lang w:val="en-US"/>
        </w:rPr>
      </w:pPr>
    </w:p>
    <w:p w:rsidR="00701DE2" w:rsidRPr="009E02AF" w:rsidRDefault="008315F9" w:rsidP="00AC6F4E">
      <w:pPr>
        <w:spacing w:line="360" w:lineRule="auto"/>
        <w:jc w:val="both"/>
        <w:rPr>
          <w:rFonts w:ascii="Times New Roman" w:hAnsi="Times New Roman"/>
          <w:b/>
          <w:sz w:val="24"/>
          <w:szCs w:val="24"/>
          <w:lang w:val="en-US"/>
        </w:rPr>
      </w:pPr>
      <w:r w:rsidRPr="009E02AF">
        <w:rPr>
          <w:rFonts w:ascii="Times New Roman" w:hAnsi="Times New Roman"/>
          <w:b/>
          <w:sz w:val="24"/>
          <w:szCs w:val="24"/>
          <w:lang w:val="en-US"/>
        </w:rPr>
        <w:t>9.1.1 Predetermined</w:t>
      </w:r>
      <w:r w:rsidR="00701DE2" w:rsidRPr="009E02AF">
        <w:rPr>
          <w:rFonts w:ascii="Times New Roman" w:hAnsi="Times New Roman"/>
          <w:b/>
          <w:sz w:val="24"/>
          <w:szCs w:val="24"/>
          <w:lang w:val="en-US"/>
        </w:rPr>
        <w:t xml:space="preserve"> objectives</w:t>
      </w:r>
    </w:p>
    <w:p w:rsidR="00831A68" w:rsidRDefault="00831A68" w:rsidP="00A16FE2">
      <w:pPr>
        <w:autoSpaceDE w:val="0"/>
        <w:autoSpaceDN w:val="0"/>
        <w:adjustRightInd w:val="0"/>
        <w:spacing w:line="360" w:lineRule="auto"/>
        <w:jc w:val="both"/>
        <w:rPr>
          <w:rFonts w:ascii="Times New Roman" w:hAnsi="Times New Roman"/>
          <w:color w:val="auto"/>
          <w:spacing w:val="0"/>
          <w:sz w:val="24"/>
          <w:szCs w:val="24"/>
          <w:lang w:val="en-ZA" w:eastAsia="en-ZA"/>
        </w:rPr>
      </w:pPr>
    </w:p>
    <w:p w:rsidR="00A16FE2" w:rsidRPr="00831A68" w:rsidRDefault="00A16FE2"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Auditor-General did not identify any material findings on the usefulness and reliability of the reported performance information for the following programmes and objectives:</w:t>
      </w:r>
    </w:p>
    <w:p w:rsidR="00A16FE2" w:rsidRPr="00831A68" w:rsidRDefault="00A16FE2" w:rsidP="00A16FE2">
      <w:pPr>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Programme 5: Service delivery. Page(s) 63-66.</w:t>
      </w:r>
    </w:p>
    <w:p w:rsidR="00A16FE2" w:rsidRPr="00831A68" w:rsidRDefault="00A16FE2" w:rsidP="00A16FE2">
      <w:pPr>
        <w:numPr>
          <w:ilvl w:val="0"/>
          <w:numId w:val="12"/>
        </w:numPr>
        <w:spacing w:line="360" w:lineRule="auto"/>
        <w:jc w:val="both"/>
        <w:rPr>
          <w:rFonts w:ascii="Times New Roman" w:hAnsi="Times New Roman"/>
          <w:color w:val="auto"/>
          <w:sz w:val="24"/>
          <w:szCs w:val="24"/>
          <w:lang w:val="en-US"/>
        </w:rPr>
      </w:pPr>
      <w:r w:rsidRPr="00831A68">
        <w:rPr>
          <w:rFonts w:ascii="Times New Roman" w:hAnsi="Times New Roman"/>
          <w:color w:val="auto"/>
          <w:spacing w:val="0"/>
          <w:sz w:val="24"/>
          <w:szCs w:val="24"/>
          <w:lang w:val="en-ZA" w:eastAsia="en-ZA"/>
        </w:rPr>
        <w:t xml:space="preserve">Programme 6: Governance of Public Administration on support. Page(s) 67-73.  </w:t>
      </w:r>
    </w:p>
    <w:p w:rsidR="00A16FE2" w:rsidRPr="00831A68" w:rsidRDefault="00A16FE2" w:rsidP="00A16FE2">
      <w:pPr>
        <w:jc w:val="both"/>
        <w:rPr>
          <w:rFonts w:ascii="Times New Roman" w:hAnsi="Times New Roman"/>
          <w:b/>
          <w:bCs/>
          <w:i/>
          <w:color w:val="auto"/>
          <w:spacing w:val="0"/>
          <w:sz w:val="24"/>
          <w:szCs w:val="24"/>
          <w:lang w:val="en-ZA" w:eastAsia="en-ZA"/>
        </w:rPr>
      </w:pPr>
    </w:p>
    <w:p w:rsidR="00A16FE2" w:rsidRPr="00831A68" w:rsidRDefault="00A16FE2" w:rsidP="008315F9">
      <w:pPr>
        <w:pStyle w:val="ListParagraph"/>
        <w:numPr>
          <w:ilvl w:val="2"/>
          <w:numId w:val="14"/>
        </w:numPr>
        <w:jc w:val="both"/>
        <w:rPr>
          <w:rFonts w:ascii="Times New Roman" w:hAnsi="Times New Roman"/>
          <w:b/>
          <w:sz w:val="24"/>
          <w:szCs w:val="24"/>
          <w:lang w:val="en-US"/>
        </w:rPr>
      </w:pPr>
      <w:r w:rsidRPr="00831A68">
        <w:rPr>
          <w:rFonts w:ascii="Times New Roman" w:hAnsi="Times New Roman"/>
          <w:b/>
          <w:bCs/>
          <w:color w:val="auto"/>
          <w:spacing w:val="0"/>
          <w:sz w:val="24"/>
          <w:szCs w:val="24"/>
          <w:lang w:val="en-ZA" w:eastAsia="en-ZA"/>
        </w:rPr>
        <w:t>Unaudited supplementary schedules</w:t>
      </w:r>
    </w:p>
    <w:p w:rsidR="00831A68" w:rsidRDefault="00831A68" w:rsidP="00A16FE2">
      <w:pPr>
        <w:autoSpaceDE w:val="0"/>
        <w:autoSpaceDN w:val="0"/>
        <w:adjustRightInd w:val="0"/>
        <w:spacing w:line="360" w:lineRule="auto"/>
        <w:jc w:val="both"/>
        <w:rPr>
          <w:rFonts w:ascii="Times New Roman" w:hAnsi="Times New Roman"/>
          <w:color w:val="auto"/>
          <w:spacing w:val="0"/>
          <w:sz w:val="24"/>
          <w:szCs w:val="24"/>
          <w:lang w:val="en-ZA" w:eastAsia="en-ZA"/>
        </w:rPr>
      </w:pPr>
    </w:p>
    <w:p w:rsidR="00A16FE2" w:rsidRPr="00831A68" w:rsidRDefault="00A16FE2"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supplementary information set out on pages 246 to 261 does not form part of the financial statements and is presented as additional information. The Auditor-General had not audited this schedule and, accordingly, he could not express an opinion thereon.</w:t>
      </w:r>
    </w:p>
    <w:p w:rsidR="00A16FE2" w:rsidRPr="00831A68" w:rsidRDefault="00A16FE2" w:rsidP="00A16FE2">
      <w:pPr>
        <w:pStyle w:val="ListParagraph"/>
        <w:autoSpaceDE w:val="0"/>
        <w:autoSpaceDN w:val="0"/>
        <w:adjustRightInd w:val="0"/>
        <w:spacing w:line="240" w:lineRule="exact"/>
        <w:jc w:val="both"/>
        <w:rPr>
          <w:rFonts w:ascii="Times New Roman" w:hAnsi="Times New Roman"/>
          <w:color w:val="auto"/>
          <w:spacing w:val="0"/>
          <w:sz w:val="24"/>
          <w:szCs w:val="24"/>
          <w:lang w:val="en-ZA" w:eastAsia="en-ZA"/>
        </w:rPr>
      </w:pPr>
    </w:p>
    <w:p w:rsidR="00A16FE2" w:rsidRPr="00831A68" w:rsidRDefault="00A16FE2" w:rsidP="008315F9">
      <w:pPr>
        <w:pStyle w:val="ListParagraph"/>
        <w:numPr>
          <w:ilvl w:val="2"/>
          <w:numId w:val="14"/>
        </w:numPr>
        <w:jc w:val="both"/>
        <w:rPr>
          <w:rFonts w:ascii="Times New Roman" w:hAnsi="Times New Roman"/>
          <w:b/>
          <w:sz w:val="24"/>
          <w:szCs w:val="24"/>
          <w:lang w:val="en-US"/>
        </w:rPr>
      </w:pPr>
      <w:r w:rsidRPr="00831A68">
        <w:rPr>
          <w:rFonts w:ascii="Times New Roman" w:hAnsi="Times New Roman"/>
          <w:b/>
          <w:i/>
          <w:sz w:val="24"/>
          <w:szCs w:val="24"/>
          <w:lang w:val="en-US"/>
        </w:rPr>
        <w:t xml:space="preserve"> </w:t>
      </w:r>
      <w:r w:rsidRPr="00831A68">
        <w:rPr>
          <w:rFonts w:ascii="Times New Roman" w:hAnsi="Times New Roman"/>
          <w:b/>
          <w:bCs/>
          <w:color w:val="auto"/>
          <w:spacing w:val="0"/>
          <w:sz w:val="24"/>
          <w:szCs w:val="24"/>
          <w:lang w:val="en-ZA" w:eastAsia="en-ZA"/>
        </w:rPr>
        <w:t>Legal and regulatory requirements</w:t>
      </w:r>
    </w:p>
    <w:p w:rsidR="00831A68" w:rsidRDefault="00831A68" w:rsidP="00A16FE2">
      <w:pPr>
        <w:spacing w:line="360" w:lineRule="auto"/>
        <w:jc w:val="both"/>
        <w:rPr>
          <w:rFonts w:ascii="Times New Roman" w:hAnsi="Times New Roman"/>
          <w:color w:val="auto"/>
          <w:spacing w:val="0"/>
          <w:sz w:val="24"/>
          <w:szCs w:val="24"/>
          <w:lang w:val="en-ZA" w:eastAsia="en-ZA"/>
        </w:rPr>
      </w:pPr>
    </w:p>
    <w:p w:rsidR="00A16FE2" w:rsidRDefault="00A16FE2" w:rsidP="00A16FE2">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objective of the Auditor-General’s tests was to identify reportable findings as described under each subheading but not to gather evidence to express assurance on these matters. Accordingly, he could not express an opinion or conclusion on these matters.</w:t>
      </w:r>
    </w:p>
    <w:p w:rsidR="00227E83" w:rsidRDefault="00227E83" w:rsidP="00A16FE2">
      <w:pPr>
        <w:spacing w:line="360" w:lineRule="auto"/>
        <w:jc w:val="both"/>
        <w:rPr>
          <w:rFonts w:ascii="Times New Roman" w:hAnsi="Times New Roman"/>
          <w:color w:val="auto"/>
          <w:spacing w:val="0"/>
          <w:sz w:val="24"/>
          <w:szCs w:val="24"/>
          <w:lang w:val="en-ZA" w:eastAsia="en-ZA"/>
        </w:rPr>
      </w:pPr>
    </w:p>
    <w:p w:rsidR="00227E83" w:rsidRDefault="00227E83" w:rsidP="00A16FE2">
      <w:pPr>
        <w:spacing w:line="360" w:lineRule="auto"/>
        <w:jc w:val="both"/>
        <w:rPr>
          <w:rFonts w:ascii="Times New Roman" w:hAnsi="Times New Roman"/>
          <w:color w:val="auto"/>
          <w:spacing w:val="0"/>
          <w:sz w:val="24"/>
          <w:szCs w:val="24"/>
          <w:lang w:val="en-ZA" w:eastAsia="en-ZA"/>
        </w:rPr>
      </w:pPr>
    </w:p>
    <w:p w:rsidR="00227E83" w:rsidRPr="00831A68" w:rsidRDefault="00227E83" w:rsidP="00A16FE2">
      <w:pPr>
        <w:spacing w:line="360" w:lineRule="auto"/>
        <w:jc w:val="both"/>
        <w:rPr>
          <w:rFonts w:ascii="Times New Roman" w:hAnsi="Times New Roman"/>
          <w:b/>
          <w:i/>
          <w:sz w:val="24"/>
          <w:szCs w:val="24"/>
          <w:lang w:val="en-US"/>
        </w:rPr>
      </w:pPr>
    </w:p>
    <w:p w:rsidR="00A16FE2" w:rsidRPr="00831A68" w:rsidRDefault="00A16FE2" w:rsidP="00A16FE2">
      <w:pPr>
        <w:pStyle w:val="ListParagraph"/>
        <w:spacing w:line="240" w:lineRule="exact"/>
        <w:ind w:left="480"/>
        <w:jc w:val="both"/>
        <w:rPr>
          <w:rFonts w:ascii="Times New Roman" w:hAnsi="Times New Roman"/>
          <w:b/>
          <w:i/>
          <w:sz w:val="24"/>
          <w:szCs w:val="24"/>
          <w:lang w:val="en-US"/>
        </w:rPr>
      </w:pPr>
    </w:p>
    <w:p w:rsidR="00A16FE2" w:rsidRPr="00831A68" w:rsidRDefault="00A16FE2" w:rsidP="008315F9">
      <w:pPr>
        <w:pStyle w:val="ListParagraph"/>
        <w:numPr>
          <w:ilvl w:val="2"/>
          <w:numId w:val="14"/>
        </w:numPr>
        <w:jc w:val="both"/>
        <w:rPr>
          <w:rFonts w:ascii="Times New Roman" w:hAnsi="Times New Roman"/>
          <w:b/>
          <w:sz w:val="24"/>
          <w:szCs w:val="24"/>
          <w:lang w:val="en-US"/>
        </w:rPr>
      </w:pPr>
      <w:r w:rsidRPr="00831A68">
        <w:rPr>
          <w:rFonts w:ascii="Times New Roman" w:hAnsi="Times New Roman"/>
          <w:b/>
          <w:sz w:val="24"/>
          <w:szCs w:val="24"/>
          <w:lang w:val="en-US"/>
        </w:rPr>
        <w:t>Compliance with legislation</w:t>
      </w:r>
    </w:p>
    <w:p w:rsidR="00831A68" w:rsidRDefault="00831A68" w:rsidP="00A16FE2">
      <w:pPr>
        <w:autoSpaceDE w:val="0"/>
        <w:autoSpaceDN w:val="0"/>
        <w:adjustRightInd w:val="0"/>
        <w:spacing w:line="360" w:lineRule="auto"/>
        <w:jc w:val="both"/>
        <w:rPr>
          <w:rFonts w:ascii="Times New Roman" w:hAnsi="Times New Roman"/>
          <w:sz w:val="24"/>
          <w:szCs w:val="24"/>
          <w:lang w:val="en-US"/>
        </w:rPr>
      </w:pPr>
    </w:p>
    <w:p w:rsidR="00A16FE2" w:rsidRPr="00831A68" w:rsidRDefault="00A16FE2"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Auditor-General </w:t>
      </w:r>
      <w:r w:rsidRPr="00831A68">
        <w:rPr>
          <w:rFonts w:ascii="Times New Roman" w:hAnsi="Times New Roman"/>
          <w:color w:val="auto"/>
          <w:spacing w:val="0"/>
          <w:sz w:val="24"/>
          <w:szCs w:val="24"/>
          <w:lang w:val="en-ZA" w:eastAsia="en-ZA"/>
        </w:rPr>
        <w:t>did not identify any instances of material noncompliance with specific matters in key legislation, as set out in the general notice issued in terms of the Public Audit Act (PAA).</w:t>
      </w:r>
    </w:p>
    <w:p w:rsidR="00A16FE2" w:rsidRPr="00227E83" w:rsidRDefault="00A16FE2" w:rsidP="00A16FE2">
      <w:pPr>
        <w:pStyle w:val="ListParagraph"/>
        <w:spacing w:line="240" w:lineRule="exact"/>
        <w:ind w:left="480"/>
        <w:jc w:val="both"/>
        <w:rPr>
          <w:rFonts w:ascii="Times New Roman" w:hAnsi="Times New Roman"/>
          <w:color w:val="auto"/>
          <w:sz w:val="24"/>
          <w:szCs w:val="24"/>
          <w:lang w:val="en-US"/>
        </w:rPr>
      </w:pPr>
    </w:p>
    <w:p w:rsidR="00A16FE2" w:rsidRPr="00831A68" w:rsidRDefault="00A16FE2" w:rsidP="008315F9">
      <w:pPr>
        <w:pStyle w:val="ListParagraph"/>
        <w:numPr>
          <w:ilvl w:val="2"/>
          <w:numId w:val="14"/>
        </w:numPr>
        <w:jc w:val="both"/>
        <w:rPr>
          <w:rFonts w:ascii="Times New Roman" w:hAnsi="Times New Roman"/>
          <w:b/>
          <w:sz w:val="24"/>
          <w:szCs w:val="24"/>
          <w:lang w:val="en-US"/>
        </w:rPr>
      </w:pPr>
      <w:r w:rsidRPr="00831A68">
        <w:rPr>
          <w:rFonts w:ascii="Times New Roman" w:hAnsi="Times New Roman"/>
          <w:b/>
          <w:color w:val="auto"/>
          <w:spacing w:val="0"/>
          <w:sz w:val="24"/>
          <w:szCs w:val="24"/>
          <w:lang w:val="en-US" w:eastAsia="en-US"/>
        </w:rPr>
        <w:t>Internal control</w:t>
      </w:r>
    </w:p>
    <w:p w:rsidR="00831A68" w:rsidRDefault="00831A68" w:rsidP="00A16FE2">
      <w:pPr>
        <w:rPr>
          <w:rFonts w:ascii="Times New Roman" w:hAnsi="Times New Roman"/>
          <w:sz w:val="24"/>
          <w:szCs w:val="24"/>
          <w:lang w:val="en-US"/>
        </w:rPr>
      </w:pPr>
    </w:p>
    <w:p w:rsidR="00A16FE2" w:rsidRDefault="00A16FE2" w:rsidP="00A16FE2">
      <w:pPr>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Auditor-General </w:t>
      </w:r>
      <w:r w:rsidRPr="00831A68">
        <w:rPr>
          <w:rFonts w:ascii="Times New Roman" w:hAnsi="Times New Roman"/>
          <w:color w:val="auto"/>
          <w:spacing w:val="0"/>
          <w:sz w:val="24"/>
          <w:szCs w:val="24"/>
          <w:lang w:val="en-ZA" w:eastAsia="en-ZA"/>
        </w:rPr>
        <w:t>did not identify any significant deficiencies in internal control.</w:t>
      </w:r>
    </w:p>
    <w:p w:rsidR="00EB3DD2" w:rsidRDefault="00EB3DD2" w:rsidP="00A16FE2">
      <w:pPr>
        <w:rPr>
          <w:rFonts w:ascii="Times New Roman" w:hAnsi="Times New Roman"/>
          <w:color w:val="auto"/>
          <w:spacing w:val="0"/>
          <w:sz w:val="24"/>
          <w:szCs w:val="24"/>
          <w:lang w:val="en-ZA" w:eastAsia="en-ZA"/>
        </w:rPr>
      </w:pPr>
    </w:p>
    <w:p w:rsidR="00EB3DD2" w:rsidRPr="00831A68" w:rsidRDefault="00EB3DD2" w:rsidP="00A16FE2">
      <w:pPr>
        <w:rPr>
          <w:rFonts w:ascii="Times New Roman" w:hAnsi="Times New Roman"/>
          <w:color w:val="auto"/>
          <w:spacing w:val="0"/>
          <w:sz w:val="24"/>
          <w:szCs w:val="24"/>
          <w:lang w:val="en-ZA" w:eastAsia="en-ZA"/>
        </w:rPr>
      </w:pPr>
    </w:p>
    <w:p w:rsidR="001D52CF" w:rsidRPr="00831A68" w:rsidRDefault="002246A6" w:rsidP="008315F9">
      <w:pPr>
        <w:pStyle w:val="ListParagraph"/>
        <w:numPr>
          <w:ilvl w:val="0"/>
          <w:numId w:val="14"/>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OBSERVATIONS</w:t>
      </w:r>
      <w:r w:rsidR="00AC6F4E" w:rsidRPr="00831A68">
        <w:rPr>
          <w:rFonts w:ascii="Times New Roman" w:eastAsia="Calibri" w:hAnsi="Times New Roman"/>
          <w:b/>
          <w:sz w:val="24"/>
          <w:szCs w:val="24"/>
          <w:lang w:val="en-US"/>
        </w:rPr>
        <w:t xml:space="preserve"> AND KEY FINDINGS</w:t>
      </w:r>
    </w:p>
    <w:p w:rsidR="009E02AF" w:rsidRDefault="009E02AF" w:rsidP="00AC191C">
      <w:pPr>
        <w:spacing w:line="360" w:lineRule="auto"/>
        <w:jc w:val="both"/>
        <w:rPr>
          <w:rFonts w:ascii="Times New Roman" w:eastAsia="Calibri" w:hAnsi="Times New Roman"/>
          <w:sz w:val="24"/>
          <w:szCs w:val="24"/>
          <w:lang w:val="en-US"/>
        </w:rPr>
      </w:pPr>
    </w:p>
    <w:p w:rsidR="00AC191C" w:rsidRPr="00831A68" w:rsidRDefault="00AC191C" w:rsidP="00AC191C">
      <w:pPr>
        <w:spacing w:line="360" w:lineRule="auto"/>
        <w:jc w:val="both"/>
        <w:rPr>
          <w:rFonts w:ascii="Times New Roman" w:eastAsia="Calibri" w:hAnsi="Times New Roman"/>
          <w:sz w:val="24"/>
          <w:szCs w:val="24"/>
          <w:lang w:val="en-US"/>
        </w:rPr>
      </w:pPr>
      <w:r w:rsidRPr="00831A68">
        <w:rPr>
          <w:rFonts w:ascii="Times New Roman" w:eastAsia="Calibri" w:hAnsi="Times New Roman"/>
          <w:sz w:val="24"/>
          <w:szCs w:val="24"/>
          <w:lang w:val="en-US"/>
        </w:rPr>
        <w:t>The Committee made the following observations:</w:t>
      </w:r>
    </w:p>
    <w:p w:rsidR="00265CDA" w:rsidRPr="00EB3DD2" w:rsidRDefault="00265CDA" w:rsidP="00EB3DD2">
      <w:pPr>
        <w:pStyle w:val="ListParagraph"/>
        <w:numPr>
          <w:ilvl w:val="1"/>
          <w:numId w:val="14"/>
        </w:numPr>
        <w:spacing w:after="200" w:line="360" w:lineRule="auto"/>
        <w:ind w:left="709" w:hanging="709"/>
        <w:jc w:val="both"/>
        <w:rPr>
          <w:rFonts w:ascii="Times New Roman" w:hAnsi="Times New Roman"/>
          <w:color w:val="auto"/>
          <w:sz w:val="24"/>
          <w:szCs w:val="24"/>
        </w:rPr>
      </w:pPr>
      <w:r w:rsidRPr="00EB3DD2">
        <w:rPr>
          <w:rFonts w:ascii="Times New Roman" w:hAnsi="Times New Roman"/>
          <w:color w:val="auto"/>
          <w:sz w:val="24"/>
          <w:szCs w:val="24"/>
        </w:rPr>
        <w:t>The Committee commended the Department of Public Service and Administration</w:t>
      </w:r>
      <w:r w:rsidR="0010415F" w:rsidRPr="00EB3DD2">
        <w:rPr>
          <w:rFonts w:ascii="Times New Roman" w:hAnsi="Times New Roman"/>
          <w:color w:val="auto"/>
          <w:sz w:val="24"/>
          <w:szCs w:val="24"/>
        </w:rPr>
        <w:t xml:space="preserve">, the Public Service Commission </w:t>
      </w:r>
      <w:r w:rsidR="0089520A" w:rsidRPr="00EB3DD2">
        <w:rPr>
          <w:rFonts w:ascii="Times New Roman" w:hAnsi="Times New Roman"/>
          <w:color w:val="auto"/>
          <w:sz w:val="24"/>
          <w:szCs w:val="24"/>
        </w:rPr>
        <w:t>and its entities</w:t>
      </w:r>
      <w:r w:rsidRPr="00EB3DD2">
        <w:rPr>
          <w:rFonts w:ascii="Times New Roman" w:hAnsi="Times New Roman"/>
          <w:color w:val="auto"/>
          <w:sz w:val="24"/>
          <w:szCs w:val="24"/>
        </w:rPr>
        <w:t xml:space="preserve"> for receiving clean</w:t>
      </w:r>
      <w:r w:rsidR="0089520A" w:rsidRPr="00EB3DD2">
        <w:rPr>
          <w:rFonts w:ascii="Times New Roman" w:hAnsi="Times New Roman"/>
          <w:color w:val="auto"/>
          <w:sz w:val="24"/>
          <w:szCs w:val="24"/>
        </w:rPr>
        <w:t xml:space="preserve"> and unqualified</w:t>
      </w:r>
      <w:r w:rsidRPr="00EB3DD2">
        <w:rPr>
          <w:rFonts w:ascii="Times New Roman" w:hAnsi="Times New Roman"/>
          <w:color w:val="auto"/>
          <w:sz w:val="24"/>
          <w:szCs w:val="24"/>
        </w:rPr>
        <w:t xml:space="preserve"> audit</w:t>
      </w:r>
      <w:r w:rsidR="00831A68" w:rsidRPr="00EB3DD2">
        <w:rPr>
          <w:rFonts w:ascii="Times New Roman" w:hAnsi="Times New Roman"/>
          <w:color w:val="auto"/>
          <w:sz w:val="24"/>
          <w:szCs w:val="24"/>
        </w:rPr>
        <w:t>s</w:t>
      </w:r>
      <w:r w:rsidRPr="00EB3DD2">
        <w:rPr>
          <w:rFonts w:ascii="Times New Roman" w:hAnsi="Times New Roman"/>
          <w:color w:val="auto"/>
          <w:sz w:val="24"/>
          <w:szCs w:val="24"/>
        </w:rPr>
        <w:t xml:space="preserve"> for 2015/16 financial year. The Department was urged to </w:t>
      </w:r>
      <w:r w:rsidR="0089520A" w:rsidRPr="00EB3DD2">
        <w:rPr>
          <w:rFonts w:ascii="Times New Roman" w:hAnsi="Times New Roman"/>
          <w:color w:val="auto"/>
          <w:sz w:val="24"/>
          <w:szCs w:val="24"/>
        </w:rPr>
        <w:t>lead by example and maintain the</w:t>
      </w:r>
      <w:r w:rsidRPr="00EB3DD2">
        <w:rPr>
          <w:rFonts w:ascii="Times New Roman" w:hAnsi="Times New Roman"/>
          <w:color w:val="auto"/>
          <w:sz w:val="24"/>
          <w:szCs w:val="24"/>
        </w:rPr>
        <w:t xml:space="preserve"> </w:t>
      </w:r>
      <w:r w:rsidR="00EB3DD2" w:rsidRPr="00EB3DD2">
        <w:rPr>
          <w:rFonts w:ascii="Times New Roman" w:hAnsi="Times New Roman"/>
          <w:color w:val="auto"/>
          <w:sz w:val="24"/>
          <w:szCs w:val="24"/>
        </w:rPr>
        <w:t xml:space="preserve">good </w:t>
      </w:r>
      <w:r w:rsidRPr="00EB3DD2">
        <w:rPr>
          <w:rFonts w:ascii="Times New Roman" w:hAnsi="Times New Roman"/>
          <w:color w:val="auto"/>
          <w:sz w:val="24"/>
          <w:szCs w:val="24"/>
        </w:rPr>
        <w:t xml:space="preserve">audit status in the </w:t>
      </w:r>
      <w:r w:rsidR="00831A68" w:rsidRPr="00EB3DD2">
        <w:rPr>
          <w:rFonts w:ascii="Times New Roman" w:hAnsi="Times New Roman"/>
          <w:color w:val="auto"/>
          <w:sz w:val="24"/>
          <w:szCs w:val="24"/>
        </w:rPr>
        <w:t>future</w:t>
      </w:r>
      <w:r w:rsidRPr="00EB3DD2">
        <w:rPr>
          <w:rFonts w:ascii="Times New Roman" w:hAnsi="Times New Roman"/>
          <w:color w:val="auto"/>
          <w:sz w:val="24"/>
          <w:szCs w:val="24"/>
        </w:rPr>
        <w:t xml:space="preserve">. </w:t>
      </w:r>
    </w:p>
    <w:p w:rsidR="00F56E87" w:rsidRPr="00831A68" w:rsidRDefault="00F56E87" w:rsidP="00F56E87">
      <w:pPr>
        <w:pStyle w:val="ListParagraph"/>
        <w:spacing w:after="200" w:line="360" w:lineRule="auto"/>
        <w:jc w:val="both"/>
        <w:rPr>
          <w:rFonts w:ascii="Times New Roman" w:hAnsi="Times New Roman"/>
          <w:color w:val="auto"/>
          <w:sz w:val="24"/>
          <w:szCs w:val="24"/>
        </w:rPr>
      </w:pPr>
    </w:p>
    <w:p w:rsidR="00EB3DD2" w:rsidRDefault="00EB3DD2" w:rsidP="00EB3DD2">
      <w:pPr>
        <w:pStyle w:val="ListParagraph"/>
        <w:numPr>
          <w:ilvl w:val="1"/>
          <w:numId w:val="14"/>
        </w:numPr>
        <w:spacing w:after="200" w:line="360" w:lineRule="auto"/>
        <w:ind w:left="709" w:hanging="709"/>
        <w:jc w:val="both"/>
        <w:rPr>
          <w:rFonts w:ascii="Times New Roman" w:hAnsi="Times New Roman"/>
          <w:color w:val="auto"/>
          <w:sz w:val="24"/>
          <w:szCs w:val="24"/>
        </w:rPr>
      </w:pPr>
      <w:r>
        <w:rPr>
          <w:rFonts w:ascii="Times New Roman" w:hAnsi="Times New Roman"/>
          <w:color w:val="auto"/>
          <w:sz w:val="24"/>
          <w:szCs w:val="24"/>
        </w:rPr>
        <w:t>The officials were quiet on the savings initiatives required by</w:t>
      </w:r>
      <w:r w:rsidR="00DE0FBF">
        <w:rPr>
          <w:rFonts w:ascii="Times New Roman" w:hAnsi="Times New Roman"/>
          <w:color w:val="auto"/>
          <w:sz w:val="24"/>
          <w:szCs w:val="24"/>
        </w:rPr>
        <w:t xml:space="preserve"> National</w:t>
      </w:r>
      <w:r>
        <w:rPr>
          <w:rFonts w:ascii="Times New Roman" w:hAnsi="Times New Roman"/>
          <w:color w:val="auto"/>
          <w:sz w:val="24"/>
          <w:szCs w:val="24"/>
        </w:rPr>
        <w:t xml:space="preserve"> </w:t>
      </w:r>
      <w:r w:rsidR="00DE0FBF">
        <w:rPr>
          <w:rFonts w:ascii="Times New Roman" w:hAnsi="Times New Roman"/>
          <w:color w:val="auto"/>
          <w:sz w:val="24"/>
          <w:szCs w:val="24"/>
        </w:rPr>
        <w:t>T</w:t>
      </w:r>
      <w:r>
        <w:rPr>
          <w:rFonts w:ascii="Times New Roman" w:hAnsi="Times New Roman"/>
          <w:color w:val="auto"/>
          <w:sz w:val="24"/>
          <w:szCs w:val="24"/>
        </w:rPr>
        <w:t xml:space="preserve">reasury and the threats that this may hold in destabilising the public sector. References towards improvements in productivity and the elimination of wastage were seldom made in the presentations and the annual reports. </w:t>
      </w:r>
    </w:p>
    <w:p w:rsidR="00EB3DD2" w:rsidRDefault="00EB3DD2" w:rsidP="00EB3DD2">
      <w:pPr>
        <w:pStyle w:val="ListParagraph"/>
        <w:spacing w:after="200" w:line="360" w:lineRule="auto"/>
        <w:ind w:left="480"/>
        <w:jc w:val="both"/>
        <w:rPr>
          <w:rFonts w:ascii="Times New Roman" w:hAnsi="Times New Roman"/>
          <w:color w:val="auto"/>
          <w:sz w:val="24"/>
          <w:szCs w:val="24"/>
        </w:rPr>
      </w:pPr>
    </w:p>
    <w:p w:rsidR="00F56E87" w:rsidRDefault="0089520A"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CF6648">
        <w:rPr>
          <w:rFonts w:ascii="Times New Roman" w:hAnsi="Times New Roman"/>
          <w:color w:val="auto"/>
          <w:sz w:val="24"/>
          <w:szCs w:val="24"/>
        </w:rPr>
        <w:t>Recruitment of intern</w:t>
      </w:r>
      <w:r w:rsidR="00097BF2" w:rsidRPr="00CF6648">
        <w:rPr>
          <w:rFonts w:ascii="Times New Roman" w:hAnsi="Times New Roman"/>
          <w:color w:val="auto"/>
          <w:sz w:val="24"/>
          <w:szCs w:val="24"/>
        </w:rPr>
        <w:t>s</w:t>
      </w:r>
      <w:r w:rsidRPr="00CF6648">
        <w:rPr>
          <w:rFonts w:ascii="Times New Roman" w:hAnsi="Times New Roman"/>
          <w:color w:val="auto"/>
          <w:sz w:val="24"/>
          <w:szCs w:val="24"/>
        </w:rPr>
        <w:t xml:space="preserve"> in government is </w:t>
      </w:r>
      <w:r w:rsidR="0010415F" w:rsidRPr="00CF6648">
        <w:rPr>
          <w:rFonts w:ascii="Times New Roman" w:hAnsi="Times New Roman"/>
          <w:color w:val="auto"/>
          <w:sz w:val="24"/>
          <w:szCs w:val="24"/>
        </w:rPr>
        <w:t xml:space="preserve">a </w:t>
      </w:r>
      <w:r w:rsidRPr="00CF6648">
        <w:rPr>
          <w:rFonts w:ascii="Times New Roman" w:hAnsi="Times New Roman"/>
          <w:color w:val="auto"/>
          <w:sz w:val="24"/>
          <w:szCs w:val="24"/>
        </w:rPr>
        <w:t>progressive</w:t>
      </w:r>
      <w:r w:rsidR="00097BF2" w:rsidRPr="00CF6648">
        <w:rPr>
          <w:rFonts w:ascii="Times New Roman" w:hAnsi="Times New Roman"/>
          <w:color w:val="auto"/>
          <w:sz w:val="24"/>
          <w:szCs w:val="24"/>
        </w:rPr>
        <w:t xml:space="preserve"> move</w:t>
      </w:r>
      <w:r w:rsidR="00EB3DD2" w:rsidRPr="00CF6648">
        <w:rPr>
          <w:rFonts w:ascii="Times New Roman" w:hAnsi="Times New Roman"/>
          <w:color w:val="auto"/>
          <w:sz w:val="24"/>
          <w:szCs w:val="24"/>
        </w:rPr>
        <w:t xml:space="preserve"> and should be expanded</w:t>
      </w:r>
      <w:r w:rsidRPr="00CF6648">
        <w:rPr>
          <w:rFonts w:ascii="Times New Roman" w:hAnsi="Times New Roman"/>
          <w:color w:val="auto"/>
          <w:sz w:val="24"/>
          <w:szCs w:val="24"/>
        </w:rPr>
        <w:t>. How</w:t>
      </w:r>
      <w:r w:rsidR="0073538A" w:rsidRPr="00CF6648">
        <w:rPr>
          <w:rFonts w:ascii="Times New Roman" w:hAnsi="Times New Roman"/>
          <w:color w:val="auto"/>
          <w:sz w:val="24"/>
          <w:szCs w:val="24"/>
        </w:rPr>
        <w:t>e</w:t>
      </w:r>
      <w:r w:rsidRPr="00CF6648">
        <w:rPr>
          <w:rFonts w:ascii="Times New Roman" w:hAnsi="Times New Roman"/>
          <w:color w:val="auto"/>
          <w:sz w:val="24"/>
          <w:szCs w:val="24"/>
        </w:rPr>
        <w:t>ver, the</w:t>
      </w:r>
      <w:r w:rsidR="0073538A" w:rsidRPr="00CF6648">
        <w:rPr>
          <w:rFonts w:ascii="Times New Roman" w:hAnsi="Times New Roman"/>
          <w:color w:val="auto"/>
          <w:sz w:val="24"/>
          <w:szCs w:val="24"/>
        </w:rPr>
        <w:t xml:space="preserve"> Committee was concerned about </w:t>
      </w:r>
      <w:r w:rsidRPr="00CF6648">
        <w:rPr>
          <w:rFonts w:ascii="Times New Roman" w:hAnsi="Times New Roman"/>
          <w:color w:val="auto"/>
          <w:sz w:val="24"/>
          <w:szCs w:val="24"/>
        </w:rPr>
        <w:t xml:space="preserve">government </w:t>
      </w:r>
      <w:r w:rsidR="0073538A" w:rsidRPr="00CF6648">
        <w:rPr>
          <w:rFonts w:ascii="Times New Roman" w:hAnsi="Times New Roman"/>
          <w:color w:val="auto"/>
          <w:sz w:val="24"/>
          <w:szCs w:val="24"/>
        </w:rPr>
        <w:t xml:space="preserve">departments </w:t>
      </w:r>
      <w:r w:rsidR="0010415F" w:rsidRPr="00CF6648">
        <w:rPr>
          <w:rFonts w:ascii="Times New Roman" w:hAnsi="Times New Roman"/>
          <w:color w:val="auto"/>
          <w:sz w:val="24"/>
          <w:szCs w:val="24"/>
        </w:rPr>
        <w:t xml:space="preserve">not </w:t>
      </w:r>
      <w:r w:rsidRPr="00CF6648">
        <w:rPr>
          <w:rFonts w:ascii="Times New Roman" w:hAnsi="Times New Roman"/>
          <w:color w:val="auto"/>
          <w:sz w:val="24"/>
          <w:szCs w:val="24"/>
        </w:rPr>
        <w:t>able to retain majority of youth</w:t>
      </w:r>
      <w:r w:rsidR="0073538A" w:rsidRPr="00CF6648">
        <w:rPr>
          <w:rFonts w:ascii="Times New Roman" w:hAnsi="Times New Roman"/>
          <w:color w:val="auto"/>
          <w:sz w:val="24"/>
          <w:szCs w:val="24"/>
        </w:rPr>
        <w:t xml:space="preserve"> who have undergone Learnership, Internship and </w:t>
      </w:r>
      <w:r w:rsidR="00CF6648" w:rsidRPr="00CF6648">
        <w:rPr>
          <w:rFonts w:ascii="Times New Roman" w:hAnsi="Times New Roman"/>
          <w:color w:val="auto"/>
          <w:sz w:val="24"/>
          <w:szCs w:val="24"/>
        </w:rPr>
        <w:t>apprentice</w:t>
      </w:r>
      <w:r w:rsidR="0073538A" w:rsidRPr="00CF6648">
        <w:rPr>
          <w:rFonts w:ascii="Times New Roman" w:hAnsi="Times New Roman"/>
          <w:color w:val="auto"/>
          <w:sz w:val="24"/>
          <w:szCs w:val="24"/>
        </w:rPr>
        <w:t xml:space="preserve"> programmes in the public service.</w:t>
      </w:r>
      <w:r w:rsidR="00265CDA" w:rsidRPr="00CF6648">
        <w:rPr>
          <w:rFonts w:ascii="Times New Roman" w:hAnsi="Times New Roman"/>
          <w:color w:val="auto"/>
          <w:sz w:val="24"/>
          <w:szCs w:val="24"/>
        </w:rPr>
        <w:t xml:space="preserve"> </w:t>
      </w:r>
    </w:p>
    <w:p w:rsidR="000E7D71" w:rsidRPr="000E7D71" w:rsidRDefault="000E7D71" w:rsidP="000E7D71">
      <w:pPr>
        <w:pStyle w:val="ListParagraph"/>
        <w:rPr>
          <w:rFonts w:ascii="Times New Roman" w:hAnsi="Times New Roman"/>
          <w:color w:val="auto"/>
          <w:sz w:val="24"/>
          <w:szCs w:val="24"/>
        </w:rPr>
      </w:pPr>
    </w:p>
    <w:p w:rsidR="000E7D71" w:rsidRPr="000E7D71"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Pr>
          <w:rFonts w:ascii="Times New Roman" w:eastAsia="Calibri" w:hAnsi="Times New Roman"/>
          <w:sz w:val="24"/>
          <w:szCs w:val="24"/>
          <w:lang w:val="en-US"/>
        </w:rPr>
        <w:t>The Ministry should</w:t>
      </w:r>
      <w:r w:rsidRPr="00831A68">
        <w:rPr>
          <w:rFonts w:ascii="Times New Roman" w:eastAsia="Calibri" w:hAnsi="Times New Roman"/>
          <w:sz w:val="24"/>
          <w:szCs w:val="24"/>
          <w:lang w:val="en-US"/>
        </w:rPr>
        <w:t xml:space="preserve"> delegate the responsibility to study the authenticity and compliance with the Financial Disclosure Framework (FDF) to the Accounting Officers across the public service so that the Executive Authority should be responsible only for signing off the filing of the disclosures with the Public Service Commission. This will help ease the process and timely compliance with this management prescript.</w:t>
      </w:r>
    </w:p>
    <w:p w:rsidR="000E7D71" w:rsidRPr="000E7D71" w:rsidRDefault="000E7D71" w:rsidP="000E7D71">
      <w:pPr>
        <w:pStyle w:val="ListParagraph"/>
        <w:rPr>
          <w:rFonts w:ascii="Times New Roman" w:hAnsi="Times New Roman"/>
          <w:sz w:val="24"/>
          <w:szCs w:val="24"/>
        </w:rPr>
      </w:pPr>
    </w:p>
    <w:p w:rsidR="000E7D71"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hAnsi="Times New Roman"/>
          <w:sz w:val="24"/>
          <w:szCs w:val="24"/>
        </w:rPr>
        <w:t>The Departm</w:t>
      </w:r>
      <w:r>
        <w:rPr>
          <w:rFonts w:ascii="Times New Roman" w:hAnsi="Times New Roman"/>
          <w:sz w:val="24"/>
          <w:szCs w:val="24"/>
        </w:rPr>
        <w:t>ent should consider conducting an Indaba on</w:t>
      </w:r>
      <w:r w:rsidRPr="00831A68">
        <w:rPr>
          <w:rFonts w:ascii="Times New Roman" w:hAnsi="Times New Roman"/>
          <w:sz w:val="24"/>
          <w:szCs w:val="24"/>
        </w:rPr>
        <w:t xml:space="preserve"> Public Ser</w:t>
      </w:r>
      <w:r>
        <w:rPr>
          <w:rFonts w:ascii="Times New Roman" w:hAnsi="Times New Roman"/>
          <w:sz w:val="24"/>
          <w:szCs w:val="24"/>
        </w:rPr>
        <w:t>vants Living with Disabilities</w:t>
      </w:r>
      <w:r w:rsidRPr="00831A68">
        <w:rPr>
          <w:rFonts w:ascii="Times New Roman" w:hAnsi="Times New Roman"/>
          <w:sz w:val="24"/>
          <w:szCs w:val="24"/>
        </w:rPr>
        <w:t xml:space="preserve"> to understand their plights in the</w:t>
      </w:r>
      <w:r>
        <w:rPr>
          <w:rFonts w:ascii="Times New Roman" w:hAnsi="Times New Roman"/>
          <w:sz w:val="24"/>
          <w:szCs w:val="24"/>
        </w:rPr>
        <w:t>ir</w:t>
      </w:r>
      <w:r w:rsidRPr="00831A68">
        <w:rPr>
          <w:rFonts w:ascii="Times New Roman" w:hAnsi="Times New Roman"/>
          <w:sz w:val="24"/>
          <w:szCs w:val="24"/>
        </w:rPr>
        <w:t xml:space="preserve"> workplaces. The Indaba will</w:t>
      </w:r>
      <w:r>
        <w:rPr>
          <w:rFonts w:ascii="Times New Roman" w:hAnsi="Times New Roman"/>
          <w:sz w:val="24"/>
          <w:szCs w:val="24"/>
        </w:rPr>
        <w:t xml:space="preserve"> determine</w:t>
      </w:r>
      <w:r w:rsidRPr="00831A68">
        <w:rPr>
          <w:rFonts w:ascii="Times New Roman" w:hAnsi="Times New Roman"/>
          <w:sz w:val="24"/>
          <w:szCs w:val="24"/>
        </w:rPr>
        <w:t xml:space="preserve"> </w:t>
      </w:r>
      <w:r>
        <w:rPr>
          <w:rFonts w:ascii="Times New Roman" w:hAnsi="Times New Roman"/>
          <w:sz w:val="24"/>
          <w:szCs w:val="24"/>
        </w:rPr>
        <w:t xml:space="preserve">whether government has created conducive environment for public servants living with disabilities to enable them to perform their duties </w:t>
      </w:r>
      <w:r w:rsidRPr="00831A68">
        <w:rPr>
          <w:rFonts w:ascii="Times New Roman" w:hAnsi="Times New Roman"/>
          <w:sz w:val="24"/>
          <w:szCs w:val="24"/>
        </w:rPr>
        <w:t xml:space="preserve">competently </w:t>
      </w:r>
      <w:r>
        <w:rPr>
          <w:rFonts w:ascii="Times New Roman" w:hAnsi="Times New Roman"/>
          <w:sz w:val="24"/>
          <w:szCs w:val="24"/>
        </w:rPr>
        <w:t>without</w:t>
      </w:r>
      <w:r w:rsidRPr="00831A68">
        <w:rPr>
          <w:rFonts w:ascii="Times New Roman" w:hAnsi="Times New Roman"/>
          <w:sz w:val="24"/>
          <w:szCs w:val="24"/>
        </w:rPr>
        <w:t xml:space="preserve"> any hindrances.</w:t>
      </w:r>
    </w:p>
    <w:p w:rsidR="000E7D71" w:rsidRPr="000E7D71" w:rsidRDefault="000E7D71" w:rsidP="000E7D71">
      <w:pPr>
        <w:pStyle w:val="ListParagraph"/>
        <w:rPr>
          <w:rFonts w:ascii="Times New Roman" w:hAnsi="Times New Roman"/>
          <w:sz w:val="24"/>
          <w:szCs w:val="24"/>
        </w:rPr>
      </w:pPr>
    </w:p>
    <w:p w:rsidR="000E7D71" w:rsidRPr="00831A68"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The Ministry is requested to facilitate the process of establishing an operational business/sales unit with proper and adequate funding at the National School of Government so that the marketing, advocacy on the School’s objectives, and the requisite business management principles can be efficiently designed to assist the School to be properly funded to execute its mandate.</w:t>
      </w:r>
    </w:p>
    <w:p w:rsidR="00CF6648" w:rsidRPr="00CF6648" w:rsidRDefault="00CF6648" w:rsidP="00CF6648">
      <w:pPr>
        <w:pStyle w:val="ListParagraph"/>
        <w:rPr>
          <w:rFonts w:ascii="Times New Roman" w:hAnsi="Times New Roman"/>
          <w:color w:val="auto"/>
          <w:sz w:val="24"/>
          <w:szCs w:val="24"/>
        </w:rPr>
      </w:pPr>
    </w:p>
    <w:p w:rsidR="002C4F39" w:rsidRPr="009C1389" w:rsidRDefault="00CF6648" w:rsidP="00CF6648">
      <w:pPr>
        <w:pStyle w:val="ListParagraph"/>
        <w:numPr>
          <w:ilvl w:val="1"/>
          <w:numId w:val="14"/>
        </w:numPr>
        <w:spacing w:after="200" w:line="360" w:lineRule="auto"/>
        <w:ind w:left="851" w:hanging="851"/>
        <w:jc w:val="both"/>
        <w:rPr>
          <w:rFonts w:ascii="Times New Roman" w:hAnsi="Times New Roman"/>
          <w:color w:val="auto"/>
          <w:sz w:val="24"/>
          <w:szCs w:val="24"/>
        </w:rPr>
      </w:pPr>
      <w:r>
        <w:rPr>
          <w:rFonts w:ascii="Times New Roman" w:hAnsi="Times New Roman"/>
          <w:color w:val="auto"/>
          <w:sz w:val="24"/>
          <w:szCs w:val="24"/>
        </w:rPr>
        <w:t>Standards dealing with the time t</w:t>
      </w:r>
      <w:r w:rsidR="0073538A" w:rsidRPr="009C1389">
        <w:rPr>
          <w:rFonts w:ascii="Times New Roman" w:hAnsi="Times New Roman"/>
          <w:color w:val="auto"/>
          <w:sz w:val="24"/>
          <w:szCs w:val="24"/>
        </w:rPr>
        <w:t xml:space="preserve">o fill vacancies in the public service </w:t>
      </w:r>
      <w:r w:rsidR="002C4F39" w:rsidRPr="009C1389">
        <w:rPr>
          <w:rFonts w:ascii="Times New Roman" w:hAnsi="Times New Roman"/>
          <w:color w:val="auto"/>
          <w:sz w:val="24"/>
          <w:szCs w:val="24"/>
        </w:rPr>
        <w:t xml:space="preserve">has to be clearly defined in terms of different job categories. The Committee urged the Department to consider categorising the average time </w:t>
      </w:r>
      <w:r w:rsidR="001F172C" w:rsidRPr="009C1389">
        <w:rPr>
          <w:rFonts w:ascii="Times New Roman" w:hAnsi="Times New Roman"/>
          <w:color w:val="auto"/>
          <w:sz w:val="24"/>
          <w:szCs w:val="24"/>
        </w:rPr>
        <w:t xml:space="preserve">taken to fill </w:t>
      </w:r>
      <w:r>
        <w:rPr>
          <w:rFonts w:ascii="Times New Roman" w:hAnsi="Times New Roman"/>
          <w:color w:val="auto"/>
          <w:sz w:val="24"/>
          <w:szCs w:val="24"/>
        </w:rPr>
        <w:t>vacancies</w:t>
      </w:r>
      <w:r w:rsidR="001F172C" w:rsidRPr="009C1389">
        <w:rPr>
          <w:rFonts w:ascii="Times New Roman" w:hAnsi="Times New Roman"/>
          <w:color w:val="auto"/>
          <w:sz w:val="24"/>
          <w:szCs w:val="24"/>
        </w:rPr>
        <w:t xml:space="preserve"> in terms of t</w:t>
      </w:r>
      <w:r w:rsidR="002C4F39" w:rsidRPr="009C1389">
        <w:rPr>
          <w:rFonts w:ascii="Times New Roman" w:hAnsi="Times New Roman"/>
          <w:color w:val="auto"/>
          <w:sz w:val="24"/>
          <w:szCs w:val="24"/>
        </w:rPr>
        <w:t>he levels of the position</w:t>
      </w:r>
      <w:r w:rsidR="001F172C" w:rsidRPr="009C1389">
        <w:rPr>
          <w:rFonts w:ascii="Times New Roman" w:hAnsi="Times New Roman"/>
          <w:color w:val="auto"/>
          <w:sz w:val="24"/>
          <w:szCs w:val="24"/>
        </w:rPr>
        <w:t>s. The Committee urged that all the average time to fill post</w:t>
      </w:r>
      <w:r>
        <w:rPr>
          <w:rFonts w:ascii="Times New Roman" w:hAnsi="Times New Roman"/>
          <w:color w:val="auto"/>
          <w:sz w:val="24"/>
          <w:szCs w:val="24"/>
        </w:rPr>
        <w:t>s</w:t>
      </w:r>
      <w:r w:rsidR="001F172C" w:rsidRPr="009C1389">
        <w:rPr>
          <w:rFonts w:ascii="Times New Roman" w:hAnsi="Times New Roman"/>
          <w:color w:val="auto"/>
          <w:sz w:val="24"/>
          <w:szCs w:val="24"/>
        </w:rPr>
        <w:t xml:space="preserve"> </w:t>
      </w:r>
      <w:r w:rsidR="002C4F39" w:rsidRPr="009C1389">
        <w:rPr>
          <w:rFonts w:ascii="Times New Roman" w:hAnsi="Times New Roman"/>
          <w:color w:val="auto"/>
          <w:sz w:val="24"/>
          <w:szCs w:val="24"/>
        </w:rPr>
        <w:t xml:space="preserve">should not exceed </w:t>
      </w:r>
      <w:r w:rsidR="001F172C" w:rsidRPr="009C1389">
        <w:rPr>
          <w:rFonts w:ascii="Times New Roman" w:hAnsi="Times New Roman"/>
          <w:color w:val="auto"/>
          <w:sz w:val="24"/>
          <w:szCs w:val="24"/>
        </w:rPr>
        <w:t xml:space="preserve">acceptable time </w:t>
      </w:r>
      <w:r w:rsidR="009C2149">
        <w:rPr>
          <w:rFonts w:ascii="Times New Roman" w:hAnsi="Times New Roman"/>
          <w:color w:val="auto"/>
          <w:sz w:val="24"/>
          <w:szCs w:val="24"/>
        </w:rPr>
        <w:t>frame</w:t>
      </w:r>
      <w:r w:rsidR="002C4F39" w:rsidRPr="009C1389">
        <w:rPr>
          <w:rFonts w:ascii="Times New Roman" w:hAnsi="Times New Roman"/>
          <w:color w:val="auto"/>
          <w:sz w:val="24"/>
          <w:szCs w:val="24"/>
        </w:rPr>
        <w:t xml:space="preserve">. </w:t>
      </w:r>
    </w:p>
    <w:p w:rsidR="00097BF2" w:rsidRPr="00831A68" w:rsidRDefault="00097BF2" w:rsidP="00097BF2">
      <w:pPr>
        <w:pStyle w:val="ListParagraph"/>
        <w:rPr>
          <w:rFonts w:ascii="Times New Roman" w:hAnsi="Times New Roman"/>
          <w:color w:val="auto"/>
          <w:sz w:val="24"/>
          <w:szCs w:val="24"/>
        </w:rPr>
      </w:pPr>
    </w:p>
    <w:p w:rsidR="00097BF2" w:rsidRPr="009C1389" w:rsidRDefault="00097BF2"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sz w:val="24"/>
          <w:szCs w:val="24"/>
        </w:rPr>
        <w:t>The Committee applauded the Ministry of the Department of Publ</w:t>
      </w:r>
      <w:r w:rsidR="00B94907" w:rsidRPr="009C1389">
        <w:rPr>
          <w:rFonts w:ascii="Times New Roman" w:hAnsi="Times New Roman"/>
          <w:sz w:val="24"/>
          <w:szCs w:val="24"/>
        </w:rPr>
        <w:t>ic Service and Administration in</w:t>
      </w:r>
      <w:r w:rsidRPr="009C1389">
        <w:rPr>
          <w:rFonts w:ascii="Times New Roman" w:hAnsi="Times New Roman"/>
          <w:sz w:val="24"/>
          <w:szCs w:val="24"/>
        </w:rPr>
        <w:t xml:space="preserve"> strengthening and improving confidence in the integrity of the public service through introducing reforms to fight against corruption by effecting amendments to the relevant codes of legislation in order to prevent public servants from doing business with the state. </w:t>
      </w:r>
    </w:p>
    <w:p w:rsidR="00F56E87" w:rsidRPr="00831A68" w:rsidRDefault="00F56E87" w:rsidP="00F56E87">
      <w:pPr>
        <w:pStyle w:val="ListParagraph"/>
        <w:rPr>
          <w:rFonts w:ascii="Times New Roman" w:hAnsi="Times New Roman"/>
          <w:color w:val="auto"/>
          <w:sz w:val="24"/>
          <w:szCs w:val="24"/>
        </w:rPr>
      </w:pPr>
    </w:p>
    <w:p w:rsidR="002A7E42" w:rsidRPr="009C1389" w:rsidRDefault="002C4F39"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Over the</w:t>
      </w:r>
      <w:r w:rsidR="00097BF2" w:rsidRPr="009C1389">
        <w:rPr>
          <w:rFonts w:ascii="Times New Roman" w:hAnsi="Times New Roman"/>
          <w:color w:val="auto"/>
          <w:sz w:val="24"/>
          <w:szCs w:val="24"/>
        </w:rPr>
        <w:t xml:space="preserve"> past</w:t>
      </w:r>
      <w:r w:rsidRPr="009C1389">
        <w:rPr>
          <w:rFonts w:ascii="Times New Roman" w:hAnsi="Times New Roman"/>
          <w:color w:val="auto"/>
          <w:sz w:val="24"/>
          <w:szCs w:val="24"/>
        </w:rPr>
        <w:t xml:space="preserve"> years, the Committee </w:t>
      </w:r>
      <w:r w:rsidR="00F56E87" w:rsidRPr="009C1389">
        <w:rPr>
          <w:rFonts w:ascii="Times New Roman" w:hAnsi="Times New Roman"/>
          <w:color w:val="auto"/>
          <w:sz w:val="24"/>
          <w:szCs w:val="24"/>
        </w:rPr>
        <w:t>was concerned about the</w:t>
      </w:r>
      <w:r w:rsidR="009C1389">
        <w:rPr>
          <w:rFonts w:ascii="Times New Roman" w:hAnsi="Times New Roman"/>
          <w:color w:val="auto"/>
          <w:sz w:val="24"/>
          <w:szCs w:val="24"/>
        </w:rPr>
        <w:t xml:space="preserve"> funding model for the</w:t>
      </w:r>
      <w:r w:rsidRPr="009C1389">
        <w:rPr>
          <w:rFonts w:ascii="Times New Roman" w:hAnsi="Times New Roman"/>
          <w:color w:val="auto"/>
          <w:sz w:val="24"/>
          <w:szCs w:val="24"/>
        </w:rPr>
        <w:t xml:space="preserve"> Thusong Service Centres. The Committee is of the view that the Department in collaboration with the Government Communication and Information Services should close the </w:t>
      </w:r>
      <w:r w:rsidR="001F172C" w:rsidRPr="009C1389">
        <w:rPr>
          <w:rFonts w:ascii="Times New Roman" w:hAnsi="Times New Roman"/>
          <w:color w:val="auto"/>
          <w:sz w:val="24"/>
          <w:szCs w:val="24"/>
        </w:rPr>
        <w:t>matter, clarify funding mode</w:t>
      </w:r>
      <w:r w:rsidRPr="009C1389">
        <w:rPr>
          <w:rFonts w:ascii="Times New Roman" w:hAnsi="Times New Roman"/>
          <w:color w:val="auto"/>
          <w:sz w:val="24"/>
          <w:szCs w:val="24"/>
        </w:rPr>
        <w:t>l and responsibilities in the Thusong Service Centre</w:t>
      </w:r>
      <w:r w:rsidR="001F172C" w:rsidRPr="009C1389">
        <w:rPr>
          <w:rFonts w:ascii="Times New Roman" w:hAnsi="Times New Roman"/>
          <w:color w:val="auto"/>
          <w:sz w:val="24"/>
          <w:szCs w:val="24"/>
        </w:rPr>
        <w:t xml:space="preserve"> to better enhance service delivery in different centres</w:t>
      </w:r>
      <w:r w:rsidRPr="009C1389">
        <w:rPr>
          <w:rFonts w:ascii="Times New Roman" w:hAnsi="Times New Roman"/>
          <w:color w:val="auto"/>
          <w:sz w:val="24"/>
          <w:szCs w:val="24"/>
        </w:rPr>
        <w:t xml:space="preserve">. </w:t>
      </w:r>
    </w:p>
    <w:p w:rsidR="00F56E87" w:rsidRPr="00831A68" w:rsidRDefault="00F56E87" w:rsidP="00F56E87">
      <w:pPr>
        <w:pStyle w:val="ListParagraph"/>
        <w:rPr>
          <w:rFonts w:ascii="Times New Roman" w:hAnsi="Times New Roman"/>
          <w:color w:val="auto"/>
          <w:sz w:val="24"/>
          <w:szCs w:val="24"/>
        </w:rPr>
      </w:pPr>
    </w:p>
    <w:p w:rsidR="001D52CF" w:rsidRDefault="001D52CF"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The Department should improve targets concerning the employment of the people wit</w:t>
      </w:r>
      <w:r w:rsidR="001F172C" w:rsidRPr="009C1389">
        <w:rPr>
          <w:rFonts w:ascii="Times New Roman" w:hAnsi="Times New Roman"/>
          <w:color w:val="auto"/>
          <w:sz w:val="24"/>
          <w:szCs w:val="24"/>
        </w:rPr>
        <w:t>h disabilities. The improvement of targets for the people with disabilities</w:t>
      </w:r>
      <w:r w:rsidRPr="009C1389">
        <w:rPr>
          <w:rFonts w:ascii="Times New Roman" w:hAnsi="Times New Roman"/>
          <w:color w:val="auto"/>
          <w:sz w:val="24"/>
          <w:szCs w:val="24"/>
        </w:rPr>
        <w:t xml:space="preserve"> should not only target operation</w:t>
      </w:r>
      <w:r w:rsidR="009C1389">
        <w:rPr>
          <w:rFonts w:ascii="Times New Roman" w:hAnsi="Times New Roman"/>
          <w:color w:val="auto"/>
          <w:sz w:val="24"/>
          <w:szCs w:val="24"/>
        </w:rPr>
        <w:t xml:space="preserve"> posts</w:t>
      </w:r>
      <w:r w:rsidRPr="009C1389">
        <w:rPr>
          <w:rFonts w:ascii="Times New Roman" w:hAnsi="Times New Roman"/>
          <w:color w:val="auto"/>
          <w:sz w:val="24"/>
          <w:szCs w:val="24"/>
        </w:rPr>
        <w:t xml:space="preserve"> and menial tasks, but also technical as well as management levels.</w:t>
      </w:r>
      <w:r w:rsidR="002A7E42" w:rsidRPr="009C1389">
        <w:rPr>
          <w:rFonts w:ascii="Times New Roman" w:hAnsi="Times New Roman"/>
          <w:color w:val="auto"/>
          <w:sz w:val="24"/>
          <w:szCs w:val="24"/>
        </w:rPr>
        <w:t xml:space="preserve"> The Department should provide detailed information on the employment equity in the public sector. </w:t>
      </w:r>
    </w:p>
    <w:p w:rsidR="000E7D71" w:rsidRPr="000E7D71" w:rsidRDefault="000E7D71" w:rsidP="000E7D71">
      <w:pPr>
        <w:pStyle w:val="ListParagraph"/>
        <w:rPr>
          <w:rFonts w:ascii="Times New Roman" w:hAnsi="Times New Roman"/>
          <w:color w:val="auto"/>
          <w:sz w:val="24"/>
          <w:szCs w:val="24"/>
        </w:rPr>
      </w:pPr>
    </w:p>
    <w:p w:rsidR="000E7D71" w:rsidRPr="00831A68"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 xml:space="preserve">The sector, especially the Department, must ensure that all funded </w:t>
      </w:r>
      <w:r w:rsidR="00D0648D">
        <w:rPr>
          <w:rFonts w:ascii="Times New Roman" w:eastAsia="Calibri" w:hAnsi="Times New Roman"/>
          <w:sz w:val="24"/>
          <w:szCs w:val="24"/>
          <w:lang w:val="en-US"/>
        </w:rPr>
        <w:t>posts</w:t>
      </w:r>
      <w:r w:rsidRPr="00831A68">
        <w:rPr>
          <w:rFonts w:ascii="Times New Roman" w:eastAsia="Calibri" w:hAnsi="Times New Roman"/>
          <w:sz w:val="24"/>
          <w:szCs w:val="24"/>
          <w:lang w:val="en-US"/>
        </w:rPr>
        <w:t xml:space="preserve"> are filled and desist from shifting funds meant for vacancies to goods and services as this impacts negatively on service delivery.</w:t>
      </w:r>
    </w:p>
    <w:p w:rsidR="00F56E87" w:rsidRPr="00831A68" w:rsidRDefault="00F56E87" w:rsidP="00F56E87">
      <w:pPr>
        <w:pStyle w:val="ListParagraph"/>
        <w:rPr>
          <w:rFonts w:ascii="Times New Roman" w:hAnsi="Times New Roman"/>
          <w:color w:val="auto"/>
          <w:sz w:val="24"/>
          <w:szCs w:val="24"/>
        </w:rPr>
      </w:pPr>
    </w:p>
    <w:p w:rsidR="002A7E42" w:rsidRPr="009C1389" w:rsidRDefault="005F6F51"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 xml:space="preserve">Online courses offered by the National School of Government need to be accredited with the </w:t>
      </w:r>
      <w:r w:rsidR="001F172C" w:rsidRPr="009C1389">
        <w:rPr>
          <w:rFonts w:ascii="Times New Roman" w:hAnsi="Times New Roman"/>
          <w:color w:val="auto"/>
          <w:sz w:val="24"/>
          <w:szCs w:val="24"/>
        </w:rPr>
        <w:t>P</w:t>
      </w:r>
      <w:r w:rsidR="009C1389">
        <w:rPr>
          <w:rFonts w:ascii="Times New Roman" w:hAnsi="Times New Roman"/>
          <w:color w:val="auto"/>
          <w:sz w:val="24"/>
          <w:szCs w:val="24"/>
        </w:rPr>
        <w:t xml:space="preserve">ublic </w:t>
      </w:r>
      <w:r w:rsidR="001F172C" w:rsidRPr="009C1389">
        <w:rPr>
          <w:rFonts w:ascii="Times New Roman" w:hAnsi="Times New Roman"/>
          <w:color w:val="auto"/>
          <w:sz w:val="24"/>
          <w:szCs w:val="24"/>
        </w:rPr>
        <w:t>S</w:t>
      </w:r>
      <w:r w:rsidR="009C1389">
        <w:rPr>
          <w:rFonts w:ascii="Times New Roman" w:hAnsi="Times New Roman"/>
          <w:color w:val="auto"/>
          <w:sz w:val="24"/>
          <w:szCs w:val="24"/>
        </w:rPr>
        <w:t xml:space="preserve">ector </w:t>
      </w:r>
      <w:r w:rsidR="001F172C" w:rsidRPr="009C1389">
        <w:rPr>
          <w:rFonts w:ascii="Times New Roman" w:hAnsi="Times New Roman"/>
          <w:color w:val="auto"/>
          <w:sz w:val="24"/>
          <w:szCs w:val="24"/>
        </w:rPr>
        <w:t>E</w:t>
      </w:r>
      <w:r w:rsidR="009C1389">
        <w:rPr>
          <w:rFonts w:ascii="Times New Roman" w:hAnsi="Times New Roman"/>
          <w:color w:val="auto"/>
          <w:sz w:val="24"/>
          <w:szCs w:val="24"/>
        </w:rPr>
        <w:t xml:space="preserve">ducation </w:t>
      </w:r>
      <w:r w:rsidR="001F172C" w:rsidRPr="009C1389">
        <w:rPr>
          <w:rFonts w:ascii="Times New Roman" w:hAnsi="Times New Roman"/>
          <w:color w:val="auto"/>
          <w:sz w:val="24"/>
          <w:szCs w:val="24"/>
        </w:rPr>
        <w:t>T</w:t>
      </w:r>
      <w:r w:rsidR="009C1389">
        <w:rPr>
          <w:rFonts w:ascii="Times New Roman" w:hAnsi="Times New Roman"/>
          <w:color w:val="auto"/>
          <w:sz w:val="24"/>
          <w:szCs w:val="24"/>
        </w:rPr>
        <w:t xml:space="preserve">raining </w:t>
      </w:r>
      <w:r w:rsidR="001F172C" w:rsidRPr="009C1389">
        <w:rPr>
          <w:rFonts w:ascii="Times New Roman" w:hAnsi="Times New Roman"/>
          <w:color w:val="auto"/>
          <w:sz w:val="24"/>
          <w:szCs w:val="24"/>
        </w:rPr>
        <w:t>A</w:t>
      </w:r>
      <w:r w:rsidR="009C1389">
        <w:rPr>
          <w:rFonts w:ascii="Times New Roman" w:hAnsi="Times New Roman"/>
          <w:color w:val="auto"/>
          <w:sz w:val="24"/>
          <w:szCs w:val="24"/>
        </w:rPr>
        <w:t>uthority (PSETA)</w:t>
      </w:r>
      <w:r w:rsidRPr="009C1389">
        <w:rPr>
          <w:rFonts w:ascii="Times New Roman" w:hAnsi="Times New Roman"/>
          <w:color w:val="auto"/>
          <w:sz w:val="24"/>
          <w:szCs w:val="24"/>
        </w:rPr>
        <w:t xml:space="preserve"> </w:t>
      </w:r>
      <w:r w:rsidR="00585226" w:rsidRPr="009C1389">
        <w:rPr>
          <w:rFonts w:ascii="Times New Roman" w:hAnsi="Times New Roman"/>
          <w:color w:val="auto"/>
          <w:sz w:val="24"/>
          <w:szCs w:val="24"/>
        </w:rPr>
        <w:t xml:space="preserve">in order </w:t>
      </w:r>
      <w:r w:rsidRPr="009C1389">
        <w:rPr>
          <w:rFonts w:ascii="Times New Roman" w:hAnsi="Times New Roman"/>
          <w:color w:val="auto"/>
          <w:sz w:val="24"/>
          <w:szCs w:val="24"/>
        </w:rPr>
        <w:t xml:space="preserve">to </w:t>
      </w:r>
      <w:r w:rsidR="00585226" w:rsidRPr="009C1389">
        <w:rPr>
          <w:rFonts w:ascii="Times New Roman" w:hAnsi="Times New Roman"/>
          <w:color w:val="auto"/>
          <w:sz w:val="24"/>
          <w:szCs w:val="24"/>
        </w:rPr>
        <w:t xml:space="preserve">increase </w:t>
      </w:r>
      <w:r w:rsidR="00097BF2" w:rsidRPr="009C1389">
        <w:rPr>
          <w:rFonts w:ascii="Times New Roman" w:hAnsi="Times New Roman"/>
          <w:color w:val="auto"/>
          <w:sz w:val="24"/>
          <w:szCs w:val="24"/>
        </w:rPr>
        <w:t xml:space="preserve">high rate of </w:t>
      </w:r>
      <w:r w:rsidR="00585226" w:rsidRPr="009C1389">
        <w:rPr>
          <w:rFonts w:ascii="Times New Roman" w:hAnsi="Times New Roman"/>
          <w:color w:val="auto"/>
          <w:sz w:val="24"/>
          <w:szCs w:val="24"/>
        </w:rPr>
        <w:t>enrolment in this regard</w:t>
      </w:r>
      <w:r w:rsidRPr="009C1389">
        <w:rPr>
          <w:rFonts w:ascii="Times New Roman" w:hAnsi="Times New Roman"/>
          <w:color w:val="auto"/>
          <w:sz w:val="24"/>
          <w:szCs w:val="24"/>
        </w:rPr>
        <w:t xml:space="preserve">. </w:t>
      </w:r>
      <w:r w:rsidR="00097BF2" w:rsidRPr="009C1389">
        <w:rPr>
          <w:rFonts w:ascii="Times New Roman" w:hAnsi="Times New Roman"/>
          <w:color w:val="auto"/>
          <w:sz w:val="24"/>
          <w:szCs w:val="24"/>
        </w:rPr>
        <w:t xml:space="preserve">The School should monitor online enrolment.  </w:t>
      </w:r>
    </w:p>
    <w:p w:rsidR="00F56E87" w:rsidRPr="00831A68" w:rsidRDefault="00F56E87" w:rsidP="00F56E87">
      <w:pPr>
        <w:pStyle w:val="ListParagraph"/>
        <w:rPr>
          <w:rFonts w:ascii="Times New Roman" w:hAnsi="Times New Roman"/>
          <w:color w:val="auto"/>
          <w:sz w:val="24"/>
          <w:szCs w:val="24"/>
        </w:rPr>
      </w:pPr>
    </w:p>
    <w:p w:rsidR="00F94EB5" w:rsidRDefault="001F172C"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The</w:t>
      </w:r>
      <w:r w:rsidR="005F6F51" w:rsidRPr="009C1389">
        <w:rPr>
          <w:rFonts w:ascii="Times New Roman" w:hAnsi="Times New Roman"/>
          <w:color w:val="auto"/>
          <w:sz w:val="24"/>
          <w:szCs w:val="24"/>
        </w:rPr>
        <w:t xml:space="preserve"> National School of Government as established by the Public Service Act </w:t>
      </w:r>
      <w:r w:rsidRPr="009C1389">
        <w:rPr>
          <w:rFonts w:ascii="Times New Roman" w:hAnsi="Times New Roman"/>
          <w:color w:val="auto"/>
          <w:sz w:val="24"/>
          <w:szCs w:val="24"/>
        </w:rPr>
        <w:t>should</w:t>
      </w:r>
      <w:r w:rsidR="009C1389">
        <w:rPr>
          <w:rFonts w:ascii="Times New Roman" w:hAnsi="Times New Roman"/>
          <w:color w:val="auto"/>
          <w:sz w:val="24"/>
          <w:szCs w:val="24"/>
        </w:rPr>
        <w:t xml:space="preserve"> </w:t>
      </w:r>
      <w:r w:rsidR="00CF6648">
        <w:rPr>
          <w:rFonts w:ascii="Times New Roman" w:hAnsi="Times New Roman"/>
          <w:color w:val="auto"/>
          <w:sz w:val="24"/>
          <w:szCs w:val="24"/>
        </w:rPr>
        <w:t>improve its quality and the cost-effectiveness of its training, in order to become the training provider of first choice for</w:t>
      </w:r>
      <w:r w:rsidR="005F6F51" w:rsidRPr="009C1389">
        <w:rPr>
          <w:rFonts w:ascii="Times New Roman" w:hAnsi="Times New Roman"/>
          <w:color w:val="auto"/>
          <w:sz w:val="24"/>
          <w:szCs w:val="24"/>
        </w:rPr>
        <w:t xml:space="preserve"> training</w:t>
      </w:r>
      <w:r w:rsidR="00CF6648">
        <w:rPr>
          <w:rFonts w:ascii="Times New Roman" w:hAnsi="Times New Roman"/>
          <w:color w:val="auto"/>
          <w:sz w:val="24"/>
          <w:szCs w:val="24"/>
        </w:rPr>
        <w:t xml:space="preserve"> and development </w:t>
      </w:r>
      <w:r w:rsidRPr="009C1389">
        <w:rPr>
          <w:rFonts w:ascii="Times New Roman" w:hAnsi="Times New Roman"/>
          <w:color w:val="auto"/>
          <w:sz w:val="24"/>
          <w:szCs w:val="24"/>
        </w:rPr>
        <w:t>o</w:t>
      </w:r>
      <w:r w:rsidR="00CF6648">
        <w:rPr>
          <w:rFonts w:ascii="Times New Roman" w:hAnsi="Times New Roman"/>
          <w:color w:val="auto"/>
          <w:sz w:val="24"/>
          <w:szCs w:val="24"/>
        </w:rPr>
        <w:t>f</w:t>
      </w:r>
      <w:r w:rsidRPr="009C1389">
        <w:rPr>
          <w:rFonts w:ascii="Times New Roman" w:hAnsi="Times New Roman"/>
          <w:color w:val="auto"/>
          <w:sz w:val="24"/>
          <w:szCs w:val="24"/>
        </w:rPr>
        <w:t xml:space="preserve"> the employees in the public sector</w:t>
      </w:r>
      <w:r w:rsidR="005F6F51" w:rsidRPr="009C1389">
        <w:rPr>
          <w:rFonts w:ascii="Times New Roman" w:hAnsi="Times New Roman"/>
          <w:color w:val="auto"/>
          <w:sz w:val="24"/>
          <w:szCs w:val="24"/>
        </w:rPr>
        <w:t xml:space="preserve">. </w:t>
      </w:r>
    </w:p>
    <w:p w:rsidR="000E7D71" w:rsidRPr="000E7D71" w:rsidRDefault="000E7D71" w:rsidP="000E7D71">
      <w:pPr>
        <w:pStyle w:val="ListParagraph"/>
        <w:rPr>
          <w:rFonts w:ascii="Times New Roman" w:hAnsi="Times New Roman"/>
          <w:color w:val="auto"/>
          <w:sz w:val="24"/>
          <w:szCs w:val="24"/>
        </w:rPr>
      </w:pPr>
    </w:p>
    <w:p w:rsidR="000E7D71" w:rsidRPr="00831A68"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The National School of Government is urged to find ways to use the public media channel like the SABC and the Parliamentary Television Channel</w:t>
      </w:r>
      <w:r w:rsidR="00D0648D">
        <w:rPr>
          <w:rFonts w:ascii="Times New Roman" w:eastAsia="Calibri" w:hAnsi="Times New Roman"/>
          <w:sz w:val="24"/>
          <w:szCs w:val="24"/>
          <w:lang w:val="en-US"/>
        </w:rPr>
        <w:t>s</w:t>
      </w:r>
      <w:r w:rsidRPr="00831A68">
        <w:rPr>
          <w:rFonts w:ascii="Times New Roman" w:eastAsia="Calibri" w:hAnsi="Times New Roman"/>
          <w:sz w:val="24"/>
          <w:szCs w:val="24"/>
          <w:lang w:val="en-US"/>
        </w:rPr>
        <w:t xml:space="preserve"> to advocate and promote its</w:t>
      </w:r>
      <w:r>
        <w:rPr>
          <w:rFonts w:ascii="Times New Roman" w:eastAsia="Calibri" w:hAnsi="Times New Roman"/>
          <w:sz w:val="24"/>
          <w:szCs w:val="24"/>
          <w:lang w:val="en-US"/>
        </w:rPr>
        <w:t xml:space="preserve"> services</w:t>
      </w:r>
      <w:r w:rsidRPr="00831A68">
        <w:rPr>
          <w:rFonts w:ascii="Times New Roman" w:eastAsia="Calibri" w:hAnsi="Times New Roman"/>
          <w:sz w:val="24"/>
          <w:szCs w:val="24"/>
          <w:lang w:val="en-US"/>
        </w:rPr>
        <w:t xml:space="preserve"> to the public service and the general public.</w:t>
      </w:r>
    </w:p>
    <w:p w:rsidR="00817297" w:rsidRPr="00831A68" w:rsidRDefault="00817297" w:rsidP="00817297">
      <w:pPr>
        <w:pStyle w:val="ListParagraph"/>
        <w:rPr>
          <w:rFonts w:ascii="Times New Roman" w:hAnsi="Times New Roman"/>
          <w:color w:val="auto"/>
          <w:sz w:val="24"/>
          <w:szCs w:val="24"/>
        </w:rPr>
      </w:pPr>
    </w:p>
    <w:p w:rsidR="005F6F51" w:rsidRPr="009C1389" w:rsidRDefault="00F94EB5"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The National School</w:t>
      </w:r>
      <w:r w:rsidR="00A33C1E" w:rsidRPr="009C1389">
        <w:rPr>
          <w:rFonts w:ascii="Times New Roman" w:hAnsi="Times New Roman"/>
          <w:color w:val="auto"/>
          <w:sz w:val="24"/>
          <w:szCs w:val="24"/>
        </w:rPr>
        <w:t xml:space="preserve"> of Government</w:t>
      </w:r>
      <w:r w:rsidRPr="009C1389">
        <w:rPr>
          <w:rFonts w:ascii="Times New Roman" w:hAnsi="Times New Roman"/>
          <w:color w:val="auto"/>
          <w:sz w:val="24"/>
          <w:szCs w:val="24"/>
        </w:rPr>
        <w:t xml:space="preserve"> should c</w:t>
      </w:r>
      <w:r w:rsidR="00A33C1E" w:rsidRPr="009C1389">
        <w:rPr>
          <w:rFonts w:ascii="Times New Roman" w:hAnsi="Times New Roman"/>
          <w:color w:val="auto"/>
          <w:sz w:val="24"/>
          <w:szCs w:val="24"/>
        </w:rPr>
        <w:t>hange its business architecture</w:t>
      </w:r>
      <w:r w:rsidR="00591BB7" w:rsidRPr="009C1389">
        <w:rPr>
          <w:rFonts w:ascii="Times New Roman" w:hAnsi="Times New Roman"/>
          <w:color w:val="auto"/>
          <w:sz w:val="24"/>
          <w:szCs w:val="24"/>
        </w:rPr>
        <w:t>,</w:t>
      </w:r>
      <w:r w:rsidRPr="009C1389">
        <w:rPr>
          <w:rFonts w:ascii="Times New Roman" w:hAnsi="Times New Roman"/>
          <w:color w:val="auto"/>
          <w:sz w:val="24"/>
          <w:szCs w:val="24"/>
        </w:rPr>
        <w:t xml:space="preserve"> </w:t>
      </w:r>
      <w:r w:rsidR="00591BB7" w:rsidRPr="009C1389">
        <w:rPr>
          <w:rFonts w:ascii="Times New Roman" w:hAnsi="Times New Roman"/>
          <w:color w:val="auto"/>
          <w:sz w:val="24"/>
          <w:szCs w:val="24"/>
        </w:rPr>
        <w:t>more particularly in ensuring its courses and certificates are accredited</w:t>
      </w:r>
      <w:r w:rsidRPr="009C1389">
        <w:rPr>
          <w:rFonts w:ascii="Times New Roman" w:hAnsi="Times New Roman"/>
          <w:color w:val="auto"/>
          <w:sz w:val="24"/>
          <w:szCs w:val="24"/>
        </w:rPr>
        <w:t xml:space="preserve"> in order to attract </w:t>
      </w:r>
      <w:r w:rsidR="00CF6648">
        <w:rPr>
          <w:rFonts w:ascii="Times New Roman" w:hAnsi="Times New Roman"/>
          <w:color w:val="auto"/>
          <w:sz w:val="24"/>
          <w:szCs w:val="24"/>
        </w:rPr>
        <w:t>students</w:t>
      </w:r>
      <w:r w:rsidRPr="009C1389">
        <w:rPr>
          <w:rFonts w:ascii="Times New Roman" w:hAnsi="Times New Roman"/>
          <w:color w:val="auto"/>
          <w:sz w:val="24"/>
          <w:szCs w:val="24"/>
        </w:rPr>
        <w:t xml:space="preserve"> </w:t>
      </w:r>
      <w:r w:rsidR="00591BB7" w:rsidRPr="009C1389">
        <w:rPr>
          <w:rFonts w:ascii="Times New Roman" w:hAnsi="Times New Roman"/>
          <w:color w:val="auto"/>
          <w:sz w:val="24"/>
          <w:szCs w:val="24"/>
        </w:rPr>
        <w:t xml:space="preserve">and </w:t>
      </w:r>
      <w:r w:rsidR="00CF6648">
        <w:rPr>
          <w:rFonts w:ascii="Times New Roman" w:hAnsi="Times New Roman"/>
          <w:color w:val="auto"/>
          <w:sz w:val="24"/>
          <w:szCs w:val="24"/>
        </w:rPr>
        <w:t xml:space="preserve">for the public sector </w:t>
      </w:r>
      <w:r w:rsidR="009C1389">
        <w:rPr>
          <w:rFonts w:ascii="Times New Roman" w:hAnsi="Times New Roman"/>
          <w:color w:val="auto"/>
          <w:sz w:val="24"/>
          <w:szCs w:val="24"/>
        </w:rPr>
        <w:t xml:space="preserve">to </w:t>
      </w:r>
      <w:r w:rsidR="00591BB7" w:rsidRPr="009C1389">
        <w:rPr>
          <w:rFonts w:ascii="Times New Roman" w:hAnsi="Times New Roman"/>
          <w:color w:val="auto"/>
          <w:sz w:val="24"/>
          <w:szCs w:val="24"/>
        </w:rPr>
        <w:t xml:space="preserve">consider the </w:t>
      </w:r>
      <w:r w:rsidR="00CF6648">
        <w:rPr>
          <w:rFonts w:ascii="Times New Roman" w:hAnsi="Times New Roman"/>
          <w:color w:val="auto"/>
          <w:sz w:val="24"/>
          <w:szCs w:val="24"/>
        </w:rPr>
        <w:t>s</w:t>
      </w:r>
      <w:r w:rsidRPr="009C1389">
        <w:rPr>
          <w:rFonts w:ascii="Times New Roman" w:hAnsi="Times New Roman"/>
          <w:color w:val="auto"/>
          <w:sz w:val="24"/>
          <w:szCs w:val="24"/>
        </w:rPr>
        <w:t>chool as their training</w:t>
      </w:r>
      <w:r w:rsidR="00591BB7" w:rsidRPr="009C1389">
        <w:rPr>
          <w:rFonts w:ascii="Times New Roman" w:hAnsi="Times New Roman"/>
          <w:color w:val="auto"/>
          <w:sz w:val="24"/>
          <w:szCs w:val="24"/>
        </w:rPr>
        <w:t xml:space="preserve"> academy</w:t>
      </w:r>
      <w:r w:rsidRPr="009C1389">
        <w:rPr>
          <w:rFonts w:ascii="Times New Roman" w:hAnsi="Times New Roman"/>
          <w:color w:val="auto"/>
          <w:sz w:val="24"/>
          <w:szCs w:val="24"/>
        </w:rPr>
        <w:t>.</w:t>
      </w:r>
      <w:r w:rsidR="0079792C" w:rsidRPr="009C1389">
        <w:rPr>
          <w:rFonts w:ascii="Times New Roman" w:hAnsi="Times New Roman"/>
          <w:color w:val="auto"/>
          <w:sz w:val="24"/>
          <w:szCs w:val="24"/>
        </w:rPr>
        <w:t xml:space="preserve"> </w:t>
      </w:r>
    </w:p>
    <w:p w:rsidR="00817297" w:rsidRPr="00831A68" w:rsidRDefault="00817297" w:rsidP="00817297">
      <w:pPr>
        <w:pStyle w:val="ListParagraph"/>
        <w:rPr>
          <w:rFonts w:ascii="Times New Roman" w:hAnsi="Times New Roman"/>
          <w:color w:val="auto"/>
          <w:sz w:val="24"/>
          <w:szCs w:val="24"/>
        </w:rPr>
      </w:pPr>
    </w:p>
    <w:p w:rsidR="00585226" w:rsidRDefault="00585226"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9C1389">
        <w:rPr>
          <w:rFonts w:ascii="Times New Roman" w:hAnsi="Times New Roman"/>
          <w:color w:val="auto"/>
          <w:sz w:val="24"/>
          <w:szCs w:val="24"/>
        </w:rPr>
        <w:t>The Centre fo</w:t>
      </w:r>
      <w:r w:rsidR="00676346" w:rsidRPr="009C1389">
        <w:rPr>
          <w:rFonts w:ascii="Times New Roman" w:hAnsi="Times New Roman"/>
          <w:color w:val="auto"/>
          <w:sz w:val="24"/>
          <w:szCs w:val="24"/>
        </w:rPr>
        <w:t xml:space="preserve">r Public Service Innovation should </w:t>
      </w:r>
      <w:r w:rsidR="00591BB7" w:rsidRPr="009C1389">
        <w:rPr>
          <w:rFonts w:ascii="Times New Roman" w:hAnsi="Times New Roman"/>
          <w:color w:val="auto"/>
          <w:sz w:val="24"/>
          <w:szCs w:val="24"/>
        </w:rPr>
        <w:t>continue entrench</w:t>
      </w:r>
      <w:r w:rsidR="009C1389" w:rsidRPr="009C1389">
        <w:rPr>
          <w:rFonts w:ascii="Times New Roman" w:hAnsi="Times New Roman"/>
          <w:color w:val="auto"/>
          <w:sz w:val="24"/>
          <w:szCs w:val="24"/>
        </w:rPr>
        <w:t>ing a</w:t>
      </w:r>
      <w:r w:rsidR="00591BB7" w:rsidRPr="009C1389">
        <w:rPr>
          <w:rFonts w:ascii="Times New Roman" w:hAnsi="Times New Roman"/>
          <w:color w:val="auto"/>
          <w:sz w:val="24"/>
          <w:szCs w:val="24"/>
        </w:rPr>
        <w:t xml:space="preserve"> culture and practice of innovation in the public sector. The CPSI should </w:t>
      </w:r>
      <w:r w:rsidR="00676346" w:rsidRPr="009C1389">
        <w:rPr>
          <w:rFonts w:ascii="Times New Roman" w:hAnsi="Times New Roman"/>
          <w:color w:val="auto"/>
          <w:sz w:val="24"/>
          <w:szCs w:val="24"/>
        </w:rPr>
        <w:t xml:space="preserve">in future plan for new innovation projects which will </w:t>
      </w:r>
      <w:r w:rsidR="00591BB7" w:rsidRPr="009C1389">
        <w:rPr>
          <w:rFonts w:ascii="Times New Roman" w:hAnsi="Times New Roman"/>
          <w:color w:val="auto"/>
          <w:sz w:val="24"/>
          <w:szCs w:val="24"/>
        </w:rPr>
        <w:t xml:space="preserve">bring change and </w:t>
      </w:r>
      <w:r w:rsidR="00676346" w:rsidRPr="009C1389">
        <w:rPr>
          <w:rFonts w:ascii="Times New Roman" w:hAnsi="Times New Roman"/>
          <w:color w:val="auto"/>
          <w:sz w:val="24"/>
          <w:szCs w:val="24"/>
        </w:rPr>
        <w:t xml:space="preserve">add value in improving efficiency </w:t>
      </w:r>
      <w:r w:rsidR="00CF6648">
        <w:rPr>
          <w:rFonts w:ascii="Times New Roman" w:hAnsi="Times New Roman"/>
          <w:color w:val="auto"/>
          <w:sz w:val="24"/>
          <w:szCs w:val="24"/>
        </w:rPr>
        <w:t xml:space="preserve">and value for money </w:t>
      </w:r>
      <w:r w:rsidR="00676346" w:rsidRPr="009C1389">
        <w:rPr>
          <w:rFonts w:ascii="Times New Roman" w:hAnsi="Times New Roman"/>
          <w:color w:val="auto"/>
          <w:sz w:val="24"/>
          <w:szCs w:val="24"/>
        </w:rPr>
        <w:t xml:space="preserve">in </w:t>
      </w:r>
      <w:r w:rsidR="00591BB7" w:rsidRPr="009C1389">
        <w:rPr>
          <w:rFonts w:ascii="Times New Roman" w:hAnsi="Times New Roman"/>
          <w:color w:val="auto"/>
          <w:sz w:val="24"/>
          <w:szCs w:val="24"/>
        </w:rPr>
        <w:t>the public s</w:t>
      </w:r>
      <w:r w:rsidR="00676346" w:rsidRPr="009C1389">
        <w:rPr>
          <w:rFonts w:ascii="Times New Roman" w:hAnsi="Times New Roman"/>
          <w:color w:val="auto"/>
          <w:sz w:val="24"/>
          <w:szCs w:val="24"/>
        </w:rPr>
        <w:t xml:space="preserve">ector. The Committee advised the CPSI to be innovative and reflect new innovation projects in their annual performance plans rather than reporting on the same projects every year. </w:t>
      </w:r>
    </w:p>
    <w:p w:rsidR="000E7D71" w:rsidRPr="000E7D71" w:rsidRDefault="000E7D71" w:rsidP="000E7D71">
      <w:pPr>
        <w:pStyle w:val="ListParagraph"/>
        <w:rPr>
          <w:rFonts w:ascii="Times New Roman" w:hAnsi="Times New Roman"/>
          <w:color w:val="auto"/>
          <w:sz w:val="24"/>
          <w:szCs w:val="24"/>
        </w:rPr>
      </w:pPr>
    </w:p>
    <w:p w:rsidR="000E7D71" w:rsidRPr="00873E81" w:rsidRDefault="000E7D71" w:rsidP="000E7D71">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 xml:space="preserve">The Centre for Public Service Innovation is asked to design </w:t>
      </w:r>
      <w:r>
        <w:rPr>
          <w:rFonts w:ascii="Times New Roman" w:eastAsia="Calibri" w:hAnsi="Times New Roman"/>
          <w:sz w:val="24"/>
          <w:szCs w:val="24"/>
          <w:lang w:val="en-US"/>
        </w:rPr>
        <w:t>best practices for evacuation strategies</w:t>
      </w:r>
      <w:r w:rsidRPr="00831A68">
        <w:rPr>
          <w:rFonts w:ascii="Times New Roman" w:eastAsia="Calibri" w:hAnsi="Times New Roman"/>
          <w:sz w:val="24"/>
          <w:szCs w:val="24"/>
          <w:lang w:val="en-US"/>
        </w:rPr>
        <w:t xml:space="preserve"> regarding buildings, </w:t>
      </w:r>
      <w:r>
        <w:rPr>
          <w:rFonts w:ascii="Times New Roman" w:eastAsia="Calibri" w:hAnsi="Times New Roman"/>
          <w:sz w:val="24"/>
          <w:szCs w:val="24"/>
          <w:lang w:val="en-US"/>
        </w:rPr>
        <w:t>particularly for the schools, ho</w:t>
      </w:r>
      <w:r w:rsidR="00D0648D">
        <w:rPr>
          <w:rFonts w:ascii="Times New Roman" w:eastAsia="Calibri" w:hAnsi="Times New Roman"/>
          <w:sz w:val="24"/>
          <w:szCs w:val="24"/>
          <w:lang w:val="en-US"/>
        </w:rPr>
        <w:t>s</w:t>
      </w:r>
      <w:r>
        <w:rPr>
          <w:rFonts w:ascii="Times New Roman" w:eastAsia="Calibri" w:hAnsi="Times New Roman"/>
          <w:sz w:val="24"/>
          <w:szCs w:val="24"/>
          <w:lang w:val="en-US"/>
        </w:rPr>
        <w:t xml:space="preserve">tels and places of work for </w:t>
      </w:r>
      <w:r w:rsidR="00D0648D">
        <w:rPr>
          <w:rFonts w:ascii="Times New Roman" w:eastAsia="Calibri" w:hAnsi="Times New Roman"/>
          <w:sz w:val="24"/>
          <w:szCs w:val="24"/>
          <w:lang w:val="en-US"/>
        </w:rPr>
        <w:t>people with disabilities</w:t>
      </w:r>
      <w:r>
        <w:rPr>
          <w:rFonts w:ascii="Times New Roman" w:eastAsia="Calibri" w:hAnsi="Times New Roman"/>
          <w:sz w:val="24"/>
          <w:szCs w:val="24"/>
          <w:lang w:val="en-US"/>
        </w:rPr>
        <w:t xml:space="preserve"> (particularly for the blind and deaf) during disasters or </w:t>
      </w:r>
      <w:r w:rsidRPr="00831A68">
        <w:rPr>
          <w:rFonts w:ascii="Times New Roman" w:eastAsia="Calibri" w:hAnsi="Times New Roman"/>
          <w:sz w:val="24"/>
          <w:szCs w:val="24"/>
          <w:lang w:val="en-US"/>
        </w:rPr>
        <w:t>fire</w:t>
      </w:r>
      <w:r>
        <w:rPr>
          <w:rFonts w:ascii="Times New Roman" w:eastAsia="Calibri" w:hAnsi="Times New Roman"/>
          <w:sz w:val="24"/>
          <w:szCs w:val="24"/>
          <w:lang w:val="en-US"/>
        </w:rPr>
        <w:t>s</w:t>
      </w:r>
      <w:r w:rsidRPr="00831A68">
        <w:rPr>
          <w:rFonts w:ascii="Times New Roman" w:eastAsia="Calibri" w:hAnsi="Times New Roman"/>
          <w:sz w:val="24"/>
          <w:szCs w:val="24"/>
          <w:lang w:val="en-US"/>
        </w:rPr>
        <w:t>.</w:t>
      </w:r>
    </w:p>
    <w:p w:rsidR="00873E81" w:rsidRPr="00873E81" w:rsidRDefault="00873E81" w:rsidP="00873E81">
      <w:pPr>
        <w:pStyle w:val="ListParagraph"/>
        <w:rPr>
          <w:rFonts w:ascii="Times New Roman" w:hAnsi="Times New Roman"/>
          <w:sz w:val="24"/>
          <w:szCs w:val="24"/>
        </w:rPr>
      </w:pPr>
    </w:p>
    <w:p w:rsidR="00873E81" w:rsidRPr="00831A68" w:rsidRDefault="00873E81" w:rsidP="00873E81">
      <w:pPr>
        <w:pStyle w:val="ListParagraph"/>
        <w:spacing w:after="200" w:line="360" w:lineRule="auto"/>
        <w:ind w:left="709"/>
        <w:jc w:val="both"/>
        <w:rPr>
          <w:rFonts w:ascii="Times New Roman" w:hAnsi="Times New Roman"/>
          <w:sz w:val="24"/>
          <w:szCs w:val="24"/>
        </w:rPr>
      </w:pPr>
    </w:p>
    <w:p w:rsidR="00570FF8" w:rsidRPr="00831A68" w:rsidRDefault="00EB4231" w:rsidP="008315F9">
      <w:pPr>
        <w:pStyle w:val="ListParagraph"/>
        <w:numPr>
          <w:ilvl w:val="0"/>
          <w:numId w:val="14"/>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RECOMMENDATIONS</w:t>
      </w:r>
      <w:r w:rsidR="008315F9" w:rsidRPr="00831A68">
        <w:rPr>
          <w:rFonts w:ascii="Times New Roman" w:eastAsia="Calibri" w:hAnsi="Times New Roman"/>
          <w:b/>
          <w:sz w:val="24"/>
          <w:szCs w:val="24"/>
          <w:lang w:val="en-US"/>
        </w:rPr>
        <w:t xml:space="preserve"> FOR THE SECTOR</w:t>
      </w:r>
    </w:p>
    <w:p w:rsidR="008315F9" w:rsidRPr="00831A68" w:rsidRDefault="008315F9" w:rsidP="008315F9">
      <w:pPr>
        <w:pStyle w:val="ListParagraph"/>
        <w:spacing w:line="360" w:lineRule="auto"/>
        <w:ind w:left="426"/>
        <w:jc w:val="both"/>
        <w:rPr>
          <w:rFonts w:ascii="Times New Roman" w:eastAsia="Calibri" w:hAnsi="Times New Roman"/>
          <w:b/>
          <w:sz w:val="24"/>
          <w:szCs w:val="24"/>
          <w:lang w:val="en-US"/>
        </w:rPr>
      </w:pPr>
    </w:p>
    <w:p w:rsidR="00D46237" w:rsidRPr="00831A68" w:rsidRDefault="00D46237" w:rsidP="00D46237">
      <w:pPr>
        <w:spacing w:line="360" w:lineRule="auto"/>
        <w:jc w:val="both"/>
        <w:rPr>
          <w:rFonts w:ascii="Times New Roman" w:hAnsi="Times New Roman"/>
          <w:sz w:val="24"/>
          <w:szCs w:val="24"/>
        </w:rPr>
      </w:pPr>
      <w:r w:rsidRPr="00831A68">
        <w:rPr>
          <w:rFonts w:ascii="Times New Roman" w:hAnsi="Times New Roman"/>
          <w:sz w:val="24"/>
          <w:szCs w:val="24"/>
        </w:rPr>
        <w:t xml:space="preserve">The </w:t>
      </w:r>
      <w:r w:rsidR="00CF6648">
        <w:rPr>
          <w:rFonts w:ascii="Times New Roman" w:hAnsi="Times New Roman"/>
          <w:sz w:val="24"/>
          <w:szCs w:val="24"/>
        </w:rPr>
        <w:t>following</w:t>
      </w:r>
      <w:r w:rsidR="008315F9" w:rsidRPr="00831A68">
        <w:rPr>
          <w:rFonts w:ascii="Times New Roman" w:hAnsi="Times New Roman"/>
          <w:sz w:val="24"/>
          <w:szCs w:val="24"/>
        </w:rPr>
        <w:t xml:space="preserve"> recommendations are proposed</w:t>
      </w:r>
      <w:r w:rsidRPr="00831A68">
        <w:rPr>
          <w:rFonts w:ascii="Times New Roman" w:hAnsi="Times New Roman"/>
          <w:sz w:val="24"/>
          <w:szCs w:val="24"/>
        </w:rPr>
        <w:t>:</w:t>
      </w:r>
    </w:p>
    <w:p w:rsidR="009E02AF" w:rsidRDefault="009E02AF" w:rsidP="00D46237">
      <w:pPr>
        <w:spacing w:line="360" w:lineRule="auto"/>
        <w:jc w:val="both"/>
        <w:rPr>
          <w:rFonts w:ascii="Times New Roman" w:hAnsi="Times New Roman"/>
          <w:b/>
          <w:sz w:val="24"/>
          <w:szCs w:val="24"/>
        </w:rPr>
      </w:pPr>
    </w:p>
    <w:p w:rsidR="00A33C1E" w:rsidRPr="001F0888" w:rsidRDefault="00DE0FBF" w:rsidP="00D46237">
      <w:pPr>
        <w:spacing w:line="360" w:lineRule="auto"/>
        <w:jc w:val="both"/>
        <w:rPr>
          <w:rFonts w:ascii="Times New Roman" w:hAnsi="Times New Roman"/>
          <w:b/>
          <w:sz w:val="24"/>
          <w:szCs w:val="24"/>
        </w:rPr>
      </w:pPr>
      <w:r>
        <w:rPr>
          <w:rFonts w:ascii="Times New Roman" w:hAnsi="Times New Roman"/>
          <w:b/>
          <w:sz w:val="24"/>
          <w:szCs w:val="24"/>
        </w:rPr>
        <w:t>Legislative and Policy matters:</w:t>
      </w:r>
    </w:p>
    <w:p w:rsidR="008315F9" w:rsidRPr="00831A68" w:rsidRDefault="008315F9" w:rsidP="00CF6648">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hAnsi="Times New Roman"/>
          <w:sz w:val="24"/>
          <w:szCs w:val="24"/>
        </w:rPr>
        <w:t xml:space="preserve"> The Department </w:t>
      </w:r>
      <w:r w:rsidR="009C2149">
        <w:rPr>
          <w:rFonts w:ascii="Times New Roman" w:hAnsi="Times New Roman"/>
          <w:sz w:val="24"/>
          <w:szCs w:val="24"/>
        </w:rPr>
        <w:t>must</w:t>
      </w:r>
      <w:r w:rsidRPr="00831A68">
        <w:rPr>
          <w:rFonts w:ascii="Times New Roman" w:hAnsi="Times New Roman"/>
          <w:sz w:val="24"/>
          <w:szCs w:val="24"/>
        </w:rPr>
        <w:t xml:space="preserve"> consider </w:t>
      </w:r>
      <w:r w:rsidR="00CF6648">
        <w:rPr>
          <w:rFonts w:ascii="Times New Roman" w:hAnsi="Times New Roman"/>
          <w:sz w:val="24"/>
          <w:szCs w:val="24"/>
        </w:rPr>
        <w:t xml:space="preserve">setting different standards for the time required to fill vacancies at the various levels, including specialist categories. </w:t>
      </w:r>
    </w:p>
    <w:p w:rsidR="00E72E79" w:rsidRPr="00E72E79" w:rsidRDefault="00E72E79" w:rsidP="00E72E79">
      <w:pPr>
        <w:pStyle w:val="ListParagraph"/>
        <w:rPr>
          <w:rFonts w:ascii="Times New Roman" w:hAnsi="Times New Roman"/>
          <w:sz w:val="24"/>
          <w:szCs w:val="24"/>
        </w:rPr>
      </w:pPr>
    </w:p>
    <w:p w:rsidR="00E72E79" w:rsidRPr="00E72E79" w:rsidRDefault="00E72E79" w:rsidP="00E72E79">
      <w:pPr>
        <w:pStyle w:val="ListParagraph"/>
        <w:numPr>
          <w:ilvl w:val="1"/>
          <w:numId w:val="14"/>
        </w:numPr>
        <w:spacing w:after="200" w:line="360" w:lineRule="auto"/>
        <w:ind w:left="709" w:hanging="709"/>
        <w:jc w:val="both"/>
        <w:rPr>
          <w:rFonts w:ascii="Times New Roman" w:hAnsi="Times New Roman"/>
          <w:sz w:val="24"/>
          <w:szCs w:val="24"/>
        </w:rPr>
      </w:pPr>
      <w:r w:rsidRPr="00CF6648">
        <w:rPr>
          <w:rFonts w:ascii="Times New Roman" w:hAnsi="Times New Roman"/>
          <w:color w:val="auto"/>
          <w:sz w:val="24"/>
          <w:szCs w:val="24"/>
        </w:rPr>
        <w:t xml:space="preserve">The Department must ensure standardization of the </w:t>
      </w:r>
      <w:r>
        <w:rPr>
          <w:rFonts w:ascii="Times New Roman" w:hAnsi="Times New Roman"/>
          <w:color w:val="auto"/>
          <w:sz w:val="24"/>
          <w:szCs w:val="24"/>
        </w:rPr>
        <w:t>learnership, i</w:t>
      </w:r>
      <w:r w:rsidRPr="00CF6648">
        <w:rPr>
          <w:rFonts w:ascii="Times New Roman" w:hAnsi="Times New Roman"/>
          <w:color w:val="auto"/>
          <w:sz w:val="24"/>
          <w:szCs w:val="24"/>
        </w:rPr>
        <w:t xml:space="preserve">nternship and </w:t>
      </w:r>
      <w:r>
        <w:rPr>
          <w:rFonts w:ascii="Times New Roman" w:hAnsi="Times New Roman"/>
          <w:color w:val="auto"/>
          <w:sz w:val="24"/>
          <w:szCs w:val="24"/>
        </w:rPr>
        <w:t>apprentice</w:t>
      </w:r>
      <w:r w:rsidRPr="00CF6648">
        <w:rPr>
          <w:rFonts w:ascii="Times New Roman" w:hAnsi="Times New Roman"/>
          <w:color w:val="auto"/>
          <w:sz w:val="24"/>
          <w:szCs w:val="24"/>
        </w:rPr>
        <w:t xml:space="preserve"> programme in terms of contracts and remuneration in the public service. The Department must ensure uniformity in this programme across the public service. </w:t>
      </w:r>
    </w:p>
    <w:p w:rsidR="00E72E79" w:rsidRPr="00E72E79" w:rsidRDefault="00E72E79" w:rsidP="00E72E79">
      <w:pPr>
        <w:pStyle w:val="ListParagraph"/>
        <w:rPr>
          <w:rFonts w:ascii="Times New Roman" w:hAnsi="Times New Roman"/>
          <w:sz w:val="24"/>
          <w:szCs w:val="24"/>
        </w:rPr>
      </w:pPr>
    </w:p>
    <w:p w:rsidR="00E72E79" w:rsidRPr="002674C8" w:rsidRDefault="00E72E79" w:rsidP="00E72E79">
      <w:pPr>
        <w:pStyle w:val="ListParagraph"/>
        <w:numPr>
          <w:ilvl w:val="1"/>
          <w:numId w:val="14"/>
        </w:numPr>
        <w:spacing w:after="200" w:line="360" w:lineRule="auto"/>
        <w:ind w:left="709" w:hanging="763"/>
        <w:jc w:val="both"/>
        <w:rPr>
          <w:rFonts w:ascii="Times New Roman" w:hAnsi="Times New Roman"/>
          <w:sz w:val="24"/>
          <w:szCs w:val="24"/>
        </w:rPr>
      </w:pPr>
      <w:r w:rsidRPr="002674C8">
        <w:rPr>
          <w:rFonts w:ascii="Times New Roman" w:eastAsia="Calibri" w:hAnsi="Times New Roman"/>
          <w:color w:val="auto"/>
          <w:spacing w:val="0"/>
          <w:sz w:val="24"/>
          <w:szCs w:val="24"/>
          <w:lang w:val="en-ZA" w:eastAsia="en-US"/>
        </w:rPr>
        <w:t>The National School of Government (NSG) must revise its business architecture to ensure courses offered are accredited</w:t>
      </w:r>
      <w:r>
        <w:rPr>
          <w:rFonts w:ascii="Times New Roman" w:eastAsia="Calibri" w:hAnsi="Times New Roman"/>
          <w:color w:val="auto"/>
          <w:spacing w:val="0"/>
          <w:sz w:val="24"/>
          <w:szCs w:val="24"/>
          <w:lang w:val="en-ZA" w:eastAsia="en-US"/>
        </w:rPr>
        <w:t xml:space="preserve"> by the South African Qualifications Authority</w:t>
      </w:r>
      <w:r w:rsidRPr="002674C8">
        <w:rPr>
          <w:rFonts w:ascii="Times New Roman" w:eastAsia="Calibri" w:hAnsi="Times New Roman"/>
          <w:color w:val="auto"/>
          <w:spacing w:val="0"/>
          <w:sz w:val="24"/>
          <w:szCs w:val="24"/>
          <w:lang w:val="en-ZA" w:eastAsia="en-US"/>
        </w:rPr>
        <w:t xml:space="preserve">. </w:t>
      </w:r>
    </w:p>
    <w:p w:rsidR="00E72E79" w:rsidRPr="00E72E79" w:rsidRDefault="00E72E79" w:rsidP="00E72E79">
      <w:pPr>
        <w:pStyle w:val="ListParagraph"/>
        <w:rPr>
          <w:rFonts w:ascii="Times New Roman" w:hAnsi="Times New Roman"/>
          <w:sz w:val="24"/>
          <w:szCs w:val="24"/>
        </w:rPr>
      </w:pPr>
    </w:p>
    <w:p w:rsidR="00E72E79" w:rsidRPr="00E72E79" w:rsidRDefault="00E72E79" w:rsidP="00E72E79">
      <w:pPr>
        <w:spacing w:after="200" w:line="360" w:lineRule="auto"/>
        <w:jc w:val="both"/>
        <w:rPr>
          <w:rFonts w:ascii="Times New Roman" w:hAnsi="Times New Roman"/>
          <w:b/>
          <w:sz w:val="24"/>
          <w:szCs w:val="24"/>
        </w:rPr>
      </w:pPr>
      <w:r w:rsidRPr="00E72E79">
        <w:rPr>
          <w:rFonts w:ascii="Times New Roman" w:hAnsi="Times New Roman"/>
          <w:b/>
          <w:sz w:val="24"/>
          <w:szCs w:val="24"/>
        </w:rPr>
        <w:t xml:space="preserve">Administrative </w:t>
      </w:r>
      <w:r w:rsidR="00DE0FBF">
        <w:rPr>
          <w:rFonts w:ascii="Times New Roman" w:hAnsi="Times New Roman"/>
          <w:b/>
          <w:sz w:val="24"/>
          <w:szCs w:val="24"/>
        </w:rPr>
        <w:t>matters:</w:t>
      </w:r>
    </w:p>
    <w:p w:rsidR="00CF6648" w:rsidRDefault="00CF6648" w:rsidP="00CF6648">
      <w:pPr>
        <w:pStyle w:val="ListParagraph"/>
        <w:numPr>
          <w:ilvl w:val="1"/>
          <w:numId w:val="14"/>
        </w:numPr>
        <w:spacing w:after="200" w:line="360" w:lineRule="auto"/>
        <w:ind w:left="709" w:hanging="709"/>
        <w:jc w:val="both"/>
        <w:rPr>
          <w:rFonts w:ascii="Times New Roman" w:hAnsi="Times New Roman"/>
          <w:color w:val="auto"/>
          <w:sz w:val="24"/>
          <w:szCs w:val="24"/>
        </w:rPr>
      </w:pPr>
      <w:r w:rsidRPr="00A439D8">
        <w:rPr>
          <w:rFonts w:ascii="Times New Roman" w:hAnsi="Times New Roman"/>
          <w:color w:val="auto"/>
          <w:sz w:val="24"/>
          <w:szCs w:val="24"/>
        </w:rPr>
        <w:t xml:space="preserve">The departments should invest more, and lead the way in training and employing young graduates and ensuring interns are correctly placed in the public service. </w:t>
      </w:r>
      <w:r w:rsidRPr="00A439D8">
        <w:rPr>
          <w:rFonts w:ascii="Times New Roman" w:hAnsi="Times New Roman"/>
          <w:sz w:val="24"/>
          <w:szCs w:val="24"/>
        </w:rPr>
        <w:t xml:space="preserve">The number of learnerships, internships and apprentices in the public sector should be increased in order to contribute to the skills base of South Africa. </w:t>
      </w:r>
      <w:r w:rsidRPr="00A439D8">
        <w:rPr>
          <w:rFonts w:ascii="Times New Roman" w:hAnsi="Times New Roman"/>
          <w:color w:val="auto"/>
          <w:sz w:val="24"/>
          <w:szCs w:val="24"/>
        </w:rPr>
        <w:t>This will assist with future staff needs in the public service.</w:t>
      </w:r>
    </w:p>
    <w:p w:rsidR="00CF6648" w:rsidRPr="00CF6648" w:rsidRDefault="00CF6648" w:rsidP="00CF6648">
      <w:pPr>
        <w:pStyle w:val="ListParagraph"/>
        <w:rPr>
          <w:rFonts w:ascii="Times New Roman" w:hAnsi="Times New Roman"/>
          <w:color w:val="auto"/>
          <w:sz w:val="24"/>
          <w:szCs w:val="24"/>
        </w:rPr>
      </w:pPr>
    </w:p>
    <w:p w:rsidR="00C30437" w:rsidRPr="00831A68" w:rsidRDefault="00C30437" w:rsidP="00C30437">
      <w:pPr>
        <w:pStyle w:val="ListParagraph"/>
        <w:rPr>
          <w:rFonts w:ascii="Times New Roman" w:eastAsia="Calibri" w:hAnsi="Times New Roman"/>
          <w:color w:val="auto"/>
          <w:spacing w:val="0"/>
          <w:sz w:val="24"/>
          <w:szCs w:val="24"/>
          <w:lang w:val="en-ZA" w:eastAsia="en-US"/>
        </w:rPr>
      </w:pPr>
    </w:p>
    <w:p w:rsidR="008315F9" w:rsidRPr="00831A68" w:rsidRDefault="008315F9" w:rsidP="0073179D">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 xml:space="preserve">The Centre for Public Service Innovation </w:t>
      </w:r>
      <w:r w:rsidR="00683D8B" w:rsidRPr="00831A68">
        <w:rPr>
          <w:rFonts w:ascii="Times New Roman" w:eastAsia="Calibri" w:hAnsi="Times New Roman"/>
          <w:sz w:val="24"/>
          <w:szCs w:val="24"/>
          <w:lang w:val="en-US"/>
        </w:rPr>
        <w:t>must</w:t>
      </w:r>
      <w:r w:rsidRPr="00831A68">
        <w:rPr>
          <w:rFonts w:ascii="Times New Roman" w:eastAsia="Calibri" w:hAnsi="Times New Roman"/>
          <w:sz w:val="24"/>
          <w:szCs w:val="24"/>
          <w:lang w:val="en-US"/>
        </w:rPr>
        <w:t xml:space="preserve"> design</w:t>
      </w:r>
      <w:r w:rsidR="0073179D">
        <w:rPr>
          <w:rFonts w:ascii="Times New Roman" w:eastAsia="Calibri" w:hAnsi="Times New Roman"/>
          <w:sz w:val="24"/>
          <w:szCs w:val="24"/>
          <w:lang w:val="en-US"/>
        </w:rPr>
        <w:t xml:space="preserve"> training in queue management, as well as ways to alleviate long queues and waiting times in the public sector. The expansion of the use of modern technology to improve service standards and to communicate better with members of the public should be facilitated by the Centre for Public Service Innovation. </w:t>
      </w:r>
    </w:p>
    <w:p w:rsidR="00A33C1E" w:rsidRPr="00831A68" w:rsidRDefault="00A33C1E" w:rsidP="00A33C1E">
      <w:pPr>
        <w:pStyle w:val="ListParagraph"/>
        <w:rPr>
          <w:rFonts w:ascii="Times New Roman" w:hAnsi="Times New Roman"/>
          <w:sz w:val="24"/>
          <w:szCs w:val="24"/>
        </w:rPr>
      </w:pPr>
    </w:p>
    <w:p w:rsidR="00A33C1E" w:rsidRPr="00831A68" w:rsidRDefault="00A33C1E" w:rsidP="00A33C1E">
      <w:pPr>
        <w:pStyle w:val="ListParagraph"/>
        <w:rPr>
          <w:rFonts w:ascii="Times New Roman" w:hAnsi="Times New Roman"/>
          <w:sz w:val="24"/>
          <w:szCs w:val="24"/>
        </w:rPr>
      </w:pPr>
    </w:p>
    <w:p w:rsidR="008315F9" w:rsidRPr="00831A68" w:rsidRDefault="008315F9" w:rsidP="00E72E79">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eastAsia="Calibri" w:hAnsi="Times New Roman"/>
          <w:sz w:val="24"/>
          <w:szCs w:val="24"/>
          <w:lang w:val="en-US"/>
        </w:rPr>
        <w:t xml:space="preserve">The Ministry and the Department are asked to facilitate the mobility of a predetermined percentage of savings from a department which realised such savings through the implementation of an innovation strategy designed by the CPSI, so that such funding can help to generate resources for new innovation projects. </w:t>
      </w:r>
    </w:p>
    <w:p w:rsidR="00A33C1E" w:rsidRPr="00831A68" w:rsidRDefault="00A33C1E" w:rsidP="00A33C1E">
      <w:pPr>
        <w:pStyle w:val="ListParagraph"/>
        <w:rPr>
          <w:rFonts w:ascii="Times New Roman" w:hAnsi="Times New Roman"/>
          <w:sz w:val="24"/>
          <w:szCs w:val="24"/>
        </w:rPr>
      </w:pPr>
    </w:p>
    <w:p w:rsidR="00817297" w:rsidRPr="00831A68" w:rsidRDefault="00817297" w:rsidP="00817297">
      <w:pPr>
        <w:pStyle w:val="ListParagraph"/>
        <w:rPr>
          <w:rFonts w:ascii="Times New Roman" w:hAnsi="Times New Roman"/>
          <w:color w:val="auto"/>
          <w:sz w:val="24"/>
          <w:szCs w:val="24"/>
        </w:rPr>
      </w:pPr>
    </w:p>
    <w:p w:rsidR="00817297" w:rsidRPr="00DE0FBF" w:rsidRDefault="00817297" w:rsidP="00E72E79">
      <w:pPr>
        <w:pStyle w:val="ListParagraph"/>
        <w:numPr>
          <w:ilvl w:val="1"/>
          <w:numId w:val="14"/>
        </w:numPr>
        <w:spacing w:after="200" w:line="360" w:lineRule="auto"/>
        <w:ind w:left="709" w:hanging="709"/>
        <w:jc w:val="both"/>
        <w:rPr>
          <w:rFonts w:ascii="Times New Roman" w:hAnsi="Times New Roman"/>
          <w:sz w:val="24"/>
          <w:szCs w:val="24"/>
        </w:rPr>
      </w:pPr>
      <w:r w:rsidRPr="00831A68">
        <w:rPr>
          <w:rFonts w:ascii="Times New Roman" w:hAnsi="Times New Roman"/>
          <w:color w:val="auto"/>
          <w:sz w:val="24"/>
          <w:szCs w:val="24"/>
        </w:rPr>
        <w:t>The Public Serv</w:t>
      </w:r>
      <w:r w:rsidR="002674C8">
        <w:rPr>
          <w:rFonts w:ascii="Times New Roman" w:hAnsi="Times New Roman"/>
          <w:color w:val="auto"/>
          <w:sz w:val="24"/>
          <w:szCs w:val="24"/>
        </w:rPr>
        <w:t>ice Commission must commission a follow up</w:t>
      </w:r>
      <w:r w:rsidRPr="00831A68">
        <w:rPr>
          <w:rFonts w:ascii="Times New Roman" w:hAnsi="Times New Roman"/>
          <w:color w:val="auto"/>
          <w:sz w:val="24"/>
          <w:szCs w:val="24"/>
        </w:rPr>
        <w:t xml:space="preserve"> study to determine factors impeding government departments in achieving 2% of people with disabilities and 50% of women in senior management in the public sector</w:t>
      </w:r>
      <w:r w:rsidR="00A41092">
        <w:rPr>
          <w:rFonts w:ascii="Times New Roman" w:hAnsi="Times New Roman"/>
          <w:color w:val="auto"/>
          <w:sz w:val="24"/>
          <w:szCs w:val="24"/>
        </w:rPr>
        <w:t xml:space="preserve"> and make proposals and proposals</w:t>
      </w:r>
      <w:r w:rsidRPr="00831A68">
        <w:rPr>
          <w:rFonts w:ascii="Times New Roman" w:hAnsi="Times New Roman"/>
          <w:color w:val="auto"/>
          <w:sz w:val="24"/>
          <w:szCs w:val="24"/>
        </w:rPr>
        <w:t xml:space="preserve">. </w:t>
      </w:r>
    </w:p>
    <w:p w:rsidR="00DE0FBF" w:rsidRPr="00831A68" w:rsidRDefault="00DE0FBF" w:rsidP="00DE0FBF">
      <w:pPr>
        <w:pStyle w:val="ListParagraph"/>
        <w:spacing w:after="200" w:line="360" w:lineRule="auto"/>
        <w:ind w:left="709"/>
        <w:jc w:val="both"/>
        <w:rPr>
          <w:rFonts w:ascii="Times New Roman" w:hAnsi="Times New Roman"/>
          <w:sz w:val="24"/>
          <w:szCs w:val="24"/>
        </w:rPr>
      </w:pPr>
    </w:p>
    <w:p w:rsidR="00FE14AF" w:rsidRPr="00831A68" w:rsidRDefault="002674C8" w:rsidP="008315F9">
      <w:pPr>
        <w:pStyle w:val="ListParagraph"/>
        <w:numPr>
          <w:ilvl w:val="0"/>
          <w:numId w:val="14"/>
        </w:numPr>
        <w:spacing w:line="360" w:lineRule="auto"/>
        <w:ind w:left="709" w:hanging="709"/>
        <w:jc w:val="both"/>
        <w:rPr>
          <w:rFonts w:ascii="Times New Roman" w:eastAsia="Calibri" w:hAnsi="Times New Roman"/>
          <w:b/>
          <w:sz w:val="24"/>
          <w:szCs w:val="24"/>
          <w:lang w:val="en-US"/>
        </w:rPr>
      </w:pPr>
      <w:r>
        <w:rPr>
          <w:rFonts w:ascii="Times New Roman" w:eastAsia="Calibri" w:hAnsi="Times New Roman"/>
          <w:b/>
          <w:sz w:val="24"/>
          <w:szCs w:val="24"/>
          <w:lang w:val="en-US"/>
        </w:rPr>
        <w:t>CONCLUSION</w:t>
      </w:r>
    </w:p>
    <w:p w:rsidR="00F54978" w:rsidRPr="00F54978" w:rsidRDefault="00F54978" w:rsidP="00EE074F">
      <w:pPr>
        <w:spacing w:line="360" w:lineRule="auto"/>
        <w:jc w:val="both"/>
        <w:rPr>
          <w:rFonts w:ascii="Times New Roman" w:hAnsi="Times New Roman"/>
          <w:color w:val="auto"/>
          <w:spacing w:val="0"/>
          <w:sz w:val="24"/>
          <w:szCs w:val="24"/>
          <w:lang w:val="en-US" w:eastAsia="en-US"/>
        </w:rPr>
      </w:pPr>
      <w:r w:rsidRPr="00F54978">
        <w:rPr>
          <w:rFonts w:ascii="Times New Roman" w:hAnsi="Times New Roman"/>
          <w:color w:val="auto"/>
          <w:spacing w:val="0"/>
          <w:sz w:val="24"/>
          <w:szCs w:val="24"/>
          <w:lang w:val="en-US" w:eastAsia="en-US"/>
        </w:rPr>
        <w:t xml:space="preserve">The </w:t>
      </w:r>
      <w:r>
        <w:rPr>
          <w:rFonts w:ascii="Times New Roman" w:hAnsi="Times New Roman"/>
          <w:color w:val="auto"/>
          <w:spacing w:val="0"/>
          <w:sz w:val="24"/>
          <w:szCs w:val="24"/>
          <w:lang w:val="en-US" w:eastAsia="en-US"/>
        </w:rPr>
        <w:t>Department of the Public Service and Administration has in 2015/1</w:t>
      </w:r>
      <w:r w:rsidR="002071DA">
        <w:rPr>
          <w:rFonts w:ascii="Times New Roman" w:hAnsi="Times New Roman"/>
          <w:color w:val="auto"/>
          <w:spacing w:val="0"/>
          <w:sz w:val="24"/>
          <w:szCs w:val="24"/>
          <w:lang w:val="en-US" w:eastAsia="en-US"/>
        </w:rPr>
        <w:t>6 financial year continued</w:t>
      </w:r>
      <w:r>
        <w:rPr>
          <w:rFonts w:ascii="Times New Roman" w:hAnsi="Times New Roman"/>
          <w:color w:val="auto"/>
          <w:spacing w:val="0"/>
          <w:sz w:val="24"/>
          <w:szCs w:val="24"/>
          <w:lang w:val="en-US" w:eastAsia="en-US"/>
        </w:rPr>
        <w:t xml:space="preserve"> to implement and coordinate interventions aimed at achieving an efficient, effective and development oriented public service which is an essential element of a ca</w:t>
      </w:r>
      <w:r w:rsidR="000305EF">
        <w:rPr>
          <w:rFonts w:ascii="Times New Roman" w:hAnsi="Times New Roman"/>
          <w:color w:val="auto"/>
          <w:spacing w:val="0"/>
          <w:sz w:val="24"/>
          <w:szCs w:val="24"/>
          <w:lang w:val="en-US" w:eastAsia="en-US"/>
        </w:rPr>
        <w:t xml:space="preserve">pable and developmental state. </w:t>
      </w:r>
      <w:r>
        <w:rPr>
          <w:rFonts w:ascii="Times New Roman" w:hAnsi="Times New Roman"/>
          <w:color w:val="auto"/>
          <w:spacing w:val="0"/>
          <w:sz w:val="24"/>
          <w:szCs w:val="24"/>
          <w:lang w:val="en-US" w:eastAsia="en-US"/>
        </w:rPr>
        <w:t>The NDP highlights the need for well-run and effectively coordinated state institutions with skilled public servants who are committed to the public good and capable of delivering consistently high-quality services. In this regard, the Department and its entities have performed well in put</w:t>
      </w:r>
      <w:r w:rsidR="002071DA">
        <w:rPr>
          <w:rFonts w:ascii="Times New Roman" w:hAnsi="Times New Roman"/>
          <w:color w:val="auto"/>
          <w:spacing w:val="0"/>
          <w:sz w:val="24"/>
          <w:szCs w:val="24"/>
          <w:lang w:val="en-US" w:eastAsia="en-US"/>
        </w:rPr>
        <w:t>ting</w:t>
      </w:r>
      <w:r>
        <w:rPr>
          <w:rFonts w:ascii="Times New Roman" w:hAnsi="Times New Roman"/>
          <w:color w:val="auto"/>
          <w:spacing w:val="0"/>
          <w:sz w:val="24"/>
          <w:szCs w:val="24"/>
          <w:lang w:val="en-US" w:eastAsia="en-US"/>
        </w:rPr>
        <w:t xml:space="preserve"> </w:t>
      </w:r>
      <w:r w:rsidR="002071DA">
        <w:rPr>
          <w:rFonts w:ascii="Times New Roman" w:hAnsi="Times New Roman"/>
          <w:color w:val="auto"/>
          <w:spacing w:val="0"/>
          <w:sz w:val="24"/>
          <w:szCs w:val="24"/>
          <w:lang w:val="en-US" w:eastAsia="en-US"/>
        </w:rPr>
        <w:t>measures in</w:t>
      </w:r>
      <w:r>
        <w:rPr>
          <w:rFonts w:ascii="Times New Roman" w:hAnsi="Times New Roman"/>
          <w:color w:val="auto"/>
          <w:spacing w:val="0"/>
          <w:sz w:val="24"/>
          <w:szCs w:val="24"/>
          <w:lang w:val="en-US" w:eastAsia="en-US"/>
        </w:rPr>
        <w:t xml:space="preserve"> place such as </w:t>
      </w:r>
      <w:r w:rsidR="0058140E">
        <w:rPr>
          <w:rFonts w:ascii="Times New Roman" w:hAnsi="Times New Roman"/>
          <w:color w:val="auto"/>
          <w:spacing w:val="0"/>
          <w:sz w:val="24"/>
          <w:szCs w:val="24"/>
          <w:lang w:val="en-US" w:eastAsia="en-US"/>
        </w:rPr>
        <w:t xml:space="preserve">legislative reforms on the </w:t>
      </w:r>
      <w:r>
        <w:rPr>
          <w:rFonts w:ascii="Times New Roman" w:hAnsi="Times New Roman"/>
          <w:color w:val="auto"/>
          <w:spacing w:val="0"/>
          <w:sz w:val="24"/>
          <w:szCs w:val="24"/>
          <w:lang w:val="en-US" w:eastAsia="en-US"/>
        </w:rPr>
        <w:t>p</w:t>
      </w:r>
      <w:r w:rsidR="00A41092">
        <w:rPr>
          <w:rFonts w:ascii="Times New Roman" w:hAnsi="Times New Roman"/>
          <w:color w:val="auto"/>
          <w:spacing w:val="0"/>
          <w:sz w:val="24"/>
          <w:szCs w:val="24"/>
          <w:lang w:val="en-US" w:eastAsia="en-US"/>
        </w:rPr>
        <w:t>rohibition of the public servants</w:t>
      </w:r>
      <w:r>
        <w:rPr>
          <w:rFonts w:ascii="Times New Roman" w:hAnsi="Times New Roman"/>
          <w:color w:val="auto"/>
          <w:spacing w:val="0"/>
          <w:sz w:val="24"/>
          <w:szCs w:val="24"/>
          <w:lang w:val="en-US" w:eastAsia="en-US"/>
        </w:rPr>
        <w:t xml:space="preserve"> in doing business with state and achieving 100 per cent of financial disclosure in the public service. </w:t>
      </w:r>
      <w:r w:rsidR="0058140E">
        <w:rPr>
          <w:rFonts w:ascii="Times New Roman" w:hAnsi="Times New Roman"/>
          <w:color w:val="auto"/>
          <w:spacing w:val="0"/>
          <w:sz w:val="24"/>
          <w:szCs w:val="24"/>
          <w:lang w:val="en-US" w:eastAsia="en-US"/>
        </w:rPr>
        <w:t>Although the Committee noted the performance of the Department and its entit</w:t>
      </w:r>
      <w:r w:rsidR="002071DA">
        <w:rPr>
          <w:rFonts w:ascii="Times New Roman" w:hAnsi="Times New Roman"/>
          <w:color w:val="auto"/>
          <w:spacing w:val="0"/>
          <w:sz w:val="24"/>
          <w:szCs w:val="24"/>
          <w:lang w:val="en-US" w:eastAsia="en-US"/>
        </w:rPr>
        <w:t>ies, it has emphasized that much</w:t>
      </w:r>
      <w:r w:rsidR="0058140E">
        <w:rPr>
          <w:rFonts w:ascii="Times New Roman" w:hAnsi="Times New Roman"/>
          <w:color w:val="auto"/>
          <w:spacing w:val="0"/>
          <w:sz w:val="24"/>
          <w:szCs w:val="24"/>
          <w:lang w:val="en-US" w:eastAsia="en-US"/>
        </w:rPr>
        <w:t xml:space="preserve"> still needs to be </w:t>
      </w:r>
      <w:r w:rsidR="00DE0FBF">
        <w:rPr>
          <w:rFonts w:ascii="Times New Roman" w:hAnsi="Times New Roman"/>
          <w:color w:val="auto"/>
          <w:spacing w:val="0"/>
          <w:sz w:val="24"/>
          <w:szCs w:val="24"/>
          <w:lang w:val="en-US" w:eastAsia="en-US"/>
        </w:rPr>
        <w:t xml:space="preserve">achieved in the public service. The Governance Cluster of Parliament is complimented for its contribution towards the BRR Report, and also the Support Staff for the drafting of the same.  </w:t>
      </w:r>
    </w:p>
    <w:p w:rsidR="00FE14AF" w:rsidRPr="00831A68" w:rsidRDefault="00FE14AF" w:rsidP="00FE14AF">
      <w:pPr>
        <w:rPr>
          <w:rFonts w:ascii="Times New Roman" w:hAnsi="Times New Roman"/>
          <w:sz w:val="24"/>
          <w:szCs w:val="24"/>
        </w:rPr>
      </w:pPr>
    </w:p>
    <w:p w:rsidR="001C4EEB" w:rsidRDefault="001C4EEB" w:rsidP="009E02AF">
      <w:pPr>
        <w:spacing w:after="200" w:line="360" w:lineRule="auto"/>
        <w:jc w:val="both"/>
        <w:rPr>
          <w:rFonts w:ascii="Times New Roman" w:hAnsi="Times New Roman"/>
          <w:sz w:val="24"/>
          <w:szCs w:val="24"/>
        </w:rPr>
      </w:pPr>
    </w:p>
    <w:p w:rsidR="009E02AF" w:rsidRPr="009E02AF" w:rsidRDefault="009E02AF" w:rsidP="009E02AF">
      <w:pPr>
        <w:spacing w:after="200" w:line="360" w:lineRule="auto"/>
        <w:jc w:val="both"/>
        <w:rPr>
          <w:rFonts w:ascii="Times New Roman" w:hAnsi="Times New Roman"/>
          <w:b/>
          <w:sz w:val="24"/>
          <w:szCs w:val="24"/>
        </w:rPr>
      </w:pPr>
      <w:r>
        <w:rPr>
          <w:rFonts w:ascii="Times New Roman" w:hAnsi="Times New Roman"/>
          <w:b/>
          <w:sz w:val="24"/>
          <w:szCs w:val="24"/>
        </w:rPr>
        <w:t>Report to be considered.</w:t>
      </w:r>
    </w:p>
    <w:p w:rsidR="00E03ECE" w:rsidRPr="00831A68" w:rsidRDefault="00E03ECE">
      <w:pPr>
        <w:rPr>
          <w:rFonts w:ascii="Times New Roman" w:hAnsi="Times New Roman"/>
          <w:sz w:val="24"/>
          <w:szCs w:val="24"/>
        </w:rPr>
      </w:pPr>
    </w:p>
    <w:sectPr w:rsidR="00E03ECE" w:rsidRPr="00831A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D4" w:rsidRDefault="004E44D4" w:rsidP="00541458">
      <w:pPr>
        <w:spacing w:line="240" w:lineRule="auto"/>
      </w:pPr>
      <w:r>
        <w:separator/>
      </w:r>
    </w:p>
  </w:endnote>
  <w:endnote w:type="continuationSeparator" w:id="0">
    <w:p w:rsidR="004E44D4" w:rsidRDefault="004E44D4" w:rsidP="00541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wCenMT-Bold">
    <w:panose1 w:val="00000000000000000000"/>
    <w:charset w:val="00"/>
    <w:family w:val="swiss"/>
    <w:notTrueType/>
    <w:pitch w:val="default"/>
    <w:sig w:usb0="00000003" w:usb1="00000000" w:usb2="00000000" w:usb3="00000000" w:csb0="00000001" w:csb1="00000000"/>
  </w:font>
  <w:font w:name="Calibri">
    <w:altName w:val="Arial"/>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6885"/>
      <w:docPartObj>
        <w:docPartGallery w:val="Page Numbers (Bottom of Page)"/>
        <w:docPartUnique/>
      </w:docPartObj>
    </w:sdtPr>
    <w:sdtEndPr>
      <w:rPr>
        <w:noProof/>
      </w:rPr>
    </w:sdtEndPr>
    <w:sdtContent>
      <w:p w:rsidR="008315F9" w:rsidRDefault="008315F9">
        <w:pPr>
          <w:pStyle w:val="Footer"/>
          <w:jc w:val="center"/>
        </w:pPr>
        <w:r>
          <w:fldChar w:fldCharType="begin"/>
        </w:r>
        <w:r>
          <w:instrText xml:space="preserve"> PAGE   \* MERGEFORMAT </w:instrText>
        </w:r>
        <w:r>
          <w:fldChar w:fldCharType="separate"/>
        </w:r>
        <w:r w:rsidR="006A1CFE">
          <w:rPr>
            <w:noProof/>
          </w:rPr>
          <w:t>1</w:t>
        </w:r>
        <w:r>
          <w:rPr>
            <w:noProof/>
          </w:rPr>
          <w:fldChar w:fldCharType="end"/>
        </w:r>
      </w:p>
    </w:sdtContent>
  </w:sdt>
  <w:p w:rsidR="008315F9" w:rsidRDefault="00831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D4" w:rsidRDefault="004E44D4" w:rsidP="00541458">
      <w:pPr>
        <w:spacing w:line="240" w:lineRule="auto"/>
      </w:pPr>
      <w:r>
        <w:separator/>
      </w:r>
    </w:p>
  </w:footnote>
  <w:footnote w:type="continuationSeparator" w:id="0">
    <w:p w:rsidR="004E44D4" w:rsidRDefault="004E44D4" w:rsidP="005414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F5C"/>
    <w:multiLevelType w:val="hybridMultilevel"/>
    <w:tmpl w:val="48F2F190"/>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D4F0BF9"/>
    <w:multiLevelType w:val="hybridMultilevel"/>
    <w:tmpl w:val="7AFA3080"/>
    <w:lvl w:ilvl="0" w:tplc="1242EBC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4430E9"/>
    <w:multiLevelType w:val="multilevel"/>
    <w:tmpl w:val="0BD092FC"/>
    <w:lvl w:ilvl="0">
      <w:start w:val="9"/>
      <w:numFmt w:val="decimal"/>
      <w:lvlText w:val="%1"/>
      <w:lvlJc w:val="left"/>
      <w:pPr>
        <w:ind w:left="480" w:hanging="480"/>
      </w:pPr>
      <w:rPr>
        <w:rFonts w:ascii="Times New Roman" w:hAnsi="Times New Roman" w:cs="Times New Roman" w:hint="default"/>
        <w:color w:val="auto"/>
      </w:rPr>
    </w:lvl>
    <w:lvl w:ilvl="1">
      <w:start w:val="1"/>
      <w:numFmt w:val="decimal"/>
      <w:lvlText w:val="%1.%2"/>
      <w:lvlJc w:val="left"/>
      <w:pPr>
        <w:ind w:left="480" w:hanging="480"/>
      </w:pPr>
      <w:rPr>
        <w:rFonts w:ascii="Times New Roman" w:hAnsi="Times New Roman" w:cs="Times New Roman" w:hint="default"/>
        <w:color w:val="auto"/>
      </w:rPr>
    </w:lvl>
    <w:lvl w:ilvl="2">
      <w:start w:val="2"/>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3">
    <w:nsid w:val="2CED29A0"/>
    <w:multiLevelType w:val="hybridMultilevel"/>
    <w:tmpl w:val="47BED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6B6AE4"/>
    <w:multiLevelType w:val="hybridMultilevel"/>
    <w:tmpl w:val="F05A49B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323F54"/>
    <w:multiLevelType w:val="hybridMultilevel"/>
    <w:tmpl w:val="6D1E9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C42870"/>
    <w:multiLevelType w:val="hybridMultilevel"/>
    <w:tmpl w:val="359E6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287C2F"/>
    <w:multiLevelType w:val="multilevel"/>
    <w:tmpl w:val="CAEA31F8"/>
    <w:lvl w:ilvl="0">
      <w:start w:val="8"/>
      <w:numFmt w:val="decimal"/>
      <w:lvlText w:val="%1"/>
      <w:lvlJc w:val="left"/>
      <w:pPr>
        <w:ind w:left="480" w:hanging="480"/>
      </w:pPr>
      <w:rPr>
        <w:rFonts w:ascii="TwCenMT-Bold" w:hAnsi="TwCenMT-Bold" w:cs="TwCenMT-Bold" w:hint="default"/>
        <w:color w:val="auto"/>
      </w:rPr>
    </w:lvl>
    <w:lvl w:ilvl="1">
      <w:start w:val="1"/>
      <w:numFmt w:val="decimal"/>
      <w:lvlText w:val="%1.%2"/>
      <w:lvlJc w:val="left"/>
      <w:pPr>
        <w:ind w:left="480" w:hanging="480"/>
      </w:pPr>
      <w:rPr>
        <w:rFonts w:ascii="TwCenMT-Bold" w:hAnsi="TwCenMT-Bold" w:cs="TwCenMT-Bold" w:hint="default"/>
        <w:color w:val="auto"/>
      </w:rPr>
    </w:lvl>
    <w:lvl w:ilvl="2">
      <w:start w:val="2"/>
      <w:numFmt w:val="decimal"/>
      <w:lvlText w:val="%1.%2.%3"/>
      <w:lvlJc w:val="left"/>
      <w:pPr>
        <w:ind w:left="720" w:hanging="720"/>
      </w:pPr>
      <w:rPr>
        <w:rFonts w:ascii="TwCenMT-Bold" w:hAnsi="TwCenMT-Bold" w:cs="TwCenMT-Bold"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8">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3CC015E"/>
    <w:multiLevelType w:val="hybridMultilevel"/>
    <w:tmpl w:val="818C59B6"/>
    <w:lvl w:ilvl="0" w:tplc="267A7B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6C1016"/>
    <w:multiLevelType w:val="hybridMultilevel"/>
    <w:tmpl w:val="AE989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628233C"/>
    <w:multiLevelType w:val="hybridMultilevel"/>
    <w:tmpl w:val="A4EEEA98"/>
    <w:lvl w:ilvl="0" w:tplc="8D7693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6"/>
  </w:num>
  <w:num w:numId="5">
    <w:abstractNumId w:val="0"/>
  </w:num>
  <w:num w:numId="6">
    <w:abstractNumId w:val="1"/>
  </w:num>
  <w:num w:numId="7">
    <w:abstractNumId w:val="14"/>
  </w:num>
  <w:num w:numId="8">
    <w:abstractNumId w:val="10"/>
  </w:num>
  <w:num w:numId="9">
    <w:abstractNumId w:val="4"/>
  </w:num>
  <w:num w:numId="10">
    <w:abstractNumId w:val="13"/>
  </w:num>
  <w:num w:numId="11">
    <w:abstractNumId w:val="5"/>
  </w:num>
  <w:num w:numId="12">
    <w:abstractNumId w:val="3"/>
  </w:num>
  <w:num w:numId="13">
    <w:abstractNumId w:val="7"/>
  </w:num>
  <w:num w:numId="14">
    <w:abstractNumId w:val="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8"/>
    <w:rsid w:val="00000412"/>
    <w:rsid w:val="000118EE"/>
    <w:rsid w:val="000305EF"/>
    <w:rsid w:val="00042C53"/>
    <w:rsid w:val="00054939"/>
    <w:rsid w:val="00060E49"/>
    <w:rsid w:val="00061284"/>
    <w:rsid w:val="00061830"/>
    <w:rsid w:val="00083DB2"/>
    <w:rsid w:val="0008499A"/>
    <w:rsid w:val="000854E8"/>
    <w:rsid w:val="000913DD"/>
    <w:rsid w:val="00097BF2"/>
    <w:rsid w:val="000A190D"/>
    <w:rsid w:val="000A3A68"/>
    <w:rsid w:val="000D1B37"/>
    <w:rsid w:val="000E055C"/>
    <w:rsid w:val="000E7D71"/>
    <w:rsid w:val="001003C4"/>
    <w:rsid w:val="0010415F"/>
    <w:rsid w:val="00105DF5"/>
    <w:rsid w:val="00107C87"/>
    <w:rsid w:val="00110E1D"/>
    <w:rsid w:val="001117E6"/>
    <w:rsid w:val="00115769"/>
    <w:rsid w:val="00127866"/>
    <w:rsid w:val="00137F7F"/>
    <w:rsid w:val="001448B4"/>
    <w:rsid w:val="00146BD2"/>
    <w:rsid w:val="00153287"/>
    <w:rsid w:val="001579D4"/>
    <w:rsid w:val="00170AC4"/>
    <w:rsid w:val="00173900"/>
    <w:rsid w:val="00176F5C"/>
    <w:rsid w:val="001A2056"/>
    <w:rsid w:val="001A250D"/>
    <w:rsid w:val="001A4689"/>
    <w:rsid w:val="001A4A46"/>
    <w:rsid w:val="001C4C92"/>
    <w:rsid w:val="001C4EEB"/>
    <w:rsid w:val="001D52CF"/>
    <w:rsid w:val="001D7564"/>
    <w:rsid w:val="001F0888"/>
    <w:rsid w:val="001F172C"/>
    <w:rsid w:val="001F1EAD"/>
    <w:rsid w:val="002028E3"/>
    <w:rsid w:val="00206681"/>
    <w:rsid w:val="002071DA"/>
    <w:rsid w:val="00210D10"/>
    <w:rsid w:val="00217C4F"/>
    <w:rsid w:val="002246A6"/>
    <w:rsid w:val="00225CB4"/>
    <w:rsid w:val="00227E83"/>
    <w:rsid w:val="0023181F"/>
    <w:rsid w:val="002461CA"/>
    <w:rsid w:val="002511EE"/>
    <w:rsid w:val="00265CDA"/>
    <w:rsid w:val="002674C8"/>
    <w:rsid w:val="00270CCC"/>
    <w:rsid w:val="00282D52"/>
    <w:rsid w:val="0028309B"/>
    <w:rsid w:val="00285E93"/>
    <w:rsid w:val="002A319D"/>
    <w:rsid w:val="002A7E42"/>
    <w:rsid w:val="002C4F39"/>
    <w:rsid w:val="002D26A4"/>
    <w:rsid w:val="002D61CC"/>
    <w:rsid w:val="002E050C"/>
    <w:rsid w:val="002E625E"/>
    <w:rsid w:val="002F085B"/>
    <w:rsid w:val="002F4583"/>
    <w:rsid w:val="002F5D8C"/>
    <w:rsid w:val="00302A18"/>
    <w:rsid w:val="003171C8"/>
    <w:rsid w:val="00331D4C"/>
    <w:rsid w:val="00341CDB"/>
    <w:rsid w:val="00344352"/>
    <w:rsid w:val="003755AC"/>
    <w:rsid w:val="00387789"/>
    <w:rsid w:val="00391AD4"/>
    <w:rsid w:val="00397E99"/>
    <w:rsid w:val="003A0DE2"/>
    <w:rsid w:val="003B2711"/>
    <w:rsid w:val="003C2510"/>
    <w:rsid w:val="003C53C4"/>
    <w:rsid w:val="003D5EA5"/>
    <w:rsid w:val="003D7A28"/>
    <w:rsid w:val="003E5CC6"/>
    <w:rsid w:val="003F0CFC"/>
    <w:rsid w:val="003F38A9"/>
    <w:rsid w:val="00414007"/>
    <w:rsid w:val="00417FA7"/>
    <w:rsid w:val="004413AE"/>
    <w:rsid w:val="00441D0F"/>
    <w:rsid w:val="0046074A"/>
    <w:rsid w:val="004640E2"/>
    <w:rsid w:val="0047712E"/>
    <w:rsid w:val="0049472A"/>
    <w:rsid w:val="004B3B34"/>
    <w:rsid w:val="004C1936"/>
    <w:rsid w:val="004C5331"/>
    <w:rsid w:val="004D489C"/>
    <w:rsid w:val="004E23A1"/>
    <w:rsid w:val="004E44D4"/>
    <w:rsid w:val="004E734F"/>
    <w:rsid w:val="004F0E02"/>
    <w:rsid w:val="004F2136"/>
    <w:rsid w:val="004F2CF6"/>
    <w:rsid w:val="00505BDF"/>
    <w:rsid w:val="00540839"/>
    <w:rsid w:val="00541458"/>
    <w:rsid w:val="00547CFA"/>
    <w:rsid w:val="00550BA2"/>
    <w:rsid w:val="00556FEB"/>
    <w:rsid w:val="0057086A"/>
    <w:rsid w:val="00570FF8"/>
    <w:rsid w:val="00580781"/>
    <w:rsid w:val="0058140E"/>
    <w:rsid w:val="00585226"/>
    <w:rsid w:val="00591BB7"/>
    <w:rsid w:val="00596313"/>
    <w:rsid w:val="005A005F"/>
    <w:rsid w:val="005A0F34"/>
    <w:rsid w:val="005A31D5"/>
    <w:rsid w:val="005A5E1F"/>
    <w:rsid w:val="005C7EF0"/>
    <w:rsid w:val="005F0C2B"/>
    <w:rsid w:val="005F1EF5"/>
    <w:rsid w:val="005F688D"/>
    <w:rsid w:val="005F6F51"/>
    <w:rsid w:val="006100FB"/>
    <w:rsid w:val="00613A56"/>
    <w:rsid w:val="00622406"/>
    <w:rsid w:val="00641E18"/>
    <w:rsid w:val="006579AB"/>
    <w:rsid w:val="00673324"/>
    <w:rsid w:val="00676346"/>
    <w:rsid w:val="00683D8B"/>
    <w:rsid w:val="006971E3"/>
    <w:rsid w:val="006A1CFE"/>
    <w:rsid w:val="006A2014"/>
    <w:rsid w:val="006A3F9A"/>
    <w:rsid w:val="006B72EF"/>
    <w:rsid w:val="006C54FD"/>
    <w:rsid w:val="006F7C27"/>
    <w:rsid w:val="00701DE2"/>
    <w:rsid w:val="007056A4"/>
    <w:rsid w:val="007069F7"/>
    <w:rsid w:val="00714D5F"/>
    <w:rsid w:val="007152F9"/>
    <w:rsid w:val="007210B2"/>
    <w:rsid w:val="00721453"/>
    <w:rsid w:val="00724CA4"/>
    <w:rsid w:val="0073179D"/>
    <w:rsid w:val="0073538A"/>
    <w:rsid w:val="00736A34"/>
    <w:rsid w:val="007466A0"/>
    <w:rsid w:val="00747780"/>
    <w:rsid w:val="00750B42"/>
    <w:rsid w:val="00751556"/>
    <w:rsid w:val="0075363B"/>
    <w:rsid w:val="00755AC6"/>
    <w:rsid w:val="00774B9A"/>
    <w:rsid w:val="007828AA"/>
    <w:rsid w:val="00793DBC"/>
    <w:rsid w:val="00797542"/>
    <w:rsid w:val="0079792C"/>
    <w:rsid w:val="007A1DEC"/>
    <w:rsid w:val="007C1E5C"/>
    <w:rsid w:val="007C7806"/>
    <w:rsid w:val="007E2A03"/>
    <w:rsid w:val="007E3D66"/>
    <w:rsid w:val="007E613A"/>
    <w:rsid w:val="007F7CD8"/>
    <w:rsid w:val="00817297"/>
    <w:rsid w:val="008273DC"/>
    <w:rsid w:val="00827404"/>
    <w:rsid w:val="00827794"/>
    <w:rsid w:val="008315F9"/>
    <w:rsid w:val="00831A68"/>
    <w:rsid w:val="00832DBD"/>
    <w:rsid w:val="0083629F"/>
    <w:rsid w:val="008476D0"/>
    <w:rsid w:val="008738DF"/>
    <w:rsid w:val="00873E81"/>
    <w:rsid w:val="008762E7"/>
    <w:rsid w:val="008763E7"/>
    <w:rsid w:val="00883941"/>
    <w:rsid w:val="00884216"/>
    <w:rsid w:val="008859C4"/>
    <w:rsid w:val="00893A96"/>
    <w:rsid w:val="0089520A"/>
    <w:rsid w:val="008A4F05"/>
    <w:rsid w:val="008B3293"/>
    <w:rsid w:val="008B6DF0"/>
    <w:rsid w:val="008C0007"/>
    <w:rsid w:val="008D3C1B"/>
    <w:rsid w:val="008D6E42"/>
    <w:rsid w:val="008E15F5"/>
    <w:rsid w:val="008E5E9A"/>
    <w:rsid w:val="00913ECD"/>
    <w:rsid w:val="009213D0"/>
    <w:rsid w:val="0093432A"/>
    <w:rsid w:val="00936A27"/>
    <w:rsid w:val="00941602"/>
    <w:rsid w:val="00967733"/>
    <w:rsid w:val="009718D7"/>
    <w:rsid w:val="0098240D"/>
    <w:rsid w:val="0098354A"/>
    <w:rsid w:val="00994161"/>
    <w:rsid w:val="009A26A9"/>
    <w:rsid w:val="009A71E5"/>
    <w:rsid w:val="009C1389"/>
    <w:rsid w:val="009C2149"/>
    <w:rsid w:val="009C2A41"/>
    <w:rsid w:val="009C4A93"/>
    <w:rsid w:val="009C4F01"/>
    <w:rsid w:val="009C5A14"/>
    <w:rsid w:val="009D5186"/>
    <w:rsid w:val="009E02AF"/>
    <w:rsid w:val="009E14F1"/>
    <w:rsid w:val="009E47C9"/>
    <w:rsid w:val="009E4DFA"/>
    <w:rsid w:val="009F590F"/>
    <w:rsid w:val="009F7CB4"/>
    <w:rsid w:val="00A01424"/>
    <w:rsid w:val="00A13B63"/>
    <w:rsid w:val="00A16FE2"/>
    <w:rsid w:val="00A318A6"/>
    <w:rsid w:val="00A33C1E"/>
    <w:rsid w:val="00A41092"/>
    <w:rsid w:val="00A4529E"/>
    <w:rsid w:val="00A50BF5"/>
    <w:rsid w:val="00A540B3"/>
    <w:rsid w:val="00A663DE"/>
    <w:rsid w:val="00A6785E"/>
    <w:rsid w:val="00A720DA"/>
    <w:rsid w:val="00A979E4"/>
    <w:rsid w:val="00AA7BB2"/>
    <w:rsid w:val="00AB433D"/>
    <w:rsid w:val="00AC191C"/>
    <w:rsid w:val="00AC6F4E"/>
    <w:rsid w:val="00AD2442"/>
    <w:rsid w:val="00AE1E5F"/>
    <w:rsid w:val="00AF337C"/>
    <w:rsid w:val="00AF42AE"/>
    <w:rsid w:val="00AF4B8F"/>
    <w:rsid w:val="00AF7324"/>
    <w:rsid w:val="00B029E5"/>
    <w:rsid w:val="00B34C6D"/>
    <w:rsid w:val="00B43AAC"/>
    <w:rsid w:val="00B65559"/>
    <w:rsid w:val="00B668FD"/>
    <w:rsid w:val="00B8122A"/>
    <w:rsid w:val="00B832C4"/>
    <w:rsid w:val="00B851CE"/>
    <w:rsid w:val="00B94907"/>
    <w:rsid w:val="00B9774B"/>
    <w:rsid w:val="00BE0615"/>
    <w:rsid w:val="00BE1A9D"/>
    <w:rsid w:val="00C03DA4"/>
    <w:rsid w:val="00C30437"/>
    <w:rsid w:val="00C35BF7"/>
    <w:rsid w:val="00C64E14"/>
    <w:rsid w:val="00C74FB5"/>
    <w:rsid w:val="00C83D60"/>
    <w:rsid w:val="00C950A6"/>
    <w:rsid w:val="00CA00D5"/>
    <w:rsid w:val="00CA1E4F"/>
    <w:rsid w:val="00CB37EA"/>
    <w:rsid w:val="00CE0629"/>
    <w:rsid w:val="00CE11F3"/>
    <w:rsid w:val="00CE28FB"/>
    <w:rsid w:val="00CE72FF"/>
    <w:rsid w:val="00CF6648"/>
    <w:rsid w:val="00D0648D"/>
    <w:rsid w:val="00D35410"/>
    <w:rsid w:val="00D363C9"/>
    <w:rsid w:val="00D42273"/>
    <w:rsid w:val="00D46237"/>
    <w:rsid w:val="00D51FEE"/>
    <w:rsid w:val="00D64C2C"/>
    <w:rsid w:val="00D93FAC"/>
    <w:rsid w:val="00D94ED6"/>
    <w:rsid w:val="00DA242C"/>
    <w:rsid w:val="00DB3C1D"/>
    <w:rsid w:val="00DD1796"/>
    <w:rsid w:val="00DD7430"/>
    <w:rsid w:val="00DE0FBF"/>
    <w:rsid w:val="00DF7423"/>
    <w:rsid w:val="00E02996"/>
    <w:rsid w:val="00E03ECE"/>
    <w:rsid w:val="00E066F4"/>
    <w:rsid w:val="00E14BD1"/>
    <w:rsid w:val="00E24B1C"/>
    <w:rsid w:val="00E363E5"/>
    <w:rsid w:val="00E5173F"/>
    <w:rsid w:val="00E65CF9"/>
    <w:rsid w:val="00E72E79"/>
    <w:rsid w:val="00E75730"/>
    <w:rsid w:val="00E766A1"/>
    <w:rsid w:val="00E807CD"/>
    <w:rsid w:val="00E8504F"/>
    <w:rsid w:val="00E912E8"/>
    <w:rsid w:val="00E94BCD"/>
    <w:rsid w:val="00EA5A57"/>
    <w:rsid w:val="00EB3DD2"/>
    <w:rsid w:val="00EB4231"/>
    <w:rsid w:val="00EE074F"/>
    <w:rsid w:val="00EE361A"/>
    <w:rsid w:val="00EF3E37"/>
    <w:rsid w:val="00F03A3A"/>
    <w:rsid w:val="00F11145"/>
    <w:rsid w:val="00F15B4E"/>
    <w:rsid w:val="00F1767F"/>
    <w:rsid w:val="00F20E31"/>
    <w:rsid w:val="00F22E24"/>
    <w:rsid w:val="00F54978"/>
    <w:rsid w:val="00F54E38"/>
    <w:rsid w:val="00F56E87"/>
    <w:rsid w:val="00F763B9"/>
    <w:rsid w:val="00F8425A"/>
    <w:rsid w:val="00F94EB5"/>
    <w:rsid w:val="00FA62A1"/>
    <w:rsid w:val="00FB0707"/>
    <w:rsid w:val="00FB2BDD"/>
    <w:rsid w:val="00FD16C1"/>
    <w:rsid w:val="00FD2B42"/>
    <w:rsid w:val="00FD2BE6"/>
    <w:rsid w:val="00FD5B87"/>
    <w:rsid w:val="00FE14AF"/>
    <w:rsid w:val="00FE1FCF"/>
    <w:rsid w:val="00FE4684"/>
    <w:rsid w:val="00FE6BC5"/>
    <w:rsid w:val="00FF4605"/>
    <w:rsid w:val="00FF7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semiHidden/>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semiHidden/>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108">
      <w:bodyDiv w:val="1"/>
      <w:marLeft w:val="0"/>
      <w:marRight w:val="0"/>
      <w:marTop w:val="0"/>
      <w:marBottom w:val="0"/>
      <w:divBdr>
        <w:top w:val="none" w:sz="0" w:space="0" w:color="auto"/>
        <w:left w:val="none" w:sz="0" w:space="0" w:color="auto"/>
        <w:bottom w:val="none" w:sz="0" w:space="0" w:color="auto"/>
        <w:right w:val="none" w:sz="0" w:space="0" w:color="auto"/>
      </w:divBdr>
      <w:divsChild>
        <w:div w:id="2131431962">
          <w:marLeft w:val="274"/>
          <w:marRight w:val="0"/>
          <w:marTop w:val="0"/>
          <w:marBottom w:val="0"/>
          <w:divBdr>
            <w:top w:val="none" w:sz="0" w:space="0" w:color="auto"/>
            <w:left w:val="none" w:sz="0" w:space="0" w:color="auto"/>
            <w:bottom w:val="none" w:sz="0" w:space="0" w:color="auto"/>
            <w:right w:val="none" w:sz="0" w:space="0" w:color="auto"/>
          </w:divBdr>
        </w:div>
      </w:divsChild>
    </w:div>
    <w:div w:id="177235717">
      <w:bodyDiv w:val="1"/>
      <w:marLeft w:val="0"/>
      <w:marRight w:val="0"/>
      <w:marTop w:val="0"/>
      <w:marBottom w:val="0"/>
      <w:divBdr>
        <w:top w:val="none" w:sz="0" w:space="0" w:color="auto"/>
        <w:left w:val="none" w:sz="0" w:space="0" w:color="auto"/>
        <w:bottom w:val="none" w:sz="0" w:space="0" w:color="auto"/>
        <w:right w:val="none" w:sz="0" w:space="0" w:color="auto"/>
      </w:divBdr>
      <w:divsChild>
        <w:div w:id="749692518">
          <w:marLeft w:val="446"/>
          <w:marRight w:val="0"/>
          <w:marTop w:val="0"/>
          <w:marBottom w:val="0"/>
          <w:divBdr>
            <w:top w:val="none" w:sz="0" w:space="0" w:color="auto"/>
            <w:left w:val="none" w:sz="0" w:space="0" w:color="auto"/>
            <w:bottom w:val="none" w:sz="0" w:space="0" w:color="auto"/>
            <w:right w:val="none" w:sz="0" w:space="0" w:color="auto"/>
          </w:divBdr>
        </w:div>
      </w:divsChild>
    </w:div>
    <w:div w:id="290406952">
      <w:bodyDiv w:val="1"/>
      <w:marLeft w:val="0"/>
      <w:marRight w:val="0"/>
      <w:marTop w:val="0"/>
      <w:marBottom w:val="0"/>
      <w:divBdr>
        <w:top w:val="none" w:sz="0" w:space="0" w:color="auto"/>
        <w:left w:val="none" w:sz="0" w:space="0" w:color="auto"/>
        <w:bottom w:val="none" w:sz="0" w:space="0" w:color="auto"/>
        <w:right w:val="none" w:sz="0" w:space="0" w:color="auto"/>
      </w:divBdr>
      <w:divsChild>
        <w:div w:id="1571500570">
          <w:marLeft w:val="274"/>
          <w:marRight w:val="0"/>
          <w:marTop w:val="0"/>
          <w:marBottom w:val="0"/>
          <w:divBdr>
            <w:top w:val="none" w:sz="0" w:space="0" w:color="auto"/>
            <w:left w:val="none" w:sz="0" w:space="0" w:color="auto"/>
            <w:bottom w:val="none" w:sz="0" w:space="0" w:color="auto"/>
            <w:right w:val="none" w:sz="0" w:space="0" w:color="auto"/>
          </w:divBdr>
        </w:div>
        <w:div w:id="1416781908">
          <w:marLeft w:val="274"/>
          <w:marRight w:val="0"/>
          <w:marTop w:val="0"/>
          <w:marBottom w:val="0"/>
          <w:divBdr>
            <w:top w:val="none" w:sz="0" w:space="0" w:color="auto"/>
            <w:left w:val="none" w:sz="0" w:space="0" w:color="auto"/>
            <w:bottom w:val="none" w:sz="0" w:space="0" w:color="auto"/>
            <w:right w:val="none" w:sz="0" w:space="0" w:color="auto"/>
          </w:divBdr>
        </w:div>
      </w:divsChild>
    </w:div>
    <w:div w:id="409695083">
      <w:bodyDiv w:val="1"/>
      <w:marLeft w:val="0"/>
      <w:marRight w:val="0"/>
      <w:marTop w:val="0"/>
      <w:marBottom w:val="0"/>
      <w:divBdr>
        <w:top w:val="none" w:sz="0" w:space="0" w:color="auto"/>
        <w:left w:val="none" w:sz="0" w:space="0" w:color="auto"/>
        <w:bottom w:val="none" w:sz="0" w:space="0" w:color="auto"/>
        <w:right w:val="none" w:sz="0" w:space="0" w:color="auto"/>
      </w:divBdr>
      <w:divsChild>
        <w:div w:id="761874224">
          <w:marLeft w:val="446"/>
          <w:marRight w:val="0"/>
          <w:marTop w:val="0"/>
          <w:marBottom w:val="0"/>
          <w:divBdr>
            <w:top w:val="none" w:sz="0" w:space="0" w:color="auto"/>
            <w:left w:val="none" w:sz="0" w:space="0" w:color="auto"/>
            <w:bottom w:val="none" w:sz="0" w:space="0" w:color="auto"/>
            <w:right w:val="none" w:sz="0" w:space="0" w:color="auto"/>
          </w:divBdr>
        </w:div>
      </w:divsChild>
    </w:div>
    <w:div w:id="429014785">
      <w:bodyDiv w:val="1"/>
      <w:marLeft w:val="0"/>
      <w:marRight w:val="0"/>
      <w:marTop w:val="0"/>
      <w:marBottom w:val="0"/>
      <w:divBdr>
        <w:top w:val="none" w:sz="0" w:space="0" w:color="auto"/>
        <w:left w:val="none" w:sz="0" w:space="0" w:color="auto"/>
        <w:bottom w:val="none" w:sz="0" w:space="0" w:color="auto"/>
        <w:right w:val="none" w:sz="0" w:space="0" w:color="auto"/>
      </w:divBdr>
      <w:divsChild>
        <w:div w:id="1943873147">
          <w:marLeft w:val="446"/>
          <w:marRight w:val="0"/>
          <w:marTop w:val="0"/>
          <w:marBottom w:val="0"/>
          <w:divBdr>
            <w:top w:val="none" w:sz="0" w:space="0" w:color="auto"/>
            <w:left w:val="none" w:sz="0" w:space="0" w:color="auto"/>
            <w:bottom w:val="none" w:sz="0" w:space="0" w:color="auto"/>
            <w:right w:val="none" w:sz="0" w:space="0" w:color="auto"/>
          </w:divBdr>
        </w:div>
        <w:div w:id="285700211">
          <w:marLeft w:val="446"/>
          <w:marRight w:val="0"/>
          <w:marTop w:val="0"/>
          <w:marBottom w:val="0"/>
          <w:divBdr>
            <w:top w:val="none" w:sz="0" w:space="0" w:color="auto"/>
            <w:left w:val="none" w:sz="0" w:space="0" w:color="auto"/>
            <w:bottom w:val="none" w:sz="0" w:space="0" w:color="auto"/>
            <w:right w:val="none" w:sz="0" w:space="0" w:color="auto"/>
          </w:divBdr>
        </w:div>
      </w:divsChild>
    </w:div>
    <w:div w:id="483275124">
      <w:bodyDiv w:val="1"/>
      <w:marLeft w:val="0"/>
      <w:marRight w:val="0"/>
      <w:marTop w:val="0"/>
      <w:marBottom w:val="0"/>
      <w:divBdr>
        <w:top w:val="none" w:sz="0" w:space="0" w:color="auto"/>
        <w:left w:val="none" w:sz="0" w:space="0" w:color="auto"/>
        <w:bottom w:val="none" w:sz="0" w:space="0" w:color="auto"/>
        <w:right w:val="none" w:sz="0" w:space="0" w:color="auto"/>
      </w:divBdr>
      <w:divsChild>
        <w:div w:id="1044907973">
          <w:marLeft w:val="446"/>
          <w:marRight w:val="0"/>
          <w:marTop w:val="0"/>
          <w:marBottom w:val="0"/>
          <w:divBdr>
            <w:top w:val="none" w:sz="0" w:space="0" w:color="auto"/>
            <w:left w:val="none" w:sz="0" w:space="0" w:color="auto"/>
            <w:bottom w:val="none" w:sz="0" w:space="0" w:color="auto"/>
            <w:right w:val="none" w:sz="0" w:space="0" w:color="auto"/>
          </w:divBdr>
        </w:div>
      </w:divsChild>
    </w:div>
    <w:div w:id="483622693">
      <w:bodyDiv w:val="1"/>
      <w:marLeft w:val="0"/>
      <w:marRight w:val="0"/>
      <w:marTop w:val="0"/>
      <w:marBottom w:val="0"/>
      <w:divBdr>
        <w:top w:val="none" w:sz="0" w:space="0" w:color="auto"/>
        <w:left w:val="none" w:sz="0" w:space="0" w:color="auto"/>
        <w:bottom w:val="none" w:sz="0" w:space="0" w:color="auto"/>
        <w:right w:val="none" w:sz="0" w:space="0" w:color="auto"/>
      </w:divBdr>
      <w:divsChild>
        <w:div w:id="1221288019">
          <w:marLeft w:val="274"/>
          <w:marRight w:val="0"/>
          <w:marTop w:val="0"/>
          <w:marBottom w:val="0"/>
          <w:divBdr>
            <w:top w:val="none" w:sz="0" w:space="0" w:color="auto"/>
            <w:left w:val="none" w:sz="0" w:space="0" w:color="auto"/>
            <w:bottom w:val="none" w:sz="0" w:space="0" w:color="auto"/>
            <w:right w:val="none" w:sz="0" w:space="0" w:color="auto"/>
          </w:divBdr>
        </w:div>
        <w:div w:id="159589816">
          <w:marLeft w:val="274"/>
          <w:marRight w:val="0"/>
          <w:marTop w:val="0"/>
          <w:marBottom w:val="0"/>
          <w:divBdr>
            <w:top w:val="none" w:sz="0" w:space="0" w:color="auto"/>
            <w:left w:val="none" w:sz="0" w:space="0" w:color="auto"/>
            <w:bottom w:val="none" w:sz="0" w:space="0" w:color="auto"/>
            <w:right w:val="none" w:sz="0" w:space="0" w:color="auto"/>
          </w:divBdr>
        </w:div>
      </w:divsChild>
    </w:div>
    <w:div w:id="494956372">
      <w:bodyDiv w:val="1"/>
      <w:marLeft w:val="0"/>
      <w:marRight w:val="0"/>
      <w:marTop w:val="0"/>
      <w:marBottom w:val="0"/>
      <w:divBdr>
        <w:top w:val="none" w:sz="0" w:space="0" w:color="auto"/>
        <w:left w:val="none" w:sz="0" w:space="0" w:color="auto"/>
        <w:bottom w:val="none" w:sz="0" w:space="0" w:color="auto"/>
        <w:right w:val="none" w:sz="0" w:space="0" w:color="auto"/>
      </w:divBdr>
      <w:divsChild>
        <w:div w:id="1606882309">
          <w:marLeft w:val="0"/>
          <w:marRight w:val="0"/>
          <w:marTop w:val="0"/>
          <w:marBottom w:val="0"/>
          <w:divBdr>
            <w:top w:val="none" w:sz="0" w:space="0" w:color="auto"/>
            <w:left w:val="none" w:sz="0" w:space="0" w:color="auto"/>
            <w:bottom w:val="none" w:sz="0" w:space="0" w:color="auto"/>
            <w:right w:val="none" w:sz="0" w:space="0" w:color="auto"/>
          </w:divBdr>
        </w:div>
        <w:div w:id="286594970">
          <w:marLeft w:val="0"/>
          <w:marRight w:val="0"/>
          <w:marTop w:val="0"/>
          <w:marBottom w:val="0"/>
          <w:divBdr>
            <w:top w:val="none" w:sz="0" w:space="0" w:color="auto"/>
            <w:left w:val="none" w:sz="0" w:space="0" w:color="auto"/>
            <w:bottom w:val="none" w:sz="0" w:space="0" w:color="auto"/>
            <w:right w:val="none" w:sz="0" w:space="0" w:color="auto"/>
          </w:divBdr>
        </w:div>
        <w:div w:id="1841657853">
          <w:marLeft w:val="0"/>
          <w:marRight w:val="0"/>
          <w:marTop w:val="0"/>
          <w:marBottom w:val="0"/>
          <w:divBdr>
            <w:top w:val="none" w:sz="0" w:space="0" w:color="auto"/>
            <w:left w:val="none" w:sz="0" w:space="0" w:color="auto"/>
            <w:bottom w:val="none" w:sz="0" w:space="0" w:color="auto"/>
            <w:right w:val="none" w:sz="0" w:space="0" w:color="auto"/>
          </w:divBdr>
        </w:div>
        <w:div w:id="1136683927">
          <w:marLeft w:val="0"/>
          <w:marRight w:val="0"/>
          <w:marTop w:val="0"/>
          <w:marBottom w:val="0"/>
          <w:divBdr>
            <w:top w:val="none" w:sz="0" w:space="0" w:color="auto"/>
            <w:left w:val="none" w:sz="0" w:space="0" w:color="auto"/>
            <w:bottom w:val="none" w:sz="0" w:space="0" w:color="auto"/>
            <w:right w:val="none" w:sz="0" w:space="0" w:color="auto"/>
          </w:divBdr>
        </w:div>
      </w:divsChild>
    </w:div>
    <w:div w:id="659118727">
      <w:bodyDiv w:val="1"/>
      <w:marLeft w:val="0"/>
      <w:marRight w:val="0"/>
      <w:marTop w:val="0"/>
      <w:marBottom w:val="0"/>
      <w:divBdr>
        <w:top w:val="none" w:sz="0" w:space="0" w:color="auto"/>
        <w:left w:val="none" w:sz="0" w:space="0" w:color="auto"/>
        <w:bottom w:val="none" w:sz="0" w:space="0" w:color="auto"/>
        <w:right w:val="none" w:sz="0" w:space="0" w:color="auto"/>
      </w:divBdr>
      <w:divsChild>
        <w:div w:id="1332559541">
          <w:marLeft w:val="446"/>
          <w:marRight w:val="0"/>
          <w:marTop w:val="0"/>
          <w:marBottom w:val="0"/>
          <w:divBdr>
            <w:top w:val="none" w:sz="0" w:space="0" w:color="auto"/>
            <w:left w:val="none" w:sz="0" w:space="0" w:color="auto"/>
            <w:bottom w:val="none" w:sz="0" w:space="0" w:color="auto"/>
            <w:right w:val="none" w:sz="0" w:space="0" w:color="auto"/>
          </w:divBdr>
        </w:div>
        <w:div w:id="496844531">
          <w:marLeft w:val="446"/>
          <w:marRight w:val="0"/>
          <w:marTop w:val="0"/>
          <w:marBottom w:val="0"/>
          <w:divBdr>
            <w:top w:val="none" w:sz="0" w:space="0" w:color="auto"/>
            <w:left w:val="none" w:sz="0" w:space="0" w:color="auto"/>
            <w:bottom w:val="none" w:sz="0" w:space="0" w:color="auto"/>
            <w:right w:val="none" w:sz="0" w:space="0" w:color="auto"/>
          </w:divBdr>
        </w:div>
        <w:div w:id="125126482">
          <w:marLeft w:val="446"/>
          <w:marRight w:val="0"/>
          <w:marTop w:val="0"/>
          <w:marBottom w:val="0"/>
          <w:divBdr>
            <w:top w:val="none" w:sz="0" w:space="0" w:color="auto"/>
            <w:left w:val="none" w:sz="0" w:space="0" w:color="auto"/>
            <w:bottom w:val="none" w:sz="0" w:space="0" w:color="auto"/>
            <w:right w:val="none" w:sz="0" w:space="0" w:color="auto"/>
          </w:divBdr>
        </w:div>
      </w:divsChild>
    </w:div>
    <w:div w:id="673386241">
      <w:bodyDiv w:val="1"/>
      <w:marLeft w:val="0"/>
      <w:marRight w:val="0"/>
      <w:marTop w:val="0"/>
      <w:marBottom w:val="0"/>
      <w:divBdr>
        <w:top w:val="none" w:sz="0" w:space="0" w:color="auto"/>
        <w:left w:val="none" w:sz="0" w:space="0" w:color="auto"/>
        <w:bottom w:val="none" w:sz="0" w:space="0" w:color="auto"/>
        <w:right w:val="none" w:sz="0" w:space="0" w:color="auto"/>
      </w:divBdr>
      <w:divsChild>
        <w:div w:id="1125927039">
          <w:marLeft w:val="446"/>
          <w:marRight w:val="0"/>
          <w:marTop w:val="0"/>
          <w:marBottom w:val="0"/>
          <w:divBdr>
            <w:top w:val="none" w:sz="0" w:space="0" w:color="auto"/>
            <w:left w:val="none" w:sz="0" w:space="0" w:color="auto"/>
            <w:bottom w:val="none" w:sz="0" w:space="0" w:color="auto"/>
            <w:right w:val="none" w:sz="0" w:space="0" w:color="auto"/>
          </w:divBdr>
        </w:div>
        <w:div w:id="284623239">
          <w:marLeft w:val="446"/>
          <w:marRight w:val="0"/>
          <w:marTop w:val="0"/>
          <w:marBottom w:val="0"/>
          <w:divBdr>
            <w:top w:val="none" w:sz="0" w:space="0" w:color="auto"/>
            <w:left w:val="none" w:sz="0" w:space="0" w:color="auto"/>
            <w:bottom w:val="none" w:sz="0" w:space="0" w:color="auto"/>
            <w:right w:val="none" w:sz="0" w:space="0" w:color="auto"/>
          </w:divBdr>
        </w:div>
      </w:divsChild>
    </w:div>
    <w:div w:id="678656005">
      <w:bodyDiv w:val="1"/>
      <w:marLeft w:val="0"/>
      <w:marRight w:val="0"/>
      <w:marTop w:val="0"/>
      <w:marBottom w:val="0"/>
      <w:divBdr>
        <w:top w:val="none" w:sz="0" w:space="0" w:color="auto"/>
        <w:left w:val="none" w:sz="0" w:space="0" w:color="auto"/>
        <w:bottom w:val="none" w:sz="0" w:space="0" w:color="auto"/>
        <w:right w:val="none" w:sz="0" w:space="0" w:color="auto"/>
      </w:divBdr>
      <w:divsChild>
        <w:div w:id="1716616841">
          <w:marLeft w:val="274"/>
          <w:marRight w:val="0"/>
          <w:marTop w:val="0"/>
          <w:marBottom w:val="0"/>
          <w:divBdr>
            <w:top w:val="none" w:sz="0" w:space="0" w:color="auto"/>
            <w:left w:val="none" w:sz="0" w:space="0" w:color="auto"/>
            <w:bottom w:val="none" w:sz="0" w:space="0" w:color="auto"/>
            <w:right w:val="none" w:sz="0" w:space="0" w:color="auto"/>
          </w:divBdr>
        </w:div>
        <w:div w:id="922757220">
          <w:marLeft w:val="274"/>
          <w:marRight w:val="0"/>
          <w:marTop w:val="0"/>
          <w:marBottom w:val="0"/>
          <w:divBdr>
            <w:top w:val="none" w:sz="0" w:space="0" w:color="auto"/>
            <w:left w:val="none" w:sz="0" w:space="0" w:color="auto"/>
            <w:bottom w:val="none" w:sz="0" w:space="0" w:color="auto"/>
            <w:right w:val="none" w:sz="0" w:space="0" w:color="auto"/>
          </w:divBdr>
        </w:div>
      </w:divsChild>
    </w:div>
    <w:div w:id="714620171">
      <w:bodyDiv w:val="1"/>
      <w:marLeft w:val="0"/>
      <w:marRight w:val="0"/>
      <w:marTop w:val="0"/>
      <w:marBottom w:val="0"/>
      <w:divBdr>
        <w:top w:val="none" w:sz="0" w:space="0" w:color="auto"/>
        <w:left w:val="none" w:sz="0" w:space="0" w:color="auto"/>
        <w:bottom w:val="none" w:sz="0" w:space="0" w:color="auto"/>
        <w:right w:val="none" w:sz="0" w:space="0" w:color="auto"/>
      </w:divBdr>
      <w:divsChild>
        <w:div w:id="1218855796">
          <w:marLeft w:val="446"/>
          <w:marRight w:val="0"/>
          <w:marTop w:val="0"/>
          <w:marBottom w:val="0"/>
          <w:divBdr>
            <w:top w:val="none" w:sz="0" w:space="0" w:color="auto"/>
            <w:left w:val="none" w:sz="0" w:space="0" w:color="auto"/>
            <w:bottom w:val="none" w:sz="0" w:space="0" w:color="auto"/>
            <w:right w:val="none" w:sz="0" w:space="0" w:color="auto"/>
          </w:divBdr>
        </w:div>
        <w:div w:id="54085865">
          <w:marLeft w:val="446"/>
          <w:marRight w:val="0"/>
          <w:marTop w:val="0"/>
          <w:marBottom w:val="0"/>
          <w:divBdr>
            <w:top w:val="none" w:sz="0" w:space="0" w:color="auto"/>
            <w:left w:val="none" w:sz="0" w:space="0" w:color="auto"/>
            <w:bottom w:val="none" w:sz="0" w:space="0" w:color="auto"/>
            <w:right w:val="none" w:sz="0" w:space="0" w:color="auto"/>
          </w:divBdr>
        </w:div>
      </w:divsChild>
    </w:div>
    <w:div w:id="790172616">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7">
          <w:marLeft w:val="274"/>
          <w:marRight w:val="0"/>
          <w:marTop w:val="0"/>
          <w:marBottom w:val="0"/>
          <w:divBdr>
            <w:top w:val="none" w:sz="0" w:space="0" w:color="auto"/>
            <w:left w:val="none" w:sz="0" w:space="0" w:color="auto"/>
            <w:bottom w:val="none" w:sz="0" w:space="0" w:color="auto"/>
            <w:right w:val="none" w:sz="0" w:space="0" w:color="auto"/>
          </w:divBdr>
        </w:div>
        <w:div w:id="1264537180">
          <w:marLeft w:val="274"/>
          <w:marRight w:val="0"/>
          <w:marTop w:val="0"/>
          <w:marBottom w:val="0"/>
          <w:divBdr>
            <w:top w:val="none" w:sz="0" w:space="0" w:color="auto"/>
            <w:left w:val="none" w:sz="0" w:space="0" w:color="auto"/>
            <w:bottom w:val="none" w:sz="0" w:space="0" w:color="auto"/>
            <w:right w:val="none" w:sz="0" w:space="0" w:color="auto"/>
          </w:divBdr>
        </w:div>
      </w:divsChild>
    </w:div>
    <w:div w:id="855969134">
      <w:bodyDiv w:val="1"/>
      <w:marLeft w:val="0"/>
      <w:marRight w:val="0"/>
      <w:marTop w:val="0"/>
      <w:marBottom w:val="0"/>
      <w:divBdr>
        <w:top w:val="none" w:sz="0" w:space="0" w:color="auto"/>
        <w:left w:val="none" w:sz="0" w:space="0" w:color="auto"/>
        <w:bottom w:val="none" w:sz="0" w:space="0" w:color="auto"/>
        <w:right w:val="none" w:sz="0" w:space="0" w:color="auto"/>
      </w:divBdr>
      <w:divsChild>
        <w:div w:id="339353753">
          <w:marLeft w:val="446"/>
          <w:marRight w:val="0"/>
          <w:marTop w:val="0"/>
          <w:marBottom w:val="0"/>
          <w:divBdr>
            <w:top w:val="none" w:sz="0" w:space="0" w:color="auto"/>
            <w:left w:val="none" w:sz="0" w:space="0" w:color="auto"/>
            <w:bottom w:val="none" w:sz="0" w:space="0" w:color="auto"/>
            <w:right w:val="none" w:sz="0" w:space="0" w:color="auto"/>
          </w:divBdr>
        </w:div>
        <w:div w:id="1087845799">
          <w:marLeft w:val="446"/>
          <w:marRight w:val="0"/>
          <w:marTop w:val="0"/>
          <w:marBottom w:val="0"/>
          <w:divBdr>
            <w:top w:val="none" w:sz="0" w:space="0" w:color="auto"/>
            <w:left w:val="none" w:sz="0" w:space="0" w:color="auto"/>
            <w:bottom w:val="none" w:sz="0" w:space="0" w:color="auto"/>
            <w:right w:val="none" w:sz="0" w:space="0" w:color="auto"/>
          </w:divBdr>
        </w:div>
        <w:div w:id="1624576266">
          <w:marLeft w:val="446"/>
          <w:marRight w:val="0"/>
          <w:marTop w:val="0"/>
          <w:marBottom w:val="0"/>
          <w:divBdr>
            <w:top w:val="none" w:sz="0" w:space="0" w:color="auto"/>
            <w:left w:val="none" w:sz="0" w:space="0" w:color="auto"/>
            <w:bottom w:val="none" w:sz="0" w:space="0" w:color="auto"/>
            <w:right w:val="none" w:sz="0" w:space="0" w:color="auto"/>
          </w:divBdr>
        </w:div>
      </w:divsChild>
    </w:div>
    <w:div w:id="986400794">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9">
          <w:marLeft w:val="446"/>
          <w:marRight w:val="0"/>
          <w:marTop w:val="0"/>
          <w:marBottom w:val="0"/>
          <w:divBdr>
            <w:top w:val="none" w:sz="0" w:space="0" w:color="auto"/>
            <w:left w:val="none" w:sz="0" w:space="0" w:color="auto"/>
            <w:bottom w:val="none" w:sz="0" w:space="0" w:color="auto"/>
            <w:right w:val="none" w:sz="0" w:space="0" w:color="auto"/>
          </w:divBdr>
        </w:div>
      </w:divsChild>
    </w:div>
    <w:div w:id="1063286850">
      <w:bodyDiv w:val="1"/>
      <w:marLeft w:val="0"/>
      <w:marRight w:val="0"/>
      <w:marTop w:val="0"/>
      <w:marBottom w:val="0"/>
      <w:divBdr>
        <w:top w:val="none" w:sz="0" w:space="0" w:color="auto"/>
        <w:left w:val="none" w:sz="0" w:space="0" w:color="auto"/>
        <w:bottom w:val="none" w:sz="0" w:space="0" w:color="auto"/>
        <w:right w:val="none" w:sz="0" w:space="0" w:color="auto"/>
      </w:divBdr>
      <w:divsChild>
        <w:div w:id="1306928102">
          <w:marLeft w:val="446"/>
          <w:marRight w:val="0"/>
          <w:marTop w:val="0"/>
          <w:marBottom w:val="0"/>
          <w:divBdr>
            <w:top w:val="none" w:sz="0" w:space="0" w:color="auto"/>
            <w:left w:val="none" w:sz="0" w:space="0" w:color="auto"/>
            <w:bottom w:val="none" w:sz="0" w:space="0" w:color="auto"/>
            <w:right w:val="none" w:sz="0" w:space="0" w:color="auto"/>
          </w:divBdr>
        </w:div>
      </w:divsChild>
    </w:div>
    <w:div w:id="1117136172">
      <w:bodyDiv w:val="1"/>
      <w:marLeft w:val="0"/>
      <w:marRight w:val="0"/>
      <w:marTop w:val="0"/>
      <w:marBottom w:val="0"/>
      <w:divBdr>
        <w:top w:val="none" w:sz="0" w:space="0" w:color="auto"/>
        <w:left w:val="none" w:sz="0" w:space="0" w:color="auto"/>
        <w:bottom w:val="none" w:sz="0" w:space="0" w:color="auto"/>
        <w:right w:val="none" w:sz="0" w:space="0" w:color="auto"/>
      </w:divBdr>
      <w:divsChild>
        <w:div w:id="712846304">
          <w:marLeft w:val="446"/>
          <w:marRight w:val="0"/>
          <w:marTop w:val="0"/>
          <w:marBottom w:val="0"/>
          <w:divBdr>
            <w:top w:val="none" w:sz="0" w:space="0" w:color="auto"/>
            <w:left w:val="none" w:sz="0" w:space="0" w:color="auto"/>
            <w:bottom w:val="none" w:sz="0" w:space="0" w:color="auto"/>
            <w:right w:val="none" w:sz="0" w:space="0" w:color="auto"/>
          </w:divBdr>
        </w:div>
      </w:divsChild>
    </w:div>
    <w:div w:id="1197084172">
      <w:bodyDiv w:val="1"/>
      <w:marLeft w:val="0"/>
      <w:marRight w:val="0"/>
      <w:marTop w:val="0"/>
      <w:marBottom w:val="0"/>
      <w:divBdr>
        <w:top w:val="none" w:sz="0" w:space="0" w:color="auto"/>
        <w:left w:val="none" w:sz="0" w:space="0" w:color="auto"/>
        <w:bottom w:val="none" w:sz="0" w:space="0" w:color="auto"/>
        <w:right w:val="none" w:sz="0" w:space="0" w:color="auto"/>
      </w:divBdr>
      <w:divsChild>
        <w:div w:id="1407603569">
          <w:marLeft w:val="547"/>
          <w:marRight w:val="0"/>
          <w:marTop w:val="0"/>
          <w:marBottom w:val="0"/>
          <w:divBdr>
            <w:top w:val="none" w:sz="0" w:space="0" w:color="auto"/>
            <w:left w:val="none" w:sz="0" w:space="0" w:color="auto"/>
            <w:bottom w:val="none" w:sz="0" w:space="0" w:color="auto"/>
            <w:right w:val="none" w:sz="0" w:space="0" w:color="auto"/>
          </w:divBdr>
        </w:div>
      </w:divsChild>
    </w:div>
    <w:div w:id="1278491509">
      <w:bodyDiv w:val="1"/>
      <w:marLeft w:val="0"/>
      <w:marRight w:val="0"/>
      <w:marTop w:val="0"/>
      <w:marBottom w:val="0"/>
      <w:divBdr>
        <w:top w:val="none" w:sz="0" w:space="0" w:color="auto"/>
        <w:left w:val="none" w:sz="0" w:space="0" w:color="auto"/>
        <w:bottom w:val="none" w:sz="0" w:space="0" w:color="auto"/>
        <w:right w:val="none" w:sz="0" w:space="0" w:color="auto"/>
      </w:divBdr>
      <w:divsChild>
        <w:div w:id="271062051">
          <w:marLeft w:val="274"/>
          <w:marRight w:val="0"/>
          <w:marTop w:val="0"/>
          <w:marBottom w:val="0"/>
          <w:divBdr>
            <w:top w:val="none" w:sz="0" w:space="0" w:color="auto"/>
            <w:left w:val="none" w:sz="0" w:space="0" w:color="auto"/>
            <w:bottom w:val="none" w:sz="0" w:space="0" w:color="auto"/>
            <w:right w:val="none" w:sz="0" w:space="0" w:color="auto"/>
          </w:divBdr>
        </w:div>
        <w:div w:id="95757450">
          <w:marLeft w:val="274"/>
          <w:marRight w:val="0"/>
          <w:marTop w:val="0"/>
          <w:marBottom w:val="0"/>
          <w:divBdr>
            <w:top w:val="none" w:sz="0" w:space="0" w:color="auto"/>
            <w:left w:val="none" w:sz="0" w:space="0" w:color="auto"/>
            <w:bottom w:val="none" w:sz="0" w:space="0" w:color="auto"/>
            <w:right w:val="none" w:sz="0" w:space="0" w:color="auto"/>
          </w:divBdr>
        </w:div>
      </w:divsChild>
    </w:div>
    <w:div w:id="1413307726">
      <w:bodyDiv w:val="1"/>
      <w:marLeft w:val="0"/>
      <w:marRight w:val="0"/>
      <w:marTop w:val="0"/>
      <w:marBottom w:val="0"/>
      <w:divBdr>
        <w:top w:val="none" w:sz="0" w:space="0" w:color="auto"/>
        <w:left w:val="none" w:sz="0" w:space="0" w:color="auto"/>
        <w:bottom w:val="none" w:sz="0" w:space="0" w:color="auto"/>
        <w:right w:val="none" w:sz="0" w:space="0" w:color="auto"/>
      </w:divBdr>
      <w:divsChild>
        <w:div w:id="1046373592">
          <w:marLeft w:val="446"/>
          <w:marRight w:val="0"/>
          <w:marTop w:val="0"/>
          <w:marBottom w:val="0"/>
          <w:divBdr>
            <w:top w:val="none" w:sz="0" w:space="0" w:color="auto"/>
            <w:left w:val="none" w:sz="0" w:space="0" w:color="auto"/>
            <w:bottom w:val="none" w:sz="0" w:space="0" w:color="auto"/>
            <w:right w:val="none" w:sz="0" w:space="0" w:color="auto"/>
          </w:divBdr>
        </w:div>
      </w:divsChild>
    </w:div>
    <w:div w:id="1548222824">
      <w:bodyDiv w:val="1"/>
      <w:marLeft w:val="0"/>
      <w:marRight w:val="0"/>
      <w:marTop w:val="0"/>
      <w:marBottom w:val="0"/>
      <w:divBdr>
        <w:top w:val="none" w:sz="0" w:space="0" w:color="auto"/>
        <w:left w:val="none" w:sz="0" w:space="0" w:color="auto"/>
        <w:bottom w:val="none" w:sz="0" w:space="0" w:color="auto"/>
        <w:right w:val="none" w:sz="0" w:space="0" w:color="auto"/>
      </w:divBdr>
      <w:divsChild>
        <w:div w:id="45449012">
          <w:marLeft w:val="446"/>
          <w:marRight w:val="0"/>
          <w:marTop w:val="0"/>
          <w:marBottom w:val="0"/>
          <w:divBdr>
            <w:top w:val="none" w:sz="0" w:space="0" w:color="auto"/>
            <w:left w:val="none" w:sz="0" w:space="0" w:color="auto"/>
            <w:bottom w:val="none" w:sz="0" w:space="0" w:color="auto"/>
            <w:right w:val="none" w:sz="0" w:space="0" w:color="auto"/>
          </w:divBdr>
        </w:div>
        <w:div w:id="248850220">
          <w:marLeft w:val="446"/>
          <w:marRight w:val="0"/>
          <w:marTop w:val="0"/>
          <w:marBottom w:val="0"/>
          <w:divBdr>
            <w:top w:val="none" w:sz="0" w:space="0" w:color="auto"/>
            <w:left w:val="none" w:sz="0" w:space="0" w:color="auto"/>
            <w:bottom w:val="none" w:sz="0" w:space="0" w:color="auto"/>
            <w:right w:val="none" w:sz="0" w:space="0" w:color="auto"/>
          </w:divBdr>
        </w:div>
        <w:div w:id="411465769">
          <w:marLeft w:val="446"/>
          <w:marRight w:val="0"/>
          <w:marTop w:val="0"/>
          <w:marBottom w:val="0"/>
          <w:divBdr>
            <w:top w:val="none" w:sz="0" w:space="0" w:color="auto"/>
            <w:left w:val="none" w:sz="0" w:space="0" w:color="auto"/>
            <w:bottom w:val="none" w:sz="0" w:space="0" w:color="auto"/>
            <w:right w:val="none" w:sz="0" w:space="0" w:color="auto"/>
          </w:divBdr>
        </w:div>
      </w:divsChild>
    </w:div>
    <w:div w:id="1569725277">
      <w:bodyDiv w:val="1"/>
      <w:marLeft w:val="0"/>
      <w:marRight w:val="0"/>
      <w:marTop w:val="0"/>
      <w:marBottom w:val="0"/>
      <w:divBdr>
        <w:top w:val="none" w:sz="0" w:space="0" w:color="auto"/>
        <w:left w:val="none" w:sz="0" w:space="0" w:color="auto"/>
        <w:bottom w:val="none" w:sz="0" w:space="0" w:color="auto"/>
        <w:right w:val="none" w:sz="0" w:space="0" w:color="auto"/>
      </w:divBdr>
      <w:divsChild>
        <w:div w:id="494493271">
          <w:marLeft w:val="0"/>
          <w:marRight w:val="0"/>
          <w:marTop w:val="0"/>
          <w:marBottom w:val="0"/>
          <w:divBdr>
            <w:top w:val="none" w:sz="0" w:space="0" w:color="auto"/>
            <w:left w:val="none" w:sz="0" w:space="0" w:color="auto"/>
            <w:bottom w:val="none" w:sz="0" w:space="0" w:color="auto"/>
            <w:right w:val="none" w:sz="0" w:space="0" w:color="auto"/>
          </w:divBdr>
        </w:div>
      </w:divsChild>
    </w:div>
    <w:div w:id="1623925697">
      <w:bodyDiv w:val="1"/>
      <w:marLeft w:val="0"/>
      <w:marRight w:val="0"/>
      <w:marTop w:val="0"/>
      <w:marBottom w:val="0"/>
      <w:divBdr>
        <w:top w:val="none" w:sz="0" w:space="0" w:color="auto"/>
        <w:left w:val="none" w:sz="0" w:space="0" w:color="auto"/>
        <w:bottom w:val="none" w:sz="0" w:space="0" w:color="auto"/>
        <w:right w:val="none" w:sz="0" w:space="0" w:color="auto"/>
      </w:divBdr>
      <w:divsChild>
        <w:div w:id="304554245">
          <w:marLeft w:val="274"/>
          <w:marRight w:val="0"/>
          <w:marTop w:val="0"/>
          <w:marBottom w:val="0"/>
          <w:divBdr>
            <w:top w:val="none" w:sz="0" w:space="0" w:color="auto"/>
            <w:left w:val="none" w:sz="0" w:space="0" w:color="auto"/>
            <w:bottom w:val="none" w:sz="0" w:space="0" w:color="auto"/>
            <w:right w:val="none" w:sz="0" w:space="0" w:color="auto"/>
          </w:divBdr>
        </w:div>
      </w:divsChild>
    </w:div>
    <w:div w:id="1690370561">
      <w:bodyDiv w:val="1"/>
      <w:marLeft w:val="0"/>
      <w:marRight w:val="0"/>
      <w:marTop w:val="0"/>
      <w:marBottom w:val="0"/>
      <w:divBdr>
        <w:top w:val="none" w:sz="0" w:space="0" w:color="auto"/>
        <w:left w:val="none" w:sz="0" w:space="0" w:color="auto"/>
        <w:bottom w:val="none" w:sz="0" w:space="0" w:color="auto"/>
        <w:right w:val="none" w:sz="0" w:space="0" w:color="auto"/>
      </w:divBdr>
      <w:divsChild>
        <w:div w:id="683357931">
          <w:marLeft w:val="547"/>
          <w:marRight w:val="0"/>
          <w:marTop w:val="0"/>
          <w:marBottom w:val="0"/>
          <w:divBdr>
            <w:top w:val="none" w:sz="0" w:space="0" w:color="auto"/>
            <w:left w:val="none" w:sz="0" w:space="0" w:color="auto"/>
            <w:bottom w:val="none" w:sz="0" w:space="0" w:color="auto"/>
            <w:right w:val="none" w:sz="0" w:space="0" w:color="auto"/>
          </w:divBdr>
        </w:div>
      </w:divsChild>
    </w:div>
    <w:div w:id="1709184799">
      <w:bodyDiv w:val="1"/>
      <w:marLeft w:val="0"/>
      <w:marRight w:val="0"/>
      <w:marTop w:val="0"/>
      <w:marBottom w:val="0"/>
      <w:divBdr>
        <w:top w:val="none" w:sz="0" w:space="0" w:color="auto"/>
        <w:left w:val="none" w:sz="0" w:space="0" w:color="auto"/>
        <w:bottom w:val="none" w:sz="0" w:space="0" w:color="auto"/>
        <w:right w:val="none" w:sz="0" w:space="0" w:color="auto"/>
      </w:divBdr>
      <w:divsChild>
        <w:div w:id="429664205">
          <w:marLeft w:val="446"/>
          <w:marRight w:val="0"/>
          <w:marTop w:val="0"/>
          <w:marBottom w:val="0"/>
          <w:divBdr>
            <w:top w:val="none" w:sz="0" w:space="0" w:color="auto"/>
            <w:left w:val="none" w:sz="0" w:space="0" w:color="auto"/>
            <w:bottom w:val="none" w:sz="0" w:space="0" w:color="auto"/>
            <w:right w:val="none" w:sz="0" w:space="0" w:color="auto"/>
          </w:divBdr>
        </w:div>
        <w:div w:id="899901512">
          <w:marLeft w:val="446"/>
          <w:marRight w:val="0"/>
          <w:marTop w:val="0"/>
          <w:marBottom w:val="0"/>
          <w:divBdr>
            <w:top w:val="none" w:sz="0" w:space="0" w:color="auto"/>
            <w:left w:val="none" w:sz="0" w:space="0" w:color="auto"/>
            <w:bottom w:val="none" w:sz="0" w:space="0" w:color="auto"/>
            <w:right w:val="none" w:sz="0" w:space="0" w:color="auto"/>
          </w:divBdr>
        </w:div>
        <w:div w:id="353069553">
          <w:marLeft w:val="446"/>
          <w:marRight w:val="0"/>
          <w:marTop w:val="0"/>
          <w:marBottom w:val="0"/>
          <w:divBdr>
            <w:top w:val="none" w:sz="0" w:space="0" w:color="auto"/>
            <w:left w:val="none" w:sz="0" w:space="0" w:color="auto"/>
            <w:bottom w:val="none" w:sz="0" w:space="0" w:color="auto"/>
            <w:right w:val="none" w:sz="0" w:space="0" w:color="auto"/>
          </w:divBdr>
        </w:div>
      </w:divsChild>
    </w:div>
    <w:div w:id="1736123368">
      <w:bodyDiv w:val="1"/>
      <w:marLeft w:val="0"/>
      <w:marRight w:val="0"/>
      <w:marTop w:val="0"/>
      <w:marBottom w:val="0"/>
      <w:divBdr>
        <w:top w:val="none" w:sz="0" w:space="0" w:color="auto"/>
        <w:left w:val="none" w:sz="0" w:space="0" w:color="auto"/>
        <w:bottom w:val="none" w:sz="0" w:space="0" w:color="auto"/>
        <w:right w:val="none" w:sz="0" w:space="0" w:color="auto"/>
      </w:divBdr>
      <w:divsChild>
        <w:div w:id="1460145990">
          <w:marLeft w:val="446"/>
          <w:marRight w:val="0"/>
          <w:marTop w:val="0"/>
          <w:marBottom w:val="0"/>
          <w:divBdr>
            <w:top w:val="none" w:sz="0" w:space="0" w:color="auto"/>
            <w:left w:val="none" w:sz="0" w:space="0" w:color="auto"/>
            <w:bottom w:val="none" w:sz="0" w:space="0" w:color="auto"/>
            <w:right w:val="none" w:sz="0" w:space="0" w:color="auto"/>
          </w:divBdr>
        </w:div>
        <w:div w:id="1080371995">
          <w:marLeft w:val="446"/>
          <w:marRight w:val="0"/>
          <w:marTop w:val="0"/>
          <w:marBottom w:val="0"/>
          <w:divBdr>
            <w:top w:val="none" w:sz="0" w:space="0" w:color="auto"/>
            <w:left w:val="none" w:sz="0" w:space="0" w:color="auto"/>
            <w:bottom w:val="none" w:sz="0" w:space="0" w:color="auto"/>
            <w:right w:val="none" w:sz="0" w:space="0" w:color="auto"/>
          </w:divBdr>
        </w:div>
        <w:div w:id="1459184731">
          <w:marLeft w:val="446"/>
          <w:marRight w:val="0"/>
          <w:marTop w:val="0"/>
          <w:marBottom w:val="0"/>
          <w:divBdr>
            <w:top w:val="none" w:sz="0" w:space="0" w:color="auto"/>
            <w:left w:val="none" w:sz="0" w:space="0" w:color="auto"/>
            <w:bottom w:val="none" w:sz="0" w:space="0" w:color="auto"/>
            <w:right w:val="none" w:sz="0" w:space="0" w:color="auto"/>
          </w:divBdr>
        </w:div>
        <w:div w:id="1367635793">
          <w:marLeft w:val="446"/>
          <w:marRight w:val="0"/>
          <w:marTop w:val="0"/>
          <w:marBottom w:val="0"/>
          <w:divBdr>
            <w:top w:val="none" w:sz="0" w:space="0" w:color="auto"/>
            <w:left w:val="none" w:sz="0" w:space="0" w:color="auto"/>
            <w:bottom w:val="none" w:sz="0" w:space="0" w:color="auto"/>
            <w:right w:val="none" w:sz="0" w:space="0" w:color="auto"/>
          </w:divBdr>
        </w:div>
      </w:divsChild>
    </w:div>
    <w:div w:id="1765372243">
      <w:bodyDiv w:val="1"/>
      <w:marLeft w:val="0"/>
      <w:marRight w:val="0"/>
      <w:marTop w:val="0"/>
      <w:marBottom w:val="0"/>
      <w:divBdr>
        <w:top w:val="none" w:sz="0" w:space="0" w:color="auto"/>
        <w:left w:val="none" w:sz="0" w:space="0" w:color="auto"/>
        <w:bottom w:val="none" w:sz="0" w:space="0" w:color="auto"/>
        <w:right w:val="none" w:sz="0" w:space="0" w:color="auto"/>
      </w:divBdr>
      <w:divsChild>
        <w:div w:id="1780636488">
          <w:marLeft w:val="446"/>
          <w:marRight w:val="0"/>
          <w:marTop w:val="0"/>
          <w:marBottom w:val="0"/>
          <w:divBdr>
            <w:top w:val="none" w:sz="0" w:space="0" w:color="auto"/>
            <w:left w:val="none" w:sz="0" w:space="0" w:color="auto"/>
            <w:bottom w:val="none" w:sz="0" w:space="0" w:color="auto"/>
            <w:right w:val="none" w:sz="0" w:space="0" w:color="auto"/>
          </w:divBdr>
        </w:div>
      </w:divsChild>
    </w:div>
    <w:div w:id="1881671287">
      <w:bodyDiv w:val="1"/>
      <w:marLeft w:val="0"/>
      <w:marRight w:val="0"/>
      <w:marTop w:val="0"/>
      <w:marBottom w:val="0"/>
      <w:divBdr>
        <w:top w:val="none" w:sz="0" w:space="0" w:color="auto"/>
        <w:left w:val="none" w:sz="0" w:space="0" w:color="auto"/>
        <w:bottom w:val="none" w:sz="0" w:space="0" w:color="auto"/>
        <w:right w:val="none" w:sz="0" w:space="0" w:color="auto"/>
      </w:divBdr>
      <w:divsChild>
        <w:div w:id="1140995039">
          <w:marLeft w:val="446"/>
          <w:marRight w:val="0"/>
          <w:marTop w:val="0"/>
          <w:marBottom w:val="0"/>
          <w:divBdr>
            <w:top w:val="none" w:sz="0" w:space="0" w:color="auto"/>
            <w:left w:val="none" w:sz="0" w:space="0" w:color="auto"/>
            <w:bottom w:val="none" w:sz="0" w:space="0" w:color="auto"/>
            <w:right w:val="none" w:sz="0" w:space="0" w:color="auto"/>
          </w:divBdr>
        </w:div>
        <w:div w:id="171340731">
          <w:marLeft w:val="446"/>
          <w:marRight w:val="0"/>
          <w:marTop w:val="0"/>
          <w:marBottom w:val="0"/>
          <w:divBdr>
            <w:top w:val="none" w:sz="0" w:space="0" w:color="auto"/>
            <w:left w:val="none" w:sz="0" w:space="0" w:color="auto"/>
            <w:bottom w:val="none" w:sz="0" w:space="0" w:color="auto"/>
            <w:right w:val="none" w:sz="0" w:space="0" w:color="auto"/>
          </w:divBdr>
        </w:div>
        <w:div w:id="1917669324">
          <w:marLeft w:val="446"/>
          <w:marRight w:val="0"/>
          <w:marTop w:val="0"/>
          <w:marBottom w:val="0"/>
          <w:divBdr>
            <w:top w:val="none" w:sz="0" w:space="0" w:color="auto"/>
            <w:left w:val="none" w:sz="0" w:space="0" w:color="auto"/>
            <w:bottom w:val="none" w:sz="0" w:space="0" w:color="auto"/>
            <w:right w:val="none" w:sz="0" w:space="0" w:color="auto"/>
          </w:divBdr>
        </w:div>
        <w:div w:id="198324866">
          <w:marLeft w:val="446"/>
          <w:marRight w:val="0"/>
          <w:marTop w:val="0"/>
          <w:marBottom w:val="0"/>
          <w:divBdr>
            <w:top w:val="none" w:sz="0" w:space="0" w:color="auto"/>
            <w:left w:val="none" w:sz="0" w:space="0" w:color="auto"/>
            <w:bottom w:val="none" w:sz="0" w:space="0" w:color="auto"/>
            <w:right w:val="none" w:sz="0" w:space="0" w:color="auto"/>
          </w:divBdr>
        </w:div>
        <w:div w:id="614948190">
          <w:marLeft w:val="446"/>
          <w:marRight w:val="0"/>
          <w:marTop w:val="0"/>
          <w:marBottom w:val="0"/>
          <w:divBdr>
            <w:top w:val="none" w:sz="0" w:space="0" w:color="auto"/>
            <w:left w:val="none" w:sz="0" w:space="0" w:color="auto"/>
            <w:bottom w:val="none" w:sz="0" w:space="0" w:color="auto"/>
            <w:right w:val="none" w:sz="0" w:space="0" w:color="auto"/>
          </w:divBdr>
        </w:div>
      </w:divsChild>
    </w:div>
    <w:div w:id="1984266210">
      <w:bodyDiv w:val="1"/>
      <w:marLeft w:val="0"/>
      <w:marRight w:val="0"/>
      <w:marTop w:val="0"/>
      <w:marBottom w:val="0"/>
      <w:divBdr>
        <w:top w:val="none" w:sz="0" w:space="0" w:color="auto"/>
        <w:left w:val="none" w:sz="0" w:space="0" w:color="auto"/>
        <w:bottom w:val="none" w:sz="0" w:space="0" w:color="auto"/>
        <w:right w:val="none" w:sz="0" w:space="0" w:color="auto"/>
      </w:divBdr>
      <w:divsChild>
        <w:div w:id="185754304">
          <w:marLeft w:val="547"/>
          <w:marRight w:val="0"/>
          <w:marTop w:val="0"/>
          <w:marBottom w:val="0"/>
          <w:divBdr>
            <w:top w:val="none" w:sz="0" w:space="0" w:color="auto"/>
            <w:left w:val="none" w:sz="0" w:space="0" w:color="auto"/>
            <w:bottom w:val="none" w:sz="0" w:space="0" w:color="auto"/>
            <w:right w:val="none" w:sz="0" w:space="0" w:color="auto"/>
          </w:divBdr>
        </w:div>
      </w:divsChild>
    </w:div>
    <w:div w:id="20605933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66">
          <w:marLeft w:val="274"/>
          <w:marRight w:val="0"/>
          <w:marTop w:val="0"/>
          <w:marBottom w:val="0"/>
          <w:divBdr>
            <w:top w:val="none" w:sz="0" w:space="0" w:color="auto"/>
            <w:left w:val="none" w:sz="0" w:space="0" w:color="auto"/>
            <w:bottom w:val="none" w:sz="0" w:space="0" w:color="auto"/>
            <w:right w:val="none" w:sz="0" w:space="0" w:color="auto"/>
          </w:divBdr>
        </w:div>
        <w:div w:id="17508061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D2AD-980A-4E60-8FA4-D9CC794D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7718</Words>
  <Characters>43995</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2016-10-19T07:20:00Z</cp:lastPrinted>
  <dcterms:created xsi:type="dcterms:W3CDTF">2016-10-27T11:57:00Z</dcterms:created>
  <dcterms:modified xsi:type="dcterms:W3CDTF">2016-10-27T11:57:00Z</dcterms:modified>
</cp:coreProperties>
</file>