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4D13" w:rsidRPr="00893EE9" w:rsidRDefault="00184D13" w:rsidP="00893EE9">
      <w:pPr>
        <w:rPr>
          <w:rFonts w:cs="Arial"/>
        </w:rPr>
      </w:pPr>
    </w:p>
    <w:p w:rsidR="00052B47" w:rsidRDefault="00052B47" w:rsidP="00893EE9">
      <w:pPr>
        <w:rPr>
          <w:rFonts w:cs="Arial"/>
        </w:rPr>
      </w:pPr>
    </w:p>
    <w:p w:rsidR="009A2690" w:rsidRPr="00893EE9" w:rsidRDefault="0025404A" w:rsidP="00893EE9">
      <w:pPr>
        <w:rPr>
          <w:rFonts w:cs="Arial"/>
        </w:rPr>
      </w:pPr>
      <w:r>
        <w:rPr>
          <w:rFonts w:cs="Arial"/>
        </w:rPr>
        <w:t>16</w:t>
      </w:r>
      <w:bookmarkStart w:id="0" w:name="_GoBack"/>
      <w:bookmarkEnd w:id="0"/>
      <w:r w:rsidR="00177880">
        <w:rPr>
          <w:rFonts w:cs="Arial"/>
        </w:rPr>
        <w:t xml:space="preserve"> October </w:t>
      </w:r>
      <w:r w:rsidR="00AD0A4E">
        <w:rPr>
          <w:rFonts w:cs="Arial"/>
        </w:rPr>
        <w:t xml:space="preserve">2016 </w:t>
      </w:r>
      <w:r w:rsidR="009A2690" w:rsidRPr="00893EE9">
        <w:rPr>
          <w:rFonts w:cs="Arial"/>
        </w:rPr>
        <w:t xml:space="preserve"> </w:t>
      </w:r>
    </w:p>
    <w:p w:rsidR="009A2690" w:rsidRPr="00893EE9" w:rsidRDefault="009A2690" w:rsidP="00893EE9">
      <w:pPr>
        <w:pStyle w:val="ResearchTitle"/>
        <w:rPr>
          <w:rFonts w:cs="Arial"/>
        </w:rPr>
      </w:pPr>
    </w:p>
    <w:p w:rsidR="00052B47" w:rsidRPr="00E22056" w:rsidRDefault="0099420E" w:rsidP="0099420E">
      <w:pPr>
        <w:pStyle w:val="Title"/>
        <w:ind w:left="720" w:firstLine="720"/>
      </w:pPr>
      <w:r>
        <w:t>PUBLIC INVESTMENT CORPORATION</w:t>
      </w:r>
      <w:r w:rsidR="00052B47" w:rsidRPr="00E22056">
        <w:t xml:space="preserve"> </w:t>
      </w:r>
    </w:p>
    <w:p w:rsidR="009E0C94" w:rsidRDefault="009E0C94" w:rsidP="00893EE9">
      <w:pPr>
        <w:pStyle w:val="ResearchTitle"/>
        <w:rPr>
          <w:rFonts w:cs="Arial"/>
        </w:rPr>
      </w:pPr>
    </w:p>
    <w:tbl>
      <w:tblPr>
        <w:tblStyle w:val="TableGrid"/>
        <w:tblW w:w="9351" w:type="dxa"/>
        <w:tblBorders>
          <w:top w:val="single" w:sz="8" w:space="0" w:color="538135" w:themeColor="accent6" w:themeShade="BF"/>
          <w:left w:val="none" w:sz="0" w:space="0" w:color="auto"/>
          <w:bottom w:val="single" w:sz="6" w:space="0" w:color="538135" w:themeColor="accent6" w:themeShade="BF"/>
          <w:right w:val="none" w:sz="0" w:space="0" w:color="auto"/>
          <w:insideH w:val="none" w:sz="0" w:space="0" w:color="auto"/>
          <w:insideV w:val="none" w:sz="0" w:space="0" w:color="auto"/>
        </w:tblBorders>
        <w:tblLook w:val="04A0"/>
      </w:tblPr>
      <w:tblGrid>
        <w:gridCol w:w="9351"/>
      </w:tblGrid>
      <w:tr w:rsidR="009E0C94" w:rsidTr="005028B1">
        <w:tc>
          <w:tcPr>
            <w:tcW w:w="9351" w:type="dxa"/>
          </w:tcPr>
          <w:p w:rsidR="009E0C94" w:rsidRPr="00893EE9" w:rsidRDefault="009E0C94" w:rsidP="009E0C94">
            <w:pPr>
              <w:pStyle w:val="ReseachMainHeading"/>
              <w:rPr>
                <w:rFonts w:cs="Arial"/>
              </w:rPr>
            </w:pPr>
          </w:p>
          <w:sdt>
            <w:sdtPr>
              <w:rPr>
                <w:color w:val="auto"/>
              </w:rPr>
              <w:id w:val="-1945920670"/>
              <w:docPartObj>
                <w:docPartGallery w:val="Table of Contents"/>
                <w:docPartUnique/>
              </w:docPartObj>
            </w:sdtPr>
            <w:sdtEndPr>
              <w:rPr>
                <w:rFonts w:cs="Arial"/>
                <w:bCs/>
                <w:noProof/>
                <w:color w:val="538135" w:themeColor="accent6" w:themeShade="BF"/>
              </w:rPr>
            </w:sdtEndPr>
            <w:sdtContent>
              <w:p w:rsidR="009E0C94" w:rsidRPr="00052B47" w:rsidRDefault="009E0C94" w:rsidP="009E0C94">
                <w:pPr>
                  <w:pStyle w:val="TOC1"/>
                  <w:rPr>
                    <w:color w:val="ED7D31" w:themeColor="accent2"/>
                  </w:rPr>
                </w:pPr>
                <w:r w:rsidRPr="00052B47">
                  <w:rPr>
                    <w:color w:val="ED7D31" w:themeColor="accent2"/>
                  </w:rPr>
                  <w:t>Table of Contents</w:t>
                </w:r>
              </w:p>
              <w:p w:rsidR="00EC191C" w:rsidRDefault="002A06BF">
                <w:pPr>
                  <w:pStyle w:val="TOC1"/>
                  <w:tabs>
                    <w:tab w:val="left" w:pos="442"/>
                    <w:tab w:val="right" w:leader="dot" w:pos="9016"/>
                  </w:tabs>
                  <w:rPr>
                    <w:rFonts w:asciiTheme="minorHAnsi" w:eastAsiaTheme="minorEastAsia" w:hAnsiTheme="minorHAnsi"/>
                    <w:b w:val="0"/>
                    <w:caps w:val="0"/>
                    <w:noProof/>
                    <w:color w:val="auto"/>
                    <w:sz w:val="22"/>
                    <w:lang w:val="en-US"/>
                  </w:rPr>
                </w:pPr>
                <w:r w:rsidRPr="002A06BF">
                  <w:rPr>
                    <w:rFonts w:cs="Arial"/>
                  </w:rPr>
                  <w:fldChar w:fldCharType="begin"/>
                </w:r>
                <w:r w:rsidR="009E0C94">
                  <w:rPr>
                    <w:rFonts w:cs="Arial"/>
                  </w:rPr>
                  <w:instrText xml:space="preserve"> TOC \o "1-3" \h \z \u </w:instrText>
                </w:r>
                <w:r w:rsidRPr="002A06BF">
                  <w:rPr>
                    <w:rFonts w:cs="Arial"/>
                  </w:rPr>
                  <w:fldChar w:fldCharType="separate"/>
                </w:r>
                <w:hyperlink w:anchor="_Toc464214439" w:history="1">
                  <w:r w:rsidR="00EC191C" w:rsidRPr="00964D47">
                    <w:rPr>
                      <w:rStyle w:val="Hyperlink"/>
                      <w:noProof/>
                    </w:rPr>
                    <w:t>1.</w:t>
                  </w:r>
                  <w:r w:rsidR="00EC191C">
                    <w:rPr>
                      <w:rFonts w:asciiTheme="minorHAnsi" w:eastAsiaTheme="minorEastAsia" w:hAnsiTheme="minorHAnsi"/>
                      <w:b w:val="0"/>
                      <w:caps w:val="0"/>
                      <w:noProof/>
                      <w:color w:val="auto"/>
                      <w:sz w:val="22"/>
                      <w:lang w:val="en-US"/>
                    </w:rPr>
                    <w:tab/>
                  </w:r>
                  <w:r w:rsidR="00EC191C" w:rsidRPr="00964D47">
                    <w:rPr>
                      <w:rStyle w:val="Hyperlink"/>
                      <w:noProof/>
                    </w:rPr>
                    <w:t>Introduction</w:t>
                  </w:r>
                  <w:r w:rsidR="00EC191C">
                    <w:rPr>
                      <w:noProof/>
                      <w:webHidden/>
                    </w:rPr>
                    <w:tab/>
                  </w:r>
                  <w:r>
                    <w:rPr>
                      <w:noProof/>
                      <w:webHidden/>
                    </w:rPr>
                    <w:fldChar w:fldCharType="begin"/>
                  </w:r>
                  <w:r w:rsidR="00EC191C">
                    <w:rPr>
                      <w:noProof/>
                      <w:webHidden/>
                    </w:rPr>
                    <w:instrText xml:space="preserve"> PAGEREF _Toc464214439 \h </w:instrText>
                  </w:r>
                  <w:r>
                    <w:rPr>
                      <w:noProof/>
                      <w:webHidden/>
                    </w:rPr>
                  </w:r>
                  <w:r>
                    <w:rPr>
                      <w:noProof/>
                      <w:webHidden/>
                    </w:rPr>
                    <w:fldChar w:fldCharType="separate"/>
                  </w:r>
                  <w:r w:rsidR="0025404A">
                    <w:rPr>
                      <w:noProof/>
                      <w:webHidden/>
                    </w:rPr>
                    <w:t>1</w:t>
                  </w:r>
                  <w:r>
                    <w:rPr>
                      <w:noProof/>
                      <w:webHidden/>
                    </w:rPr>
                    <w:fldChar w:fldCharType="end"/>
                  </w:r>
                </w:hyperlink>
              </w:p>
              <w:p w:rsidR="00EC191C" w:rsidRDefault="002A06BF">
                <w:pPr>
                  <w:pStyle w:val="TOC1"/>
                  <w:tabs>
                    <w:tab w:val="left" w:pos="442"/>
                    <w:tab w:val="right" w:leader="dot" w:pos="9016"/>
                  </w:tabs>
                  <w:rPr>
                    <w:rFonts w:asciiTheme="minorHAnsi" w:eastAsiaTheme="minorEastAsia" w:hAnsiTheme="minorHAnsi"/>
                    <w:b w:val="0"/>
                    <w:caps w:val="0"/>
                    <w:noProof/>
                    <w:color w:val="auto"/>
                    <w:sz w:val="22"/>
                    <w:lang w:val="en-US"/>
                  </w:rPr>
                </w:pPr>
                <w:hyperlink w:anchor="_Toc464214440" w:history="1">
                  <w:r w:rsidR="00EC191C" w:rsidRPr="00964D47">
                    <w:rPr>
                      <w:rStyle w:val="Hyperlink"/>
                      <w:noProof/>
                    </w:rPr>
                    <w:t>2.</w:t>
                  </w:r>
                  <w:r w:rsidR="00EC191C">
                    <w:rPr>
                      <w:rFonts w:asciiTheme="minorHAnsi" w:eastAsiaTheme="minorEastAsia" w:hAnsiTheme="minorHAnsi"/>
                      <w:b w:val="0"/>
                      <w:caps w:val="0"/>
                      <w:noProof/>
                      <w:color w:val="auto"/>
                      <w:sz w:val="22"/>
                      <w:lang w:val="en-US"/>
                    </w:rPr>
                    <w:tab/>
                  </w:r>
                  <w:r w:rsidR="00EC191C" w:rsidRPr="00964D47">
                    <w:rPr>
                      <w:rStyle w:val="Hyperlink"/>
                      <w:noProof/>
                    </w:rPr>
                    <w:t>Overview of the 2015/16 financial year</w:t>
                  </w:r>
                  <w:r w:rsidR="00EC191C">
                    <w:rPr>
                      <w:noProof/>
                      <w:webHidden/>
                    </w:rPr>
                    <w:tab/>
                  </w:r>
                  <w:r>
                    <w:rPr>
                      <w:noProof/>
                      <w:webHidden/>
                    </w:rPr>
                    <w:fldChar w:fldCharType="begin"/>
                  </w:r>
                  <w:r w:rsidR="00EC191C">
                    <w:rPr>
                      <w:noProof/>
                      <w:webHidden/>
                    </w:rPr>
                    <w:instrText xml:space="preserve"> PAGEREF _Toc464214440 \h </w:instrText>
                  </w:r>
                  <w:r>
                    <w:rPr>
                      <w:noProof/>
                      <w:webHidden/>
                    </w:rPr>
                  </w:r>
                  <w:r>
                    <w:rPr>
                      <w:noProof/>
                      <w:webHidden/>
                    </w:rPr>
                    <w:fldChar w:fldCharType="separate"/>
                  </w:r>
                  <w:r w:rsidR="0025404A">
                    <w:rPr>
                      <w:noProof/>
                      <w:webHidden/>
                    </w:rPr>
                    <w:t>1</w:t>
                  </w:r>
                  <w:r>
                    <w:rPr>
                      <w:noProof/>
                      <w:webHidden/>
                    </w:rPr>
                    <w:fldChar w:fldCharType="end"/>
                  </w:r>
                </w:hyperlink>
              </w:p>
              <w:p w:rsidR="00EC191C" w:rsidRDefault="002A06BF">
                <w:pPr>
                  <w:pStyle w:val="TOC1"/>
                  <w:tabs>
                    <w:tab w:val="left" w:pos="442"/>
                    <w:tab w:val="right" w:leader="dot" w:pos="9016"/>
                  </w:tabs>
                  <w:rPr>
                    <w:rFonts w:asciiTheme="minorHAnsi" w:eastAsiaTheme="minorEastAsia" w:hAnsiTheme="minorHAnsi"/>
                    <w:b w:val="0"/>
                    <w:caps w:val="0"/>
                    <w:noProof/>
                    <w:color w:val="auto"/>
                    <w:sz w:val="22"/>
                    <w:lang w:val="en-US"/>
                  </w:rPr>
                </w:pPr>
                <w:hyperlink w:anchor="_Toc464214441" w:history="1">
                  <w:r w:rsidR="00EC191C" w:rsidRPr="00964D47">
                    <w:rPr>
                      <w:rStyle w:val="Hyperlink"/>
                      <w:noProof/>
                    </w:rPr>
                    <w:t>3.</w:t>
                  </w:r>
                  <w:r w:rsidR="00EC191C">
                    <w:rPr>
                      <w:rFonts w:asciiTheme="minorHAnsi" w:eastAsiaTheme="minorEastAsia" w:hAnsiTheme="minorHAnsi"/>
                      <w:b w:val="0"/>
                      <w:caps w:val="0"/>
                      <w:noProof/>
                      <w:color w:val="auto"/>
                      <w:sz w:val="22"/>
                      <w:lang w:val="en-US"/>
                    </w:rPr>
                    <w:tab/>
                  </w:r>
                  <w:r w:rsidR="00EC191C" w:rsidRPr="00964D47">
                    <w:rPr>
                      <w:rStyle w:val="Hyperlink"/>
                      <w:noProof/>
                    </w:rPr>
                    <w:t>budget Analysis</w:t>
                  </w:r>
                  <w:r w:rsidR="00EC191C">
                    <w:rPr>
                      <w:noProof/>
                      <w:webHidden/>
                    </w:rPr>
                    <w:tab/>
                  </w:r>
                  <w:r>
                    <w:rPr>
                      <w:noProof/>
                      <w:webHidden/>
                    </w:rPr>
                    <w:fldChar w:fldCharType="begin"/>
                  </w:r>
                  <w:r w:rsidR="00EC191C">
                    <w:rPr>
                      <w:noProof/>
                      <w:webHidden/>
                    </w:rPr>
                    <w:instrText xml:space="preserve"> PAGEREF _Toc464214441 \h </w:instrText>
                  </w:r>
                  <w:r>
                    <w:rPr>
                      <w:noProof/>
                      <w:webHidden/>
                    </w:rPr>
                  </w:r>
                  <w:r>
                    <w:rPr>
                      <w:noProof/>
                      <w:webHidden/>
                    </w:rPr>
                    <w:fldChar w:fldCharType="separate"/>
                  </w:r>
                  <w:r w:rsidR="0025404A">
                    <w:rPr>
                      <w:noProof/>
                      <w:webHidden/>
                    </w:rPr>
                    <w:t>3</w:t>
                  </w:r>
                  <w:r>
                    <w:rPr>
                      <w:noProof/>
                      <w:webHidden/>
                    </w:rPr>
                    <w:fldChar w:fldCharType="end"/>
                  </w:r>
                </w:hyperlink>
              </w:p>
              <w:p w:rsidR="00EC191C" w:rsidRDefault="002A06BF">
                <w:pPr>
                  <w:pStyle w:val="TOC2"/>
                  <w:tabs>
                    <w:tab w:val="left" w:pos="880"/>
                    <w:tab w:val="right" w:leader="dot" w:pos="9016"/>
                  </w:tabs>
                  <w:rPr>
                    <w:rFonts w:asciiTheme="minorHAnsi" w:eastAsiaTheme="minorEastAsia" w:hAnsiTheme="minorHAnsi"/>
                    <w:noProof/>
                    <w:lang w:val="en-US"/>
                  </w:rPr>
                </w:pPr>
                <w:hyperlink w:anchor="_Toc464214442" w:history="1">
                  <w:r w:rsidR="00EC191C" w:rsidRPr="00964D47">
                    <w:rPr>
                      <w:rStyle w:val="Hyperlink"/>
                      <w:noProof/>
                    </w:rPr>
                    <w:t>3.1.</w:t>
                  </w:r>
                  <w:r w:rsidR="00EC191C">
                    <w:rPr>
                      <w:rFonts w:asciiTheme="minorHAnsi" w:eastAsiaTheme="minorEastAsia" w:hAnsiTheme="minorHAnsi"/>
                      <w:noProof/>
                      <w:lang w:val="en-US"/>
                    </w:rPr>
                    <w:tab/>
                  </w:r>
                  <w:r w:rsidR="00EC191C" w:rsidRPr="00964D47">
                    <w:rPr>
                      <w:rStyle w:val="Hyperlink"/>
                      <w:noProof/>
                    </w:rPr>
                    <w:t>Performance Information</w:t>
                  </w:r>
                  <w:r w:rsidR="00EC191C">
                    <w:rPr>
                      <w:noProof/>
                      <w:webHidden/>
                    </w:rPr>
                    <w:tab/>
                  </w:r>
                  <w:r>
                    <w:rPr>
                      <w:noProof/>
                      <w:webHidden/>
                    </w:rPr>
                    <w:fldChar w:fldCharType="begin"/>
                  </w:r>
                  <w:r w:rsidR="00EC191C">
                    <w:rPr>
                      <w:noProof/>
                      <w:webHidden/>
                    </w:rPr>
                    <w:instrText xml:space="preserve"> PAGEREF _Toc464214442 \h </w:instrText>
                  </w:r>
                  <w:r>
                    <w:rPr>
                      <w:noProof/>
                      <w:webHidden/>
                    </w:rPr>
                  </w:r>
                  <w:r>
                    <w:rPr>
                      <w:noProof/>
                      <w:webHidden/>
                    </w:rPr>
                    <w:fldChar w:fldCharType="separate"/>
                  </w:r>
                  <w:r w:rsidR="0025404A">
                    <w:rPr>
                      <w:noProof/>
                      <w:webHidden/>
                    </w:rPr>
                    <w:t>3</w:t>
                  </w:r>
                  <w:r>
                    <w:rPr>
                      <w:noProof/>
                      <w:webHidden/>
                    </w:rPr>
                    <w:fldChar w:fldCharType="end"/>
                  </w:r>
                </w:hyperlink>
              </w:p>
              <w:p w:rsidR="00EC191C" w:rsidRDefault="002A06BF">
                <w:pPr>
                  <w:pStyle w:val="TOC2"/>
                  <w:tabs>
                    <w:tab w:val="right" w:leader="dot" w:pos="9016"/>
                  </w:tabs>
                  <w:rPr>
                    <w:rFonts w:asciiTheme="minorHAnsi" w:eastAsiaTheme="minorEastAsia" w:hAnsiTheme="minorHAnsi"/>
                    <w:noProof/>
                    <w:lang w:val="en-US"/>
                  </w:rPr>
                </w:pPr>
                <w:hyperlink w:anchor="_Toc464214443" w:history="1">
                  <w:r w:rsidR="00EC191C" w:rsidRPr="00964D47">
                    <w:rPr>
                      <w:rStyle w:val="Hyperlink"/>
                      <w:noProof/>
                    </w:rPr>
                    <w:t>Table 1: High Level Performance Dashboard: Corporate Scorecard</w:t>
                  </w:r>
                  <w:r w:rsidR="00EC191C">
                    <w:rPr>
                      <w:noProof/>
                      <w:webHidden/>
                    </w:rPr>
                    <w:tab/>
                  </w:r>
                  <w:r>
                    <w:rPr>
                      <w:noProof/>
                      <w:webHidden/>
                    </w:rPr>
                    <w:fldChar w:fldCharType="begin"/>
                  </w:r>
                  <w:r w:rsidR="00EC191C">
                    <w:rPr>
                      <w:noProof/>
                      <w:webHidden/>
                    </w:rPr>
                    <w:instrText xml:space="preserve"> PAGEREF _Toc464214443 \h </w:instrText>
                  </w:r>
                  <w:r>
                    <w:rPr>
                      <w:noProof/>
                      <w:webHidden/>
                    </w:rPr>
                  </w:r>
                  <w:r>
                    <w:rPr>
                      <w:noProof/>
                      <w:webHidden/>
                    </w:rPr>
                    <w:fldChar w:fldCharType="separate"/>
                  </w:r>
                  <w:r w:rsidR="0025404A">
                    <w:rPr>
                      <w:noProof/>
                      <w:webHidden/>
                    </w:rPr>
                    <w:t>3</w:t>
                  </w:r>
                  <w:r>
                    <w:rPr>
                      <w:noProof/>
                      <w:webHidden/>
                    </w:rPr>
                    <w:fldChar w:fldCharType="end"/>
                  </w:r>
                </w:hyperlink>
              </w:p>
              <w:p w:rsidR="00EC191C" w:rsidRDefault="002A06BF">
                <w:pPr>
                  <w:pStyle w:val="TOC2"/>
                  <w:tabs>
                    <w:tab w:val="left" w:pos="880"/>
                    <w:tab w:val="right" w:leader="dot" w:pos="9016"/>
                  </w:tabs>
                  <w:rPr>
                    <w:rFonts w:asciiTheme="minorHAnsi" w:eastAsiaTheme="minorEastAsia" w:hAnsiTheme="minorHAnsi"/>
                    <w:noProof/>
                    <w:lang w:val="en-US"/>
                  </w:rPr>
                </w:pPr>
                <w:hyperlink w:anchor="_Toc464214444" w:history="1">
                  <w:r w:rsidR="00EC191C" w:rsidRPr="00964D47">
                    <w:rPr>
                      <w:rStyle w:val="Hyperlink"/>
                      <w:noProof/>
                    </w:rPr>
                    <w:t>3.2</w:t>
                  </w:r>
                  <w:r w:rsidR="00EC191C">
                    <w:rPr>
                      <w:rFonts w:asciiTheme="minorHAnsi" w:eastAsiaTheme="minorEastAsia" w:hAnsiTheme="minorHAnsi"/>
                      <w:noProof/>
                      <w:lang w:val="en-US"/>
                    </w:rPr>
                    <w:tab/>
                  </w:r>
                  <w:r w:rsidR="00EC191C" w:rsidRPr="00964D47">
                    <w:rPr>
                      <w:rStyle w:val="Hyperlink"/>
                      <w:noProof/>
                    </w:rPr>
                    <w:t>Financial Analysis</w:t>
                  </w:r>
                  <w:r w:rsidR="00EC191C">
                    <w:rPr>
                      <w:noProof/>
                      <w:webHidden/>
                    </w:rPr>
                    <w:tab/>
                  </w:r>
                  <w:r>
                    <w:rPr>
                      <w:noProof/>
                      <w:webHidden/>
                    </w:rPr>
                    <w:fldChar w:fldCharType="begin"/>
                  </w:r>
                  <w:r w:rsidR="00EC191C">
                    <w:rPr>
                      <w:noProof/>
                      <w:webHidden/>
                    </w:rPr>
                    <w:instrText xml:space="preserve"> PAGEREF _Toc464214444 \h </w:instrText>
                  </w:r>
                  <w:r>
                    <w:rPr>
                      <w:noProof/>
                      <w:webHidden/>
                    </w:rPr>
                  </w:r>
                  <w:r>
                    <w:rPr>
                      <w:noProof/>
                      <w:webHidden/>
                    </w:rPr>
                    <w:fldChar w:fldCharType="separate"/>
                  </w:r>
                  <w:r w:rsidR="0025404A">
                    <w:rPr>
                      <w:noProof/>
                      <w:webHidden/>
                    </w:rPr>
                    <w:t>6</w:t>
                  </w:r>
                  <w:r>
                    <w:rPr>
                      <w:noProof/>
                      <w:webHidden/>
                    </w:rPr>
                    <w:fldChar w:fldCharType="end"/>
                  </w:r>
                </w:hyperlink>
              </w:p>
              <w:p w:rsidR="00EC191C" w:rsidRDefault="002A06BF">
                <w:pPr>
                  <w:pStyle w:val="TOC2"/>
                  <w:tabs>
                    <w:tab w:val="right" w:leader="dot" w:pos="9016"/>
                  </w:tabs>
                  <w:rPr>
                    <w:rFonts w:asciiTheme="minorHAnsi" w:eastAsiaTheme="minorEastAsia" w:hAnsiTheme="minorHAnsi"/>
                    <w:noProof/>
                    <w:lang w:val="en-US"/>
                  </w:rPr>
                </w:pPr>
                <w:hyperlink w:anchor="_Toc464214445" w:history="1">
                  <w:r w:rsidR="00EC191C" w:rsidRPr="00964D47">
                    <w:rPr>
                      <w:rStyle w:val="Hyperlink"/>
                      <w:noProof/>
                    </w:rPr>
                    <w:t>Table 2: Summary of key figures</w:t>
                  </w:r>
                  <w:r w:rsidR="00EC191C">
                    <w:rPr>
                      <w:noProof/>
                      <w:webHidden/>
                    </w:rPr>
                    <w:tab/>
                  </w:r>
                  <w:r>
                    <w:rPr>
                      <w:noProof/>
                      <w:webHidden/>
                    </w:rPr>
                    <w:fldChar w:fldCharType="begin"/>
                  </w:r>
                  <w:r w:rsidR="00EC191C">
                    <w:rPr>
                      <w:noProof/>
                      <w:webHidden/>
                    </w:rPr>
                    <w:instrText xml:space="preserve"> PAGEREF _Toc464214445 \h </w:instrText>
                  </w:r>
                  <w:r>
                    <w:rPr>
                      <w:noProof/>
                      <w:webHidden/>
                    </w:rPr>
                  </w:r>
                  <w:r>
                    <w:rPr>
                      <w:noProof/>
                      <w:webHidden/>
                    </w:rPr>
                    <w:fldChar w:fldCharType="separate"/>
                  </w:r>
                  <w:r w:rsidR="0025404A">
                    <w:rPr>
                      <w:noProof/>
                      <w:webHidden/>
                    </w:rPr>
                    <w:t>6</w:t>
                  </w:r>
                  <w:r>
                    <w:rPr>
                      <w:noProof/>
                      <w:webHidden/>
                    </w:rPr>
                    <w:fldChar w:fldCharType="end"/>
                  </w:r>
                </w:hyperlink>
              </w:p>
              <w:p w:rsidR="00EC191C" w:rsidRDefault="002A06BF">
                <w:pPr>
                  <w:pStyle w:val="TOC2"/>
                  <w:tabs>
                    <w:tab w:val="left" w:pos="880"/>
                    <w:tab w:val="right" w:leader="dot" w:pos="9016"/>
                  </w:tabs>
                  <w:rPr>
                    <w:rFonts w:asciiTheme="minorHAnsi" w:eastAsiaTheme="minorEastAsia" w:hAnsiTheme="minorHAnsi"/>
                    <w:noProof/>
                    <w:lang w:val="en-US"/>
                  </w:rPr>
                </w:pPr>
                <w:hyperlink w:anchor="_Toc464214446" w:history="1">
                  <w:r w:rsidR="00EC191C" w:rsidRPr="00964D47">
                    <w:rPr>
                      <w:rStyle w:val="Hyperlink"/>
                      <w:noProof/>
                    </w:rPr>
                    <w:t>3.3</w:t>
                  </w:r>
                  <w:r w:rsidR="00EC191C">
                    <w:rPr>
                      <w:rFonts w:asciiTheme="minorHAnsi" w:eastAsiaTheme="minorEastAsia" w:hAnsiTheme="minorHAnsi"/>
                      <w:noProof/>
                      <w:lang w:val="en-US"/>
                    </w:rPr>
                    <w:tab/>
                  </w:r>
                  <w:r w:rsidR="00EC191C" w:rsidRPr="00964D47">
                    <w:rPr>
                      <w:rStyle w:val="Hyperlink"/>
                      <w:noProof/>
                    </w:rPr>
                    <w:t>Auditor General Report</w:t>
                  </w:r>
                  <w:r w:rsidR="00EC191C">
                    <w:rPr>
                      <w:noProof/>
                      <w:webHidden/>
                    </w:rPr>
                    <w:tab/>
                  </w:r>
                  <w:r>
                    <w:rPr>
                      <w:noProof/>
                      <w:webHidden/>
                    </w:rPr>
                    <w:fldChar w:fldCharType="begin"/>
                  </w:r>
                  <w:r w:rsidR="00EC191C">
                    <w:rPr>
                      <w:noProof/>
                      <w:webHidden/>
                    </w:rPr>
                    <w:instrText xml:space="preserve"> PAGEREF _Toc464214446 \h </w:instrText>
                  </w:r>
                  <w:r>
                    <w:rPr>
                      <w:noProof/>
                      <w:webHidden/>
                    </w:rPr>
                  </w:r>
                  <w:r>
                    <w:rPr>
                      <w:noProof/>
                      <w:webHidden/>
                    </w:rPr>
                    <w:fldChar w:fldCharType="separate"/>
                  </w:r>
                  <w:r w:rsidR="0025404A">
                    <w:rPr>
                      <w:noProof/>
                      <w:webHidden/>
                    </w:rPr>
                    <w:t>7</w:t>
                  </w:r>
                  <w:r>
                    <w:rPr>
                      <w:noProof/>
                      <w:webHidden/>
                    </w:rPr>
                    <w:fldChar w:fldCharType="end"/>
                  </w:r>
                </w:hyperlink>
              </w:p>
              <w:p w:rsidR="00EC191C" w:rsidRDefault="002A06BF">
                <w:pPr>
                  <w:pStyle w:val="TOC1"/>
                  <w:tabs>
                    <w:tab w:val="left" w:pos="442"/>
                    <w:tab w:val="right" w:leader="dot" w:pos="9016"/>
                  </w:tabs>
                  <w:rPr>
                    <w:rFonts w:asciiTheme="minorHAnsi" w:eastAsiaTheme="minorEastAsia" w:hAnsiTheme="minorHAnsi"/>
                    <w:b w:val="0"/>
                    <w:caps w:val="0"/>
                    <w:noProof/>
                    <w:color w:val="auto"/>
                    <w:sz w:val="22"/>
                    <w:lang w:val="en-US"/>
                  </w:rPr>
                </w:pPr>
                <w:hyperlink w:anchor="_Toc464214447" w:history="1">
                  <w:r w:rsidR="00EC191C" w:rsidRPr="00964D47">
                    <w:rPr>
                      <w:rStyle w:val="Hyperlink"/>
                      <w:noProof/>
                    </w:rPr>
                    <w:t>4</w:t>
                  </w:r>
                  <w:r w:rsidR="00EC191C">
                    <w:rPr>
                      <w:rFonts w:asciiTheme="minorHAnsi" w:eastAsiaTheme="minorEastAsia" w:hAnsiTheme="minorHAnsi"/>
                      <w:b w:val="0"/>
                      <w:caps w:val="0"/>
                      <w:noProof/>
                      <w:color w:val="auto"/>
                      <w:sz w:val="22"/>
                      <w:lang w:val="en-US"/>
                    </w:rPr>
                    <w:tab/>
                  </w:r>
                  <w:r w:rsidR="00EC191C" w:rsidRPr="00964D47">
                    <w:rPr>
                      <w:rStyle w:val="Hyperlink"/>
                      <w:noProof/>
                    </w:rPr>
                    <w:t>Key Issues for Consideration by Parliament</w:t>
                  </w:r>
                  <w:r w:rsidR="00EC191C">
                    <w:rPr>
                      <w:noProof/>
                      <w:webHidden/>
                    </w:rPr>
                    <w:tab/>
                  </w:r>
                  <w:r>
                    <w:rPr>
                      <w:noProof/>
                      <w:webHidden/>
                    </w:rPr>
                    <w:fldChar w:fldCharType="begin"/>
                  </w:r>
                  <w:r w:rsidR="00EC191C">
                    <w:rPr>
                      <w:noProof/>
                      <w:webHidden/>
                    </w:rPr>
                    <w:instrText xml:space="preserve"> PAGEREF _Toc464214447 \h </w:instrText>
                  </w:r>
                  <w:r>
                    <w:rPr>
                      <w:noProof/>
                      <w:webHidden/>
                    </w:rPr>
                  </w:r>
                  <w:r>
                    <w:rPr>
                      <w:noProof/>
                      <w:webHidden/>
                    </w:rPr>
                    <w:fldChar w:fldCharType="separate"/>
                  </w:r>
                  <w:r w:rsidR="0025404A">
                    <w:rPr>
                      <w:noProof/>
                      <w:webHidden/>
                    </w:rPr>
                    <w:t>7</w:t>
                  </w:r>
                  <w:r>
                    <w:rPr>
                      <w:noProof/>
                      <w:webHidden/>
                    </w:rPr>
                    <w:fldChar w:fldCharType="end"/>
                  </w:r>
                </w:hyperlink>
              </w:p>
              <w:p w:rsidR="00EC191C" w:rsidRDefault="002A06BF">
                <w:pPr>
                  <w:pStyle w:val="TOC1"/>
                  <w:tabs>
                    <w:tab w:val="left" w:pos="442"/>
                    <w:tab w:val="right" w:leader="dot" w:pos="9016"/>
                  </w:tabs>
                  <w:rPr>
                    <w:rFonts w:asciiTheme="minorHAnsi" w:eastAsiaTheme="minorEastAsia" w:hAnsiTheme="minorHAnsi"/>
                    <w:b w:val="0"/>
                    <w:caps w:val="0"/>
                    <w:noProof/>
                    <w:color w:val="auto"/>
                    <w:sz w:val="22"/>
                    <w:lang w:val="en-US"/>
                  </w:rPr>
                </w:pPr>
                <w:hyperlink w:anchor="_Toc464214448" w:history="1">
                  <w:r w:rsidR="00EC191C" w:rsidRPr="00964D47">
                    <w:rPr>
                      <w:rStyle w:val="Hyperlink"/>
                      <w:noProof/>
                    </w:rPr>
                    <w:t>5</w:t>
                  </w:r>
                  <w:r w:rsidR="00EC191C">
                    <w:rPr>
                      <w:rFonts w:asciiTheme="minorHAnsi" w:eastAsiaTheme="minorEastAsia" w:hAnsiTheme="minorHAnsi"/>
                      <w:b w:val="0"/>
                      <w:caps w:val="0"/>
                      <w:noProof/>
                      <w:color w:val="auto"/>
                      <w:sz w:val="22"/>
                      <w:lang w:val="en-US"/>
                    </w:rPr>
                    <w:tab/>
                  </w:r>
                  <w:r w:rsidR="00EC191C" w:rsidRPr="00964D47">
                    <w:rPr>
                      <w:rStyle w:val="Hyperlink"/>
                      <w:noProof/>
                    </w:rPr>
                    <w:t>References</w:t>
                  </w:r>
                  <w:r w:rsidR="00EC191C">
                    <w:rPr>
                      <w:noProof/>
                      <w:webHidden/>
                    </w:rPr>
                    <w:tab/>
                  </w:r>
                  <w:r>
                    <w:rPr>
                      <w:noProof/>
                      <w:webHidden/>
                    </w:rPr>
                    <w:fldChar w:fldCharType="begin"/>
                  </w:r>
                  <w:r w:rsidR="00EC191C">
                    <w:rPr>
                      <w:noProof/>
                      <w:webHidden/>
                    </w:rPr>
                    <w:instrText xml:space="preserve"> PAGEREF _Toc464214448 \h </w:instrText>
                  </w:r>
                  <w:r>
                    <w:rPr>
                      <w:noProof/>
                      <w:webHidden/>
                    </w:rPr>
                  </w:r>
                  <w:r>
                    <w:rPr>
                      <w:noProof/>
                      <w:webHidden/>
                    </w:rPr>
                    <w:fldChar w:fldCharType="separate"/>
                  </w:r>
                  <w:r w:rsidR="0025404A">
                    <w:rPr>
                      <w:noProof/>
                      <w:webHidden/>
                    </w:rPr>
                    <w:t>8</w:t>
                  </w:r>
                  <w:r>
                    <w:rPr>
                      <w:noProof/>
                      <w:webHidden/>
                    </w:rPr>
                    <w:fldChar w:fldCharType="end"/>
                  </w:r>
                </w:hyperlink>
              </w:p>
              <w:p w:rsidR="009E0C94" w:rsidRDefault="002A06BF" w:rsidP="00893EE9">
                <w:pPr>
                  <w:pStyle w:val="ResearchTitle"/>
                  <w:rPr>
                    <w:rFonts w:cs="Arial"/>
                  </w:rPr>
                </w:pPr>
                <w:r>
                  <w:rPr>
                    <w:rFonts w:cs="Arial"/>
                  </w:rPr>
                  <w:fldChar w:fldCharType="end"/>
                </w:r>
              </w:p>
            </w:sdtContent>
          </w:sdt>
        </w:tc>
      </w:tr>
    </w:tbl>
    <w:p w:rsidR="009A2690" w:rsidRPr="00893EE9" w:rsidRDefault="009A2690" w:rsidP="00893EE9">
      <w:pPr>
        <w:pStyle w:val="Heading1"/>
        <w:spacing w:before="0"/>
        <w:rPr>
          <w:rFonts w:cs="Arial"/>
        </w:rPr>
      </w:pPr>
    </w:p>
    <w:p w:rsidR="00052B47" w:rsidRPr="00052B47" w:rsidRDefault="002D6EE7" w:rsidP="00052B47">
      <w:pPr>
        <w:pStyle w:val="Heading1"/>
        <w:numPr>
          <w:ilvl w:val="0"/>
          <w:numId w:val="6"/>
        </w:numPr>
      </w:pPr>
      <w:bookmarkStart w:id="1" w:name="_Toc464214439"/>
      <w:r>
        <w:t>Introduction</w:t>
      </w:r>
      <w:bookmarkEnd w:id="1"/>
    </w:p>
    <w:p w:rsidR="009E0C94" w:rsidRDefault="009E0C94" w:rsidP="009E0C94"/>
    <w:p w:rsidR="00052B47" w:rsidRDefault="000B648B" w:rsidP="000B648B">
      <w:r>
        <w:t xml:space="preserve">The principal purpose of the </w:t>
      </w:r>
      <w:r w:rsidR="00214DD2">
        <w:t>Public Investment Corporation (</w:t>
      </w:r>
      <w:r>
        <w:t>PIC</w:t>
      </w:r>
      <w:r w:rsidR="00214DD2">
        <w:t>)</w:t>
      </w:r>
      <w:r>
        <w:t xml:space="preserve"> is to invest certain monies received or held by, for or on behalf of the Government of the Republic </w:t>
      </w:r>
      <w:r w:rsidR="00214DD2">
        <w:t xml:space="preserve">of South Africa </w:t>
      </w:r>
      <w:r>
        <w:t xml:space="preserve">and certain bodies, councils, funds and accounts. As custodian of substantial assets generated by the labour of generations of South Africa’s public sector employees, the PIC has a responsibility to conduct its affairs with integrity, transparency and in an </w:t>
      </w:r>
      <w:proofErr w:type="gramStart"/>
      <w:r>
        <w:t>accountable</w:t>
      </w:r>
      <w:proofErr w:type="gramEnd"/>
      <w:r>
        <w:t xml:space="preserve"> way. As a public entity, the PIC is listed in Schedule 3B of the Public Finance Management Act, 1999 (Act 1 of 1999) (PFMA) and thus has to comply with the requirements of the Act.</w:t>
      </w:r>
    </w:p>
    <w:p w:rsidR="000B648B" w:rsidRDefault="000B648B" w:rsidP="000B648B"/>
    <w:p w:rsidR="00112D46" w:rsidRDefault="000B648B" w:rsidP="000B648B">
      <w:r>
        <w:t xml:space="preserve">The deliverables of the PIC remains important within the South African investment management sector, particularly because of the developmental investment role it plays in the economy as an investor, a catalyst for private sector investment and an advocate for social impact investing. </w:t>
      </w:r>
      <w:r w:rsidR="00112D46">
        <w:t xml:space="preserve"> The PIC has adopted its Vision 2030, premised on thematic inves</w:t>
      </w:r>
      <w:r w:rsidR="00702501">
        <w:t>t</w:t>
      </w:r>
      <w:r w:rsidR="00112D46">
        <w:t>ing for economic growth. The approach supports South Africa’s key developmental objectives and priorities that foster economic growth and drive socio-economic transformation.</w:t>
      </w:r>
    </w:p>
    <w:p w:rsidR="00702501" w:rsidRDefault="00702501" w:rsidP="000B648B"/>
    <w:p w:rsidR="00052B47" w:rsidRPr="00E22056" w:rsidRDefault="00052B47" w:rsidP="00052B47">
      <w:pPr>
        <w:pStyle w:val="Heading1"/>
        <w:numPr>
          <w:ilvl w:val="0"/>
          <w:numId w:val="6"/>
        </w:numPr>
      </w:pPr>
      <w:bookmarkStart w:id="2" w:name="_Toc464214440"/>
      <w:r>
        <w:t>Overview of the 2015/16 financial year</w:t>
      </w:r>
      <w:bookmarkEnd w:id="2"/>
    </w:p>
    <w:p w:rsidR="00052B47" w:rsidRDefault="00052B47" w:rsidP="00052B47">
      <w:pPr>
        <w:rPr>
          <w:rFonts w:cs="Arial"/>
          <w:bCs/>
        </w:rPr>
      </w:pPr>
    </w:p>
    <w:p w:rsidR="00BE65C0" w:rsidRDefault="00702501" w:rsidP="00052B47">
      <w:pPr>
        <w:rPr>
          <w:rFonts w:cs="Arial"/>
          <w:bCs/>
        </w:rPr>
      </w:pPr>
      <w:r>
        <w:rPr>
          <w:rFonts w:cs="Arial"/>
          <w:bCs/>
        </w:rPr>
        <w:t>The 2015/16 financial year presented yet another successful year for PIC</w:t>
      </w:r>
      <w:r w:rsidR="00432957">
        <w:rPr>
          <w:rFonts w:cs="Arial"/>
          <w:bCs/>
        </w:rPr>
        <w:t xml:space="preserve">. </w:t>
      </w:r>
      <w:r>
        <w:rPr>
          <w:rFonts w:cs="Arial"/>
          <w:bCs/>
        </w:rPr>
        <w:t>The portfolio of investment represented over 12.5% of the Johannesburg Stock Exchange equities market</w:t>
      </w:r>
      <w:r w:rsidR="00B71B61">
        <w:rPr>
          <w:rFonts w:cs="Arial"/>
          <w:bCs/>
        </w:rPr>
        <w:t xml:space="preserve"> </w:t>
      </w:r>
      <w:r>
        <w:rPr>
          <w:rFonts w:cs="Arial"/>
          <w:bCs/>
        </w:rPr>
        <w:lastRenderedPageBreak/>
        <w:t xml:space="preserve">capitalisation. </w:t>
      </w:r>
      <w:r w:rsidR="00AE56DF">
        <w:rPr>
          <w:rFonts w:cs="Arial"/>
          <w:bCs/>
        </w:rPr>
        <w:t xml:space="preserve">At a corporate level, PIC strengthened business processes and continued to invest in technology, infrastructure and people critical to the future of the business. PIC also implemented a revised organisational structure. Among the changes, the position of the Chief Investment Officer was split into four positions namely: Heads of Listed Investments, Property Investments, Developmental Investments and Private Equity and Structured Investments.  </w:t>
      </w:r>
      <w:r w:rsidR="00574827">
        <w:rPr>
          <w:rFonts w:cs="Arial"/>
          <w:bCs/>
        </w:rPr>
        <w:t xml:space="preserve">This was done to ensure alignment with appropriate technical skills and expertise to bring specific skills to each asset class. </w:t>
      </w:r>
      <w:r w:rsidR="00AA2350">
        <w:rPr>
          <w:rFonts w:cs="Arial"/>
          <w:bCs/>
        </w:rPr>
        <w:t xml:space="preserve">Splitting the CIO position will continue to assist in </w:t>
      </w:r>
      <w:r w:rsidR="005B1685">
        <w:rPr>
          <w:rFonts w:cs="Arial"/>
          <w:bCs/>
        </w:rPr>
        <w:t xml:space="preserve">the </w:t>
      </w:r>
      <w:r w:rsidR="00AA2350">
        <w:rPr>
          <w:rFonts w:cs="Arial"/>
          <w:bCs/>
        </w:rPr>
        <w:t>PIC investment strategy and continuity planning</w:t>
      </w:r>
      <w:r w:rsidR="005B1685">
        <w:rPr>
          <w:rFonts w:cs="Arial"/>
          <w:bCs/>
        </w:rPr>
        <w:t>,</w:t>
      </w:r>
      <w:r w:rsidR="00AA2350">
        <w:rPr>
          <w:rFonts w:cs="Arial"/>
          <w:bCs/>
        </w:rPr>
        <w:t xml:space="preserve"> mitigating against key ma</w:t>
      </w:r>
      <w:r w:rsidR="005B1685">
        <w:rPr>
          <w:rFonts w:cs="Arial"/>
          <w:bCs/>
        </w:rPr>
        <w:t>i</w:t>
      </w:r>
      <w:r w:rsidR="00AA2350">
        <w:rPr>
          <w:rFonts w:cs="Arial"/>
          <w:bCs/>
        </w:rPr>
        <w:t>n risks that were previously prevalent</w:t>
      </w:r>
    </w:p>
    <w:p w:rsidR="00432957" w:rsidRDefault="00432957" w:rsidP="00052B47">
      <w:pPr>
        <w:rPr>
          <w:rFonts w:cs="Arial"/>
          <w:bCs/>
        </w:rPr>
      </w:pPr>
    </w:p>
    <w:p w:rsidR="00AA2350" w:rsidRDefault="00AA2350" w:rsidP="00052B47">
      <w:pPr>
        <w:rPr>
          <w:rFonts w:cs="Arial"/>
          <w:bCs/>
        </w:rPr>
      </w:pPr>
      <w:r>
        <w:rPr>
          <w:rFonts w:cs="Arial"/>
          <w:bCs/>
        </w:rPr>
        <w:t>There was high number of unlisted investment approvals, and PIC continued to make stride</w:t>
      </w:r>
      <w:r w:rsidR="005B1685">
        <w:rPr>
          <w:rFonts w:cs="Arial"/>
          <w:bCs/>
        </w:rPr>
        <w:t>s</w:t>
      </w:r>
      <w:r>
        <w:rPr>
          <w:rFonts w:cs="Arial"/>
          <w:bCs/>
        </w:rPr>
        <w:t xml:space="preserve"> towards the implementation </w:t>
      </w:r>
      <w:r w:rsidR="00AE56DF">
        <w:rPr>
          <w:rFonts w:cs="Arial"/>
          <w:bCs/>
        </w:rPr>
        <w:t>in</w:t>
      </w:r>
      <w:r w:rsidR="00454195">
        <w:rPr>
          <w:rFonts w:cs="Arial"/>
          <w:bCs/>
        </w:rPr>
        <w:t xml:space="preserve"> </w:t>
      </w:r>
      <w:r>
        <w:rPr>
          <w:rFonts w:cs="Arial"/>
          <w:bCs/>
        </w:rPr>
        <w:t xml:space="preserve">the rest of Africa through the unlisted investment portfolio. </w:t>
      </w:r>
      <w:r w:rsidR="00667D16">
        <w:rPr>
          <w:rFonts w:cs="Arial"/>
          <w:bCs/>
        </w:rPr>
        <w:t>T</w:t>
      </w:r>
      <w:r>
        <w:rPr>
          <w:rFonts w:cs="Arial"/>
          <w:bCs/>
        </w:rPr>
        <w:t xml:space="preserve">here was also improvement in transformation through both investment and corporate activities. Approximately, 85% of the PIC corporate procurement went to BBBEE companies with level 4 </w:t>
      </w:r>
      <w:r w:rsidR="005B1685">
        <w:rPr>
          <w:rFonts w:cs="Arial"/>
          <w:bCs/>
        </w:rPr>
        <w:t xml:space="preserve">status </w:t>
      </w:r>
      <w:r>
        <w:rPr>
          <w:rFonts w:cs="Arial"/>
          <w:bCs/>
        </w:rPr>
        <w:t>or better.</w:t>
      </w:r>
    </w:p>
    <w:p w:rsidR="00896E7D" w:rsidRDefault="00AA2350" w:rsidP="00052B47">
      <w:pPr>
        <w:rPr>
          <w:rFonts w:cs="Arial"/>
          <w:b/>
          <w:bCs/>
        </w:rPr>
      </w:pPr>
      <w:r>
        <w:rPr>
          <w:rFonts w:cs="Arial"/>
          <w:bCs/>
        </w:rPr>
        <w:t xml:space="preserve">  </w:t>
      </w:r>
    </w:p>
    <w:p w:rsidR="00055604" w:rsidRDefault="00055604" w:rsidP="00055604">
      <w:pPr>
        <w:pBdr>
          <w:top w:val="single" w:sz="4" w:space="1" w:color="auto"/>
          <w:left w:val="single" w:sz="4" w:space="4" w:color="auto"/>
          <w:bottom w:val="single" w:sz="4" w:space="1" w:color="auto"/>
          <w:right w:val="single" w:sz="4" w:space="4" w:color="auto"/>
        </w:pBdr>
        <w:shd w:val="clear" w:color="auto" w:fill="D9D9D9" w:themeFill="background1" w:themeFillShade="D9"/>
        <w:rPr>
          <w:b/>
        </w:rPr>
      </w:pPr>
      <w:r>
        <w:rPr>
          <w:b/>
        </w:rPr>
        <w:t>Comments/</w:t>
      </w:r>
      <w:r w:rsidRPr="00952964">
        <w:rPr>
          <w:b/>
        </w:rPr>
        <w:t xml:space="preserve">Questions </w:t>
      </w:r>
    </w:p>
    <w:p w:rsidR="00055604" w:rsidRPr="00055604" w:rsidRDefault="00055604" w:rsidP="00055604">
      <w:pPr>
        <w:pBdr>
          <w:top w:val="single" w:sz="4" w:space="1" w:color="auto"/>
          <w:left w:val="single" w:sz="4" w:space="4" w:color="auto"/>
          <w:bottom w:val="single" w:sz="4" w:space="1" w:color="auto"/>
          <w:right w:val="single" w:sz="4" w:space="4" w:color="auto"/>
        </w:pBdr>
        <w:shd w:val="clear" w:color="auto" w:fill="D9D9D9" w:themeFill="background1" w:themeFillShade="D9"/>
        <w:rPr>
          <w:rFonts w:cs="Arial"/>
        </w:rPr>
      </w:pPr>
      <w:r w:rsidRPr="00055604">
        <w:rPr>
          <w:rFonts w:cs="Arial"/>
        </w:rPr>
        <w:t>With reference</w:t>
      </w:r>
      <w:r w:rsidR="00EC191C">
        <w:rPr>
          <w:rFonts w:cs="Arial"/>
        </w:rPr>
        <w:t xml:space="preserve"> to the </w:t>
      </w:r>
      <w:r w:rsidRPr="00055604">
        <w:rPr>
          <w:rFonts w:cs="Arial"/>
        </w:rPr>
        <w:t>decision taken</w:t>
      </w:r>
      <w:r w:rsidR="00EC191C">
        <w:rPr>
          <w:rFonts w:cs="Arial"/>
        </w:rPr>
        <w:t xml:space="preserve"> to split the position of Chief Investment Officer into four positions, what is the impact on </w:t>
      </w:r>
      <w:r w:rsidRPr="00055604">
        <w:rPr>
          <w:rFonts w:cs="Arial"/>
        </w:rPr>
        <w:t>employee costs? Can they provide more detail on the cost-benefit derived from this strategic decision taken?</w:t>
      </w:r>
    </w:p>
    <w:p w:rsidR="00055604" w:rsidRPr="00DB162D" w:rsidRDefault="00055604" w:rsidP="00055604">
      <w:pPr>
        <w:pBdr>
          <w:top w:val="single" w:sz="4" w:space="1" w:color="auto"/>
          <w:left w:val="single" w:sz="4" w:space="4" w:color="auto"/>
          <w:bottom w:val="single" w:sz="4" w:space="1" w:color="auto"/>
          <w:right w:val="single" w:sz="4" w:space="4" w:color="auto"/>
        </w:pBdr>
        <w:shd w:val="clear" w:color="auto" w:fill="D9D9D9" w:themeFill="background1" w:themeFillShade="D9"/>
      </w:pPr>
      <w:r w:rsidRPr="00055604">
        <w:rPr>
          <w:rFonts w:cs="Arial"/>
        </w:rPr>
        <w:t>Who are</w:t>
      </w:r>
      <w:r w:rsidR="00EC191C">
        <w:rPr>
          <w:rFonts w:cs="Arial"/>
        </w:rPr>
        <w:t xml:space="preserve"> agreed </w:t>
      </w:r>
      <w:r w:rsidRPr="00055604">
        <w:rPr>
          <w:rFonts w:cs="Arial"/>
        </w:rPr>
        <w:t>strategic partners</w:t>
      </w:r>
      <w:r w:rsidR="00EC191C">
        <w:rPr>
          <w:rFonts w:cs="Arial"/>
        </w:rPr>
        <w:t xml:space="preserve"> involved with PIC</w:t>
      </w:r>
      <w:r w:rsidRPr="00055604">
        <w:rPr>
          <w:rFonts w:cs="Arial"/>
        </w:rPr>
        <w:t xml:space="preserve"> ensuring regional integration and penetration into the rest of the African continent? What benefits will this partnership bring to PIC</w:t>
      </w:r>
      <w:r w:rsidRPr="00DB162D">
        <w:rPr>
          <w:rFonts w:cs="Arial"/>
        </w:rPr>
        <w:t>?</w:t>
      </w:r>
      <w:r w:rsidRPr="00DB162D">
        <w:rPr>
          <w:b/>
        </w:rPr>
        <w:t xml:space="preserve"> </w:t>
      </w:r>
    </w:p>
    <w:p w:rsidR="00052B47" w:rsidRDefault="00052B47" w:rsidP="00052B47">
      <w:pPr>
        <w:rPr>
          <w:rFonts w:cs="Arial"/>
          <w:b/>
          <w:bCs/>
        </w:rPr>
      </w:pPr>
    </w:p>
    <w:p w:rsidR="00055604" w:rsidRDefault="00055604" w:rsidP="00052B47">
      <w:pPr>
        <w:rPr>
          <w:rFonts w:cs="Arial"/>
          <w:b/>
          <w:bCs/>
        </w:rPr>
      </w:pPr>
    </w:p>
    <w:p w:rsidR="00055604" w:rsidRDefault="00055604" w:rsidP="00052B47">
      <w:pPr>
        <w:rPr>
          <w:rFonts w:cs="Arial"/>
          <w:b/>
          <w:bCs/>
        </w:rPr>
      </w:pPr>
    </w:p>
    <w:p w:rsidR="00055604" w:rsidRDefault="00055604" w:rsidP="00052B47">
      <w:pPr>
        <w:rPr>
          <w:rFonts w:cs="Arial"/>
          <w:b/>
          <w:bCs/>
        </w:rPr>
      </w:pPr>
    </w:p>
    <w:p w:rsidR="00055604" w:rsidRDefault="00055604" w:rsidP="00052B47">
      <w:pPr>
        <w:rPr>
          <w:rFonts w:cs="Arial"/>
          <w:b/>
          <w:bCs/>
        </w:rPr>
      </w:pPr>
    </w:p>
    <w:p w:rsidR="00055604" w:rsidRDefault="00055604" w:rsidP="00052B47">
      <w:pPr>
        <w:rPr>
          <w:rFonts w:cs="Arial"/>
          <w:b/>
          <w:bCs/>
        </w:rPr>
      </w:pPr>
    </w:p>
    <w:p w:rsidR="00055604" w:rsidRDefault="00055604" w:rsidP="00052B47">
      <w:pPr>
        <w:rPr>
          <w:rFonts w:cs="Arial"/>
          <w:b/>
          <w:bCs/>
        </w:rPr>
      </w:pPr>
    </w:p>
    <w:p w:rsidR="00055604" w:rsidRDefault="00055604" w:rsidP="00052B47">
      <w:pPr>
        <w:rPr>
          <w:rFonts w:cs="Arial"/>
          <w:b/>
          <w:bCs/>
        </w:rPr>
      </w:pPr>
    </w:p>
    <w:p w:rsidR="00055604" w:rsidRDefault="00055604" w:rsidP="00052B47">
      <w:pPr>
        <w:rPr>
          <w:rFonts w:cs="Arial"/>
          <w:b/>
          <w:bCs/>
        </w:rPr>
      </w:pPr>
    </w:p>
    <w:p w:rsidR="00055604" w:rsidRDefault="00055604" w:rsidP="00052B47">
      <w:pPr>
        <w:rPr>
          <w:rFonts w:cs="Arial"/>
          <w:b/>
          <w:bCs/>
        </w:rPr>
      </w:pPr>
    </w:p>
    <w:p w:rsidR="00055604" w:rsidRDefault="00055604" w:rsidP="00052B47">
      <w:pPr>
        <w:rPr>
          <w:rFonts w:cs="Arial"/>
          <w:b/>
          <w:bCs/>
        </w:rPr>
      </w:pPr>
    </w:p>
    <w:p w:rsidR="00055604" w:rsidRDefault="00055604" w:rsidP="00052B47">
      <w:pPr>
        <w:rPr>
          <w:rFonts w:cs="Arial"/>
          <w:b/>
          <w:bCs/>
        </w:rPr>
      </w:pPr>
    </w:p>
    <w:p w:rsidR="00055604" w:rsidRDefault="00055604" w:rsidP="00052B47">
      <w:pPr>
        <w:rPr>
          <w:rFonts w:cs="Arial"/>
          <w:b/>
          <w:bCs/>
        </w:rPr>
      </w:pPr>
    </w:p>
    <w:p w:rsidR="00055604" w:rsidRDefault="00055604" w:rsidP="00052B47">
      <w:pPr>
        <w:rPr>
          <w:rFonts w:cs="Arial"/>
          <w:b/>
          <w:bCs/>
        </w:rPr>
      </w:pPr>
    </w:p>
    <w:p w:rsidR="00055604" w:rsidRDefault="00055604" w:rsidP="00052B47">
      <w:pPr>
        <w:rPr>
          <w:rFonts w:cs="Arial"/>
          <w:b/>
          <w:bCs/>
        </w:rPr>
      </w:pPr>
    </w:p>
    <w:p w:rsidR="00055604" w:rsidRDefault="00055604" w:rsidP="00052B47">
      <w:pPr>
        <w:rPr>
          <w:rFonts w:cs="Arial"/>
          <w:b/>
          <w:bCs/>
        </w:rPr>
      </w:pPr>
    </w:p>
    <w:p w:rsidR="00055604" w:rsidRDefault="00055604" w:rsidP="00052B47">
      <w:pPr>
        <w:rPr>
          <w:rFonts w:cs="Arial"/>
          <w:b/>
          <w:bCs/>
        </w:rPr>
      </w:pPr>
    </w:p>
    <w:p w:rsidR="00055604" w:rsidRDefault="00055604" w:rsidP="00052B47">
      <w:pPr>
        <w:rPr>
          <w:rFonts w:cs="Arial"/>
          <w:b/>
          <w:bCs/>
        </w:rPr>
      </w:pPr>
    </w:p>
    <w:p w:rsidR="00055604" w:rsidRDefault="00055604" w:rsidP="00052B47">
      <w:pPr>
        <w:rPr>
          <w:rFonts w:cs="Arial"/>
          <w:b/>
          <w:bCs/>
        </w:rPr>
      </w:pPr>
    </w:p>
    <w:p w:rsidR="00055604" w:rsidRDefault="00055604" w:rsidP="00052B47">
      <w:pPr>
        <w:rPr>
          <w:rFonts w:cs="Arial"/>
          <w:b/>
          <w:bCs/>
        </w:rPr>
      </w:pPr>
    </w:p>
    <w:p w:rsidR="00055604" w:rsidRDefault="00055604" w:rsidP="00052B47">
      <w:pPr>
        <w:rPr>
          <w:rFonts w:cs="Arial"/>
          <w:b/>
          <w:bCs/>
        </w:rPr>
      </w:pPr>
    </w:p>
    <w:p w:rsidR="00055604" w:rsidRPr="00E22056" w:rsidRDefault="00055604" w:rsidP="00052B47">
      <w:pPr>
        <w:rPr>
          <w:rFonts w:cs="Arial"/>
          <w:b/>
          <w:bCs/>
        </w:rPr>
      </w:pPr>
    </w:p>
    <w:p w:rsidR="00055604" w:rsidRDefault="00055604" w:rsidP="00055604">
      <w:pPr>
        <w:pStyle w:val="Heading1"/>
        <w:sectPr w:rsidR="00055604" w:rsidSect="008817A9">
          <w:headerReference w:type="default" r:id="rId8"/>
          <w:footerReference w:type="default" r:id="rId9"/>
          <w:headerReference w:type="first" r:id="rId10"/>
          <w:footerReference w:type="first" r:id="rId11"/>
          <w:pgSz w:w="11906" w:h="16838"/>
          <w:pgMar w:top="2002" w:right="1440" w:bottom="1440" w:left="1440" w:header="706" w:footer="706" w:gutter="0"/>
          <w:cols w:space="708"/>
          <w:titlePg/>
          <w:docGrid w:linePitch="360"/>
        </w:sectPr>
      </w:pPr>
    </w:p>
    <w:p w:rsidR="00055604" w:rsidRDefault="00055604" w:rsidP="00055604">
      <w:pPr>
        <w:pStyle w:val="Heading1"/>
        <w:ind w:left="360"/>
      </w:pPr>
    </w:p>
    <w:p w:rsidR="00055604" w:rsidRDefault="00055604" w:rsidP="00055604">
      <w:pPr>
        <w:pStyle w:val="Heading1"/>
        <w:ind w:left="360"/>
      </w:pPr>
    </w:p>
    <w:p w:rsidR="00052B47" w:rsidRDefault="00055604" w:rsidP="00067A47">
      <w:pPr>
        <w:pStyle w:val="Heading1"/>
        <w:numPr>
          <w:ilvl w:val="0"/>
          <w:numId w:val="6"/>
        </w:numPr>
      </w:pPr>
      <w:bookmarkStart w:id="3" w:name="_Toc464214441"/>
      <w:r>
        <w:t>bud</w:t>
      </w:r>
      <w:r w:rsidR="00052B47" w:rsidRPr="00E22056">
        <w:t>get Analysis</w:t>
      </w:r>
      <w:bookmarkEnd w:id="3"/>
    </w:p>
    <w:p w:rsidR="004C17E7" w:rsidRDefault="00CA59EA" w:rsidP="004C17E7">
      <w:pPr>
        <w:pStyle w:val="Heading2"/>
        <w:numPr>
          <w:ilvl w:val="1"/>
          <w:numId w:val="6"/>
        </w:numPr>
      </w:pPr>
      <w:bookmarkStart w:id="4" w:name="_Toc464214442"/>
      <w:r>
        <w:t>Performance Information</w:t>
      </w:r>
      <w:bookmarkEnd w:id="4"/>
    </w:p>
    <w:p w:rsidR="004C17E7" w:rsidRDefault="004C17E7" w:rsidP="004C17E7">
      <w:pPr>
        <w:pStyle w:val="Heading2"/>
        <w:ind w:left="360"/>
      </w:pPr>
    </w:p>
    <w:p w:rsidR="00CA59EA" w:rsidRDefault="00882C8E" w:rsidP="004C17E7">
      <w:pPr>
        <w:pStyle w:val="Heading2"/>
      </w:pPr>
      <w:bookmarkStart w:id="5" w:name="_Toc464214443"/>
      <w:r>
        <w:t>Table 1: High Level Performance Dashboard: Corporate Scorecard</w:t>
      </w:r>
      <w:bookmarkEnd w:id="5"/>
    </w:p>
    <w:tbl>
      <w:tblPr>
        <w:tblStyle w:val="TableGrid"/>
        <w:tblW w:w="16020" w:type="dxa"/>
        <w:tblInd w:w="-1085" w:type="dxa"/>
        <w:tblLayout w:type="fixed"/>
        <w:tblLook w:val="04A0"/>
      </w:tblPr>
      <w:tblGrid>
        <w:gridCol w:w="2070"/>
        <w:gridCol w:w="6300"/>
        <w:gridCol w:w="4590"/>
        <w:gridCol w:w="3060"/>
      </w:tblGrid>
      <w:tr w:rsidR="00055604" w:rsidTr="00055604">
        <w:trPr>
          <w:tblHeader/>
        </w:trPr>
        <w:tc>
          <w:tcPr>
            <w:tcW w:w="2070" w:type="dxa"/>
            <w:shd w:val="clear" w:color="auto" w:fill="7030A0"/>
          </w:tcPr>
          <w:p w:rsidR="006E0F0E" w:rsidRDefault="00052B47" w:rsidP="00D2621F">
            <w:pPr>
              <w:rPr>
                <w:rFonts w:cs="Arial"/>
                <w:b/>
                <w:bCs/>
              </w:rPr>
            </w:pPr>
            <w:r>
              <w:t xml:space="preserve"> </w:t>
            </w:r>
            <w:r w:rsidR="006E0F0E">
              <w:rPr>
                <w:rFonts w:cs="Arial"/>
                <w:b/>
                <w:bCs/>
              </w:rPr>
              <w:t>Programme</w:t>
            </w:r>
          </w:p>
        </w:tc>
        <w:tc>
          <w:tcPr>
            <w:tcW w:w="6300" w:type="dxa"/>
            <w:shd w:val="clear" w:color="auto" w:fill="7030A0"/>
          </w:tcPr>
          <w:p w:rsidR="006E0F0E" w:rsidRDefault="006E0F0E" w:rsidP="00D2621F">
            <w:pPr>
              <w:rPr>
                <w:rFonts w:cs="Arial"/>
                <w:b/>
                <w:bCs/>
              </w:rPr>
            </w:pPr>
            <w:r>
              <w:rPr>
                <w:rFonts w:cs="Arial"/>
                <w:b/>
                <w:bCs/>
              </w:rPr>
              <w:t>Achievements</w:t>
            </w:r>
          </w:p>
        </w:tc>
        <w:tc>
          <w:tcPr>
            <w:tcW w:w="4590" w:type="dxa"/>
            <w:shd w:val="clear" w:color="auto" w:fill="7030A0"/>
          </w:tcPr>
          <w:p w:rsidR="006E0F0E" w:rsidRDefault="006E0F0E" w:rsidP="00D2621F">
            <w:pPr>
              <w:rPr>
                <w:rFonts w:cs="Arial"/>
                <w:b/>
                <w:bCs/>
              </w:rPr>
            </w:pPr>
            <w:r>
              <w:rPr>
                <w:rFonts w:cs="Arial"/>
                <w:b/>
                <w:bCs/>
              </w:rPr>
              <w:t>Challenges</w:t>
            </w:r>
          </w:p>
        </w:tc>
        <w:tc>
          <w:tcPr>
            <w:tcW w:w="3060" w:type="dxa"/>
            <w:shd w:val="clear" w:color="auto" w:fill="7030A0"/>
          </w:tcPr>
          <w:p w:rsidR="006E0F0E" w:rsidRDefault="006E0F0E" w:rsidP="00D2621F">
            <w:pPr>
              <w:rPr>
                <w:rFonts w:cs="Arial"/>
                <w:b/>
                <w:bCs/>
              </w:rPr>
            </w:pPr>
            <w:r>
              <w:rPr>
                <w:rFonts w:cs="Arial"/>
                <w:b/>
                <w:bCs/>
              </w:rPr>
              <w:t>Comments</w:t>
            </w:r>
          </w:p>
        </w:tc>
      </w:tr>
      <w:tr w:rsidR="006E0F0E" w:rsidTr="00055604">
        <w:tc>
          <w:tcPr>
            <w:tcW w:w="2070" w:type="dxa"/>
            <w:shd w:val="clear" w:color="auto" w:fill="BFBFBF" w:themeFill="background1" w:themeFillShade="BF"/>
          </w:tcPr>
          <w:p w:rsidR="006E0F0E" w:rsidRPr="00E079AD" w:rsidRDefault="00E079AD" w:rsidP="00E079AD">
            <w:pPr>
              <w:rPr>
                <w:rFonts w:cs="Arial"/>
                <w:b/>
                <w:bCs/>
              </w:rPr>
            </w:pPr>
            <w:r w:rsidRPr="00E079AD">
              <w:rPr>
                <w:rFonts w:cs="Arial"/>
                <w:b/>
                <w:bCs/>
              </w:rPr>
              <w:t>1.</w:t>
            </w:r>
            <w:r>
              <w:rPr>
                <w:rFonts w:cs="Arial"/>
                <w:b/>
                <w:bCs/>
              </w:rPr>
              <w:t xml:space="preserve"> </w:t>
            </w:r>
            <w:r w:rsidR="006E0F0E" w:rsidRPr="00E079AD">
              <w:rPr>
                <w:rFonts w:cs="Arial"/>
                <w:b/>
                <w:bCs/>
              </w:rPr>
              <w:t xml:space="preserve">Financial </w:t>
            </w:r>
          </w:p>
        </w:tc>
        <w:tc>
          <w:tcPr>
            <w:tcW w:w="6300" w:type="dxa"/>
            <w:shd w:val="clear" w:color="auto" w:fill="BFBFBF" w:themeFill="background1" w:themeFillShade="BF"/>
          </w:tcPr>
          <w:p w:rsidR="006E0F0E" w:rsidRPr="00E079AD" w:rsidRDefault="006E0F0E" w:rsidP="006E0F0E">
            <w:pPr>
              <w:pStyle w:val="ListParagraph"/>
              <w:numPr>
                <w:ilvl w:val="0"/>
                <w:numId w:val="19"/>
              </w:numPr>
              <w:rPr>
                <w:rFonts w:cs="Arial"/>
                <w:bCs/>
              </w:rPr>
            </w:pPr>
            <w:r w:rsidRPr="00E079AD">
              <w:rPr>
                <w:rFonts w:cs="Arial"/>
                <w:bCs/>
              </w:rPr>
              <w:t>Cost containment measures were implemented and actual costs remain within the budgeted amounts</w:t>
            </w:r>
            <w:r w:rsidR="00054A92" w:rsidRPr="00E079AD">
              <w:rPr>
                <w:rFonts w:cs="Arial"/>
                <w:bCs/>
              </w:rPr>
              <w:t xml:space="preserve"> (Cost to income ratio amount to 56.61%)</w:t>
            </w:r>
            <w:r w:rsidR="005B1685">
              <w:rPr>
                <w:rFonts w:cs="Arial"/>
                <w:bCs/>
              </w:rPr>
              <w:t>.</w:t>
            </w:r>
          </w:p>
          <w:p w:rsidR="006E0F0E" w:rsidRPr="00E079AD" w:rsidRDefault="00054A92" w:rsidP="006E0F0E">
            <w:pPr>
              <w:pStyle w:val="ListParagraph"/>
              <w:numPr>
                <w:ilvl w:val="0"/>
                <w:numId w:val="19"/>
              </w:numPr>
              <w:rPr>
                <w:rFonts w:cs="Arial"/>
                <w:bCs/>
              </w:rPr>
            </w:pPr>
            <w:r w:rsidRPr="00E079AD">
              <w:rPr>
                <w:rFonts w:cs="Arial"/>
                <w:bCs/>
              </w:rPr>
              <w:t xml:space="preserve">Net income target achieved </w:t>
            </w:r>
            <w:r w:rsidR="005B1685">
              <w:rPr>
                <w:rFonts w:cs="Arial"/>
                <w:bCs/>
              </w:rPr>
              <w:t>d</w:t>
            </w:r>
            <w:r w:rsidRPr="00E079AD">
              <w:rPr>
                <w:rFonts w:cs="Arial"/>
                <w:bCs/>
              </w:rPr>
              <w:t>ue to increased revenue which was triggered by an increase in assets and cost saving due to cost containment measure</w:t>
            </w:r>
            <w:r w:rsidR="005B1685">
              <w:rPr>
                <w:rFonts w:cs="Arial"/>
                <w:bCs/>
              </w:rPr>
              <w:t>s</w:t>
            </w:r>
            <w:r w:rsidRPr="00E079AD">
              <w:rPr>
                <w:rFonts w:cs="Arial"/>
                <w:bCs/>
              </w:rPr>
              <w:t xml:space="preserve"> put in place</w:t>
            </w:r>
            <w:r w:rsidR="005B1685">
              <w:rPr>
                <w:rFonts w:cs="Arial"/>
                <w:bCs/>
              </w:rPr>
              <w:t>.</w:t>
            </w:r>
          </w:p>
        </w:tc>
        <w:tc>
          <w:tcPr>
            <w:tcW w:w="4590" w:type="dxa"/>
            <w:shd w:val="clear" w:color="auto" w:fill="BFBFBF" w:themeFill="background1" w:themeFillShade="BF"/>
          </w:tcPr>
          <w:p w:rsidR="006E0F0E" w:rsidRDefault="006E0F0E" w:rsidP="00D2621F">
            <w:pPr>
              <w:rPr>
                <w:rFonts w:cs="Arial"/>
                <w:b/>
                <w:bCs/>
              </w:rPr>
            </w:pPr>
          </w:p>
        </w:tc>
        <w:tc>
          <w:tcPr>
            <w:tcW w:w="3060" w:type="dxa"/>
            <w:shd w:val="clear" w:color="auto" w:fill="BFBFBF" w:themeFill="background1" w:themeFillShade="BF"/>
          </w:tcPr>
          <w:p w:rsidR="006E0F0E" w:rsidRPr="00055604" w:rsidRDefault="00054A92" w:rsidP="00D2621F">
            <w:pPr>
              <w:rPr>
                <w:rFonts w:cs="Arial"/>
                <w:bCs/>
              </w:rPr>
            </w:pPr>
            <w:r w:rsidRPr="00055604">
              <w:rPr>
                <w:rFonts w:cs="Arial"/>
                <w:bCs/>
              </w:rPr>
              <w:t xml:space="preserve">Targets may be too </w:t>
            </w:r>
            <w:proofErr w:type="gramStart"/>
            <w:r w:rsidRPr="00055604">
              <w:rPr>
                <w:rFonts w:cs="Arial"/>
                <w:bCs/>
              </w:rPr>
              <w:t>low,</w:t>
            </w:r>
            <w:proofErr w:type="gramEnd"/>
            <w:r w:rsidRPr="00055604">
              <w:rPr>
                <w:rFonts w:cs="Arial"/>
                <w:bCs/>
              </w:rPr>
              <w:t xml:space="preserve"> PIC might have to consider adjusting their targets in the coming years.</w:t>
            </w:r>
          </w:p>
        </w:tc>
      </w:tr>
      <w:tr w:rsidR="000670F5" w:rsidTr="00055604">
        <w:tc>
          <w:tcPr>
            <w:tcW w:w="2070" w:type="dxa"/>
            <w:vMerge w:val="restart"/>
            <w:shd w:val="clear" w:color="auto" w:fill="BFBFBF" w:themeFill="background1" w:themeFillShade="BF"/>
          </w:tcPr>
          <w:p w:rsidR="000670F5" w:rsidRDefault="000670F5" w:rsidP="00D2621F">
            <w:pPr>
              <w:rPr>
                <w:rFonts w:cs="Arial"/>
                <w:b/>
                <w:bCs/>
              </w:rPr>
            </w:pPr>
            <w:r>
              <w:rPr>
                <w:rFonts w:cs="Arial"/>
                <w:b/>
                <w:bCs/>
              </w:rPr>
              <w:t>2. Internal Business Process / Operational Efficiency</w:t>
            </w:r>
          </w:p>
          <w:p w:rsidR="000670F5" w:rsidRDefault="000670F5" w:rsidP="00D2621F">
            <w:pPr>
              <w:rPr>
                <w:rFonts w:cs="Arial"/>
                <w:b/>
                <w:bCs/>
              </w:rPr>
            </w:pPr>
          </w:p>
        </w:tc>
        <w:tc>
          <w:tcPr>
            <w:tcW w:w="6300" w:type="dxa"/>
            <w:shd w:val="clear" w:color="auto" w:fill="BFBFBF" w:themeFill="background1" w:themeFillShade="BF"/>
          </w:tcPr>
          <w:p w:rsidR="000670F5" w:rsidRPr="00E079AD" w:rsidRDefault="000670F5" w:rsidP="00054A92">
            <w:pPr>
              <w:pStyle w:val="ListParagraph"/>
              <w:numPr>
                <w:ilvl w:val="0"/>
                <w:numId w:val="19"/>
              </w:numPr>
              <w:rPr>
                <w:rFonts w:cs="Arial"/>
                <w:bCs/>
              </w:rPr>
            </w:pPr>
            <w:r w:rsidRPr="00E079AD">
              <w:rPr>
                <w:rFonts w:cs="Arial"/>
                <w:bCs/>
              </w:rPr>
              <w:t>Inherent risk level was maintained at 100% and the residual risk level by 20% for the financial year under review and at acceptable levels</w:t>
            </w:r>
            <w:r>
              <w:rPr>
                <w:rFonts w:cs="Arial"/>
                <w:bCs/>
              </w:rPr>
              <w:t>.</w:t>
            </w:r>
          </w:p>
          <w:p w:rsidR="000670F5" w:rsidRPr="00E079AD" w:rsidRDefault="000670F5" w:rsidP="00E079AD">
            <w:pPr>
              <w:pStyle w:val="ListParagraph"/>
              <w:rPr>
                <w:rFonts w:cs="Arial"/>
                <w:bCs/>
              </w:rPr>
            </w:pPr>
          </w:p>
        </w:tc>
        <w:tc>
          <w:tcPr>
            <w:tcW w:w="4590" w:type="dxa"/>
            <w:shd w:val="clear" w:color="auto" w:fill="BFBFBF" w:themeFill="background1" w:themeFillShade="BF"/>
          </w:tcPr>
          <w:p w:rsidR="000670F5" w:rsidRDefault="000670F5" w:rsidP="00D2621F">
            <w:pPr>
              <w:rPr>
                <w:rFonts w:cs="Arial"/>
                <w:b/>
                <w:bCs/>
              </w:rPr>
            </w:pPr>
          </w:p>
        </w:tc>
        <w:tc>
          <w:tcPr>
            <w:tcW w:w="3060" w:type="dxa"/>
            <w:shd w:val="clear" w:color="auto" w:fill="BFBFBF" w:themeFill="background1" w:themeFillShade="BF"/>
          </w:tcPr>
          <w:p w:rsidR="000670F5" w:rsidRDefault="000670F5" w:rsidP="00D2621F">
            <w:pPr>
              <w:rPr>
                <w:rFonts w:cs="Arial"/>
                <w:b/>
                <w:bCs/>
              </w:rPr>
            </w:pPr>
          </w:p>
        </w:tc>
      </w:tr>
      <w:tr w:rsidR="000670F5" w:rsidTr="00055604">
        <w:tc>
          <w:tcPr>
            <w:tcW w:w="2070" w:type="dxa"/>
            <w:vMerge/>
            <w:shd w:val="clear" w:color="auto" w:fill="BFBFBF" w:themeFill="background1" w:themeFillShade="BF"/>
          </w:tcPr>
          <w:p w:rsidR="000670F5" w:rsidRDefault="000670F5" w:rsidP="00D2621F">
            <w:pPr>
              <w:rPr>
                <w:rFonts w:cs="Arial"/>
                <w:b/>
                <w:bCs/>
              </w:rPr>
            </w:pPr>
          </w:p>
        </w:tc>
        <w:tc>
          <w:tcPr>
            <w:tcW w:w="6300" w:type="dxa"/>
            <w:shd w:val="clear" w:color="auto" w:fill="BFBFBF" w:themeFill="background1" w:themeFillShade="BF"/>
          </w:tcPr>
          <w:p w:rsidR="000670F5" w:rsidRPr="00E079AD" w:rsidRDefault="000670F5" w:rsidP="00054A92">
            <w:pPr>
              <w:pStyle w:val="ListParagraph"/>
              <w:numPr>
                <w:ilvl w:val="0"/>
                <w:numId w:val="19"/>
              </w:numPr>
              <w:rPr>
                <w:rFonts w:cs="Arial"/>
                <w:bCs/>
              </w:rPr>
            </w:pPr>
            <w:r>
              <w:rPr>
                <w:rFonts w:cs="Arial"/>
                <w:bCs/>
              </w:rPr>
              <w:t>PIC Corporate  Entity showed areas of improvement as assessed against PIC Corporate matrix</w:t>
            </w:r>
          </w:p>
        </w:tc>
        <w:tc>
          <w:tcPr>
            <w:tcW w:w="4590" w:type="dxa"/>
            <w:shd w:val="clear" w:color="auto" w:fill="BFBFBF" w:themeFill="background1" w:themeFillShade="BF"/>
          </w:tcPr>
          <w:p w:rsidR="000670F5" w:rsidRDefault="000670F5" w:rsidP="00D2621F">
            <w:pPr>
              <w:rPr>
                <w:rFonts w:cs="Arial"/>
                <w:b/>
                <w:bCs/>
              </w:rPr>
            </w:pPr>
          </w:p>
        </w:tc>
        <w:tc>
          <w:tcPr>
            <w:tcW w:w="3060" w:type="dxa"/>
            <w:shd w:val="clear" w:color="auto" w:fill="BFBFBF" w:themeFill="background1" w:themeFillShade="BF"/>
          </w:tcPr>
          <w:p w:rsidR="000670F5" w:rsidRDefault="000670F5" w:rsidP="00D2621F">
            <w:pPr>
              <w:rPr>
                <w:rFonts w:cs="Arial"/>
                <w:b/>
                <w:bCs/>
              </w:rPr>
            </w:pPr>
          </w:p>
        </w:tc>
      </w:tr>
      <w:tr w:rsidR="002F1450" w:rsidTr="00055604">
        <w:tc>
          <w:tcPr>
            <w:tcW w:w="2070" w:type="dxa"/>
            <w:shd w:val="clear" w:color="auto" w:fill="BFBFBF" w:themeFill="background1" w:themeFillShade="BF"/>
          </w:tcPr>
          <w:p w:rsidR="002F1450" w:rsidRDefault="00021A79" w:rsidP="00D2621F">
            <w:pPr>
              <w:rPr>
                <w:rFonts w:cs="Arial"/>
                <w:b/>
                <w:bCs/>
              </w:rPr>
            </w:pPr>
            <w:r>
              <w:rPr>
                <w:rFonts w:cs="Arial"/>
                <w:b/>
                <w:bCs/>
              </w:rPr>
              <w:t>4</w:t>
            </w:r>
            <w:r w:rsidR="00E079AD">
              <w:rPr>
                <w:rFonts w:cs="Arial"/>
                <w:b/>
                <w:bCs/>
              </w:rPr>
              <w:t>.</w:t>
            </w:r>
            <w:r w:rsidR="002F1450">
              <w:rPr>
                <w:rFonts w:cs="Arial"/>
                <w:b/>
                <w:bCs/>
              </w:rPr>
              <w:t>Customers/ Stakeholders</w:t>
            </w:r>
          </w:p>
        </w:tc>
        <w:tc>
          <w:tcPr>
            <w:tcW w:w="6300" w:type="dxa"/>
            <w:shd w:val="clear" w:color="auto" w:fill="BFBFBF" w:themeFill="background1" w:themeFillShade="BF"/>
          </w:tcPr>
          <w:p w:rsidR="002F1450" w:rsidRDefault="00E079AD" w:rsidP="00E079AD">
            <w:pPr>
              <w:pStyle w:val="ListParagraph"/>
              <w:numPr>
                <w:ilvl w:val="0"/>
                <w:numId w:val="19"/>
              </w:numPr>
              <w:rPr>
                <w:rFonts w:cs="Arial"/>
                <w:bCs/>
              </w:rPr>
            </w:pPr>
            <w:r w:rsidRPr="00E079AD">
              <w:rPr>
                <w:rFonts w:cs="Arial"/>
                <w:bCs/>
              </w:rPr>
              <w:t xml:space="preserve">PIC delivered </w:t>
            </w:r>
            <w:r>
              <w:rPr>
                <w:rFonts w:cs="Arial"/>
                <w:bCs/>
              </w:rPr>
              <w:t xml:space="preserve">investment performance for the Compensation Commissioner Fund which exceeded </w:t>
            </w:r>
            <w:r w:rsidR="005B1685">
              <w:rPr>
                <w:rFonts w:cs="Arial"/>
                <w:bCs/>
              </w:rPr>
              <w:t xml:space="preserve">the </w:t>
            </w:r>
            <w:r>
              <w:rPr>
                <w:rFonts w:cs="Arial"/>
                <w:bCs/>
              </w:rPr>
              <w:t>benchmark of 5.7% (Target 5.36%). All asset classes positively outperformed the Fund</w:t>
            </w:r>
            <w:proofErr w:type="gramStart"/>
            <w:r>
              <w:rPr>
                <w:rFonts w:cs="Arial"/>
                <w:bCs/>
              </w:rPr>
              <w:t>.-</w:t>
            </w:r>
            <w:proofErr w:type="gramEnd"/>
            <w:r>
              <w:rPr>
                <w:rFonts w:cs="Arial"/>
                <w:bCs/>
              </w:rPr>
              <w:t xml:space="preserve"> money market was the biggest contributor.</w:t>
            </w:r>
          </w:p>
          <w:p w:rsidR="00B75CDB" w:rsidRPr="00E079AD" w:rsidRDefault="00B75CDB" w:rsidP="00E079AD">
            <w:pPr>
              <w:pStyle w:val="ListParagraph"/>
              <w:numPr>
                <w:ilvl w:val="0"/>
                <w:numId w:val="19"/>
              </w:numPr>
              <w:rPr>
                <w:rFonts w:cs="Arial"/>
                <w:bCs/>
              </w:rPr>
            </w:pPr>
            <w:r>
              <w:rPr>
                <w:rFonts w:cs="Arial"/>
                <w:bCs/>
              </w:rPr>
              <w:t>Guardian Fund exceeded its benchmark of 6.89%</w:t>
            </w:r>
            <w:r w:rsidR="00021A79">
              <w:rPr>
                <w:rFonts w:cs="Arial"/>
                <w:bCs/>
              </w:rPr>
              <w:t xml:space="preserve"> </w:t>
            </w:r>
            <w:r>
              <w:rPr>
                <w:rFonts w:cs="Arial"/>
                <w:bCs/>
              </w:rPr>
              <w:t>(Actual return 7.02%)</w:t>
            </w:r>
          </w:p>
        </w:tc>
        <w:tc>
          <w:tcPr>
            <w:tcW w:w="4590" w:type="dxa"/>
            <w:shd w:val="clear" w:color="auto" w:fill="BFBFBF" w:themeFill="background1" w:themeFillShade="BF"/>
          </w:tcPr>
          <w:p w:rsidR="002F1450" w:rsidRPr="00E079AD" w:rsidRDefault="002F1450" w:rsidP="00EC4E94">
            <w:pPr>
              <w:rPr>
                <w:rFonts w:cs="Arial"/>
                <w:bCs/>
              </w:rPr>
            </w:pPr>
            <w:r w:rsidRPr="00E079AD">
              <w:rPr>
                <w:rFonts w:cs="Arial"/>
                <w:bCs/>
              </w:rPr>
              <w:t xml:space="preserve">The Unlisted property market and bond assets are the main contributors to the underperformance of individual top 5 funds. Market conditions were not favourable </w:t>
            </w:r>
            <w:r w:rsidR="00EC4E94" w:rsidRPr="00E079AD">
              <w:rPr>
                <w:rFonts w:cs="Arial"/>
                <w:bCs/>
              </w:rPr>
              <w:t>but equities added positively to the relative return as they recovered in the last quarter of the financial year.</w:t>
            </w:r>
          </w:p>
          <w:p w:rsidR="00EC4E94" w:rsidRPr="00E079AD" w:rsidRDefault="00EC4E94" w:rsidP="00EC4E94">
            <w:pPr>
              <w:rPr>
                <w:rFonts w:cs="Arial"/>
                <w:bCs/>
              </w:rPr>
            </w:pPr>
          </w:p>
          <w:p w:rsidR="00EC4E94" w:rsidRPr="00E079AD" w:rsidRDefault="00EC4E94" w:rsidP="00EC4E94">
            <w:pPr>
              <w:rPr>
                <w:rFonts w:cs="Arial"/>
                <w:bCs/>
              </w:rPr>
            </w:pPr>
            <w:r w:rsidRPr="00E079AD">
              <w:rPr>
                <w:rFonts w:cs="Arial"/>
                <w:bCs/>
              </w:rPr>
              <w:t>G</w:t>
            </w:r>
            <w:r w:rsidR="00B75CDB">
              <w:rPr>
                <w:rFonts w:cs="Arial"/>
                <w:bCs/>
              </w:rPr>
              <w:t xml:space="preserve">overnment </w:t>
            </w:r>
            <w:r w:rsidRPr="00E079AD">
              <w:rPr>
                <w:rFonts w:cs="Arial"/>
                <w:bCs/>
              </w:rPr>
              <w:t>E</w:t>
            </w:r>
            <w:r w:rsidR="00B75CDB">
              <w:rPr>
                <w:rFonts w:cs="Arial"/>
                <w:bCs/>
              </w:rPr>
              <w:t xml:space="preserve">mployee </w:t>
            </w:r>
            <w:r w:rsidRPr="00E079AD">
              <w:rPr>
                <w:rFonts w:cs="Arial"/>
                <w:bCs/>
              </w:rPr>
              <w:t>P</w:t>
            </w:r>
            <w:r w:rsidR="00B75CDB">
              <w:rPr>
                <w:rFonts w:cs="Arial"/>
                <w:bCs/>
              </w:rPr>
              <w:t xml:space="preserve">ension </w:t>
            </w:r>
            <w:r w:rsidRPr="00E079AD">
              <w:rPr>
                <w:rFonts w:cs="Arial"/>
                <w:bCs/>
              </w:rPr>
              <w:t>F</w:t>
            </w:r>
            <w:r w:rsidR="00B75CDB">
              <w:rPr>
                <w:rFonts w:cs="Arial"/>
                <w:bCs/>
              </w:rPr>
              <w:t>und</w:t>
            </w:r>
            <w:r w:rsidRPr="00E079AD">
              <w:rPr>
                <w:rFonts w:cs="Arial"/>
                <w:bCs/>
              </w:rPr>
              <w:t xml:space="preserve"> was underweight in unlisted properties and </w:t>
            </w:r>
            <w:r w:rsidRPr="00E079AD">
              <w:rPr>
                <w:rFonts w:cs="Arial"/>
                <w:bCs/>
              </w:rPr>
              <w:lastRenderedPageBreak/>
              <w:t>Global Bonds were also underweight and underperformed contributing negatively to asset allocation and stock selection and detraction in overall fund performance.</w:t>
            </w:r>
          </w:p>
          <w:p w:rsidR="00EC4E94" w:rsidRPr="00E079AD" w:rsidRDefault="00EC4E94" w:rsidP="00EC4E94">
            <w:pPr>
              <w:rPr>
                <w:rFonts w:cs="Arial"/>
                <w:bCs/>
              </w:rPr>
            </w:pPr>
          </w:p>
          <w:p w:rsidR="00EC4E94" w:rsidRDefault="00EC4E94" w:rsidP="00EC4E94">
            <w:pPr>
              <w:rPr>
                <w:rFonts w:cs="Arial"/>
                <w:bCs/>
              </w:rPr>
            </w:pPr>
            <w:r w:rsidRPr="00E079AD">
              <w:rPr>
                <w:rFonts w:cs="Arial"/>
                <w:bCs/>
              </w:rPr>
              <w:t xml:space="preserve">The PIC </w:t>
            </w:r>
            <w:r w:rsidR="00E079AD" w:rsidRPr="00E079AD">
              <w:rPr>
                <w:rFonts w:cs="Arial"/>
                <w:bCs/>
              </w:rPr>
              <w:t xml:space="preserve">delivered investment performance for Unemployment Insurance Fund (UIF) which did not exceed </w:t>
            </w:r>
            <w:r w:rsidR="005B1685">
              <w:rPr>
                <w:rFonts w:cs="Arial"/>
                <w:bCs/>
              </w:rPr>
              <w:t xml:space="preserve">the </w:t>
            </w:r>
            <w:r w:rsidR="00432957">
              <w:rPr>
                <w:rFonts w:cs="Arial"/>
                <w:bCs/>
              </w:rPr>
              <w:t>target</w:t>
            </w:r>
            <w:r w:rsidR="00E079AD" w:rsidRPr="00E079AD">
              <w:rPr>
                <w:rFonts w:cs="Arial"/>
                <w:bCs/>
              </w:rPr>
              <w:t>. The conventional bonds, money market and listed equities contributed negatively to the fund performance compared to benchmark of 7.61%.</w:t>
            </w:r>
          </w:p>
          <w:p w:rsidR="00E079AD" w:rsidRDefault="00E079AD" w:rsidP="00EC4E94">
            <w:pPr>
              <w:rPr>
                <w:rFonts w:cs="Arial"/>
                <w:bCs/>
              </w:rPr>
            </w:pPr>
          </w:p>
          <w:p w:rsidR="00E079AD" w:rsidRDefault="00B75CDB" w:rsidP="00EC4E94">
            <w:pPr>
              <w:rPr>
                <w:rFonts w:cs="Arial"/>
                <w:bCs/>
              </w:rPr>
            </w:pPr>
            <w:r>
              <w:rPr>
                <w:rFonts w:cs="Arial"/>
                <w:bCs/>
              </w:rPr>
              <w:t xml:space="preserve">PIC did not exceed </w:t>
            </w:r>
            <w:r w:rsidR="005B1685">
              <w:rPr>
                <w:rFonts w:cs="Arial"/>
                <w:bCs/>
              </w:rPr>
              <w:t xml:space="preserve">the </w:t>
            </w:r>
            <w:r w:rsidR="00432957">
              <w:rPr>
                <w:rFonts w:cs="Arial"/>
                <w:bCs/>
              </w:rPr>
              <w:t xml:space="preserve">target </w:t>
            </w:r>
            <w:r>
              <w:rPr>
                <w:rFonts w:cs="Arial"/>
                <w:bCs/>
              </w:rPr>
              <w:t>on the Compensation Commissioner Pension Fund</w:t>
            </w:r>
            <w:r w:rsidR="00021A79">
              <w:rPr>
                <w:rFonts w:cs="Arial"/>
                <w:bCs/>
              </w:rPr>
              <w:t xml:space="preserve"> (CCPF)</w:t>
            </w:r>
            <w:r>
              <w:rPr>
                <w:rFonts w:cs="Arial"/>
                <w:bCs/>
              </w:rPr>
              <w:t>. These funds were invested in inflation linked bond and equity asset which contributed to the underperformance.</w:t>
            </w:r>
          </w:p>
          <w:p w:rsidR="00B75CDB" w:rsidRDefault="00B75CDB" w:rsidP="00EC4E94">
            <w:pPr>
              <w:rPr>
                <w:rFonts w:cs="Arial"/>
                <w:bCs/>
              </w:rPr>
            </w:pPr>
          </w:p>
          <w:p w:rsidR="00EC4E94" w:rsidRPr="00E079AD" w:rsidRDefault="00B75CDB" w:rsidP="00432957">
            <w:pPr>
              <w:rPr>
                <w:rFonts w:cs="Arial"/>
                <w:bCs/>
              </w:rPr>
            </w:pPr>
            <w:r>
              <w:rPr>
                <w:rFonts w:cs="Arial"/>
                <w:bCs/>
              </w:rPr>
              <w:t>The Associated Institutions Pension Fund (AIPF) did not exceed the benchmark. The AIFP f</w:t>
            </w:r>
            <w:r w:rsidR="00432957">
              <w:rPr>
                <w:rFonts w:cs="Arial"/>
                <w:bCs/>
              </w:rPr>
              <w:t>u</w:t>
            </w:r>
            <w:r>
              <w:rPr>
                <w:rFonts w:cs="Arial"/>
                <w:bCs/>
              </w:rPr>
              <w:t xml:space="preserve">nd was underweight in the Money Market compared to the benchmark </w:t>
            </w:r>
          </w:p>
        </w:tc>
        <w:tc>
          <w:tcPr>
            <w:tcW w:w="3060" w:type="dxa"/>
            <w:shd w:val="clear" w:color="auto" w:fill="BFBFBF" w:themeFill="background1" w:themeFillShade="BF"/>
          </w:tcPr>
          <w:p w:rsidR="002F1450" w:rsidRDefault="00B75CDB" w:rsidP="00D2621F">
            <w:pPr>
              <w:rPr>
                <w:rFonts w:cs="Arial"/>
                <w:bCs/>
              </w:rPr>
            </w:pPr>
            <w:r w:rsidRPr="00B75CDB">
              <w:rPr>
                <w:rFonts w:cs="Arial"/>
                <w:bCs/>
              </w:rPr>
              <w:lastRenderedPageBreak/>
              <w:t xml:space="preserve">Why </w:t>
            </w:r>
            <w:r w:rsidR="00021A79">
              <w:rPr>
                <w:rFonts w:cs="Arial"/>
                <w:bCs/>
              </w:rPr>
              <w:t>were most of the</w:t>
            </w:r>
            <w:r>
              <w:rPr>
                <w:rFonts w:cs="Arial"/>
                <w:bCs/>
              </w:rPr>
              <w:t xml:space="preserve"> </w:t>
            </w:r>
            <w:r w:rsidRPr="00B75CDB">
              <w:rPr>
                <w:rFonts w:cs="Arial"/>
                <w:bCs/>
              </w:rPr>
              <w:t>Pension fund</w:t>
            </w:r>
            <w:r>
              <w:rPr>
                <w:rFonts w:cs="Arial"/>
                <w:bCs/>
              </w:rPr>
              <w:t>s (GEPF, AIFP</w:t>
            </w:r>
            <w:r w:rsidR="00021A79">
              <w:rPr>
                <w:rFonts w:cs="Arial"/>
                <w:bCs/>
              </w:rPr>
              <w:t xml:space="preserve"> and</w:t>
            </w:r>
            <w:r>
              <w:rPr>
                <w:rFonts w:cs="Arial"/>
                <w:bCs/>
              </w:rPr>
              <w:t xml:space="preserve"> </w:t>
            </w:r>
            <w:r w:rsidR="00021A79">
              <w:rPr>
                <w:rFonts w:cs="Arial"/>
                <w:bCs/>
              </w:rPr>
              <w:t>CCPF)</w:t>
            </w:r>
            <w:r w:rsidRPr="00B75CDB">
              <w:rPr>
                <w:rFonts w:cs="Arial"/>
                <w:bCs/>
              </w:rPr>
              <w:t xml:space="preserve"> </w:t>
            </w:r>
            <w:r>
              <w:rPr>
                <w:rFonts w:cs="Arial"/>
                <w:bCs/>
              </w:rPr>
              <w:t xml:space="preserve">in this programme </w:t>
            </w:r>
            <w:r w:rsidR="00432957">
              <w:rPr>
                <w:rFonts w:cs="Arial"/>
                <w:bCs/>
              </w:rPr>
              <w:t>under performed</w:t>
            </w:r>
            <w:r w:rsidR="00432957" w:rsidRPr="00B75CDB">
              <w:rPr>
                <w:rFonts w:cs="Arial"/>
                <w:bCs/>
              </w:rPr>
              <w:t xml:space="preserve"> </w:t>
            </w:r>
            <w:r w:rsidRPr="00B75CDB">
              <w:rPr>
                <w:rFonts w:cs="Arial"/>
                <w:bCs/>
              </w:rPr>
              <w:t>compared to the other funds</w:t>
            </w:r>
            <w:r>
              <w:rPr>
                <w:rFonts w:cs="Arial"/>
                <w:bCs/>
              </w:rPr>
              <w:t>?</w:t>
            </w:r>
            <w:r w:rsidRPr="00B75CDB">
              <w:rPr>
                <w:rFonts w:cs="Arial"/>
                <w:bCs/>
              </w:rPr>
              <w:t xml:space="preserve"> What </w:t>
            </w:r>
            <w:r w:rsidR="00021A79">
              <w:rPr>
                <w:rFonts w:cs="Arial"/>
                <w:bCs/>
              </w:rPr>
              <w:t xml:space="preserve">has been the </w:t>
            </w:r>
            <w:r w:rsidR="00021A79" w:rsidRPr="00B75CDB">
              <w:rPr>
                <w:rFonts w:cs="Arial"/>
                <w:bCs/>
              </w:rPr>
              <w:t>overall</w:t>
            </w:r>
            <w:r w:rsidR="00021A79">
              <w:rPr>
                <w:rFonts w:cs="Arial"/>
                <w:bCs/>
              </w:rPr>
              <w:t xml:space="preserve"> impact on all the pension funds </w:t>
            </w:r>
            <w:r w:rsidRPr="00B75CDB">
              <w:rPr>
                <w:rFonts w:cs="Arial"/>
                <w:bCs/>
              </w:rPr>
              <w:t>in the last financial year?</w:t>
            </w:r>
          </w:p>
          <w:p w:rsidR="00B75CDB" w:rsidRPr="00B75CDB" w:rsidRDefault="00B75CDB" w:rsidP="00D2621F">
            <w:pPr>
              <w:rPr>
                <w:rFonts w:cs="Arial"/>
                <w:bCs/>
              </w:rPr>
            </w:pPr>
          </w:p>
        </w:tc>
      </w:tr>
      <w:tr w:rsidR="00021A79" w:rsidTr="00055604">
        <w:trPr>
          <w:trHeight w:val="2087"/>
        </w:trPr>
        <w:tc>
          <w:tcPr>
            <w:tcW w:w="2070" w:type="dxa"/>
            <w:shd w:val="clear" w:color="auto" w:fill="BFBFBF" w:themeFill="background1" w:themeFillShade="BF"/>
          </w:tcPr>
          <w:p w:rsidR="00021A79" w:rsidRPr="00021A79" w:rsidRDefault="00021A79" w:rsidP="00021A79">
            <w:pPr>
              <w:pStyle w:val="ListParagraph"/>
              <w:numPr>
                <w:ilvl w:val="0"/>
                <w:numId w:val="6"/>
              </w:numPr>
              <w:rPr>
                <w:rFonts w:cs="Arial"/>
                <w:b/>
                <w:bCs/>
              </w:rPr>
            </w:pPr>
          </w:p>
        </w:tc>
        <w:tc>
          <w:tcPr>
            <w:tcW w:w="6300" w:type="dxa"/>
            <w:shd w:val="clear" w:color="auto" w:fill="BFBFBF" w:themeFill="background1" w:themeFillShade="BF"/>
          </w:tcPr>
          <w:p w:rsidR="00021A79" w:rsidRPr="00E079AD" w:rsidRDefault="00021A79" w:rsidP="00E079AD">
            <w:pPr>
              <w:pStyle w:val="ListParagraph"/>
              <w:numPr>
                <w:ilvl w:val="0"/>
                <w:numId w:val="19"/>
              </w:numPr>
              <w:rPr>
                <w:rFonts w:cs="Arial"/>
                <w:bCs/>
              </w:rPr>
            </w:pPr>
            <w:r>
              <w:rPr>
                <w:rFonts w:cs="Arial"/>
                <w:bCs/>
              </w:rPr>
              <w:t xml:space="preserve">A strong deal pipeline contributed to the achievement of the target </w:t>
            </w:r>
            <w:r w:rsidR="003C3F5B">
              <w:rPr>
                <w:rFonts w:cs="Arial"/>
                <w:bCs/>
              </w:rPr>
              <w:t xml:space="preserve">of growing the economy through Developmental Investments. Approvals of R33 billion with R1.9 billion approved through SA Developmental Private Equity and Structured Investments.  These investments exceeded </w:t>
            </w:r>
            <w:r w:rsidR="005B1685">
              <w:rPr>
                <w:rFonts w:cs="Arial"/>
                <w:bCs/>
              </w:rPr>
              <w:t xml:space="preserve">the </w:t>
            </w:r>
            <w:r w:rsidR="003C3F5B">
              <w:rPr>
                <w:rFonts w:cs="Arial"/>
                <w:bCs/>
              </w:rPr>
              <w:t>target by 239%</w:t>
            </w:r>
          </w:p>
        </w:tc>
        <w:tc>
          <w:tcPr>
            <w:tcW w:w="4590" w:type="dxa"/>
            <w:shd w:val="clear" w:color="auto" w:fill="BFBFBF" w:themeFill="background1" w:themeFillShade="BF"/>
          </w:tcPr>
          <w:p w:rsidR="00021A79" w:rsidRPr="00E079AD" w:rsidRDefault="00021A79" w:rsidP="00EC4E94">
            <w:pPr>
              <w:rPr>
                <w:rFonts w:cs="Arial"/>
                <w:bCs/>
              </w:rPr>
            </w:pPr>
          </w:p>
        </w:tc>
        <w:tc>
          <w:tcPr>
            <w:tcW w:w="3060" w:type="dxa"/>
            <w:shd w:val="clear" w:color="auto" w:fill="BFBFBF" w:themeFill="background1" w:themeFillShade="BF"/>
          </w:tcPr>
          <w:p w:rsidR="00021A79" w:rsidRPr="00B75CDB" w:rsidRDefault="00021A79" w:rsidP="00D2621F">
            <w:pPr>
              <w:rPr>
                <w:rFonts w:cs="Arial"/>
                <w:bCs/>
              </w:rPr>
            </w:pPr>
          </w:p>
        </w:tc>
      </w:tr>
      <w:tr w:rsidR="003C3F5B" w:rsidTr="00055604">
        <w:tc>
          <w:tcPr>
            <w:tcW w:w="2070" w:type="dxa"/>
            <w:shd w:val="clear" w:color="auto" w:fill="BFBFBF" w:themeFill="background1" w:themeFillShade="BF"/>
          </w:tcPr>
          <w:p w:rsidR="003C3F5B" w:rsidRPr="00021A79" w:rsidRDefault="003C3F5B" w:rsidP="00021A79">
            <w:pPr>
              <w:pStyle w:val="ListParagraph"/>
              <w:numPr>
                <w:ilvl w:val="0"/>
                <w:numId w:val="6"/>
              </w:numPr>
              <w:rPr>
                <w:rFonts w:cs="Arial"/>
                <w:b/>
                <w:bCs/>
              </w:rPr>
            </w:pPr>
          </w:p>
        </w:tc>
        <w:tc>
          <w:tcPr>
            <w:tcW w:w="6300" w:type="dxa"/>
            <w:shd w:val="clear" w:color="auto" w:fill="BFBFBF" w:themeFill="background1" w:themeFillShade="BF"/>
          </w:tcPr>
          <w:p w:rsidR="003C3F5B" w:rsidRPr="003C3F5B" w:rsidRDefault="003C3F5B" w:rsidP="003C3F5B">
            <w:pPr>
              <w:rPr>
                <w:rFonts w:cs="Arial"/>
                <w:bCs/>
              </w:rPr>
            </w:pPr>
          </w:p>
        </w:tc>
        <w:tc>
          <w:tcPr>
            <w:tcW w:w="4590" w:type="dxa"/>
            <w:shd w:val="clear" w:color="auto" w:fill="BFBFBF" w:themeFill="background1" w:themeFillShade="BF"/>
          </w:tcPr>
          <w:p w:rsidR="003C3F5B" w:rsidRPr="003C3F5B" w:rsidRDefault="003C3F5B" w:rsidP="0034606F">
            <w:pPr>
              <w:pStyle w:val="ListParagraph"/>
              <w:numPr>
                <w:ilvl w:val="0"/>
                <w:numId w:val="19"/>
              </w:numPr>
              <w:rPr>
                <w:rFonts w:cs="Arial"/>
                <w:bCs/>
              </w:rPr>
            </w:pPr>
            <w:r>
              <w:rPr>
                <w:rFonts w:cs="Arial"/>
                <w:bCs/>
              </w:rPr>
              <w:t xml:space="preserve">A good deal pipeline contributed to the partial achievement of this target of growing the economy through </w:t>
            </w:r>
            <w:r w:rsidR="0034606F">
              <w:rPr>
                <w:rFonts w:cs="Arial"/>
                <w:bCs/>
              </w:rPr>
              <w:t xml:space="preserve">investments in </w:t>
            </w:r>
            <w:r>
              <w:rPr>
                <w:rFonts w:cs="Arial"/>
                <w:bCs/>
              </w:rPr>
              <w:t>Africa</w:t>
            </w:r>
            <w:r w:rsidR="0034606F">
              <w:rPr>
                <w:rFonts w:cs="Arial"/>
                <w:bCs/>
              </w:rPr>
              <w:t xml:space="preserve"> </w:t>
            </w:r>
            <w:r>
              <w:rPr>
                <w:rFonts w:cs="Arial"/>
                <w:bCs/>
              </w:rPr>
              <w:t>(non-domestic)</w:t>
            </w:r>
            <w:r w:rsidR="0034606F">
              <w:rPr>
                <w:rFonts w:cs="Arial"/>
                <w:bCs/>
              </w:rPr>
              <w:t xml:space="preserve"> </w:t>
            </w:r>
            <w:r>
              <w:rPr>
                <w:rFonts w:cs="Arial"/>
                <w:bCs/>
              </w:rPr>
              <w:t>listed and unlisted investments</w:t>
            </w:r>
            <w:r w:rsidR="0034606F">
              <w:rPr>
                <w:rFonts w:cs="Arial"/>
                <w:bCs/>
              </w:rPr>
              <w:t>). The target is depended on approval from clients as it related to unlisted investments. These approvals were not obtained in time for further investment.</w:t>
            </w:r>
          </w:p>
        </w:tc>
        <w:tc>
          <w:tcPr>
            <w:tcW w:w="3060" w:type="dxa"/>
            <w:shd w:val="clear" w:color="auto" w:fill="BFBFBF" w:themeFill="background1" w:themeFillShade="BF"/>
          </w:tcPr>
          <w:p w:rsidR="003C3F5B" w:rsidRPr="00B75CDB" w:rsidRDefault="0034606F" w:rsidP="00810ACC">
            <w:pPr>
              <w:rPr>
                <w:rFonts w:cs="Arial"/>
                <w:bCs/>
              </w:rPr>
            </w:pPr>
            <w:r>
              <w:rPr>
                <w:rFonts w:cs="Arial"/>
                <w:bCs/>
              </w:rPr>
              <w:t xml:space="preserve">What </w:t>
            </w:r>
            <w:r w:rsidR="00810ACC">
              <w:rPr>
                <w:rFonts w:cs="Arial"/>
                <w:bCs/>
              </w:rPr>
              <w:t>is the latest</w:t>
            </w:r>
            <w:r w:rsidR="005B1685">
              <w:rPr>
                <w:rFonts w:cs="Arial"/>
                <w:bCs/>
              </w:rPr>
              <w:t xml:space="preserve"> [what – word missing]</w:t>
            </w:r>
            <w:r w:rsidR="00810ACC">
              <w:rPr>
                <w:rFonts w:cs="Arial"/>
                <w:bCs/>
              </w:rPr>
              <w:t xml:space="preserve"> in obtaining</w:t>
            </w:r>
            <w:r>
              <w:rPr>
                <w:rFonts w:cs="Arial"/>
                <w:bCs/>
              </w:rPr>
              <w:t xml:space="preserve"> approvals? Have the investments been made? </w:t>
            </w:r>
          </w:p>
        </w:tc>
      </w:tr>
      <w:tr w:rsidR="0034606F" w:rsidTr="00055604">
        <w:tc>
          <w:tcPr>
            <w:tcW w:w="2070" w:type="dxa"/>
            <w:shd w:val="clear" w:color="auto" w:fill="BFBFBF" w:themeFill="background1" w:themeFillShade="BF"/>
          </w:tcPr>
          <w:p w:rsidR="0034606F" w:rsidRPr="00021A79" w:rsidRDefault="0034606F" w:rsidP="00021A79">
            <w:pPr>
              <w:pStyle w:val="ListParagraph"/>
              <w:numPr>
                <w:ilvl w:val="0"/>
                <w:numId w:val="6"/>
              </w:numPr>
              <w:rPr>
                <w:rFonts w:cs="Arial"/>
                <w:b/>
                <w:bCs/>
              </w:rPr>
            </w:pPr>
          </w:p>
        </w:tc>
        <w:tc>
          <w:tcPr>
            <w:tcW w:w="6300" w:type="dxa"/>
            <w:shd w:val="clear" w:color="auto" w:fill="BFBFBF" w:themeFill="background1" w:themeFillShade="BF"/>
          </w:tcPr>
          <w:p w:rsidR="0034606F" w:rsidRDefault="0034606F" w:rsidP="003C3F5B">
            <w:pPr>
              <w:rPr>
                <w:rFonts w:cs="Arial"/>
                <w:bCs/>
              </w:rPr>
            </w:pPr>
            <w:r>
              <w:rPr>
                <w:rFonts w:cs="Arial"/>
                <w:bCs/>
              </w:rPr>
              <w:t>Transformation of the Asset Management industry- PIC facilitated a total of R11.5 billion allocated to BEE managers who graduated from development programme</w:t>
            </w:r>
          </w:p>
          <w:p w:rsidR="004C17E7" w:rsidRDefault="004C17E7" w:rsidP="003C3F5B">
            <w:pPr>
              <w:rPr>
                <w:rFonts w:cs="Arial"/>
                <w:bCs/>
              </w:rPr>
            </w:pPr>
          </w:p>
          <w:p w:rsidR="004C17E7" w:rsidRPr="003C3F5B" w:rsidRDefault="004C17E7" w:rsidP="00AE56DF">
            <w:pPr>
              <w:rPr>
                <w:rFonts w:cs="Arial"/>
                <w:bCs/>
              </w:rPr>
            </w:pPr>
            <w:r>
              <w:rPr>
                <w:rFonts w:cs="Arial"/>
                <w:bCs/>
              </w:rPr>
              <w:t>Strong pipeline and continued focus on transformation le</w:t>
            </w:r>
            <w:r w:rsidR="005B1685">
              <w:rPr>
                <w:rFonts w:cs="Arial"/>
                <w:bCs/>
              </w:rPr>
              <w:t>d</w:t>
            </w:r>
            <w:r>
              <w:rPr>
                <w:rFonts w:cs="Arial"/>
                <w:bCs/>
              </w:rPr>
              <w:t xml:space="preserve"> to outperformance of this objective </w:t>
            </w:r>
            <w:r w:rsidR="00AE56DF">
              <w:rPr>
                <w:rFonts w:cs="Arial"/>
                <w:bCs/>
              </w:rPr>
              <w:t xml:space="preserve">for </w:t>
            </w:r>
            <w:r>
              <w:rPr>
                <w:rFonts w:cs="Arial"/>
                <w:bCs/>
              </w:rPr>
              <w:t>previously disadvantaged individuals.</w:t>
            </w:r>
          </w:p>
        </w:tc>
        <w:tc>
          <w:tcPr>
            <w:tcW w:w="4590" w:type="dxa"/>
            <w:shd w:val="clear" w:color="auto" w:fill="BFBFBF" w:themeFill="background1" w:themeFillShade="BF"/>
          </w:tcPr>
          <w:p w:rsidR="0034606F" w:rsidRDefault="004C17E7" w:rsidP="004C17E7">
            <w:pPr>
              <w:pStyle w:val="ListParagraph"/>
              <w:rPr>
                <w:rFonts w:cs="Arial"/>
                <w:bCs/>
              </w:rPr>
            </w:pPr>
            <w:r>
              <w:rPr>
                <w:rFonts w:cs="Arial"/>
                <w:bCs/>
              </w:rPr>
              <w:t>Private Equity funds committed for black ownership (</w:t>
            </w:r>
            <w:proofErr w:type="spellStart"/>
            <w:r>
              <w:rPr>
                <w:rFonts w:cs="Arial"/>
                <w:bCs/>
              </w:rPr>
              <w:t>Isibaya</w:t>
            </w:r>
            <w:proofErr w:type="spellEnd"/>
            <w:r>
              <w:rPr>
                <w:rFonts w:cs="Arial"/>
                <w:bCs/>
              </w:rPr>
              <w:t xml:space="preserve"> fund) were not achieved because the approval of mandate allocation from funds was not obtained. </w:t>
            </w:r>
          </w:p>
        </w:tc>
        <w:tc>
          <w:tcPr>
            <w:tcW w:w="3060" w:type="dxa"/>
            <w:shd w:val="clear" w:color="auto" w:fill="BFBFBF" w:themeFill="background1" w:themeFillShade="BF"/>
          </w:tcPr>
          <w:p w:rsidR="0034606F" w:rsidRDefault="0034606F" w:rsidP="0041476B">
            <w:pPr>
              <w:rPr>
                <w:rFonts w:cs="Arial"/>
                <w:bCs/>
              </w:rPr>
            </w:pPr>
            <w:r>
              <w:rPr>
                <w:rFonts w:cs="Arial"/>
                <w:bCs/>
              </w:rPr>
              <w:t>What is the actual number of BEE asset managers</w:t>
            </w:r>
            <w:r w:rsidR="00810ACC">
              <w:rPr>
                <w:rFonts w:cs="Arial"/>
                <w:bCs/>
              </w:rPr>
              <w:t xml:space="preserve"> </w:t>
            </w:r>
            <w:r w:rsidR="0041476B">
              <w:rPr>
                <w:rFonts w:cs="Arial"/>
                <w:bCs/>
              </w:rPr>
              <w:t xml:space="preserve">who will be the </w:t>
            </w:r>
            <w:r>
              <w:rPr>
                <w:rFonts w:cs="Arial"/>
                <w:bCs/>
              </w:rPr>
              <w:t xml:space="preserve">recipients of </w:t>
            </w:r>
            <w:r w:rsidR="004C17E7">
              <w:rPr>
                <w:rFonts w:cs="Arial"/>
                <w:bCs/>
              </w:rPr>
              <w:t>the R11.5 billion</w:t>
            </w:r>
            <w:r>
              <w:rPr>
                <w:rFonts w:cs="Arial"/>
                <w:bCs/>
              </w:rPr>
              <w:t xml:space="preserve"> funds?</w:t>
            </w:r>
          </w:p>
        </w:tc>
      </w:tr>
      <w:tr w:rsidR="004C17E7" w:rsidTr="00055604">
        <w:tc>
          <w:tcPr>
            <w:tcW w:w="2070" w:type="dxa"/>
            <w:shd w:val="clear" w:color="auto" w:fill="BFBFBF" w:themeFill="background1" w:themeFillShade="BF"/>
          </w:tcPr>
          <w:p w:rsidR="004C17E7" w:rsidRPr="00021A79" w:rsidRDefault="004C17E7" w:rsidP="00021A79">
            <w:pPr>
              <w:pStyle w:val="ListParagraph"/>
              <w:numPr>
                <w:ilvl w:val="0"/>
                <w:numId w:val="6"/>
              </w:numPr>
              <w:rPr>
                <w:rFonts w:cs="Arial"/>
                <w:b/>
                <w:bCs/>
              </w:rPr>
            </w:pPr>
            <w:r>
              <w:rPr>
                <w:rFonts w:cs="Arial"/>
                <w:b/>
                <w:bCs/>
              </w:rPr>
              <w:t>Human Capital and Knowledge Management</w:t>
            </w:r>
          </w:p>
        </w:tc>
        <w:tc>
          <w:tcPr>
            <w:tcW w:w="6300" w:type="dxa"/>
            <w:shd w:val="clear" w:color="auto" w:fill="BFBFBF" w:themeFill="background1" w:themeFillShade="BF"/>
          </w:tcPr>
          <w:p w:rsidR="004C17E7" w:rsidRDefault="004C17E7" w:rsidP="00827369">
            <w:pPr>
              <w:rPr>
                <w:rFonts w:cs="Arial"/>
                <w:bCs/>
              </w:rPr>
            </w:pPr>
            <w:r>
              <w:rPr>
                <w:rFonts w:cs="Arial"/>
                <w:bCs/>
              </w:rPr>
              <w:t xml:space="preserve">PIC staff defined as black in terms of the Employment Equity Act amounted to 88.2% which exceeded the target of 86%. </w:t>
            </w:r>
          </w:p>
        </w:tc>
        <w:tc>
          <w:tcPr>
            <w:tcW w:w="4590" w:type="dxa"/>
            <w:shd w:val="clear" w:color="auto" w:fill="BFBFBF" w:themeFill="background1" w:themeFillShade="BF"/>
          </w:tcPr>
          <w:p w:rsidR="004C17E7" w:rsidRDefault="004C17E7" w:rsidP="004C17E7">
            <w:pPr>
              <w:pStyle w:val="ListParagraph"/>
              <w:rPr>
                <w:rFonts w:cs="Arial"/>
                <w:bCs/>
              </w:rPr>
            </w:pPr>
          </w:p>
        </w:tc>
        <w:tc>
          <w:tcPr>
            <w:tcW w:w="3060" w:type="dxa"/>
            <w:shd w:val="clear" w:color="auto" w:fill="BFBFBF" w:themeFill="background1" w:themeFillShade="BF"/>
          </w:tcPr>
          <w:p w:rsidR="004C17E7" w:rsidRDefault="004C17E7" w:rsidP="004C17E7">
            <w:pPr>
              <w:rPr>
                <w:rFonts w:cs="Arial"/>
                <w:bCs/>
              </w:rPr>
            </w:pPr>
          </w:p>
        </w:tc>
      </w:tr>
    </w:tbl>
    <w:p w:rsidR="008817A9" w:rsidRDefault="008817A9" w:rsidP="008817A9"/>
    <w:p w:rsidR="00055604" w:rsidRDefault="00055604" w:rsidP="008817A9">
      <w:pPr>
        <w:sectPr w:rsidR="00055604" w:rsidSect="00055604">
          <w:pgSz w:w="16838" w:h="11906" w:orient="landscape"/>
          <w:pgMar w:top="1440" w:right="2002" w:bottom="1440" w:left="1440" w:header="706" w:footer="706" w:gutter="0"/>
          <w:cols w:space="708"/>
          <w:titlePg/>
          <w:docGrid w:linePitch="360"/>
        </w:sectPr>
      </w:pPr>
    </w:p>
    <w:p w:rsidR="008817A9" w:rsidRDefault="008817A9" w:rsidP="008817A9"/>
    <w:p w:rsidR="00052B47" w:rsidRDefault="00702501" w:rsidP="00810ACC">
      <w:pPr>
        <w:pStyle w:val="Heading2"/>
        <w:numPr>
          <w:ilvl w:val="1"/>
          <w:numId w:val="24"/>
        </w:numPr>
      </w:pPr>
      <w:bookmarkStart w:id="6" w:name="_Toc464214444"/>
      <w:r>
        <w:t>Fin</w:t>
      </w:r>
      <w:r w:rsidR="00EF36A1">
        <w:t>ancial Analysis</w:t>
      </w:r>
      <w:bookmarkEnd w:id="6"/>
    </w:p>
    <w:p w:rsidR="00EF36A1" w:rsidRDefault="00EF36A1" w:rsidP="00810ACC">
      <w:pPr>
        <w:pStyle w:val="Heading2"/>
      </w:pPr>
      <w:bookmarkStart w:id="7" w:name="_Toc286333630"/>
      <w:bookmarkStart w:id="8" w:name="_Toc371675521"/>
    </w:p>
    <w:p w:rsidR="00EF36A1" w:rsidRDefault="00EF36A1" w:rsidP="00EF36A1">
      <w:pPr>
        <w:pStyle w:val="Heading2"/>
      </w:pPr>
      <w:bookmarkStart w:id="9" w:name="_Toc464214445"/>
      <w:r>
        <w:t xml:space="preserve">Table 2: </w:t>
      </w:r>
      <w:r w:rsidRPr="0085671C">
        <w:t xml:space="preserve">Summary of key </w:t>
      </w:r>
      <w:bookmarkEnd w:id="7"/>
      <w:bookmarkEnd w:id="8"/>
      <w:r w:rsidR="00055604">
        <w:t>figures</w:t>
      </w:r>
      <w:bookmarkEnd w:id="9"/>
    </w:p>
    <w:tbl>
      <w:tblPr>
        <w:tblW w:w="18560" w:type="dxa"/>
        <w:tblInd w:w="98" w:type="dxa"/>
        <w:tblLook w:val="04A0"/>
      </w:tblPr>
      <w:tblGrid>
        <w:gridCol w:w="4392"/>
        <w:gridCol w:w="1530"/>
        <w:gridCol w:w="1980"/>
        <w:gridCol w:w="578"/>
        <w:gridCol w:w="2520"/>
        <w:gridCol w:w="2520"/>
        <w:gridCol w:w="2520"/>
        <w:gridCol w:w="2520"/>
      </w:tblGrid>
      <w:tr w:rsidR="002B08CF" w:rsidRPr="00507716" w:rsidTr="008817A9">
        <w:trPr>
          <w:trHeight w:val="249"/>
        </w:trPr>
        <w:tc>
          <w:tcPr>
            <w:tcW w:w="4392" w:type="dxa"/>
            <w:tcBorders>
              <w:top w:val="single" w:sz="8" w:space="0" w:color="auto"/>
              <w:left w:val="single" w:sz="8" w:space="0" w:color="auto"/>
              <w:bottom w:val="nil"/>
              <w:right w:val="single" w:sz="8" w:space="0" w:color="auto"/>
            </w:tcBorders>
            <w:shd w:val="clear" w:color="000000" w:fill="A5A5A5"/>
            <w:noWrap/>
            <w:vAlign w:val="bottom"/>
            <w:hideMark/>
          </w:tcPr>
          <w:p w:rsidR="002B08CF" w:rsidRPr="00507716" w:rsidRDefault="002B08CF" w:rsidP="00377ACD">
            <w:pPr>
              <w:spacing w:line="240" w:lineRule="auto"/>
              <w:jc w:val="left"/>
              <w:rPr>
                <w:rFonts w:ascii="Calibri" w:hAnsi="Calibri"/>
                <w:b/>
                <w:bCs/>
                <w:color w:val="000000"/>
                <w:szCs w:val="20"/>
                <w:lang w:val="en-US"/>
              </w:rPr>
            </w:pPr>
            <w:r w:rsidRPr="00507716">
              <w:rPr>
                <w:rFonts w:ascii="Calibri" w:hAnsi="Calibri"/>
                <w:b/>
                <w:bCs/>
                <w:color w:val="000000"/>
                <w:szCs w:val="20"/>
                <w:lang w:val="en-US"/>
              </w:rPr>
              <w:t> </w:t>
            </w:r>
          </w:p>
        </w:tc>
        <w:tc>
          <w:tcPr>
            <w:tcW w:w="1530" w:type="dxa"/>
            <w:vMerge w:val="restart"/>
            <w:tcBorders>
              <w:top w:val="single" w:sz="8" w:space="0" w:color="auto"/>
              <w:left w:val="nil"/>
              <w:right w:val="single" w:sz="8" w:space="0" w:color="000000"/>
            </w:tcBorders>
            <w:shd w:val="clear" w:color="000000" w:fill="A5A5A5"/>
            <w:noWrap/>
            <w:vAlign w:val="bottom"/>
            <w:hideMark/>
          </w:tcPr>
          <w:p w:rsidR="002B08CF" w:rsidRPr="00507716" w:rsidRDefault="002B08CF" w:rsidP="00377ACD">
            <w:pPr>
              <w:spacing w:line="240" w:lineRule="auto"/>
              <w:jc w:val="center"/>
              <w:rPr>
                <w:rFonts w:ascii="Calibri" w:hAnsi="Calibri"/>
                <w:b/>
                <w:bCs/>
                <w:color w:val="000000"/>
                <w:szCs w:val="20"/>
                <w:lang w:val="en-US"/>
              </w:rPr>
            </w:pPr>
            <w:r>
              <w:rPr>
                <w:rFonts w:ascii="Calibri" w:hAnsi="Calibri"/>
                <w:b/>
                <w:bCs/>
                <w:color w:val="000000"/>
                <w:szCs w:val="20"/>
                <w:lang w:val="en-US"/>
              </w:rPr>
              <w:t>2016</w:t>
            </w:r>
          </w:p>
        </w:tc>
        <w:tc>
          <w:tcPr>
            <w:tcW w:w="1980" w:type="dxa"/>
            <w:vMerge w:val="restart"/>
            <w:tcBorders>
              <w:top w:val="single" w:sz="8" w:space="0" w:color="auto"/>
              <w:left w:val="nil"/>
              <w:right w:val="single" w:sz="8" w:space="0" w:color="000000"/>
            </w:tcBorders>
            <w:shd w:val="clear" w:color="000000" w:fill="A5A5A5"/>
            <w:vAlign w:val="bottom"/>
          </w:tcPr>
          <w:p w:rsidR="002B08CF" w:rsidRPr="00507716" w:rsidRDefault="002B08CF" w:rsidP="00377ACD">
            <w:pPr>
              <w:spacing w:line="240" w:lineRule="auto"/>
              <w:jc w:val="center"/>
              <w:rPr>
                <w:rFonts w:ascii="Calibri" w:hAnsi="Calibri"/>
                <w:b/>
                <w:bCs/>
                <w:color w:val="000000"/>
                <w:szCs w:val="20"/>
                <w:lang w:val="en-US"/>
              </w:rPr>
            </w:pPr>
            <w:r>
              <w:rPr>
                <w:rFonts w:ascii="Calibri" w:hAnsi="Calibri"/>
                <w:b/>
                <w:bCs/>
                <w:color w:val="000000"/>
                <w:szCs w:val="20"/>
                <w:lang w:val="en-US"/>
              </w:rPr>
              <w:t>2015</w:t>
            </w:r>
          </w:p>
        </w:tc>
        <w:tc>
          <w:tcPr>
            <w:tcW w:w="578" w:type="dxa"/>
          </w:tcPr>
          <w:p w:rsidR="002B08CF" w:rsidRPr="00BD1633" w:rsidRDefault="002B08CF" w:rsidP="00377ACD">
            <w:pPr>
              <w:rPr>
                <w:rFonts w:cs="Arial"/>
                <w:sz w:val="20"/>
                <w:szCs w:val="20"/>
                <w:lang w:eastAsia="en-ZA"/>
              </w:rPr>
            </w:pPr>
          </w:p>
        </w:tc>
        <w:tc>
          <w:tcPr>
            <w:tcW w:w="2520" w:type="dxa"/>
            <w:vAlign w:val="bottom"/>
          </w:tcPr>
          <w:p w:rsidR="002B08CF" w:rsidRPr="00BD1633" w:rsidRDefault="002B08CF" w:rsidP="00377ACD">
            <w:pPr>
              <w:rPr>
                <w:rFonts w:cs="Arial"/>
                <w:sz w:val="20"/>
                <w:szCs w:val="20"/>
                <w:lang w:eastAsia="en-ZA"/>
              </w:rPr>
            </w:pPr>
          </w:p>
        </w:tc>
        <w:tc>
          <w:tcPr>
            <w:tcW w:w="2520" w:type="dxa"/>
            <w:vAlign w:val="bottom"/>
          </w:tcPr>
          <w:p w:rsidR="002B08CF" w:rsidRPr="00BD1633" w:rsidRDefault="002B08CF" w:rsidP="00377ACD">
            <w:pPr>
              <w:rPr>
                <w:rFonts w:cs="Arial"/>
                <w:sz w:val="20"/>
                <w:szCs w:val="20"/>
                <w:lang w:eastAsia="en-ZA"/>
              </w:rPr>
            </w:pPr>
          </w:p>
        </w:tc>
        <w:tc>
          <w:tcPr>
            <w:tcW w:w="2520" w:type="dxa"/>
            <w:vAlign w:val="bottom"/>
          </w:tcPr>
          <w:p w:rsidR="002B08CF" w:rsidRPr="00BD1633" w:rsidRDefault="002B08CF" w:rsidP="00377ACD">
            <w:pPr>
              <w:rPr>
                <w:rFonts w:cs="Arial"/>
                <w:sz w:val="20"/>
                <w:szCs w:val="20"/>
                <w:lang w:eastAsia="en-ZA"/>
              </w:rPr>
            </w:pPr>
          </w:p>
        </w:tc>
        <w:tc>
          <w:tcPr>
            <w:tcW w:w="2520" w:type="dxa"/>
            <w:vAlign w:val="bottom"/>
          </w:tcPr>
          <w:p w:rsidR="002B08CF" w:rsidRPr="00BD1633" w:rsidRDefault="002B08CF" w:rsidP="00377ACD">
            <w:pPr>
              <w:rPr>
                <w:rFonts w:cs="Arial"/>
                <w:sz w:val="20"/>
                <w:szCs w:val="20"/>
                <w:lang w:eastAsia="en-ZA"/>
              </w:rPr>
            </w:pPr>
          </w:p>
        </w:tc>
      </w:tr>
      <w:tr w:rsidR="002B08CF" w:rsidRPr="00507716" w:rsidTr="008817A9">
        <w:trPr>
          <w:trHeight w:val="249"/>
        </w:trPr>
        <w:tc>
          <w:tcPr>
            <w:tcW w:w="4392" w:type="dxa"/>
            <w:tcBorders>
              <w:top w:val="nil"/>
              <w:left w:val="single" w:sz="8" w:space="0" w:color="auto"/>
              <w:bottom w:val="single" w:sz="8" w:space="0" w:color="auto"/>
              <w:right w:val="single" w:sz="8" w:space="0" w:color="auto"/>
            </w:tcBorders>
            <w:shd w:val="clear" w:color="000000" w:fill="A5A5A5"/>
            <w:noWrap/>
            <w:vAlign w:val="bottom"/>
            <w:hideMark/>
          </w:tcPr>
          <w:p w:rsidR="002B08CF" w:rsidRPr="00507716" w:rsidRDefault="002B08CF" w:rsidP="00377ACD">
            <w:pPr>
              <w:spacing w:line="240" w:lineRule="auto"/>
              <w:jc w:val="center"/>
              <w:rPr>
                <w:rFonts w:ascii="Calibri" w:hAnsi="Calibri"/>
                <w:b/>
                <w:bCs/>
                <w:color w:val="000000"/>
                <w:szCs w:val="20"/>
                <w:lang w:val="en-US"/>
              </w:rPr>
            </w:pPr>
            <w:r w:rsidRPr="00507716">
              <w:rPr>
                <w:rFonts w:ascii="Calibri" w:hAnsi="Calibri"/>
                <w:b/>
                <w:bCs/>
                <w:color w:val="000000"/>
                <w:szCs w:val="20"/>
                <w:lang w:val="en-US"/>
              </w:rPr>
              <w:t>Income Statement</w:t>
            </w:r>
          </w:p>
        </w:tc>
        <w:tc>
          <w:tcPr>
            <w:tcW w:w="1530" w:type="dxa"/>
            <w:vMerge/>
            <w:tcBorders>
              <w:left w:val="nil"/>
              <w:bottom w:val="single" w:sz="8" w:space="0" w:color="auto"/>
              <w:right w:val="single" w:sz="8" w:space="0" w:color="000000"/>
            </w:tcBorders>
            <w:shd w:val="clear" w:color="000000" w:fill="A5A5A5"/>
            <w:noWrap/>
            <w:vAlign w:val="bottom"/>
            <w:hideMark/>
          </w:tcPr>
          <w:p w:rsidR="002B08CF" w:rsidRPr="00507716" w:rsidRDefault="002B08CF" w:rsidP="00377ACD">
            <w:pPr>
              <w:spacing w:line="240" w:lineRule="auto"/>
              <w:jc w:val="center"/>
              <w:rPr>
                <w:rFonts w:ascii="Calibri" w:hAnsi="Calibri"/>
                <w:b/>
                <w:bCs/>
                <w:color w:val="000000"/>
                <w:szCs w:val="20"/>
                <w:lang w:val="en-US"/>
              </w:rPr>
            </w:pPr>
          </w:p>
        </w:tc>
        <w:tc>
          <w:tcPr>
            <w:tcW w:w="1980" w:type="dxa"/>
            <w:vMerge/>
            <w:tcBorders>
              <w:left w:val="single" w:sz="8" w:space="0" w:color="000000"/>
              <w:bottom w:val="single" w:sz="8" w:space="0" w:color="auto"/>
              <w:right w:val="single" w:sz="8" w:space="0" w:color="000000"/>
            </w:tcBorders>
            <w:shd w:val="clear" w:color="000000" w:fill="A5A5A5"/>
            <w:noWrap/>
            <w:vAlign w:val="bottom"/>
            <w:hideMark/>
          </w:tcPr>
          <w:p w:rsidR="002B08CF" w:rsidRPr="00507716" w:rsidRDefault="002B08CF" w:rsidP="00377ACD">
            <w:pPr>
              <w:spacing w:line="240" w:lineRule="auto"/>
              <w:jc w:val="center"/>
              <w:rPr>
                <w:rFonts w:ascii="Calibri" w:hAnsi="Calibri"/>
                <w:b/>
                <w:bCs/>
                <w:color w:val="000000"/>
                <w:szCs w:val="20"/>
                <w:lang w:val="en-US"/>
              </w:rPr>
            </w:pPr>
          </w:p>
        </w:tc>
        <w:tc>
          <w:tcPr>
            <w:tcW w:w="578" w:type="dxa"/>
            <w:tcBorders>
              <w:left w:val="single" w:sz="8" w:space="0" w:color="000000"/>
            </w:tcBorders>
          </w:tcPr>
          <w:p w:rsidR="002B08CF" w:rsidRPr="00BD1633" w:rsidRDefault="002B08CF" w:rsidP="00377ACD">
            <w:pPr>
              <w:rPr>
                <w:rFonts w:cs="Arial"/>
                <w:sz w:val="20"/>
                <w:szCs w:val="20"/>
                <w:lang w:eastAsia="en-ZA"/>
              </w:rPr>
            </w:pPr>
          </w:p>
        </w:tc>
        <w:tc>
          <w:tcPr>
            <w:tcW w:w="2520" w:type="dxa"/>
            <w:vAlign w:val="bottom"/>
          </w:tcPr>
          <w:p w:rsidR="002B08CF" w:rsidRPr="00BD1633" w:rsidRDefault="002B08CF" w:rsidP="00377ACD">
            <w:pPr>
              <w:rPr>
                <w:rFonts w:cs="Arial"/>
                <w:sz w:val="20"/>
                <w:szCs w:val="20"/>
                <w:lang w:eastAsia="en-ZA"/>
              </w:rPr>
            </w:pPr>
          </w:p>
        </w:tc>
        <w:tc>
          <w:tcPr>
            <w:tcW w:w="2520" w:type="dxa"/>
            <w:vAlign w:val="bottom"/>
          </w:tcPr>
          <w:p w:rsidR="002B08CF" w:rsidRPr="00BD1633" w:rsidRDefault="002B08CF" w:rsidP="00377ACD">
            <w:pPr>
              <w:rPr>
                <w:rFonts w:cs="Arial"/>
                <w:sz w:val="20"/>
                <w:szCs w:val="20"/>
                <w:lang w:eastAsia="en-ZA"/>
              </w:rPr>
            </w:pPr>
          </w:p>
        </w:tc>
        <w:tc>
          <w:tcPr>
            <w:tcW w:w="2520" w:type="dxa"/>
            <w:vAlign w:val="bottom"/>
          </w:tcPr>
          <w:p w:rsidR="002B08CF" w:rsidRPr="00BD1633" w:rsidRDefault="002B08CF" w:rsidP="00377ACD">
            <w:pPr>
              <w:rPr>
                <w:rFonts w:cs="Arial"/>
                <w:sz w:val="20"/>
                <w:szCs w:val="20"/>
                <w:lang w:eastAsia="en-ZA"/>
              </w:rPr>
            </w:pPr>
          </w:p>
        </w:tc>
        <w:tc>
          <w:tcPr>
            <w:tcW w:w="2520" w:type="dxa"/>
            <w:vAlign w:val="bottom"/>
          </w:tcPr>
          <w:p w:rsidR="002B08CF" w:rsidRPr="00BD1633" w:rsidRDefault="002B08CF" w:rsidP="00377ACD">
            <w:pPr>
              <w:rPr>
                <w:rFonts w:cs="Arial"/>
                <w:sz w:val="20"/>
                <w:szCs w:val="20"/>
                <w:lang w:eastAsia="en-ZA"/>
              </w:rPr>
            </w:pPr>
          </w:p>
        </w:tc>
      </w:tr>
      <w:tr w:rsidR="00AE60E1" w:rsidRPr="00507716" w:rsidTr="008817A9">
        <w:trPr>
          <w:trHeight w:val="403"/>
        </w:trPr>
        <w:tc>
          <w:tcPr>
            <w:tcW w:w="4392" w:type="dxa"/>
            <w:tcBorders>
              <w:top w:val="nil"/>
              <w:left w:val="single" w:sz="8" w:space="0" w:color="auto"/>
              <w:bottom w:val="nil"/>
              <w:right w:val="single" w:sz="8" w:space="0" w:color="auto"/>
            </w:tcBorders>
            <w:shd w:val="clear" w:color="000000" w:fill="DBEEF3"/>
            <w:noWrap/>
            <w:vAlign w:val="bottom"/>
            <w:hideMark/>
          </w:tcPr>
          <w:p w:rsidR="00AE60E1" w:rsidRPr="00067A47" w:rsidRDefault="00AE60E1" w:rsidP="008817A9">
            <w:pPr>
              <w:spacing w:line="240" w:lineRule="auto"/>
              <w:jc w:val="left"/>
              <w:rPr>
                <w:rFonts w:cs="Arial"/>
                <w:sz w:val="20"/>
                <w:szCs w:val="20"/>
                <w:lang w:eastAsia="en-ZA"/>
              </w:rPr>
            </w:pPr>
            <w:r w:rsidRPr="00067A47">
              <w:rPr>
                <w:rFonts w:cs="Arial"/>
                <w:sz w:val="20"/>
                <w:szCs w:val="20"/>
                <w:lang w:eastAsia="en-ZA"/>
              </w:rPr>
              <w:t>Total Revenue (R'</w:t>
            </w:r>
            <w:r>
              <w:rPr>
                <w:rFonts w:cs="Arial"/>
                <w:sz w:val="20"/>
                <w:szCs w:val="20"/>
                <w:lang w:eastAsia="en-ZA"/>
              </w:rPr>
              <w:t xml:space="preserve"> </w:t>
            </w:r>
            <w:r w:rsidRPr="00067A47">
              <w:rPr>
                <w:rFonts w:cs="Arial"/>
                <w:sz w:val="20"/>
                <w:szCs w:val="20"/>
                <w:lang w:eastAsia="en-ZA"/>
              </w:rPr>
              <w:t>thousand)</w:t>
            </w:r>
          </w:p>
        </w:tc>
        <w:tc>
          <w:tcPr>
            <w:tcW w:w="1530" w:type="dxa"/>
            <w:tcBorders>
              <w:top w:val="nil"/>
              <w:left w:val="nil"/>
              <w:bottom w:val="nil"/>
              <w:right w:val="single" w:sz="8" w:space="0" w:color="auto"/>
            </w:tcBorders>
            <w:shd w:val="clear" w:color="000000" w:fill="DBEEF3"/>
            <w:noWrap/>
            <w:vAlign w:val="bottom"/>
            <w:hideMark/>
          </w:tcPr>
          <w:p w:rsidR="00AE60E1" w:rsidRPr="00507716" w:rsidRDefault="00AE60E1" w:rsidP="00377ACD">
            <w:pPr>
              <w:spacing w:line="240" w:lineRule="auto"/>
              <w:jc w:val="center"/>
              <w:rPr>
                <w:rFonts w:ascii="Calibri" w:hAnsi="Calibri"/>
                <w:color w:val="000000"/>
                <w:szCs w:val="20"/>
                <w:lang w:val="en-US"/>
              </w:rPr>
            </w:pPr>
            <w:r>
              <w:rPr>
                <w:rFonts w:ascii="Calibri" w:hAnsi="Calibri"/>
                <w:color w:val="000000"/>
                <w:szCs w:val="20"/>
                <w:lang w:val="en-US"/>
              </w:rPr>
              <w:t>1 010 733</w:t>
            </w:r>
            <w:r w:rsidRPr="00507716">
              <w:rPr>
                <w:rFonts w:ascii="Calibri" w:hAnsi="Calibri"/>
                <w:color w:val="000000"/>
                <w:szCs w:val="20"/>
                <w:lang w:val="en-US"/>
              </w:rPr>
              <w:t xml:space="preserve"> </w:t>
            </w:r>
          </w:p>
        </w:tc>
        <w:tc>
          <w:tcPr>
            <w:tcW w:w="1980" w:type="dxa"/>
            <w:tcBorders>
              <w:top w:val="nil"/>
              <w:left w:val="nil"/>
              <w:bottom w:val="nil"/>
              <w:right w:val="single" w:sz="8" w:space="0" w:color="auto"/>
            </w:tcBorders>
            <w:shd w:val="clear" w:color="000000" w:fill="DBEEF3"/>
            <w:noWrap/>
            <w:vAlign w:val="bottom"/>
            <w:hideMark/>
          </w:tcPr>
          <w:p w:rsidR="00AE60E1" w:rsidRPr="00507716" w:rsidRDefault="00AE60E1" w:rsidP="00377ACD">
            <w:pPr>
              <w:spacing w:line="240" w:lineRule="auto"/>
              <w:jc w:val="center"/>
              <w:rPr>
                <w:rFonts w:ascii="Calibri" w:hAnsi="Calibri"/>
                <w:color w:val="000000"/>
                <w:szCs w:val="20"/>
                <w:lang w:val="en-US"/>
              </w:rPr>
            </w:pPr>
            <w:r>
              <w:rPr>
                <w:rFonts w:ascii="Calibri" w:hAnsi="Calibri"/>
                <w:color w:val="000000"/>
                <w:szCs w:val="20"/>
                <w:lang w:val="en-US"/>
              </w:rPr>
              <w:t>955 232</w:t>
            </w:r>
          </w:p>
        </w:tc>
        <w:tc>
          <w:tcPr>
            <w:tcW w:w="578" w:type="dxa"/>
          </w:tcPr>
          <w:p w:rsidR="00AE60E1" w:rsidRPr="00BD1633" w:rsidRDefault="00AE60E1" w:rsidP="00377ACD">
            <w:pPr>
              <w:rPr>
                <w:rFonts w:cs="Arial"/>
                <w:sz w:val="20"/>
                <w:szCs w:val="20"/>
                <w:lang w:eastAsia="en-ZA"/>
              </w:rPr>
            </w:pPr>
          </w:p>
        </w:tc>
        <w:tc>
          <w:tcPr>
            <w:tcW w:w="2520" w:type="dxa"/>
            <w:vAlign w:val="bottom"/>
          </w:tcPr>
          <w:p w:rsidR="00AE60E1" w:rsidRPr="00BD1633" w:rsidRDefault="00AE60E1" w:rsidP="00377ACD">
            <w:pPr>
              <w:rPr>
                <w:rFonts w:cs="Arial"/>
                <w:sz w:val="20"/>
                <w:szCs w:val="20"/>
                <w:lang w:eastAsia="en-ZA"/>
              </w:rPr>
            </w:pPr>
          </w:p>
        </w:tc>
        <w:tc>
          <w:tcPr>
            <w:tcW w:w="2520" w:type="dxa"/>
            <w:vAlign w:val="bottom"/>
          </w:tcPr>
          <w:p w:rsidR="00AE60E1" w:rsidRPr="00BD1633" w:rsidRDefault="00AE60E1" w:rsidP="00377ACD">
            <w:pPr>
              <w:rPr>
                <w:rFonts w:cs="Arial"/>
                <w:sz w:val="20"/>
                <w:szCs w:val="20"/>
                <w:lang w:eastAsia="en-ZA"/>
              </w:rPr>
            </w:pPr>
          </w:p>
        </w:tc>
        <w:tc>
          <w:tcPr>
            <w:tcW w:w="2520" w:type="dxa"/>
            <w:vAlign w:val="bottom"/>
          </w:tcPr>
          <w:p w:rsidR="00AE60E1" w:rsidRPr="00BD1633" w:rsidRDefault="00AE60E1" w:rsidP="00377ACD">
            <w:pPr>
              <w:rPr>
                <w:rFonts w:cs="Arial"/>
                <w:sz w:val="20"/>
                <w:szCs w:val="20"/>
                <w:lang w:eastAsia="en-ZA"/>
              </w:rPr>
            </w:pPr>
          </w:p>
        </w:tc>
        <w:tc>
          <w:tcPr>
            <w:tcW w:w="2520" w:type="dxa"/>
            <w:vAlign w:val="bottom"/>
          </w:tcPr>
          <w:p w:rsidR="00AE60E1" w:rsidRPr="00BD1633" w:rsidRDefault="00AE60E1" w:rsidP="00377ACD">
            <w:pPr>
              <w:rPr>
                <w:rFonts w:cs="Arial"/>
                <w:sz w:val="20"/>
                <w:szCs w:val="20"/>
                <w:lang w:eastAsia="en-ZA"/>
              </w:rPr>
            </w:pPr>
          </w:p>
        </w:tc>
      </w:tr>
      <w:tr w:rsidR="00AE60E1" w:rsidRPr="00507716" w:rsidTr="003C5550">
        <w:trPr>
          <w:trHeight w:val="275"/>
        </w:trPr>
        <w:tc>
          <w:tcPr>
            <w:tcW w:w="4392" w:type="dxa"/>
            <w:tcBorders>
              <w:top w:val="nil"/>
              <w:left w:val="single" w:sz="8" w:space="0" w:color="auto"/>
              <w:bottom w:val="nil"/>
              <w:right w:val="single" w:sz="8" w:space="0" w:color="auto"/>
            </w:tcBorders>
            <w:shd w:val="clear" w:color="000000" w:fill="DBEEF3"/>
            <w:noWrap/>
            <w:vAlign w:val="bottom"/>
            <w:hideMark/>
          </w:tcPr>
          <w:p w:rsidR="00AE60E1" w:rsidRPr="00067A47" w:rsidRDefault="00AE60E1" w:rsidP="008817A9">
            <w:pPr>
              <w:spacing w:line="240" w:lineRule="auto"/>
              <w:jc w:val="left"/>
              <w:rPr>
                <w:rFonts w:cs="Arial"/>
                <w:sz w:val="20"/>
                <w:szCs w:val="20"/>
                <w:lang w:eastAsia="en-ZA"/>
              </w:rPr>
            </w:pPr>
            <w:r w:rsidRPr="00067A47">
              <w:rPr>
                <w:rFonts w:cs="Arial"/>
                <w:sz w:val="20"/>
                <w:szCs w:val="20"/>
                <w:lang w:eastAsia="en-ZA"/>
              </w:rPr>
              <w:t>Operating expenses</w:t>
            </w:r>
          </w:p>
        </w:tc>
        <w:tc>
          <w:tcPr>
            <w:tcW w:w="1530" w:type="dxa"/>
            <w:tcBorders>
              <w:top w:val="nil"/>
              <w:left w:val="nil"/>
              <w:bottom w:val="nil"/>
              <w:right w:val="single" w:sz="8" w:space="0" w:color="auto"/>
            </w:tcBorders>
            <w:shd w:val="clear" w:color="000000" w:fill="DBEEF3"/>
            <w:noWrap/>
            <w:vAlign w:val="bottom"/>
            <w:hideMark/>
          </w:tcPr>
          <w:p w:rsidR="00AE60E1" w:rsidRPr="00507716" w:rsidRDefault="00AE60E1" w:rsidP="00377ACD">
            <w:pPr>
              <w:spacing w:line="240" w:lineRule="auto"/>
              <w:jc w:val="center"/>
              <w:rPr>
                <w:rFonts w:ascii="Calibri" w:hAnsi="Calibri"/>
                <w:color w:val="000000"/>
                <w:szCs w:val="20"/>
                <w:lang w:val="en-US"/>
              </w:rPr>
            </w:pPr>
            <w:r>
              <w:rPr>
                <w:rFonts w:ascii="Calibri" w:hAnsi="Calibri"/>
                <w:color w:val="000000"/>
                <w:szCs w:val="20"/>
                <w:lang w:val="en-US"/>
              </w:rPr>
              <w:t>(564 970)</w:t>
            </w:r>
          </w:p>
        </w:tc>
        <w:tc>
          <w:tcPr>
            <w:tcW w:w="1980" w:type="dxa"/>
            <w:tcBorders>
              <w:top w:val="nil"/>
              <w:left w:val="nil"/>
              <w:bottom w:val="nil"/>
              <w:right w:val="single" w:sz="8" w:space="0" w:color="auto"/>
            </w:tcBorders>
            <w:shd w:val="clear" w:color="000000" w:fill="DBEEF3"/>
            <w:noWrap/>
            <w:vAlign w:val="bottom"/>
            <w:hideMark/>
          </w:tcPr>
          <w:p w:rsidR="00AE60E1" w:rsidRPr="00507716" w:rsidRDefault="00AE60E1" w:rsidP="00377ACD">
            <w:pPr>
              <w:spacing w:line="240" w:lineRule="auto"/>
              <w:jc w:val="center"/>
              <w:rPr>
                <w:rFonts w:ascii="Calibri" w:hAnsi="Calibri"/>
                <w:color w:val="000000"/>
                <w:szCs w:val="20"/>
                <w:lang w:val="en-US"/>
              </w:rPr>
            </w:pPr>
            <w:r>
              <w:rPr>
                <w:rFonts w:ascii="Calibri" w:hAnsi="Calibri"/>
                <w:color w:val="000000"/>
                <w:szCs w:val="20"/>
                <w:lang w:val="en-US"/>
              </w:rPr>
              <w:t>(583 492)</w:t>
            </w:r>
          </w:p>
        </w:tc>
        <w:tc>
          <w:tcPr>
            <w:tcW w:w="578" w:type="dxa"/>
          </w:tcPr>
          <w:p w:rsidR="00AE60E1" w:rsidRPr="00BD1633" w:rsidRDefault="00AE60E1" w:rsidP="00377ACD">
            <w:pPr>
              <w:rPr>
                <w:rFonts w:cs="Arial"/>
                <w:sz w:val="20"/>
                <w:szCs w:val="20"/>
                <w:lang w:eastAsia="en-ZA"/>
              </w:rPr>
            </w:pPr>
          </w:p>
        </w:tc>
        <w:tc>
          <w:tcPr>
            <w:tcW w:w="2520" w:type="dxa"/>
            <w:vAlign w:val="bottom"/>
          </w:tcPr>
          <w:p w:rsidR="00AE60E1" w:rsidRPr="00BD1633" w:rsidRDefault="00AE60E1" w:rsidP="00377ACD">
            <w:pPr>
              <w:rPr>
                <w:rFonts w:cs="Arial"/>
                <w:sz w:val="20"/>
                <w:szCs w:val="20"/>
                <w:lang w:eastAsia="en-ZA"/>
              </w:rPr>
            </w:pPr>
          </w:p>
        </w:tc>
        <w:tc>
          <w:tcPr>
            <w:tcW w:w="2520" w:type="dxa"/>
            <w:vAlign w:val="bottom"/>
          </w:tcPr>
          <w:p w:rsidR="00AE60E1" w:rsidRPr="00BD1633" w:rsidRDefault="00AE60E1" w:rsidP="00377ACD">
            <w:pPr>
              <w:rPr>
                <w:rFonts w:cs="Arial"/>
                <w:sz w:val="20"/>
                <w:szCs w:val="20"/>
                <w:lang w:eastAsia="en-ZA"/>
              </w:rPr>
            </w:pPr>
          </w:p>
        </w:tc>
        <w:tc>
          <w:tcPr>
            <w:tcW w:w="2520" w:type="dxa"/>
            <w:vAlign w:val="bottom"/>
          </w:tcPr>
          <w:p w:rsidR="00AE60E1" w:rsidRPr="00BD1633" w:rsidRDefault="00AE60E1" w:rsidP="00377ACD">
            <w:pPr>
              <w:rPr>
                <w:rFonts w:cs="Arial"/>
                <w:sz w:val="20"/>
                <w:szCs w:val="20"/>
                <w:lang w:eastAsia="en-ZA"/>
              </w:rPr>
            </w:pPr>
          </w:p>
        </w:tc>
        <w:tc>
          <w:tcPr>
            <w:tcW w:w="2520" w:type="dxa"/>
            <w:vAlign w:val="bottom"/>
          </w:tcPr>
          <w:p w:rsidR="00AE60E1" w:rsidRPr="00BD1633" w:rsidRDefault="00AE60E1" w:rsidP="00377ACD">
            <w:pPr>
              <w:rPr>
                <w:rFonts w:cs="Arial"/>
                <w:sz w:val="20"/>
                <w:szCs w:val="20"/>
                <w:lang w:eastAsia="en-ZA"/>
              </w:rPr>
            </w:pPr>
          </w:p>
        </w:tc>
      </w:tr>
      <w:tr w:rsidR="00AE60E1" w:rsidRPr="00507716" w:rsidTr="008817A9">
        <w:trPr>
          <w:trHeight w:val="252"/>
        </w:trPr>
        <w:tc>
          <w:tcPr>
            <w:tcW w:w="4392" w:type="dxa"/>
            <w:tcBorders>
              <w:top w:val="nil"/>
              <w:left w:val="single" w:sz="8" w:space="0" w:color="auto"/>
              <w:bottom w:val="nil"/>
              <w:right w:val="single" w:sz="8" w:space="0" w:color="auto"/>
            </w:tcBorders>
            <w:shd w:val="clear" w:color="000000" w:fill="DBEEF3"/>
            <w:noWrap/>
            <w:vAlign w:val="bottom"/>
            <w:hideMark/>
          </w:tcPr>
          <w:p w:rsidR="00AE60E1" w:rsidRPr="00067A47" w:rsidRDefault="00AE60E1" w:rsidP="008817A9">
            <w:pPr>
              <w:spacing w:line="240" w:lineRule="auto"/>
              <w:jc w:val="left"/>
              <w:rPr>
                <w:rFonts w:cs="Arial"/>
                <w:sz w:val="20"/>
                <w:szCs w:val="20"/>
                <w:lang w:eastAsia="en-ZA"/>
              </w:rPr>
            </w:pPr>
            <w:r w:rsidRPr="00067A47">
              <w:rPr>
                <w:rFonts w:cs="Arial"/>
                <w:sz w:val="20"/>
                <w:szCs w:val="20"/>
                <w:lang w:eastAsia="en-ZA"/>
              </w:rPr>
              <w:t>Net Profit/Loss (R’ thousand)</w:t>
            </w:r>
          </w:p>
        </w:tc>
        <w:tc>
          <w:tcPr>
            <w:tcW w:w="1530" w:type="dxa"/>
            <w:tcBorders>
              <w:top w:val="nil"/>
              <w:left w:val="nil"/>
              <w:bottom w:val="nil"/>
              <w:right w:val="single" w:sz="8" w:space="0" w:color="auto"/>
            </w:tcBorders>
            <w:shd w:val="clear" w:color="000000" w:fill="DBEEF3"/>
            <w:noWrap/>
            <w:vAlign w:val="bottom"/>
            <w:hideMark/>
          </w:tcPr>
          <w:p w:rsidR="00AE60E1" w:rsidRPr="00507716" w:rsidRDefault="00AE60E1" w:rsidP="004F6E7C">
            <w:pPr>
              <w:spacing w:line="240" w:lineRule="auto"/>
              <w:jc w:val="center"/>
              <w:rPr>
                <w:rFonts w:ascii="Calibri" w:hAnsi="Calibri"/>
                <w:color w:val="000000"/>
                <w:szCs w:val="20"/>
                <w:lang w:val="en-US"/>
              </w:rPr>
            </w:pPr>
            <w:r>
              <w:rPr>
                <w:rFonts w:ascii="Calibri" w:hAnsi="Calibri"/>
                <w:color w:val="000000"/>
                <w:szCs w:val="20"/>
                <w:lang w:val="en-US"/>
              </w:rPr>
              <w:t>424 179</w:t>
            </w:r>
            <w:r w:rsidRPr="00507716">
              <w:rPr>
                <w:rFonts w:ascii="Calibri" w:hAnsi="Calibri"/>
                <w:color w:val="000000"/>
                <w:szCs w:val="20"/>
                <w:lang w:val="en-US"/>
              </w:rPr>
              <w:t xml:space="preserve"> </w:t>
            </w:r>
          </w:p>
        </w:tc>
        <w:tc>
          <w:tcPr>
            <w:tcW w:w="1980" w:type="dxa"/>
            <w:tcBorders>
              <w:top w:val="nil"/>
              <w:left w:val="nil"/>
              <w:bottom w:val="nil"/>
              <w:right w:val="single" w:sz="8" w:space="0" w:color="auto"/>
            </w:tcBorders>
            <w:shd w:val="clear" w:color="000000" w:fill="DBEEF3"/>
            <w:noWrap/>
            <w:vAlign w:val="bottom"/>
            <w:hideMark/>
          </w:tcPr>
          <w:p w:rsidR="00AE60E1" w:rsidRPr="00507716" w:rsidRDefault="00AE60E1" w:rsidP="004F6E7C">
            <w:pPr>
              <w:spacing w:line="240" w:lineRule="auto"/>
              <w:jc w:val="center"/>
              <w:rPr>
                <w:rFonts w:ascii="Calibri" w:hAnsi="Calibri"/>
                <w:color w:val="000000"/>
                <w:szCs w:val="20"/>
                <w:lang w:val="en-US"/>
              </w:rPr>
            </w:pPr>
            <w:r>
              <w:rPr>
                <w:rFonts w:ascii="Calibri" w:hAnsi="Calibri"/>
                <w:color w:val="000000"/>
                <w:szCs w:val="20"/>
                <w:lang w:val="en-US"/>
              </w:rPr>
              <w:t>334 616</w:t>
            </w:r>
          </w:p>
        </w:tc>
        <w:tc>
          <w:tcPr>
            <w:tcW w:w="578" w:type="dxa"/>
          </w:tcPr>
          <w:p w:rsidR="00AE60E1" w:rsidRPr="00BD1633" w:rsidRDefault="00AE60E1" w:rsidP="004F6E7C">
            <w:pPr>
              <w:rPr>
                <w:rFonts w:cs="Arial"/>
                <w:sz w:val="20"/>
                <w:szCs w:val="20"/>
                <w:lang w:eastAsia="en-ZA"/>
              </w:rPr>
            </w:pPr>
          </w:p>
        </w:tc>
        <w:tc>
          <w:tcPr>
            <w:tcW w:w="2520" w:type="dxa"/>
            <w:vAlign w:val="bottom"/>
          </w:tcPr>
          <w:p w:rsidR="00AE60E1" w:rsidRPr="00BD1633" w:rsidRDefault="00AE60E1" w:rsidP="004F6E7C">
            <w:pPr>
              <w:rPr>
                <w:rFonts w:cs="Arial"/>
                <w:sz w:val="20"/>
                <w:szCs w:val="20"/>
                <w:lang w:eastAsia="en-ZA"/>
              </w:rPr>
            </w:pPr>
          </w:p>
        </w:tc>
        <w:tc>
          <w:tcPr>
            <w:tcW w:w="2520" w:type="dxa"/>
            <w:vAlign w:val="bottom"/>
          </w:tcPr>
          <w:p w:rsidR="00AE60E1" w:rsidRPr="00BD1633" w:rsidRDefault="00AE60E1" w:rsidP="004F6E7C">
            <w:pPr>
              <w:rPr>
                <w:rFonts w:cs="Arial"/>
                <w:sz w:val="20"/>
                <w:szCs w:val="20"/>
                <w:lang w:eastAsia="en-ZA"/>
              </w:rPr>
            </w:pPr>
          </w:p>
        </w:tc>
        <w:tc>
          <w:tcPr>
            <w:tcW w:w="2520" w:type="dxa"/>
            <w:vAlign w:val="bottom"/>
          </w:tcPr>
          <w:p w:rsidR="00AE60E1" w:rsidRPr="00BD1633" w:rsidRDefault="00AE60E1" w:rsidP="004F6E7C">
            <w:pPr>
              <w:rPr>
                <w:rFonts w:cs="Arial"/>
                <w:sz w:val="20"/>
                <w:szCs w:val="20"/>
                <w:lang w:eastAsia="en-ZA"/>
              </w:rPr>
            </w:pPr>
          </w:p>
        </w:tc>
        <w:tc>
          <w:tcPr>
            <w:tcW w:w="2520" w:type="dxa"/>
            <w:vAlign w:val="bottom"/>
          </w:tcPr>
          <w:p w:rsidR="00AE60E1" w:rsidRPr="00BD1633" w:rsidRDefault="00AE60E1" w:rsidP="004F6E7C">
            <w:pPr>
              <w:rPr>
                <w:rFonts w:cs="Arial"/>
                <w:sz w:val="20"/>
                <w:szCs w:val="20"/>
                <w:lang w:eastAsia="en-ZA"/>
              </w:rPr>
            </w:pPr>
          </w:p>
        </w:tc>
      </w:tr>
      <w:tr w:rsidR="00AE60E1" w:rsidRPr="00507716" w:rsidTr="008817A9">
        <w:trPr>
          <w:trHeight w:val="243"/>
        </w:trPr>
        <w:tc>
          <w:tcPr>
            <w:tcW w:w="4392" w:type="dxa"/>
            <w:tcBorders>
              <w:top w:val="single" w:sz="8" w:space="0" w:color="auto"/>
              <w:left w:val="single" w:sz="8" w:space="0" w:color="auto"/>
              <w:bottom w:val="single" w:sz="8" w:space="0" w:color="auto"/>
              <w:right w:val="single" w:sz="8" w:space="0" w:color="auto"/>
            </w:tcBorders>
            <w:shd w:val="clear" w:color="000000" w:fill="A5A5A5"/>
            <w:noWrap/>
            <w:vAlign w:val="bottom"/>
            <w:hideMark/>
          </w:tcPr>
          <w:p w:rsidR="00AE60E1" w:rsidRPr="00067A47" w:rsidRDefault="00AE60E1" w:rsidP="004F6E7C">
            <w:pPr>
              <w:spacing w:line="240" w:lineRule="auto"/>
              <w:jc w:val="center"/>
              <w:rPr>
                <w:rFonts w:cs="Arial"/>
                <w:sz w:val="20"/>
                <w:szCs w:val="20"/>
                <w:lang w:eastAsia="en-ZA"/>
              </w:rPr>
            </w:pPr>
            <w:r w:rsidRPr="00067A47">
              <w:rPr>
                <w:rFonts w:cs="Arial"/>
                <w:sz w:val="20"/>
                <w:szCs w:val="20"/>
                <w:lang w:eastAsia="en-ZA"/>
              </w:rPr>
              <w:t> </w:t>
            </w:r>
          </w:p>
        </w:tc>
        <w:tc>
          <w:tcPr>
            <w:tcW w:w="1530" w:type="dxa"/>
            <w:tcBorders>
              <w:top w:val="nil"/>
              <w:left w:val="nil"/>
              <w:bottom w:val="single" w:sz="8" w:space="0" w:color="auto"/>
              <w:right w:val="single" w:sz="8" w:space="0" w:color="auto"/>
            </w:tcBorders>
            <w:shd w:val="clear" w:color="000000" w:fill="A5A5A5"/>
            <w:noWrap/>
            <w:vAlign w:val="bottom"/>
            <w:hideMark/>
          </w:tcPr>
          <w:p w:rsidR="00AE60E1" w:rsidRPr="00507716" w:rsidRDefault="00AE60E1" w:rsidP="004F6E7C">
            <w:pPr>
              <w:spacing w:line="240" w:lineRule="auto"/>
              <w:jc w:val="center"/>
              <w:rPr>
                <w:rFonts w:ascii="Calibri" w:hAnsi="Calibri"/>
                <w:color w:val="000000"/>
                <w:szCs w:val="20"/>
                <w:lang w:val="en-US"/>
              </w:rPr>
            </w:pPr>
            <w:r w:rsidRPr="00507716">
              <w:rPr>
                <w:rFonts w:ascii="Calibri" w:hAnsi="Calibri"/>
                <w:color w:val="000000"/>
                <w:szCs w:val="20"/>
                <w:lang w:val="en-US"/>
              </w:rPr>
              <w:t> </w:t>
            </w:r>
          </w:p>
        </w:tc>
        <w:tc>
          <w:tcPr>
            <w:tcW w:w="1980" w:type="dxa"/>
            <w:tcBorders>
              <w:top w:val="nil"/>
              <w:left w:val="nil"/>
              <w:bottom w:val="single" w:sz="8" w:space="0" w:color="auto"/>
              <w:right w:val="single" w:sz="8" w:space="0" w:color="auto"/>
            </w:tcBorders>
            <w:shd w:val="clear" w:color="000000" w:fill="A5A5A5"/>
            <w:noWrap/>
            <w:vAlign w:val="bottom"/>
            <w:hideMark/>
          </w:tcPr>
          <w:p w:rsidR="00AE60E1" w:rsidRPr="00507716" w:rsidRDefault="00AE60E1" w:rsidP="004F6E7C">
            <w:pPr>
              <w:spacing w:line="240" w:lineRule="auto"/>
              <w:jc w:val="center"/>
              <w:rPr>
                <w:rFonts w:ascii="Calibri" w:hAnsi="Calibri"/>
                <w:color w:val="000000"/>
                <w:szCs w:val="20"/>
                <w:lang w:val="en-US"/>
              </w:rPr>
            </w:pPr>
            <w:r w:rsidRPr="00507716">
              <w:rPr>
                <w:rFonts w:ascii="Calibri" w:hAnsi="Calibri"/>
                <w:color w:val="000000"/>
                <w:szCs w:val="20"/>
                <w:lang w:val="en-US"/>
              </w:rPr>
              <w:t> </w:t>
            </w:r>
          </w:p>
        </w:tc>
        <w:tc>
          <w:tcPr>
            <w:tcW w:w="578" w:type="dxa"/>
          </w:tcPr>
          <w:p w:rsidR="00AE60E1" w:rsidRPr="00BD1633" w:rsidRDefault="00AE60E1" w:rsidP="004F6E7C">
            <w:pPr>
              <w:rPr>
                <w:rFonts w:cs="Arial"/>
                <w:sz w:val="20"/>
                <w:szCs w:val="20"/>
                <w:lang w:eastAsia="en-ZA"/>
              </w:rPr>
            </w:pPr>
          </w:p>
        </w:tc>
        <w:tc>
          <w:tcPr>
            <w:tcW w:w="2520" w:type="dxa"/>
            <w:vAlign w:val="bottom"/>
          </w:tcPr>
          <w:p w:rsidR="00AE60E1" w:rsidRPr="00BD1633" w:rsidRDefault="00AE60E1" w:rsidP="004F6E7C">
            <w:pPr>
              <w:rPr>
                <w:rFonts w:cs="Arial"/>
                <w:sz w:val="20"/>
                <w:szCs w:val="20"/>
                <w:lang w:eastAsia="en-ZA"/>
              </w:rPr>
            </w:pPr>
          </w:p>
        </w:tc>
        <w:tc>
          <w:tcPr>
            <w:tcW w:w="2520" w:type="dxa"/>
            <w:vAlign w:val="bottom"/>
          </w:tcPr>
          <w:p w:rsidR="00AE60E1" w:rsidRPr="00BD1633" w:rsidRDefault="00AE60E1" w:rsidP="004F6E7C">
            <w:pPr>
              <w:rPr>
                <w:rFonts w:cs="Arial"/>
                <w:sz w:val="20"/>
                <w:szCs w:val="20"/>
                <w:lang w:eastAsia="en-ZA"/>
              </w:rPr>
            </w:pPr>
          </w:p>
        </w:tc>
        <w:tc>
          <w:tcPr>
            <w:tcW w:w="2520" w:type="dxa"/>
            <w:vAlign w:val="bottom"/>
          </w:tcPr>
          <w:p w:rsidR="00AE60E1" w:rsidRPr="00BD1633" w:rsidRDefault="00AE60E1" w:rsidP="004F6E7C">
            <w:pPr>
              <w:rPr>
                <w:rFonts w:cs="Arial"/>
                <w:sz w:val="20"/>
                <w:szCs w:val="20"/>
                <w:lang w:eastAsia="en-ZA"/>
              </w:rPr>
            </w:pPr>
          </w:p>
        </w:tc>
        <w:tc>
          <w:tcPr>
            <w:tcW w:w="2520" w:type="dxa"/>
            <w:vAlign w:val="bottom"/>
          </w:tcPr>
          <w:p w:rsidR="00AE60E1" w:rsidRDefault="00AE60E1" w:rsidP="004F6E7C">
            <w:pPr>
              <w:spacing w:line="240" w:lineRule="auto"/>
              <w:jc w:val="left"/>
              <w:rPr>
                <w:rFonts w:ascii="Calibri" w:hAnsi="Calibri"/>
                <w:color w:val="000000"/>
                <w:lang w:val="en-US"/>
              </w:rPr>
            </w:pPr>
          </w:p>
        </w:tc>
      </w:tr>
      <w:tr w:rsidR="00AE60E1" w:rsidRPr="00507716" w:rsidTr="008817A9">
        <w:trPr>
          <w:trHeight w:val="243"/>
        </w:trPr>
        <w:tc>
          <w:tcPr>
            <w:tcW w:w="4392" w:type="dxa"/>
            <w:tcBorders>
              <w:top w:val="single" w:sz="8" w:space="0" w:color="auto"/>
              <w:left w:val="single" w:sz="8" w:space="0" w:color="auto"/>
              <w:bottom w:val="single" w:sz="8" w:space="0" w:color="auto"/>
              <w:right w:val="single" w:sz="8" w:space="0" w:color="auto"/>
            </w:tcBorders>
            <w:shd w:val="clear" w:color="auto" w:fill="DEEAF6" w:themeFill="accent1" w:themeFillTint="33"/>
            <w:noWrap/>
            <w:vAlign w:val="bottom"/>
          </w:tcPr>
          <w:p w:rsidR="00AE60E1" w:rsidRPr="00067A47" w:rsidRDefault="00AE60E1" w:rsidP="008817A9">
            <w:pPr>
              <w:spacing w:line="240" w:lineRule="auto"/>
              <w:jc w:val="left"/>
              <w:rPr>
                <w:rFonts w:cs="Arial"/>
                <w:sz w:val="20"/>
                <w:szCs w:val="20"/>
                <w:lang w:eastAsia="en-ZA"/>
              </w:rPr>
            </w:pPr>
            <w:r>
              <w:rPr>
                <w:rFonts w:cs="Arial"/>
                <w:sz w:val="20"/>
                <w:szCs w:val="20"/>
                <w:lang w:eastAsia="en-ZA"/>
              </w:rPr>
              <w:t>Total Assets</w:t>
            </w:r>
          </w:p>
        </w:tc>
        <w:tc>
          <w:tcPr>
            <w:tcW w:w="1530" w:type="dxa"/>
            <w:tcBorders>
              <w:top w:val="nil"/>
              <w:left w:val="nil"/>
              <w:bottom w:val="single" w:sz="8" w:space="0" w:color="auto"/>
              <w:right w:val="single" w:sz="8" w:space="0" w:color="auto"/>
            </w:tcBorders>
            <w:shd w:val="clear" w:color="auto" w:fill="DEEAF6" w:themeFill="accent1" w:themeFillTint="33"/>
            <w:noWrap/>
            <w:vAlign w:val="bottom"/>
          </w:tcPr>
          <w:p w:rsidR="00AE60E1" w:rsidRPr="00507716" w:rsidRDefault="00AE60E1" w:rsidP="004F6E7C">
            <w:pPr>
              <w:spacing w:line="240" w:lineRule="auto"/>
              <w:jc w:val="center"/>
              <w:rPr>
                <w:rFonts w:ascii="Calibri" w:hAnsi="Calibri"/>
                <w:color w:val="000000"/>
                <w:szCs w:val="20"/>
                <w:lang w:val="en-US"/>
              </w:rPr>
            </w:pPr>
            <w:r>
              <w:rPr>
                <w:rFonts w:ascii="Calibri" w:hAnsi="Calibri"/>
                <w:color w:val="000000"/>
                <w:szCs w:val="20"/>
                <w:lang w:val="en-US"/>
              </w:rPr>
              <w:t>2 074 950</w:t>
            </w:r>
          </w:p>
        </w:tc>
        <w:tc>
          <w:tcPr>
            <w:tcW w:w="1980" w:type="dxa"/>
            <w:tcBorders>
              <w:top w:val="nil"/>
              <w:left w:val="nil"/>
              <w:bottom w:val="single" w:sz="8" w:space="0" w:color="auto"/>
              <w:right w:val="single" w:sz="8" w:space="0" w:color="auto"/>
            </w:tcBorders>
            <w:shd w:val="clear" w:color="auto" w:fill="DEEAF6" w:themeFill="accent1" w:themeFillTint="33"/>
            <w:noWrap/>
            <w:vAlign w:val="bottom"/>
          </w:tcPr>
          <w:p w:rsidR="00AE60E1" w:rsidRPr="00507716" w:rsidRDefault="00AE60E1" w:rsidP="004F6E7C">
            <w:pPr>
              <w:spacing w:line="240" w:lineRule="auto"/>
              <w:jc w:val="center"/>
              <w:rPr>
                <w:rFonts w:ascii="Calibri" w:hAnsi="Calibri"/>
                <w:color w:val="000000"/>
                <w:szCs w:val="20"/>
                <w:lang w:val="en-US"/>
              </w:rPr>
            </w:pPr>
            <w:r>
              <w:rPr>
                <w:rFonts w:ascii="Calibri" w:hAnsi="Calibri"/>
                <w:color w:val="000000"/>
                <w:szCs w:val="20"/>
                <w:lang w:val="en-US"/>
              </w:rPr>
              <w:t>1 640 940</w:t>
            </w:r>
          </w:p>
        </w:tc>
        <w:tc>
          <w:tcPr>
            <w:tcW w:w="578" w:type="dxa"/>
          </w:tcPr>
          <w:p w:rsidR="00AE60E1" w:rsidRPr="00BD1633" w:rsidRDefault="00AE60E1" w:rsidP="004F6E7C">
            <w:pPr>
              <w:rPr>
                <w:rFonts w:cs="Arial"/>
                <w:sz w:val="20"/>
                <w:szCs w:val="20"/>
                <w:lang w:eastAsia="en-ZA"/>
              </w:rPr>
            </w:pPr>
          </w:p>
        </w:tc>
        <w:tc>
          <w:tcPr>
            <w:tcW w:w="2520" w:type="dxa"/>
            <w:vAlign w:val="bottom"/>
          </w:tcPr>
          <w:p w:rsidR="00AE60E1" w:rsidRPr="00BD1633" w:rsidRDefault="00AE60E1" w:rsidP="004F6E7C">
            <w:pPr>
              <w:rPr>
                <w:rFonts w:cs="Arial"/>
                <w:sz w:val="20"/>
                <w:szCs w:val="20"/>
                <w:lang w:eastAsia="en-ZA"/>
              </w:rPr>
            </w:pPr>
          </w:p>
        </w:tc>
        <w:tc>
          <w:tcPr>
            <w:tcW w:w="2520" w:type="dxa"/>
            <w:vAlign w:val="bottom"/>
          </w:tcPr>
          <w:p w:rsidR="00AE60E1" w:rsidRPr="00BD1633" w:rsidRDefault="00AE60E1" w:rsidP="004F6E7C">
            <w:pPr>
              <w:rPr>
                <w:rFonts w:cs="Arial"/>
                <w:sz w:val="20"/>
                <w:szCs w:val="20"/>
                <w:lang w:eastAsia="en-ZA"/>
              </w:rPr>
            </w:pPr>
          </w:p>
        </w:tc>
        <w:tc>
          <w:tcPr>
            <w:tcW w:w="2520" w:type="dxa"/>
            <w:vAlign w:val="bottom"/>
          </w:tcPr>
          <w:p w:rsidR="00AE60E1" w:rsidRPr="00BD1633" w:rsidRDefault="00AE60E1" w:rsidP="004F6E7C">
            <w:pPr>
              <w:rPr>
                <w:rFonts w:cs="Arial"/>
                <w:sz w:val="20"/>
                <w:szCs w:val="20"/>
                <w:lang w:eastAsia="en-ZA"/>
              </w:rPr>
            </w:pPr>
          </w:p>
        </w:tc>
        <w:tc>
          <w:tcPr>
            <w:tcW w:w="2520" w:type="dxa"/>
            <w:vAlign w:val="bottom"/>
          </w:tcPr>
          <w:p w:rsidR="00AE60E1" w:rsidRDefault="00AE60E1" w:rsidP="004F6E7C">
            <w:pPr>
              <w:spacing w:line="240" w:lineRule="auto"/>
              <w:jc w:val="left"/>
              <w:rPr>
                <w:rFonts w:ascii="Calibri" w:hAnsi="Calibri"/>
                <w:color w:val="000000"/>
                <w:lang w:val="en-US"/>
              </w:rPr>
            </w:pPr>
          </w:p>
        </w:tc>
      </w:tr>
      <w:tr w:rsidR="00AE60E1" w:rsidRPr="00507716" w:rsidTr="008817A9">
        <w:trPr>
          <w:trHeight w:val="243"/>
        </w:trPr>
        <w:tc>
          <w:tcPr>
            <w:tcW w:w="4392" w:type="dxa"/>
            <w:tcBorders>
              <w:top w:val="single" w:sz="8" w:space="0" w:color="auto"/>
              <w:left w:val="single" w:sz="8" w:space="0" w:color="auto"/>
              <w:bottom w:val="single" w:sz="8" w:space="0" w:color="auto"/>
              <w:right w:val="single" w:sz="8" w:space="0" w:color="auto"/>
            </w:tcBorders>
            <w:shd w:val="clear" w:color="auto" w:fill="DEEAF6" w:themeFill="accent1" w:themeFillTint="33"/>
            <w:noWrap/>
            <w:vAlign w:val="bottom"/>
          </w:tcPr>
          <w:p w:rsidR="00AE60E1" w:rsidRDefault="00AE60E1" w:rsidP="008817A9">
            <w:pPr>
              <w:spacing w:line="240" w:lineRule="auto"/>
              <w:jc w:val="left"/>
              <w:rPr>
                <w:rFonts w:cs="Arial"/>
                <w:sz w:val="20"/>
                <w:szCs w:val="20"/>
                <w:lang w:eastAsia="en-ZA"/>
              </w:rPr>
            </w:pPr>
            <w:r>
              <w:rPr>
                <w:rFonts w:cs="Arial"/>
                <w:sz w:val="20"/>
                <w:szCs w:val="20"/>
                <w:lang w:eastAsia="en-ZA"/>
              </w:rPr>
              <w:t>Current Assets</w:t>
            </w:r>
          </w:p>
        </w:tc>
        <w:tc>
          <w:tcPr>
            <w:tcW w:w="1530" w:type="dxa"/>
            <w:tcBorders>
              <w:top w:val="nil"/>
              <w:left w:val="nil"/>
              <w:bottom w:val="single" w:sz="8" w:space="0" w:color="auto"/>
              <w:right w:val="single" w:sz="8" w:space="0" w:color="auto"/>
            </w:tcBorders>
            <w:shd w:val="clear" w:color="auto" w:fill="DEEAF6" w:themeFill="accent1" w:themeFillTint="33"/>
            <w:noWrap/>
            <w:vAlign w:val="bottom"/>
          </w:tcPr>
          <w:p w:rsidR="00AE60E1" w:rsidRDefault="00AE60E1" w:rsidP="004F6E7C">
            <w:pPr>
              <w:spacing w:line="240" w:lineRule="auto"/>
              <w:jc w:val="center"/>
              <w:rPr>
                <w:rFonts w:ascii="Calibri" w:hAnsi="Calibri"/>
                <w:color w:val="000000"/>
                <w:szCs w:val="20"/>
                <w:lang w:val="en-US"/>
              </w:rPr>
            </w:pPr>
            <w:r>
              <w:rPr>
                <w:rFonts w:ascii="Calibri" w:hAnsi="Calibri"/>
                <w:color w:val="000000"/>
                <w:szCs w:val="20"/>
                <w:lang w:val="en-US"/>
              </w:rPr>
              <w:t>1 913 552</w:t>
            </w:r>
          </w:p>
        </w:tc>
        <w:tc>
          <w:tcPr>
            <w:tcW w:w="1980" w:type="dxa"/>
            <w:tcBorders>
              <w:top w:val="nil"/>
              <w:left w:val="nil"/>
              <w:bottom w:val="single" w:sz="8" w:space="0" w:color="auto"/>
              <w:right w:val="single" w:sz="8" w:space="0" w:color="auto"/>
            </w:tcBorders>
            <w:shd w:val="clear" w:color="auto" w:fill="DEEAF6" w:themeFill="accent1" w:themeFillTint="33"/>
            <w:noWrap/>
            <w:vAlign w:val="bottom"/>
          </w:tcPr>
          <w:p w:rsidR="00AE60E1" w:rsidRDefault="00AE60E1" w:rsidP="004F6E7C">
            <w:pPr>
              <w:spacing w:line="240" w:lineRule="auto"/>
              <w:jc w:val="center"/>
              <w:rPr>
                <w:rFonts w:ascii="Calibri" w:hAnsi="Calibri"/>
                <w:color w:val="000000"/>
                <w:szCs w:val="20"/>
                <w:lang w:val="en-US"/>
              </w:rPr>
            </w:pPr>
            <w:r>
              <w:rPr>
                <w:rFonts w:ascii="Calibri" w:hAnsi="Calibri"/>
                <w:color w:val="000000"/>
                <w:szCs w:val="20"/>
                <w:lang w:val="en-US"/>
              </w:rPr>
              <w:t>1 526 546</w:t>
            </w:r>
          </w:p>
        </w:tc>
        <w:tc>
          <w:tcPr>
            <w:tcW w:w="578" w:type="dxa"/>
          </w:tcPr>
          <w:p w:rsidR="00AE60E1" w:rsidRPr="00BD1633" w:rsidRDefault="00AE60E1" w:rsidP="004F6E7C">
            <w:pPr>
              <w:rPr>
                <w:rFonts w:cs="Arial"/>
                <w:sz w:val="20"/>
                <w:szCs w:val="20"/>
                <w:lang w:eastAsia="en-ZA"/>
              </w:rPr>
            </w:pPr>
          </w:p>
        </w:tc>
        <w:tc>
          <w:tcPr>
            <w:tcW w:w="2520" w:type="dxa"/>
            <w:vAlign w:val="bottom"/>
          </w:tcPr>
          <w:p w:rsidR="00AE60E1" w:rsidRPr="00BD1633" w:rsidRDefault="00AE60E1" w:rsidP="004F6E7C">
            <w:pPr>
              <w:rPr>
                <w:rFonts w:cs="Arial"/>
                <w:sz w:val="20"/>
                <w:szCs w:val="20"/>
                <w:lang w:eastAsia="en-ZA"/>
              </w:rPr>
            </w:pPr>
          </w:p>
        </w:tc>
        <w:tc>
          <w:tcPr>
            <w:tcW w:w="2520" w:type="dxa"/>
            <w:vAlign w:val="bottom"/>
          </w:tcPr>
          <w:p w:rsidR="00AE60E1" w:rsidRPr="00BD1633" w:rsidRDefault="00AE60E1" w:rsidP="004F6E7C">
            <w:pPr>
              <w:rPr>
                <w:rFonts w:cs="Arial"/>
                <w:sz w:val="20"/>
                <w:szCs w:val="20"/>
                <w:lang w:eastAsia="en-ZA"/>
              </w:rPr>
            </w:pPr>
          </w:p>
        </w:tc>
        <w:tc>
          <w:tcPr>
            <w:tcW w:w="2520" w:type="dxa"/>
            <w:vAlign w:val="bottom"/>
          </w:tcPr>
          <w:p w:rsidR="00AE60E1" w:rsidRPr="00BD1633" w:rsidRDefault="00AE60E1" w:rsidP="004F6E7C">
            <w:pPr>
              <w:rPr>
                <w:rFonts w:cs="Arial"/>
                <w:sz w:val="20"/>
                <w:szCs w:val="20"/>
                <w:lang w:eastAsia="en-ZA"/>
              </w:rPr>
            </w:pPr>
          </w:p>
        </w:tc>
        <w:tc>
          <w:tcPr>
            <w:tcW w:w="2520" w:type="dxa"/>
            <w:vAlign w:val="bottom"/>
          </w:tcPr>
          <w:p w:rsidR="00AE60E1" w:rsidRDefault="00AE60E1" w:rsidP="004F6E7C">
            <w:pPr>
              <w:spacing w:line="240" w:lineRule="auto"/>
              <w:jc w:val="left"/>
              <w:rPr>
                <w:rFonts w:ascii="Calibri" w:hAnsi="Calibri"/>
                <w:color w:val="000000"/>
                <w:lang w:val="en-US"/>
              </w:rPr>
            </w:pPr>
          </w:p>
        </w:tc>
      </w:tr>
      <w:tr w:rsidR="00AE60E1" w:rsidRPr="00507716" w:rsidTr="008817A9">
        <w:trPr>
          <w:trHeight w:val="243"/>
        </w:trPr>
        <w:tc>
          <w:tcPr>
            <w:tcW w:w="4392" w:type="dxa"/>
            <w:tcBorders>
              <w:top w:val="single" w:sz="8" w:space="0" w:color="auto"/>
              <w:left w:val="single" w:sz="8" w:space="0" w:color="auto"/>
              <w:bottom w:val="single" w:sz="8" w:space="0" w:color="auto"/>
              <w:right w:val="single" w:sz="8" w:space="0" w:color="auto"/>
            </w:tcBorders>
            <w:shd w:val="clear" w:color="auto" w:fill="DEEAF6" w:themeFill="accent1" w:themeFillTint="33"/>
            <w:noWrap/>
            <w:vAlign w:val="bottom"/>
          </w:tcPr>
          <w:p w:rsidR="00AE60E1" w:rsidRDefault="00AE60E1" w:rsidP="008817A9">
            <w:pPr>
              <w:spacing w:line="240" w:lineRule="auto"/>
              <w:jc w:val="left"/>
              <w:rPr>
                <w:rFonts w:cs="Arial"/>
                <w:sz w:val="20"/>
                <w:szCs w:val="20"/>
                <w:lang w:eastAsia="en-ZA"/>
              </w:rPr>
            </w:pPr>
            <w:r>
              <w:rPr>
                <w:rFonts w:cs="Arial"/>
                <w:sz w:val="20"/>
                <w:szCs w:val="20"/>
                <w:lang w:eastAsia="en-ZA"/>
              </w:rPr>
              <w:t>Non-Current Assets</w:t>
            </w:r>
          </w:p>
        </w:tc>
        <w:tc>
          <w:tcPr>
            <w:tcW w:w="1530" w:type="dxa"/>
            <w:tcBorders>
              <w:top w:val="nil"/>
              <w:left w:val="nil"/>
              <w:bottom w:val="single" w:sz="8" w:space="0" w:color="auto"/>
              <w:right w:val="single" w:sz="8" w:space="0" w:color="auto"/>
            </w:tcBorders>
            <w:shd w:val="clear" w:color="auto" w:fill="DEEAF6" w:themeFill="accent1" w:themeFillTint="33"/>
            <w:noWrap/>
            <w:vAlign w:val="bottom"/>
          </w:tcPr>
          <w:p w:rsidR="00AE60E1" w:rsidRDefault="00AE60E1" w:rsidP="004F6E7C">
            <w:pPr>
              <w:spacing w:line="240" w:lineRule="auto"/>
              <w:jc w:val="center"/>
              <w:rPr>
                <w:rFonts w:ascii="Calibri" w:hAnsi="Calibri"/>
                <w:color w:val="000000"/>
                <w:szCs w:val="20"/>
                <w:lang w:val="en-US"/>
              </w:rPr>
            </w:pPr>
            <w:r>
              <w:rPr>
                <w:rFonts w:ascii="Calibri" w:hAnsi="Calibri"/>
                <w:color w:val="000000"/>
                <w:szCs w:val="20"/>
                <w:lang w:val="en-US"/>
              </w:rPr>
              <w:t>161 398</w:t>
            </w:r>
          </w:p>
        </w:tc>
        <w:tc>
          <w:tcPr>
            <w:tcW w:w="1980" w:type="dxa"/>
            <w:tcBorders>
              <w:top w:val="nil"/>
              <w:left w:val="nil"/>
              <w:bottom w:val="single" w:sz="8" w:space="0" w:color="auto"/>
              <w:right w:val="single" w:sz="8" w:space="0" w:color="auto"/>
            </w:tcBorders>
            <w:shd w:val="clear" w:color="auto" w:fill="DEEAF6" w:themeFill="accent1" w:themeFillTint="33"/>
            <w:noWrap/>
            <w:vAlign w:val="bottom"/>
          </w:tcPr>
          <w:p w:rsidR="00AE60E1" w:rsidRDefault="00AE60E1" w:rsidP="004F6E7C">
            <w:pPr>
              <w:spacing w:line="240" w:lineRule="auto"/>
              <w:jc w:val="center"/>
              <w:rPr>
                <w:rFonts w:ascii="Calibri" w:hAnsi="Calibri"/>
                <w:color w:val="000000"/>
                <w:szCs w:val="20"/>
                <w:lang w:val="en-US"/>
              </w:rPr>
            </w:pPr>
            <w:r>
              <w:rPr>
                <w:rFonts w:ascii="Calibri" w:hAnsi="Calibri"/>
                <w:color w:val="000000"/>
                <w:szCs w:val="20"/>
                <w:lang w:val="en-US"/>
              </w:rPr>
              <w:t>114 394</w:t>
            </w:r>
          </w:p>
        </w:tc>
        <w:tc>
          <w:tcPr>
            <w:tcW w:w="578" w:type="dxa"/>
          </w:tcPr>
          <w:p w:rsidR="00AE60E1" w:rsidRPr="00BD1633" w:rsidRDefault="00AE60E1" w:rsidP="004F6E7C">
            <w:pPr>
              <w:rPr>
                <w:rFonts w:cs="Arial"/>
                <w:sz w:val="20"/>
                <w:szCs w:val="20"/>
                <w:lang w:eastAsia="en-ZA"/>
              </w:rPr>
            </w:pPr>
          </w:p>
        </w:tc>
        <w:tc>
          <w:tcPr>
            <w:tcW w:w="2520" w:type="dxa"/>
            <w:vAlign w:val="bottom"/>
          </w:tcPr>
          <w:p w:rsidR="00AE60E1" w:rsidRPr="00BD1633" w:rsidRDefault="00AE60E1" w:rsidP="004F6E7C">
            <w:pPr>
              <w:rPr>
                <w:rFonts w:cs="Arial"/>
                <w:sz w:val="20"/>
                <w:szCs w:val="20"/>
                <w:lang w:eastAsia="en-ZA"/>
              </w:rPr>
            </w:pPr>
          </w:p>
        </w:tc>
        <w:tc>
          <w:tcPr>
            <w:tcW w:w="2520" w:type="dxa"/>
            <w:vAlign w:val="bottom"/>
          </w:tcPr>
          <w:p w:rsidR="00AE60E1" w:rsidRPr="00BD1633" w:rsidRDefault="00AE60E1" w:rsidP="004F6E7C">
            <w:pPr>
              <w:rPr>
                <w:rFonts w:cs="Arial"/>
                <w:sz w:val="20"/>
                <w:szCs w:val="20"/>
                <w:lang w:eastAsia="en-ZA"/>
              </w:rPr>
            </w:pPr>
          </w:p>
        </w:tc>
        <w:tc>
          <w:tcPr>
            <w:tcW w:w="2520" w:type="dxa"/>
            <w:vAlign w:val="bottom"/>
          </w:tcPr>
          <w:p w:rsidR="00AE60E1" w:rsidRPr="00BD1633" w:rsidRDefault="00AE60E1" w:rsidP="004F6E7C">
            <w:pPr>
              <w:rPr>
                <w:rFonts w:cs="Arial"/>
                <w:sz w:val="20"/>
                <w:szCs w:val="20"/>
                <w:lang w:eastAsia="en-ZA"/>
              </w:rPr>
            </w:pPr>
          </w:p>
        </w:tc>
        <w:tc>
          <w:tcPr>
            <w:tcW w:w="2520" w:type="dxa"/>
            <w:vAlign w:val="bottom"/>
          </w:tcPr>
          <w:p w:rsidR="00AE60E1" w:rsidRDefault="00AE60E1" w:rsidP="004F6E7C">
            <w:pPr>
              <w:spacing w:line="240" w:lineRule="auto"/>
              <w:jc w:val="left"/>
              <w:rPr>
                <w:rFonts w:ascii="Calibri" w:hAnsi="Calibri"/>
                <w:color w:val="000000"/>
                <w:lang w:val="en-US"/>
              </w:rPr>
            </w:pPr>
          </w:p>
        </w:tc>
      </w:tr>
      <w:tr w:rsidR="00AE60E1" w:rsidRPr="00507716" w:rsidTr="008817A9">
        <w:trPr>
          <w:trHeight w:val="243"/>
        </w:trPr>
        <w:tc>
          <w:tcPr>
            <w:tcW w:w="4392" w:type="dxa"/>
            <w:tcBorders>
              <w:top w:val="single" w:sz="8" w:space="0" w:color="auto"/>
              <w:left w:val="single" w:sz="8" w:space="0" w:color="auto"/>
              <w:bottom w:val="single" w:sz="8" w:space="0" w:color="auto"/>
              <w:right w:val="single" w:sz="8" w:space="0" w:color="auto"/>
            </w:tcBorders>
            <w:shd w:val="clear" w:color="auto" w:fill="DEEAF6" w:themeFill="accent1" w:themeFillTint="33"/>
            <w:noWrap/>
            <w:vAlign w:val="bottom"/>
          </w:tcPr>
          <w:p w:rsidR="00AE60E1" w:rsidRDefault="00AE60E1" w:rsidP="008817A9">
            <w:pPr>
              <w:spacing w:line="240" w:lineRule="auto"/>
              <w:jc w:val="left"/>
              <w:rPr>
                <w:rFonts w:cs="Arial"/>
                <w:sz w:val="20"/>
                <w:szCs w:val="20"/>
                <w:lang w:eastAsia="en-ZA"/>
              </w:rPr>
            </w:pPr>
            <w:r>
              <w:rPr>
                <w:rFonts w:cs="Arial"/>
                <w:sz w:val="20"/>
                <w:szCs w:val="20"/>
                <w:lang w:eastAsia="en-ZA"/>
              </w:rPr>
              <w:t>Total Liabilities</w:t>
            </w:r>
          </w:p>
        </w:tc>
        <w:tc>
          <w:tcPr>
            <w:tcW w:w="1530" w:type="dxa"/>
            <w:tcBorders>
              <w:top w:val="nil"/>
              <w:left w:val="nil"/>
              <w:bottom w:val="single" w:sz="8" w:space="0" w:color="auto"/>
              <w:right w:val="single" w:sz="8" w:space="0" w:color="auto"/>
            </w:tcBorders>
            <w:shd w:val="clear" w:color="auto" w:fill="DEEAF6" w:themeFill="accent1" w:themeFillTint="33"/>
            <w:noWrap/>
            <w:vAlign w:val="bottom"/>
          </w:tcPr>
          <w:p w:rsidR="00AE60E1" w:rsidRDefault="00AE60E1" w:rsidP="004F6E7C">
            <w:pPr>
              <w:spacing w:line="240" w:lineRule="auto"/>
              <w:jc w:val="center"/>
              <w:rPr>
                <w:rFonts w:ascii="Calibri" w:hAnsi="Calibri"/>
                <w:color w:val="000000"/>
                <w:szCs w:val="20"/>
                <w:lang w:val="en-US"/>
              </w:rPr>
            </w:pPr>
            <w:r>
              <w:rPr>
                <w:rFonts w:ascii="Calibri" w:hAnsi="Calibri"/>
                <w:color w:val="000000"/>
                <w:szCs w:val="20"/>
                <w:lang w:val="en-US"/>
              </w:rPr>
              <w:t>368 014</w:t>
            </w:r>
          </w:p>
        </w:tc>
        <w:tc>
          <w:tcPr>
            <w:tcW w:w="1980" w:type="dxa"/>
            <w:tcBorders>
              <w:top w:val="nil"/>
              <w:left w:val="nil"/>
              <w:bottom w:val="single" w:sz="8" w:space="0" w:color="auto"/>
              <w:right w:val="single" w:sz="8" w:space="0" w:color="auto"/>
            </w:tcBorders>
            <w:shd w:val="clear" w:color="auto" w:fill="DEEAF6" w:themeFill="accent1" w:themeFillTint="33"/>
            <w:noWrap/>
            <w:vAlign w:val="bottom"/>
          </w:tcPr>
          <w:p w:rsidR="00AE60E1" w:rsidRDefault="00AE60E1" w:rsidP="004F6E7C">
            <w:pPr>
              <w:spacing w:line="240" w:lineRule="auto"/>
              <w:jc w:val="center"/>
              <w:rPr>
                <w:rFonts w:ascii="Calibri" w:hAnsi="Calibri"/>
                <w:color w:val="000000"/>
                <w:szCs w:val="20"/>
                <w:lang w:val="en-US"/>
              </w:rPr>
            </w:pPr>
            <w:r>
              <w:rPr>
                <w:rFonts w:ascii="Calibri" w:hAnsi="Calibri"/>
                <w:color w:val="000000"/>
                <w:szCs w:val="20"/>
                <w:lang w:val="en-US"/>
              </w:rPr>
              <w:t>358 183</w:t>
            </w:r>
          </w:p>
        </w:tc>
        <w:tc>
          <w:tcPr>
            <w:tcW w:w="578" w:type="dxa"/>
          </w:tcPr>
          <w:p w:rsidR="00AE60E1" w:rsidRPr="00BD1633" w:rsidRDefault="00AE60E1" w:rsidP="004F6E7C">
            <w:pPr>
              <w:rPr>
                <w:rFonts w:cs="Arial"/>
                <w:sz w:val="20"/>
                <w:szCs w:val="20"/>
                <w:lang w:eastAsia="en-ZA"/>
              </w:rPr>
            </w:pPr>
          </w:p>
        </w:tc>
        <w:tc>
          <w:tcPr>
            <w:tcW w:w="2520" w:type="dxa"/>
            <w:vAlign w:val="bottom"/>
          </w:tcPr>
          <w:p w:rsidR="00AE60E1" w:rsidRPr="00BD1633" w:rsidRDefault="00AE60E1" w:rsidP="004F6E7C">
            <w:pPr>
              <w:rPr>
                <w:rFonts w:cs="Arial"/>
                <w:sz w:val="20"/>
                <w:szCs w:val="20"/>
                <w:lang w:eastAsia="en-ZA"/>
              </w:rPr>
            </w:pPr>
          </w:p>
        </w:tc>
        <w:tc>
          <w:tcPr>
            <w:tcW w:w="2520" w:type="dxa"/>
            <w:vAlign w:val="bottom"/>
          </w:tcPr>
          <w:p w:rsidR="00AE60E1" w:rsidRPr="00BD1633" w:rsidRDefault="00AE60E1" w:rsidP="004F6E7C">
            <w:pPr>
              <w:rPr>
                <w:rFonts w:cs="Arial"/>
                <w:sz w:val="20"/>
                <w:szCs w:val="20"/>
                <w:lang w:eastAsia="en-ZA"/>
              </w:rPr>
            </w:pPr>
          </w:p>
        </w:tc>
        <w:tc>
          <w:tcPr>
            <w:tcW w:w="2520" w:type="dxa"/>
            <w:vAlign w:val="bottom"/>
          </w:tcPr>
          <w:p w:rsidR="00AE60E1" w:rsidRPr="00BD1633" w:rsidRDefault="00AE60E1" w:rsidP="004F6E7C">
            <w:pPr>
              <w:rPr>
                <w:rFonts w:cs="Arial"/>
                <w:sz w:val="20"/>
                <w:szCs w:val="20"/>
                <w:lang w:eastAsia="en-ZA"/>
              </w:rPr>
            </w:pPr>
          </w:p>
        </w:tc>
        <w:tc>
          <w:tcPr>
            <w:tcW w:w="2520" w:type="dxa"/>
            <w:vAlign w:val="bottom"/>
          </w:tcPr>
          <w:p w:rsidR="00AE60E1" w:rsidRDefault="00AE60E1" w:rsidP="004F6E7C">
            <w:pPr>
              <w:spacing w:line="240" w:lineRule="auto"/>
              <w:jc w:val="left"/>
              <w:rPr>
                <w:rFonts w:ascii="Calibri" w:hAnsi="Calibri"/>
                <w:color w:val="000000"/>
                <w:lang w:val="en-US"/>
              </w:rPr>
            </w:pPr>
          </w:p>
        </w:tc>
      </w:tr>
      <w:tr w:rsidR="00AE60E1" w:rsidRPr="00507716" w:rsidTr="008817A9">
        <w:trPr>
          <w:trHeight w:val="243"/>
        </w:trPr>
        <w:tc>
          <w:tcPr>
            <w:tcW w:w="4392" w:type="dxa"/>
            <w:tcBorders>
              <w:top w:val="single" w:sz="8" w:space="0" w:color="auto"/>
              <w:left w:val="single" w:sz="8" w:space="0" w:color="auto"/>
              <w:bottom w:val="single" w:sz="8" w:space="0" w:color="auto"/>
              <w:right w:val="single" w:sz="8" w:space="0" w:color="auto"/>
            </w:tcBorders>
            <w:shd w:val="clear" w:color="auto" w:fill="DEEAF6" w:themeFill="accent1" w:themeFillTint="33"/>
            <w:noWrap/>
            <w:vAlign w:val="bottom"/>
          </w:tcPr>
          <w:p w:rsidR="00AE60E1" w:rsidRDefault="00AE60E1" w:rsidP="008817A9">
            <w:pPr>
              <w:spacing w:line="240" w:lineRule="auto"/>
              <w:jc w:val="left"/>
              <w:rPr>
                <w:rFonts w:cs="Arial"/>
                <w:sz w:val="20"/>
                <w:szCs w:val="20"/>
                <w:lang w:eastAsia="en-ZA"/>
              </w:rPr>
            </w:pPr>
            <w:r>
              <w:rPr>
                <w:rFonts w:cs="Arial"/>
                <w:sz w:val="20"/>
                <w:szCs w:val="20"/>
                <w:lang w:eastAsia="en-ZA"/>
              </w:rPr>
              <w:t>Current Liabilities</w:t>
            </w:r>
          </w:p>
        </w:tc>
        <w:tc>
          <w:tcPr>
            <w:tcW w:w="1530" w:type="dxa"/>
            <w:tcBorders>
              <w:top w:val="nil"/>
              <w:left w:val="nil"/>
              <w:bottom w:val="single" w:sz="8" w:space="0" w:color="auto"/>
              <w:right w:val="single" w:sz="8" w:space="0" w:color="auto"/>
            </w:tcBorders>
            <w:shd w:val="clear" w:color="auto" w:fill="DEEAF6" w:themeFill="accent1" w:themeFillTint="33"/>
            <w:noWrap/>
            <w:vAlign w:val="bottom"/>
          </w:tcPr>
          <w:p w:rsidR="00AE60E1" w:rsidRDefault="00AE60E1" w:rsidP="004F6E7C">
            <w:pPr>
              <w:spacing w:line="240" w:lineRule="auto"/>
              <w:jc w:val="center"/>
              <w:rPr>
                <w:rFonts w:ascii="Calibri" w:hAnsi="Calibri"/>
                <w:color w:val="000000"/>
                <w:szCs w:val="20"/>
                <w:lang w:val="en-US"/>
              </w:rPr>
            </w:pPr>
            <w:r>
              <w:rPr>
                <w:rFonts w:ascii="Calibri" w:hAnsi="Calibri"/>
                <w:color w:val="000000"/>
                <w:szCs w:val="20"/>
                <w:lang w:val="en-US"/>
              </w:rPr>
              <w:t>244 893</w:t>
            </w:r>
          </w:p>
        </w:tc>
        <w:tc>
          <w:tcPr>
            <w:tcW w:w="1980" w:type="dxa"/>
            <w:tcBorders>
              <w:top w:val="nil"/>
              <w:left w:val="nil"/>
              <w:bottom w:val="single" w:sz="8" w:space="0" w:color="auto"/>
              <w:right w:val="single" w:sz="8" w:space="0" w:color="auto"/>
            </w:tcBorders>
            <w:shd w:val="clear" w:color="auto" w:fill="DEEAF6" w:themeFill="accent1" w:themeFillTint="33"/>
            <w:noWrap/>
            <w:vAlign w:val="bottom"/>
          </w:tcPr>
          <w:p w:rsidR="00AE60E1" w:rsidRDefault="00AE60E1" w:rsidP="004F6E7C">
            <w:pPr>
              <w:spacing w:line="240" w:lineRule="auto"/>
              <w:jc w:val="center"/>
              <w:rPr>
                <w:rFonts w:ascii="Calibri" w:hAnsi="Calibri"/>
                <w:color w:val="000000"/>
                <w:szCs w:val="20"/>
                <w:lang w:val="en-US"/>
              </w:rPr>
            </w:pPr>
            <w:r>
              <w:rPr>
                <w:rFonts w:ascii="Calibri" w:hAnsi="Calibri"/>
                <w:color w:val="000000"/>
                <w:szCs w:val="20"/>
                <w:lang w:val="en-US"/>
              </w:rPr>
              <w:t>228 901</w:t>
            </w:r>
          </w:p>
        </w:tc>
        <w:tc>
          <w:tcPr>
            <w:tcW w:w="578" w:type="dxa"/>
          </w:tcPr>
          <w:p w:rsidR="00AE60E1" w:rsidRPr="00BD1633" w:rsidRDefault="00AE60E1" w:rsidP="004F6E7C">
            <w:pPr>
              <w:rPr>
                <w:rFonts w:cs="Arial"/>
                <w:sz w:val="20"/>
                <w:szCs w:val="20"/>
                <w:lang w:eastAsia="en-ZA"/>
              </w:rPr>
            </w:pPr>
          </w:p>
        </w:tc>
        <w:tc>
          <w:tcPr>
            <w:tcW w:w="2520" w:type="dxa"/>
            <w:vAlign w:val="bottom"/>
          </w:tcPr>
          <w:p w:rsidR="00AE60E1" w:rsidRPr="00BD1633" w:rsidRDefault="00AE60E1" w:rsidP="004F6E7C">
            <w:pPr>
              <w:rPr>
                <w:rFonts w:cs="Arial"/>
                <w:sz w:val="20"/>
                <w:szCs w:val="20"/>
                <w:lang w:eastAsia="en-ZA"/>
              </w:rPr>
            </w:pPr>
          </w:p>
        </w:tc>
        <w:tc>
          <w:tcPr>
            <w:tcW w:w="2520" w:type="dxa"/>
            <w:vAlign w:val="bottom"/>
          </w:tcPr>
          <w:p w:rsidR="00AE60E1" w:rsidRPr="00BD1633" w:rsidRDefault="00AE60E1" w:rsidP="004F6E7C">
            <w:pPr>
              <w:rPr>
                <w:rFonts w:cs="Arial"/>
                <w:sz w:val="20"/>
                <w:szCs w:val="20"/>
                <w:lang w:eastAsia="en-ZA"/>
              </w:rPr>
            </w:pPr>
          </w:p>
        </w:tc>
        <w:tc>
          <w:tcPr>
            <w:tcW w:w="2520" w:type="dxa"/>
            <w:vAlign w:val="bottom"/>
          </w:tcPr>
          <w:p w:rsidR="00AE60E1" w:rsidRPr="00BD1633" w:rsidRDefault="00AE60E1" w:rsidP="004F6E7C">
            <w:pPr>
              <w:rPr>
                <w:rFonts w:cs="Arial"/>
                <w:sz w:val="20"/>
                <w:szCs w:val="20"/>
                <w:lang w:eastAsia="en-ZA"/>
              </w:rPr>
            </w:pPr>
          </w:p>
        </w:tc>
        <w:tc>
          <w:tcPr>
            <w:tcW w:w="2520" w:type="dxa"/>
            <w:vAlign w:val="bottom"/>
          </w:tcPr>
          <w:p w:rsidR="00AE60E1" w:rsidRDefault="00AE60E1" w:rsidP="004F6E7C">
            <w:pPr>
              <w:spacing w:line="240" w:lineRule="auto"/>
              <w:jc w:val="left"/>
              <w:rPr>
                <w:rFonts w:ascii="Calibri" w:hAnsi="Calibri"/>
                <w:color w:val="000000"/>
                <w:lang w:val="en-US"/>
              </w:rPr>
            </w:pPr>
          </w:p>
        </w:tc>
      </w:tr>
      <w:tr w:rsidR="00AE60E1" w:rsidRPr="00507716" w:rsidTr="008817A9">
        <w:trPr>
          <w:trHeight w:val="252"/>
        </w:trPr>
        <w:tc>
          <w:tcPr>
            <w:tcW w:w="4392" w:type="dxa"/>
            <w:tcBorders>
              <w:top w:val="single" w:sz="8" w:space="0" w:color="auto"/>
              <w:left w:val="single" w:sz="8" w:space="0" w:color="auto"/>
              <w:bottom w:val="single" w:sz="8" w:space="0" w:color="auto"/>
              <w:right w:val="single" w:sz="8" w:space="0" w:color="auto"/>
            </w:tcBorders>
            <w:shd w:val="clear" w:color="000000" w:fill="A5A5A5"/>
            <w:noWrap/>
            <w:vAlign w:val="bottom"/>
            <w:hideMark/>
          </w:tcPr>
          <w:p w:rsidR="00AE60E1" w:rsidRPr="00507716" w:rsidRDefault="00AE60E1" w:rsidP="004F6E7C">
            <w:pPr>
              <w:spacing w:line="240" w:lineRule="auto"/>
              <w:jc w:val="center"/>
              <w:rPr>
                <w:rFonts w:ascii="Calibri" w:hAnsi="Calibri"/>
                <w:color w:val="000000"/>
                <w:szCs w:val="20"/>
                <w:lang w:val="en-US"/>
              </w:rPr>
            </w:pPr>
            <w:r w:rsidRPr="00507716">
              <w:rPr>
                <w:rFonts w:ascii="Calibri" w:hAnsi="Calibri"/>
                <w:color w:val="000000"/>
                <w:szCs w:val="20"/>
                <w:lang w:val="en-US"/>
              </w:rPr>
              <w:t> </w:t>
            </w:r>
          </w:p>
        </w:tc>
        <w:tc>
          <w:tcPr>
            <w:tcW w:w="1530" w:type="dxa"/>
            <w:tcBorders>
              <w:top w:val="single" w:sz="8" w:space="0" w:color="auto"/>
              <w:left w:val="nil"/>
              <w:bottom w:val="single" w:sz="8" w:space="0" w:color="auto"/>
              <w:right w:val="single" w:sz="8" w:space="0" w:color="auto"/>
            </w:tcBorders>
            <w:shd w:val="clear" w:color="000000" w:fill="A5A5A5"/>
            <w:noWrap/>
            <w:vAlign w:val="bottom"/>
            <w:hideMark/>
          </w:tcPr>
          <w:p w:rsidR="00AE60E1" w:rsidRPr="00507716" w:rsidRDefault="00AE60E1" w:rsidP="004F6E7C">
            <w:pPr>
              <w:spacing w:line="240" w:lineRule="auto"/>
              <w:jc w:val="center"/>
              <w:rPr>
                <w:rFonts w:ascii="Calibri" w:hAnsi="Calibri"/>
                <w:color w:val="000000"/>
                <w:szCs w:val="20"/>
                <w:lang w:val="en-US"/>
              </w:rPr>
            </w:pPr>
            <w:r w:rsidRPr="00507716">
              <w:rPr>
                <w:rFonts w:ascii="Calibri" w:hAnsi="Calibri"/>
                <w:color w:val="000000"/>
                <w:szCs w:val="20"/>
                <w:lang w:val="en-US"/>
              </w:rPr>
              <w:t> </w:t>
            </w:r>
          </w:p>
        </w:tc>
        <w:tc>
          <w:tcPr>
            <w:tcW w:w="1980" w:type="dxa"/>
            <w:tcBorders>
              <w:top w:val="single" w:sz="8" w:space="0" w:color="auto"/>
              <w:left w:val="nil"/>
              <w:bottom w:val="single" w:sz="8" w:space="0" w:color="auto"/>
              <w:right w:val="single" w:sz="8" w:space="0" w:color="auto"/>
            </w:tcBorders>
            <w:shd w:val="clear" w:color="000000" w:fill="A5A5A5"/>
            <w:noWrap/>
            <w:vAlign w:val="bottom"/>
            <w:hideMark/>
          </w:tcPr>
          <w:p w:rsidR="00AE60E1" w:rsidRPr="00507716" w:rsidRDefault="00AE60E1" w:rsidP="004F6E7C">
            <w:pPr>
              <w:spacing w:line="240" w:lineRule="auto"/>
              <w:jc w:val="center"/>
              <w:rPr>
                <w:rFonts w:ascii="Calibri" w:hAnsi="Calibri"/>
                <w:color w:val="000000"/>
                <w:szCs w:val="20"/>
                <w:lang w:val="en-US"/>
              </w:rPr>
            </w:pPr>
            <w:r w:rsidRPr="00507716">
              <w:rPr>
                <w:rFonts w:ascii="Calibri" w:hAnsi="Calibri"/>
                <w:color w:val="000000"/>
                <w:szCs w:val="20"/>
                <w:lang w:val="en-US"/>
              </w:rPr>
              <w:t> </w:t>
            </w:r>
          </w:p>
        </w:tc>
        <w:tc>
          <w:tcPr>
            <w:tcW w:w="578" w:type="dxa"/>
          </w:tcPr>
          <w:p w:rsidR="00AE60E1" w:rsidRPr="00BD1633" w:rsidRDefault="00AE60E1" w:rsidP="004F6E7C">
            <w:pPr>
              <w:rPr>
                <w:rFonts w:cs="Arial"/>
                <w:sz w:val="20"/>
                <w:szCs w:val="20"/>
                <w:lang w:eastAsia="en-ZA"/>
              </w:rPr>
            </w:pPr>
          </w:p>
        </w:tc>
        <w:tc>
          <w:tcPr>
            <w:tcW w:w="2520" w:type="dxa"/>
            <w:vAlign w:val="bottom"/>
          </w:tcPr>
          <w:p w:rsidR="00AE60E1" w:rsidRPr="00BD1633" w:rsidRDefault="00AE60E1" w:rsidP="004F6E7C">
            <w:pPr>
              <w:rPr>
                <w:rFonts w:cs="Arial"/>
                <w:sz w:val="20"/>
                <w:szCs w:val="20"/>
                <w:lang w:eastAsia="en-ZA"/>
              </w:rPr>
            </w:pPr>
          </w:p>
        </w:tc>
        <w:tc>
          <w:tcPr>
            <w:tcW w:w="2520" w:type="dxa"/>
            <w:vAlign w:val="bottom"/>
          </w:tcPr>
          <w:p w:rsidR="00AE60E1" w:rsidRPr="00BD1633" w:rsidRDefault="00AE60E1" w:rsidP="004F6E7C">
            <w:pPr>
              <w:rPr>
                <w:rFonts w:cs="Arial"/>
                <w:sz w:val="20"/>
                <w:szCs w:val="20"/>
                <w:lang w:eastAsia="en-ZA"/>
              </w:rPr>
            </w:pPr>
          </w:p>
        </w:tc>
        <w:tc>
          <w:tcPr>
            <w:tcW w:w="2520" w:type="dxa"/>
            <w:vAlign w:val="bottom"/>
          </w:tcPr>
          <w:p w:rsidR="00AE60E1" w:rsidRPr="00BD1633" w:rsidRDefault="00AE60E1" w:rsidP="004F6E7C">
            <w:pPr>
              <w:rPr>
                <w:rFonts w:cs="Arial"/>
                <w:sz w:val="20"/>
                <w:szCs w:val="20"/>
                <w:lang w:eastAsia="en-ZA"/>
              </w:rPr>
            </w:pPr>
          </w:p>
        </w:tc>
        <w:tc>
          <w:tcPr>
            <w:tcW w:w="2520" w:type="dxa"/>
            <w:vAlign w:val="bottom"/>
          </w:tcPr>
          <w:p w:rsidR="00AE60E1" w:rsidRDefault="00AE60E1" w:rsidP="004F6E7C">
            <w:pPr>
              <w:jc w:val="left"/>
              <w:rPr>
                <w:rFonts w:ascii="Calibri" w:hAnsi="Calibri"/>
                <w:color w:val="000000"/>
              </w:rPr>
            </w:pPr>
          </w:p>
        </w:tc>
      </w:tr>
      <w:tr w:rsidR="00AE60E1" w:rsidRPr="00507716" w:rsidTr="003C5550">
        <w:trPr>
          <w:trHeight w:val="300"/>
        </w:trPr>
        <w:tc>
          <w:tcPr>
            <w:tcW w:w="4392" w:type="dxa"/>
            <w:tcBorders>
              <w:top w:val="nil"/>
              <w:left w:val="single" w:sz="8" w:space="0" w:color="auto"/>
              <w:bottom w:val="nil"/>
              <w:right w:val="single" w:sz="8" w:space="0" w:color="auto"/>
            </w:tcBorders>
            <w:shd w:val="clear" w:color="000000" w:fill="DBEEF3"/>
            <w:vAlign w:val="bottom"/>
          </w:tcPr>
          <w:p w:rsidR="00AE60E1" w:rsidRPr="00507716" w:rsidRDefault="00AE60E1" w:rsidP="008817A9">
            <w:pPr>
              <w:spacing w:line="240" w:lineRule="auto"/>
              <w:rPr>
                <w:rFonts w:ascii="Calibri" w:hAnsi="Calibri"/>
                <w:b/>
                <w:bCs/>
                <w:color w:val="000000"/>
                <w:szCs w:val="20"/>
                <w:lang w:val="en-US"/>
              </w:rPr>
            </w:pPr>
            <w:r>
              <w:rPr>
                <w:rFonts w:cs="Arial"/>
                <w:sz w:val="20"/>
                <w:szCs w:val="20"/>
                <w:lang w:eastAsia="en-ZA"/>
              </w:rPr>
              <w:t>Net Cash Flow From Operating Activities</w:t>
            </w:r>
          </w:p>
        </w:tc>
        <w:tc>
          <w:tcPr>
            <w:tcW w:w="1530" w:type="dxa"/>
            <w:tcBorders>
              <w:top w:val="nil"/>
              <w:left w:val="nil"/>
              <w:bottom w:val="nil"/>
              <w:right w:val="single" w:sz="8" w:space="0" w:color="auto"/>
            </w:tcBorders>
            <w:shd w:val="clear" w:color="000000" w:fill="DBEEF3"/>
            <w:noWrap/>
            <w:vAlign w:val="bottom"/>
          </w:tcPr>
          <w:p w:rsidR="00AE60E1" w:rsidRPr="00507716" w:rsidRDefault="00AE60E1" w:rsidP="004F6E7C">
            <w:pPr>
              <w:spacing w:line="240" w:lineRule="auto"/>
              <w:jc w:val="center"/>
              <w:rPr>
                <w:rFonts w:ascii="Calibri" w:hAnsi="Calibri"/>
                <w:color w:val="000000"/>
                <w:szCs w:val="20"/>
                <w:lang w:val="en-US"/>
              </w:rPr>
            </w:pPr>
            <w:r>
              <w:rPr>
                <w:rFonts w:ascii="Calibri" w:hAnsi="Calibri"/>
                <w:color w:val="000000"/>
                <w:szCs w:val="20"/>
                <w:lang w:val="en-US"/>
              </w:rPr>
              <w:t>430 379</w:t>
            </w:r>
          </w:p>
        </w:tc>
        <w:tc>
          <w:tcPr>
            <w:tcW w:w="1980" w:type="dxa"/>
            <w:tcBorders>
              <w:top w:val="nil"/>
              <w:left w:val="nil"/>
              <w:bottom w:val="nil"/>
              <w:right w:val="single" w:sz="8" w:space="0" w:color="auto"/>
            </w:tcBorders>
            <w:shd w:val="clear" w:color="000000" w:fill="DBEEF3"/>
            <w:noWrap/>
            <w:vAlign w:val="bottom"/>
          </w:tcPr>
          <w:p w:rsidR="00AE60E1" w:rsidRPr="00507716" w:rsidRDefault="00AE60E1" w:rsidP="004F6E7C">
            <w:pPr>
              <w:spacing w:line="240" w:lineRule="auto"/>
              <w:jc w:val="center"/>
              <w:rPr>
                <w:rFonts w:ascii="Calibri" w:hAnsi="Calibri"/>
                <w:color w:val="000000"/>
                <w:szCs w:val="20"/>
                <w:lang w:val="en-US"/>
              </w:rPr>
            </w:pPr>
            <w:r>
              <w:rPr>
                <w:rFonts w:ascii="Calibri" w:hAnsi="Calibri"/>
                <w:color w:val="000000"/>
                <w:szCs w:val="20"/>
                <w:lang w:val="en-US"/>
              </w:rPr>
              <w:t>349 757</w:t>
            </w:r>
          </w:p>
        </w:tc>
        <w:tc>
          <w:tcPr>
            <w:tcW w:w="578" w:type="dxa"/>
          </w:tcPr>
          <w:p w:rsidR="00AE60E1" w:rsidRDefault="00AE60E1" w:rsidP="004F6E7C">
            <w:pPr>
              <w:rPr>
                <w:rFonts w:cs="Arial"/>
                <w:sz w:val="20"/>
                <w:szCs w:val="20"/>
                <w:lang w:eastAsia="en-ZA"/>
              </w:rPr>
            </w:pPr>
          </w:p>
        </w:tc>
        <w:tc>
          <w:tcPr>
            <w:tcW w:w="2520" w:type="dxa"/>
            <w:vAlign w:val="bottom"/>
          </w:tcPr>
          <w:p w:rsidR="00AE60E1" w:rsidRDefault="00AE60E1" w:rsidP="004F6E7C">
            <w:pPr>
              <w:rPr>
                <w:rFonts w:cs="Arial"/>
                <w:sz w:val="20"/>
                <w:szCs w:val="20"/>
                <w:lang w:eastAsia="en-ZA"/>
              </w:rPr>
            </w:pPr>
          </w:p>
        </w:tc>
        <w:tc>
          <w:tcPr>
            <w:tcW w:w="2520" w:type="dxa"/>
            <w:vAlign w:val="bottom"/>
          </w:tcPr>
          <w:p w:rsidR="00AE60E1" w:rsidRPr="00BD1633" w:rsidRDefault="00AE60E1" w:rsidP="004F6E7C">
            <w:pPr>
              <w:rPr>
                <w:rFonts w:cs="Arial"/>
                <w:sz w:val="20"/>
                <w:szCs w:val="20"/>
                <w:lang w:eastAsia="en-ZA"/>
              </w:rPr>
            </w:pPr>
          </w:p>
        </w:tc>
        <w:tc>
          <w:tcPr>
            <w:tcW w:w="2520" w:type="dxa"/>
            <w:vAlign w:val="bottom"/>
          </w:tcPr>
          <w:p w:rsidR="00AE60E1" w:rsidRPr="00BD1633" w:rsidRDefault="00AE60E1" w:rsidP="004F6E7C">
            <w:pPr>
              <w:rPr>
                <w:rFonts w:cs="Arial"/>
                <w:sz w:val="20"/>
                <w:szCs w:val="20"/>
                <w:lang w:eastAsia="en-ZA"/>
              </w:rPr>
            </w:pPr>
          </w:p>
        </w:tc>
        <w:tc>
          <w:tcPr>
            <w:tcW w:w="2520" w:type="dxa"/>
            <w:vAlign w:val="bottom"/>
          </w:tcPr>
          <w:p w:rsidR="00AE60E1" w:rsidRDefault="00AE60E1" w:rsidP="004F6E7C">
            <w:pPr>
              <w:rPr>
                <w:rFonts w:ascii="Calibri" w:hAnsi="Calibri"/>
                <w:color w:val="000000"/>
              </w:rPr>
            </w:pPr>
          </w:p>
        </w:tc>
      </w:tr>
      <w:tr w:rsidR="00AE60E1" w:rsidRPr="00507716" w:rsidTr="008817A9">
        <w:trPr>
          <w:trHeight w:val="272"/>
        </w:trPr>
        <w:tc>
          <w:tcPr>
            <w:tcW w:w="4392" w:type="dxa"/>
            <w:tcBorders>
              <w:top w:val="nil"/>
              <w:left w:val="single" w:sz="8" w:space="0" w:color="auto"/>
              <w:bottom w:val="nil"/>
              <w:right w:val="single" w:sz="8" w:space="0" w:color="auto"/>
            </w:tcBorders>
            <w:shd w:val="clear" w:color="000000" w:fill="DBEEF3"/>
            <w:vAlign w:val="bottom"/>
          </w:tcPr>
          <w:p w:rsidR="00AE60E1" w:rsidRPr="00067A47" w:rsidRDefault="00AE60E1" w:rsidP="00067A47">
            <w:pPr>
              <w:spacing w:line="240" w:lineRule="auto"/>
              <w:rPr>
                <w:rFonts w:cs="Arial"/>
                <w:sz w:val="20"/>
                <w:szCs w:val="20"/>
                <w:lang w:eastAsia="en-ZA"/>
              </w:rPr>
            </w:pPr>
            <w:r w:rsidRPr="00067A47">
              <w:rPr>
                <w:rFonts w:cs="Arial"/>
                <w:sz w:val="20"/>
                <w:szCs w:val="20"/>
                <w:lang w:eastAsia="en-ZA"/>
              </w:rPr>
              <w:t>Cash flows from financing activities</w:t>
            </w:r>
          </w:p>
        </w:tc>
        <w:tc>
          <w:tcPr>
            <w:tcW w:w="1530" w:type="dxa"/>
            <w:tcBorders>
              <w:top w:val="nil"/>
              <w:left w:val="nil"/>
              <w:bottom w:val="nil"/>
              <w:right w:val="single" w:sz="8" w:space="0" w:color="auto"/>
            </w:tcBorders>
            <w:shd w:val="clear" w:color="000000" w:fill="DBEEF3"/>
            <w:noWrap/>
            <w:vAlign w:val="bottom"/>
          </w:tcPr>
          <w:p w:rsidR="00AE60E1" w:rsidRDefault="00AE60E1" w:rsidP="004F6E7C">
            <w:pPr>
              <w:spacing w:line="240" w:lineRule="auto"/>
              <w:jc w:val="center"/>
              <w:rPr>
                <w:rFonts w:ascii="Calibri" w:hAnsi="Calibri"/>
                <w:color w:val="000000"/>
                <w:szCs w:val="20"/>
                <w:lang w:val="en-US"/>
              </w:rPr>
            </w:pPr>
            <w:r>
              <w:rPr>
                <w:rFonts w:ascii="Calibri" w:hAnsi="Calibri"/>
                <w:color w:val="000000"/>
                <w:szCs w:val="20"/>
                <w:lang w:val="en-US"/>
              </w:rPr>
              <w:t>605 521</w:t>
            </w:r>
          </w:p>
        </w:tc>
        <w:tc>
          <w:tcPr>
            <w:tcW w:w="1980" w:type="dxa"/>
            <w:tcBorders>
              <w:top w:val="nil"/>
              <w:left w:val="nil"/>
              <w:bottom w:val="nil"/>
              <w:right w:val="single" w:sz="8" w:space="0" w:color="auto"/>
            </w:tcBorders>
            <w:shd w:val="clear" w:color="000000" w:fill="DBEEF3"/>
            <w:noWrap/>
            <w:vAlign w:val="bottom"/>
          </w:tcPr>
          <w:p w:rsidR="00AE60E1" w:rsidRDefault="00AE60E1" w:rsidP="00067A47">
            <w:pPr>
              <w:spacing w:line="240" w:lineRule="auto"/>
              <w:jc w:val="center"/>
              <w:rPr>
                <w:rFonts w:ascii="Calibri" w:hAnsi="Calibri"/>
                <w:color w:val="000000"/>
                <w:szCs w:val="20"/>
                <w:lang w:val="en-US"/>
              </w:rPr>
            </w:pPr>
            <w:r>
              <w:rPr>
                <w:rFonts w:ascii="Calibri" w:hAnsi="Calibri"/>
                <w:color w:val="000000"/>
                <w:szCs w:val="20"/>
                <w:lang w:val="en-US"/>
              </w:rPr>
              <w:t>829 443</w:t>
            </w:r>
          </w:p>
        </w:tc>
        <w:tc>
          <w:tcPr>
            <w:tcW w:w="578" w:type="dxa"/>
          </w:tcPr>
          <w:p w:rsidR="00AE60E1" w:rsidRDefault="00AE60E1" w:rsidP="004F6E7C">
            <w:pPr>
              <w:rPr>
                <w:rFonts w:cs="Arial"/>
                <w:sz w:val="20"/>
                <w:szCs w:val="20"/>
                <w:lang w:eastAsia="en-ZA"/>
              </w:rPr>
            </w:pPr>
          </w:p>
        </w:tc>
        <w:tc>
          <w:tcPr>
            <w:tcW w:w="2520" w:type="dxa"/>
            <w:vAlign w:val="bottom"/>
          </w:tcPr>
          <w:p w:rsidR="00AE60E1" w:rsidRDefault="00AE60E1" w:rsidP="004F6E7C">
            <w:pPr>
              <w:rPr>
                <w:rFonts w:cs="Arial"/>
                <w:sz w:val="20"/>
                <w:szCs w:val="20"/>
                <w:lang w:eastAsia="en-ZA"/>
              </w:rPr>
            </w:pPr>
          </w:p>
        </w:tc>
        <w:tc>
          <w:tcPr>
            <w:tcW w:w="2520" w:type="dxa"/>
            <w:vAlign w:val="bottom"/>
          </w:tcPr>
          <w:p w:rsidR="00AE60E1" w:rsidRPr="00BD1633" w:rsidRDefault="00AE60E1" w:rsidP="004F6E7C">
            <w:pPr>
              <w:rPr>
                <w:rFonts w:cs="Arial"/>
                <w:sz w:val="20"/>
                <w:szCs w:val="20"/>
                <w:lang w:eastAsia="en-ZA"/>
              </w:rPr>
            </w:pPr>
          </w:p>
        </w:tc>
        <w:tc>
          <w:tcPr>
            <w:tcW w:w="2520" w:type="dxa"/>
            <w:vAlign w:val="bottom"/>
          </w:tcPr>
          <w:p w:rsidR="00AE60E1" w:rsidRPr="00BD1633" w:rsidRDefault="00AE60E1" w:rsidP="004F6E7C">
            <w:pPr>
              <w:rPr>
                <w:rFonts w:cs="Arial"/>
                <w:sz w:val="20"/>
                <w:szCs w:val="20"/>
                <w:lang w:eastAsia="en-ZA"/>
              </w:rPr>
            </w:pPr>
          </w:p>
        </w:tc>
        <w:tc>
          <w:tcPr>
            <w:tcW w:w="2520" w:type="dxa"/>
            <w:vAlign w:val="bottom"/>
          </w:tcPr>
          <w:p w:rsidR="00AE60E1" w:rsidRPr="00BD1633" w:rsidRDefault="00AE60E1" w:rsidP="004F6E7C">
            <w:pPr>
              <w:rPr>
                <w:rFonts w:cs="Arial"/>
                <w:sz w:val="20"/>
                <w:szCs w:val="20"/>
                <w:lang w:eastAsia="en-ZA"/>
              </w:rPr>
            </w:pPr>
          </w:p>
        </w:tc>
      </w:tr>
      <w:tr w:rsidR="00AE60E1" w:rsidRPr="00507716" w:rsidTr="008817A9">
        <w:trPr>
          <w:trHeight w:val="80"/>
        </w:trPr>
        <w:tc>
          <w:tcPr>
            <w:tcW w:w="4392" w:type="dxa"/>
            <w:tcBorders>
              <w:top w:val="nil"/>
              <w:left w:val="single" w:sz="8" w:space="0" w:color="auto"/>
              <w:bottom w:val="nil"/>
              <w:right w:val="single" w:sz="8" w:space="0" w:color="auto"/>
            </w:tcBorders>
            <w:shd w:val="clear" w:color="000000" w:fill="DBEEF3"/>
            <w:vAlign w:val="bottom"/>
          </w:tcPr>
          <w:p w:rsidR="00AE60E1" w:rsidRPr="00067A47" w:rsidRDefault="00AE60E1" w:rsidP="00067A47">
            <w:pPr>
              <w:spacing w:line="240" w:lineRule="auto"/>
              <w:rPr>
                <w:rFonts w:cs="Arial"/>
                <w:sz w:val="20"/>
                <w:szCs w:val="20"/>
                <w:lang w:eastAsia="en-ZA"/>
              </w:rPr>
            </w:pPr>
            <w:r>
              <w:rPr>
                <w:rFonts w:cs="Arial"/>
                <w:sz w:val="20"/>
                <w:szCs w:val="20"/>
                <w:lang w:eastAsia="en-ZA"/>
              </w:rPr>
              <w:t>Net cash from investing activities</w:t>
            </w:r>
          </w:p>
        </w:tc>
        <w:tc>
          <w:tcPr>
            <w:tcW w:w="1530" w:type="dxa"/>
            <w:tcBorders>
              <w:top w:val="nil"/>
              <w:left w:val="nil"/>
              <w:bottom w:val="nil"/>
              <w:right w:val="single" w:sz="8" w:space="0" w:color="auto"/>
            </w:tcBorders>
            <w:shd w:val="clear" w:color="000000" w:fill="DBEEF3"/>
            <w:noWrap/>
            <w:vAlign w:val="bottom"/>
          </w:tcPr>
          <w:p w:rsidR="00AE60E1" w:rsidRDefault="00AE60E1" w:rsidP="004F6E7C">
            <w:pPr>
              <w:spacing w:line="240" w:lineRule="auto"/>
              <w:jc w:val="center"/>
              <w:rPr>
                <w:rFonts w:ascii="Calibri" w:hAnsi="Calibri"/>
                <w:color w:val="000000"/>
                <w:szCs w:val="20"/>
                <w:lang w:val="en-US"/>
              </w:rPr>
            </w:pPr>
            <w:r>
              <w:rPr>
                <w:rFonts w:ascii="Calibri" w:hAnsi="Calibri"/>
                <w:color w:val="000000"/>
                <w:szCs w:val="20"/>
                <w:lang w:val="en-US"/>
              </w:rPr>
              <w:t>(654 301)</w:t>
            </w:r>
          </w:p>
        </w:tc>
        <w:tc>
          <w:tcPr>
            <w:tcW w:w="1980" w:type="dxa"/>
            <w:tcBorders>
              <w:top w:val="nil"/>
              <w:left w:val="nil"/>
              <w:bottom w:val="nil"/>
              <w:right w:val="single" w:sz="8" w:space="0" w:color="auto"/>
            </w:tcBorders>
            <w:shd w:val="clear" w:color="000000" w:fill="DBEEF3"/>
            <w:noWrap/>
            <w:vAlign w:val="bottom"/>
          </w:tcPr>
          <w:p w:rsidR="00AE60E1" w:rsidRDefault="00AE60E1" w:rsidP="00067A47">
            <w:pPr>
              <w:spacing w:line="240" w:lineRule="auto"/>
              <w:jc w:val="center"/>
              <w:rPr>
                <w:rFonts w:ascii="Calibri" w:hAnsi="Calibri"/>
                <w:color w:val="000000"/>
                <w:szCs w:val="20"/>
                <w:lang w:val="en-US"/>
              </w:rPr>
            </w:pPr>
            <w:r>
              <w:rPr>
                <w:rFonts w:ascii="Calibri" w:hAnsi="Calibri"/>
                <w:color w:val="000000"/>
                <w:szCs w:val="20"/>
                <w:lang w:val="en-US"/>
              </w:rPr>
              <w:t>27 936</w:t>
            </w:r>
          </w:p>
        </w:tc>
        <w:tc>
          <w:tcPr>
            <w:tcW w:w="578" w:type="dxa"/>
          </w:tcPr>
          <w:p w:rsidR="00AE60E1" w:rsidRDefault="00AE60E1" w:rsidP="004F6E7C">
            <w:pPr>
              <w:rPr>
                <w:rFonts w:cs="Arial"/>
                <w:sz w:val="20"/>
                <w:szCs w:val="20"/>
                <w:lang w:eastAsia="en-ZA"/>
              </w:rPr>
            </w:pPr>
          </w:p>
        </w:tc>
        <w:tc>
          <w:tcPr>
            <w:tcW w:w="2520" w:type="dxa"/>
            <w:vAlign w:val="bottom"/>
          </w:tcPr>
          <w:p w:rsidR="00AE60E1" w:rsidRDefault="00AE60E1" w:rsidP="004F6E7C">
            <w:pPr>
              <w:rPr>
                <w:rFonts w:cs="Arial"/>
                <w:sz w:val="20"/>
                <w:szCs w:val="20"/>
                <w:lang w:eastAsia="en-ZA"/>
              </w:rPr>
            </w:pPr>
          </w:p>
        </w:tc>
        <w:tc>
          <w:tcPr>
            <w:tcW w:w="2520" w:type="dxa"/>
            <w:vAlign w:val="bottom"/>
          </w:tcPr>
          <w:p w:rsidR="00AE60E1" w:rsidRPr="00BD1633" w:rsidRDefault="00AE60E1" w:rsidP="004F6E7C">
            <w:pPr>
              <w:rPr>
                <w:rFonts w:cs="Arial"/>
                <w:sz w:val="20"/>
                <w:szCs w:val="20"/>
                <w:lang w:eastAsia="en-ZA"/>
              </w:rPr>
            </w:pPr>
          </w:p>
        </w:tc>
        <w:tc>
          <w:tcPr>
            <w:tcW w:w="2520" w:type="dxa"/>
            <w:vAlign w:val="bottom"/>
          </w:tcPr>
          <w:p w:rsidR="00AE60E1" w:rsidRPr="00BD1633" w:rsidRDefault="00AE60E1" w:rsidP="004F6E7C">
            <w:pPr>
              <w:rPr>
                <w:rFonts w:cs="Arial"/>
                <w:sz w:val="20"/>
                <w:szCs w:val="20"/>
                <w:lang w:eastAsia="en-ZA"/>
              </w:rPr>
            </w:pPr>
          </w:p>
        </w:tc>
        <w:tc>
          <w:tcPr>
            <w:tcW w:w="2520" w:type="dxa"/>
            <w:vAlign w:val="bottom"/>
          </w:tcPr>
          <w:p w:rsidR="00AE60E1" w:rsidRPr="00BD1633" w:rsidRDefault="00AE60E1" w:rsidP="004F6E7C">
            <w:pPr>
              <w:rPr>
                <w:rFonts w:cs="Arial"/>
                <w:sz w:val="20"/>
                <w:szCs w:val="20"/>
                <w:lang w:eastAsia="en-ZA"/>
              </w:rPr>
            </w:pPr>
          </w:p>
        </w:tc>
      </w:tr>
      <w:tr w:rsidR="002B08CF" w:rsidRPr="00507716" w:rsidTr="008817A9">
        <w:trPr>
          <w:gridAfter w:val="5"/>
          <w:wAfter w:w="10658" w:type="dxa"/>
          <w:trHeight w:val="225"/>
        </w:trPr>
        <w:tc>
          <w:tcPr>
            <w:tcW w:w="4392" w:type="dxa"/>
            <w:tcBorders>
              <w:top w:val="single" w:sz="8" w:space="0" w:color="auto"/>
              <w:left w:val="single" w:sz="8" w:space="0" w:color="auto"/>
              <w:bottom w:val="single" w:sz="8" w:space="0" w:color="auto"/>
              <w:right w:val="single" w:sz="8" w:space="0" w:color="auto"/>
            </w:tcBorders>
            <w:shd w:val="clear" w:color="000000" w:fill="A5A5A5"/>
            <w:noWrap/>
            <w:vAlign w:val="bottom"/>
            <w:hideMark/>
          </w:tcPr>
          <w:p w:rsidR="002B08CF" w:rsidRPr="00507716" w:rsidRDefault="002B08CF" w:rsidP="004F6E7C">
            <w:pPr>
              <w:spacing w:line="240" w:lineRule="auto"/>
              <w:jc w:val="center"/>
              <w:rPr>
                <w:rFonts w:ascii="Calibri" w:hAnsi="Calibri"/>
                <w:color w:val="000000"/>
                <w:szCs w:val="20"/>
                <w:lang w:val="en-US"/>
              </w:rPr>
            </w:pPr>
          </w:p>
        </w:tc>
        <w:tc>
          <w:tcPr>
            <w:tcW w:w="1530" w:type="dxa"/>
            <w:tcBorders>
              <w:top w:val="single" w:sz="8" w:space="0" w:color="auto"/>
              <w:left w:val="nil"/>
              <w:bottom w:val="single" w:sz="8" w:space="0" w:color="auto"/>
              <w:right w:val="single" w:sz="8" w:space="0" w:color="auto"/>
            </w:tcBorders>
            <w:shd w:val="clear" w:color="000000" w:fill="A5A5A5"/>
            <w:noWrap/>
            <w:vAlign w:val="bottom"/>
            <w:hideMark/>
          </w:tcPr>
          <w:p w:rsidR="002B08CF" w:rsidRPr="00507716" w:rsidRDefault="002B08CF" w:rsidP="004F6E7C">
            <w:pPr>
              <w:spacing w:line="240" w:lineRule="auto"/>
              <w:jc w:val="center"/>
              <w:rPr>
                <w:rFonts w:ascii="Calibri" w:hAnsi="Calibri"/>
                <w:color w:val="000000"/>
                <w:szCs w:val="20"/>
                <w:lang w:val="en-US"/>
              </w:rPr>
            </w:pPr>
          </w:p>
        </w:tc>
        <w:tc>
          <w:tcPr>
            <w:tcW w:w="1980" w:type="dxa"/>
            <w:tcBorders>
              <w:top w:val="single" w:sz="8" w:space="0" w:color="auto"/>
              <w:left w:val="nil"/>
              <w:bottom w:val="single" w:sz="8" w:space="0" w:color="auto"/>
              <w:right w:val="single" w:sz="8" w:space="0" w:color="auto"/>
            </w:tcBorders>
            <w:shd w:val="clear" w:color="000000" w:fill="A5A5A5"/>
            <w:noWrap/>
            <w:vAlign w:val="bottom"/>
            <w:hideMark/>
          </w:tcPr>
          <w:p w:rsidR="002B08CF" w:rsidRPr="00507716" w:rsidRDefault="002B08CF" w:rsidP="004F6E7C">
            <w:pPr>
              <w:spacing w:line="240" w:lineRule="auto"/>
              <w:jc w:val="center"/>
              <w:rPr>
                <w:rFonts w:ascii="Calibri" w:hAnsi="Calibri"/>
                <w:color w:val="000000"/>
                <w:szCs w:val="20"/>
                <w:lang w:val="en-US"/>
              </w:rPr>
            </w:pPr>
          </w:p>
        </w:tc>
      </w:tr>
    </w:tbl>
    <w:p w:rsidR="002B08CF" w:rsidRPr="003C5550" w:rsidRDefault="0041476B" w:rsidP="00EF36A1">
      <w:pPr>
        <w:tabs>
          <w:tab w:val="left" w:pos="8835"/>
        </w:tabs>
        <w:rPr>
          <w:rFonts w:cs="Arial"/>
          <w:b/>
          <w:sz w:val="20"/>
          <w:szCs w:val="20"/>
        </w:rPr>
      </w:pPr>
      <w:r w:rsidRPr="003C5550">
        <w:rPr>
          <w:rFonts w:cs="Arial"/>
          <w:b/>
          <w:sz w:val="20"/>
          <w:szCs w:val="20"/>
        </w:rPr>
        <w:t xml:space="preserve">Source: </w:t>
      </w:r>
      <w:r w:rsidR="00432957" w:rsidRPr="003C5550">
        <w:rPr>
          <w:rFonts w:cs="Arial"/>
          <w:b/>
          <w:sz w:val="20"/>
          <w:szCs w:val="20"/>
        </w:rPr>
        <w:t>PIC Annual Report,</w:t>
      </w:r>
      <w:r w:rsidR="003C5550" w:rsidRPr="003C5550">
        <w:rPr>
          <w:rFonts w:cs="Arial"/>
          <w:b/>
          <w:sz w:val="20"/>
          <w:szCs w:val="20"/>
        </w:rPr>
        <w:t xml:space="preserve"> </w:t>
      </w:r>
      <w:r w:rsidR="00432957" w:rsidRPr="003C5550">
        <w:rPr>
          <w:rFonts w:cs="Arial"/>
          <w:b/>
          <w:sz w:val="20"/>
          <w:szCs w:val="20"/>
        </w:rPr>
        <w:t>2016</w:t>
      </w:r>
    </w:p>
    <w:p w:rsidR="0041476B" w:rsidRPr="0001102D" w:rsidRDefault="0041476B" w:rsidP="00EF36A1">
      <w:pPr>
        <w:tabs>
          <w:tab w:val="left" w:pos="8835"/>
        </w:tabs>
        <w:rPr>
          <w:rFonts w:cs="Arial"/>
        </w:rPr>
      </w:pPr>
    </w:p>
    <w:p w:rsidR="000B648B" w:rsidRPr="0001102D" w:rsidRDefault="000B648B" w:rsidP="000B648B">
      <w:pPr>
        <w:rPr>
          <w:rFonts w:cs="Arial"/>
        </w:rPr>
      </w:pPr>
      <w:r w:rsidRPr="00435496">
        <w:rPr>
          <w:rFonts w:cs="Arial"/>
        </w:rPr>
        <w:t xml:space="preserve">The financial analysis of </w:t>
      </w:r>
      <w:r>
        <w:rPr>
          <w:rFonts w:cs="Arial"/>
        </w:rPr>
        <w:t xml:space="preserve">PIC </w:t>
      </w:r>
      <w:r w:rsidRPr="00435496">
        <w:rPr>
          <w:rFonts w:cs="Arial"/>
        </w:rPr>
        <w:t xml:space="preserve">is based on the audited consolidated annual financial statements </w:t>
      </w:r>
      <w:r>
        <w:rPr>
          <w:rFonts w:cs="Arial"/>
        </w:rPr>
        <w:t>for the year ended 31 March 2016</w:t>
      </w:r>
      <w:r w:rsidR="0041476B">
        <w:rPr>
          <w:rFonts w:cs="Arial"/>
        </w:rPr>
        <w:t>.</w:t>
      </w:r>
      <w:r>
        <w:rPr>
          <w:rFonts w:cs="Arial"/>
        </w:rPr>
        <w:t xml:space="preserve"> </w:t>
      </w:r>
      <w:r w:rsidRPr="0001102D">
        <w:rPr>
          <w:rFonts w:cs="Arial"/>
        </w:rPr>
        <w:t>Revenue increased to R1</w:t>
      </w:r>
      <w:r w:rsidR="005C6C84">
        <w:rPr>
          <w:rFonts w:cs="Arial"/>
        </w:rPr>
        <w:t>.0 billion (FYE15:R955</w:t>
      </w:r>
      <w:r w:rsidRPr="0001102D">
        <w:rPr>
          <w:rFonts w:cs="Arial"/>
        </w:rPr>
        <w:t xml:space="preserve"> </w:t>
      </w:r>
      <w:r w:rsidR="003C27CD">
        <w:rPr>
          <w:rFonts w:cs="Arial"/>
        </w:rPr>
        <w:t>million</w:t>
      </w:r>
      <w:r w:rsidRPr="0001102D">
        <w:rPr>
          <w:rFonts w:cs="Arial"/>
        </w:rPr>
        <w:t xml:space="preserve">) mainly attributed to management fees earned. Public Investment Corporation is an asset manager which manages funds based on mandates prescribed by clients for </w:t>
      </w:r>
      <w:proofErr w:type="gramStart"/>
      <w:r w:rsidRPr="0001102D">
        <w:rPr>
          <w:rFonts w:cs="Arial"/>
        </w:rPr>
        <w:t>which</w:t>
      </w:r>
      <w:proofErr w:type="gramEnd"/>
      <w:r w:rsidRPr="0001102D">
        <w:rPr>
          <w:rFonts w:cs="Arial"/>
        </w:rPr>
        <w:t xml:space="preserve"> it is paid a fee and therefore PIC does not own these investments. PICs financial results demonstrate positive growth mainly due to a resilient net interest income and operating expenses managed within budgeted levels.</w:t>
      </w:r>
      <w:r w:rsidR="0001102D">
        <w:rPr>
          <w:rFonts w:cs="Arial"/>
        </w:rPr>
        <w:t xml:space="preserve"> </w:t>
      </w:r>
      <w:r w:rsidR="0001102D" w:rsidRPr="0001102D">
        <w:rPr>
          <w:rFonts w:cs="Arial"/>
        </w:rPr>
        <w:t xml:space="preserve">The company ceased providing property management services </w:t>
      </w:r>
      <w:r w:rsidR="004D39E3">
        <w:rPr>
          <w:rFonts w:cs="Arial"/>
        </w:rPr>
        <w:t xml:space="preserve">in order to </w:t>
      </w:r>
      <w:r w:rsidR="0001102D" w:rsidRPr="0001102D">
        <w:rPr>
          <w:rFonts w:cs="Arial"/>
        </w:rPr>
        <w:t xml:space="preserve">concentrate on their core business of asset management services. There was a decrease in staff costs of R26 million which is approximately 6% decrease in </w:t>
      </w:r>
      <w:r w:rsidR="00432957">
        <w:rPr>
          <w:rFonts w:cs="Arial"/>
        </w:rPr>
        <w:t>employee costs.</w:t>
      </w:r>
    </w:p>
    <w:p w:rsidR="00B725AB" w:rsidRPr="0001102D" w:rsidRDefault="00B725AB" w:rsidP="000B648B">
      <w:pPr>
        <w:rPr>
          <w:rFonts w:cs="Arial"/>
        </w:rPr>
      </w:pPr>
    </w:p>
    <w:p w:rsidR="00112D46" w:rsidRPr="0001102D" w:rsidRDefault="00112D46" w:rsidP="00112D46">
      <w:pPr>
        <w:rPr>
          <w:rFonts w:cs="Arial"/>
        </w:rPr>
      </w:pPr>
      <w:r>
        <w:rPr>
          <w:rFonts w:cs="Arial"/>
        </w:rPr>
        <w:t>Cash available from operating activities increased to R430 million (FYE15:R349 million).This increase is attributed to in</w:t>
      </w:r>
      <w:r w:rsidR="00A43698">
        <w:rPr>
          <w:rFonts w:cs="Arial"/>
        </w:rPr>
        <w:t xml:space="preserve">terest received during the year. </w:t>
      </w:r>
      <w:r w:rsidRPr="0001102D">
        <w:rPr>
          <w:rFonts w:cs="Arial"/>
        </w:rPr>
        <w:t>Total assets recorded at R</w:t>
      </w:r>
      <w:r w:rsidR="00A43698" w:rsidRPr="0001102D">
        <w:rPr>
          <w:rFonts w:cs="Arial"/>
        </w:rPr>
        <w:t>2</w:t>
      </w:r>
      <w:r w:rsidR="0004494C" w:rsidRPr="0001102D">
        <w:rPr>
          <w:rFonts w:cs="Arial"/>
        </w:rPr>
        <w:t xml:space="preserve"> </w:t>
      </w:r>
      <w:r w:rsidR="00E60C1F" w:rsidRPr="0001102D">
        <w:rPr>
          <w:rFonts w:cs="Arial"/>
        </w:rPr>
        <w:t>074 million</w:t>
      </w:r>
      <w:r w:rsidRPr="0001102D">
        <w:rPr>
          <w:rFonts w:cs="Arial"/>
        </w:rPr>
        <w:t>, R43</w:t>
      </w:r>
      <w:r w:rsidR="00E60C1F" w:rsidRPr="0001102D">
        <w:rPr>
          <w:rFonts w:cs="Arial"/>
        </w:rPr>
        <w:t>4</w:t>
      </w:r>
      <w:r w:rsidRPr="0001102D">
        <w:rPr>
          <w:rFonts w:cs="Arial"/>
        </w:rPr>
        <w:t xml:space="preserve"> million more than in the previous year. </w:t>
      </w:r>
      <w:r w:rsidR="0001102D" w:rsidRPr="0001102D">
        <w:rPr>
          <w:rFonts w:cs="Arial"/>
        </w:rPr>
        <w:t xml:space="preserve">There was a positive fair value of financial instruments traded in the active market </w:t>
      </w:r>
      <w:r w:rsidR="004D39E3">
        <w:rPr>
          <w:rFonts w:cs="Arial"/>
        </w:rPr>
        <w:t>in</w:t>
      </w:r>
      <w:r w:rsidR="004D39E3" w:rsidRPr="0001102D">
        <w:rPr>
          <w:rFonts w:cs="Arial"/>
        </w:rPr>
        <w:t xml:space="preserve"> </w:t>
      </w:r>
      <w:r w:rsidR="0001102D" w:rsidRPr="0001102D">
        <w:rPr>
          <w:rFonts w:cs="Arial"/>
        </w:rPr>
        <w:t xml:space="preserve">the financial year. </w:t>
      </w:r>
      <w:r w:rsidRPr="0001102D">
        <w:rPr>
          <w:rFonts w:cs="Arial"/>
        </w:rPr>
        <w:t xml:space="preserve">Cash and cash equivalents </w:t>
      </w:r>
      <w:r w:rsidR="00E60C1F" w:rsidRPr="0001102D">
        <w:rPr>
          <w:rFonts w:cs="Arial"/>
        </w:rPr>
        <w:t>declined to R605 million (FYE07:R829</w:t>
      </w:r>
      <w:r w:rsidRPr="0001102D">
        <w:rPr>
          <w:rFonts w:cs="Arial"/>
        </w:rPr>
        <w:t xml:space="preserve"> million). </w:t>
      </w:r>
      <w:r w:rsidR="0004494C">
        <w:rPr>
          <w:rFonts w:cs="Arial"/>
        </w:rPr>
        <w:t>PIC</w:t>
      </w:r>
      <w:r>
        <w:rPr>
          <w:rFonts w:cs="Arial"/>
        </w:rPr>
        <w:t xml:space="preserve"> has no </w:t>
      </w:r>
      <w:r w:rsidRPr="0001102D">
        <w:rPr>
          <w:rFonts w:cs="Arial"/>
        </w:rPr>
        <w:t>long-term interest bearing debt</w:t>
      </w:r>
      <w:r>
        <w:rPr>
          <w:rFonts w:cs="Arial"/>
        </w:rPr>
        <w:t xml:space="preserve"> on its balance sheet</w:t>
      </w:r>
      <w:r w:rsidR="004D39E3">
        <w:rPr>
          <w:rFonts w:cs="Arial"/>
        </w:rPr>
        <w:t>.</w:t>
      </w:r>
      <w:r>
        <w:rPr>
          <w:rFonts w:cs="Arial"/>
        </w:rPr>
        <w:t xml:space="preserve"> Net gearing position is cash flush as they have sufficient cash to cover their liabilities.</w:t>
      </w:r>
      <w:r w:rsidR="00462C35">
        <w:rPr>
          <w:rFonts w:cs="Arial"/>
        </w:rPr>
        <w:t xml:space="preserve"> The entity has raised provision against leave entitlements accrued to the employees for the financial period. The long term incentive relates to the scheme by the company to attract, retain and reward high performing management at PIC. Short term provision is linked to performance contracts payable annually after the board approves the annual results.</w:t>
      </w:r>
    </w:p>
    <w:p w:rsidR="00055604" w:rsidRDefault="00055604" w:rsidP="00EF36A1">
      <w:pPr>
        <w:tabs>
          <w:tab w:val="left" w:pos="8835"/>
        </w:tabs>
      </w:pPr>
    </w:p>
    <w:p w:rsidR="00EF36A1" w:rsidRPr="00EF36A1" w:rsidRDefault="00EF36A1" w:rsidP="00EF36A1">
      <w:pPr>
        <w:tabs>
          <w:tab w:val="left" w:pos="8835"/>
        </w:tabs>
      </w:pPr>
      <w:r>
        <w:tab/>
      </w:r>
    </w:p>
    <w:p w:rsidR="00845F0C" w:rsidRDefault="00764580" w:rsidP="00810ACC">
      <w:pPr>
        <w:pStyle w:val="Heading2"/>
        <w:numPr>
          <w:ilvl w:val="1"/>
          <w:numId w:val="24"/>
        </w:numPr>
      </w:pPr>
      <w:bookmarkStart w:id="10" w:name="_Toc464214446"/>
      <w:r>
        <w:lastRenderedPageBreak/>
        <w:t>Auditor General</w:t>
      </w:r>
      <w:r w:rsidR="004D39E3">
        <w:t>’s</w:t>
      </w:r>
      <w:r>
        <w:t xml:space="preserve"> </w:t>
      </w:r>
      <w:r w:rsidR="00845F0C">
        <w:t>Report</w:t>
      </w:r>
      <w:bookmarkEnd w:id="10"/>
      <w:r>
        <w:tab/>
      </w:r>
    </w:p>
    <w:p w:rsidR="00055604" w:rsidRPr="00055604" w:rsidRDefault="00055604" w:rsidP="00055604"/>
    <w:p w:rsidR="00764580" w:rsidRDefault="00764580" w:rsidP="00764580">
      <w:pPr>
        <w:spacing w:line="240" w:lineRule="auto"/>
        <w:rPr>
          <w:rFonts w:cs="Arial"/>
        </w:rPr>
      </w:pPr>
      <w:r>
        <w:rPr>
          <w:rFonts w:cs="Arial"/>
        </w:rPr>
        <w:t>The Auditor-General</w:t>
      </w:r>
      <w:r w:rsidRPr="000E3570">
        <w:rPr>
          <w:rFonts w:cs="Arial"/>
        </w:rPr>
        <w:t xml:space="preserve"> expressed an unqualified audit opinion.</w:t>
      </w:r>
      <w:r>
        <w:rPr>
          <w:rFonts w:cs="Arial"/>
        </w:rPr>
        <w:t xml:space="preserve"> However the </w:t>
      </w:r>
      <w:r w:rsidR="004D39E3">
        <w:rPr>
          <w:rFonts w:cs="Arial"/>
        </w:rPr>
        <w:t>A</w:t>
      </w:r>
      <w:r>
        <w:rPr>
          <w:rFonts w:cs="Arial"/>
        </w:rPr>
        <w:t xml:space="preserve">uditor </w:t>
      </w:r>
      <w:r w:rsidRPr="00484481">
        <w:rPr>
          <w:rFonts w:cs="Arial"/>
        </w:rPr>
        <w:t>drew attention to the following matters:</w:t>
      </w:r>
    </w:p>
    <w:p w:rsidR="00764580" w:rsidRDefault="00764580" w:rsidP="00764580">
      <w:pPr>
        <w:spacing w:line="240" w:lineRule="auto"/>
        <w:rPr>
          <w:rFonts w:cs="Arial"/>
        </w:rPr>
      </w:pPr>
    </w:p>
    <w:p w:rsidR="00764580" w:rsidRPr="00484481" w:rsidRDefault="00F62866" w:rsidP="00764580">
      <w:pPr>
        <w:numPr>
          <w:ilvl w:val="0"/>
          <w:numId w:val="16"/>
        </w:numPr>
        <w:tabs>
          <w:tab w:val="left" w:pos="0"/>
        </w:tabs>
        <w:spacing w:line="240" w:lineRule="auto"/>
        <w:rPr>
          <w:rFonts w:cs="Arial"/>
          <w:b/>
        </w:rPr>
      </w:pPr>
      <w:r>
        <w:rPr>
          <w:rFonts w:cs="Arial"/>
          <w:b/>
        </w:rPr>
        <w:t>Outsourcing of property management</w:t>
      </w:r>
    </w:p>
    <w:p w:rsidR="00D12839" w:rsidRDefault="00D12839" w:rsidP="00764580">
      <w:pPr>
        <w:tabs>
          <w:tab w:val="left" w:pos="720"/>
        </w:tabs>
        <w:spacing w:line="240" w:lineRule="auto"/>
        <w:rPr>
          <w:rFonts w:cs="Arial"/>
        </w:rPr>
      </w:pPr>
    </w:p>
    <w:p w:rsidR="006163FE" w:rsidRPr="00702501" w:rsidRDefault="006163FE" w:rsidP="008817A9">
      <w:pPr>
        <w:rPr>
          <w:rFonts w:cs="Arial"/>
        </w:rPr>
      </w:pPr>
      <w:r w:rsidRPr="00702501">
        <w:rPr>
          <w:rFonts w:cs="Arial"/>
        </w:rPr>
        <w:t xml:space="preserve">To gain higher efficiency, PIC resolved to concentrate on their core business of asset management services. This decision resulted in the outsourcing of the property management services to </w:t>
      </w:r>
      <w:proofErr w:type="spellStart"/>
      <w:r w:rsidRPr="00702501">
        <w:rPr>
          <w:rFonts w:cs="Arial"/>
        </w:rPr>
        <w:t>Mowana</w:t>
      </w:r>
      <w:proofErr w:type="spellEnd"/>
      <w:r w:rsidRPr="00702501">
        <w:rPr>
          <w:rFonts w:cs="Arial"/>
        </w:rPr>
        <w:t xml:space="preserve"> Pty Limited, which is in turn wholly owned by subsidiary of Pareto Limited- GEPF is 100 % owned by Pareto Limited. The financial impact as a result of outsourcing:</w:t>
      </w:r>
    </w:p>
    <w:p w:rsidR="006163FE" w:rsidRPr="00702501" w:rsidRDefault="006163FE" w:rsidP="006163FE">
      <w:pPr>
        <w:pStyle w:val="ListParagraph"/>
        <w:numPr>
          <w:ilvl w:val="0"/>
          <w:numId w:val="18"/>
        </w:numPr>
        <w:tabs>
          <w:tab w:val="left" w:pos="720"/>
        </w:tabs>
        <w:spacing w:line="240" w:lineRule="auto"/>
        <w:rPr>
          <w:rFonts w:cs="Arial"/>
        </w:rPr>
      </w:pPr>
      <w:r w:rsidRPr="00702501">
        <w:rPr>
          <w:rFonts w:cs="Arial"/>
        </w:rPr>
        <w:t>Property management fees will no longer be earned</w:t>
      </w:r>
    </w:p>
    <w:p w:rsidR="006163FE" w:rsidRPr="00432957" w:rsidRDefault="006163FE" w:rsidP="00764580">
      <w:pPr>
        <w:pStyle w:val="ListParagraph"/>
        <w:numPr>
          <w:ilvl w:val="0"/>
          <w:numId w:val="18"/>
        </w:numPr>
        <w:tabs>
          <w:tab w:val="left" w:pos="720"/>
        </w:tabs>
        <w:spacing w:line="240" w:lineRule="auto"/>
      </w:pPr>
      <w:r w:rsidRPr="008817A9">
        <w:t xml:space="preserve">Decrease in staff costs of R26 million </w:t>
      </w:r>
    </w:p>
    <w:p w:rsidR="00EC1AF4" w:rsidRPr="006163FE" w:rsidRDefault="00EC1AF4" w:rsidP="00764580">
      <w:pPr>
        <w:tabs>
          <w:tab w:val="left" w:pos="720"/>
        </w:tabs>
        <w:spacing w:line="240" w:lineRule="auto"/>
        <w:rPr>
          <w:rFonts w:cs="Arial"/>
          <w:color w:val="FF0000"/>
        </w:rPr>
      </w:pPr>
    </w:p>
    <w:p w:rsidR="0082503B" w:rsidRDefault="0082503B" w:rsidP="0082503B">
      <w:pPr>
        <w:numPr>
          <w:ilvl w:val="0"/>
          <w:numId w:val="16"/>
        </w:numPr>
        <w:tabs>
          <w:tab w:val="left" w:pos="0"/>
        </w:tabs>
        <w:spacing w:line="240" w:lineRule="auto"/>
        <w:rPr>
          <w:rFonts w:cs="Arial"/>
          <w:b/>
        </w:rPr>
      </w:pPr>
      <w:r>
        <w:rPr>
          <w:rFonts w:cs="Arial"/>
          <w:b/>
        </w:rPr>
        <w:t>Internal Control</w:t>
      </w:r>
    </w:p>
    <w:p w:rsidR="00702501" w:rsidRPr="0082503B" w:rsidRDefault="00702501" w:rsidP="00702501">
      <w:pPr>
        <w:tabs>
          <w:tab w:val="left" w:pos="0"/>
        </w:tabs>
        <w:spacing w:line="240" w:lineRule="auto"/>
        <w:ind w:left="180"/>
        <w:rPr>
          <w:rFonts w:cs="Arial"/>
          <w:b/>
        </w:rPr>
      </w:pPr>
    </w:p>
    <w:p w:rsidR="0082503B" w:rsidRPr="008817A9" w:rsidRDefault="0082503B" w:rsidP="008817A9">
      <w:r w:rsidRPr="008817A9">
        <w:t>The AG notes that there is lack of oversight by management in addressing the deficiencies noted regarding financial reporting, compliance and related internal controls.</w:t>
      </w:r>
      <w:r w:rsidR="008817A9" w:rsidRPr="008817A9">
        <w:t xml:space="preserve"> </w:t>
      </w:r>
      <w:r w:rsidRPr="008817A9">
        <w:t xml:space="preserve">This resulted in misstatement </w:t>
      </w:r>
      <w:r w:rsidR="00055604">
        <w:t>identified</w:t>
      </w:r>
      <w:r w:rsidRPr="008817A9">
        <w:t xml:space="preserve"> and non-compliance with the financial reporting framework.</w:t>
      </w:r>
    </w:p>
    <w:p w:rsidR="008817A9" w:rsidRDefault="0082503B" w:rsidP="008817A9">
      <w:r w:rsidRPr="008817A9">
        <w:tab/>
      </w:r>
    </w:p>
    <w:p w:rsidR="00DB162D" w:rsidRDefault="00DB162D" w:rsidP="00DB162D">
      <w:pPr>
        <w:pBdr>
          <w:top w:val="single" w:sz="4" w:space="1" w:color="auto"/>
          <w:left w:val="single" w:sz="4" w:space="4" w:color="auto"/>
          <w:bottom w:val="single" w:sz="4" w:space="1" w:color="auto"/>
          <w:right w:val="single" w:sz="4" w:space="4" w:color="auto"/>
        </w:pBdr>
        <w:shd w:val="clear" w:color="auto" w:fill="D9D9D9" w:themeFill="background1" w:themeFillShade="D9"/>
        <w:rPr>
          <w:b/>
        </w:rPr>
      </w:pPr>
      <w:r>
        <w:rPr>
          <w:b/>
        </w:rPr>
        <w:t>Comments/</w:t>
      </w:r>
      <w:r w:rsidRPr="00952964">
        <w:rPr>
          <w:b/>
        </w:rPr>
        <w:t xml:space="preserve">Questions </w:t>
      </w:r>
    </w:p>
    <w:p w:rsidR="00DB162D" w:rsidRPr="00DB162D" w:rsidRDefault="00DB162D" w:rsidP="00DB162D">
      <w:pPr>
        <w:pBdr>
          <w:top w:val="single" w:sz="4" w:space="1" w:color="auto"/>
          <w:left w:val="single" w:sz="4" w:space="4" w:color="auto"/>
          <w:bottom w:val="single" w:sz="4" w:space="1" w:color="auto"/>
          <w:right w:val="single" w:sz="4" w:space="4" w:color="auto"/>
        </w:pBdr>
        <w:shd w:val="clear" w:color="auto" w:fill="D9D9D9" w:themeFill="background1" w:themeFillShade="D9"/>
      </w:pPr>
      <w:r w:rsidRPr="00DB162D">
        <w:rPr>
          <w:rFonts w:cs="Arial"/>
        </w:rPr>
        <w:t>What measures are being put in place to address the issues raised by AG?</w:t>
      </w:r>
    </w:p>
    <w:p w:rsidR="00DB162D" w:rsidRPr="008817A9" w:rsidRDefault="00DB162D" w:rsidP="008817A9"/>
    <w:p w:rsidR="0082503B" w:rsidRDefault="0082503B" w:rsidP="0082503B">
      <w:pPr>
        <w:tabs>
          <w:tab w:val="left" w:pos="0"/>
        </w:tabs>
        <w:spacing w:line="240" w:lineRule="auto"/>
        <w:rPr>
          <w:rFonts w:cs="Arial"/>
          <w:b/>
          <w:color w:val="FF0000"/>
        </w:rPr>
      </w:pPr>
    </w:p>
    <w:p w:rsidR="0082503B" w:rsidRDefault="0082503B" w:rsidP="008817A9">
      <w:pPr>
        <w:numPr>
          <w:ilvl w:val="0"/>
          <w:numId w:val="16"/>
        </w:numPr>
        <w:tabs>
          <w:tab w:val="left" w:pos="0"/>
        </w:tabs>
        <w:spacing w:line="240" w:lineRule="auto"/>
        <w:rPr>
          <w:rFonts w:cs="Arial"/>
          <w:b/>
          <w:color w:val="FF0000"/>
        </w:rPr>
      </w:pPr>
      <w:r w:rsidRPr="008817A9">
        <w:rPr>
          <w:rFonts w:cs="Arial"/>
          <w:b/>
        </w:rPr>
        <w:t>Audit related services and special audits</w:t>
      </w:r>
    </w:p>
    <w:p w:rsidR="008817A9" w:rsidRDefault="008817A9" w:rsidP="008817A9"/>
    <w:p w:rsidR="0082503B" w:rsidRPr="008817A9" w:rsidRDefault="004D39E3" w:rsidP="008817A9">
      <w:r>
        <w:t>An a</w:t>
      </w:r>
      <w:r w:rsidR="008817A9" w:rsidRPr="008817A9">
        <w:t xml:space="preserve">udit was performed on </w:t>
      </w:r>
      <w:r w:rsidR="00055604">
        <w:t xml:space="preserve">the </w:t>
      </w:r>
      <w:r w:rsidR="008817A9" w:rsidRPr="008817A9">
        <w:t>review on compliance with Financial Advisory and Intermediary Services Act (FAIS Act). The report covered the period April 2015 to March 2016 and was issued to management in July 2016.</w:t>
      </w:r>
    </w:p>
    <w:p w:rsidR="00055604" w:rsidRDefault="00055604" w:rsidP="00055604">
      <w:pPr>
        <w:pBdr>
          <w:top w:val="single" w:sz="4" w:space="1" w:color="auto"/>
          <w:left w:val="single" w:sz="4" w:space="4" w:color="auto"/>
          <w:bottom w:val="single" w:sz="4" w:space="1" w:color="auto"/>
          <w:right w:val="single" w:sz="4" w:space="4" w:color="auto"/>
        </w:pBdr>
        <w:shd w:val="clear" w:color="auto" w:fill="D9D9D9" w:themeFill="background1" w:themeFillShade="D9"/>
        <w:rPr>
          <w:b/>
        </w:rPr>
      </w:pPr>
      <w:r>
        <w:rPr>
          <w:b/>
        </w:rPr>
        <w:t>Comments/</w:t>
      </w:r>
      <w:r w:rsidRPr="00952964">
        <w:rPr>
          <w:b/>
        </w:rPr>
        <w:t xml:space="preserve">Questions </w:t>
      </w:r>
    </w:p>
    <w:p w:rsidR="00055604" w:rsidRPr="00DB162D" w:rsidRDefault="00055604" w:rsidP="00055604">
      <w:pPr>
        <w:pBdr>
          <w:top w:val="single" w:sz="4" w:space="1" w:color="auto"/>
          <w:left w:val="single" w:sz="4" w:space="4" w:color="auto"/>
          <w:bottom w:val="single" w:sz="4" w:space="1" w:color="auto"/>
          <w:right w:val="single" w:sz="4" w:space="4" w:color="auto"/>
        </w:pBdr>
        <w:shd w:val="clear" w:color="auto" w:fill="D9D9D9" w:themeFill="background1" w:themeFillShade="D9"/>
      </w:pPr>
      <w:r w:rsidRPr="00DB162D">
        <w:rPr>
          <w:rFonts w:cs="Arial"/>
        </w:rPr>
        <w:t xml:space="preserve">What </w:t>
      </w:r>
      <w:r>
        <w:rPr>
          <w:rFonts w:cs="Arial"/>
        </w:rPr>
        <w:t>are the key issues coming of the report?</w:t>
      </w:r>
    </w:p>
    <w:p w:rsidR="008817A9" w:rsidRPr="008817A9" w:rsidRDefault="008817A9" w:rsidP="008817A9"/>
    <w:p w:rsidR="00052B47" w:rsidRPr="00E22056" w:rsidRDefault="00052B47" w:rsidP="00810ACC">
      <w:pPr>
        <w:pStyle w:val="Heading1"/>
        <w:numPr>
          <w:ilvl w:val="0"/>
          <w:numId w:val="24"/>
        </w:numPr>
      </w:pPr>
      <w:bookmarkStart w:id="11" w:name="_Toc464214447"/>
      <w:r w:rsidRPr="00E22056">
        <w:t>Key Issues for Consideration by Parliament</w:t>
      </w:r>
      <w:bookmarkEnd w:id="11"/>
    </w:p>
    <w:p w:rsidR="00052B47" w:rsidRDefault="00052B47" w:rsidP="00052B47">
      <w:pPr>
        <w:rPr>
          <w:rFonts w:cs="Arial"/>
        </w:rPr>
      </w:pPr>
    </w:p>
    <w:p w:rsidR="00EC1AF4" w:rsidRDefault="00EC1AF4" w:rsidP="00DB162D">
      <w:pPr>
        <w:rPr>
          <w:rFonts w:cs="Arial"/>
        </w:rPr>
      </w:pPr>
      <w:r w:rsidRPr="00EC1AF4">
        <w:rPr>
          <w:rFonts w:cs="Arial"/>
        </w:rPr>
        <w:t xml:space="preserve">Given that the </w:t>
      </w:r>
      <w:r w:rsidR="004D39E3">
        <w:rPr>
          <w:rFonts w:cs="Arial"/>
        </w:rPr>
        <w:t>G</w:t>
      </w:r>
      <w:r w:rsidRPr="00EC1AF4">
        <w:rPr>
          <w:rFonts w:cs="Arial"/>
        </w:rPr>
        <w:t xml:space="preserve">overnment is the sole shareholder, </w:t>
      </w:r>
      <w:r>
        <w:rPr>
          <w:rFonts w:cs="Arial"/>
        </w:rPr>
        <w:t xml:space="preserve">PIC </w:t>
      </w:r>
      <w:r w:rsidRPr="00EC1AF4">
        <w:rPr>
          <w:rFonts w:cs="Arial"/>
        </w:rPr>
        <w:t xml:space="preserve">enjoys strong support from the South African government and management expects this to continue in light of the significant </w:t>
      </w:r>
      <w:r w:rsidR="00DB162D">
        <w:rPr>
          <w:rFonts w:cs="Arial"/>
        </w:rPr>
        <w:t xml:space="preserve">development objectives that must take place in South Africa. </w:t>
      </w:r>
      <w:r w:rsidRPr="00DB162D">
        <w:rPr>
          <w:rFonts w:cs="Arial"/>
        </w:rPr>
        <w:t>Furthermore, despite the entity</w:t>
      </w:r>
      <w:r w:rsidR="004D39E3">
        <w:rPr>
          <w:rFonts w:cs="Arial"/>
        </w:rPr>
        <w:t>’s</w:t>
      </w:r>
      <w:r w:rsidRPr="00DB162D">
        <w:rPr>
          <w:rFonts w:cs="Arial"/>
        </w:rPr>
        <w:t xml:space="preserve"> success on its own, it remains a key strategic enterprise for </w:t>
      </w:r>
      <w:r w:rsidR="004D39E3">
        <w:rPr>
          <w:rFonts w:cs="Arial"/>
        </w:rPr>
        <w:t>G</w:t>
      </w:r>
      <w:r w:rsidRPr="00DB162D">
        <w:rPr>
          <w:rFonts w:cs="Arial"/>
        </w:rPr>
        <w:t>overnment to advance the objectives as mandated by the shareholder</w:t>
      </w:r>
      <w:r w:rsidR="004D39E3">
        <w:rPr>
          <w:rFonts w:cs="Arial"/>
        </w:rPr>
        <w:t>.</w:t>
      </w:r>
    </w:p>
    <w:p w:rsidR="00EC1AF4" w:rsidRPr="00EC1AF4" w:rsidRDefault="00EC1AF4" w:rsidP="00EC1AF4">
      <w:pPr>
        <w:rPr>
          <w:rFonts w:cs="Arial"/>
        </w:rPr>
      </w:pPr>
    </w:p>
    <w:p w:rsidR="00EC1AF4" w:rsidRDefault="00DB162D" w:rsidP="00EC1AF4">
      <w:pPr>
        <w:rPr>
          <w:rFonts w:cs="Arial"/>
        </w:rPr>
      </w:pPr>
      <w:r>
        <w:rPr>
          <w:rFonts w:cs="Arial"/>
        </w:rPr>
        <w:t>The</w:t>
      </w:r>
      <w:r w:rsidR="00EC1AF4" w:rsidRPr="00EC1AF4">
        <w:rPr>
          <w:rFonts w:cs="Arial"/>
        </w:rPr>
        <w:t xml:space="preserve"> evaluation of the overall </w:t>
      </w:r>
      <w:r>
        <w:rPr>
          <w:rFonts w:cs="Arial"/>
        </w:rPr>
        <w:t>strategic risk, investment risk, operational risk, reputational ri</w:t>
      </w:r>
      <w:r w:rsidR="00055604">
        <w:rPr>
          <w:rFonts w:cs="Arial"/>
        </w:rPr>
        <w:t>s</w:t>
      </w:r>
      <w:r>
        <w:rPr>
          <w:rFonts w:cs="Arial"/>
        </w:rPr>
        <w:t xml:space="preserve">k and </w:t>
      </w:r>
      <w:r w:rsidR="00EC1AF4" w:rsidRPr="00EC1AF4">
        <w:rPr>
          <w:rFonts w:cs="Arial"/>
        </w:rPr>
        <w:t>market risk appears to be well managed with risk management pol</w:t>
      </w:r>
      <w:r>
        <w:rPr>
          <w:rFonts w:cs="Arial"/>
        </w:rPr>
        <w:t xml:space="preserve">icies in place with which PIC </w:t>
      </w:r>
      <w:r w:rsidR="00EC1AF4" w:rsidRPr="00EC1AF4">
        <w:rPr>
          <w:rFonts w:cs="Arial"/>
        </w:rPr>
        <w:t>has complied with.</w:t>
      </w:r>
    </w:p>
    <w:p w:rsidR="00DB162D" w:rsidRPr="00EC1AF4" w:rsidRDefault="00DB162D" w:rsidP="00EC1AF4">
      <w:pPr>
        <w:rPr>
          <w:rFonts w:cs="Arial"/>
        </w:rPr>
      </w:pPr>
    </w:p>
    <w:p w:rsidR="00DB162D" w:rsidRDefault="00EC1AF4" w:rsidP="00EC1AF4">
      <w:pPr>
        <w:rPr>
          <w:rFonts w:cs="Arial"/>
        </w:rPr>
      </w:pPr>
      <w:r w:rsidRPr="00EC1AF4">
        <w:rPr>
          <w:rFonts w:cs="Arial"/>
        </w:rPr>
        <w:lastRenderedPageBreak/>
        <w:t xml:space="preserve">The financial performance of the </w:t>
      </w:r>
      <w:r w:rsidR="00DB162D">
        <w:rPr>
          <w:rFonts w:cs="Arial"/>
        </w:rPr>
        <w:t>PIC</w:t>
      </w:r>
      <w:r w:rsidRPr="00EC1AF4">
        <w:rPr>
          <w:rFonts w:cs="Arial"/>
        </w:rPr>
        <w:t xml:space="preserve"> reflects its ability to manage and leverage its strong </w:t>
      </w:r>
      <w:r w:rsidR="00DB162D">
        <w:rPr>
          <w:rFonts w:cs="Arial"/>
        </w:rPr>
        <w:t xml:space="preserve">asset management services to the public </w:t>
      </w:r>
      <w:r w:rsidRPr="00EC1AF4">
        <w:rPr>
          <w:rFonts w:cs="Arial"/>
        </w:rPr>
        <w:t>in order to fund targeted initiatives that generate development impact, while also maintaining sound financial healt</w:t>
      </w:r>
      <w:r w:rsidR="00DB162D">
        <w:rPr>
          <w:rFonts w:cs="Arial"/>
        </w:rPr>
        <w:t xml:space="preserve">h. </w:t>
      </w:r>
    </w:p>
    <w:p w:rsidR="00DB162D" w:rsidRDefault="00DB162D" w:rsidP="00EC1AF4">
      <w:pPr>
        <w:rPr>
          <w:rFonts w:cs="Arial"/>
        </w:rPr>
      </w:pPr>
    </w:p>
    <w:p w:rsidR="0071617F" w:rsidRDefault="00896E7D" w:rsidP="00432957">
      <w:pPr>
        <w:rPr>
          <w:rFonts w:cs="Arial"/>
        </w:rPr>
      </w:pPr>
      <w:r>
        <w:rPr>
          <w:rFonts w:cs="Arial"/>
        </w:rPr>
        <w:t>Support to ailing SOE</w:t>
      </w:r>
      <w:r w:rsidR="004D39E3">
        <w:rPr>
          <w:rFonts w:cs="Arial"/>
        </w:rPr>
        <w:t>s</w:t>
      </w:r>
      <w:r w:rsidR="00DB162D">
        <w:rPr>
          <w:rFonts w:cs="Arial"/>
        </w:rPr>
        <w:t xml:space="preserve"> continues. </w:t>
      </w:r>
      <w:r>
        <w:rPr>
          <w:rFonts w:cs="Arial"/>
        </w:rPr>
        <w:t>Given the challenges that exist within some SOEs including the Land Bank, PIC provided a loan facility of R5 billion to</w:t>
      </w:r>
      <w:r w:rsidR="004D39E3">
        <w:rPr>
          <w:rFonts w:cs="Arial"/>
        </w:rPr>
        <w:t xml:space="preserve"> the</w:t>
      </w:r>
      <w:r>
        <w:rPr>
          <w:rFonts w:cs="Arial"/>
        </w:rPr>
        <w:t xml:space="preserve"> Land Bank to accelerate the development of black emerging farmers. This is expected to create more than 5 000 jobs over time and facilitate further rural development. </w:t>
      </w:r>
      <w:r w:rsidR="004D39E3">
        <w:rPr>
          <w:rFonts w:cs="Arial"/>
        </w:rPr>
        <w:t>The Committee would need to determine w</w:t>
      </w:r>
      <w:r>
        <w:rPr>
          <w:rFonts w:cs="Arial"/>
        </w:rPr>
        <w:t>hat is the term of this debt facility and are the returns in line with the mandates of PIC clients?</w:t>
      </w:r>
      <w:r w:rsidR="00DB162D">
        <w:rPr>
          <w:rFonts w:cs="Arial"/>
        </w:rPr>
        <w:t xml:space="preserve"> It will be of benefit if the </w:t>
      </w:r>
      <w:r w:rsidR="003C3F5B">
        <w:rPr>
          <w:rFonts w:cs="Arial"/>
        </w:rPr>
        <w:t xml:space="preserve">PIC </w:t>
      </w:r>
      <w:r w:rsidR="004D39E3">
        <w:rPr>
          <w:rFonts w:cs="Arial"/>
        </w:rPr>
        <w:t xml:space="preserve">was </w:t>
      </w:r>
      <w:r w:rsidR="003C3F5B">
        <w:rPr>
          <w:rFonts w:cs="Arial"/>
        </w:rPr>
        <w:t xml:space="preserve">to provide a list of </w:t>
      </w:r>
      <w:r>
        <w:rPr>
          <w:rFonts w:cs="Arial"/>
        </w:rPr>
        <w:t>priority sectors</w:t>
      </w:r>
      <w:r w:rsidR="00EC1AF4">
        <w:rPr>
          <w:rFonts w:cs="Arial"/>
        </w:rPr>
        <w:t xml:space="preserve"> that </w:t>
      </w:r>
      <w:r w:rsidR="00DB162D">
        <w:rPr>
          <w:rFonts w:cs="Arial"/>
        </w:rPr>
        <w:t xml:space="preserve">it </w:t>
      </w:r>
      <w:r w:rsidR="00EC1AF4">
        <w:rPr>
          <w:rFonts w:cs="Arial"/>
        </w:rPr>
        <w:t>is targeting</w:t>
      </w:r>
      <w:r>
        <w:rPr>
          <w:rFonts w:cs="Arial"/>
        </w:rPr>
        <w:t xml:space="preserve"> </w:t>
      </w:r>
      <w:r w:rsidR="003C3F5B">
        <w:rPr>
          <w:rFonts w:cs="Arial"/>
        </w:rPr>
        <w:t>to grow the economy through developmental investments</w:t>
      </w:r>
      <w:r w:rsidR="006E0F0E">
        <w:rPr>
          <w:rFonts w:cs="Arial"/>
        </w:rPr>
        <w:t>?</w:t>
      </w:r>
    </w:p>
    <w:p w:rsidR="0071617F" w:rsidRDefault="0071617F" w:rsidP="00432957">
      <w:pPr>
        <w:rPr>
          <w:rFonts w:cs="Arial"/>
        </w:rPr>
      </w:pPr>
    </w:p>
    <w:p w:rsidR="0071617F" w:rsidRPr="0071617F" w:rsidRDefault="0071617F" w:rsidP="00432957">
      <w:pPr>
        <w:rPr>
          <w:rFonts w:cs="Arial"/>
        </w:rPr>
      </w:pPr>
      <w:r w:rsidRPr="0071617F">
        <w:rPr>
          <w:rFonts w:cs="Arial"/>
        </w:rPr>
        <w:t xml:space="preserve">The Committee should engage PIC and find out while their investments are well documented, but a lot of investment decisions seem questionable. The Committee should know how deeply involved and active in those investments. </w:t>
      </w:r>
    </w:p>
    <w:p w:rsidR="0071617F" w:rsidRDefault="0071617F" w:rsidP="00432957">
      <w:pPr>
        <w:spacing w:after="160" w:line="259" w:lineRule="auto"/>
        <w:rPr>
          <w:rFonts w:cs="Arial"/>
          <w:bCs/>
        </w:rPr>
      </w:pPr>
    </w:p>
    <w:p w:rsidR="0071617F" w:rsidRPr="00AE56DF" w:rsidRDefault="0071617F" w:rsidP="00432957">
      <w:pPr>
        <w:spacing w:after="160" w:line="259" w:lineRule="auto"/>
        <w:rPr>
          <w:rFonts w:cs="Arial"/>
          <w:bCs/>
        </w:rPr>
      </w:pPr>
      <w:r w:rsidRPr="0071617F">
        <w:rPr>
          <w:rFonts w:cs="Arial"/>
        </w:rPr>
        <w:t>In terms of alignment with local government employees as part of a sphere of government , it is important that the committee highlights that there are far too many different pension funds at local government and believes PIC should engage with South African L</w:t>
      </w:r>
      <w:r w:rsidRPr="00AE56DF">
        <w:rPr>
          <w:rFonts w:cs="Arial"/>
        </w:rPr>
        <w:t>ocal Government Association to consider how these could be brought in if not already.</w:t>
      </w:r>
    </w:p>
    <w:p w:rsidR="0071617F" w:rsidRPr="00A42410" w:rsidRDefault="0071617F" w:rsidP="00432957">
      <w:pPr>
        <w:rPr>
          <w:rFonts w:cs="Arial"/>
          <w:b/>
        </w:rPr>
      </w:pPr>
      <w:r w:rsidRPr="003D6107">
        <w:rPr>
          <w:rFonts w:cs="Arial"/>
        </w:rPr>
        <w:t xml:space="preserve">The Committee should engage </w:t>
      </w:r>
      <w:r>
        <w:rPr>
          <w:rFonts w:cs="Arial"/>
        </w:rPr>
        <w:t>PIC</w:t>
      </w:r>
      <w:r w:rsidRPr="003D6107">
        <w:rPr>
          <w:rFonts w:cs="Arial"/>
        </w:rPr>
        <w:t xml:space="preserve"> </w:t>
      </w:r>
      <w:r>
        <w:rPr>
          <w:rFonts w:cs="Arial"/>
        </w:rPr>
        <w:t>regarding performance of their investments made on behalf of GEPF which is about 89% of the funds. Are there measures in pace to secure the pay pensions and social security obligations given the low economic forecast.</w:t>
      </w:r>
    </w:p>
    <w:p w:rsidR="0071617F" w:rsidRPr="004150B2" w:rsidRDefault="0071617F" w:rsidP="0071617F">
      <w:pPr>
        <w:rPr>
          <w:rFonts w:cs="Arial"/>
        </w:rPr>
      </w:pPr>
      <w:r>
        <w:rPr>
          <w:rFonts w:cs="Arial"/>
        </w:rPr>
        <w:t>.</w:t>
      </w:r>
    </w:p>
    <w:p w:rsidR="0071617F" w:rsidRDefault="0071617F" w:rsidP="00052B47">
      <w:pPr>
        <w:rPr>
          <w:rFonts w:cs="Arial"/>
        </w:rPr>
      </w:pPr>
    </w:p>
    <w:p w:rsidR="00052B47" w:rsidRDefault="00052B47" w:rsidP="00810ACC">
      <w:pPr>
        <w:pStyle w:val="Heading1"/>
        <w:numPr>
          <w:ilvl w:val="0"/>
          <w:numId w:val="24"/>
        </w:numPr>
      </w:pPr>
      <w:bookmarkStart w:id="12" w:name="_Toc464214448"/>
      <w:r w:rsidRPr="00E22056">
        <w:t>References</w:t>
      </w:r>
      <w:bookmarkEnd w:id="12"/>
      <w:r w:rsidRPr="00E22056">
        <w:t xml:space="preserve"> </w:t>
      </w:r>
    </w:p>
    <w:p w:rsidR="00DB162D" w:rsidRPr="00DB162D" w:rsidRDefault="00DB162D" w:rsidP="00DB162D"/>
    <w:p w:rsidR="00DB162D" w:rsidRPr="00DB162D" w:rsidRDefault="00DB162D" w:rsidP="00DB162D">
      <w:pPr>
        <w:rPr>
          <w:rFonts w:cs="Arial"/>
          <w:lang w:val="en-GB"/>
        </w:rPr>
      </w:pPr>
      <w:r>
        <w:rPr>
          <w:rFonts w:cs="Arial"/>
          <w:lang w:val="en-GB"/>
        </w:rPr>
        <w:t xml:space="preserve">Public Investment Corporation (2016) </w:t>
      </w:r>
      <w:r w:rsidRPr="00DB162D">
        <w:rPr>
          <w:rFonts w:cs="Arial"/>
          <w:lang w:val="en-GB"/>
        </w:rPr>
        <w:t xml:space="preserve">Annual </w:t>
      </w:r>
      <w:r>
        <w:rPr>
          <w:rFonts w:cs="Arial"/>
          <w:lang w:val="en-GB"/>
        </w:rPr>
        <w:t>Report</w:t>
      </w:r>
      <w:r w:rsidR="00DC03FC">
        <w:rPr>
          <w:rFonts w:cs="Arial"/>
          <w:lang w:val="en-GB"/>
        </w:rPr>
        <w:t xml:space="preserve"> 201</w:t>
      </w:r>
      <w:r w:rsidRPr="00DB162D">
        <w:rPr>
          <w:rFonts w:cs="Arial"/>
          <w:lang w:val="en-GB"/>
        </w:rPr>
        <w:t xml:space="preserve">6 </w:t>
      </w:r>
    </w:p>
    <w:p w:rsidR="00DB162D" w:rsidRPr="00DB162D" w:rsidRDefault="00DB162D" w:rsidP="00DB162D">
      <w:pPr>
        <w:rPr>
          <w:rFonts w:cs="Arial"/>
          <w:lang w:val="en-GB"/>
        </w:rPr>
      </w:pPr>
    </w:p>
    <w:p w:rsidR="00055604" w:rsidRPr="00DB162D" w:rsidRDefault="00055604" w:rsidP="00055604">
      <w:pPr>
        <w:rPr>
          <w:rFonts w:cs="Arial"/>
          <w:lang w:val="en-GB"/>
        </w:rPr>
      </w:pPr>
      <w:r w:rsidRPr="00DB162D">
        <w:rPr>
          <w:rFonts w:cs="Arial"/>
          <w:lang w:val="en-GB"/>
        </w:rPr>
        <w:t>Public Investment Corporation (201</w:t>
      </w:r>
      <w:r>
        <w:rPr>
          <w:rFonts w:cs="Arial"/>
          <w:lang w:val="en-GB"/>
        </w:rPr>
        <w:t>5</w:t>
      </w:r>
      <w:r w:rsidRPr="00DB162D">
        <w:rPr>
          <w:rFonts w:cs="Arial"/>
          <w:lang w:val="en-GB"/>
        </w:rPr>
        <w:t xml:space="preserve">) </w:t>
      </w:r>
      <w:r>
        <w:rPr>
          <w:rFonts w:cs="Arial"/>
          <w:lang w:val="en-GB"/>
        </w:rPr>
        <w:t>Corporate Plan</w:t>
      </w:r>
      <w:r w:rsidRPr="00DB162D">
        <w:rPr>
          <w:rFonts w:cs="Arial"/>
          <w:lang w:val="en-GB"/>
        </w:rPr>
        <w:t xml:space="preserve"> 2015/16 </w:t>
      </w:r>
    </w:p>
    <w:p w:rsidR="005E068D" w:rsidRPr="00893EE9" w:rsidRDefault="005E068D" w:rsidP="00DB162D">
      <w:pPr>
        <w:rPr>
          <w:rFonts w:cs="Arial"/>
          <w:lang w:val="en-GB"/>
        </w:rPr>
      </w:pPr>
    </w:p>
    <w:p w:rsidR="005E068D" w:rsidRPr="00893EE9" w:rsidRDefault="005E068D" w:rsidP="00893EE9">
      <w:pPr>
        <w:rPr>
          <w:rFonts w:cs="Arial"/>
        </w:rPr>
      </w:pPr>
    </w:p>
    <w:p w:rsidR="005E068D" w:rsidRPr="00893EE9" w:rsidRDefault="005E068D" w:rsidP="00893EE9">
      <w:pPr>
        <w:rPr>
          <w:rFonts w:cs="Arial"/>
        </w:rPr>
      </w:pPr>
    </w:p>
    <w:p w:rsidR="005E068D" w:rsidRPr="00893EE9" w:rsidRDefault="005E068D" w:rsidP="00893EE9">
      <w:pPr>
        <w:rPr>
          <w:rFonts w:cs="Arial"/>
        </w:rPr>
      </w:pPr>
    </w:p>
    <w:p w:rsidR="005E068D" w:rsidRPr="00893EE9" w:rsidRDefault="005E068D" w:rsidP="00893EE9">
      <w:pPr>
        <w:rPr>
          <w:rFonts w:cs="Arial"/>
        </w:rPr>
      </w:pPr>
    </w:p>
    <w:p w:rsidR="005E068D" w:rsidRPr="00893EE9" w:rsidRDefault="005E068D" w:rsidP="00893EE9">
      <w:pPr>
        <w:rPr>
          <w:rFonts w:cs="Arial"/>
        </w:rPr>
      </w:pPr>
    </w:p>
    <w:p w:rsidR="005E068D" w:rsidRPr="00893EE9" w:rsidRDefault="005E068D" w:rsidP="00893EE9">
      <w:pPr>
        <w:rPr>
          <w:rFonts w:cs="Arial"/>
        </w:rPr>
      </w:pPr>
    </w:p>
    <w:p w:rsidR="005E068D" w:rsidRPr="00893EE9" w:rsidRDefault="005E068D" w:rsidP="00893EE9">
      <w:pPr>
        <w:rPr>
          <w:rFonts w:cs="Arial"/>
        </w:rPr>
      </w:pPr>
    </w:p>
    <w:p w:rsidR="005E068D" w:rsidRPr="00893EE9" w:rsidRDefault="005E068D" w:rsidP="00893EE9">
      <w:pPr>
        <w:rPr>
          <w:rFonts w:cs="Arial"/>
        </w:rPr>
      </w:pPr>
    </w:p>
    <w:p w:rsidR="005E068D" w:rsidRPr="00893EE9" w:rsidRDefault="005E068D" w:rsidP="00893EE9">
      <w:pPr>
        <w:rPr>
          <w:rFonts w:cs="Arial"/>
        </w:rPr>
      </w:pPr>
    </w:p>
    <w:p w:rsidR="005E068D" w:rsidRPr="00893EE9" w:rsidRDefault="005E068D" w:rsidP="00893EE9">
      <w:pPr>
        <w:rPr>
          <w:rFonts w:cs="Arial"/>
        </w:rPr>
      </w:pPr>
    </w:p>
    <w:p w:rsidR="005E068D" w:rsidRPr="00893EE9" w:rsidRDefault="005E068D" w:rsidP="00893EE9">
      <w:pPr>
        <w:rPr>
          <w:rFonts w:cs="Arial"/>
        </w:rPr>
      </w:pPr>
    </w:p>
    <w:p w:rsidR="005E068D" w:rsidRPr="00893EE9" w:rsidRDefault="005E068D" w:rsidP="00893EE9">
      <w:pPr>
        <w:rPr>
          <w:rFonts w:cs="Arial"/>
        </w:rPr>
      </w:pPr>
    </w:p>
    <w:p w:rsidR="005E068D" w:rsidRPr="00893EE9" w:rsidRDefault="005E068D" w:rsidP="00893EE9">
      <w:pPr>
        <w:rPr>
          <w:rFonts w:cs="Arial"/>
        </w:rPr>
      </w:pPr>
    </w:p>
    <w:p w:rsidR="005E068D" w:rsidRPr="00893EE9" w:rsidRDefault="005E068D" w:rsidP="00893EE9">
      <w:pPr>
        <w:rPr>
          <w:rFonts w:cs="Arial"/>
        </w:rPr>
      </w:pPr>
    </w:p>
    <w:p w:rsidR="005E068D" w:rsidRPr="00893EE9" w:rsidRDefault="005E068D" w:rsidP="00893EE9">
      <w:pPr>
        <w:rPr>
          <w:rFonts w:cs="Arial"/>
        </w:rPr>
      </w:pPr>
    </w:p>
    <w:p w:rsidR="005E068D" w:rsidRPr="00893EE9" w:rsidRDefault="005E068D" w:rsidP="00893EE9">
      <w:pPr>
        <w:rPr>
          <w:rFonts w:cs="Arial"/>
        </w:rPr>
      </w:pPr>
    </w:p>
    <w:sectPr w:rsidR="005E068D" w:rsidRPr="00893EE9" w:rsidSect="00055604">
      <w:pgSz w:w="11906" w:h="16838"/>
      <w:pgMar w:top="2002" w:right="1440" w:bottom="1440" w:left="1440" w:header="706" w:footer="70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73D9" w:rsidRDefault="002373D9" w:rsidP="00BE1544">
      <w:pPr>
        <w:spacing w:line="240" w:lineRule="auto"/>
      </w:pPr>
      <w:r>
        <w:separator/>
      </w:r>
    </w:p>
  </w:endnote>
  <w:endnote w:type="continuationSeparator" w:id="0">
    <w:p w:rsidR="002373D9" w:rsidRDefault="002373D9" w:rsidP="00BE154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2489881"/>
      <w:docPartObj>
        <w:docPartGallery w:val="Page Numbers (Bottom of Page)"/>
        <w:docPartUnique/>
      </w:docPartObj>
    </w:sdtPr>
    <w:sdtContent>
      <w:sdt>
        <w:sdtPr>
          <w:id w:val="2052957686"/>
          <w:docPartObj>
            <w:docPartGallery w:val="Page Numbers (Top of Page)"/>
            <w:docPartUnique/>
          </w:docPartObj>
        </w:sdtPr>
        <w:sdtContent>
          <w:p w:rsidR="00F62866" w:rsidRDefault="002A06BF" w:rsidP="00BE1544">
            <w:pPr>
              <w:pStyle w:val="Footer"/>
            </w:pPr>
            <w:r w:rsidRPr="002A06BF">
              <w:rPr>
                <w:rFonts w:cs="Arial"/>
                <w:b/>
                <w:noProof/>
                <w:sz w:val="16"/>
                <w:szCs w:val="16"/>
                <w:lang w:val="en-US"/>
              </w:rPr>
              <w:pict>
                <v:line id="Straight Connector 12" o:spid="_x0000_s4098" style="position:absolute;left:0;text-align:lef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 from="0,790.5pt" to="447.05pt,7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7L3ugEAAMUDAAAOAAAAZHJzL2Uyb0RvYy54bWysU01v2zAMvQ/YfxB0X+wEaFIYcXpI0V6K&#10;LVi3H6DKVCxAX6DU2Pn3oxTHHboBw4ZdaFHkI/me6O3daA07AUbtXcuXi5ozcNJ32h1b/v3bw6db&#10;zmISrhPGO2j5GSK/2338sB1CAyvfe9MBMiriYjOElvcphaaqouzBirjwARwFlUcrErl4rDoUA1W3&#10;plrV9boaPHYBvYQY6fb+EuS7Ul8pkOmLUhESMy2n2VKxWOxLttVuK5ojitBrOY0h/mEKK7SjpnOp&#10;e5EEe0X9SymrJfroVVpIbyuvlJZQOBCbZf2OzXMvAhQuJE4Ms0zx/5WVn08HZLqjt1tx5oSlN3pO&#10;KPSxT2zvnSMFPTIKklJDiA0B9u6AkxfDATPtUaHNXyLExqLueVYXxsQkXd6sN5vN7ZozeY1Vb8CA&#10;MT2CtywfWm60y8RFI05PMVEzSr2mkJMHubQup3Q2kJON+wqKyFCzZUGXNYK9QXYStABCSnBpnalQ&#10;vZKdYUobMwPrPwOn/AyFsmJ/A54RpbN3aQZb7Tz+rnsal9PI6pJ/VeDCO0vw4rtzeZQiDe1KYTjt&#10;dV7Gn/0Cf/v7dj8AAAD//wMAUEsDBBQABgAIAAAAIQA67hJe3QAAAAoBAAAPAAAAZHJzL2Rvd25y&#10;ZXYueG1sTI9BT8MwDIXvSPyHyEjcWFo0plKaTmjAgQNCDCZxdBvTVjRO1WRby6/HHBDc7Pes5+8V&#10;68n16kBj6DwbSBcJKOLa244bA2+vDxcZqBCRLfaeycBMAdbl6UmBufVHfqHDNjZKQjjkaKCNcci1&#10;DnVLDsPCD8TiffjRYZR1bLQd8SjhrteXSbLSDjuWDy0OtGmp/tzunYHqKZtx/tqsdtGn2Z2+X+6e&#10;H9+NOT+bbm9ARZri3zH84As6lMJU+T3boHoDUiSKepWlMomfXS9TUNWvpMtC/69QfgMAAP//AwBQ&#10;SwECLQAUAAYACAAAACEAtoM4kv4AAADhAQAAEwAAAAAAAAAAAAAAAAAAAAAAW0NvbnRlbnRfVHlw&#10;ZXNdLnhtbFBLAQItABQABgAIAAAAIQA4/SH/1gAAAJQBAAALAAAAAAAAAAAAAAAAAC8BAABfcmVs&#10;cy8ucmVsc1BLAQItABQABgAIAAAAIQDA47L3ugEAAMUDAAAOAAAAAAAAAAAAAAAAAC4CAABkcnMv&#10;ZTJvRG9jLnhtbFBLAQItABQABgAIAAAAIQA67hJe3QAAAAoBAAAPAAAAAAAAAAAAAAAAABQEAABk&#10;cnMvZG93bnJldi54bWxQSwUGAAAAAAQABADzAAAAHgUAAAAA&#10;" strokecolor="#70ad47 [3209]" strokeweight=".5pt">
                  <v:stroke joinstyle="miter"/>
                  <w10:wrap anchorx="margin" anchory="page"/>
                </v:line>
              </w:pict>
            </w:r>
            <w:r w:rsidR="00F62866" w:rsidRPr="00BE1544">
              <w:rPr>
                <w:rFonts w:cs="Arial"/>
                <w:b/>
                <w:sz w:val="16"/>
                <w:szCs w:val="16"/>
              </w:rPr>
              <w:t>Research Unit |</w:t>
            </w:r>
            <w:r w:rsidR="00F62866" w:rsidRPr="00BE1544">
              <w:rPr>
                <w:rFonts w:cs="Arial"/>
                <w:sz w:val="16"/>
                <w:szCs w:val="16"/>
              </w:rPr>
              <w:t xml:space="preserve"> </w:t>
            </w:r>
            <w:r w:rsidR="00055604">
              <w:rPr>
                <w:rFonts w:cs="Arial"/>
                <w:sz w:val="16"/>
                <w:szCs w:val="16"/>
              </w:rPr>
              <w:t>Annual Review of PIC for the period ending 31 March 2016</w:t>
            </w:r>
          </w:p>
        </w:sdtContent>
      </w:sdt>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866" w:rsidRPr="00BE1544" w:rsidRDefault="002A06BF">
    <w:pPr>
      <w:pStyle w:val="Footer"/>
      <w:rPr>
        <w:rFonts w:cs="Arial"/>
        <w:sz w:val="16"/>
        <w:szCs w:val="16"/>
      </w:rPr>
    </w:pPr>
    <w:r w:rsidRPr="002A06BF">
      <w:rPr>
        <w:rFonts w:cs="Arial"/>
        <w:b/>
        <w:noProof/>
        <w:sz w:val="16"/>
        <w:szCs w:val="16"/>
        <w:lang w:val="en-US"/>
      </w:rPr>
      <w:pict>
        <v:line id="Straight Connector 9" o:spid="_x0000_s4097" style="position:absolute;left:0;text-align:lef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 from="1.3pt,790pt" to="448.35pt,79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29cugEAAMMDAAAOAAAAZHJzL2Uyb0RvYy54bWysU8tu2zAQvBfIPxC815ID1E4Eyzk4aC5F&#10;ajTtBzDU0iLAF5asJf99lrSsBG2BokUuFJfcmd0ZrjZ3ozXsCBi1dy1fLmrOwEnfaXdo+Y/vnz/e&#10;cBaTcJ0w3kHLTxD53fbqw2YIDVz73psOkBGJi80QWt6nFJqqirIHK+LCB3B0qTxakSjEQ9WhGIjd&#10;muq6rlfV4LEL6CXESKf350u+LfxKgUxflYqQmGk59ZbKimV9zmu13YjmgCL0Wk5tiP/owgrtqOhM&#10;dS+SYD9R/0ZltUQfvUoL6W3lldISigZSs6x/UfPUiwBFC5kTw2xTfD9a+XjcI9Ndy285c8LSEz0l&#10;FPrQJ7bzzpGBHtlt9mkIsaH0ndvjFMWwxyx6VGjzl+SwsXh7mr2FMTFJh59W6/X6ZsWZvNxVr8CA&#10;MT2AtyxvWm60y7JFI45fYqJilHpJoSA3ci5ddulkICcb9w0USaFiy4IuQwQ7g+wo6PmFlODSKksh&#10;vpKdYUobMwPrvwOn/AyFMmD/Ap4RpbJ3aQZb7Tz+qXoal1PL6px/ceCsO1vw7LtTeZRiDU1KUThN&#10;dR7Ft3GBv/572xcAAAD//wMAUEsDBBQABgAIAAAAIQBns7cq3gAAAAsBAAAPAAAAZHJzL2Rvd25y&#10;ZXYueG1sTI89T8MwEIZ3JP6DdUhs1GkFwQ1xKlRgYEAVpZUYnfhIIuJzFLttwq/nGBCM996j9yNf&#10;ja4TRxxC60nDfJaAQKq8banWsHt7ulIgQjRkTecJNUwYYFWcn+Ums/5Er3jcxlqwCYXMaGhi7DMp&#10;Q9WgM2HmeyT+ffjBmcjnUEs7mBObu04ukiSVzrTECY3pcd1g9bk9OA3li5rM9LVO99HP1YN8vN5v&#10;nt+1vrwY7+9ARBzjHww/9bk6FNyp9AeyQXQaFimDLN+ohDcxoJbpLYjyV5JFLv9vKL4BAAD//wMA&#10;UEsBAi0AFAAGAAgAAAAhALaDOJL+AAAA4QEAABMAAAAAAAAAAAAAAAAAAAAAAFtDb250ZW50X1R5&#10;cGVzXS54bWxQSwECLQAUAAYACAAAACEAOP0h/9YAAACUAQAACwAAAAAAAAAAAAAAAAAvAQAAX3Jl&#10;bHMvLnJlbHNQSwECLQAUAAYACAAAACEA+q9vXLoBAADDAwAADgAAAAAAAAAAAAAAAAAuAgAAZHJz&#10;L2Uyb0RvYy54bWxQSwECLQAUAAYACAAAACEAZ7O3Kt4AAAALAQAADwAAAAAAAAAAAAAAAAAUBAAA&#10;ZHJzL2Rvd25yZXYueG1sUEsFBgAAAAAEAAQA8wAAAB8FAAAAAA==&#10;" strokecolor="#70ad47 [3209]" strokeweight=".5pt">
          <v:stroke joinstyle="miter"/>
          <w10:wrap anchorx="margin" anchory="page"/>
        </v:line>
      </w:pict>
    </w:r>
    <w:r w:rsidR="00F62866" w:rsidRPr="00BE1544">
      <w:rPr>
        <w:rFonts w:cs="Arial"/>
        <w:b/>
        <w:sz w:val="16"/>
        <w:szCs w:val="16"/>
      </w:rPr>
      <w:t>Research Unit</w:t>
    </w:r>
    <w:r w:rsidR="00F62866">
      <w:rPr>
        <w:rFonts w:cs="Arial"/>
        <w:b/>
        <w:sz w:val="16"/>
        <w:szCs w:val="16"/>
      </w:rPr>
      <w:t xml:space="preserve"> </w:t>
    </w:r>
    <w:r w:rsidR="00F62866" w:rsidRPr="00BE1544">
      <w:rPr>
        <w:rFonts w:cs="Arial"/>
        <w:b/>
        <w:sz w:val="16"/>
        <w:szCs w:val="16"/>
      </w:rPr>
      <w:t>|</w:t>
    </w:r>
    <w:r w:rsidR="00F62866" w:rsidRPr="00BE1544">
      <w:rPr>
        <w:rFonts w:cs="Arial"/>
        <w:sz w:val="16"/>
        <w:szCs w:val="16"/>
      </w:rPr>
      <w:t xml:space="preserve"> </w:t>
    </w:r>
    <w:r w:rsidR="00F62866">
      <w:rPr>
        <w:rFonts w:cs="Arial"/>
        <w:sz w:val="16"/>
        <w:szCs w:val="16"/>
      </w:rPr>
      <w:t xml:space="preserve">Antonia </w:t>
    </w:r>
    <w:proofErr w:type="spellStart"/>
    <w:r w:rsidR="00F62866">
      <w:rPr>
        <w:rFonts w:cs="Arial"/>
        <w:sz w:val="16"/>
        <w:szCs w:val="16"/>
      </w:rPr>
      <w:t>Manamela</w:t>
    </w:r>
    <w:proofErr w:type="spellEnd"/>
    <w:r w:rsidR="00F62866" w:rsidRPr="00BE1544">
      <w:rPr>
        <w:rFonts w:cs="Arial"/>
        <w:sz w:val="16"/>
        <w:szCs w:val="16"/>
      </w:rPr>
      <w:t xml:space="preserve">                                                              </w:t>
    </w:r>
    <w:r w:rsidR="00F62866">
      <w:rPr>
        <w:rFonts w:cs="Arial"/>
        <w:sz w:val="16"/>
        <w:szCs w:val="16"/>
      </w:rPr>
      <w:t xml:space="preserve">                             </w:t>
    </w:r>
    <w:r w:rsidR="00F62866" w:rsidRPr="00BE1544">
      <w:rPr>
        <w:rFonts w:cs="Arial"/>
        <w:sz w:val="16"/>
        <w:szCs w:val="16"/>
      </w:rPr>
      <w:t xml:space="preserve"> Contact details: 021 403 </w:t>
    </w:r>
    <w:r w:rsidR="00F62866">
      <w:rPr>
        <w:rFonts w:cs="Arial"/>
        <w:sz w:val="16"/>
        <w:szCs w:val="16"/>
      </w:rPr>
      <w:t>8017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73D9" w:rsidRDefault="002373D9" w:rsidP="00BE1544">
      <w:pPr>
        <w:spacing w:line="240" w:lineRule="auto"/>
      </w:pPr>
      <w:r>
        <w:separator/>
      </w:r>
    </w:p>
  </w:footnote>
  <w:footnote w:type="continuationSeparator" w:id="0">
    <w:p w:rsidR="002373D9" w:rsidRDefault="002373D9" w:rsidP="00BE1544">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866" w:rsidRDefault="00F62866">
    <w:pPr>
      <w:pStyle w:val="Header"/>
    </w:pPr>
    <w:r>
      <w:rPr>
        <w:noProof/>
        <w:lang w:eastAsia="en-ZA"/>
      </w:rPr>
      <w:drawing>
        <wp:anchor distT="0" distB="0" distL="114300" distR="114300" simplePos="0" relativeHeight="251659264" behindDoc="0" locked="0" layoutInCell="1" allowOverlap="1">
          <wp:simplePos x="0" y="0"/>
          <wp:positionH relativeFrom="margin">
            <wp:posOffset>4931410</wp:posOffset>
          </wp:positionH>
          <wp:positionV relativeFrom="page">
            <wp:posOffset>344643</wp:posOffset>
          </wp:positionV>
          <wp:extent cx="800100" cy="824230"/>
          <wp:effectExtent l="0" t="0" r="0" b="0"/>
          <wp:wrapSquare wrapText="bothSides"/>
          <wp:docPr id="11" name="Picture 1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68547"/>
                  <a:stretch>
                    <a:fillRect/>
                  </a:stretch>
                </pic:blipFill>
                <pic:spPr bwMode="auto">
                  <a:xfrm>
                    <a:off x="0" y="0"/>
                    <a:ext cx="800100" cy="824230"/>
                  </a:xfrm>
                  <a:prstGeom prst="rect">
                    <a:avLst/>
                  </a:prstGeom>
                  <a:noFill/>
                  <a:ln>
                    <a:noFill/>
                  </a:ln>
                </pic:spPr>
              </pic:pic>
            </a:graphicData>
          </a:graphic>
        </wp:anchor>
      </w:drawing>
    </w:r>
  </w:p>
  <w:p w:rsidR="00F62866" w:rsidRDefault="00F6286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866" w:rsidRDefault="00F62866">
    <w:pPr>
      <w:pStyle w:val="Header"/>
    </w:pPr>
    <w:r>
      <w:rPr>
        <w:noProof/>
        <w:lang w:eastAsia="en-ZA"/>
      </w:rPr>
      <w:drawing>
        <wp:anchor distT="0" distB="0" distL="114300" distR="114300" simplePos="0" relativeHeight="251658240" behindDoc="0" locked="0" layoutInCell="1" allowOverlap="1">
          <wp:simplePos x="0" y="0"/>
          <wp:positionH relativeFrom="margin">
            <wp:posOffset>-82388</wp:posOffset>
          </wp:positionH>
          <wp:positionV relativeFrom="page">
            <wp:posOffset>411480</wp:posOffset>
          </wp:positionV>
          <wp:extent cx="2543810" cy="824230"/>
          <wp:effectExtent l="0" t="0" r="8890" b="0"/>
          <wp:wrapSquare wrapText="bothSides"/>
          <wp:docPr id="13" name="Picture 1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43810" cy="824230"/>
                  </a:xfrm>
                  <a:prstGeom prst="rect">
                    <a:avLst/>
                  </a:prstGeom>
                  <a:noFill/>
                  <a:ln>
                    <a:noFill/>
                  </a:ln>
                </pic:spPr>
              </pic:pic>
            </a:graphicData>
          </a:graphic>
        </wp:anchor>
      </w:drawing>
    </w:r>
    <w:r>
      <w:rPr>
        <w:noProof/>
        <w:lang w:eastAsia="en-ZA"/>
      </w:rPr>
      <w:drawing>
        <wp:anchor distT="0" distB="0" distL="114300" distR="114300" simplePos="0" relativeHeight="251660288" behindDoc="1" locked="0" layoutInCell="1" allowOverlap="1">
          <wp:simplePos x="0" y="0"/>
          <wp:positionH relativeFrom="margin">
            <wp:posOffset>3557743</wp:posOffset>
          </wp:positionH>
          <wp:positionV relativeFrom="page">
            <wp:posOffset>560070</wp:posOffset>
          </wp:positionV>
          <wp:extent cx="2279650" cy="611505"/>
          <wp:effectExtent l="0" t="0" r="6350" b="0"/>
          <wp:wrapSquare wrapText="bothSides"/>
          <wp:docPr id="14" name="Picture 14" descr="RESEARCH-UNIT-RGB-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EARCH-UNIT-RGB-HEADER"/>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79650" cy="611505"/>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D4438"/>
    <w:multiLevelType w:val="multilevel"/>
    <w:tmpl w:val="BEEAB32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49866B2"/>
    <w:multiLevelType w:val="hybridMultilevel"/>
    <w:tmpl w:val="5E2E8B66"/>
    <w:lvl w:ilvl="0" w:tplc="04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
    <w:nsid w:val="17DD3863"/>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47F5AEC"/>
    <w:multiLevelType w:val="hybridMultilevel"/>
    <w:tmpl w:val="05E2FC0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3A1A3234"/>
    <w:multiLevelType w:val="multilevel"/>
    <w:tmpl w:val="1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3C350E07"/>
    <w:multiLevelType w:val="hybridMultilevel"/>
    <w:tmpl w:val="A0E62602"/>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6">
    <w:nsid w:val="41616860"/>
    <w:multiLevelType w:val="hybridMultilevel"/>
    <w:tmpl w:val="D0A83D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66721B8"/>
    <w:multiLevelType w:val="hybridMultilevel"/>
    <w:tmpl w:val="784A200A"/>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8">
    <w:nsid w:val="4A6245FF"/>
    <w:multiLevelType w:val="multilevel"/>
    <w:tmpl w:val="B55070A8"/>
    <w:styleLink w:val="Style1"/>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52DD2570"/>
    <w:multiLevelType w:val="multilevel"/>
    <w:tmpl w:val="1C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0">
    <w:nsid w:val="551C5042"/>
    <w:multiLevelType w:val="hybridMultilevel"/>
    <w:tmpl w:val="77883C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C527453"/>
    <w:multiLevelType w:val="hybridMultilevel"/>
    <w:tmpl w:val="574C8770"/>
    <w:lvl w:ilvl="0" w:tplc="2B0A65B6">
      <w:start w:val="2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C76624A"/>
    <w:multiLevelType w:val="hybridMultilevel"/>
    <w:tmpl w:val="AB9888D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61802D3D"/>
    <w:multiLevelType w:val="hybridMultilevel"/>
    <w:tmpl w:val="CD1E9F9C"/>
    <w:lvl w:ilvl="0" w:tplc="C180F32C">
      <w:start w:val="1"/>
      <w:numFmt w:val="lowerRoman"/>
      <w:lvlText w:val="(%1)"/>
      <w:lvlJc w:val="left"/>
      <w:pPr>
        <w:ind w:left="900" w:hanging="720"/>
      </w:pPr>
      <w:rPr>
        <w:rFonts w:hint="default"/>
        <w:b w:val="0"/>
        <w:color w:val="auto"/>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4">
    <w:nsid w:val="61D97F37"/>
    <w:multiLevelType w:val="hybridMultilevel"/>
    <w:tmpl w:val="5EBE1C0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62A81F49"/>
    <w:multiLevelType w:val="hybridMultilevel"/>
    <w:tmpl w:val="CC32142E"/>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6">
    <w:nsid w:val="646712D9"/>
    <w:multiLevelType w:val="hybridMultilevel"/>
    <w:tmpl w:val="9096439A"/>
    <w:lvl w:ilvl="0" w:tplc="2B0A65B6">
      <w:start w:val="2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9D01519"/>
    <w:multiLevelType w:val="multilevel"/>
    <w:tmpl w:val="1E58906C"/>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6B1A2413"/>
    <w:multiLevelType w:val="hybridMultilevel"/>
    <w:tmpl w:val="9FE48BA6"/>
    <w:lvl w:ilvl="0" w:tplc="7382BDE6">
      <w:start w:val="1"/>
      <w:numFmt w:val="bullet"/>
      <w:lvlText w:val="-"/>
      <w:lvlJc w:val="left"/>
      <w:pPr>
        <w:ind w:left="720" w:hanging="360"/>
      </w:pPr>
      <w:rPr>
        <w:rFonts w:ascii="Arial" w:eastAsiaTheme="maj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C3875FE"/>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6E365D55"/>
    <w:multiLevelType w:val="hybridMultilevel"/>
    <w:tmpl w:val="9B9C20E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73A37F1C"/>
    <w:multiLevelType w:val="hybridMultilevel"/>
    <w:tmpl w:val="72663CB6"/>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2">
    <w:nsid w:val="74D85B79"/>
    <w:multiLevelType w:val="hybridMultilevel"/>
    <w:tmpl w:val="4D1A4CD6"/>
    <w:lvl w:ilvl="0" w:tplc="22687B36">
      <w:start w:val="1"/>
      <w:numFmt w:val="lowerRoman"/>
      <w:lvlText w:val="%1."/>
      <w:lvlJc w:val="left"/>
      <w:pPr>
        <w:ind w:left="810" w:hanging="720"/>
      </w:pPr>
      <w:rPr>
        <w:rFonts w:hint="default"/>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3">
    <w:nsid w:val="78047693"/>
    <w:multiLevelType w:val="hybridMultilevel"/>
    <w:tmpl w:val="5118690E"/>
    <w:lvl w:ilvl="0" w:tplc="2B0A65B6">
      <w:start w:val="2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A3D5A18"/>
    <w:multiLevelType w:val="hybridMultilevel"/>
    <w:tmpl w:val="1E40F70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20"/>
  </w:num>
  <w:num w:numId="2">
    <w:abstractNumId w:val="0"/>
  </w:num>
  <w:num w:numId="3">
    <w:abstractNumId w:val="9"/>
  </w:num>
  <w:num w:numId="4">
    <w:abstractNumId w:val="15"/>
  </w:num>
  <w:num w:numId="5">
    <w:abstractNumId w:val="7"/>
  </w:num>
  <w:num w:numId="6">
    <w:abstractNumId w:val="19"/>
  </w:num>
  <w:num w:numId="7">
    <w:abstractNumId w:val="8"/>
  </w:num>
  <w:num w:numId="8">
    <w:abstractNumId w:val="4"/>
  </w:num>
  <w:num w:numId="9">
    <w:abstractNumId w:val="1"/>
  </w:num>
  <w:num w:numId="10">
    <w:abstractNumId w:val="12"/>
  </w:num>
  <w:num w:numId="11">
    <w:abstractNumId w:val="3"/>
  </w:num>
  <w:num w:numId="12">
    <w:abstractNumId w:val="14"/>
  </w:num>
  <w:num w:numId="13">
    <w:abstractNumId w:val="24"/>
  </w:num>
  <w:num w:numId="14">
    <w:abstractNumId w:val="21"/>
  </w:num>
  <w:num w:numId="15">
    <w:abstractNumId w:val="2"/>
  </w:num>
  <w:num w:numId="16">
    <w:abstractNumId w:val="13"/>
  </w:num>
  <w:num w:numId="17">
    <w:abstractNumId w:val="18"/>
  </w:num>
  <w:num w:numId="18">
    <w:abstractNumId w:val="10"/>
  </w:num>
  <w:num w:numId="19">
    <w:abstractNumId w:val="11"/>
  </w:num>
  <w:num w:numId="20">
    <w:abstractNumId w:val="6"/>
  </w:num>
  <w:num w:numId="21">
    <w:abstractNumId w:val="16"/>
  </w:num>
  <w:num w:numId="22">
    <w:abstractNumId w:val="23"/>
  </w:num>
  <w:num w:numId="23">
    <w:abstractNumId w:val="5"/>
  </w:num>
  <w:num w:numId="24">
    <w:abstractNumId w:val="17"/>
  </w:num>
  <w:num w:numId="25">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rsids>
    <w:rsidRoot w:val="00845F0C"/>
    <w:rsid w:val="0001102D"/>
    <w:rsid w:val="00021A79"/>
    <w:rsid w:val="00034B99"/>
    <w:rsid w:val="0004431C"/>
    <w:rsid w:val="0004494C"/>
    <w:rsid w:val="00052B47"/>
    <w:rsid w:val="00054A92"/>
    <w:rsid w:val="00055604"/>
    <w:rsid w:val="000670F5"/>
    <w:rsid w:val="00067A47"/>
    <w:rsid w:val="000B648B"/>
    <w:rsid w:val="000C41C0"/>
    <w:rsid w:val="000F0ECE"/>
    <w:rsid w:val="00112D46"/>
    <w:rsid w:val="00142CEB"/>
    <w:rsid w:val="00153B94"/>
    <w:rsid w:val="00177880"/>
    <w:rsid w:val="00184D13"/>
    <w:rsid w:val="00191AF0"/>
    <w:rsid w:val="001F7BAD"/>
    <w:rsid w:val="00214DD2"/>
    <w:rsid w:val="002373D9"/>
    <w:rsid w:val="002464D1"/>
    <w:rsid w:val="0025404A"/>
    <w:rsid w:val="002A06BF"/>
    <w:rsid w:val="002B006D"/>
    <w:rsid w:val="002B08CF"/>
    <w:rsid w:val="002D6EE7"/>
    <w:rsid w:val="002F1450"/>
    <w:rsid w:val="0031278C"/>
    <w:rsid w:val="0034606F"/>
    <w:rsid w:val="00377ACD"/>
    <w:rsid w:val="003939BE"/>
    <w:rsid w:val="003A6436"/>
    <w:rsid w:val="003C27CD"/>
    <w:rsid w:val="003C3F5B"/>
    <w:rsid w:val="003C5550"/>
    <w:rsid w:val="0041476B"/>
    <w:rsid w:val="00432957"/>
    <w:rsid w:val="004333D9"/>
    <w:rsid w:val="00454195"/>
    <w:rsid w:val="00462C35"/>
    <w:rsid w:val="004C17E7"/>
    <w:rsid w:val="004D39E3"/>
    <w:rsid w:val="004F5C45"/>
    <w:rsid w:val="004F6E7C"/>
    <w:rsid w:val="005028B1"/>
    <w:rsid w:val="00574827"/>
    <w:rsid w:val="0058436C"/>
    <w:rsid w:val="005B1685"/>
    <w:rsid w:val="005C6C84"/>
    <w:rsid w:val="005E068D"/>
    <w:rsid w:val="006163FE"/>
    <w:rsid w:val="00630D3E"/>
    <w:rsid w:val="00663F6C"/>
    <w:rsid w:val="00667D16"/>
    <w:rsid w:val="00684805"/>
    <w:rsid w:val="006E0F0E"/>
    <w:rsid w:val="006F5E2B"/>
    <w:rsid w:val="00702501"/>
    <w:rsid w:val="0071617F"/>
    <w:rsid w:val="00764580"/>
    <w:rsid w:val="007678EB"/>
    <w:rsid w:val="007C1A8E"/>
    <w:rsid w:val="00810ACC"/>
    <w:rsid w:val="0082503B"/>
    <w:rsid w:val="00827369"/>
    <w:rsid w:val="00845F0C"/>
    <w:rsid w:val="008817A9"/>
    <w:rsid w:val="00882C8E"/>
    <w:rsid w:val="00893EE9"/>
    <w:rsid w:val="00896E7D"/>
    <w:rsid w:val="008A1185"/>
    <w:rsid w:val="00944B48"/>
    <w:rsid w:val="0099420E"/>
    <w:rsid w:val="009A2690"/>
    <w:rsid w:val="009B2A77"/>
    <w:rsid w:val="009C6D1F"/>
    <w:rsid w:val="009E0C94"/>
    <w:rsid w:val="009E5DE3"/>
    <w:rsid w:val="00A43698"/>
    <w:rsid w:val="00AA2350"/>
    <w:rsid w:val="00AD0A4E"/>
    <w:rsid w:val="00AE56DF"/>
    <w:rsid w:val="00AE60E1"/>
    <w:rsid w:val="00AE6B13"/>
    <w:rsid w:val="00B71B61"/>
    <w:rsid w:val="00B725AB"/>
    <w:rsid w:val="00B75CDB"/>
    <w:rsid w:val="00B9302E"/>
    <w:rsid w:val="00BC6E8F"/>
    <w:rsid w:val="00BE1544"/>
    <w:rsid w:val="00BE65C0"/>
    <w:rsid w:val="00CA59EA"/>
    <w:rsid w:val="00CE26E6"/>
    <w:rsid w:val="00D12839"/>
    <w:rsid w:val="00D323E9"/>
    <w:rsid w:val="00DA50F5"/>
    <w:rsid w:val="00DB162D"/>
    <w:rsid w:val="00DB35AC"/>
    <w:rsid w:val="00DC03FC"/>
    <w:rsid w:val="00E079AD"/>
    <w:rsid w:val="00E60C1F"/>
    <w:rsid w:val="00EC191C"/>
    <w:rsid w:val="00EC1AF4"/>
    <w:rsid w:val="00EC4E94"/>
    <w:rsid w:val="00EF074D"/>
    <w:rsid w:val="00EF36A1"/>
    <w:rsid w:val="00F14BC4"/>
    <w:rsid w:val="00F35173"/>
    <w:rsid w:val="00F62866"/>
    <w:rsid w:val="00FE7C2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55604"/>
    <w:pPr>
      <w:spacing w:after="0" w:line="280" w:lineRule="exact"/>
      <w:jc w:val="both"/>
    </w:pPr>
    <w:rPr>
      <w:rFonts w:ascii="Arial" w:hAnsi="Arial"/>
    </w:rPr>
  </w:style>
  <w:style w:type="paragraph" w:styleId="Heading1">
    <w:name w:val="heading 1"/>
    <w:basedOn w:val="Normal"/>
    <w:next w:val="Normal"/>
    <w:link w:val="Heading1Char"/>
    <w:uiPriority w:val="9"/>
    <w:qFormat/>
    <w:rsid w:val="005028B1"/>
    <w:pPr>
      <w:keepNext/>
      <w:keepLines/>
      <w:spacing w:before="240"/>
      <w:outlineLvl w:val="0"/>
    </w:pPr>
    <w:rPr>
      <w:rFonts w:eastAsiaTheme="majorEastAsia" w:cstheme="majorBidi"/>
      <w:b/>
      <w:caps/>
      <w:color w:val="538135" w:themeColor="accent6" w:themeShade="BF"/>
      <w:szCs w:val="32"/>
    </w:rPr>
  </w:style>
  <w:style w:type="paragraph" w:styleId="Heading2">
    <w:name w:val="heading 2"/>
    <w:basedOn w:val="Normal"/>
    <w:next w:val="Normal"/>
    <w:link w:val="Heading2Char"/>
    <w:uiPriority w:val="9"/>
    <w:unhideWhenUsed/>
    <w:qFormat/>
    <w:rsid w:val="005028B1"/>
    <w:pPr>
      <w:keepNext/>
      <w:keepLines/>
      <w:spacing w:before="40"/>
      <w:jc w:val="left"/>
      <w:outlineLvl w:val="1"/>
    </w:pPr>
    <w:rPr>
      <w:rFonts w:eastAsiaTheme="majorEastAsia" w:cstheme="majorBidi"/>
      <w:b/>
      <w:color w:val="538135" w:themeColor="accent6" w:themeShade="BF"/>
      <w:szCs w:val="26"/>
    </w:rPr>
  </w:style>
  <w:style w:type="paragraph" w:styleId="Heading3">
    <w:name w:val="heading 3"/>
    <w:basedOn w:val="Normal"/>
    <w:next w:val="Normal"/>
    <w:link w:val="Heading3Char"/>
    <w:uiPriority w:val="9"/>
    <w:unhideWhenUsed/>
    <w:qFormat/>
    <w:rsid w:val="00052B47"/>
    <w:pPr>
      <w:keepNext/>
      <w:keepLines/>
      <w:outlineLvl w:val="2"/>
    </w:pPr>
    <w:rPr>
      <w:rFonts w:eastAsiaTheme="majorEastAsia" w:cstheme="majorBidi"/>
      <w:b/>
      <w:i/>
      <w:color w:val="538135" w:themeColor="accent6" w:themeShade="BF"/>
      <w:szCs w:val="24"/>
    </w:rPr>
  </w:style>
  <w:style w:type="paragraph" w:styleId="Heading4">
    <w:name w:val="heading 4"/>
    <w:basedOn w:val="Normal"/>
    <w:next w:val="Normal"/>
    <w:link w:val="Heading4Char"/>
    <w:uiPriority w:val="9"/>
    <w:semiHidden/>
    <w:unhideWhenUsed/>
    <w:rsid w:val="009E0C94"/>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9E0C94"/>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9E0C9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9E0C9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9E0C94"/>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E0C9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1544"/>
    <w:pPr>
      <w:tabs>
        <w:tab w:val="center" w:pos="4513"/>
        <w:tab w:val="right" w:pos="9026"/>
      </w:tabs>
      <w:spacing w:line="240" w:lineRule="auto"/>
    </w:pPr>
  </w:style>
  <w:style w:type="character" w:customStyle="1" w:styleId="HeaderChar">
    <w:name w:val="Header Char"/>
    <w:basedOn w:val="DefaultParagraphFont"/>
    <w:link w:val="Header"/>
    <w:uiPriority w:val="99"/>
    <w:rsid w:val="00BE1544"/>
  </w:style>
  <w:style w:type="paragraph" w:styleId="Footer">
    <w:name w:val="footer"/>
    <w:basedOn w:val="Normal"/>
    <w:link w:val="FooterChar"/>
    <w:uiPriority w:val="99"/>
    <w:unhideWhenUsed/>
    <w:rsid w:val="00BE1544"/>
    <w:pPr>
      <w:tabs>
        <w:tab w:val="center" w:pos="4513"/>
        <w:tab w:val="right" w:pos="9026"/>
      </w:tabs>
      <w:spacing w:line="240" w:lineRule="auto"/>
    </w:pPr>
  </w:style>
  <w:style w:type="character" w:customStyle="1" w:styleId="FooterChar">
    <w:name w:val="Footer Char"/>
    <w:basedOn w:val="DefaultParagraphFont"/>
    <w:link w:val="Footer"/>
    <w:uiPriority w:val="99"/>
    <w:rsid w:val="00BE1544"/>
  </w:style>
  <w:style w:type="paragraph" w:customStyle="1" w:styleId="ResearchTitle">
    <w:name w:val="Research Title"/>
    <w:basedOn w:val="Normal"/>
    <w:link w:val="ResearchTitleChar"/>
    <w:rsid w:val="008A1185"/>
    <w:rPr>
      <w:b/>
      <w:caps/>
      <w:color w:val="538135" w:themeColor="accent6" w:themeShade="BF"/>
      <w:sz w:val="24"/>
    </w:rPr>
  </w:style>
  <w:style w:type="paragraph" w:customStyle="1" w:styleId="ReseachMainHeading">
    <w:name w:val="Reseach Main Heading"/>
    <w:basedOn w:val="ResearchTitle"/>
    <w:link w:val="ReseachMainHeadingChar"/>
    <w:rsid w:val="005E068D"/>
    <w:rPr>
      <w:sz w:val="22"/>
    </w:rPr>
  </w:style>
  <w:style w:type="character" w:customStyle="1" w:styleId="ResearchTitleChar">
    <w:name w:val="Research Title Char"/>
    <w:basedOn w:val="DefaultParagraphFont"/>
    <w:link w:val="ResearchTitle"/>
    <w:rsid w:val="008A1185"/>
    <w:rPr>
      <w:rFonts w:ascii="Arial" w:hAnsi="Arial"/>
      <w:b/>
      <w:caps/>
      <w:color w:val="538135" w:themeColor="accent6" w:themeShade="BF"/>
      <w:sz w:val="24"/>
    </w:rPr>
  </w:style>
  <w:style w:type="paragraph" w:customStyle="1" w:styleId="ResearchSubheading">
    <w:name w:val="Research Sub heading"/>
    <w:basedOn w:val="ReseachMainHeading"/>
    <w:link w:val="ResearchSubheadingChar"/>
    <w:rsid w:val="005E068D"/>
    <w:rPr>
      <w:b w:val="0"/>
      <w:caps w:val="0"/>
    </w:rPr>
  </w:style>
  <w:style w:type="character" w:customStyle="1" w:styleId="ReseachMainHeadingChar">
    <w:name w:val="Reseach Main Heading Char"/>
    <w:basedOn w:val="ResearchTitleChar"/>
    <w:link w:val="ReseachMainHeading"/>
    <w:rsid w:val="005E068D"/>
    <w:rPr>
      <w:rFonts w:ascii="Arial" w:hAnsi="Arial"/>
      <w:b/>
      <w:caps/>
      <w:color w:val="538135" w:themeColor="accent6" w:themeShade="BF"/>
      <w:sz w:val="24"/>
    </w:rPr>
  </w:style>
  <w:style w:type="character" w:customStyle="1" w:styleId="Heading1Char">
    <w:name w:val="Heading 1 Char"/>
    <w:basedOn w:val="DefaultParagraphFont"/>
    <w:link w:val="Heading1"/>
    <w:uiPriority w:val="9"/>
    <w:rsid w:val="005028B1"/>
    <w:rPr>
      <w:rFonts w:ascii="Arial" w:eastAsiaTheme="majorEastAsia" w:hAnsi="Arial" w:cstheme="majorBidi"/>
      <w:b/>
      <w:caps/>
      <w:color w:val="538135" w:themeColor="accent6" w:themeShade="BF"/>
      <w:szCs w:val="32"/>
    </w:rPr>
  </w:style>
  <w:style w:type="character" w:customStyle="1" w:styleId="ResearchSubheadingChar">
    <w:name w:val="Research Sub heading Char"/>
    <w:basedOn w:val="ReseachMainHeadingChar"/>
    <w:link w:val="ResearchSubheading"/>
    <w:rsid w:val="005E068D"/>
    <w:rPr>
      <w:rFonts w:ascii="Arial" w:hAnsi="Arial"/>
      <w:b w:val="0"/>
      <w:caps w:val="0"/>
      <w:color w:val="538135" w:themeColor="accent6" w:themeShade="BF"/>
      <w:sz w:val="24"/>
    </w:rPr>
  </w:style>
  <w:style w:type="paragraph" w:styleId="TOCHeading">
    <w:name w:val="TOC Heading"/>
    <w:basedOn w:val="Heading1"/>
    <w:next w:val="Normal"/>
    <w:uiPriority w:val="39"/>
    <w:unhideWhenUsed/>
    <w:qFormat/>
    <w:rsid w:val="00052B47"/>
    <w:pPr>
      <w:outlineLvl w:val="9"/>
    </w:pPr>
    <w:rPr>
      <w:caps w:val="0"/>
      <w:color w:val="000000" w:themeColor="text1"/>
      <w:lang w:val="en-US"/>
    </w:rPr>
  </w:style>
  <w:style w:type="paragraph" w:styleId="TOC1">
    <w:name w:val="toc 1"/>
    <w:basedOn w:val="Normal"/>
    <w:next w:val="Normal"/>
    <w:autoRedefine/>
    <w:uiPriority w:val="39"/>
    <w:unhideWhenUsed/>
    <w:qFormat/>
    <w:rsid w:val="00052B47"/>
    <w:pPr>
      <w:spacing w:after="100"/>
    </w:pPr>
    <w:rPr>
      <w:b/>
      <w:caps/>
      <w:color w:val="000000" w:themeColor="text1"/>
      <w:sz w:val="24"/>
    </w:rPr>
  </w:style>
  <w:style w:type="character" w:styleId="Hyperlink">
    <w:name w:val="Hyperlink"/>
    <w:basedOn w:val="DefaultParagraphFont"/>
    <w:uiPriority w:val="99"/>
    <w:unhideWhenUsed/>
    <w:rsid w:val="005E068D"/>
    <w:rPr>
      <w:color w:val="0563C1" w:themeColor="hyperlink"/>
      <w:u w:val="single"/>
    </w:rPr>
  </w:style>
  <w:style w:type="paragraph" w:styleId="ListParagraph">
    <w:name w:val="List Paragraph"/>
    <w:basedOn w:val="Normal"/>
    <w:uiPriority w:val="34"/>
    <w:qFormat/>
    <w:rsid w:val="005E068D"/>
    <w:pPr>
      <w:ind w:left="720"/>
      <w:contextualSpacing/>
    </w:pPr>
  </w:style>
  <w:style w:type="character" w:customStyle="1" w:styleId="Heading2Char">
    <w:name w:val="Heading 2 Char"/>
    <w:basedOn w:val="DefaultParagraphFont"/>
    <w:link w:val="Heading2"/>
    <w:uiPriority w:val="9"/>
    <w:rsid w:val="005028B1"/>
    <w:rPr>
      <w:rFonts w:ascii="Arial" w:eastAsiaTheme="majorEastAsia" w:hAnsi="Arial" w:cstheme="majorBidi"/>
      <w:b/>
      <w:color w:val="538135" w:themeColor="accent6" w:themeShade="BF"/>
      <w:szCs w:val="26"/>
    </w:rPr>
  </w:style>
  <w:style w:type="paragraph" w:styleId="TOC2">
    <w:name w:val="toc 2"/>
    <w:basedOn w:val="Normal"/>
    <w:next w:val="Normal"/>
    <w:autoRedefine/>
    <w:uiPriority w:val="39"/>
    <w:unhideWhenUsed/>
    <w:rsid w:val="0031278C"/>
    <w:pPr>
      <w:spacing w:after="100"/>
      <w:ind w:left="220"/>
    </w:pPr>
  </w:style>
  <w:style w:type="paragraph" w:styleId="TOC3">
    <w:name w:val="toc 3"/>
    <w:basedOn w:val="Normal"/>
    <w:next w:val="Normal"/>
    <w:autoRedefine/>
    <w:uiPriority w:val="39"/>
    <w:unhideWhenUsed/>
    <w:rsid w:val="009E0C94"/>
    <w:pPr>
      <w:spacing w:after="100" w:line="240" w:lineRule="exact"/>
      <w:ind w:left="442"/>
    </w:pPr>
    <w:rPr>
      <w:rFonts w:eastAsiaTheme="minorEastAsia" w:cs="Times New Roman"/>
      <w:lang w:val="en-US"/>
    </w:rPr>
  </w:style>
  <w:style w:type="paragraph" w:styleId="Title">
    <w:name w:val="Title"/>
    <w:basedOn w:val="Normal"/>
    <w:next w:val="Normal"/>
    <w:link w:val="TitleChar"/>
    <w:uiPriority w:val="10"/>
    <w:qFormat/>
    <w:rsid w:val="00893EE9"/>
    <w:pPr>
      <w:spacing w:line="240" w:lineRule="auto"/>
      <w:contextualSpacing/>
    </w:pPr>
    <w:rPr>
      <w:rFonts w:eastAsiaTheme="majorEastAsia" w:cstheme="majorBidi"/>
      <w:b/>
      <w:caps/>
      <w:color w:val="538135" w:themeColor="accent6" w:themeShade="BF"/>
      <w:spacing w:val="-10"/>
      <w:kern w:val="28"/>
      <w:sz w:val="28"/>
      <w:szCs w:val="56"/>
    </w:rPr>
  </w:style>
  <w:style w:type="character" w:customStyle="1" w:styleId="TitleChar">
    <w:name w:val="Title Char"/>
    <w:basedOn w:val="DefaultParagraphFont"/>
    <w:link w:val="Title"/>
    <w:uiPriority w:val="10"/>
    <w:rsid w:val="00893EE9"/>
    <w:rPr>
      <w:rFonts w:ascii="Arial" w:eastAsiaTheme="majorEastAsia" w:hAnsi="Arial" w:cstheme="majorBidi"/>
      <w:b/>
      <w:caps/>
      <w:color w:val="538135" w:themeColor="accent6" w:themeShade="BF"/>
      <w:spacing w:val="-10"/>
      <w:kern w:val="28"/>
      <w:sz w:val="28"/>
      <w:szCs w:val="56"/>
    </w:rPr>
  </w:style>
  <w:style w:type="paragraph" w:styleId="Subtitle">
    <w:name w:val="Subtitle"/>
    <w:basedOn w:val="Normal"/>
    <w:next w:val="Normal"/>
    <w:link w:val="SubtitleChar"/>
    <w:uiPriority w:val="11"/>
    <w:rsid w:val="00893EE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93EE9"/>
    <w:rPr>
      <w:rFonts w:eastAsiaTheme="minorEastAsia"/>
      <w:color w:val="5A5A5A" w:themeColor="text1" w:themeTint="A5"/>
      <w:spacing w:val="15"/>
    </w:rPr>
  </w:style>
  <w:style w:type="character" w:customStyle="1" w:styleId="Heading3Char">
    <w:name w:val="Heading 3 Char"/>
    <w:basedOn w:val="DefaultParagraphFont"/>
    <w:link w:val="Heading3"/>
    <w:uiPriority w:val="9"/>
    <w:rsid w:val="00052B47"/>
    <w:rPr>
      <w:rFonts w:ascii="Arial" w:eastAsiaTheme="majorEastAsia" w:hAnsi="Arial" w:cstheme="majorBidi"/>
      <w:b/>
      <w:i/>
      <w:color w:val="538135" w:themeColor="accent6" w:themeShade="BF"/>
      <w:szCs w:val="24"/>
    </w:rPr>
  </w:style>
  <w:style w:type="character" w:customStyle="1" w:styleId="Heading4Char">
    <w:name w:val="Heading 4 Char"/>
    <w:basedOn w:val="DefaultParagraphFont"/>
    <w:link w:val="Heading4"/>
    <w:uiPriority w:val="9"/>
    <w:semiHidden/>
    <w:rsid w:val="009E0C94"/>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9E0C94"/>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9E0C94"/>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9E0C94"/>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9E0C9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E0C94"/>
    <w:rPr>
      <w:rFonts w:asciiTheme="majorHAnsi" w:eastAsiaTheme="majorEastAsia" w:hAnsiTheme="majorHAnsi" w:cstheme="majorBidi"/>
      <w:i/>
      <w:iCs/>
      <w:color w:val="272727" w:themeColor="text1" w:themeTint="D8"/>
      <w:sz w:val="21"/>
      <w:szCs w:val="21"/>
    </w:rPr>
  </w:style>
  <w:style w:type="table" w:styleId="TableGrid">
    <w:name w:val="Table Grid"/>
    <w:basedOn w:val="TableNormal"/>
    <w:uiPriority w:val="39"/>
    <w:rsid w:val="009E0C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1">
    <w:name w:val="Style1"/>
    <w:uiPriority w:val="99"/>
    <w:rsid w:val="00B9302E"/>
    <w:pPr>
      <w:numPr>
        <w:numId w:val="7"/>
      </w:numPr>
    </w:pPr>
  </w:style>
  <w:style w:type="paragraph" w:styleId="CommentText">
    <w:name w:val="annotation text"/>
    <w:basedOn w:val="Normal"/>
    <w:link w:val="CommentTextChar"/>
    <w:semiHidden/>
    <w:rsid w:val="00052B47"/>
    <w:pPr>
      <w:jc w:val="left"/>
    </w:pPr>
    <w:rPr>
      <w:rFonts w:eastAsia="Times New Roman" w:cs="Times New Roman"/>
      <w:color w:val="000000"/>
      <w:sz w:val="20"/>
      <w:szCs w:val="20"/>
      <w:lang w:val="en-GB" w:eastAsia="en-GB"/>
    </w:rPr>
  </w:style>
  <w:style w:type="character" w:customStyle="1" w:styleId="CommentTextChar">
    <w:name w:val="Comment Text Char"/>
    <w:basedOn w:val="DefaultParagraphFont"/>
    <w:link w:val="CommentText"/>
    <w:semiHidden/>
    <w:rsid w:val="00052B47"/>
    <w:rPr>
      <w:rFonts w:ascii="Arial" w:eastAsia="Times New Roman" w:hAnsi="Arial" w:cs="Times New Roman"/>
      <w:color w:val="000000"/>
      <w:sz w:val="20"/>
      <w:szCs w:val="20"/>
      <w:lang w:val="en-GB" w:eastAsia="en-GB"/>
    </w:rPr>
  </w:style>
  <w:style w:type="paragraph" w:customStyle="1" w:styleId="Default">
    <w:name w:val="Default"/>
    <w:rsid w:val="00684805"/>
    <w:pPr>
      <w:autoSpaceDE w:val="0"/>
      <w:autoSpaceDN w:val="0"/>
      <w:adjustRightInd w:val="0"/>
      <w:spacing w:after="0" w:line="240" w:lineRule="auto"/>
    </w:pPr>
    <w:rPr>
      <w:rFonts w:ascii="Arial" w:hAnsi="Arial" w:cs="Arial"/>
      <w:color w:val="000000"/>
      <w:sz w:val="24"/>
      <w:szCs w:val="24"/>
      <w:lang w:val="en-US"/>
    </w:rPr>
  </w:style>
  <w:style w:type="paragraph" w:customStyle="1" w:styleId="Pa9">
    <w:name w:val="Pa9"/>
    <w:basedOn w:val="Default"/>
    <w:next w:val="Default"/>
    <w:uiPriority w:val="99"/>
    <w:rsid w:val="00684805"/>
    <w:pPr>
      <w:spacing w:line="221" w:lineRule="atLeast"/>
    </w:pPr>
    <w:rPr>
      <w:color w:val="auto"/>
    </w:rPr>
  </w:style>
  <w:style w:type="paragraph" w:customStyle="1" w:styleId="Pa8">
    <w:name w:val="Pa8"/>
    <w:basedOn w:val="Default"/>
    <w:next w:val="Default"/>
    <w:uiPriority w:val="99"/>
    <w:rsid w:val="00684805"/>
    <w:pPr>
      <w:spacing w:line="221" w:lineRule="atLeast"/>
    </w:pPr>
    <w:rPr>
      <w:color w:val="auto"/>
    </w:rPr>
  </w:style>
  <w:style w:type="character" w:customStyle="1" w:styleId="A12">
    <w:name w:val="A12"/>
    <w:uiPriority w:val="99"/>
    <w:rsid w:val="00684805"/>
    <w:rPr>
      <w:color w:val="000000"/>
      <w:sz w:val="16"/>
      <w:szCs w:val="16"/>
    </w:rPr>
  </w:style>
  <w:style w:type="paragraph" w:styleId="BalloonText">
    <w:name w:val="Balloon Text"/>
    <w:basedOn w:val="Normal"/>
    <w:link w:val="BalloonTextChar"/>
    <w:uiPriority w:val="99"/>
    <w:semiHidden/>
    <w:unhideWhenUsed/>
    <w:rsid w:val="00EF36A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36A1"/>
    <w:rPr>
      <w:rFonts w:ascii="Segoe UI" w:hAnsi="Segoe UI" w:cs="Segoe UI"/>
      <w:sz w:val="18"/>
      <w:szCs w:val="18"/>
    </w:rPr>
  </w:style>
  <w:style w:type="paragraph" w:styleId="BodyText">
    <w:name w:val="Body Text"/>
    <w:basedOn w:val="Normal"/>
    <w:link w:val="BodyTextChar"/>
    <w:rsid w:val="00112D46"/>
    <w:pPr>
      <w:spacing w:line="240" w:lineRule="auto"/>
      <w:jc w:val="left"/>
    </w:pPr>
    <w:rPr>
      <w:rFonts w:eastAsia="Times New Roman" w:cs="Arial"/>
      <w:b/>
      <w:bCs/>
      <w:sz w:val="20"/>
      <w:szCs w:val="20"/>
      <w:u w:val="single"/>
      <w:lang w:val="en-US"/>
    </w:rPr>
  </w:style>
  <w:style w:type="character" w:customStyle="1" w:styleId="BodyTextChar">
    <w:name w:val="Body Text Char"/>
    <w:basedOn w:val="DefaultParagraphFont"/>
    <w:link w:val="BodyText"/>
    <w:rsid w:val="00112D46"/>
    <w:rPr>
      <w:rFonts w:ascii="Arial" w:eastAsia="Times New Roman" w:hAnsi="Arial" w:cs="Arial"/>
      <w:b/>
      <w:bCs/>
      <w:sz w:val="20"/>
      <w:szCs w:val="20"/>
      <w:u w:val="single"/>
      <w:lang w:val="en-US"/>
    </w:rPr>
  </w:style>
  <w:style w:type="character" w:styleId="CommentReference">
    <w:name w:val="annotation reference"/>
    <w:basedOn w:val="DefaultParagraphFont"/>
    <w:uiPriority w:val="99"/>
    <w:semiHidden/>
    <w:unhideWhenUsed/>
    <w:rsid w:val="00214DD2"/>
    <w:rPr>
      <w:sz w:val="16"/>
      <w:szCs w:val="16"/>
    </w:rPr>
  </w:style>
  <w:style w:type="paragraph" w:styleId="CommentSubject">
    <w:name w:val="annotation subject"/>
    <w:basedOn w:val="CommentText"/>
    <w:next w:val="CommentText"/>
    <w:link w:val="CommentSubjectChar"/>
    <w:uiPriority w:val="99"/>
    <w:semiHidden/>
    <w:unhideWhenUsed/>
    <w:rsid w:val="00214DD2"/>
    <w:pPr>
      <w:spacing w:line="240" w:lineRule="auto"/>
      <w:jc w:val="both"/>
    </w:pPr>
    <w:rPr>
      <w:rFonts w:eastAsiaTheme="minorHAnsi" w:cstheme="minorBidi"/>
      <w:b/>
      <w:bCs/>
      <w:color w:val="auto"/>
      <w:lang w:val="en-ZA" w:eastAsia="en-US"/>
    </w:rPr>
  </w:style>
  <w:style w:type="character" w:customStyle="1" w:styleId="CommentSubjectChar">
    <w:name w:val="Comment Subject Char"/>
    <w:basedOn w:val="CommentTextChar"/>
    <w:link w:val="CommentSubject"/>
    <w:uiPriority w:val="99"/>
    <w:semiHidden/>
    <w:rsid w:val="00214DD2"/>
    <w:rPr>
      <w:rFonts w:ascii="Arial" w:eastAsia="Times New Roman" w:hAnsi="Arial" w:cs="Times New Roman"/>
      <w:b/>
      <w:bCs/>
      <w:color w:val="000000"/>
      <w:sz w:val="20"/>
      <w:szCs w:val="20"/>
      <w:lang w:val="en-GB" w:eastAsia="en-GB"/>
    </w:rPr>
  </w:style>
</w:styles>
</file>

<file path=word/webSettings.xml><?xml version="1.0" encoding="utf-8"?>
<w:webSettings xmlns:r="http://schemas.openxmlformats.org/officeDocument/2006/relationships" xmlns:w="http://schemas.openxmlformats.org/wordprocessingml/2006/main">
  <w:divs>
    <w:div w:id="1785539344">
      <w:bodyDiv w:val="1"/>
      <w:marLeft w:val="0"/>
      <w:marRight w:val="0"/>
      <w:marTop w:val="0"/>
      <w:marBottom w:val="0"/>
      <w:divBdr>
        <w:top w:val="none" w:sz="0" w:space="0" w:color="auto"/>
        <w:left w:val="none" w:sz="0" w:space="0" w:color="auto"/>
        <w:bottom w:val="none" w:sz="0" w:space="0" w:color="auto"/>
        <w:right w:val="none" w:sz="0" w:space="0" w:color="auto"/>
      </w:divBdr>
      <w:divsChild>
        <w:div w:id="491454873">
          <w:marLeft w:val="0"/>
          <w:marRight w:val="0"/>
          <w:marTop w:val="0"/>
          <w:marBottom w:val="0"/>
          <w:divBdr>
            <w:top w:val="none" w:sz="0" w:space="0" w:color="auto"/>
            <w:left w:val="none" w:sz="0" w:space="0" w:color="auto"/>
            <w:bottom w:val="none" w:sz="0" w:space="0" w:color="auto"/>
            <w:right w:val="none" w:sz="0" w:space="0" w:color="auto"/>
          </w:divBdr>
        </w:div>
        <w:div w:id="1590772846">
          <w:marLeft w:val="0"/>
          <w:marRight w:val="0"/>
          <w:marTop w:val="0"/>
          <w:marBottom w:val="0"/>
          <w:divBdr>
            <w:top w:val="none" w:sz="0" w:space="0" w:color="auto"/>
            <w:left w:val="none" w:sz="0" w:space="0" w:color="auto"/>
            <w:bottom w:val="none" w:sz="0" w:space="0" w:color="auto"/>
            <w:right w:val="none" w:sz="0" w:space="0" w:color="auto"/>
          </w:divBdr>
        </w:div>
        <w:div w:id="1258323409">
          <w:marLeft w:val="0"/>
          <w:marRight w:val="0"/>
          <w:marTop w:val="0"/>
          <w:marBottom w:val="0"/>
          <w:divBdr>
            <w:top w:val="none" w:sz="0" w:space="0" w:color="auto"/>
            <w:left w:val="none" w:sz="0" w:space="0" w:color="auto"/>
            <w:bottom w:val="none" w:sz="0" w:space="0" w:color="auto"/>
            <w:right w:val="none" w:sz="0" w:space="0" w:color="auto"/>
          </w:divBdr>
        </w:div>
        <w:div w:id="1800680599">
          <w:marLeft w:val="0"/>
          <w:marRight w:val="0"/>
          <w:marTop w:val="0"/>
          <w:marBottom w:val="0"/>
          <w:divBdr>
            <w:top w:val="none" w:sz="0" w:space="0" w:color="auto"/>
            <w:left w:val="none" w:sz="0" w:space="0" w:color="auto"/>
            <w:bottom w:val="none" w:sz="0" w:space="0" w:color="auto"/>
            <w:right w:val="none" w:sz="0" w:space="0" w:color="auto"/>
          </w:divBdr>
        </w:div>
        <w:div w:id="424155192">
          <w:marLeft w:val="0"/>
          <w:marRight w:val="0"/>
          <w:marTop w:val="0"/>
          <w:marBottom w:val="0"/>
          <w:divBdr>
            <w:top w:val="none" w:sz="0" w:space="0" w:color="auto"/>
            <w:left w:val="none" w:sz="0" w:space="0" w:color="auto"/>
            <w:bottom w:val="none" w:sz="0" w:space="0" w:color="auto"/>
            <w:right w:val="none" w:sz="0" w:space="0" w:color="auto"/>
          </w:divBdr>
        </w:div>
        <w:div w:id="961958674">
          <w:marLeft w:val="0"/>
          <w:marRight w:val="0"/>
          <w:marTop w:val="0"/>
          <w:marBottom w:val="0"/>
          <w:divBdr>
            <w:top w:val="none" w:sz="0" w:space="0" w:color="auto"/>
            <w:left w:val="none" w:sz="0" w:space="0" w:color="auto"/>
            <w:bottom w:val="none" w:sz="0" w:space="0" w:color="auto"/>
            <w:right w:val="none" w:sz="0" w:space="0" w:color="auto"/>
          </w:divBdr>
        </w:div>
        <w:div w:id="203369947">
          <w:marLeft w:val="0"/>
          <w:marRight w:val="0"/>
          <w:marTop w:val="0"/>
          <w:marBottom w:val="0"/>
          <w:divBdr>
            <w:top w:val="none" w:sz="0" w:space="0" w:color="auto"/>
            <w:left w:val="none" w:sz="0" w:space="0" w:color="auto"/>
            <w:bottom w:val="none" w:sz="0" w:space="0" w:color="auto"/>
            <w:right w:val="none" w:sz="0" w:space="0" w:color="auto"/>
          </w:divBdr>
        </w:div>
        <w:div w:id="799612770">
          <w:marLeft w:val="0"/>
          <w:marRight w:val="0"/>
          <w:marTop w:val="0"/>
          <w:marBottom w:val="0"/>
          <w:divBdr>
            <w:top w:val="none" w:sz="0" w:space="0" w:color="auto"/>
            <w:left w:val="none" w:sz="0" w:space="0" w:color="auto"/>
            <w:bottom w:val="none" w:sz="0" w:space="0" w:color="auto"/>
            <w:right w:val="none" w:sz="0" w:space="0" w:color="auto"/>
          </w:divBdr>
        </w:div>
        <w:div w:id="1979870473">
          <w:marLeft w:val="0"/>
          <w:marRight w:val="0"/>
          <w:marTop w:val="0"/>
          <w:marBottom w:val="0"/>
          <w:divBdr>
            <w:top w:val="none" w:sz="0" w:space="0" w:color="auto"/>
            <w:left w:val="none" w:sz="0" w:space="0" w:color="auto"/>
            <w:bottom w:val="none" w:sz="0" w:space="0" w:color="auto"/>
            <w:right w:val="none" w:sz="0" w:space="0" w:color="auto"/>
          </w:divBdr>
        </w:div>
        <w:div w:id="735861916">
          <w:marLeft w:val="0"/>
          <w:marRight w:val="0"/>
          <w:marTop w:val="0"/>
          <w:marBottom w:val="0"/>
          <w:divBdr>
            <w:top w:val="none" w:sz="0" w:space="0" w:color="auto"/>
            <w:left w:val="none" w:sz="0" w:space="0" w:color="auto"/>
            <w:bottom w:val="none" w:sz="0" w:space="0" w:color="auto"/>
            <w:right w:val="none" w:sz="0" w:space="0" w:color="auto"/>
          </w:divBdr>
        </w:div>
        <w:div w:id="1652323497">
          <w:marLeft w:val="0"/>
          <w:marRight w:val="0"/>
          <w:marTop w:val="0"/>
          <w:marBottom w:val="0"/>
          <w:divBdr>
            <w:top w:val="none" w:sz="0" w:space="0" w:color="auto"/>
            <w:left w:val="none" w:sz="0" w:space="0" w:color="auto"/>
            <w:bottom w:val="none" w:sz="0" w:space="0" w:color="auto"/>
            <w:right w:val="none" w:sz="0" w:space="0" w:color="auto"/>
          </w:divBdr>
        </w:div>
        <w:div w:id="555702879">
          <w:marLeft w:val="0"/>
          <w:marRight w:val="0"/>
          <w:marTop w:val="0"/>
          <w:marBottom w:val="0"/>
          <w:divBdr>
            <w:top w:val="none" w:sz="0" w:space="0" w:color="auto"/>
            <w:left w:val="none" w:sz="0" w:space="0" w:color="auto"/>
            <w:bottom w:val="none" w:sz="0" w:space="0" w:color="auto"/>
            <w:right w:val="none" w:sz="0" w:space="0" w:color="auto"/>
          </w:divBdr>
        </w:div>
        <w:div w:id="556863808">
          <w:marLeft w:val="0"/>
          <w:marRight w:val="0"/>
          <w:marTop w:val="0"/>
          <w:marBottom w:val="0"/>
          <w:divBdr>
            <w:top w:val="none" w:sz="0" w:space="0" w:color="auto"/>
            <w:left w:val="none" w:sz="0" w:space="0" w:color="auto"/>
            <w:bottom w:val="none" w:sz="0" w:space="0" w:color="auto"/>
            <w:right w:val="none" w:sz="0" w:space="0" w:color="auto"/>
          </w:divBdr>
        </w:div>
        <w:div w:id="1077292101">
          <w:marLeft w:val="0"/>
          <w:marRight w:val="0"/>
          <w:marTop w:val="0"/>
          <w:marBottom w:val="0"/>
          <w:divBdr>
            <w:top w:val="none" w:sz="0" w:space="0" w:color="auto"/>
            <w:left w:val="none" w:sz="0" w:space="0" w:color="auto"/>
            <w:bottom w:val="none" w:sz="0" w:space="0" w:color="auto"/>
            <w:right w:val="none" w:sz="0" w:space="0" w:color="auto"/>
          </w:divBdr>
        </w:div>
        <w:div w:id="1585530709">
          <w:marLeft w:val="0"/>
          <w:marRight w:val="0"/>
          <w:marTop w:val="0"/>
          <w:marBottom w:val="0"/>
          <w:divBdr>
            <w:top w:val="none" w:sz="0" w:space="0" w:color="auto"/>
            <w:left w:val="none" w:sz="0" w:space="0" w:color="auto"/>
            <w:bottom w:val="none" w:sz="0" w:space="0" w:color="auto"/>
            <w:right w:val="none" w:sz="0" w:space="0" w:color="auto"/>
          </w:divBdr>
        </w:div>
        <w:div w:id="7905140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anamela\Desktop\Desktop%20documents\Budget%20Analysis%202016%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F31D03-0622-478F-9E62-AD24A7595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Budget Analysis 2016 template</Template>
  <TotalTime>1</TotalTime>
  <Pages>9</Pages>
  <Words>2130</Words>
  <Characters>12147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14249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Antonia Manamela</dc:creator>
  <cp:lastModifiedBy>PUMZA</cp:lastModifiedBy>
  <cp:revision>2</cp:revision>
  <cp:lastPrinted>2016-02-19T12:31:00Z</cp:lastPrinted>
  <dcterms:created xsi:type="dcterms:W3CDTF">2016-10-19T09:54:00Z</dcterms:created>
  <dcterms:modified xsi:type="dcterms:W3CDTF">2016-10-19T09:54:00Z</dcterms:modified>
</cp:coreProperties>
</file>